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acufeni"/>
    <w:p>
      <w:pPr>
        <w:pStyle w:val="Heading1"/>
      </w:pPr>
      <w:r>
        <w:t xml:space="preserve">Mappa concettuale — Acufeni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acufeni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Sarah Michiels (Hasselt / Antwerp)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Susan E. Shore (Michigan)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finale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27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3"/>
      </w:pPr>
      <w:r>
        <w:t xml:space="preserve">1. La condizione in tre righe</w:t>
      </w:r>
    </w:p>
    <w:p>
      <w:pPr>
        <w:pStyle w:val="FirstParagraph"/>
      </w:pPr>
      <w:r>
        <w:t xml:space="preserve">È la percezione di un suono senza sorgente esterna: un sintomo, non una malattia. Quattordici adulti su cento, due virgola tre in forma grave, quasi il doppio oltre i 65 anni. Nella forma persistente il suono quasi non sparisce: persiste nell’81,6% a cinque anni. Ma</w:t>
      </w:r>
      <w:r>
        <w:t xml:space="preserve"> </w:t>
      </w:r>
      <w:r>
        <w:rPr>
          <w:b/>
          <w:bCs/>
        </w:rPr>
        <w:t xml:space="preserve">il punteggio di severità cala da solo nel tempo</w:t>
      </w:r>
      <w:r>
        <w:t xml:space="preserve">, e per questo la soglia si dichiara prima. Nel quadro internazionale corrente il trattamento mirato dei contributori somatosensoriali è un</w:t>
      </w:r>
      <w:r>
        <w:t xml:space="preserve"> </w:t>
      </w:r>
      <w:r>
        <w:rPr>
          <w:b/>
          <w:bCs/>
        </w:rPr>
        <w:t xml:space="preserve">adiuvante di valore</w:t>
      </w:r>
      <w:r>
        <w:t xml:space="preserve">, non una terapia di prima linea (Vanneste, 2026, PMID 42168216).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3"/>
      </w:pPr>
      <w:r>
        <w:t xml:space="preserve">2. La catena causale</w:t>
      </w:r>
    </w:p>
    <w:p>
      <w:pPr>
        <w:pStyle w:val="FirstParagraph"/>
      </w:pPr>
      <w:r>
        <w:rPr>
          <w:rStyle w:val="VerbatimChar"/>
        </w:rPr>
        <w:t xml:space="preserve">calo dell'uscita periferica (anche invisibile all'audiogramma) → il sistema centrale alza il guadagno → attività spontanea amplificata e sincrona → letta come suono → l'ingresso propriocettivo di collo alto e mandibola, sulle cellule granulari dello stesso nucleo, la modula secondo il tempo fra i due segnali → il fischio cambia con la manovra, in un verso o nell'altro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3"/>
      </w:pPr>
      <w:r>
        <w:t xml:space="preserve">3.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Guadagno alzato dove il segnale è calato</w:t>
            </w:r>
          </w:p>
        </w:tc>
        <w:tc>
          <w:tcPr/>
          <w:p>
            <w:pPr>
              <w:pStyle w:val="Compact"/>
            </w:pPr>
            <w:r>
              <w:t xml:space="preserve">Rumore, età, iperacusia</w:t>
            </w:r>
          </w:p>
        </w:tc>
        <w:tc>
          <w:tcPr/>
          <w:p>
            <w:pPr>
              <w:pStyle w:val="Compact"/>
            </w:pPr>
            <w:r>
              <w:t xml:space="preserve">DIMOSTRATO /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 laterale del primo relè</w:t>
            </w:r>
          </w:p>
        </w:tc>
        <w:tc>
          <w:tcPr/>
          <w:p>
            <w:pPr>
              <w:pStyle w:val="Compact"/>
            </w:pPr>
            <w:r>
              <w:t xml:space="preserve">Il suono cambia con la manovra</w:t>
            </w:r>
          </w:p>
        </w:tc>
        <w:tc>
          <w:tcPr/>
          <w:p>
            <w:pPr>
              <w:pStyle w:val="Compact"/>
            </w:pPr>
            <w:r>
              <w:t xml:space="preserve">DIMOSTRATO nell’animale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e mandibola che bussano</w:t>
            </w:r>
          </w:p>
        </w:tc>
        <w:tc>
          <w:tcPr/>
          <w:p>
            <w:pPr>
              <w:pStyle w:val="Compact"/>
            </w:pPr>
            <w:r>
              <w:t xml:space="preserve">Escursione ridotta, trigger, scapola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Sirena che il cervello non archivia</w:t>
            </w:r>
          </w:p>
        </w:tc>
        <w:tc>
          <w:tcPr/>
          <w:p>
            <w:pPr>
              <w:pStyle w:val="Compact"/>
            </w:pPr>
            <w:r>
              <w:t xml:space="preserve">Severità alta, suono modesto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Attivazione che abbassa la soglia</w:t>
            </w:r>
          </w:p>
        </w:tc>
        <w:tc>
          <w:tcPr/>
          <w:p>
            <w:pPr>
              <w:pStyle w:val="Compact"/>
            </w:pPr>
            <w:r>
              <w:t xml:space="preserve">Varia con i periodi, non con le posture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</w:tbl>
    <w:p>
      <w:pPr>
        <w:pStyle w:val="BodyText"/>
      </w:pPr>
      <w:r>
        <w:rPr>
          <w:i/>
          <w:iCs/>
        </w:rPr>
        <w:t xml:space="preserve">L’ordine è didattico. Chi comanda in questo paziente si decide nel blocco 5.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osa-puoi-fare-davvero"/>
    <w:p>
      <w:pPr>
        <w:pStyle w:val="Heading3"/>
      </w:pPr>
      <w:r>
        <w:t xml:space="preserve">4. I sottotipi, e cosa puoi fare davvero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Con le mani</w:t>
            </w:r>
          </w:p>
        </w:tc>
        <w:tc>
          <w:tcPr/>
          <w:p>
            <w:pPr>
              <w:pStyle w:val="Compact"/>
            </w:pPr>
            <w:r>
              <w:t xml:space="preserve">Come clinico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Somatosensoriale cervicale</w:t>
            </w:r>
          </w:p>
        </w:tc>
        <w:tc>
          <w:tcPr/>
          <w:p>
            <w:pPr>
              <w:pStyle w:val="Compact"/>
            </w:pPr>
            <w:r>
              <w:t xml:space="preserve">Collo e acufene variano insieme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Somatosensoriale mandibolare</w:t>
            </w:r>
          </w:p>
        </w:tc>
        <w:tc>
          <w:tcPr/>
          <w:p>
            <w:pPr>
              <w:pStyle w:val="Compact"/>
            </w:pPr>
            <w:r>
              <w:t xml:space="preserve">Modula serrando o protrudendo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Uditivo con perdita documentata</w:t>
            </w:r>
          </w:p>
        </w:tc>
        <w:tc>
          <w:tcPr/>
          <w:p>
            <w:pPr>
              <w:pStyle w:val="Compact"/>
            </w:pPr>
            <w:r>
              <w:t xml:space="preserve">Non modula, audiometria alterata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  <w:tc>
          <w:tcPr/>
          <w:p>
            <w:pPr>
              <w:pStyle w:val="Compact"/>
            </w:pPr>
            <w:r>
              <w:t xml:space="preserve">Due invii: apparecchio acustico, gestione attiva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Distress dominante</w:t>
            </w:r>
          </w:p>
        </w:tc>
        <w:tc>
          <w:tcPr/>
          <w:p>
            <w:pPr>
              <w:pStyle w:val="Compact"/>
            </w:pPr>
            <w:r>
              <w:t xml:space="preserve">Severità alta, nessuna modulazione</w:t>
            </w:r>
          </w:p>
        </w:tc>
        <w:tc>
          <w:tcPr/>
          <w:p>
            <w:pPr>
              <w:pStyle w:val="Compact"/>
            </w:pPr>
            <w:r>
              <w:t xml:space="preserve">Indiretto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 massimo</w:t>
            </w:r>
            <w:r>
              <w:t xml:space="preserve"> </w:t>
            </w:r>
            <w:r>
              <w:t xml:space="preserve">— dopo la domanda sul rischio suicidario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inquadrare</w:t>
            </w:r>
          </w:p>
        </w:tc>
        <w:tc>
          <w:tcPr/>
          <w:p>
            <w:pPr>
              <w:pStyle w:val="Compact"/>
            </w:pPr>
            <w:r>
              <w:t xml:space="preserve">Pulsante, vertigine, calo acuto</w:t>
            </w:r>
          </w:p>
        </w:tc>
        <w:tc>
          <w:tcPr/>
          <w:p>
            <w:pPr>
              <w:pStyle w:val="Compact"/>
            </w:pPr>
            <w:r>
              <w:t xml:space="preserve">Niente sull’acufene</w:t>
            </w:r>
          </w:p>
        </w:tc>
        <w:tc>
          <w:tcPr/>
          <w:p>
            <w:pPr>
              <w:pStyle w:val="Compact"/>
            </w:pPr>
            <w:r>
              <w:t xml:space="preserve">Riconoscere e mandare</w:t>
            </w:r>
          </w:p>
        </w:tc>
      </w:tr>
    </w:tbl>
    <w:p>
      <w:pPr>
        <w:pStyle w:val="BodyText"/>
      </w:pPr>
      <w:r>
        <w:rPr>
          <w:i/>
          <w:iCs/>
        </w:rPr>
        <w:t xml:space="preserve">Modificatori: l’iperacusia, che cambia la conduzione della seduta; il dolore diffuso con iperalgesia a distanza, cioè il profilo nociplastico, dove il carico locale non è la leva.</w:t>
      </w:r>
    </w:p>
    <w:p>
      <w:pPr>
        <w:pStyle w:val="BodyText"/>
      </w:pPr>
      <w:r>
        <w:rPr>
          <w:i/>
          <w:iCs/>
        </w:rPr>
        <w:t xml:space="preserve">Sul sottotipo uditivo l’etichetta si spezza. 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dimostrato che la linea guida raccomandi</w:t>
      </w:r>
      <w:r>
        <w:rPr>
          <w:i/>
          <w:iCs/>
        </w:rPr>
        <w:t xml:space="preserve"> </w:t>
      </w:r>
      <w:r>
        <w:rPr>
          <w:i/>
          <w:iCs/>
        </w:rPr>
        <w:t xml:space="preserve">la valutazione per apparecchio acustico, non che quella valutazione riduca l’acufene: la Cochrane dedicata ha un solo studio e nessuna prova a favore o contro (Hoare, 2014, PMID 24482186). Si manda perché è il percorso indicato, non perché sia la leva che spegne il suono.</w:t>
      </w:r>
    </w:p>
    <w:p>
      <w:r>
        <w:pict>
          <v:rect style="width:0;height:1.5pt" o:hralign="center" o:hrstd="t" o:hr="t"/>
        </w:pict>
      </w:r>
    </w:p>
    <w:bookmarkEnd w:id="12"/>
    <w:bookmarkStart w:id="13" w:name="il-bivio-chi-comanda-i-marker"/>
    <w:p>
      <w:pPr>
        <w:pStyle w:val="Heading3"/>
      </w:pPr>
      <w:r>
        <w:t xml:space="preserve">5. Il bivio, chi comanda, i marker</w:t>
      </w:r>
    </w:p>
    <w:p>
      <w:pPr>
        <w:pStyle w:val="FirstParagraph"/>
      </w:pPr>
      <w:r>
        <w:rPr>
          <w:b/>
          <w:bCs/>
        </w:rPr>
        <w:t xml:space="preserve">Le quattro manovre</w:t>
      </w:r>
      <w:r>
        <w:t xml:space="preserve"> </w:t>
      </w:r>
      <w:r>
        <w:t xml:space="preserve">— serramento, protrusione, rotazione ed estensione cervicale contro resistenza. È positiva quando il suono cambia di volume o di tono</w:t>
      </w:r>
      <w:r>
        <w:t xml:space="preserve"> </w:t>
      </w:r>
      <w:r>
        <w:rPr>
          <w:b/>
          <w:bCs/>
        </w:rPr>
        <w:t xml:space="preserve">in un verso o nell’altro</w:t>
      </w:r>
      <w:r>
        <w:t xml:space="preserve">, per la durata della contrazione.</w:t>
      </w:r>
      <w:r>
        <w:t xml:space="preserve"> </w:t>
      </w:r>
      <w:r>
        <w:rPr>
          <w:b/>
          <w:bCs/>
        </w:rPr>
        <w:t xml:space="preserve">Il passo 2 non dice chi comanda: dice quale strada è aperta.</w:t>
      </w:r>
    </w:p>
    <w:p>
      <w:pPr>
        <w:pStyle w:val="BodyText"/>
      </w:pPr>
      <w:r>
        <w:rPr>
          <w:b/>
          <w:bCs/>
        </w:rPr>
        <w:t xml:space="preserve">Attenzione:</w:t>
      </w:r>
      <w:r>
        <w:t xml:space="preserve"> </w:t>
      </w:r>
      <w:r>
        <w:t xml:space="preserve">la modulazione è presente in</w:t>
      </w:r>
      <w:r>
        <w:t xml:space="preserve"> </w:t>
      </w:r>
      <w:r>
        <w:rPr>
          <w:b/>
          <w:bCs/>
        </w:rPr>
        <w:t xml:space="preserve">due terzi</w:t>
      </w:r>
      <w:r>
        <w:t xml:space="preserve"> </w:t>
      </w:r>
      <w:r>
        <w:t xml:space="preserve">di tutti i pazienti con acufene. Non seleziona. Il criterio d’ingresso è</w:t>
      </w:r>
      <w:r>
        <w:t xml:space="preserve"> </w:t>
      </w:r>
      <w:r>
        <w:rPr>
          <w:i/>
          <w:iCs/>
        </w:rPr>
        <w:t xml:space="preserve">disturbo del distretto misurato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rPr>
          <w:i/>
          <w:iCs/>
        </w:rPr>
        <w:t xml:space="preserve">co-variazione riferita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Chi comanda, nel paziente misto.</w:t>
      </w:r>
      <w:r>
        <w:t xml:space="preserve"> </w:t>
      </w:r>
      <w:r>
        <w:t xml:space="preserve">Severità alta con sonno rotto: comanda l’attivazione, e il distretto è secondo. Acufene e distretto che si muovono insieme: comanda il distretto.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 della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Manovre positive, numero</w:t>
            </w:r>
          </w:p>
        </w:tc>
        <w:tc>
          <w:tcPr/>
          <w:p>
            <w:pPr>
              <w:pStyle w:val="Compact"/>
            </w:pPr>
            <w:r>
              <w:t xml:space="preserve">−2 (non usarlo sotto 3 al basale)</w:t>
            </w:r>
          </w:p>
        </w:tc>
        <w:tc>
          <w:tcPr/>
          <w:p>
            <w:pPr>
              <w:pStyle w:val="Compact"/>
            </w:pPr>
            <w:r>
              <w:t xml:space="preserve">Variabilità della misura, dichiarata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cervicale, gradi</w:t>
            </w:r>
          </w:p>
        </w:tc>
        <w:tc>
          <w:tcPr/>
          <w:p>
            <w:pPr>
              <w:pStyle w:val="Compact"/>
            </w:pPr>
            <w:r>
              <w:t xml:space="preserve">10°</w:t>
            </w:r>
          </w:p>
        </w:tc>
        <w:tc>
          <w:tcPr/>
          <w:p>
            <w:pPr>
              <w:pStyle w:val="Compact"/>
            </w:pPr>
            <w:r>
              <w:t xml:space="preserve">Errore dello strumento raddoppiato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 mandibolare, mm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  <w:tc>
          <w:tcPr/>
          <w:p>
            <w:pPr>
              <w:pStyle w:val="Compact"/>
            </w:pPr>
            <w:r>
              <w:t xml:space="preserve">Errore dello strumento raddoppiato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Severità —</w:t>
            </w:r>
            <w:r>
              <w:t xml:space="preserve"> </w:t>
            </w:r>
            <w:r>
              <w:rPr>
                <w:b/>
                <w:bCs/>
              </w:rPr>
              <w:t xml:space="preserve">Tinnitus Functional Index</w:t>
            </w:r>
            <w:r>
              <w:t xml:space="preserve"> </w:t>
            </w:r>
            <w:r>
              <w:t xml:space="preserve">(0-100)</w:t>
            </w:r>
          </w:p>
        </w:tc>
        <w:tc>
          <w:tcPr/>
          <w:p>
            <w:pPr>
              <w:pStyle w:val="Compact"/>
            </w:pPr>
            <w:r>
              <w:t xml:space="preserve">13 punti, criterio</w:t>
            </w:r>
            <w:r>
              <w:t xml:space="preserve"> </w:t>
            </w:r>
            <w:r>
              <w:rPr>
                <w:i/>
                <w:iCs/>
              </w:rPr>
              <w:t xml:space="preserve">preliminare</w:t>
            </w:r>
          </w:p>
        </w:tc>
        <w:tc>
          <w:tcPr/>
          <w:p>
            <w:pPr>
              <w:pStyle w:val="Compact"/>
            </w:pPr>
            <w:r>
              <w:t xml:space="preserve">Meikle 2012, PMID 22156949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Frequenza respiratoria a riposo</w:t>
            </w:r>
          </w:p>
        </w:tc>
        <w:tc>
          <w:tcPr/>
          <w:p>
            <w:pPr>
              <w:pStyle w:val="Compact"/>
            </w:pPr>
            <w:r>
              <w:t xml:space="preserve">−2/−3 atti al minuto</w:t>
            </w:r>
          </w:p>
        </w:tc>
        <w:tc>
          <w:tcPr/>
          <w:p>
            <w:pPr>
              <w:pStyle w:val="Compact"/>
            </w:pPr>
            <w:r>
              <w:t xml:space="preserve">Rende falsificabile la leva sull’attivazione</w:t>
            </w:r>
          </w:p>
        </w:tc>
      </w:tr>
    </w:tbl>
    <w:p>
      <w:pPr>
        <w:pStyle w:val="BodyText"/>
      </w:pPr>
      <w:r>
        <w:rPr>
          <w:i/>
          <w:iCs/>
        </w:rPr>
        <w:t xml:space="preserve">Quei 13 punti vanno letti contro un fondo che si muove da solo: nei bracci placebo di 23 studi randomizzati sull’acufene i punteggi migliorano di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5,6 punti</w:t>
      </w:r>
      <w:r>
        <w:rPr>
          <w:i/>
          <w:iCs/>
        </w:rPr>
        <w:t xml:space="preserve"> </w:t>
      </w:r>
      <w:r>
        <w:rPr>
          <w:i/>
          <w:iCs/>
        </w:rPr>
        <w:t xml:space="preserve">in media (Walters, 2024, PMID 38361332 — altro questionario, studi di farmaci).</w:t>
      </w:r>
    </w:p>
    <w:p>
      <w:pPr>
        <w:pStyle w:val="BodyText"/>
      </w:pPr>
      <w:r>
        <w:rPr>
          <w:i/>
          <w:iCs/>
        </w:rPr>
        <w:t xml:space="preserve">Marker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fuori distretto</w:t>
      </w:r>
      <w:r>
        <w:rPr>
          <w:i/>
          <w:iCs/>
        </w:rPr>
        <w:t xml:space="preserve">: la mandibola se hai trattato il collo, il collo se hai trattato la mandibola. Resta lo stesso piano biomeccanico, quindi la conferma è più debole. Marker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fuori piano</w:t>
      </w:r>
      <w:r>
        <w:rPr>
          <w:i/>
          <w:iCs/>
        </w:rPr>
        <w:t xml:space="preserve">, che è la conferma piena: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entrambi</w:t>
      </w:r>
      <w:r>
        <w:rPr>
          <w:i/>
          <w:iCs/>
        </w:rPr>
        <w:t xml:space="preserve">, se hai trattato solo l’attivazione. Se non migliora, si cambia candidato e non si insiste.</w:t>
      </w:r>
    </w:p>
    <w:p>
      <w:pPr>
        <w:pStyle w:val="BodyText"/>
      </w:pPr>
      <w:r>
        <w:rPr>
          <w:b/>
          <w:bCs/>
        </w:rPr>
        <w:t xml:space="preserve">I tre predittori (Michiels 2017, 38 pazienti):</w:t>
      </w:r>
      <w:r>
        <w:t xml:space="preserve"> </w:t>
      </w:r>
      <w:r>
        <w:t xml:space="preserve">co-variazione acufene-collo · tono basso · peggioramento con posture cervicali prolungate.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3"/>
      </w:pPr>
      <w:r>
        <w:t xml:space="preserve">6. Le bandiere rosse</w:t>
      </w:r>
    </w:p>
    <w:p>
      <w:pPr>
        <w:pStyle w:val="Compact"/>
        <w:numPr>
          <w:ilvl w:val="0"/>
          <w:numId w:val="1001"/>
        </w:numPr>
      </w:pPr>
      <w:r>
        <w:t xml:space="preserve">Ideazione suicidaria o autolesiva → salute mentale /</w:t>
      </w:r>
      <w:r>
        <w:t xml:space="preserve"> </w:t>
      </w:r>
      <w:r>
        <w:rPr>
          <w:b/>
          <w:bCs/>
        </w:rPr>
        <w:t xml:space="preserve">112, subito</w:t>
      </w:r>
    </w:p>
    <w:p>
      <w:pPr>
        <w:pStyle w:val="Compact"/>
        <w:numPr>
          <w:ilvl w:val="0"/>
          <w:numId w:val="1001"/>
        </w:numPr>
      </w:pPr>
      <w:r>
        <w:t xml:space="preserve">Segni neurologici focali acuti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Vertigine acuta non controllata, con o senza segni centrali →</w:t>
      </w:r>
      <w:r>
        <w:t xml:space="preserve"> </w:t>
      </w:r>
      <w:r>
        <w:rPr>
          <w:b/>
          <w:bCs/>
        </w:rPr>
        <w:t xml:space="preserve">pronto soccorso</w:t>
      </w:r>
    </w:p>
    <w:p>
      <w:pPr>
        <w:pStyle w:val="Compact"/>
        <w:numPr>
          <w:ilvl w:val="0"/>
          <w:numId w:val="1001"/>
        </w:numPr>
      </w:pPr>
      <w:r>
        <w:t xml:space="preserve">Acufene nuovo con cefalea o cervicalgia acuta e insolita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rPr>
          <w:i/>
          <w:iCs/>
        </w:rPr>
        <w:t xml:space="preserve">(dissezione in fase locale)</w:t>
      </w:r>
    </w:p>
    <w:p>
      <w:pPr>
        <w:pStyle w:val="Compact"/>
        <w:numPr>
          <w:ilvl w:val="0"/>
          <w:numId w:val="1001"/>
        </w:numPr>
      </w:pPr>
      <w:r>
        <w:t xml:space="preserve">Calo uditivo un orecchio, comparso entro 72 ore → otorino,</w:t>
      </w:r>
      <w:r>
        <w:t xml:space="preserve"> </w:t>
      </w:r>
      <w:r>
        <w:rPr>
          <w:b/>
          <w:bCs/>
        </w:rPr>
        <w:t xml:space="preserve">entro 24 ore</w:t>
      </w:r>
    </w:p>
    <w:p>
      <w:pPr>
        <w:pStyle w:val="Compact"/>
        <w:numPr>
          <w:ilvl w:val="0"/>
          <w:numId w:val="1001"/>
        </w:numPr>
      </w:pPr>
      <w:r>
        <w:t xml:space="preserve">Pulsante acuto con dolore cervicale o cefalea nuova →</w:t>
      </w:r>
      <w:r>
        <w:t xml:space="preserve"> </w:t>
      </w:r>
      <w:r>
        <w:rPr>
          <w:b/>
          <w:bCs/>
        </w:rPr>
        <w:t xml:space="preserve">112</w:t>
      </w:r>
      <w:r>
        <w:t xml:space="preserve">; pulsante cronico → otorino e curante,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Dolore auricolare, otorrea o febbre → otorino,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Compact"/>
        <w:numPr>
          <w:ilvl w:val="0"/>
          <w:numId w:val="1001"/>
        </w:numPr>
      </w:pPr>
      <w:r>
        <w:t xml:space="preserve">Trauma cranico, barotrauma, trauma acustico → curante,</w:t>
      </w:r>
      <w:r>
        <w:t xml:space="preserve"> </w:t>
      </w:r>
      <w:r>
        <w:rPr>
          <w:b/>
          <w:bCs/>
        </w:rPr>
        <w:t xml:space="preserve">non attendere</w:t>
      </w:r>
      <w:r>
        <w:t xml:space="preserve"> </w:t>
      </w:r>
      <w:r>
        <w:rPr>
          <w:i/>
          <w:iCs/>
        </w:rPr>
        <w:t xml:space="preserve">(il colpo di frusta cervicale isolato resta in carico)</w:t>
      </w:r>
    </w:p>
    <w:p>
      <w:pPr>
        <w:pStyle w:val="Compact"/>
        <w:numPr>
          <w:ilvl w:val="0"/>
          <w:numId w:val="1001"/>
        </w:numPr>
      </w:pPr>
      <w:r>
        <w:t xml:space="preserve">Distress che impedisce le attività quotidiane → curante,</w:t>
      </w:r>
      <w:r>
        <w:t xml:space="preserve"> </w:t>
      </w:r>
      <w:r>
        <w:rPr>
          <w:b/>
          <w:bCs/>
        </w:rPr>
        <w:t xml:space="preserve">entro 2 settimane</w:t>
      </w:r>
      <w:r>
        <w:t xml:space="preserve"> </w:t>
      </w:r>
      <w:r>
        <w:rPr>
          <w:i/>
          <w:iCs/>
        </w:rPr>
        <w:t xml:space="preserve">(GIALLO prioritario: lettera prima della prima seduta, tetto a 3 settimane)</w:t>
      </w:r>
    </w:p>
    <w:p>
      <w:pPr>
        <w:pStyle w:val="Compact"/>
        <w:numPr>
          <w:ilvl w:val="0"/>
          <w:numId w:val="1001"/>
        </w:numPr>
      </w:pPr>
      <w:r>
        <w:t xml:space="preserve">Vertigini episodiche 20 min-12 ore con sintomi auricolari fluttuanti</w:t>
      </w:r>
      <w:r>
        <w:t xml:space="preserve"> </w:t>
      </w:r>
      <w:r>
        <w:rPr>
          <w:i/>
          <w:iCs/>
        </w:rPr>
        <w:t xml:space="preserve">(Ménière)</w:t>
      </w:r>
      <w:r>
        <w:t xml:space="preserve"> </w:t>
      </w:r>
      <w:r>
        <w:t xml:space="preserve">→ otorino,</w:t>
      </w:r>
      <w:r>
        <w:t xml:space="preserve"> </w:t>
      </w:r>
      <w:r>
        <w:rPr>
          <w:b/>
          <w:bCs/>
        </w:rPr>
        <w:t xml:space="preserve">entro 7 giorni</w:t>
      </w:r>
    </w:p>
    <w:p>
      <w:pPr>
        <w:pStyle w:val="Compact"/>
        <w:numPr>
          <w:ilvl w:val="0"/>
          <w:numId w:val="1001"/>
        </w:numPr>
      </w:pPr>
      <w:r>
        <w:t xml:space="preserve">Ipoacusia rapidamente ingravescente (4-90 giorni) → otorino,</w:t>
      </w:r>
      <w:r>
        <w:t xml:space="preserve"> </w:t>
      </w:r>
      <w:r>
        <w:rPr>
          <w:b/>
          <w:bCs/>
        </w:rPr>
        <w:t xml:space="preserve">entro 2 settimane</w:t>
      </w:r>
    </w:p>
    <w:p>
      <w:pPr>
        <w:pStyle w:val="Compact"/>
        <w:numPr>
          <w:ilvl w:val="0"/>
          <w:numId w:val="1001"/>
        </w:numPr>
      </w:pPr>
      <w:r>
        <w:t xml:space="preserve">Unilaterale persistente, asimmetria uditiva, o udibile dall’esaminatore → otorino,</w:t>
      </w:r>
      <w:r>
        <w:t xml:space="preserve"> </w:t>
      </w:r>
      <w:r>
        <w:rPr>
          <w:b/>
          <w:bCs/>
        </w:rPr>
        <w:t xml:space="preserve">entro 7 giorni</w:t>
      </w:r>
    </w:p>
    <w:p>
      <w:pPr>
        <w:pStyle w:val="FirstParagraph"/>
      </w:pPr>
      <w:r>
        <w:rPr>
          <w:i/>
          <w:iCs/>
        </w:rPr>
        <w:t xml:space="preserve">Rete, non filtro: una riga presente ti ferma, tutte assenti non escludono niente. Il ROSSO non ha eccezioni: oggi non si tratta.</w:t>
      </w:r>
    </w:p>
    <w:p>
      <w:r>
        <w:pict>
          <v:rect style="width:0;height:1.5pt" o:hralign="center" o:hrstd="t" o:hr="t"/>
        </w:pict>
      </w:r>
    </w:p>
    <w:bookmarkEnd w:id="14"/>
    <w:bookmarkStart w:id="15" w:name="la-sicurezza-del-gesto"/>
    <w:p>
      <w:pPr>
        <w:pStyle w:val="Heading3"/>
      </w:pPr>
      <w:r>
        <w:t xml:space="preserve">7. La sicurezza del gesto</w:t>
      </w:r>
    </w:p>
    <w:p>
      <w:pPr>
        <w:pStyle w:val="FirstParagraph"/>
      </w:pPr>
      <w:r>
        <w:t xml:space="preserve">Il bersaglio principale è il</w:t>
      </w:r>
      <w:r>
        <w:t xml:space="preserve"> </w:t>
      </w:r>
      <w:r>
        <w:rPr>
          <w:b/>
          <w:bCs/>
        </w:rPr>
        <w:t xml:space="preserve">triangolo sub-occipitale</w:t>
      </w:r>
      <w:r>
        <w:t xml:space="preserve">, e quel triangolo contiene il</w:t>
      </w:r>
      <w:r>
        <w:t xml:space="preserve"> </w:t>
      </w:r>
      <w:r>
        <w:rPr>
          <w:b/>
          <w:bCs/>
        </w:rPr>
        <w:t xml:space="preserve">segmento V3 dell’arteria vertebrale</w:t>
      </w:r>
      <w:r>
        <w:t xml:space="preserve">: struttura vascolare e bersaglio muscolare sono lo stesso spazio. Gli eventi gravi sono</w:t>
      </w:r>
      <w:r>
        <w:t xml:space="preserve"> </w:t>
      </w:r>
      <w:r>
        <w:rPr>
          <w:b/>
          <w:bCs/>
        </w:rPr>
        <w:t xml:space="preserve">rari</w:t>
      </w:r>
      <w:r>
        <w:t xml:space="preserve">, con stime da 1 su 50.000 a 1 su 5,85 milioni, e i 334 casi della revisione sono un numeratore senza denominatore.</w:t>
      </w:r>
      <w:r>
        <w:t xml:space="preserve"> </w:t>
      </w:r>
      <w:r>
        <w:rPr>
          <w:b/>
          <w:bCs/>
        </w:rPr>
        <w:t xml:space="preserve">«Non manipolo» non è una protezione:</w:t>
      </w:r>
      <w:r>
        <w:t xml:space="preserve"> </w:t>
      </w:r>
      <w:r>
        <w:t xml:space="preserve">su C0-C2 il posizionamento passivo di fine corsa mette sull’arteria più tensione della manipolazione.</w:t>
      </w:r>
      <w:r>
        <w:t xml:space="preserve"> </w:t>
      </w:r>
      <w:r>
        <w:rPr>
          <w:b/>
          <w:bCs/>
        </w:rPr>
        <w:t xml:space="preserve">Il margine è più stretto</w:t>
      </w:r>
      <w:r>
        <w:t xml:space="preserve"> </w:t>
      </w:r>
      <w:r>
        <w:t xml:space="preserve">in età avanzata, osteoporosi, anticoagulanti o antiaggreganti, artrite reumatoide, sindrome di Down, ateromasia carotidea.</w:t>
      </w:r>
    </w:p>
    <w:p>
      <w:pPr>
        <w:pStyle w:val="BodyText"/>
      </w:pPr>
      <w:r>
        <w:rPr>
          <w:b/>
          <w:bCs/>
        </w:rPr>
        <w:t xml:space="preserve">Segnale nelle 48 ore</w:t>
      </w:r>
      <w:r>
        <w:t xml:space="preserve"> </w:t>
      </w:r>
      <w:r>
        <w:t xml:space="preserve">— cefalea o dolore cervicale nettamente aumentati, nausea, vomito, vertigine, alterazioni della sensibilità, disturbi visivi, palpebra che cade, pulsante nuovo →</w:t>
      </w:r>
      <w:r>
        <w:t xml:space="preserve"> </w:t>
      </w:r>
      <w:r>
        <w:rPr>
          <w:b/>
          <w:bCs/>
        </w:rPr>
        <w:t xml:space="preserve">pronto soccorso, 112 se c’è deficit o cefalea a rombo di tuono.</w:t>
      </w:r>
      <w:r>
        <w:t xml:space="preserve"> </w:t>
      </w:r>
      <w:r>
        <w:t xml:space="preserve">Vale anche per gli esercizi a casa.</w:t>
      </w:r>
      <w:r>
        <w:t xml:space="preserve"> </w:t>
      </w:r>
      <w:r>
        <w:rPr>
          <w:b/>
          <w:bCs/>
        </w:rPr>
        <w:t xml:space="preserve">Il flare</w:t>
      </w:r>
      <w:r>
        <w:t xml:space="preserve"> </w:t>
      </w:r>
      <w:r>
        <w:t xml:space="preserve">— solo il suono aumentato, nient’altro — è atteso, e si annuncia prima. Intra-orale, condotto uditivo e triangolo anteriore: fuori perimetro.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il-paziente"/>
    <w:p>
      <w:pPr>
        <w:pStyle w:val="Heading3"/>
      </w:pPr>
      <w:r>
        <w:t xml:space="preserve">8. La frase per il paziente</w:t>
      </w:r>
    </w:p>
    <w:p>
      <w:pPr>
        <w:pStyle w:val="BlockText"/>
      </w:pPr>
      <w:r>
        <w:rPr>
          <w:i/>
          <w:iCs/>
        </w:rPr>
        <w:t xml:space="preserve">«Quel suono nasce nel sistema uditivo, non necessariamente nell’orecchio: da dove venga lo stabilisce l’otorino, e resta lui a inquadrarlo. Il primo punto del cervello che riceve il suono riceve anche i segnali del collo e della mandibola. Adesso stringi i denti e dimmi se cambia, in un verso o nell’altro: se cambia, c’è una componente che passa da lì, ed è quella che io tratto — non l’acufene. Non ti prometto il silenzio. Ti prometto che misuriamo, e che fra sei settimane sappiamo se serve.»</w:t>
      </w:r>
    </w:p>
    <w:p>
      <w:pPr>
        <w:pStyle w:val="FirstParagraph"/>
      </w:pPr>
      <w:r>
        <w:t xml:space="preserve">E, prima di toccare: il segnale delle 48 ore, e il fischio che può aumentare per qualche ora senz’altro significato.</w:t>
      </w:r>
    </w:p>
    <w:p>
      <w:r>
        <w:pict>
          <v:rect style="width:0;height:1.5pt" o:hralign="center" o:hrstd="t" o:hr="t"/>
        </w:pict>
      </w:r>
    </w:p>
    <w:bookmarkEnd w:id="16"/>
    <w:bookmarkStart w:id="17" w:name="perché-ci-sei-tu"/>
    <w:p>
      <w:pPr>
        <w:pStyle w:val="Heading3"/>
      </w:pPr>
      <w:r>
        <w:t xml:space="preserve">Perché ci sei tu</w:t>
      </w:r>
    </w:p>
    <w:p>
      <w:pPr>
        <w:pStyle w:val="FirstParagraph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Aggiungere terapia manuale cervico-mandibolare a un programma di esercizio ed educazione ha prodotto risultati migliori su dolore mandibolare e severità dell’acufene. I risultati erano mantenuti a sei mesi, con valutatore in cieco (Delgado de la Serna, 2020, PMID 31665507; 61 pazienti).</w:t>
      </w:r>
      <w:r>
        <w:t xml:space="preserve"> </w:t>
      </w:r>
      <w:r>
        <w:rPr>
          <w:b/>
          <w:bCs/>
        </w:rPr>
        <w:t xml:space="preserve">È lo studio più solido in cui le mani sono la variabile aggiunta e non l’intero pacchetto.</w:t>
      </w:r>
      <w:r>
        <w:t xml:space="preserve"> </w:t>
      </w:r>
      <w:r>
        <w:t xml:space="preserve">Ti autorizza a metterle dentro un programma. Non ti autorizza a metterle da sole: anche il gruppo di confronto faceva esercizio ed educazione. E non ti autorizza a trattare l’acufene: quello che tratti è la disfunzione documentata, e l’obiettivo misurato è quanto quel suono pesa, non la sua scomparsa.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DIMOSTRATO nell’animale</w:t>
      </w:r>
      <w:r>
        <w:t xml:space="preserve"> </w:t>
      </w:r>
      <w:r>
        <w:rPr>
          <w:i/>
          <w:iCs/>
        </w:rPr>
        <w:t xml:space="preserve">(variante di specie, non una quinta etichetta)</w:t>
      </w:r>
      <w:r>
        <w:t xml:space="preserve"> </w:t>
      </w:r>
      <w:r>
        <w:t xml:space="preserve">studi solidi, ma su cavia anestetizzata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rPr>
          <w:b/>
          <w:bCs/>
        </w:rPr>
        <w:t xml:space="preserve">Deviazioni dichiarate in questa Mappa:</w:t>
      </w:r>
      <w:r>
        <w:t xml:space="preserve"> </w:t>
      </w:r>
      <w:r>
        <w:t xml:space="preserve">blocco 5 (ragionamento clinico e marker, D-018) e blocco 7 (sicurezza del gesto, D-042) non sono previsti dallo standard a sei blocchi.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2026-08-27T10:42:48Z</dcterms:created>
  <dcterms:modified xsi:type="dcterms:W3CDTF">2026-08-27T10:42:48Z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