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Rigidità Muscolare Diffusa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8" w:name="X173ad9ae07b899cf5e12c2a8f671caefbfbb1fa"/>
    <w:p>
      <w:pPr>
        <w:pStyle w:val="Heading1"/>
      </w:pPr>
      <w:r>
        <w:t xml:space="preserve">La Bibbia della Rigidità Muscolare Diffusa</w:t>
      </w:r>
    </w:p>
    <w:p>
      <w:pPr>
        <w:pStyle w:val="FirstParagraph"/>
      </w:pPr>
      <w:r>
        <w:rPr>
          <w:b/>
          <w:bCs/>
        </w:rPr>
        <w:t xml:space="preserve">Condizione:</w:t>
      </w:r>
      <w:r>
        <w:t xml:space="preserve"> </w:t>
      </w:r>
      <w:r>
        <w:t xml:space="preserve">rigidità muscolare diffusa — il corpo che sta duro dappertutto e in nessun punto preciso</w:t>
      </w:r>
      <w:r>
        <w:t xml:space="preserve"> </w:t>
      </w:r>
      <w:r>
        <w:rPr>
          <w:b/>
          <w:bCs/>
        </w:rPr>
        <w:t xml:space="preserve">Ancora clinica:</w:t>
      </w:r>
      <w:r>
        <w:t xml:space="preserve"> </w:t>
      </w:r>
      <w:r>
        <w:t xml:space="preserve">Angela Busch e Julia Bidonde, University of Saskatchewan. Hanno costruito la serie di revisioni Cochrane sull’esercizio nel dolore diffuso. È l’unico corpo di studi randomizzati in cui la</w:t>
      </w:r>
      <w:r>
        <w:t xml:space="preserve"> </w:t>
      </w:r>
      <w:r>
        <w:rPr>
          <w:b/>
          <w:bCs/>
        </w:rPr>
        <w:t xml:space="preserve">rigidità</w:t>
      </w:r>
      <w:r>
        <w:t xml:space="preserve"> </w:t>
      </w:r>
      <w:r>
        <w:t xml:space="preserve">compare come esito misurato in persone che hanno esattamente questo problema. Il risultato che portano è piccolo, di bassa qualità, e non riguarda le nostre mani. Lo scrivo qui perché è il dato migliore che esiste, non perché mi piaccia.</w:t>
      </w:r>
      <w:r>
        <w:t xml:space="preserve"> </w:t>
      </w:r>
      <w:r>
        <w:rPr>
          <w:b/>
          <w:bCs/>
        </w:rPr>
        <w:t xml:space="preserve">Ancora fisiologica:</w:t>
      </w:r>
      <w:r>
        <w:t xml:space="preserve"> </w:t>
      </w:r>
      <w:r>
        <w:t xml:space="preserve">Michael Lakie, University of Birmingham. Ha stabilito che il muscolo rilassato costruisce rigidità stando fermo e la perde muovendosi. È la tissotropia, ed è il meccanismo che spiega da solo metà di quello che il paziente ti racconta.</w:t>
      </w:r>
      <w:r>
        <w:t xml:space="preserve"> </w:t>
      </w:r>
      <w:r>
        <w:rPr>
          <w:b/>
          <w:bCs/>
        </w:rPr>
        <w:t xml:space="preserve">Versione:</w:t>
      </w:r>
      <w:r>
        <w:t xml:space="preserve"> </w:t>
      </w:r>
      <w:r>
        <w:t xml:space="preserve">v7 (revisione di lingua, 6º livello — versione finale) ·</w:t>
      </w:r>
      <w:r>
        <w:t xml:space="preserve"> </w:t>
      </w:r>
      <w:r>
        <w:rPr>
          <w:b/>
          <w:bCs/>
        </w:rPr>
        <w:t xml:space="preserve">Data:</w:t>
      </w:r>
      <w:r>
        <w:t xml:space="preserve"> </w:t>
      </w:r>
      <w:r>
        <w:t xml:space="preserve">1 settembre 2026</w:t>
      </w:r>
      <w:r>
        <w:t xml:space="preserve"> </w:t>
      </w:r>
      <w:r>
        <w:rPr>
          <w:b/>
          <w:bCs/>
        </w:rPr>
        <w:t xml:space="preserve">Lunghezza, dichiarata qui perché non sembri una svista.</w:t>
      </w:r>
      <w:r>
        <w:t xml:space="preserve"> </w:t>
      </w:r>
      <w:r>
        <w:t xml:space="preserve">Il corpo sta a circa 22.300 parole contro il tetto di 13.000. Il residuo è</w:t>
      </w:r>
      <w:r>
        <w:t xml:space="preserve"> </w:t>
      </w:r>
      <w:r>
        <w:rPr>
          <w:b/>
          <w:bCs/>
        </w:rPr>
        <w:t xml:space="preserve">ampiezza</w:t>
      </w:r>
      <w:r>
        <w:t xml:space="preserve">, non ridondanza. Ci sono cinque meccanismi, cinque pattern, cinque modelli con prove, cinque leve manuali e cinque strumenti attivi. Ognuno porta la sua etichetta, la sua frase-ponte e la sua prova contraria nella stessa riga. Nessuna di quelle righe si toglie per rientrare in un numero (registro delle deviazioni, voce D-019).</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sul paziente che si sveglia duro e non ha un punto che fa male; il come si fa sta nella Procedura.</w:t>
      </w:r>
    </w:p>
    <w:p>
      <w:pPr>
        <w:pStyle w:val="FirstParagraph"/>
      </w:pPr>
      <w:r>
        <w:rPr>
          <w:b/>
          <w:bCs/>
        </w:rPr>
        <w:t xml:space="preserve">A chi parla.</w:t>
      </w:r>
      <w:r>
        <w:t xml:space="preserve"> </w:t>
      </w:r>
      <w:r>
        <w:t xml:space="preserve">All’osteopata del team. Do per scontata l’anatomia: qui trovi cosa fa ciascuna struttura</w:t>
      </w:r>
      <w:r>
        <w:t xml:space="preserve"> </w:t>
      </w:r>
      <w:r>
        <w:rPr>
          <w:i/>
          <w:iCs/>
        </w:rPr>
        <w:t xml:space="preserve">in questo quadro</w:t>
      </w:r>
      <w:r>
        <w:t xml:space="preserve">.</w:t>
      </w:r>
    </w:p>
    <w:p>
      <w:pPr>
        <w:pStyle w:val="BodyText"/>
      </w:pPr>
      <w:r>
        <w:rPr>
          <w:b/>
          <w:bCs/>
        </w:rPr>
        <w:t xml:space="preserve">Che documento è.</w:t>
      </w:r>
      <w:r>
        <w:t xml:space="preserve"> </w:t>
      </w:r>
      <w:r>
        <w:t xml:space="preserve">«Rigidità muscolare diffusa» non è una diagnosi. È un sintomo, e il paziente te lo porta come se fosse un’etichetta. Questa Bibbia sta</w:t>
      </w:r>
      <w:r>
        <w:t xml:space="preserve"> </w:t>
      </w:r>
      <w:r>
        <w:rPr>
          <w:b/>
          <w:bCs/>
        </w:rPr>
        <w:t xml:space="preserve">sopra</w:t>
      </w:r>
      <w:r>
        <w:t xml:space="preserve"> </w:t>
      </w:r>
      <w:r>
        <w:t xml:space="preserve">altre già scritte e non le ripete. Quando il quadro si sposta sulla stanchezza, sul sonno, sull’ansia o su una singola articolazione, si leggono le Bibbie dell’Affaticamento cronico, dei Disturbi del sonno, dell’Ansia somatizzata, dei Dolori articolari.</w:t>
      </w:r>
    </w:p>
    <w:p>
      <w:pPr>
        <w:pStyle w:val="BodyText"/>
      </w:pPr>
      <w:r>
        <w:rPr>
          <w:b/>
          <w:bCs/>
        </w:rPr>
        <w:t xml:space="preserve">Cosa c’è qui e cosa no.</w:t>
      </w:r>
      <w:r>
        <w:t xml:space="preserve"> </w:t>
      </w:r>
      <w:r>
        <w:t xml:space="preserve">Qui: che cos’è, perché succede, quali meccanismi la tengono in piedi, come si riconoscono i pattern, dove finisce il nostro campo, quanto sono solide le leve. Nella Procedura — due pagine, altro documento — tecniche, dosi, sequenza e piano delle sedute.</w:t>
      </w:r>
    </w:p>
    <w:bookmarkStart w:id="9" w:name="come-si-leggono-le-etichette"/>
    <w:p>
      <w:pPr>
        <w:pStyle w:val="Heading3"/>
      </w:pPr>
      <w:r>
        <w:t xml:space="preserve">Come si leggono le etichette</w:t>
      </w:r>
    </w:p>
    <w:p>
      <w:pPr>
        <w:pStyle w:val="FirstParagraph"/>
      </w:pPr>
      <w:r>
        <w:t xml:space="preserve">Ogni affermazione importante porta un’etichetta di solidità. La prosa afferma; l’etichetta dice quanto puoi appoggiarti a quell’affermazione.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Tre regole d’uso. Le scrivo qui perché le etichette le incontrerai una ventina di volte.</w:t>
      </w:r>
    </w:p>
    <w:p>
      <w:pPr>
        <w:pStyle w:val="Compact"/>
        <w:numPr>
          <w:ilvl w:val="0"/>
          <w:numId w:val="1001"/>
        </w:numPr>
      </w:pPr>
      <w:r>
        <w:rPr>
          <w:b/>
          <w:bCs/>
        </w:rPr>
        <w:t xml:space="preserve">L’etichetta non si declina.</w:t>
      </w:r>
      <w:r>
        <w:t xml:space="preserve"> </w:t>
      </w:r>
      <w:r>
        <w:t xml:space="preserve">Se qualcuno ha misurato una cosa e non l’ha trovata, l’etichetta resta quella che è, con la sua glossa. La prova contraria si scrive</w:t>
      </w:r>
      <w:r>
        <w:t xml:space="preserve"> </w:t>
      </w:r>
      <w:r>
        <w:rPr>
          <w:b/>
          <w:bCs/>
        </w:rPr>
        <w:t xml:space="preserve">nella stessa riga</w:t>
      </w:r>
      <w:r>
        <w:t xml:space="preserve">, nominata e citata. Su questo quadro capita più volte, e ogni volta la prova contraria porta il nome dell’autore.</w:t>
      </w:r>
    </w:p>
    <w:p>
      <w:pPr>
        <w:pStyle w:val="Compact"/>
        <w:numPr>
          <w:ilvl w:val="0"/>
          <w:numId w:val="1001"/>
        </w:numPr>
      </w:pPr>
      <w:r>
        <w:rPr>
          <w:b/>
          <w:bCs/>
        </w:rPr>
        <w:t xml:space="preserve">L’etichetta si spezza</w:t>
      </w:r>
      <w:r>
        <w:t xml:space="preserve"> </w:t>
      </w:r>
      <w:r>
        <w:t xml:space="preserve">quando un meccanismo è fatto di pezzi con forza diversa: un’etichetta per pezzo, dentro lo stesso box. Succede spesso. La volta che conta di più è quella del capitolo delle leve: lì il fenomeno è misurato e la tua mano no.</w:t>
      </w:r>
    </w:p>
    <w:p>
      <w:pPr>
        <w:pStyle w:val="Compact"/>
        <w:numPr>
          <w:ilvl w:val="0"/>
          <w:numId w:val="1001"/>
        </w:numPr>
      </w:pPr>
      <w:r>
        <w:rPr>
          <w:b/>
          <w:bCs/>
        </w:rPr>
        <w:t xml:space="preserve">I termini del metodo</w:t>
      </w:r>
      <w:r>
        <w:t xml:space="preserve"> </w:t>
      </w:r>
      <w:r>
        <w:t xml:space="preserve">che questa Bibbia usa davvero sono cinque: marker, reperto disfunzionale, disfunzione somatica, compenso, sistema dominante. Ciascuno compare con il box</w:t>
      </w:r>
      <w:r>
        <w:t xml:space="preserve"> </w:t>
      </w:r>
      <w:r>
        <w:rPr>
          <w:rStyle w:val="VerbatimChar"/>
        </w:rPr>
        <w:t xml:space="preserve">Definizione</w:t>
      </w:r>
      <w:r>
        <w:t xml:space="preserve"> </w:t>
      </w:r>
      <w:r>
        <w:t xml:space="preserve">alla sua prima comparsa</w:t>
      </w:r>
      <w:r>
        <w:t xml:space="preserve"> </w:t>
      </w:r>
      <w:r>
        <w:rPr>
          <w:b/>
          <w:bCs/>
        </w:rPr>
        <w:t xml:space="preserve">operativa</w:t>
      </w:r>
      <w:r>
        <w:t xml:space="preserve">, cioè dove regge una regola di condotta. Il testo integrale di ciascuno sta in Appendice A.</w:t>
      </w:r>
      <w:r>
        <w:t xml:space="preserve"> </w:t>
      </w:r>
      <w:r>
        <w:rPr>
          <w:i/>
          <w:iCs/>
        </w:rPr>
        <w:t xml:space="preserve">Lesione primaria</w:t>
      </w:r>
      <w:r>
        <w:t xml:space="preserve"> </w:t>
      </w:r>
      <w:r>
        <w:t xml:space="preserve">qui non compare, e per questo non sta nemmeno a Glossario.</w:t>
      </w:r>
    </w:p>
    <w:bookmarkEnd w:id="9"/>
    <w:bookmarkStart w:id="10" w:name="come-si-studia"/>
    <w:p>
      <w:pPr>
        <w:pStyle w:val="Heading3"/>
      </w:pPr>
      <w:r>
        <w:t xml:space="preserve">Come si studia</w:t>
      </w:r>
    </w:p>
    <w:p>
      <w:pPr>
        <w:pStyle w:val="Compact"/>
        <w:numPr>
          <w:ilvl w:val="0"/>
          <w:numId w:val="1002"/>
        </w:numPr>
      </w:pPr>
      <w:r>
        <w:rPr>
          <w:b/>
          <w:bCs/>
        </w:rPr>
        <w:t xml:space="preserve">Prima lettura, tutta di fila, senza appunti.</w:t>
      </w:r>
      <w:r>
        <w:t xml:space="preserve"> </w:t>
      </w:r>
      <w:r>
        <w:t xml:space="preserve">Serve la mappa d’insieme, non i dettagli. Quello che non torna si segna e si lascia lì.</w:t>
      </w:r>
    </w:p>
    <w:p>
      <w:pPr>
        <w:pStyle w:val="Compact"/>
        <w:numPr>
          <w:ilvl w:val="0"/>
          <w:numId w:val="1002"/>
        </w:numPr>
      </w:pPr>
      <w:r>
        <w:rPr>
          <w:b/>
          <w:bCs/>
        </w:rPr>
        <w:t xml:space="preserve">Seconda passata con un paziente vero in testa</w:t>
      </w:r>
      <w:r>
        <w:t xml:space="preserve"> </w:t>
      </w:r>
      <w:r>
        <w:t xml:space="preserve">— uno che hai già visto. Si rileggono solo «Cosa si rompe» e «Come ragiono davanti a questo paziente». Su ogni meccanismo ti chiedi:</w:t>
      </w:r>
      <w:r>
        <w:t xml:space="preserve"> </w:t>
      </w:r>
      <w:r>
        <w:rPr>
          <w:i/>
          <w:iCs/>
        </w:rPr>
        <w:t xml:space="preserve">era lui?</w:t>
      </w:r>
    </w:p>
    <w:p>
      <w:pPr>
        <w:pStyle w:val="Compact"/>
        <w:numPr>
          <w:ilvl w:val="0"/>
          <w:numId w:val="1002"/>
        </w:numPr>
      </w:pPr>
      <w:r>
        <w:rPr>
          <w:b/>
          <w:bCs/>
        </w:rPr>
        <w:t xml:space="preserve">La prova che conta: chiudi il documento e parla.</w:t>
      </w:r>
      <w:r>
        <w:t xml:space="preserve"> </w:t>
      </w:r>
      <w:r>
        <w:t xml:space="preserve">Di’ ad alta voce i cinque meccanismi e i cinque pattern, e da che cosa si riconosce ciascuno. Quello che non sai dire, non l’hai imparato — e torni solo lì.</w:t>
      </w:r>
    </w:p>
    <w:p>
      <w:pPr>
        <w:pStyle w:val="Compact"/>
        <w:numPr>
          <w:ilvl w:val="0"/>
          <w:numId w:val="1002"/>
        </w:numPr>
      </w:pPr>
      <w:r>
        <w:rPr>
          <w:b/>
          <w:bCs/>
        </w:rPr>
        <w:t xml:space="preserve">Prima del primo paziente: la Mappa, due minuti.</w:t>
      </w:r>
      <w:r>
        <w:t xml:space="preserve"> </w:t>
      </w:r>
      <w:r>
        <w:t xml:space="preserve">Non la Bibbia.</w:t>
      </w:r>
    </w:p>
    <w:p>
      <w:pPr>
        <w:pStyle w:val="Compact"/>
        <w:numPr>
          <w:ilvl w:val="0"/>
          <w:numId w:val="1002"/>
        </w:numPr>
      </w:pPr>
      <w:r>
        <w:rPr>
          <w:b/>
          <w:bCs/>
        </w:rPr>
        <w:t xml:space="preserve">Dopo i primi tre pazienti: rileggi «Dove finisce il nostro campo» e «Cosa dice la scienza».</w:t>
      </w:r>
      <w:r>
        <w:t xml:space="preserve"> </w:t>
      </w:r>
      <w:r>
        <w:t xml:space="preserve">Dicono una cosa diversa quando hai avuto qualcuno davanti.</w:t>
      </w:r>
    </w:p>
    <w:p>
      <w:pPr>
        <w:pStyle w:val="Compact"/>
        <w:numPr>
          <w:ilvl w:val="0"/>
          <w:numId w:val="1002"/>
        </w:numPr>
      </w:pPr>
      <w:r>
        <w:rPr>
          <w:b/>
          <w:bCs/>
        </w:rPr>
        <w:t xml:space="preserve">A sei mesi: solo la Mappa.</w:t>
      </w:r>
      <w:r>
        <w:t xml:space="preserve"> </w:t>
      </w:r>
      <w:r>
        <w:t xml:space="preserve">Se un blocco non ti riaccende il capitolo, quello è il capitolo da rileggere.</w:t>
      </w:r>
    </w:p>
    <w:p>
      <w:pPr>
        <w:pStyle w:val="FirstParagraph"/>
      </w:pPr>
      <w:r>
        <w:t xml:space="preserve">Il principio che tiene insieme i sei passi è uno, ed è quello che conta:</w:t>
      </w:r>
      <w:r>
        <w:t xml:space="preserve"> </w:t>
      </w:r>
      <w:r>
        <w:rPr>
          <w:b/>
          <w:bCs/>
        </w:rPr>
        <w:t xml:space="preserve">questa Bibbia si studia contro i pazienti, non contro l’orologio.</w:t>
      </w:r>
    </w:p>
    <w:p>
      <w:pPr>
        <w:pStyle w:val="BodyText"/>
      </w:pPr>
      <w:r>
        <w:rPr>
          <w:b/>
          <w:bCs/>
        </w:rPr>
        <w:t xml:space="preserve">E sei autonomo quando sai fare tre cose senza esitare:</w:t>
      </w:r>
      <w:r>
        <w:t xml:space="preserve"> </w:t>
      </w:r>
      <w:r>
        <w:t xml:space="preserve">separare il pattern A dal D prima di misurare, riconoscere il paziente su cui i tuoi marker mentono, e dire a un medico che cosa possiamo e che cosa non possiamo affermare.</w:t>
      </w:r>
    </w:p>
    <w:p>
      <w:pPr>
        <w:pStyle w:val="BodyText"/>
      </w:pPr>
      <w:r>
        <w:rPr>
          <w:b/>
          <w:bCs/>
        </w:rPr>
        <w:t xml:space="preserve">Le tre cose da ricordare, più una</w:t>
      </w:r>
    </w:p>
    <w:p>
      <w:pPr>
        <w:pStyle w:val="Compact"/>
        <w:numPr>
          <w:ilvl w:val="0"/>
          <w:numId w:val="1003"/>
        </w:numPr>
      </w:pPr>
      <w:r>
        <w:t xml:space="preserve">Questo documento non ti insegna a curare una malattia. Ti insegna a smontare la parola «rigidità» in cinque meccanismi e cinque pattern, che si trattano in modo diverso.</w:t>
      </w:r>
    </w:p>
    <w:p>
      <w:pPr>
        <w:pStyle w:val="Compact"/>
        <w:numPr>
          <w:ilvl w:val="0"/>
          <w:numId w:val="1003"/>
        </w:numPr>
      </w:pPr>
      <w:r>
        <w:t xml:space="preserve">Il paziente arriva con una sensazione, e tu devi uscire dalla prima seduta con dei numeri. Senza una misura di partenza questo quadro non si valuta e non si difende.</w:t>
      </w:r>
    </w:p>
    <w:p>
      <w:pPr>
        <w:pStyle w:val="Compact"/>
        <w:numPr>
          <w:ilvl w:val="0"/>
          <w:numId w:val="1003"/>
        </w:numPr>
      </w:pPr>
      <w:r>
        <w:t xml:space="preserve">La leva con le prove migliori qui non è la tua mano: è il movimento. Il documento gli dà lo spazio che le prove gli danno.</w:t>
      </w:r>
    </w:p>
    <w:p>
      <w:pPr>
        <w:pStyle w:val="Compact"/>
        <w:numPr>
          <w:ilvl w:val="0"/>
          <w:numId w:val="1003"/>
        </w:numPr>
      </w:pPr>
      <w:r>
        <w:rPr>
          <w:b/>
          <w:bCs/>
        </w:rPr>
        <w:t xml:space="preserve">Perché ci sei tu.</w:t>
      </w:r>
      <w:r>
        <w:t xml:space="preserve"> </w:t>
      </w:r>
      <w:r>
        <w:t xml:space="preserve">La linea guida inglese sul dolore primario cronico raccomanda un programma di esercizio supervisionato. Sulla terapia manuale non è arrivata a una raccomandazione, per prove insufficienti (NICE NG193, 2021). Questo ti autorizza a spendere tempo di seduta a insegnare e ad accompagnare il movimento, perché sei uno dei pochi che questo paziente rivede. Non ti autorizza a presentare le tue mani come l’intervento raccomandato.</w:t>
      </w:r>
    </w:p>
    <w:p>
      <w:pPr>
        <w:pStyle w:val="FirstParagraph"/>
      </w:pPr>
      <w:r>
        <w:t xml:space="preserve">Buon nutrimento!</w:t>
      </w:r>
    </w:p>
    <w:p>
      <w:r>
        <w:pict>
          <v:rect style="width:0;height:1.5pt" o:hralign="center" o:hrstd="t" o:hr="t"/>
        </w:pict>
      </w:r>
    </w:p>
    <w:bookmarkEnd w:id="10"/>
    <w:bookmarkEnd w:id="11"/>
    <w:bookmarkStart w:id="17"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che ha fatto gli esami giusti, li ha tutti normali, e da anni compra tre giorni di sollievo alla volta.</w:t>
      </w:r>
    </w:p>
    <w:bookmarkStart w:id="12" w:name="come-lo-racconta-lui"/>
    <w:p>
      <w:pPr>
        <w:pStyle w:val="Heading3"/>
      </w:pPr>
      <w:r>
        <w:t xml:space="preserve">Come lo racconta lui</w:t>
      </w:r>
    </w:p>
    <w:p>
      <w:pPr>
        <w:pStyle w:val="FirstParagraph"/>
      </w:pPr>
      <w:r>
        <w:t xml:space="preserve">Non dice «ho una rigidità muscolare diffusa». Dice:</w:t>
      </w:r>
    </w:p>
    <w:p>
      <w:pPr>
        <w:pStyle w:val="Compact"/>
        <w:numPr>
          <w:ilvl w:val="0"/>
          <w:numId w:val="1004"/>
        </w:numPr>
      </w:pPr>
      <w:r>
        <w:rPr>
          <w:i/>
          <w:iCs/>
        </w:rPr>
        <w:t xml:space="preserve">«Mi sveglio che sono un pezzo di legno.»</w:t>
      </w:r>
      <w:r>
        <w:t xml:space="preserve"> </w:t>
      </w:r>
      <w:r>
        <w:t xml:space="preserve">Duro appena alzato, e ci vuole tempo prima di sbloccarsi. Comincia la giornata già in ritardo su sé stesso.</w:t>
      </w:r>
    </w:p>
    <w:p>
      <w:pPr>
        <w:pStyle w:val="Compact"/>
        <w:numPr>
          <w:ilvl w:val="0"/>
          <w:numId w:val="1004"/>
        </w:numPr>
      </w:pPr>
      <w:r>
        <w:rPr>
          <w:i/>
          <w:iCs/>
        </w:rPr>
        <w:t xml:space="preserve">«Non mi piego più come prima.»</w:t>
      </w:r>
      <w:r>
        <w:t xml:space="preserve"> </w:t>
      </w:r>
      <w:r>
        <w:t xml:space="preserve">Allacciarsi le scarpe, raccogliere da terra, girarsi in macchina. Non è dolore: è che il corpo non arriva.</w:t>
      </w:r>
    </w:p>
    <w:p>
      <w:pPr>
        <w:pStyle w:val="Compact"/>
        <w:numPr>
          <w:ilvl w:val="0"/>
          <w:numId w:val="1004"/>
        </w:numPr>
      </w:pPr>
      <w:r>
        <w:rPr>
          <w:i/>
          <w:iCs/>
        </w:rPr>
        <w:t xml:space="preserve">«Lo stretching non serve a niente.»</w:t>
      </w:r>
      <w:r>
        <w:t xml:space="preserve"> </w:t>
      </w:r>
      <w:r>
        <w:t xml:space="preserve">Si allunga tutti i giorni, guadagna due centimetri e il giorno dopo è da capo.</w:t>
      </w:r>
    </w:p>
    <w:p>
      <w:pPr>
        <w:pStyle w:val="Compact"/>
        <w:numPr>
          <w:ilvl w:val="0"/>
          <w:numId w:val="1004"/>
        </w:numPr>
      </w:pPr>
      <w:r>
        <w:rPr>
          <w:i/>
          <w:iCs/>
        </w:rPr>
        <w:t xml:space="preserve">«Il massaggio mi dura tre giorni.»</w:t>
      </w:r>
      <w:r>
        <w:t xml:space="preserve"> </w:t>
      </w:r>
      <w:r>
        <w:t xml:space="preserve">Esce che è un altro, il terzo giorno è come prima, e ricomincia a prenotare da anni.</w:t>
      </w:r>
    </w:p>
    <w:p>
      <w:pPr>
        <w:pStyle w:val="Compact"/>
        <w:numPr>
          <w:ilvl w:val="0"/>
          <w:numId w:val="1004"/>
        </w:numPr>
      </w:pPr>
      <w:r>
        <w:rPr>
          <w:i/>
          <w:iCs/>
        </w:rPr>
        <w:t xml:space="preserve">«Non ho un punto solo che fa male.»</w:t>
      </w:r>
      <w:r>
        <w:t xml:space="preserve"> </w:t>
      </w:r>
      <w:r>
        <w:t xml:space="preserve">È dappertutto e in nessun posto preciso, e per questo nessuno riesce a inquadrarlo.</w:t>
      </w:r>
    </w:p>
    <w:p>
      <w:pPr>
        <w:pStyle w:val="Compact"/>
        <w:numPr>
          <w:ilvl w:val="0"/>
          <w:numId w:val="1004"/>
        </w:numPr>
      </w:pPr>
      <w:r>
        <w:rPr>
          <w:i/>
          <w:iCs/>
        </w:rPr>
        <w:t xml:space="preserve">«Basta una giornata umida e mi chiudo.»</w:t>
      </w:r>
      <w:r>
        <w:t xml:space="preserve"> </w:t>
      </w:r>
      <w:r>
        <w:t xml:space="preserve">È diventato un barometro e lo odia.</w:t>
      </w:r>
    </w:p>
    <w:p>
      <w:pPr>
        <w:pStyle w:val="FirstParagraph"/>
      </w:pPr>
      <w:r>
        <w:t xml:space="preserve">E quasi sempre arriva la frase che ha chiuso il discorso:</w:t>
      </w:r>
      <w:r>
        <w:t xml:space="preserve"> </w:t>
      </w:r>
      <w:r>
        <w:rPr>
          <w:i/>
          <w:iCs/>
        </w:rPr>
        <w:t xml:space="preserve">«Mi hanno detto che mi manca il movimento.»</w:t>
      </w:r>
      <w:r>
        <w:t xml:space="preserve"> </w:t>
      </w:r>
      <w:r>
        <w:t xml:space="preserve">Gliel’hanno detta dopo esami tutti normali. Ma lui cammina, va in palestra, e resta rigido uguale. Non è una spiegazione: è la fine della conversazione.</w:t>
      </w:r>
    </w:p>
    <w:p>
      <w:pPr>
        <w:pStyle w:val="BodyText"/>
      </w:pPr>
      <w:r>
        <w:t xml:space="preserve">C’è poi una parte che non ti dirà se non gliela chiedi, e la chiama</w:t>
      </w:r>
      <w:r>
        <w:t xml:space="preserve"> </w:t>
      </w:r>
      <w:r>
        <w:rPr>
          <w:i/>
          <w:iCs/>
        </w:rPr>
        <w:t xml:space="preserve">«sono fatto così»</w:t>
      </w:r>
      <w:r>
        <w:t xml:space="preserve">. Sotto c’è una resa: la convinzione di essere invecchiato dieci anni in anticipo.</w:t>
      </w:r>
    </w:p>
    <w:bookmarkEnd w:id="12"/>
    <w:bookmarkStart w:id="13" w:name="cosa-ha-già-fatto"/>
    <w:p>
      <w:pPr>
        <w:pStyle w:val="Heading3"/>
      </w:pPr>
      <w:r>
        <w:t xml:space="preserve">Cosa ha già fatto</w:t>
      </w:r>
    </w:p>
    <w:p>
      <w:pPr>
        <w:pStyle w:val="FirstParagraph"/>
      </w:pPr>
      <w:r>
        <w:rPr>
          <w:b/>
          <w:bCs/>
        </w:rPr>
        <w:t xml:space="preserve">Esami del sangue</w:t>
      </w:r>
      <w:r>
        <w:t xml:space="preserve"> </w:t>
      </w:r>
      <w:r>
        <w:t xml:space="preserve">più di una volta — CPK, VES, PCR, funzione tiroidea, vitamina D. Poi</w:t>
      </w:r>
      <w:r>
        <w:t xml:space="preserve"> </w:t>
      </w:r>
      <w:r>
        <w:rPr>
          <w:b/>
          <w:bCs/>
        </w:rPr>
        <w:t xml:space="preserve">radiografia della colonna</w:t>
      </w:r>
      <w:r>
        <w:t xml:space="preserve">, spesso una</w:t>
      </w:r>
      <w:r>
        <w:t xml:space="preserve"> </w:t>
      </w:r>
      <w:r>
        <w:rPr>
          <w:b/>
          <w:bCs/>
        </w:rPr>
        <w:t xml:space="preserve">risonanza</w:t>
      </w:r>
      <w:r>
        <w:t xml:space="preserve">, e raramente un’</w:t>
      </w:r>
      <w:r>
        <w:rPr>
          <w:b/>
          <w:bCs/>
        </w:rPr>
        <w:t xml:space="preserve">elettromiografia</w:t>
      </w:r>
      <w:r>
        <w:t xml:space="preserve"> </w:t>
      </w:r>
      <w:r>
        <w:t xml:space="preserve">per escludere una malattia neuromuscolare.</w:t>
      </w:r>
    </w:p>
    <w:p>
      <w:pPr>
        <w:pStyle w:val="BodyText"/>
      </w:pPr>
      <w:r>
        <w:t xml:space="preserve">Poi le cure.</w:t>
      </w:r>
      <w:r>
        <w:t xml:space="preserve"> </w:t>
      </w:r>
      <w:r>
        <w:rPr>
          <w:b/>
          <w:bCs/>
        </w:rPr>
        <w:t xml:space="preserve">Miorilassanti</w:t>
      </w:r>
      <w:r>
        <w:t xml:space="preserve"> </w:t>
      </w:r>
      <w:r>
        <w:t xml:space="preserve">— tiocolchicoside, ciclobenzaprina — per spezzare la tensione.</w:t>
      </w:r>
      <w:r>
        <w:t xml:space="preserve"> </w:t>
      </w:r>
      <w:r>
        <w:rPr>
          <w:b/>
          <w:bCs/>
        </w:rPr>
        <w:t xml:space="preserve">Antinfiammatori</w:t>
      </w:r>
      <w:r>
        <w:t xml:space="preserve"> </w:t>
      </w:r>
      <w:r>
        <w:t xml:space="preserve">quando la rigidità si accompagna a dolore.</w:t>
      </w:r>
      <w:r>
        <w:t xml:space="preserve"> </w:t>
      </w:r>
      <w:r>
        <w:rPr>
          <w:b/>
          <w:bCs/>
        </w:rPr>
        <w:t xml:space="preserve">Paracetamolo</w:t>
      </w:r>
      <w:r>
        <w:t xml:space="preserve"> </w:t>
      </w:r>
      <w:r>
        <w:t xml:space="preserve">nell’uso prolungato.</w:t>
      </w:r>
      <w:r>
        <w:t xml:space="preserve"> </w:t>
      </w:r>
      <w:r>
        <w:rPr>
          <w:b/>
          <w:bCs/>
        </w:rPr>
        <w:t xml:space="preserve">Magnesio</w:t>
      </w:r>
      <w:r>
        <w:t xml:space="preserve">, che si è dato da solo.</w:t>
      </w:r>
      <w:r>
        <w:t xml:space="preserve"> </w:t>
      </w:r>
      <w:r>
        <w:rPr>
          <w:b/>
          <w:bCs/>
        </w:rPr>
        <w:t xml:space="preserve">Stretching</w:t>
      </w:r>
      <w:r>
        <w:t xml:space="preserve">,</w:t>
      </w:r>
      <w:r>
        <w:t xml:space="preserve"> </w:t>
      </w:r>
      <w:r>
        <w:rPr>
          <w:b/>
          <w:bCs/>
        </w:rPr>
        <w:t xml:space="preserve">yoga</w:t>
      </w:r>
      <w:r>
        <w:t xml:space="preserve">,</w:t>
      </w:r>
      <w:r>
        <w:t xml:space="preserve"> </w:t>
      </w:r>
      <w:r>
        <w:rPr>
          <w:b/>
          <w:bCs/>
        </w:rPr>
        <w:t xml:space="preserve">pilates</w:t>
      </w:r>
      <w:r>
        <w:t xml:space="preserve">,</w:t>
      </w:r>
      <w:r>
        <w:t xml:space="preserve"> </w:t>
      </w:r>
      <w:r>
        <w:rPr>
          <w:b/>
          <w:bCs/>
        </w:rPr>
        <w:t xml:space="preserve">foam roller</w:t>
      </w:r>
      <w:r>
        <w:t xml:space="preserve">.</w:t>
      </w:r>
      <w:r>
        <w:t xml:space="preserve"> </w:t>
      </w:r>
      <w:r>
        <w:rPr>
          <w:b/>
          <w:bCs/>
        </w:rPr>
        <w:t xml:space="preserve">Massaggi</w:t>
      </w:r>
      <w:r>
        <w:t xml:space="preserve">, a cicli, da anni.</w:t>
      </w:r>
      <w:r>
        <w:t xml:space="preserve"> </w:t>
      </w:r>
      <w:r>
        <w:rPr>
          <w:b/>
          <w:bCs/>
        </w:rPr>
        <w:t xml:space="preserve">Calore</w:t>
      </w:r>
      <w:r>
        <w:t xml:space="preserve">, bagni caldi, sauna.</w:t>
      </w:r>
    </w:p>
    <w:p>
      <w:pPr>
        <w:pStyle w:val="BodyText"/>
      </w:pPr>
      <w:r>
        <w:t xml:space="preserve">Molti di loro prendono anche una</w:t>
      </w:r>
      <w:r>
        <w:t xml:space="preserve"> </w:t>
      </w:r>
      <w:r>
        <w:rPr>
          <w:b/>
          <w:bCs/>
        </w:rPr>
        <w:t xml:space="preserve">statina</w:t>
      </w:r>
      <w:r>
        <w:t xml:space="preserve">, e più di uno ti dirà che la rigidità è cominciata da lì. Vale la pena avere in testa il numero prima di rispondere.</w:t>
      </w:r>
    </w:p>
    <w:p>
      <w:pPr>
        <w:pStyle w:val="BodyText"/>
      </w:pPr>
      <w:r>
        <w:t xml:space="preserve">Diciannove studi randomizzati in doppio cieco contro placebo hanno seguito 123.940 adulti con un’età media di 63 anni.</w:t>
      </w:r>
      <w:r>
        <w:t xml:space="preserve"> </w:t>
      </w:r>
      <w:r>
        <w:rPr>
          <w:b/>
          <w:bCs/>
        </w:rPr>
        <w:t xml:space="preserve">Quasi tre persone su dieci hanno riferito dolore o debolezza muscolare mentre prendevano la statina — e quasi tre su dieci mentre prendevano il placebo</w:t>
      </w:r>
      <w:r>
        <w:t xml:space="preserve"> </w:t>
      </w:r>
      <w:r>
        <w:t xml:space="preserve">(27,1% contro 26,6%). Nel primo anno di terapia c’è un piccolo eccesso vero, e corrisponde a circa una segnalazione su quindici. Dopo il primo anno l’eccesso sparisce.</w:t>
      </w:r>
      <w:r>
        <w:t xml:space="preserve"> </w:t>
      </w:r>
      <w:r>
        <w:rPr>
          <w:b/>
          <w:bCs/>
        </w:rPr>
        <w:t xml:space="preserve">Per te:</w:t>
      </w:r>
      <w:r>
        <w:t xml:space="preserve"> </w:t>
      </w:r>
      <w:r>
        <w:t xml:space="preserve">il dolore muscolare diffuso dopo i sessant’anni è la norma statistica, non un effetto collaterale. Quando il paziente dice «da quando prendo questa pastiglia sono rigido», la coincidenza temporale è attesa. Tu non la commenti e non la smentisci: la</w:t>
      </w:r>
      <w:r>
        <w:t xml:space="preserve"> </w:t>
      </w:r>
      <w:r>
        <w:rPr>
          <w:b/>
          <w:bCs/>
        </w:rPr>
        <w:t xml:space="preserve">scrivi al curante</w:t>
      </w:r>
      <w:r>
        <w:t xml:space="preserve">. È lui l’unico che può valutare il rapporto fra il farmaco e i sintomi e decidere cosa farne.</w:t>
      </w:r>
      <w:r>
        <w:t xml:space="preserve"> </w:t>
      </w:r>
      <w:r>
        <w:t xml:space="preserve">(Cholesterol Treatment Trialists’ Collaboration,</w:t>
      </w:r>
      <w:r>
        <w:t xml:space="preserve"> </w:t>
      </w:r>
      <w:r>
        <w:rPr>
          <w:i/>
          <w:iCs/>
        </w:rPr>
        <w:t xml:space="preserve">Lancet</w:t>
      </w:r>
      <w:r>
        <w:t xml:space="preserve"> </w:t>
      </w:r>
      <w:r>
        <w:t xml:space="preserve">2022 — PMID 36049498)</w:t>
      </w:r>
    </w:p>
    <w:bookmarkEnd w:id="13"/>
    <w:bookmarkStart w:id="14" w:name="le-due-domande-che-nessuno-gli-ha-fatto"/>
    <w:p>
      <w:pPr>
        <w:pStyle w:val="Heading3"/>
      </w:pPr>
      <w:r>
        <w:t xml:space="preserve">Le due domande che nessuno gli ha fatto</w:t>
      </w:r>
    </w:p>
    <w:p>
      <w:pPr>
        <w:pStyle w:val="FirstParagraph"/>
      </w:pPr>
      <w:r>
        <w:rPr>
          <w:b/>
          <w:bCs/>
        </w:rPr>
        <w:t xml:space="preserve">«Da quando, e dopo che cosa?»</w:t>
      </w:r>
      <w:r>
        <w:t xml:space="preserve"> </w:t>
      </w:r>
      <w:r>
        <w:t xml:space="preserve">Un ricovero, un lutto, un’immobilizzazione, un cambio di terapia, la fine del ciclo mestruale. È la domanda che smista fra i pattern prima di qualunque misura, e costa dieci secondi.</w:t>
      </w:r>
    </w:p>
    <w:p>
      <w:pPr>
        <w:pStyle w:val="BodyText"/>
      </w:pPr>
      <w:r>
        <w:rPr>
          <w:b/>
          <w:bCs/>
        </w:rPr>
        <w:t xml:space="preserve">«Quali farmaci prendi, e quale hai iniziato o cambiato nell’ultimo anno?»</w:t>
      </w:r>
      <w:r>
        <w:t xml:space="preserve"> </w:t>
      </w:r>
      <w:r>
        <w:t xml:space="preserve">La statina è la classe che il paziente nomina da solo, ed è quella in cui la relazione causale è quasi sempre falsa. Le classi in cui è spesso vera non le nomina nessuno.</w:t>
      </w:r>
    </w:p>
    <w:p>
      <w:pPr>
        <w:pStyle w:val="Compact"/>
        <w:numPr>
          <w:ilvl w:val="0"/>
          <w:numId w:val="1005"/>
        </w:numPr>
      </w:pPr>
      <w:r>
        <w:rPr>
          <w:b/>
          <w:bCs/>
        </w:rPr>
        <w:t xml:space="preserve">Inibitori dell’aromatasi</w:t>
      </w:r>
      <w:r>
        <w:t xml:space="preserve"> </w:t>
      </w:r>
      <w:r>
        <w:t xml:space="preserve">(anastrozolo, letrozolo, exemestane), dopo un tumore della mammella. Danno una sindrome muscolo-scheletrica che comprende esplicitamente artralgia e</w:t>
      </w:r>
      <w:r>
        <w:t xml:space="preserve"> </w:t>
      </w:r>
      <w:r>
        <w:rPr>
          <w:b/>
          <w:bCs/>
        </w:rPr>
        <w:t xml:space="preserve">rigidità articolare</w:t>
      </w:r>
      <w:r>
        <w:t xml:space="preserve">. Riguarda circa la metà delle donne in terapia ed esordisce entro pochi mesi. È la causa principale per cui quelle pazienti abbandonano la terapia oncologica. Qui quello che scrivi al curante conta più di quello che fai con le mani (Hershman, PMID 26059931; Lombard, PMID 26556210).</w:t>
      </w:r>
    </w:p>
    <w:p>
      <w:pPr>
        <w:pStyle w:val="Compact"/>
        <w:numPr>
          <w:ilvl w:val="0"/>
          <w:numId w:val="1005"/>
        </w:numPr>
      </w:pPr>
      <w:r>
        <w:rPr>
          <w:b/>
          <w:bCs/>
        </w:rPr>
        <w:t xml:space="preserve">Inibitori del checkpoint immunitario</w:t>
      </w:r>
      <w:r>
        <w:t xml:space="preserve"> </w:t>
      </w:r>
      <w:r>
        <w:t xml:space="preserve">(nivolumab, pembrolizumab). Possono dare miosite, artriti e quadri simil-polimialgici. La segnalazione all’oncologo è rapida, non programmata.</w:t>
      </w:r>
    </w:p>
    <w:p>
      <w:pPr>
        <w:pStyle w:val="Compact"/>
        <w:numPr>
          <w:ilvl w:val="0"/>
          <w:numId w:val="1005"/>
        </w:numPr>
      </w:pPr>
      <w:r>
        <w:rPr>
          <w:b/>
          <w:bCs/>
        </w:rPr>
        <w:t xml:space="preserve">Bifosfonati.</w:t>
      </w:r>
      <w:r>
        <w:t xml:space="preserve"> </w:t>
      </w:r>
      <w:r>
        <w:t xml:space="preserve">L’allerta FDA del 2008 descrive dolore osseo, articolare e muscolare grave, localizzato, migrante</w:t>
      </w:r>
      <w:r>
        <w:t xml:space="preserve"> </w:t>
      </w:r>
      <w:r>
        <w:rPr>
          <w:b/>
          <w:bCs/>
        </w:rPr>
        <w:t xml:space="preserve">o diffuso</w:t>
      </w:r>
      <w:r>
        <w:t xml:space="preserve">, con esordio da giorni ad anni.</w:t>
      </w:r>
    </w:p>
    <w:p>
      <w:pPr>
        <w:pStyle w:val="Compact"/>
        <w:numPr>
          <w:ilvl w:val="0"/>
          <w:numId w:val="1005"/>
        </w:numPr>
      </w:pPr>
      <w:r>
        <w:rPr>
          <w:b/>
          <w:bCs/>
        </w:rPr>
        <w:t xml:space="preserve">Serotoninergici</w:t>
      </w:r>
      <w:r>
        <w:t xml:space="preserve"> </w:t>
      </w:r>
      <w:r>
        <w:t xml:space="preserve">— tramadolo, duloxetina, amitriptilina, SSRI, e la ciclobenzaprina che il paziente ha già preso. Non spiegano la rigidità cronica. Cambiano però il significato di una rigidità</w:t>
      </w:r>
      <w:r>
        <w:t xml:space="preserve"> </w:t>
      </w:r>
      <w:r>
        <w:rPr>
          <w:b/>
          <w:bCs/>
        </w:rPr>
        <w:t xml:space="preserve">nuova con febbre</w:t>
      </w:r>
      <w:r>
        <w:t xml:space="preserve">: vedi la prima riga delle bandiere rosse.</w:t>
      </w:r>
    </w:p>
    <w:p>
      <w:pPr>
        <w:pStyle w:val="FirstParagraph"/>
      </w:pPr>
      <w:r>
        <w:t xml:space="preserve">E per la donna fra i quarantacinque e i cinquantacinque anni c’è una terza domanda:</w:t>
      </w:r>
      <w:r>
        <w:t xml:space="preserve"> </w:t>
      </w:r>
      <w:r>
        <w:rPr>
          <w:b/>
          <w:bCs/>
        </w:rPr>
        <w:t xml:space="preserve">da quando, rispetto al ciclo?</w:t>
      </w:r>
      <w:r>
        <w:t xml:space="preserve"> </w:t>
      </w:r>
      <w:r>
        <w:t xml:space="preserve">Una rigidità comparsa nella transizione menopausale, insieme a sonno rotto e vampate, non è un pattern da immobilità. Trattarla come tale brucia sei settimane di credito.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che i sintomi muscolo-scheletrici siano frequenti nella transizione menopausale — ma la fonte è una revisione</w:t>
      </w:r>
      <w:r>
        <w:t xml:space="preserve"> </w:t>
      </w:r>
      <w:r>
        <w:rPr>
          <w:b/>
          <w:bCs/>
        </w:rPr>
        <w:t xml:space="preserve">narrativa</w:t>
      </w:r>
      <w:r>
        <w:t xml:space="preserve">, non una stima di popolazione (Wright,</w:t>
      </w:r>
      <w:r>
        <w:t xml:space="preserve"> </w:t>
      </w:r>
      <w:r>
        <w:rPr>
          <w:i/>
          <w:iCs/>
        </w:rPr>
        <w:t xml:space="preserve">Climacteric</w:t>
      </w:r>
      <w:r>
        <w:t xml:space="preserve"> </w:t>
      </w:r>
      <w:r>
        <w:t xml:space="preserve">2024, PMID 39077777). IPOTESI</w:t>
      </w:r>
      <w:r>
        <w:t xml:space="preserve"> </w:t>
      </w:r>
      <w:r>
        <w:rPr>
          <w:i/>
          <w:iCs/>
        </w:rPr>
        <w:t xml:space="preserve">(meccanismo coerente, nessuno studio)</w:t>
      </w:r>
      <w:r>
        <w:t xml:space="preserve"> </w:t>
      </w:r>
      <w:r>
        <w:t xml:space="preserve">che sia questo a spiegare la rigidità della paziente che hai davanti.</w:t>
      </w:r>
    </w:p>
    <w:p>
      <w:pPr>
        <w:pStyle w:val="FirstParagraph"/>
      </w:pPr>
      <w:r>
        <w:t xml:space="preserve">Su tutte queste classi la regola è quella della statina:</w:t>
      </w:r>
      <w:r>
        <w:t xml:space="preserve"> </w:t>
      </w:r>
      <w:r>
        <w:rPr>
          <w:b/>
          <w:bCs/>
        </w:rPr>
        <w:t xml:space="preserve">chiedi, scrivi, non commentare.</w:t>
      </w:r>
    </w:p>
    <w:bookmarkEnd w:id="14"/>
    <w:bookmarkStart w:id="15" w:name="le-tre-domande-che-ti-farà"/>
    <w:p>
      <w:pPr>
        <w:pStyle w:val="Heading3"/>
      </w:pPr>
      <w:r>
        <w:t xml:space="preserve">Le tre domande che ti farà</w:t>
      </w:r>
    </w:p>
    <w:p>
      <w:pPr>
        <w:pStyle w:val="Compact"/>
        <w:numPr>
          <w:ilvl w:val="0"/>
          <w:numId w:val="1006"/>
        </w:numPr>
      </w:pPr>
      <w:r>
        <w:rPr>
          <w:i/>
          <w:iCs/>
        </w:rPr>
        <w:t xml:space="preserve">«Ma allora io che cosa ho?»</w:t>
      </w:r>
      <w:r>
        <w:t xml:space="preserve"> </w:t>
      </w:r>
      <w:r>
        <w:t xml:space="preserve">La risposta sta in</w:t>
      </w:r>
      <w:r>
        <w:t xml:space="preserve"> </w:t>
      </w:r>
      <w:r>
        <w:rPr>
          <w:b/>
          <w:bCs/>
        </w:rPr>
        <w:t xml:space="preserve">«Che cos’è davvero»</w:t>
      </w:r>
      <w:r>
        <w:t xml:space="preserve">. Non è una malattia: è un sintomo che vive dentro almeno cinque contenitori diversi, e uno dei cinque è un cancello medico.</w:t>
      </w:r>
    </w:p>
    <w:p>
      <w:pPr>
        <w:pStyle w:val="Compact"/>
        <w:numPr>
          <w:ilvl w:val="0"/>
          <w:numId w:val="1006"/>
        </w:numPr>
      </w:pPr>
      <w:r>
        <w:rPr>
          <w:i/>
          <w:iCs/>
        </w:rPr>
        <w:t xml:space="preserve">«Se mi muovo già, perché resto rigido?»</w:t>
      </w:r>
      <w:r>
        <w:t xml:space="preserve"> </w:t>
      </w:r>
      <w:r>
        <w:t xml:space="preserve">La risposta sta in</w:t>
      </w:r>
      <w:r>
        <w:t xml:space="preserve"> </w:t>
      </w:r>
      <w:r>
        <w:rPr>
          <w:b/>
          <w:bCs/>
        </w:rPr>
        <w:t xml:space="preserve">«Cosa può fare il paziente da solo»</w:t>
      </w:r>
      <w:r>
        <w:t xml:space="preserve">. Conta come il movimento è distribuito nella giornata, non quanto dura la sessione.</w:t>
      </w:r>
    </w:p>
    <w:p>
      <w:pPr>
        <w:pStyle w:val="Compact"/>
        <w:numPr>
          <w:ilvl w:val="0"/>
          <w:numId w:val="1006"/>
        </w:numPr>
      </w:pPr>
      <w:r>
        <w:rPr>
          <w:i/>
          <w:iCs/>
        </w:rPr>
        <w:t xml:space="preserve">«Quanto ci vuole?»</w:t>
      </w:r>
      <w:r>
        <w:t xml:space="preserve"> </w:t>
      </w:r>
      <w:r>
        <w:t xml:space="preserve">La risposta sta in</w:t>
      </w:r>
      <w:r>
        <w:t xml:space="preserve"> </w:t>
      </w:r>
      <w:r>
        <w:rPr>
          <w:b/>
          <w:bCs/>
        </w:rPr>
        <w:t xml:space="preserve">«Dove finisce il nostro campo»</w:t>
      </w:r>
      <w:r>
        <w:t xml:space="preserve">. Sei settimane contate in calendario, e alla scadenza le misure si rileggono anche se non si sono mosse.</w:t>
      </w:r>
    </w:p>
    <w:bookmarkEnd w:id="15"/>
    <w:bookmarkStart w:id="16" w:name="cosa-nessuno-ha-guardato"/>
    <w:p>
      <w:pPr>
        <w:pStyle w:val="Heading3"/>
      </w:pPr>
      <w:r>
        <w:t xml:space="preserve">Cosa nessuno ha guardato</w:t>
      </w:r>
    </w:p>
    <w:p>
      <w:pPr>
        <w:pStyle w:val="FirstParagraph"/>
      </w:pPr>
      <w:r>
        <w:t xml:space="preserve">Nessuno ha preso</w:t>
      </w:r>
      <w:r>
        <w:t xml:space="preserve"> </w:t>
      </w:r>
      <w:r>
        <w:rPr>
          <w:b/>
          <w:bCs/>
        </w:rPr>
        <w:t xml:space="preserve">una misura</w:t>
      </w:r>
      <w:r>
        <w:t xml:space="preserve">. Ha una cartella piena di esami che dicono cosa non ha, e non una riga che dica quanto è rigido oggi rispetto a sei mesi fa. Nel percorso standard quella misura non ha un posto, perché non serve a escludere niente — e quel percorso era costruito per escludere.</w:t>
      </w:r>
    </w:p>
    <w:p>
      <w:pPr>
        <w:pStyle w:val="BlockText"/>
      </w:pPr>
      <w:r>
        <w:rPr>
          <w:b/>
          <w:bCs/>
        </w:rPr>
        <w:t xml:space="preserve">Attenzione.</w:t>
      </w:r>
      <w:r>
        <w:t xml:space="preserve"> </w:t>
      </w:r>
      <w:r>
        <w:t xml:space="preserve">«Nessuno ha guardato» non vuol dire «gli esami erano inutili». Hanno tolto dal tavolo le cose che fanno male sul serio, e senza di loro tu non potresti lavorare. Manca il passo successivo, non quello fatto.</w:t>
      </w:r>
    </w:p>
    <w:p>
      <w:pPr>
        <w:pStyle w:val="FirstParagraph"/>
      </w:pPr>
      <w:r>
        <w:rPr>
          <w:b/>
          <w:bCs/>
        </w:rPr>
        <w:t xml:space="preserve">Le tre cose da ricordare, più una</w:t>
      </w:r>
    </w:p>
    <w:p>
      <w:pPr>
        <w:pStyle w:val="Compact"/>
        <w:numPr>
          <w:ilvl w:val="0"/>
          <w:numId w:val="1007"/>
        </w:numPr>
      </w:pPr>
      <w:r>
        <w:rPr>
          <w:i/>
          <w:iCs/>
        </w:rPr>
        <w:t xml:space="preserve">«Il massaggio mi dura tre giorni»</w:t>
      </w:r>
      <w:r>
        <w:t xml:space="preserve"> </w:t>
      </w:r>
      <w:r>
        <w:t xml:space="preserve">non è una lamentela: è un dato clinico. Qualcosa ricostruisce la rigidità più in fretta di quanto tu la sciolga, e il bersaglio è quel qualcosa.</w:t>
      </w:r>
    </w:p>
    <w:p>
      <w:pPr>
        <w:pStyle w:val="Compact"/>
        <w:numPr>
          <w:ilvl w:val="0"/>
          <w:numId w:val="1007"/>
        </w:numPr>
      </w:pPr>
      <w:r>
        <w:t xml:space="preserve">Esce dalla prima seduta con almeno due numeri scritti, o non hai una valutazione: hai un’impressione.</w:t>
      </w:r>
    </w:p>
    <w:p>
      <w:pPr>
        <w:pStyle w:val="Compact"/>
        <w:numPr>
          <w:ilvl w:val="0"/>
          <w:numId w:val="1007"/>
        </w:numPr>
      </w:pPr>
      <w:r>
        <w:t xml:space="preserve">Non commenti i suoi esami: li usi per sapere cosa è già stato escluso.</w:t>
      </w:r>
    </w:p>
    <w:p>
      <w:pPr>
        <w:pStyle w:val="Compact"/>
        <w:numPr>
          <w:ilvl w:val="0"/>
          <w:numId w:val="1007"/>
        </w:numPr>
      </w:pPr>
      <w:r>
        <w:rPr>
          <w:b/>
          <w:bCs/>
        </w:rPr>
        <w:t xml:space="preserve">Perché ci sei tu.</w:t>
      </w:r>
      <w:r>
        <w:t xml:space="preserve"> </w:t>
      </w:r>
      <w:r>
        <w:t xml:space="preserve">Quasi tre adulti su dieci riferiscono dolore muscolare anche prendendo un placebo (CTT, 2022, PMID 36049498). Questo ti autorizza a non attribuire il sintomo alla prima cosa che il paziente ha in mano, e a chiedere per iscritto al curante. Non ti autorizza a dirgli che il farmaco non c’entra: è una valutazione di terapia, e non è tua.</w:t>
      </w:r>
    </w:p>
    <w:p>
      <w:r>
        <w:pict>
          <v:rect style="width:0;height:1.5pt" o:hralign="center" o:hrstd="t" o:hr="t"/>
        </w:pict>
      </w:r>
    </w:p>
    <w:bookmarkEnd w:id="16"/>
    <w:bookmarkEnd w:id="17"/>
    <w:bookmarkStart w:id="23" w:name="capitolo-2-che-cosè-davvero"/>
    <w:p>
      <w:pPr>
        <w:pStyle w:val="Heading2"/>
      </w:pPr>
      <w:r>
        <w:t xml:space="preserve">Capitolo 2 — Che cos’è davvero</w:t>
      </w:r>
    </w:p>
    <w:p>
      <w:pPr>
        <w:pStyle w:val="BlockText"/>
      </w:pPr>
      <w:r>
        <w:rPr>
          <w:b/>
          <w:bCs/>
        </w:rPr>
        <w:t xml:space="preserve">In una riga:</w:t>
      </w:r>
      <w:r>
        <w:t xml:space="preserve"> </w:t>
      </w:r>
      <w:r>
        <w:t xml:space="preserve">non è una malattia, è un sintomo che sta dentro almeno cinque contenitori diversi — e il tuo lavoro comincia decidendo in quale.</w:t>
      </w:r>
    </w:p>
    <w:bookmarkStart w:id="18" w:name="la-definizione"/>
    <w:p>
      <w:pPr>
        <w:pStyle w:val="Heading3"/>
      </w:pPr>
      <w:r>
        <w:t xml:space="preserve">La definizione</w:t>
      </w:r>
    </w:p>
    <w:p>
      <w:pPr>
        <w:pStyle w:val="FirstParagraph"/>
      </w:pPr>
      <w:r>
        <w:t xml:space="preserve">Non esiste una definizione medica di «rigidità muscolare diffusa». Esiste la rigidità come sintomo, ed esistono contenitori diagnostici che la ospitano.</w:t>
      </w:r>
    </w:p>
    <w:p>
      <w:pPr>
        <w:pStyle w:val="BodyText"/>
      </w:pPr>
      <w:r>
        <w:t xml:space="preserve">Il contenitore più vicino, e l’unico con criteri operativi, è il</w:t>
      </w:r>
      <w:r>
        <w:t xml:space="preserve"> </w:t>
      </w:r>
      <w:r>
        <w:rPr>
          <w:b/>
          <w:bCs/>
        </w:rPr>
        <w:t xml:space="preserve">dolore cronico diffuso</w:t>
      </w:r>
      <w:r>
        <w:t xml:space="preserve">: dolore da almeno tre mesi sopra e sotto la vita, a destra e a sinistra, e nello scheletro assiale. Chi ti descrive rigidità in tutto il corpo spesso soddisfa quei criteri senza saperlo, perché usa «rigido» dove il questionario chiede «dolore».</w:t>
      </w:r>
    </w:p>
    <w:p>
      <w:pPr>
        <w:pStyle w:val="BodyText"/>
      </w:pPr>
      <w:r>
        <w:t xml:space="preserve">Due parole decidono il tuo lavoro.</w:t>
      </w:r>
    </w:p>
    <w:p>
      <w:pPr>
        <w:pStyle w:val="BodyText"/>
      </w:pPr>
      <w:r>
        <w:rPr>
          <w:b/>
          <w:bCs/>
        </w:rPr>
        <w:t xml:space="preserve">«Diffuso»</w:t>
      </w:r>
      <w:r>
        <w:t xml:space="preserve"> </w:t>
      </w:r>
      <w:r>
        <w:t xml:space="preserve">non vuol dire «ovunque»: vuol dire distribuito su assi opposti. Un paziente con collo e spalle duri e il resto libero è un regionale che si racconta male, e va misurato prima di essere creduto.</w:t>
      </w:r>
    </w:p>
    <w:p>
      <w:pPr>
        <w:pStyle w:val="BodyText"/>
      </w:pPr>
      <w:r>
        <w:rPr>
          <w:b/>
          <w:bCs/>
        </w:rPr>
        <w:t xml:space="preserve">«Cronico»</w:t>
      </w:r>
      <w:r>
        <w:t xml:space="preserve"> </w:t>
      </w:r>
      <w:r>
        <w:t xml:space="preserve">separa un tessuto che si sta riprendendo da un sistema che ha trovato un assetto. Sotto i tre mesi cerchi un evento; sopra i tre mesi cerchi un mantenitore.</w:t>
      </w:r>
    </w:p>
    <w:bookmarkEnd w:id="18"/>
    <w:bookmarkStart w:id="19" w:name="quanto-è-diffusa"/>
    <w:p>
      <w:pPr>
        <w:pStyle w:val="Heading3"/>
      </w:pPr>
      <w:r>
        <w:t xml:space="preserve">Quanto è diffusa</w:t>
      </w:r>
    </w:p>
    <w:p>
      <w:pPr>
        <w:pStyle w:val="FirstParagraph"/>
      </w:pPr>
      <w:r>
        <w:t xml:space="preserve">Il dolore cronico diffuso riguarda</w:t>
      </w:r>
      <w:r>
        <w:t xml:space="preserve"> </w:t>
      </w:r>
      <w:r>
        <w:rPr>
          <w:b/>
          <w:bCs/>
        </w:rPr>
        <w:t xml:space="preserve">circa una persona su dieci</w:t>
      </w:r>
      <w:r>
        <w:t xml:space="preserve"> </w:t>
      </w:r>
      <w:r>
        <w:t xml:space="preserve">nella popolazione adulta: stima aggregata 10,6% su venticinque studi di popolazione (Mansfield,</w:t>
      </w:r>
      <w:r>
        <w:t xml:space="preserve"> </w:t>
      </w:r>
      <w:r>
        <w:rPr>
          <w:i/>
          <w:iCs/>
        </w:rPr>
        <w:t xml:space="preserve">Pain</w:t>
      </w:r>
      <w:r>
        <w:t xml:space="preserve"> </w:t>
      </w:r>
      <w:r>
        <w:t xml:space="preserve">2016 — PMID 26270591).</w:t>
      </w:r>
      <w:r>
        <w:t xml:space="preserve"> </w:t>
      </w:r>
      <w:r>
        <w:rPr>
          <w:b/>
          <w:bCs/>
        </w:rPr>
        <w:t xml:space="preserve">Per te:</w:t>
      </w:r>
      <w:r>
        <w:t xml:space="preserve"> </w:t>
      </w:r>
      <w:r>
        <w:t xml:space="preserve">questo paziente non è un caso raro e non ha bisogno che tu gli trovi una malattia. La maggior parte di quelli che hanno il suo quadro non ha mai ricevuto un’etichetta.</w:t>
      </w:r>
    </w:p>
    <w:p>
      <w:pPr>
        <w:pStyle w:val="BodyText"/>
      </w:pPr>
      <w:r>
        <w:t xml:space="preserve">La fibromialgia è il nome che il paziente ha sentito e che teme, e riguarda una quota molto più piccola:</w:t>
      </w:r>
      <w:r>
        <w:t xml:space="preserve"> </w:t>
      </w:r>
      <w:r>
        <w:rPr>
          <w:b/>
          <w:bCs/>
        </w:rPr>
        <w:t xml:space="preserve">circa una persona su settanta</w:t>
      </w:r>
      <w:r>
        <w:t xml:space="preserve">, cioè l’1,4% della popolazione generale. La stima viene da 188 studi e 30 milioni di persone in 38 paesi. È molto eterogenea (I² = 100%), e la certezza è dichiarata</w:t>
      </w:r>
      <w:r>
        <w:t xml:space="preserve"> </w:t>
      </w:r>
      <w:r>
        <w:rPr>
          <w:b/>
          <w:bCs/>
        </w:rPr>
        <w:t xml:space="preserve">molto bassa</w:t>
      </w:r>
      <w:r>
        <w:t xml:space="preserve"> </w:t>
      </w:r>
      <w:r>
        <w:t xml:space="preserve">dagli stessi autori.</w:t>
      </w:r>
      <w:r>
        <w:t xml:space="preserve"> </w:t>
      </w:r>
      <w:r>
        <w:rPr>
          <w:b/>
          <w:bCs/>
        </w:rPr>
        <w:t xml:space="preserve">Per te:</w:t>
      </w:r>
      <w:r>
        <w:t xml:space="preserve"> </w:t>
      </w:r>
      <w:r>
        <w:t xml:space="preserve">qui c’è una trappola aritmetica, e va disinnescata subito. Quei due numeri — una persona su dieci e una su settanta — sono</w:t>
      </w:r>
      <w:r>
        <w:t xml:space="preserve"> </w:t>
      </w:r>
      <w:r>
        <w:rPr>
          <w:b/>
          <w:bCs/>
        </w:rPr>
        <w:t xml:space="preserve">prevalenze di popolazione generale</w:t>
      </w:r>
      <w:r>
        <w:t xml:space="preserve">, e non si dividono l’una per l’altra per sapere chi hai davanti. Lo stesso studio dichiara che la prevalenza è nettamente più alta nelle coorti selezionate, e nomina proprio quelle del dolore cronico e reumatologiche. Il tuo paziente è per definizione una popolazione selezionata: rigido da anni, esami ripetuti, cure fallite. In stanza non parti da una proporzione. Parti da un tempo di sblocco e da come risponde alla pressione.</w:t>
      </w:r>
      <w:r>
        <w:t xml:space="preserve"> </w:t>
      </w:r>
      <w:r>
        <w:t xml:space="preserve">(D’Souza,</w:t>
      </w:r>
      <w:r>
        <w:t xml:space="preserve"> </w:t>
      </w:r>
      <w:r>
        <w:rPr>
          <w:i/>
          <w:iCs/>
        </w:rPr>
        <w:t xml:space="preserve">Anesth Analg</w:t>
      </w:r>
      <w:r>
        <w:t xml:space="preserve"> </w:t>
      </w:r>
      <w:r>
        <w:t xml:space="preserve">2026 — PMID 42201834)</w:t>
      </w:r>
    </w:p>
    <w:bookmarkEnd w:id="19"/>
    <w:bookmarkStart w:id="20" w:name="X6820c7f04c7379b5930bec9ad9aa3ee0e127e21"/>
    <w:p>
      <w:pPr>
        <w:pStyle w:val="Heading3"/>
      </w:pPr>
      <w:r>
        <w:t xml:space="preserve">Cosa dicono le etichette che porta, e cosa non dicono</w:t>
      </w:r>
    </w:p>
    <w:p>
      <w:pPr>
        <w:pStyle w:val="Compact"/>
        <w:numPr>
          <w:ilvl w:val="0"/>
          <w:numId w:val="1008"/>
        </w:numPr>
      </w:pPr>
      <w:r>
        <w:rPr>
          <w:b/>
          <w:bCs/>
        </w:rPr>
        <w:t xml:space="preserve">«Esami del sangue negativi.»</w:t>
      </w:r>
      <w:r>
        <w:t xml:space="preserve"> </w:t>
      </w:r>
      <w:r>
        <w:t xml:space="preserve">Escludono un’infiammazione sistemica in corso, un danno muscolare in atto e uno squilibrio tiroideo —</w:t>
      </w:r>
      <w:r>
        <w:t xml:space="preserve"> </w:t>
      </w:r>
      <w:r>
        <w:rPr>
          <w:b/>
          <w:bCs/>
        </w:rPr>
        <w:t xml:space="preserve">alla data in cui sono stati fatti</w:t>
      </w:r>
      <w:r>
        <w:t xml:space="preserve">, non oggi. La distinzione pesa più che altrove sulla tiroide, che può scompensarsi in mesi: un TSH normale di due anni fa non ha guardato il quadro di adesso. E non dicono niente su quanto è rigido il tessuto: un CPK normale e un corpo di legno convivono benissimo.</w:t>
      </w:r>
    </w:p>
    <w:p>
      <w:pPr>
        <w:pStyle w:val="Compact"/>
        <w:numPr>
          <w:ilvl w:val="0"/>
          <w:numId w:val="1008"/>
        </w:numPr>
      </w:pPr>
      <w:r>
        <w:rPr>
          <w:b/>
          <w:bCs/>
        </w:rPr>
        <w:t xml:space="preserve">«Fibromialgia.»</w:t>
      </w:r>
      <w:r>
        <w:t xml:space="preserve"> </w:t>
      </w:r>
      <w:r>
        <w:t xml:space="preserve">È un’etichetta clinica, non un reperto: descrive un pattern di sintomi, non una lesione. Ti dice che la soglia è probabilmente abbassata, non che il tessuto non c’entri.</w:t>
      </w:r>
    </w:p>
    <w:p>
      <w:pPr>
        <w:pStyle w:val="Compact"/>
        <w:numPr>
          <w:ilvl w:val="0"/>
          <w:numId w:val="1008"/>
        </w:numPr>
      </w:pPr>
      <w:r>
        <w:rPr>
          <w:b/>
          <w:bCs/>
        </w:rPr>
        <w:t xml:space="preserve">«Artrosi diffusa» sulla radiografia.</w:t>
      </w:r>
      <w:r>
        <w:t xml:space="preserve"> </w:t>
      </w:r>
      <w:r>
        <w:t xml:space="preserve">Descrive cartilagine e osso, non il muscolo e non la fascia — cioè non le strutture di cui il paziente parla.</w:t>
      </w:r>
    </w:p>
    <w:p>
      <w:pPr>
        <w:pStyle w:val="Compact"/>
        <w:numPr>
          <w:ilvl w:val="0"/>
          <w:numId w:val="1008"/>
        </w:numPr>
      </w:pPr>
      <w:r>
        <w:rPr>
          <w:b/>
          <w:bCs/>
        </w:rPr>
        <w:t xml:space="preserve">«Ipovitaminosi D.»</w:t>
      </w:r>
      <w:r>
        <w:t xml:space="preserve"> </w:t>
      </w:r>
      <w:r>
        <w:t xml:space="preserve">La carenza</w:t>
      </w:r>
      <w:r>
        <w:t xml:space="preserve"> </w:t>
      </w:r>
      <w:r>
        <w:rPr>
          <w:b/>
          <w:bCs/>
        </w:rPr>
        <w:t xml:space="preserve">lieve</w:t>
      </w:r>
      <w:r>
        <w:t xml:space="preserve"> </w:t>
      </w:r>
      <w:r>
        <w:t xml:space="preserve">è frequente e poco specifica, e da sola non spiega questo quadro. La carenza</w:t>
      </w:r>
      <w:r>
        <w:t xml:space="preserve"> </w:t>
      </w:r>
      <w:r>
        <w:rPr>
          <w:b/>
          <w:bCs/>
        </w:rPr>
        <w:t xml:space="preserve">grave</w:t>
      </w:r>
      <w:r>
        <w:t xml:space="preserve"> </w:t>
      </w:r>
      <w:r>
        <w:t xml:space="preserve">con osteomalacia è un’altra cosa: dà miopatia prossimale, dolore osseo diffuso, difficoltà ad alzarsi dalla sedia. Non tocca a te interpretarlo: il valore molto basso si segnala al curante insieme alle tue misure.</w:t>
      </w:r>
    </w:p>
    <w:p>
      <w:pPr>
        <w:pStyle w:val="BlockText"/>
      </w:pPr>
      <w:r>
        <w:rPr>
          <w:b/>
          <w:bCs/>
        </w:rPr>
        <w:t xml:space="preserve">Attenzione.</w:t>
      </w:r>
      <w:r>
        <w:t xml:space="preserve"> </w:t>
      </w:r>
      <w:r>
        <w:t xml:space="preserve">La diagnosi è atto medico. Qui impari a</w:t>
      </w:r>
      <w:r>
        <w:t xml:space="preserve"> </w:t>
      </w:r>
      <w:r>
        <w:rPr>
          <w:b/>
          <w:bCs/>
        </w:rPr>
        <w:t xml:space="preserve">leggere</w:t>
      </w:r>
      <w:r>
        <w:t xml:space="preserve"> </w:t>
      </w:r>
      <w:r>
        <w:t xml:space="preserve">un referto per sapere cosa è già stato escluso, non a formularne uno.</w:t>
      </w:r>
    </w:p>
    <w:bookmarkEnd w:id="20"/>
    <w:bookmarkStart w:id="21" w:name="come-evolve-se-non-fai-nulla"/>
    <w:p>
      <w:pPr>
        <w:pStyle w:val="Heading3"/>
      </w:pPr>
      <w:r>
        <w:t xml:space="preserve">Come evolve se non fai nulla</w:t>
      </w:r>
    </w:p>
    <w:p>
      <w:pPr>
        <w:pStyle w:val="FirstParagraph"/>
      </w:pPr>
      <w:r>
        <w:t xml:space="preserve">Il decorso spontaneo del dolore cronico diffuso — il contenitore che questa Bibbia adotta —</w:t>
      </w:r>
      <w:r>
        <w:t xml:space="preserve"> </w:t>
      </w:r>
      <w:r>
        <w:rPr>
          <w:b/>
          <w:bCs/>
        </w:rPr>
        <w:t xml:space="preserve">è descritto</w:t>
      </w:r>
      <w:r>
        <w:t xml:space="preserve">, da coorti di popolazione generale seguite per anni. Le cifre vanno sapute a memoria, perché ti riguardano due volte.</w:t>
      </w:r>
    </w:p>
    <w:p>
      <w:pPr>
        <w:pStyle w:val="Compact"/>
        <w:numPr>
          <w:ilvl w:val="0"/>
          <w:numId w:val="1009"/>
        </w:numPr>
      </w:pPr>
      <w:r>
        <w:t xml:space="preserve">A</w:t>
      </w:r>
      <w:r>
        <w:t xml:space="preserve"> </w:t>
      </w:r>
      <w:r>
        <w:rPr>
          <w:b/>
          <w:bCs/>
        </w:rPr>
        <w:t xml:space="preserve">tre anni</w:t>
      </w:r>
      <w:r>
        <w:t xml:space="preserve">: il 57% ha ancora dolore cronico diffuso, il 27% è diventato regionale, il 16% non ha più dolore cronico. Quattro persone su dieci escono dalla categoria senza che nessuno le abbia trattate (Bergman,</w:t>
      </w:r>
      <w:r>
        <w:t xml:space="preserve"> </w:t>
      </w:r>
      <w:r>
        <w:rPr>
          <w:i/>
          <w:iCs/>
        </w:rPr>
        <w:t xml:space="preserve">J Rheumatol</w:t>
      </w:r>
      <w:r>
        <w:t xml:space="preserve"> </w:t>
      </w:r>
      <w:r>
        <w:t xml:space="preserve">2002, PMID 11950027).</w:t>
      </w:r>
    </w:p>
    <w:p>
      <w:pPr>
        <w:pStyle w:val="Compact"/>
        <w:numPr>
          <w:ilvl w:val="0"/>
          <w:numId w:val="1009"/>
        </w:numPr>
      </w:pPr>
      <w:r>
        <w:t xml:space="preserve">A</w:t>
      </w:r>
      <w:r>
        <w:t xml:space="preserve"> </w:t>
      </w:r>
      <w:r>
        <w:rPr>
          <w:b/>
          <w:bCs/>
        </w:rPr>
        <w:t xml:space="preserve">sette anni</w:t>
      </w:r>
      <w:r>
        <w:t xml:space="preserve">: circa un terzo è ancora diffuso e il 15% è libero da dolore. E l’anamnesi separa due decorsi opposti. Sopra i cinquant’anni, con stanchezza diurna e secchezza oculare o orale, la persistenza è del 77%; sotto i cinquanta e senza quei sintomi, del 9% (Papageorgiou,</w:t>
      </w:r>
      <w:r>
        <w:t xml:space="preserve"> </w:t>
      </w:r>
      <w:r>
        <w:rPr>
          <w:i/>
          <w:iCs/>
        </w:rPr>
        <w:t xml:space="preserve">Ann Rheum Dis</w:t>
      </w:r>
      <w:r>
        <w:t xml:space="preserve"> </w:t>
      </w:r>
      <w:r>
        <w:t xml:space="preserve">2002, PMID 12429537).</w:t>
      </w:r>
    </w:p>
    <w:p>
      <w:pPr>
        <w:pStyle w:val="Compact"/>
        <w:numPr>
          <w:ilvl w:val="0"/>
          <w:numId w:val="1009"/>
        </w:numPr>
      </w:pPr>
      <w:r>
        <w:t xml:space="preserve">A</w:t>
      </w:r>
      <w:r>
        <w:t xml:space="preserve"> </w:t>
      </w:r>
      <w:r>
        <w:rPr>
          <w:b/>
          <w:bCs/>
        </w:rPr>
        <w:t xml:space="preserve">undici anni</w:t>
      </w:r>
      <w:r>
        <w:t xml:space="preserve">: poco più della metà (Mundal, HUNT, 2014, PMID 24951013).</w:t>
      </w:r>
    </w:p>
    <w:p>
      <w:pPr>
        <w:pStyle w:val="FirstParagraph"/>
      </w:pPr>
      <w:r>
        <w:t xml:space="preserve">C’è poi un dato separato, sull’</w:t>
      </w:r>
      <w:r>
        <w:rPr>
          <w:b/>
          <w:bCs/>
        </w:rPr>
        <w:t xml:space="preserve">instabilità dell’etichetta</w:t>
      </w:r>
      <w:r>
        <w:t xml:space="preserve">. In 644 pazienti con spondiloartrite seguiti per due anni e mezzo, la quota di persone con dolore diffuso è rimasta la stessa. Ma il 38% è passato da una categoria all’altra (Mogard,</w:t>
      </w:r>
      <w:r>
        <w:t xml:space="preserve"> </w:t>
      </w:r>
      <w:r>
        <w:rPr>
          <w:i/>
          <w:iCs/>
        </w:rPr>
        <w:t xml:space="preserve">Scand J Rheumatol</w:t>
      </w:r>
      <w:r>
        <w:t xml:space="preserve"> </w:t>
      </w:r>
      <w:r>
        <w:t xml:space="preserve">2019, PMID 31244357). Misurato su pazienti con una malattia infiammatoria nota: vale per il movimento fra categorie, non per il decorso dei tuoi pazienti.</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tre coorti prospettiche di popolazione generale, con follow-up da tre a undici anni e stime concordanti.</w:t>
      </w:r>
    </w:p>
    <w:p>
      <w:pPr>
        <w:pStyle w:val="FirstParagraph"/>
      </w:pPr>
      <w:r>
        <w:rPr>
          <w:b/>
          <w:bCs/>
        </w:rPr>
        <w:t xml:space="preserve">Per te:</w:t>
      </w:r>
      <w:r>
        <w:t xml:space="preserve"> </w:t>
      </w:r>
      <w:r>
        <w:t xml:space="preserve">questo dato vale in due sensi opposti, e per questo va tenuto intero. Sull’orizzonte di sei settimane della tua revisione la fluttuazione spontanea è</w:t>
      </w:r>
      <w:r>
        <w:t xml:space="preserve"> </w:t>
      </w:r>
      <w:r>
        <w:rPr>
          <w:b/>
          <w:bCs/>
        </w:rPr>
        <w:t xml:space="preserve">piccola</w:t>
      </w:r>
      <w:r>
        <w:t xml:space="preserve">, e questo ti protegge. Sull’orizzonte lungo, circa una persona su sette esce dal quadro</w:t>
      </w:r>
      <w:r>
        <w:t xml:space="preserve"> </w:t>
      </w:r>
      <w:r>
        <w:rPr>
          <w:b/>
          <w:bCs/>
        </w:rPr>
        <w:t xml:space="preserve">senza di te</w:t>
      </w:r>
      <w:r>
        <w:t xml:space="preserve">: una parte dei miglioramenti che vedrai non sarà tua, e senza una misura di partenza non hai modo di distinguerla. È accorgersi che la stanza è più calda senza aver mai guardato il termostato. E due domande separano una persistenza del 77% da una del 9%: età sopra i cinquanta, stanchezza e secchezza. Costano dieci secondi in anamnesi, e valgono come indicatore prognostico.</w:t>
      </w:r>
    </w:p>
    <w:bookmarkEnd w:id="21"/>
    <w:bookmarkStart w:id="22" w:name="cosa-non-è"/>
    <w:p>
      <w:pPr>
        <w:pStyle w:val="Heading3"/>
      </w:pPr>
      <w:r>
        <w:t xml:space="preserve">Cosa non è</w:t>
      </w:r>
    </w:p>
    <w:p>
      <w:pPr>
        <w:pStyle w:val="FirstParagraph"/>
      </w:pPr>
      <w:r>
        <w:t xml:space="preserve">Cinque quadri somigliano a questo e non lo sono:</w:t>
      </w:r>
      <w:r>
        <w:t xml:space="preserve"> </w:t>
      </w:r>
      <w:r>
        <w:rPr>
          <w:b/>
          <w:bCs/>
        </w:rPr>
        <w:t xml:space="preserve">polimialgia reumatica</w:t>
      </w:r>
      <w:r>
        <w:t xml:space="preserve">,</w:t>
      </w:r>
      <w:r>
        <w:t xml:space="preserve"> </w:t>
      </w:r>
      <w:r>
        <w:rPr>
          <w:b/>
          <w:bCs/>
        </w:rPr>
        <w:t xml:space="preserve">miopatia infiammatoria</w:t>
      </w:r>
      <w:r>
        <w:t xml:space="preserve">,</w:t>
      </w:r>
      <w:r>
        <w:t xml:space="preserve"> </w:t>
      </w:r>
      <w:r>
        <w:rPr>
          <w:b/>
          <w:bCs/>
        </w:rPr>
        <w:t xml:space="preserve">ipotiroidismo</w:t>
      </w:r>
      <w:r>
        <w:t xml:space="preserve">,</w:t>
      </w:r>
      <w:r>
        <w:t xml:space="preserve"> </w:t>
      </w:r>
      <w:r>
        <w:rPr>
          <w:b/>
          <w:bCs/>
        </w:rPr>
        <w:t xml:space="preserve">parkinsonismo</w:t>
      </w:r>
      <w:r>
        <w:t xml:space="preserve">,</w:t>
      </w:r>
      <w:r>
        <w:t xml:space="preserve"> </w:t>
      </w:r>
      <w:r>
        <w:rPr>
          <w:b/>
          <w:bCs/>
        </w:rPr>
        <w:t xml:space="preserve">spondiloartrite assiale</w:t>
      </w:r>
      <w:r>
        <w:t xml:space="preserve">. I segnali che li riconoscono stanno nella tabella delle bandiere rosse, ed è lì che si leggono. Su ciascuno il comportamento non è «trattare con cautela»: è mandare.</w:t>
      </w:r>
    </w:p>
    <w:p>
      <w:pPr>
        <w:pStyle w:val="BodyText"/>
      </w:pPr>
      <w:r>
        <w:rPr>
          <w:b/>
          <w:bCs/>
        </w:rPr>
        <w:t xml:space="preserve">Le tre cose da ricordare, più una</w:t>
      </w:r>
    </w:p>
    <w:p>
      <w:pPr>
        <w:pStyle w:val="Compact"/>
        <w:numPr>
          <w:ilvl w:val="0"/>
          <w:numId w:val="1010"/>
        </w:numPr>
      </w:pPr>
      <w:r>
        <w:t xml:space="preserve">«Diffuso» ha un significato preciso: sopra e sotto la vita, a destra e a sinistra. Verificalo con una misura invece di crederci sulla parola.</w:t>
      </w:r>
    </w:p>
    <w:p>
      <w:pPr>
        <w:pStyle w:val="Compact"/>
        <w:numPr>
          <w:ilvl w:val="0"/>
          <w:numId w:val="1010"/>
        </w:numPr>
      </w:pPr>
      <w:r>
        <w:t xml:space="preserve">Le prevalenze di popolazione non si applicano al tuo ambulatorio. Il paziente che ti arriva è già selezionato, e nelle coorti selezionate la fibromialgia è molto più frequente che nella popolazione generale.</w:t>
      </w:r>
    </w:p>
    <w:p>
      <w:pPr>
        <w:pStyle w:val="Compact"/>
        <w:numPr>
          <w:ilvl w:val="0"/>
          <w:numId w:val="1010"/>
        </w:numPr>
      </w:pPr>
      <w:r>
        <w:t xml:space="preserve">Gli esami negativi hanno escluso, non spiegato — e hanno escluso alla data in cui sono stati fatti. Il tuo lavoro comincia esattamente lì.</w:t>
      </w:r>
    </w:p>
    <w:p>
      <w:pPr>
        <w:pStyle w:val="Compact"/>
        <w:numPr>
          <w:ilvl w:val="0"/>
          <w:numId w:val="1010"/>
        </w:numPr>
      </w:pPr>
      <w:r>
        <w:rPr>
          <w:b/>
          <w:bCs/>
        </w:rPr>
        <w:t xml:space="preserve">Perché ci sei tu.</w:t>
      </w:r>
      <w:r>
        <w:t xml:space="preserve"> </w:t>
      </w:r>
      <w:r>
        <w:t xml:space="preserve">A tre anni, quattro persone su dieci con dolore cronico diffuso escono dalla categoria senza essere state trattate (Bergman, 2002, PMID 11950027). Questo ti autorizza a pretendere una misura di partenza: è l’unico modo per distinguere il tuo effetto dal calendario. Non ti autorizza a promettere quella quota: è il decorso di un gruppo, non una prognosi.</w:t>
      </w:r>
    </w:p>
    <w:p>
      <w:r>
        <w:pict>
          <v:rect style="width:0;height:1.5pt" o:hralign="center" o:hrstd="t" o:hr="t"/>
        </w:pict>
      </w:r>
    </w:p>
    <w:bookmarkEnd w:id="22"/>
    <w:bookmarkEnd w:id="23"/>
    <w:bookmarkStart w:id="30" w:name="capitolo-3-le-strutture-in-gioco"/>
    <w:p>
      <w:pPr>
        <w:pStyle w:val="Heading2"/>
      </w:pPr>
      <w:r>
        <w:t xml:space="preserve">Capitolo 3 — Le strutture in gioco</w:t>
      </w:r>
    </w:p>
    <w:p>
      <w:pPr>
        <w:pStyle w:val="BlockText"/>
      </w:pPr>
      <w:r>
        <w:rPr>
          <w:b/>
          <w:bCs/>
        </w:rPr>
        <w:t xml:space="preserve">In una riga:</w:t>
      </w:r>
      <w:r>
        <w:t xml:space="preserve"> </w:t>
      </w:r>
      <w:r>
        <w:t xml:space="preserve">quello che il paziente chiama «muscolo duro» è fatto di quattro cose diverse, e solo una delle quattro è contrazione.</w:t>
      </w:r>
    </w:p>
    <w:bookmarkStart w:id="24" w:name="Xde0befcae638ec3ae318b29bae4614b28611102"/>
    <w:p>
      <w:pPr>
        <w:pStyle w:val="Heading3"/>
      </w:pPr>
      <w:r>
        <w:t xml:space="preserve">Il muscolo a riposo, e i ponti che si riformano</w:t>
      </w:r>
    </w:p>
    <w:p>
      <w:pPr>
        <w:pStyle w:val="FirstParagraph"/>
      </w:pPr>
      <w:r>
        <w:rPr>
          <w:b/>
          <w:bCs/>
        </w:rPr>
        <w:t xml:space="preserve">Cos’è.</w:t>
      </w:r>
      <w:r>
        <w:t xml:space="preserve"> </w:t>
      </w:r>
      <w:r>
        <w:t xml:space="preserve">Un muscolo rilassato oppone comunque resistenza allo stiramento. Non perché lavori, ma perché è un materiale. Negli arti è</w:t>
      </w:r>
      <w:r>
        <w:t xml:space="preserve"> </w:t>
      </w:r>
      <w:r>
        <w:rPr>
          <w:b/>
          <w:bCs/>
        </w:rPr>
        <w:t xml:space="preserve">elettricamente silenzioso</w:t>
      </w:r>
      <w:r>
        <w:t xml:space="preserve">, e quella resistenza è tensione passiva: mantiene la stazione eretta con un costo energetico di circa il</w:t>
      </w:r>
      <w:r>
        <w:t xml:space="preserve"> </w:t>
      </w:r>
      <w:r>
        <w:rPr>
          <w:b/>
          <w:bCs/>
        </w:rPr>
        <w:t xml:space="preserve">7% in più</w:t>
      </w:r>
      <w:r>
        <w:t xml:space="preserve"> </w:t>
      </w:r>
      <w:r>
        <w:t xml:space="preserve">rispetto allo sdraiato (Masi e Hannon, PMID 19083691).</w:t>
      </w:r>
      <w:r>
        <w:t xml:space="preserve"> </w:t>
      </w:r>
      <w:r>
        <w:rPr>
          <w:b/>
          <w:bCs/>
        </w:rPr>
        <w:t xml:space="preserve">Cosa la produce.</w:t>
      </w:r>
      <w:r>
        <w:t xml:space="preserve"> </w:t>
      </w:r>
      <w:r>
        <w:t xml:space="preserve">Quando un muscolo smette di contrarsi i ponti fra i filamenti si staccano. Circa l’</w:t>
      </w:r>
      <w:r>
        <w:rPr>
          <w:b/>
          <w:bCs/>
        </w:rPr>
        <w:t xml:space="preserve">uno per cento</w:t>
      </w:r>
      <w:r>
        <w:t xml:space="preserve"> </w:t>
      </w:r>
      <w:r>
        <w:t xml:space="preserve">però si riforma, in una versione che non genera forza. Quei ponti restano finché il muscolo non viene mosso, e uno stiramento li stacca perché si riformino alla nuova lunghezza (Proske,</w:t>
      </w:r>
      <w:r>
        <w:t xml:space="preserve"> </w:t>
      </w:r>
      <w:r>
        <w:rPr>
          <w:i/>
          <w:iCs/>
        </w:rPr>
        <w:t xml:space="preserve">Exp Brain Res</w:t>
      </w:r>
      <w:r>
        <w:t xml:space="preserve"> </w:t>
      </w:r>
      <w:r>
        <w:t xml:space="preserve">2014, PMID 25200179).</w:t>
      </w:r>
      <w:r>
        <w:t xml:space="preserve"> </w:t>
      </w:r>
      <w:r>
        <w:rPr>
          <w:b/>
          <w:bCs/>
        </w:rPr>
        <w:t xml:space="preserve">Perché conta qui.</w:t>
      </w:r>
      <w:r>
        <w:t xml:space="preserve"> </w:t>
      </w:r>
      <w:r>
        <w:t xml:space="preserve">È il substrato fisico della rigidità mattutina, di quella dopo un’ora di sedia, e del sollievo immediato dello stretching che non dura. Ed è la prima cosa da rimettere a posto nella testa del paziente e, spesso, nella tua.</w:t>
      </w:r>
    </w:p>
    <w:bookmarkEnd w:id="24"/>
    <w:bookmarkStart w:id="25" w:name="la-fascia-toracolombare"/>
    <w:p>
      <w:pPr>
        <w:pStyle w:val="Heading3"/>
      </w:pPr>
      <w:r>
        <w:t xml:space="preserve">La fascia toracolombare</w:t>
      </w:r>
    </w:p>
    <w:p>
      <w:pPr>
        <w:pStyle w:val="FirstParagraph"/>
      </w:pPr>
      <w:r>
        <w:rPr>
          <w:b/>
          <w:bCs/>
        </w:rPr>
        <w:t xml:space="preserve">Cos’è.</w:t>
      </w:r>
      <w:r>
        <w:t xml:space="preserve"> </w:t>
      </w:r>
      <w:r>
        <w:t xml:space="preserve">Tre strati di connettivo denso separati da strati lassi, che scorrono l’uno sull’altro. Trasmette forza fra tronco, bacino e arti, e lascia che il muscolo sotto cambi forma senza tirarsi dietro i vicini.</w:t>
      </w:r>
    </w:p>
    <w:p>
      <w:pPr>
        <w:pStyle w:val="BodyText"/>
      </w:pPr>
      <w:r>
        <w:rPr>
          <w:b/>
          <w:bCs/>
        </w:rPr>
        <w:t xml:space="preserve">Perché conta qui.</w:t>
      </w:r>
      <w:r>
        <w:t xml:space="preserve"> </w:t>
      </w:r>
      <w:r>
        <w:t xml:space="preserve">Nelle persone con</w:t>
      </w:r>
      <w:r>
        <w:t xml:space="preserve"> </w:t>
      </w:r>
      <w:r>
        <w:rPr>
          <w:b/>
          <w:bCs/>
        </w:rPr>
        <w:t xml:space="preserve">lombalgia cronica</w:t>
      </w:r>
      <w:r>
        <w:t xml:space="preserve"> </w:t>
      </w:r>
      <w:r>
        <w:t xml:space="preserve">lo</w:t>
      </w:r>
      <w:r>
        <w:t xml:space="preserve"> </w:t>
      </w:r>
      <w:r>
        <w:rPr>
          <w:b/>
          <w:bCs/>
        </w:rPr>
        <w:t xml:space="preserve">scorrimento fra gli strati è ridotto di circa un quinto</w:t>
      </w:r>
      <w:r>
        <w:t xml:space="preserve">: 56,4% contro 70,2%. La misura viene da ecografia dinamica su 71 pazienti con lombalgia da oltre un anno e 50 controlli (Langevin,</w:t>
      </w:r>
      <w:r>
        <w:t xml:space="preserve"> </w:t>
      </w:r>
      <w:r>
        <w:rPr>
          <w:i/>
          <w:iCs/>
        </w:rPr>
        <w:t xml:space="preserve">BMC Musculoskelet Disord</w:t>
      </w:r>
      <w:r>
        <w:t xml:space="preserve"> </w:t>
      </w:r>
      <w:r>
        <w:t xml:space="preserve">2011, PMID 21929806). È un dato trasversale: dice che i due gruppi sono diversi, non che il tessuto sia la causa. E nello stesso studio le correlazioni con l’escursione e con i test funzionali erano significative</w:t>
      </w:r>
      <w:r>
        <w:t xml:space="preserve"> </w:t>
      </w:r>
      <w:r>
        <w:rPr>
          <w:b/>
          <w:bCs/>
        </w:rPr>
        <w:t xml:space="preserve">solo nei maschi</w:t>
      </w:r>
      <w:r>
        <w:t xml:space="preserve">.</w:t>
      </w:r>
    </w:p>
    <w:p>
      <w:pPr>
        <w:pStyle w:val="BodyText"/>
      </w:pPr>
      <w:r>
        <w:t xml:space="preserve">E c’è una cosa che quasi nessuno ha in testa: la fascia è più dolorosa del muscolo che copre, e il suo dolore si allarga di più. In sedici volontari sani è stata iniettata la stessa soluzione salina ipertonica nella fascia toracolombare e nel multifido sotto. La</w:t>
      </w:r>
      <w:r>
        <w:t xml:space="preserve"> </w:t>
      </w:r>
      <w:r>
        <w:rPr>
          <w:b/>
          <w:bCs/>
        </w:rPr>
        <w:t xml:space="preserve">fascia</w:t>
      </w:r>
      <w:r>
        <w:t xml:space="preserve"> </w:t>
      </w:r>
      <w:r>
        <w:t xml:space="preserve">ha prodotto un picco di dolore superiore dell’86% e un’</w:t>
      </w:r>
      <w:r>
        <w:rPr>
          <w:b/>
          <w:bCs/>
        </w:rPr>
        <w:t xml:space="preserve">area più estesa del 65%</w:t>
      </w:r>
      <w:r>
        <w:t xml:space="preserve"> </w:t>
      </w:r>
      <w:r>
        <w:t xml:space="preserve">(Vogel, PMID 35330091). Le sue terminazioni nocicettive stanno poi soprattutto nello strato</w:t>
      </w:r>
      <w:r>
        <w:t xml:space="preserve"> </w:t>
      </w:r>
      <w:r>
        <w:rPr>
          <w:b/>
          <w:bCs/>
        </w:rPr>
        <w:t xml:space="preserve">esterno</w:t>
      </w:r>
      <w:r>
        <w:t xml:space="preserve"> </w:t>
      </w:r>
      <w:r>
        <w:t xml:space="preserve">e nel sottocute, non in profondità (Tesarz, PMID 21839150). Se un paziente ti dice «mi fa male tutto e non so dove», il tessuto che si comporta così è quello superficiale, non il ventre muscolare che stai cercando di raggiungere.</w:t>
      </w:r>
    </w:p>
    <w:bookmarkEnd w:id="25"/>
    <w:bookmarkStart w:id="26" w:name="il-trapezio-superiore"/>
    <w:p>
      <w:pPr>
        <w:pStyle w:val="Heading3"/>
      </w:pPr>
      <w:r>
        <w:t xml:space="preserve">Il trapezio superiore</w:t>
      </w:r>
    </w:p>
    <w:p>
      <w:pPr>
        <w:pStyle w:val="FirstParagraph"/>
      </w:pPr>
      <w:r>
        <w:rPr>
          <w:b/>
          <w:bCs/>
        </w:rPr>
        <w:t xml:space="preserve">Cos’è.</w:t>
      </w:r>
      <w:r>
        <w:t xml:space="preserve"> </w:t>
      </w:r>
      <w:r>
        <w:t xml:space="preserve">Il muscolo che tiene su il cingolo scapolare, e che tutti chiamano «il nodo». Lavora a bassa intensità per ore, con micro-pause fra un compito e l’altro.</w:t>
      </w:r>
      <w:r>
        <w:t xml:space="preserve"> </w:t>
      </w:r>
      <w:r>
        <w:rPr>
          <w:b/>
          <w:bCs/>
        </w:rPr>
        <w:t xml:space="preserve">Perché conta qui.</w:t>
      </w:r>
      <w:r>
        <w:t xml:space="preserve"> </w:t>
      </w:r>
      <w:r>
        <w:t xml:space="preserve">È il muscolo su cui questa condizione è stata</w:t>
      </w:r>
      <w:r>
        <w:t xml:space="preserve"> </w:t>
      </w:r>
      <w:r>
        <w:rPr>
          <w:b/>
          <w:bCs/>
        </w:rPr>
        <w:t xml:space="preserve">misurata</w:t>
      </w:r>
      <w:r>
        <w:t xml:space="preserve">. La sua rigidità si quantifica con l’elastografia, sale con l’immobilità e scende con il movimento e con il massaggio ripetuto. È il tuo laboratorio.</w:t>
      </w:r>
    </w:p>
    <w:bookmarkEnd w:id="26"/>
    <w:bookmarkStart w:id="27" w:name="il-diaframma-e-il-torace"/>
    <w:p>
      <w:pPr>
        <w:pStyle w:val="Heading3"/>
      </w:pPr>
      <w:r>
        <w:t xml:space="preserve">Il diaframma e il torace</w:t>
      </w:r>
    </w:p>
    <w:p>
      <w:pPr>
        <w:pStyle w:val="FirstParagraph"/>
      </w:pPr>
      <w:r>
        <w:rPr>
          <w:b/>
          <w:bCs/>
        </w:rPr>
        <w:t xml:space="preserve">Cos’è.</w:t>
      </w:r>
      <w:r>
        <w:t xml:space="preserve"> </w:t>
      </w:r>
      <w:r>
        <w:t xml:space="preserve">Il muscolo che genera il gradiente pressorio fra torace e addome. Muove coste, colonna dorsale e visceri anche in chi sta seduto tutto il giorno.</w:t>
      </w:r>
      <w:r>
        <w:t xml:space="preserve"> </w:t>
      </w:r>
      <w:r>
        <w:rPr>
          <w:b/>
          <w:bCs/>
        </w:rPr>
        <w:t xml:space="preserve">Perché conta qui.</w:t>
      </w:r>
      <w:r>
        <w:t xml:space="preserve"> </w:t>
      </w:r>
      <w:r>
        <w:t xml:space="preserve">Sotto carico mentale il respiro sale in alto e si accorcia, e la</w:t>
      </w:r>
      <w:r>
        <w:t xml:space="preserve"> </w:t>
      </w:r>
      <w:r>
        <w:rPr>
          <w:b/>
          <w:bCs/>
        </w:rPr>
        <w:t xml:space="preserve">CO2 di fine espirazione scende</w:t>
      </w:r>
      <w:r>
        <w:t xml:space="preserve">: la persona iperventila leggermente senza accorgersene (Schleifer,</w:t>
      </w:r>
      <w:r>
        <w:t xml:space="preserve"> </w:t>
      </w:r>
      <w:r>
        <w:rPr>
          <w:i/>
          <w:iCs/>
        </w:rPr>
        <w:t xml:space="preserve">Psychophysiology</w:t>
      </w:r>
      <w:r>
        <w:t xml:space="preserve"> </w:t>
      </w:r>
      <w:r>
        <w:t xml:space="preserve">2008, PMID 18282206). Un torace che si muove poco toglie al corpo l’unico movimento che avviene anche stando fermi. E la CO2 bassa non resta una curiosità respiratoria: è l’anello che riporta il respiro al muscolo, ed è nel meccanismo 2.</w:t>
      </w:r>
    </w:p>
    <w:bookmarkEnd w:id="27"/>
    <w:bookmarkStart w:id="28" w:name="il-fuso-neuromuscolare"/>
    <w:p>
      <w:pPr>
        <w:pStyle w:val="Heading3"/>
      </w:pPr>
      <w:r>
        <w:t xml:space="preserve">Il fuso neuromuscolare</w:t>
      </w:r>
    </w:p>
    <w:p>
      <w:pPr>
        <w:pStyle w:val="FirstParagraph"/>
      </w:pPr>
      <w:r>
        <w:rPr>
          <w:b/>
          <w:bCs/>
        </w:rPr>
        <w:t xml:space="preserve">Cos’è.</w:t>
      </w:r>
      <w:r>
        <w:t xml:space="preserve"> </w:t>
      </w:r>
      <w:r>
        <w:t xml:space="preserve">Il sensore di lunghezza dentro il muscolo.</w:t>
      </w:r>
      <w:r>
        <w:t xml:space="preserve"> </w:t>
      </w:r>
      <w:r>
        <w:rPr>
          <w:b/>
          <w:bCs/>
        </w:rPr>
        <w:t xml:space="preserve">Perché conta qui.</w:t>
      </w:r>
      <w:r>
        <w:t xml:space="preserve"> </w:t>
      </w:r>
      <w:r>
        <w:t xml:space="preserve">Anche le sue fibre sono tissotropiche. Dopo una contrazione seguita da immobilità il fuso resta con una scarica di fondo alta e molto sensibile allo stiramento (Proske, 2014). Il paziente</w:t>
      </w:r>
      <w:r>
        <w:t xml:space="preserve"> </w:t>
      </w:r>
      <w:r>
        <w:rPr>
          <w:b/>
          <w:bCs/>
        </w:rPr>
        <w:t xml:space="preserve">sente di essere tirato</w:t>
      </w:r>
      <w:r>
        <w:t xml:space="preserve"> </w:t>
      </w:r>
      <w:r>
        <w:t xml:space="preserve">senza che nulla si sia accorciato: la sensazione è vera, la spiegazione che si è dato è falsa. È la sveglia che suona un’ora prima: il suono è vero, l’ora che indica no.</w:t>
      </w:r>
    </w:p>
    <w:bookmarkEnd w:id="28"/>
    <w:bookmarkStart w:id="29" w:name="il-freno-discendente"/>
    <w:p>
      <w:pPr>
        <w:pStyle w:val="Heading3"/>
      </w:pPr>
      <w:r>
        <w:t xml:space="preserve">Il freno discendente</w:t>
      </w:r>
    </w:p>
    <w:p>
      <w:pPr>
        <w:pStyle w:val="FirstParagraph"/>
      </w:pPr>
      <w:r>
        <w:rPr>
          <w:b/>
          <w:bCs/>
        </w:rPr>
        <w:t xml:space="preserve">Cos’è.</w:t>
      </w:r>
      <w:r>
        <w:t xml:space="preserve"> </w:t>
      </w:r>
      <w:r>
        <w:t xml:space="preserve">Un freno che parte dal cervello e scende sul midollo. Decide quanto del segnale che arriva dal tessuto diventa sintomo.</w:t>
      </w:r>
      <w:r>
        <w:t xml:space="preserve"> </w:t>
      </w:r>
      <w:r>
        <w:rPr>
          <w:b/>
          <w:bCs/>
        </w:rPr>
        <w:t xml:space="preserve">Perché conta qui.</w:t>
      </w:r>
      <w:r>
        <w:t xml:space="preserve"> </w:t>
      </w:r>
      <w:r>
        <w:t xml:space="preserve">Se funziona meno, la stessa quantità di segnale diventa sintomo. E quel freno si ricarica dormendo. È il terzo meccanismo, e cambia tutto il piano.</w:t>
      </w:r>
    </w:p>
    <w:p>
      <w:pPr>
        <w:pStyle w:val="BodyText"/>
      </w:pPr>
      <w:r>
        <w:rPr>
          <w:b/>
          <w:bCs/>
        </w:rPr>
        <w:t xml:space="preserve">Le tre cose da ricordare, più una</w:t>
      </w:r>
    </w:p>
    <w:p>
      <w:pPr>
        <w:pStyle w:val="Compact"/>
        <w:numPr>
          <w:ilvl w:val="0"/>
          <w:numId w:val="1011"/>
        </w:numPr>
      </w:pPr>
      <w:r>
        <w:t xml:space="preserve">Il muscolo che senti duro nell’arto rilassato non sta contraendosi: quella resistenza è materiale, non comando.</w:t>
      </w:r>
    </w:p>
    <w:p>
      <w:pPr>
        <w:pStyle w:val="Compact"/>
        <w:numPr>
          <w:ilvl w:val="0"/>
          <w:numId w:val="1011"/>
        </w:numPr>
      </w:pPr>
      <w:r>
        <w:t xml:space="preserve">Il tessuto che genera un dolore ampio e mal localizzato è quello superficiale, non il ventre profondo.</w:t>
      </w:r>
    </w:p>
    <w:p>
      <w:pPr>
        <w:pStyle w:val="Compact"/>
        <w:numPr>
          <w:ilvl w:val="0"/>
          <w:numId w:val="1011"/>
        </w:numPr>
      </w:pPr>
      <w:r>
        <w:t xml:space="preserve">Il fuso spiega la sensazione di «tirato» senza accorciamento: al paziente serve saperlo prima di ricominciare a stirare.</w:t>
      </w:r>
    </w:p>
    <w:p>
      <w:pPr>
        <w:pStyle w:val="Compact"/>
        <w:numPr>
          <w:ilvl w:val="0"/>
          <w:numId w:val="1011"/>
        </w:numPr>
      </w:pPr>
      <w:r>
        <w:rPr>
          <w:b/>
          <w:bCs/>
        </w:rPr>
        <w:t xml:space="preserve">Perché ci sei tu.</w:t>
      </w:r>
      <w:r>
        <w:t xml:space="preserve"> </w:t>
      </w:r>
      <w:r>
        <w:t xml:space="preserve">Lo stesso stimolo chimico nella fascia toracolombare fa più male e si allarga di più che nel muscolo sotto, in sedici volontari sani (Vogel, 2022, PMID 35330091). Questo ti autorizza a considerare il piano superficiale un generatore vero, invece di cercare sempre la profondità. Non ti autorizza a dire a questo paziente che il suo dolore viene dalla fascia: è stato misurato con una siringa su volontari sani, non su di lui.</w:t>
      </w:r>
    </w:p>
    <w:p>
      <w:r>
        <w:pict>
          <v:rect style="width:0;height:1.5pt" o:hralign="center" o:hrstd="t" o:hr="t"/>
        </w:pict>
      </w:r>
    </w:p>
    <w:bookmarkEnd w:id="29"/>
    <w:bookmarkEnd w:id="30"/>
    <w:bookmarkStart w:id="31"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 corpo sciolto è un corpo che si muove abbastanza spesso da non lasciar depositare la rigidità che si forma da sola.</w:t>
      </w:r>
    </w:p>
    <w:p>
      <w:pPr>
        <w:pStyle w:val="FirstParagraph"/>
      </w:pPr>
      <w:r>
        <w:t xml:space="preserve">La sequenza, in ordine.</w:t>
      </w:r>
    </w:p>
    <w:p>
      <w:pPr>
        <w:numPr>
          <w:ilvl w:val="0"/>
          <w:numId w:val="1012"/>
        </w:numPr>
      </w:pPr>
      <w:r>
        <w:rPr>
          <w:b/>
          <w:bCs/>
        </w:rPr>
        <w:t xml:space="preserve">A riposo il muscolo non è spento, ed è comunque rigido.</w:t>
      </w:r>
      <w:r>
        <w:t xml:space="preserve"> </w:t>
      </w:r>
      <w:r>
        <w:t xml:space="preserve">Attività elettrica assente, resistenza allo stiramento presente: è tensione passiva, e stabilizza il corpo quasi senza consumare energia.</w:t>
      </w:r>
    </w:p>
    <w:p>
      <w:pPr>
        <w:numPr>
          <w:ilvl w:val="0"/>
          <w:numId w:val="1012"/>
        </w:numPr>
      </w:pPr>
      <w:r>
        <w:rPr>
          <w:b/>
          <w:bCs/>
        </w:rPr>
        <w:t xml:space="preserve">I muscoli posturali si riposano senza fermarsi.</w:t>
      </w:r>
      <w:r>
        <w:t xml:space="preserve"> </w:t>
      </w:r>
      <w:r>
        <w:t xml:space="preserve">Un muscolo che lavora a bassa intensità per ore si concede micro-pause, cioè brevi silenzi elettrici fra un compito e l’altro. È l’unico riposo che ha, e non richiede che smetta di lavorare: sono i pochi secondi in cui stacchi gli occhi dallo schermo senza alzarti dalla scrivania.</w:t>
      </w:r>
    </w:p>
    <w:p>
      <w:pPr>
        <w:numPr>
          <w:ilvl w:val="0"/>
          <w:numId w:val="1012"/>
        </w:numPr>
      </w:pPr>
      <w:r>
        <w:rPr>
          <w:b/>
          <w:bCs/>
        </w:rPr>
        <w:t xml:space="preserve">La rigidità passiva si costruisce da sola quando il muscolo sta fermo</w:t>
      </w:r>
      <w:r>
        <w:t xml:space="preserve">, perché i ponti non contrattili si accumulano. Più a lungo resta immobile, più è duro alla prima mossa.</w:t>
      </w:r>
    </w:p>
    <w:p>
      <w:pPr>
        <w:numPr>
          <w:ilvl w:val="0"/>
          <w:numId w:val="1012"/>
        </w:numPr>
      </w:pPr>
      <w:r>
        <w:rPr>
          <w:b/>
          <w:bCs/>
        </w:rPr>
        <w:t xml:space="preserve">Ogni movimento li stacca, e loro tornano in fretta.</w:t>
      </w:r>
      <w:r>
        <w:t xml:space="preserve"> </w:t>
      </w:r>
      <w:r>
        <w:t xml:space="preserve">Basta un’oscillazione o un passo per staccarli, e basta una</w:t>
      </w:r>
      <w:r>
        <w:t xml:space="preserve"> </w:t>
      </w:r>
      <w:r>
        <w:rPr>
          <w:b/>
          <w:bCs/>
        </w:rPr>
        <w:t xml:space="preserve">quindicina di secondi</w:t>
      </w:r>
      <w:r>
        <w:t xml:space="preserve"> </w:t>
      </w:r>
      <w:r>
        <w:t xml:space="preserve">di immobilità perché gran parte torni (Lakie e Campbell, PMID 31070959). È un ciclo che gira centinaia di volte al giorno, e che nessuno nota.</w:t>
      </w:r>
    </w:p>
    <w:p>
      <w:pPr>
        <w:numPr>
          <w:ilvl w:val="0"/>
          <w:numId w:val="1012"/>
        </w:numPr>
      </w:pPr>
      <w:r>
        <w:rPr>
          <w:b/>
          <w:bCs/>
        </w:rPr>
        <w:t xml:space="preserve">La fascia lascia scorrere.</w:t>
      </w:r>
      <w:r>
        <w:t xml:space="preserve"> </w:t>
      </w:r>
      <w:r>
        <w:t xml:space="preserve">Gli strati densi slittano sugli strati lassi: è questo che rende locale un movimento locale.</w:t>
      </w:r>
    </w:p>
    <w:p>
      <w:pPr>
        <w:numPr>
          <w:ilvl w:val="0"/>
          <w:numId w:val="1012"/>
        </w:numPr>
      </w:pPr>
      <w:r>
        <w:rPr>
          <w:b/>
          <w:bCs/>
        </w:rPr>
        <w:t xml:space="preserve">Il torace si muove anche quando il resto è fermo.</w:t>
      </w:r>
      <w:r>
        <w:t xml:space="preserve"> </w:t>
      </w:r>
      <w:r>
        <w:t xml:space="preserve">Ventimila atti respiratori al giorno: il movimento di riserva del corpo.</w:t>
      </w:r>
    </w:p>
    <w:p>
      <w:pPr>
        <w:numPr>
          <w:ilvl w:val="0"/>
          <w:numId w:val="1012"/>
        </w:numPr>
      </w:pPr>
      <w:r>
        <w:rPr>
          <w:b/>
          <w:bCs/>
        </w:rPr>
        <w:t xml:space="preserve">Il sistema nervoso tiene una soglia</w:t>
      </w:r>
      <w:r>
        <w:t xml:space="preserve">, mantenuta dalle vie discendenti che frenano e dal sonno che le ricarica.</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13"/>
        </w:numPr>
      </w:pPr>
      <w:r>
        <w:t xml:space="preserve">La rigidità non è un difetto: è una proprietà normale del muscolo fermo. Il difetto è che non venga più cancellata abbastanza spesso.</w:t>
      </w:r>
    </w:p>
    <w:p>
      <w:pPr>
        <w:pStyle w:val="Compact"/>
        <w:numPr>
          <w:ilvl w:val="0"/>
          <w:numId w:val="1013"/>
        </w:numPr>
      </w:pPr>
      <w:r>
        <w:t xml:space="preserve">Il respiro è l’unico movimento che continua anche in un corpo immobile, ed è il primo che si riduce sotto carico.</w:t>
      </w:r>
    </w:p>
    <w:p>
      <w:pPr>
        <w:pStyle w:val="Compact"/>
        <w:numPr>
          <w:ilvl w:val="0"/>
          <w:numId w:val="1013"/>
        </w:numPr>
      </w:pPr>
      <w:r>
        <w:t xml:space="preserve">La soglia non è un modo di dire: è una funzione mantenuta attivamente, e si consuma.</w:t>
      </w:r>
    </w:p>
    <w:p>
      <w:pPr>
        <w:pStyle w:val="Compact"/>
        <w:numPr>
          <w:ilvl w:val="0"/>
          <w:numId w:val="1013"/>
        </w:numPr>
      </w:pPr>
      <w:r>
        <w:rPr>
          <w:b/>
          <w:bCs/>
        </w:rPr>
        <w:t xml:space="preserve">Perché ci sei tu.</w:t>
      </w:r>
      <w:r>
        <w:t xml:space="preserve"> </w:t>
      </w:r>
      <w:r>
        <w:t xml:space="preserve">Negli arti rilassati l’elettromiografia non registra attività (Masi e Hannon, PMID 19083691). Questo ti autorizza a dire al paziente che «duro» non significa «contratto». Non ti autorizza a dire che il muscolo non c’entra: la rigidità è reale, cambia la sua origine.</w:t>
      </w:r>
    </w:p>
    <w:p>
      <w:r>
        <w:pict>
          <v:rect style="width:0;height:1.5pt" o:hralign="center" o:hrstd="t" o:hr="t"/>
        </w:pict>
      </w:r>
    </w:p>
    <w:bookmarkEnd w:id="31"/>
    <w:bookmarkStart w:id="37"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meccanismi, e il primo spiega da solo la metà di quello che il paziente ti racconta.</w:t>
      </w:r>
    </w:p>
    <w:p>
      <w:pPr>
        <w:pStyle w:val="FirstParagraph"/>
      </w:pPr>
      <w:r>
        <w:t xml:space="preserve">I meccanismi sono ordinati</w:t>
      </w:r>
      <w:r>
        <w:t xml:space="preserve"> </w:t>
      </w:r>
      <w:r>
        <w:rPr>
          <w:b/>
          <w:bCs/>
        </w:rPr>
        <w:t xml:space="preserve">dal più solido al meno solido</w:t>
      </w:r>
      <w:r>
        <w:t xml:space="preserve">, non dal più suggestivo.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r>
        <w:pict>
          <v:rect style="width:0;height:1.5pt" o:hralign="center" o:hrstd="t" o:hr="t"/>
        </w:pict>
      </w:r>
    </w:p>
    <w:bookmarkStart w:id="32" w:name="X73a48571372aaf67bb9f9d782a46b76f4679fa3"/>
    <w:p>
      <w:pPr>
        <w:pStyle w:val="Heading3"/>
      </w:pPr>
      <w:r>
        <w:t xml:space="preserve">1. La rigidità che si costruisce stando fermi</w:t>
      </w:r>
    </w:p>
    <w:p>
      <w:pPr>
        <w:pStyle w:val="FirstParagraph"/>
      </w:pPr>
      <w:r>
        <w:t xml:space="preserve">La sequenza:</w:t>
      </w:r>
    </w:p>
    <w:p>
      <w:pPr>
        <w:pStyle w:val="Compact"/>
        <w:numPr>
          <w:ilvl w:val="0"/>
          <w:numId w:val="1014"/>
        </w:numPr>
      </w:pPr>
      <w:r>
        <w:t xml:space="preserve">Il paziente passa la maggior parte delle ore in poche posizioni: seduto, sdraiato, in piedi fermo.</w:t>
      </w:r>
    </w:p>
    <w:p>
      <w:pPr>
        <w:pStyle w:val="Compact"/>
        <w:numPr>
          <w:ilvl w:val="0"/>
          <w:numId w:val="1014"/>
        </w:numPr>
      </w:pPr>
      <w:r>
        <w:t xml:space="preserve">Nei muscoli immobili i ponti non contrattili si accumulano, e la rigidità passiva sale con il tempo di immobilità.</w:t>
      </w:r>
    </w:p>
    <w:p>
      <w:pPr>
        <w:pStyle w:val="Compact"/>
        <w:numPr>
          <w:ilvl w:val="0"/>
          <w:numId w:val="1014"/>
        </w:numPr>
      </w:pPr>
      <w:r>
        <w:t xml:space="preserve">Alla prima mossa il corpo è duro. Il paziente si muove, i ponti si staccano, la rigidità cala.</w:t>
      </w:r>
    </w:p>
    <w:p>
      <w:pPr>
        <w:pStyle w:val="Compact"/>
        <w:numPr>
          <w:ilvl w:val="0"/>
          <w:numId w:val="1014"/>
        </w:numPr>
      </w:pPr>
      <w:r>
        <w:t xml:space="preserve">Il ciclo ricomincia appena si ferma, e ricomincia</w:t>
      </w:r>
      <w:r>
        <w:t xml:space="preserve"> </w:t>
      </w:r>
      <w:r>
        <w:rPr>
          <w:b/>
          <w:bCs/>
        </w:rPr>
        <w:t xml:space="preserve">in fretta</w:t>
      </w:r>
      <w:r>
        <w:t xml:space="preserve">: bastano una quindicina di secondi di immobilità perché gran parte della rigidità torni. È la ragione per cui questo meccanismo non si tratta in seduta — si tratta nella giornata.</w:t>
      </w:r>
    </w:p>
    <w:p>
      <w:pPr>
        <w:pStyle w:val="Compact"/>
        <w:numPr>
          <w:ilvl w:val="0"/>
          <w:numId w:val="1014"/>
        </w:numPr>
      </w:pPr>
      <w:r>
        <w:t xml:space="preserve">Il paziente non lo legge come un ciclo. Lo legge come uno stato:</w:t>
      </w:r>
      <w:r>
        <w:t xml:space="preserve"> </w:t>
      </w:r>
      <w:r>
        <w:rPr>
          <w:i/>
          <w:iCs/>
        </w:rPr>
        <w:t xml:space="preserve">«sono rigido»</w:t>
      </w:r>
      <w:r>
        <w:t xml:space="preserv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il fenomeno è misurato direttamente. La rigidità della caviglia in stazione eretta cala</w:t>
      </w:r>
      <w:r>
        <w:t xml:space="preserve"> </w:t>
      </w:r>
      <w:r>
        <w:rPr>
          <w:b/>
          <w:bCs/>
        </w:rPr>
        <w:t xml:space="preserve">fino al 43%</w:t>
      </w:r>
      <w:r>
        <w:t xml:space="preserve"> </w:t>
      </w:r>
      <w:r>
        <w:t xml:space="preserve">quando il corpo oscilla di più: dieci soggetti sani, e il confronto è fra oscillazione aumentata e corpo fissato a una tavola (Sakanaka, PMID 26607292). In 25 donne sane, dopo</w:t>
      </w:r>
      <w:r>
        <w:t xml:space="preserve"> </w:t>
      </w:r>
      <w:r>
        <w:rPr>
          <w:b/>
          <w:bCs/>
        </w:rPr>
        <w:t xml:space="preserve">90 minuti di seduta</w:t>
      </w:r>
      <w:r>
        <w:t xml:space="preserve"> </w:t>
      </w:r>
      <w:r>
        <w:t xml:space="preserve">al computer la rigidità elastografica del trapezio sale. Un esercizio di collo e spalle la riporta giù, insieme al dolore (Nitta, PMID 40084577). La rigidità percepita al ginocchio sale già a 30 minuti di seduta: è un pilota, con 31 partecipanti analizzati. La soglia di rilevanza clinica che gli autori si danno è raggiunta da 60 minuti in poi (Kovats, PMID 41869370). La sintesi del meccanismo, incluso il recupero in circa quindici secondi, è in Lakie e Campbell, PMID 31070959.</w:t>
      </w:r>
    </w:p>
    <w:p>
      <w:pPr>
        <w:pStyle w:val="FirstParagraph"/>
      </w:pPr>
      <w:r>
        <w:rPr>
          <w:b/>
          <w:bCs/>
        </w:rPr>
        <w:t xml:space="preserve">Come si vede addosso al paziente.</w:t>
      </w:r>
      <w:r>
        <w:t xml:space="preserve"> </w:t>
      </w:r>
      <w:r>
        <w:t xml:space="preserve">Rigidità massima al risveglio e dopo ogni immobilità. Sblocco nei primi minuti di movimento. Meglio camminando, peggio alla scrivania. Un fine settimana attivo è meglio di uno di riposo, e questo lo confonde.</w:t>
      </w:r>
    </w:p>
    <w:p>
      <w:pPr>
        <w:pStyle w:val="BodyText"/>
      </w:pPr>
      <w:r>
        <w:rPr>
          <w:b/>
          <w:bCs/>
        </w:rPr>
        <w:t xml:space="preserve">È il miele nel barattolo: fermo diventa denso, giri il cucchiaio e torna liquido.</w:t>
      </w:r>
    </w:p>
    <w:p>
      <w:r>
        <w:pict>
          <v:rect style="width:0;height:1.5pt" o:hralign="center" o:hrstd="t" o:hr="t"/>
        </w:pict>
      </w:r>
    </w:p>
    <w:bookmarkEnd w:id="32"/>
    <w:bookmarkStart w:id="33" w:name="X74c39374ca52a43d1c20f582722824ce7837f99"/>
    <w:p>
      <w:pPr>
        <w:pStyle w:val="Heading3"/>
      </w:pPr>
      <w:r>
        <w:t xml:space="preserve">2. Il carico mentale che tiene acceso il muscolo e alza il respiro</w:t>
      </w:r>
    </w:p>
    <w:p>
      <w:pPr>
        <w:pStyle w:val="FirstParagraph"/>
      </w:pPr>
      <w:r>
        <w:t xml:space="preserve">La sequenza:</w:t>
      </w:r>
    </w:p>
    <w:p>
      <w:pPr>
        <w:pStyle w:val="Compact"/>
        <w:numPr>
          <w:ilvl w:val="0"/>
          <w:numId w:val="1015"/>
        </w:numPr>
      </w:pPr>
      <w:r>
        <w:t xml:space="preserve">Sotto carico mentale l’attività elettrica del trapezio sale, e ci resta.</w:t>
      </w:r>
    </w:p>
    <w:p>
      <w:pPr>
        <w:pStyle w:val="Compact"/>
        <w:numPr>
          <w:ilvl w:val="0"/>
          <w:numId w:val="1015"/>
        </w:numPr>
      </w:pPr>
      <w:r>
        <w:t xml:space="preserve">Spariscono le micro-pause, cioè quei momenti di silenzio elettrico che normalmente intervallano un lavoro leggero.</w:t>
      </w:r>
    </w:p>
    <w:p>
      <w:pPr>
        <w:pStyle w:val="Compact"/>
        <w:numPr>
          <w:ilvl w:val="0"/>
          <w:numId w:val="1015"/>
        </w:numPr>
      </w:pPr>
      <w:r>
        <w:t xml:space="preserve">Senza micro-pause il muscolo non si riposa mai davvero, nemmeno mentre fa poco.</w:t>
      </w:r>
    </w:p>
    <w:p>
      <w:pPr>
        <w:pStyle w:val="Compact"/>
        <w:numPr>
          <w:ilvl w:val="0"/>
          <w:numId w:val="1015"/>
        </w:numPr>
      </w:pPr>
      <w:r>
        <w:t xml:space="preserve">Nello stesso momento il respiro sale e si accorcia, e la CO2 di fine espirazione scende.</w:t>
      </w:r>
    </w:p>
    <w:p>
      <w:pPr>
        <w:pStyle w:val="Compact"/>
        <w:numPr>
          <w:ilvl w:val="0"/>
          <w:numId w:val="1015"/>
        </w:numPr>
      </w:pPr>
      <w:r>
        <w:t xml:space="preserve">La CO2 bassa alza l’eccitabilità neuromuscolare: lo stesso comando produce più attività, e la stessa pressione produce più sensazione. È l’anello che riporta il respiro al muscolo.</w:t>
      </w:r>
    </w:p>
    <w:p>
      <w:pPr>
        <w:pStyle w:val="Compact"/>
        <w:numPr>
          <w:ilvl w:val="0"/>
          <w:numId w:val="1015"/>
        </w:numPr>
      </w:pPr>
      <w:r>
        <w:t xml:space="preserve">Il paziente arriva a sera con spalle su, mandibola stretta e schiena dura, e non ha fatto nessuno sforzo.</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DIMOSTRATO</w:t>
      </w:r>
      <w:r>
        <w:t xml:space="preserve"> </w:t>
      </w:r>
      <w:r>
        <w:rPr>
          <w:i/>
          <w:iCs/>
        </w:rPr>
        <w:t xml:space="preserve">(studi sull’uomo, solidi)</w:t>
      </w:r>
      <w:r>
        <w:t xml:space="preserve"> </w:t>
      </w:r>
      <w:r>
        <w:t xml:space="preserve">sul fenomeno in laboratorio. In 23 persone al computer, il passaggio da carico mentale basso ad alto ha aumentato l’attività elettrica di entrambi i trapezi, ridotto le micro-pause e abbassato la CO2 di fine espirazione (Schleifer, PMID 18282206). Compito sperimentale su lavoratori al computer, non pazienti con rigidità diffusa.</w:t>
      </w:r>
      <w:r>
        <w:t xml:space="preserve"> </w:t>
      </w:r>
      <w:r>
        <w:rPr>
          <w:b/>
          <w:bCs/>
        </w:rPr>
        <w:t xml:space="preserve">IPOTESI</w:t>
      </w:r>
      <w:r>
        <w:t xml:space="preserve"> </w:t>
      </w:r>
      <w:r>
        <w:rPr>
          <w:i/>
          <w:iCs/>
        </w:rPr>
        <w:t xml:space="preserve">(meccanismo coerente, nessuno studio)</w:t>
      </w:r>
      <w:r>
        <w:t xml:space="preserve"> </w:t>
      </w:r>
      <w:r>
        <w:t xml:space="preserve">sull’anello della CO2. Che l’alcalosi da iperventilazione aumenti l’eccitabilità neuromuscolare è fisiologia di base: è la stessa via che, portata all’estremo, dà formicolii intorno alla bocca e alle mani. Ma nessuno l’ha misurata qui, e sono gli autori di Schleifer a proporre la ventilazione eccessiva come possibile</w:t>
      </w:r>
      <w:r>
        <w:t xml:space="preserve"> </w:t>
      </w:r>
      <w:r>
        <w:rPr>
          <w:b/>
          <w:bCs/>
        </w:rPr>
        <w:t xml:space="preserve">mediatore</w:t>
      </w:r>
      <w:r>
        <w:t xml:space="preserve"> </w:t>
      </w:r>
      <w:r>
        <w:t xml:space="preserve">dell’attivazione del trapezio.</w:t>
      </w:r>
      <w:r>
        <w:t xml:space="preserve"> </w:t>
      </w:r>
      <w:r>
        <w:rPr>
          <w:b/>
          <w:bCs/>
        </w:rPr>
        <w:t xml:space="preserve">IPOTESI</w:t>
      </w:r>
      <w:r>
        <w:t xml:space="preserve"> </w:t>
      </w:r>
      <w:r>
        <w:rPr>
          <w:i/>
          <w:iCs/>
        </w:rPr>
        <w:t xml:space="preserve">(meccanismo coerente, nessuno studio)</w:t>
      </w:r>
      <w:r>
        <w:t xml:space="preserve"> </w:t>
      </w:r>
      <w:r>
        <w:t xml:space="preserve">che sia questa sequenza a produrre il quadro cronico del tuo paziente: nessuno ha seguito nel tempo persone con rigidità diffusa misurandone le micro-pause.</w:t>
      </w:r>
    </w:p>
    <w:p>
      <w:pPr>
        <w:pStyle w:val="FirstParagraph"/>
      </w:pPr>
      <w:r>
        <w:rPr>
          <w:b/>
          <w:bCs/>
        </w:rPr>
        <w:t xml:space="preserve">Come si vede addosso al paziente.</w:t>
      </w:r>
      <w:r>
        <w:t xml:space="preserve"> </w:t>
      </w:r>
      <w:r>
        <w:t xml:space="preserve">Peggiora nei periodi di pressione e migliora in vacanza — un dato che ti dà spontaneamente e sottovaluta. Respiro alto, sospiri, mandibola serrata, tessuto che sobbalza quando appoggi le mani. Il linguaggio è meccanico:</w:t>
      </w:r>
      <w:r>
        <w:t xml:space="preserve"> </w:t>
      </w:r>
      <w:r>
        <w:rPr>
          <w:i/>
          <w:iCs/>
        </w:rPr>
        <w:t xml:space="preserve">«un peso sulle spalle»</w:t>
      </w:r>
      <w:r>
        <w:t xml:space="preserve">.</w:t>
      </w:r>
    </w:p>
    <w:p>
      <w:pPr>
        <w:pStyle w:val="BlockText"/>
      </w:pPr>
      <w:r>
        <w:rPr>
          <w:b/>
          <w:bCs/>
        </w:rPr>
        <w:t xml:space="preserve">Attenzione.</w:t>
      </w:r>
      <w:r>
        <w:t xml:space="preserve"> </w:t>
      </w:r>
      <w:r>
        <w:t xml:space="preserve">Questo meccanismo non rende il quadro «psicologico». L’attività elettrica di un muscolo è una grandezza fisica. Il paziente che ha sentito dire «è stress» ha capito «te lo inventi», e la tua prima frase deve smontare quella traduzione.</w:t>
      </w:r>
    </w:p>
    <w:p>
      <w:pPr>
        <w:pStyle w:val="FirstParagraph"/>
      </w:pPr>
      <w:r>
        <w:rPr>
          <w:b/>
          <w:bCs/>
        </w:rPr>
        <w:t xml:space="preserve">È la borsa della spesa che nessuno posa: in ascensore la tieni in mano invece di appoggiarla, e a fine giornata l’avambraccio brucia senza che tu abbia fatto niente.</w:t>
      </w:r>
    </w:p>
    <w:p>
      <w:r>
        <w:pict>
          <v:rect style="width:0;height:1.5pt" o:hralign="center" o:hrstd="t" o:hr="t"/>
        </w:pict>
      </w:r>
    </w:p>
    <w:bookmarkEnd w:id="33"/>
    <w:bookmarkStart w:id="34" w:name="la-soglia-che-si-abbassa"/>
    <w:p>
      <w:pPr>
        <w:pStyle w:val="Heading3"/>
      </w:pPr>
      <w:r>
        <w:t xml:space="preserve">3. La soglia che si abbassa</w:t>
      </w:r>
    </w:p>
    <w:p>
      <w:pPr>
        <w:pStyle w:val="FirstParagraph"/>
      </w:pPr>
      <w:r>
        <w:t xml:space="preserve">La sequenza:</w:t>
      </w:r>
    </w:p>
    <w:p>
      <w:pPr>
        <w:pStyle w:val="Compact"/>
        <w:numPr>
          <w:ilvl w:val="0"/>
          <w:numId w:val="1016"/>
        </w:numPr>
      </w:pPr>
      <w:r>
        <w:t xml:space="preserve">Il sonno non ristoratore riduce l’efficienza del freno discendente.</w:t>
      </w:r>
      <w:r>
        <w:t xml:space="preserve"> </w:t>
      </w:r>
      <w:r>
        <w:rPr>
          <w:b/>
          <w:bCs/>
        </w:rPr>
        <w:t xml:space="preserve">L’ordine conta:</w:t>
      </w:r>
      <w:r>
        <w:t xml:space="preserve"> </w:t>
      </w:r>
      <w:r>
        <w:t xml:space="preserve">il sonno alterato predice la comparsa e la riacutizzazione del dolore cronico più di quanto il dolore predica il sonno.</w:t>
      </w:r>
    </w:p>
    <w:p>
      <w:pPr>
        <w:pStyle w:val="Compact"/>
        <w:numPr>
          <w:ilvl w:val="0"/>
          <w:numId w:val="1016"/>
        </w:numPr>
      </w:pPr>
      <w:r>
        <w:t xml:space="preserve">Con il freno più debole, la stessa quantità di segnale che arriva da muscoli e fascia supera la soglia.</w:t>
      </w:r>
    </w:p>
    <w:p>
      <w:pPr>
        <w:pStyle w:val="Compact"/>
        <w:numPr>
          <w:ilvl w:val="0"/>
          <w:numId w:val="1016"/>
        </w:numPr>
      </w:pPr>
      <w:r>
        <w:t xml:space="preserve">Il segnale continuo e di bassa intensità, che prima non contava, ora conta — e il sistema che lo somma diventa più efficiente.</w:t>
      </w:r>
    </w:p>
    <w:p>
      <w:pPr>
        <w:pStyle w:val="Compact"/>
        <w:numPr>
          <w:ilvl w:val="0"/>
          <w:numId w:val="1016"/>
        </w:numPr>
      </w:pPr>
      <w:r>
        <w:t xml:space="preserve">Il dolore peggiora il sonno, e il circolo si chiude.</w:t>
      </w:r>
    </w:p>
    <w:p>
      <w:pPr>
        <w:pStyle w:val="Compact"/>
        <w:numPr>
          <w:ilvl w:val="0"/>
          <w:numId w:val="1016"/>
        </w:numPr>
      </w:pPr>
      <w:r>
        <w:t xml:space="preserve">A quel punto il paziente sente male al tatto in posti che non ha mai usato, e questo lo spaventa.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nella fibromialgia la sommazione temporale è aumentata e la modulazione discendente ridotta, con effetti medi su 23 studi e 648 pazienti (O’Brien, PMID 29454976). Pazienti con diagnosi di fibromialgia, non tutti quelli con rigidità diffusa. La privazione di sonno abbassa la soglia dolorosa, con effetti</w:t>
      </w:r>
      <w:r>
        <w:t xml:space="preserve"> </w:t>
      </w:r>
      <w:r>
        <w:rPr>
          <w:b/>
          <w:bCs/>
        </w:rPr>
        <w:t xml:space="preserve">da piccoli a grandi</w:t>
      </w:r>
      <w:r>
        <w:t xml:space="preserve">: 0,30 per la privazione parziale sul dolore spontaneo, fino a 0,95 per quella totale sulla tolleranza. Gli autori stessi graduano la prova «limitata» nei sani e «molto limitata» in chi ha già dolore cronico (Chang, PMID 36334461; Schrimpf, PMID 26498229). Sulla</w:t>
      </w:r>
      <w:r>
        <w:t xml:space="preserve"> </w:t>
      </w:r>
      <w:r>
        <w:rPr>
          <w:b/>
          <w:bCs/>
        </w:rPr>
        <w:t xml:space="preserve">direzione</w:t>
      </w:r>
      <w:r>
        <w:t xml:space="preserve"> </w:t>
      </w:r>
      <w:r>
        <w:t xml:space="preserve">i dati longitudinali sono più forti: il sonno alterato predice il dolore in modo affidabile (Finan, PMID 24290442). Il rischio relativo aggiustato è 3,43, su 12.350 donne seguite dieci anni — risultato su cui esiste una lettera critica pubblicata (Mork, PMID 22081440; Wolfe, PMID 22354843).</w:t>
      </w:r>
    </w:p>
    <w:p>
      <w:pPr>
        <w:pStyle w:val="FirstParagraph"/>
      </w:pPr>
      <w:r>
        <w:rPr>
          <w:b/>
          <w:bCs/>
        </w:rPr>
        <w:t xml:space="preserve">Come si vede addosso al paziente.</w:t>
      </w:r>
      <w:r>
        <w:t xml:space="preserve"> </w:t>
      </w:r>
      <w:r>
        <w:t xml:space="preserve">Dolore alla pressione anche in zone che non usa. Sonno che non ristora, risveglio indolenzito. Reazione sproporzionata a una pressione moderata. Dolore che si sposta di giorno in giorno.</w:t>
      </w:r>
    </w:p>
    <w:p>
      <w:pPr>
        <w:pStyle w:val="BodyText"/>
      </w:pPr>
      <w:r>
        <w:rPr>
          <w:b/>
          <w:bCs/>
        </w:rPr>
        <w:t xml:space="preserve">È la spia della benzina che si accende col serbatoio ancora a metà: il segnale è reale, la quantità che lo fa scattare no.</w:t>
      </w:r>
    </w:p>
    <w:p>
      <w:pPr>
        <w:pStyle w:val="BodyText"/>
      </w:pPr>
      <w:r>
        <w:rPr>
          <w:b/>
          <w:bCs/>
        </w:rPr>
        <w:t xml:space="preserve">Come si chiama questo, nel resto della medicina.</w:t>
      </w:r>
      <w:r>
        <w:t xml:space="preserve"> </w:t>
      </w:r>
      <w:r>
        <w:t xml:space="preserve">Il dolore si classifica in tre categorie per meccanismo.</w:t>
      </w:r>
      <w:r>
        <w:t xml:space="preserve"> </w:t>
      </w:r>
      <w:r>
        <w:rPr>
          <w:b/>
          <w:bCs/>
        </w:rPr>
        <w:t xml:space="preserve">Nocicettivo:</w:t>
      </w:r>
      <w:r>
        <w:t xml:space="preserve"> </w:t>
      </w:r>
      <w:r>
        <w:t xml:space="preserve">un tessuto danneggiato o sovraccarico che manda segnali.</w:t>
      </w:r>
      <w:r>
        <w:t xml:space="preserve"> </w:t>
      </w:r>
      <w:r>
        <w:rPr>
          <w:b/>
          <w:bCs/>
        </w:rPr>
        <w:t xml:space="preserve">Neuropatico:</w:t>
      </w:r>
      <w:r>
        <w:t xml:space="preserve"> </w:t>
      </w:r>
      <w:r>
        <w:t xml:space="preserve">una lesione del sistema nervoso che li genera.</w:t>
      </w:r>
      <w:r>
        <w:t xml:space="preserve"> </w:t>
      </w:r>
      <w:r>
        <w:rPr>
          <w:b/>
          <w:bCs/>
        </w:rPr>
        <w:t xml:space="preserve">Nociplastico:</w:t>
      </w:r>
      <w:r>
        <w:t xml:space="preserve"> </w:t>
      </w:r>
      <w:r>
        <w:t xml:space="preserve">nessuna delle due, e il sistema che elabora il segnale è cambiato. La maggior parte dei tuoi pazienti sta nel nocicettivo.</w:t>
      </w:r>
    </w:p>
    <w:p>
      <w:pPr>
        <w:pStyle w:val="BodyText"/>
      </w:pPr>
      <w:r>
        <w:t xml:space="preserve">Il quadro descritto qui soddisfa punto per punto i criteri internazionali per il dolore nociplastico</w:t>
      </w:r>
      <w:r>
        <w:t xml:space="preserve"> </w:t>
      </w:r>
      <w:r>
        <w:rPr>
          <w:b/>
          <w:bCs/>
        </w:rPr>
        <w:t xml:space="preserve">probabile</w:t>
      </w:r>
      <w:r>
        <w:t xml:space="preserve">: dolore da oltre tre mesi, diffuso e non circoscritto, non spiegabile da un danno né da una lesione nervosa, dolore alla pressione moderata in sedi non usate, sonno non ristoratore, fatica (Kosek,</w:t>
      </w:r>
      <w:r>
        <w:t xml:space="preserve"> </w:t>
      </w:r>
      <w:r>
        <w:rPr>
          <w:i/>
          <w:iCs/>
        </w:rPr>
        <w:t xml:space="preserve">Pain</w:t>
      </w:r>
      <w:r>
        <w:t xml:space="preserve"> </w:t>
      </w:r>
      <w:r>
        <w:t xml:space="preserve">2021, PMID 33974577; Nijs,</w:t>
      </w:r>
      <w:r>
        <w:t xml:space="preserve"> </w:t>
      </w:r>
      <w:r>
        <w:rPr>
          <w:i/>
          <w:iCs/>
        </w:rPr>
        <w:t xml:space="preserve">J Clin Med</w:t>
      </w:r>
      <w:r>
        <w:t xml:space="preserve"> </w:t>
      </w:r>
      <w:r>
        <w:t xml:space="preserve">2021, PMID 34361986). Usa quella lista come criterio del pattern C al posto dell’impressione, e come descrizione di meccanismo, non come diagnosi: il grado massimo che gli autori ammettono è «probabile», ed è ciò che la tiene dentro il tuo perimetro.</w:t>
      </w:r>
    </w:p>
    <w:p>
      <w:r>
        <w:pict>
          <v:rect style="width:0;height:1.5pt" o:hralign="center" o:hrstd="t" o:hr="t"/>
        </w:pict>
      </w:r>
    </w:p>
    <w:bookmarkEnd w:id="34"/>
    <w:bookmarkStart w:id="35" w:name="il-tessuto-che-non-scorre"/>
    <w:p>
      <w:pPr>
        <w:pStyle w:val="Heading3"/>
      </w:pPr>
      <w:r>
        <w:t xml:space="preserve">4. Il tessuto che non scorre</w:t>
      </w:r>
    </w:p>
    <w:p>
      <w:pPr>
        <w:pStyle w:val="FirstParagraph"/>
      </w:pPr>
      <w:r>
        <w:t xml:space="preserve">La sequenza:</w:t>
      </w:r>
    </w:p>
    <w:p>
      <w:pPr>
        <w:pStyle w:val="Compact"/>
        <w:numPr>
          <w:ilvl w:val="0"/>
          <w:numId w:val="1017"/>
        </w:numPr>
      </w:pPr>
      <w:r>
        <w:t xml:space="preserve">Gli strati della fascia perdono parte del loro scorrimento reciproco.</w:t>
      </w:r>
    </w:p>
    <w:p>
      <w:pPr>
        <w:pStyle w:val="Compact"/>
        <w:numPr>
          <w:ilvl w:val="0"/>
          <w:numId w:val="1017"/>
        </w:numPr>
      </w:pPr>
      <w:r>
        <w:t xml:space="preserve">Un movimento locale smette di essere locale: tira il tessuto attorno.</w:t>
      </w:r>
    </w:p>
    <w:p>
      <w:pPr>
        <w:pStyle w:val="Compact"/>
        <w:numPr>
          <w:ilvl w:val="0"/>
          <w:numId w:val="1017"/>
        </w:numPr>
      </w:pPr>
      <w:r>
        <w:t xml:space="preserve">Il paziente percepisce la trazione lontano dal punto che ha mosso.</w:t>
      </w:r>
    </w:p>
    <w:p>
      <w:pPr>
        <w:pStyle w:val="Compact"/>
        <w:numPr>
          <w:ilvl w:val="0"/>
          <w:numId w:val="1017"/>
        </w:numPr>
      </w:pPr>
      <w:r>
        <w:t xml:space="preserve">Ogni gesto costa un po’ più di forza, e lui riduce l’ampiezza senza accorgersene.</w:t>
      </w:r>
    </w:p>
    <w:p>
      <w:pPr>
        <w:pStyle w:val="Compact"/>
        <w:numPr>
          <w:ilvl w:val="0"/>
          <w:numId w:val="1017"/>
        </w:numPr>
      </w:pPr>
      <w:r>
        <w:t xml:space="preserve">La riduzione di ampiezza toglie proprio il movimento che scioglierebbe la rigidità del meccanismo 1.</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lo scorrimento fra gli strati sia ridotto di circa un quinto nella</w:t>
      </w:r>
      <w:r>
        <w:t xml:space="preserve"> </w:t>
      </w:r>
      <w:r>
        <w:rPr>
          <w:b/>
          <w:bCs/>
        </w:rPr>
        <w:t xml:space="preserve">lombalgia cronica</w:t>
      </w:r>
      <w:r>
        <w:t xml:space="preserve">: 71 pazienti contro 50 controlli, ecografia dinamica (Langevin, PMID 21929806). Non pazienti con rigidità diffusa, ed è un confronto fra gruppi, non una causa.</w:t>
      </w:r>
      <w:r>
        <w:t xml:space="preserve"> </w:t>
      </w:r>
      <w:r>
        <w:rPr>
          <w:b/>
          <w:bCs/>
        </w:rPr>
        <w:t xml:space="preserve">IPOTESI</w:t>
      </w:r>
      <w:r>
        <w:t xml:space="preserve"> </w:t>
      </w:r>
      <w:r>
        <w:rPr>
          <w:i/>
          <w:iCs/>
        </w:rPr>
        <w:t xml:space="preserve">(meccanismo coerente, nessuno studio)</w:t>
      </w:r>
      <w:r>
        <w:t xml:space="preserve"> </w:t>
      </w:r>
      <w:r>
        <w:t xml:space="preserve">che il gesto manuale ripristini quello scorrimento. Nessuno l’ha misurato prima e dopo un trattamento. E la sequenza biochimica con cui si racconta — l’acido ialuronico che passa da gel a fluido con l’attrito — non è mai stata misurata nel tessuto umano.</w:t>
      </w:r>
    </w:p>
    <w:p>
      <w:pPr>
        <w:pStyle w:val="FirstParagraph"/>
      </w:pPr>
      <w:r>
        <w:rPr>
          <w:b/>
          <w:bCs/>
        </w:rPr>
        <w:t xml:space="preserve">Come si vede addosso al paziente.</w:t>
      </w:r>
      <w:r>
        <w:t xml:space="preserve"> </w:t>
      </w:r>
      <w:r>
        <w:t xml:space="preserve">Dolore che migra —</w:t>
      </w:r>
      <w:r>
        <w:t xml:space="preserve"> </w:t>
      </w:r>
      <w:r>
        <w:rPr>
          <w:i/>
          <w:iCs/>
        </w:rPr>
        <w:t xml:space="preserve">«ieri qui, oggi sento tirare più in basso»</w:t>
      </w:r>
      <w:r>
        <w:t xml:space="preserve"> </w:t>
      </w:r>
      <w:r>
        <w:t xml:space="preserve">— pelle e sottocute che non scorrono sui piani profondi, dolore al movimento e non a riposo. Il dolore migrante è l’unico segno che condivide con il meccanismo 3, e li separa quello che lo accompagna. Pressione moderata dolorosa</w:t>
      </w:r>
      <w:r>
        <w:t xml:space="preserve"> </w:t>
      </w:r>
      <w:r>
        <w:rPr>
          <w:b/>
          <w:bCs/>
        </w:rPr>
        <w:t xml:space="preserve">anche</w:t>
      </w:r>
      <w:r>
        <w:t xml:space="preserve"> </w:t>
      </w:r>
      <w:r>
        <w:t xml:space="preserve">in sede remota punta alla soglia; pelle che non scorre e dolore solo al movimento puntano al tessuto.</w:t>
      </w:r>
    </w:p>
    <w:p>
      <w:pPr>
        <w:pStyle w:val="BodyText"/>
      </w:pPr>
      <w:r>
        <w:rPr>
          <w:b/>
          <w:bCs/>
        </w:rPr>
        <w:t xml:space="preserve">È il cassetto che non scorre più sulle guide: non è rotto, e per aprirlo devi tirare tutto il mobile.</w:t>
      </w:r>
    </w:p>
    <w:p>
      <w:r>
        <w:pict>
          <v:rect style="width:0;height:1.5pt" o:hralign="center" o:hrstd="t" o:hr="t"/>
        </w:pict>
      </w:r>
    </w:p>
    <w:bookmarkEnd w:id="35"/>
    <w:bookmarkStart w:id="36" w:name="Xacb89dce2f1ed512eaa92f604619b801e687488"/>
    <w:p>
      <w:pPr>
        <w:pStyle w:val="Heading3"/>
      </w:pPr>
      <w:r>
        <w:t xml:space="preserve">5. Il freddo e l’umido come amplificatori, in una minoranza</w:t>
      </w:r>
    </w:p>
    <w:p>
      <w:pPr>
        <w:pStyle w:val="FirstParagraph"/>
      </w:pPr>
      <w:r>
        <w:t xml:space="preserve">La sequenza:</w:t>
      </w:r>
    </w:p>
    <w:p>
      <w:pPr>
        <w:pStyle w:val="Compact"/>
        <w:numPr>
          <w:ilvl w:val="0"/>
          <w:numId w:val="1018"/>
        </w:numPr>
      </w:pPr>
      <w:r>
        <w:t xml:space="preserve">Il raffreddamento superficiale aumenta la rigidità meccanica del muscolo.</w:t>
      </w:r>
    </w:p>
    <w:p>
      <w:pPr>
        <w:pStyle w:val="Compact"/>
        <w:numPr>
          <w:ilvl w:val="0"/>
          <w:numId w:val="1018"/>
        </w:numPr>
      </w:pPr>
      <w:r>
        <w:t xml:space="preserve">Con il freddo il paziente riduce il movimento, e il meccanismo 1 gira più in fretta.</w:t>
      </w:r>
    </w:p>
    <w:p>
      <w:pPr>
        <w:pStyle w:val="Compact"/>
        <w:numPr>
          <w:ilvl w:val="0"/>
          <w:numId w:val="1018"/>
        </w:numPr>
      </w:pPr>
      <w:r>
        <w:t xml:space="preserve">Collega la sensazione al meteo, comincia ad aspettarsela, e l’aspettativa fa da amplificatore.</w:t>
      </w:r>
    </w:p>
    <w:p>
      <w:pPr>
        <w:pStyle w:val="Compact"/>
        <w:numPr>
          <w:ilvl w:val="0"/>
          <w:numId w:val="1018"/>
        </w:numPr>
      </w:pPr>
      <w:r>
        <w:t xml:space="preserve">A quel punto la giornata umida è già rovinata alla sveglia.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che sia questo a spiegare il sintomo del singolo paziente,</w:t>
      </w:r>
      <w:r>
        <w:t xml:space="preserve"> </w:t>
      </w:r>
      <w:r>
        <w:rPr>
          <w:b/>
          <w:bCs/>
        </w:rPr>
        <w:t xml:space="preserve">e con dati che ridimensionano da due lati</w:t>
      </w:r>
      <w:r>
        <w:t xml:space="preserve">. Il pezzo fisico è misurato: venti minuti di raffreddamento superficiale aumentano il modulo di taglio del gastrocnemio in sedici uomini sani. Ma nello stesso studio l’escursione in dorsiflessione è</w:t>
      </w:r>
      <w:r>
        <w:t xml:space="preserve"> </w:t>
      </w:r>
      <w:r>
        <w:rPr>
          <w:b/>
          <w:bCs/>
        </w:rPr>
        <w:t xml:space="preserve">aumentata</w:t>
      </w:r>
      <w:r>
        <w:t xml:space="preserve">, e gli autori concludono che raffreddare prima di allungare non fa meglio che allungare e basta (Nakamura, PMID 30539131). Tessuto più rigido e movimento disponibile invariato: il passo 2 di questa sequenza è più fragile di quanto sembri. Il pezzo clinico manca del tutto. Lo studio più ampio sul legame fra meteo e dolore ha seguito oltre 13.000 partecipanti, con registrazione quotidiana fino a quindici mesi.</w:t>
      </w:r>
      <w:r>
        <w:t xml:space="preserve"> </w:t>
      </w:r>
      <w:r>
        <w:rPr>
          <w:b/>
          <w:bCs/>
        </w:rPr>
        <w:t xml:space="preserve">Circa una persona su dieci con dolore cronico è sensibile alla temperatura, e una su venticinque all’umidità. La direzione del legame cambia da persona a persona</w:t>
      </w:r>
      <w:r>
        <w:t xml:space="preserve"> </w:t>
      </w:r>
      <w:r>
        <w:t xml:space="preserve">(Yimer, PMID 35047712).</w:t>
      </w:r>
    </w:p>
    <w:p>
      <w:pPr>
        <w:pStyle w:val="FirstParagraph"/>
      </w:pPr>
      <w:r>
        <w:rPr>
          <w:b/>
          <w:bCs/>
        </w:rPr>
        <w:t xml:space="preserve">Come si vede addosso al paziente.</w:t>
      </w:r>
      <w:r>
        <w:t xml:space="preserve"> </w:t>
      </w:r>
      <w:r>
        <w:t xml:space="preserve">Peggiora nella stagione fredda e umida e migliora d’estate. In stanza si copre più degli altri e cerca il calore — doccia calda, borsa dell’acqua, sauna — e ne ottiene sollievo. E nei giorni in cui «lo sentiva arrivare» esce di casa meno: la rigidità del giorno dopo è la somma delle due cose.</w:t>
      </w:r>
    </w:p>
    <w:p>
      <w:pPr>
        <w:pStyle w:val="BodyText"/>
      </w:pPr>
      <w:r>
        <w:rPr>
          <w:b/>
          <w:bCs/>
        </w:rPr>
        <w:t xml:space="preserve">Per te:</w:t>
      </w:r>
      <w:r>
        <w:t xml:space="preserve"> </w:t>
      </w:r>
      <w:r>
        <w:t xml:space="preserve">la convinzione di essere un barometro è molto più diffusa della sensibilità misurabile. Non lo contraddici, perché la sensazione è vera. Ma non costruisci il piano sul meteo: gli chiedi di segnare per due settimane rigidità e giornata. E in una parte dei casi è lui a vedere, prima di te, che il legame nei suoi dati non c’è.</w:t>
      </w:r>
    </w:p>
    <w:p>
      <w:pPr>
        <w:pStyle w:val="BodyText"/>
      </w:pPr>
      <w:r>
        <w:rPr>
          <w:b/>
          <w:bCs/>
        </w:rPr>
        <w:t xml:space="preserve">È la portiera che d’inverno si chiude peggio: cambia il materiale, non la serratura.</w:t>
      </w:r>
    </w:p>
    <w:p>
      <w:pPr>
        <w:pStyle w:val="BodyText"/>
      </w:pPr>
      <w:r>
        <w:rPr>
          <w:b/>
          <w:bCs/>
        </w:rPr>
        <w:t xml:space="preserve">Le tre cose da ricordare, più una</w:t>
      </w:r>
    </w:p>
    <w:p>
      <w:pPr>
        <w:pStyle w:val="Compact"/>
        <w:numPr>
          <w:ilvl w:val="0"/>
          <w:numId w:val="1019"/>
        </w:numPr>
      </w:pPr>
      <w:r>
        <w:t xml:space="preserve">Il primo meccanismo è il più solido e il meno raccontato: la rigidità si costruisce da sola stando fermi, e si cancella solo muovendosi.</w:t>
      </w:r>
    </w:p>
    <w:p>
      <w:pPr>
        <w:pStyle w:val="Compact"/>
        <w:numPr>
          <w:ilvl w:val="0"/>
          <w:numId w:val="1019"/>
        </w:numPr>
      </w:pPr>
      <w:r>
        <w:t xml:space="preserve">Il secondo non rende il quadro psicologico: l’attività elettrica di un muscolo è una misura fisica, e va detto al paziente in questi termini.</w:t>
      </w:r>
    </w:p>
    <w:p>
      <w:pPr>
        <w:pStyle w:val="Compact"/>
        <w:numPr>
          <w:ilvl w:val="0"/>
          <w:numId w:val="1019"/>
        </w:numPr>
      </w:pPr>
      <w:r>
        <w:t xml:space="preserve">Il quarto è il più suggestivo e il più fragile: che il tessuto scorra meno è misurato, che la tua mano lo ripristini no.</w:t>
      </w:r>
    </w:p>
    <w:p>
      <w:pPr>
        <w:pStyle w:val="Compact"/>
        <w:numPr>
          <w:ilvl w:val="0"/>
          <w:numId w:val="1019"/>
        </w:numPr>
      </w:pPr>
      <w:r>
        <w:rPr>
          <w:b/>
          <w:bCs/>
        </w:rPr>
        <w:t xml:space="preserve">Perché ci sei tu.</w:t>
      </w:r>
      <w:r>
        <w:t xml:space="preserve"> </w:t>
      </w:r>
      <w:r>
        <w:t xml:space="preserve">Dopo novanta minuti di seduta la rigidità elastografica del trapezio sale, e un esercizio di collo e spalle la riporta giù insieme al dolore (Nitta, 2025, PMID 40084577). Questo ti autorizza a mettere il movimento distribuito al centro del piano, spiegandolo con un dato invece che con un consiglio. Non ti autorizza ad attribuire quel calo alla tua mano: a muovere la misura è stato l’esercizio del paziente.</w:t>
      </w:r>
    </w:p>
    <w:p>
      <w:r>
        <w:pict>
          <v:rect style="width:0;height:1.5pt" o:hralign="center" o:hrstd="t" o:hr="t"/>
        </w:pict>
      </w:r>
    </w:p>
    <w:bookmarkEnd w:id="36"/>
    <w:bookmarkEnd w:id="37"/>
    <w:bookmarkStart w:id="38" w:name="X73cfc9b44780cb1d9f2357b3490cfca0ad098e4"/>
    <w:p>
      <w:pPr>
        <w:pStyle w:val="Heading2"/>
      </w:pPr>
      <w:r>
        <w:t xml:space="preserve">Capitolo 6 — Non è una condizione sola: i pattern</w:t>
      </w:r>
    </w:p>
    <w:p>
      <w:pPr>
        <w:pStyle w:val="BlockText"/>
      </w:pPr>
      <w:r>
        <w:rPr>
          <w:b/>
          <w:bCs/>
        </w:rPr>
        <w:t xml:space="preserve">In una riga:</w:t>
      </w:r>
      <w:r>
        <w:t xml:space="preserve"> </w:t>
      </w:r>
      <w:r>
        <w:t xml:space="preserve">cinque pattern, uno dei quali non è un bersaglio ma un cancello — e sul più frequente, il pattern A, quasi tutto quello che puoi fare sta fuori dalla seduta.</w:t>
      </w:r>
    </w:p>
    <w:p>
      <w:pPr>
        <w:pStyle w:val="FirstParagraph"/>
      </w:pPr>
      <w:r>
        <w:t xml:space="preserve">Qui i «pattern» non sono varianti di una malattia: sono situazioni cliniche diverse, e in un caso su cinque sono malattie diverse. Qualificare il quadro è del medico (vedi «Dove finisce il nostro campo»). Per questo il pattern</w:t>
      </w:r>
      <w:r>
        <w:t xml:space="preserve"> </w:t>
      </w:r>
      <w:r>
        <w:rPr>
          <w:b/>
          <w:bCs/>
        </w:rPr>
        <w:t xml:space="preserve">si presume</w:t>
      </w:r>
      <w:r>
        <w:t xml:space="preserve">, e si scrive in cartella con quella parola.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Margine su un ciclo</w:t>
            </w:r>
          </w:p>
        </w:tc>
      </w:tr>
      <w:tr>
        <w:tc>
          <w:tcPr/>
          <w:p>
            <w:pPr>
              <w:pStyle w:val="Compact"/>
            </w:pPr>
            <w:r>
              <w:t xml:space="preserve">A — Da immobilità</w:t>
            </w:r>
          </w:p>
        </w:tc>
        <w:tc>
          <w:tcPr/>
          <w:p>
            <w:pPr>
              <w:pStyle w:val="Compact"/>
            </w:pPr>
            <w:r>
              <w:t xml:space="preserve">Sblocco sotto i 30 minuti, migliora muovendosi</w:t>
            </w:r>
          </w:p>
        </w:tc>
        <w:tc>
          <w:tcPr/>
          <w:p>
            <w:pPr>
              <w:pStyle w:val="Compact"/>
            </w:pPr>
            <w:r>
              <w:t xml:space="preserve">Tissotropia</w:t>
            </w:r>
          </w:p>
        </w:tc>
        <w:tc>
          <w:tcPr/>
          <w:p>
            <w:pPr>
              <w:pStyle w:val="Compact"/>
            </w:pPr>
            <w:r>
              <w:t xml:space="preserve">Molto, ma poco dentro la seduta</w:t>
            </w:r>
          </w:p>
        </w:tc>
      </w:tr>
      <w:tr>
        <w:tc>
          <w:tcPr/>
          <w:p>
            <w:pPr>
              <w:pStyle w:val="Compact"/>
            </w:pPr>
            <w:r>
              <w:t xml:space="preserve">B — Da carico mentale</w:t>
            </w:r>
          </w:p>
        </w:tc>
        <w:tc>
          <w:tcPr/>
          <w:p>
            <w:pPr>
              <w:pStyle w:val="Compact"/>
            </w:pPr>
            <w:r>
              <w:t xml:space="preserve">Peggiora nei periodi tesi, migliora in vacanza</w:t>
            </w:r>
          </w:p>
        </w:tc>
        <w:tc>
          <w:tcPr/>
          <w:p>
            <w:pPr>
              <w:pStyle w:val="Compact"/>
            </w:pPr>
            <w:r>
              <w:t xml:space="preserve">Livello di attivazione e respiro</w:t>
            </w:r>
          </w:p>
        </w:tc>
        <w:tc>
          <w:tcPr/>
          <w:p>
            <w:pPr>
              <w:pStyle w:val="Compact"/>
            </w:pPr>
            <w:r>
              <w:t xml:space="preserve">Abbastanza</w:t>
            </w:r>
          </w:p>
        </w:tc>
      </w:tr>
      <w:tr>
        <w:tc>
          <w:tcPr/>
          <w:p>
            <w:pPr>
              <w:pStyle w:val="Compact"/>
            </w:pPr>
            <w:r>
              <w:t xml:space="preserve">C — Con soglia abbassata</w:t>
            </w:r>
          </w:p>
        </w:tc>
        <w:tc>
          <w:tcPr/>
          <w:p>
            <w:pPr>
              <w:pStyle w:val="Compact"/>
            </w:pPr>
            <w:r>
              <w:t xml:space="preserve">Dolore ovunque al tatto, sonno non ristoratore</w:t>
            </w:r>
          </w:p>
        </w:tc>
        <w:tc>
          <w:tcPr/>
          <w:p>
            <w:pPr>
              <w:pStyle w:val="Compact"/>
            </w:pPr>
            <w:r>
              <w:t xml:space="preserve">Sensibilizzazione</w:t>
            </w:r>
          </w:p>
        </w:tc>
        <w:tc>
          <w:tcPr/>
          <w:p>
            <w:pPr>
              <w:pStyle w:val="Compact"/>
            </w:pPr>
            <w:r>
              <w:t xml:space="preserve">Abbastanza, a bassa intensità e su un ciclo</w:t>
            </w:r>
          </w:p>
        </w:tc>
      </w:tr>
      <w:tr>
        <w:tc>
          <w:tcPr/>
          <w:p>
            <w:pPr>
              <w:pStyle w:val="Compact"/>
            </w:pPr>
            <w:r>
              <w:t xml:space="preserve">D — Regionale travestita</w:t>
            </w:r>
          </w:p>
        </w:tc>
        <w:tc>
          <w:tcPr/>
          <w:p>
            <w:pPr>
              <w:pStyle w:val="Compact"/>
            </w:pPr>
            <w:r>
              <w:t xml:space="preserve">Due o tre zone rigide, il resto simmetrico</w:t>
            </w:r>
          </w:p>
        </w:tc>
        <w:tc>
          <w:tcPr/>
          <w:p>
            <w:pPr>
              <w:pStyle w:val="Compact"/>
            </w:pPr>
            <w:r>
              <w:t xml:space="preserve">Scorrimento del tessuto</w:t>
            </w:r>
          </w:p>
        </w:tc>
        <w:tc>
          <w:tcPr/>
          <w:p>
            <w:pPr>
              <w:pStyle w:val="Compact"/>
            </w:pPr>
            <w:r>
              <w:t xml:space="preserve">Molto</w:t>
            </w:r>
          </w:p>
        </w:tc>
      </w:tr>
      <w:tr>
        <w:tc>
          <w:tcPr/>
          <w:p>
            <w:pPr>
              <w:pStyle w:val="Compact"/>
            </w:pPr>
            <w:r>
              <w:t xml:space="preserve">E — Non è rigidità muscolare</w:t>
            </w:r>
          </w:p>
        </w:tc>
        <w:tc>
          <w:tcPr/>
          <w:p>
            <w:pPr>
              <w:pStyle w:val="Compact"/>
            </w:pPr>
            <w:r>
              <w:t xml:space="preserve">Vedi la tabella delle bandiere rosse</w:t>
            </w:r>
          </w:p>
        </w:tc>
        <w:tc>
          <w:tcPr/>
          <w:p>
            <w:pPr>
              <w:pStyle w:val="Compact"/>
            </w:pPr>
            <w:r>
              <w:t xml:space="preserve">Nessuno dei cinque</w:t>
            </w:r>
          </w:p>
        </w:tc>
        <w:tc>
          <w:tcPr/>
          <w:p>
            <w:pPr>
              <w:pStyle w:val="Compact"/>
            </w:pPr>
            <w:r>
              <w:t xml:space="preserve">Niente, invio</w:t>
            </w:r>
          </w:p>
        </w:tc>
      </w:tr>
    </w:tbl>
    <w:p>
      <w:pPr>
        <w:pStyle w:val="BodyText"/>
      </w:pPr>
      <w:r>
        <w:rPr>
          <w:b/>
          <w:bCs/>
        </w:rPr>
        <w:t xml:space="preserve">Cosa misura l’ultima colonna.</w:t>
      </w:r>
      <w:r>
        <w:t xml:space="preserve"> </w:t>
      </w:r>
      <w:r>
        <w:t xml:space="preserve">Il</w:t>
      </w:r>
      <w:r>
        <w:t xml:space="preserve"> </w:t>
      </w:r>
      <w:r>
        <w:rPr>
          <w:b/>
          <w:bCs/>
        </w:rPr>
        <w:t xml:space="preserve">margine clinico atteso su un ciclo di lavoro</w:t>
      </w:r>
      <w:r>
        <w:t xml:space="preserve">, non la forza della leva manuale in astratto: è l’incasso del mese, non il listino prezzi. Sono due cose diverse e vanno tenute separate.</w:t>
      </w:r>
    </w:p>
    <w:p>
      <w:pPr>
        <w:pStyle w:val="BodyText"/>
      </w:pPr>
      <w:r>
        <w:rPr>
          <w:b/>
          <w:bCs/>
        </w:rPr>
        <w:t xml:space="preserve">A — Rigidità da immobilità.</w:t>
      </w:r>
      <w:r>
        <w:t xml:space="preserve"> </w:t>
      </w:r>
      <w:r>
        <w:t xml:space="preserve">Si sblocca in meno di mezz’ora, sta meglio dopo aver camminato, peggiora dopo un’ora di sedia. È il più frequente e quello con il margine più alto. Ma quasi tutto quel margine sta fuori dalla seduta, perché il meccanismo si ricostruisce in secondi.</w:t>
      </w:r>
    </w:p>
    <w:p>
      <w:pPr>
        <w:pStyle w:val="BodyText"/>
      </w:pPr>
      <w:r>
        <w:rPr>
          <w:b/>
          <w:bCs/>
        </w:rPr>
        <w:t xml:space="preserve">B — Rigidità da carico mentale.</w:t>
      </w:r>
      <w:r>
        <w:t xml:space="preserve"> </w:t>
      </w:r>
      <w:r>
        <w:t xml:space="preserve">Il legame con i periodi di pressione è netto, e il paziente te lo riferisce da solo. Respiro alto, mandibola, tessuto che reagisce al contatto. La leva manuale c’è, ma il suo effetto è di stato: va accompagnata da quello che il paziente fa fra una seduta e l’altra.</w:t>
      </w:r>
    </w:p>
    <w:p>
      <w:pPr>
        <w:pStyle w:val="BodyText"/>
      </w:pPr>
      <w:r>
        <w:rPr>
          <w:b/>
          <w:bCs/>
        </w:rPr>
        <w:t xml:space="preserve">C — Rigidità con soglia abbassata.</w:t>
      </w:r>
      <w:r>
        <w:t xml:space="preserve"> </w:t>
      </w:r>
      <w:r>
        <w:t xml:space="preserve">Non è un paziente da caricare. La pressione moderata gli fa male, il sonno non ristora, il dolore si sposta. È il pattern che soddisfa i criteri di dolore nociplastico probabile del capitolo precedente.</w:t>
      </w:r>
    </w:p>
    <w:p>
      <w:pPr>
        <w:pStyle w:val="BodyText"/>
      </w:pPr>
      <w:r>
        <w:t xml:space="preserve">La frase corretta non è «qui la tua mano conta poco». È</w:t>
      </w:r>
      <w:r>
        <w:t xml:space="preserve"> </w:t>
      </w:r>
      <w:r>
        <w:rPr>
          <w:b/>
          <w:bCs/>
        </w:rPr>
        <w:t xml:space="preserve">«qui la tua mano conta se resta sotto la soglia e se il conto si fa a cinque settimane, non a fine seduta»</w:t>
      </w:r>
      <w:r>
        <w:t xml:space="preserve">: sui cicli di contatto ripetuto è il pattern con le prove migliori di tutto il documento. In parallelo l’esercizio graduato resta la leva con la letteratura più larga, e il canale medico va tenuto aperto. Qui più spesso che altrove c’è un’etichetta reumatologica che nessuno ha ancora messo. E la variabile da controllare non è solo</w:t>
      </w:r>
      <w:r>
        <w:t xml:space="preserve"> </w:t>
      </w:r>
      <w:r>
        <w:rPr>
          <w:b/>
          <w:bCs/>
        </w:rPr>
        <w:t xml:space="preserve">quanto</w:t>
      </w:r>
      <w:r>
        <w:t xml:space="preserve"> </w:t>
      </w:r>
      <w:r>
        <w:t xml:space="preserve">premi. Se un paziente pattern C «non risponde» al contatto lento, la prima ipotesi è che tu abbia scelto lo stimolo sbagliato, non che lui sia refrattario. Il dato sta in «Perché le mani possono cambiare qualcosa», meccanismo 2.</w:t>
      </w:r>
    </w:p>
    <w:p>
      <w:pPr>
        <w:pStyle w:val="BodyText"/>
      </w:pPr>
      <w:r>
        <w:rPr>
          <w:b/>
          <w:bCs/>
        </w:rPr>
        <w:t xml:space="preserve">D — Rigidità regionale travestita da diffusa.</w:t>
      </w:r>
      <w:r>
        <w:t xml:space="preserve"> </w:t>
      </w:r>
      <w:r>
        <w:t xml:space="preserve">Dice «tutto», e quando misuri trovi due o tre zone limitate e il resto no. È il pattern su cui il tuo margine è più alto, ed è quello che non riconosci se non misuri: dall’anamnesi non si distingue dal pattern A.</w:t>
      </w:r>
    </w:p>
    <w:p>
      <w:pPr>
        <w:pStyle w:val="BlockText"/>
      </w:pPr>
      <w:r>
        <w:rPr>
          <w:b/>
          <w:bCs/>
        </w:rPr>
        <w:t xml:space="preserve">Attenzione.</w:t>
      </w:r>
      <w:r>
        <w:t xml:space="preserve"> </w:t>
      </w:r>
      <w:r>
        <w:t xml:space="preserve">«Limitato» qui non vuol dire «fuori norma». Per queste misure non esistono valori normativi pubblicati sulla popolazione che hai in studio, e inventarne uno sarebbe peggio che non averlo. Il criterio quindi non è «fuori norma», che nessuno può stabilire: è il</w:t>
      </w:r>
      <w:r>
        <w:t xml:space="preserve"> </w:t>
      </w:r>
      <w:r>
        <w:rPr>
          <w:b/>
          <w:bCs/>
        </w:rPr>
        <w:t xml:space="preserve">confronto interno</w:t>
      </w:r>
      <w:r>
        <w:t xml:space="preserve">. Primo confronto:</w:t>
      </w:r>
      <w:r>
        <w:t xml:space="preserve"> </w:t>
      </w:r>
      <w:r>
        <w:rPr>
          <w:b/>
          <w:bCs/>
        </w:rPr>
        <w:t xml:space="preserve">destra contro sinistra</w:t>
      </w:r>
      <w:r>
        <w:t xml:space="preserve"> </w:t>
      </w:r>
      <w:r>
        <w:t xml:space="preserve">sulla stessa misura. Una differenza superiore al cambiamento minimo rilevabile di quella misura è un’asimmetria vera e non un errore: 5,4 gradi per la rotazione d’anca, 10 gradi per la cervicale. Secondo confronto:</w:t>
      </w:r>
      <w:r>
        <w:t xml:space="preserve"> </w:t>
      </w:r>
      <w:r>
        <w:rPr>
          <w:b/>
          <w:bCs/>
        </w:rPr>
        <w:t xml:space="preserve">il paziente contro sé stesso</w:t>
      </w:r>
      <w:r>
        <w:t xml:space="preserve"> </w:t>
      </w:r>
      <w:r>
        <w:t xml:space="preserve">alla revisione. Se un solo distretto è asimmetrico e gli altri sono simmetrici, hai un pattern D.</w:t>
      </w:r>
    </w:p>
    <w:p>
      <w:pPr>
        <w:pStyle w:val="BlockText"/>
      </w:pPr>
      <w:r>
        <w:rPr>
          <w:b/>
          <w:bCs/>
        </w:rPr>
        <w:t xml:space="preserve">Cosa cambia per te.</w:t>
      </w:r>
      <w:r>
        <w:t xml:space="preserve"> </w:t>
      </w:r>
      <w:r>
        <w:t xml:space="preserve">Dopo i settantacinque anni sale la probabilità a priori di polimialgia e parkinsonismo, quindi il pattern E si sospetta prima. Il meccanismo 1 si confonde con la</w:t>
      </w:r>
      <w:r>
        <w:t xml:space="preserve"> </w:t>
      </w:r>
      <w:r>
        <w:rPr>
          <w:b/>
          <w:bCs/>
        </w:rPr>
        <w:t xml:space="preserve">sarcopenia</w:t>
      </w:r>
      <w:r>
        <w:t xml:space="preserve">, cioè la perdita di massa e forza muscolare con l’età, quindi il pattern A promette meno che a quarantotto anni. Il meccanismo 3 si confonde con la depressione e con i farmaci che alterano il sonno, quindi il pattern C richiede la comunicazione al curante più spesso, non meno.</w:t>
      </w:r>
    </w:p>
    <w:p>
      <w:pPr>
        <w:pStyle w:val="BlockText"/>
      </w:pPr>
      <w:r>
        <w:rPr>
          <w:b/>
          <w:bCs/>
        </w:rPr>
        <w:t xml:space="preserve">Attenzione.</w:t>
      </w:r>
      <w:r>
        <w:t xml:space="preserve"> </w:t>
      </w:r>
      <w:r>
        <w:t xml:space="preserve">C’è un paziente che questa tabella non contiene: quello che si muove troppo. Dice «sono di legno», e poi ti appoggia i palmi a terra. Dita-terra negativo, rotazioni ampie, simmetria conservata: non produce</w:t>
      </w:r>
      <w:r>
        <w:t xml:space="preserve"> </w:t>
      </w:r>
      <w:r>
        <w:rPr>
          <w:b/>
          <w:bCs/>
        </w:rPr>
        <w:t xml:space="preserve">nessuno</w:t>
      </w:r>
      <w:r>
        <w:t xml:space="preserve"> </w:t>
      </w:r>
      <w:r>
        <w:t xml:space="preserve">dei reperti su cui poggia il tuo mandato, e si sveglia rigido come gli altri. Si riconosce in un minuto con la scala di Beighton, e la sua rigidità muscolare è plausibilmente il modo in cui frena un’articolazione che non si ferma da sola. Su di lui la direzione del piano è rovesciata: guadagnare escursione non serve, tollerare carico sì.</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l’associazione fra ipermobilità e dolore diffuso è discussa e non consolidata. Qui non si afferma che l’ipermobilità causi rigidità. Si afferma che esiste un paziente rigido con escursione normale o eccedente, e che su di lui i tuoi marker mentono.</w:t>
      </w:r>
    </w:p>
    <w:p>
      <w:pPr>
        <w:pStyle w:val="FirstParagraph"/>
      </w:pPr>
      <w:r>
        <w:rPr>
          <w:b/>
          <w:bCs/>
        </w:rPr>
        <w:t xml:space="preserve">Come si presume il pattern.</w:t>
      </w:r>
      <w:r>
        <w:t xml:space="preserve"> </w:t>
      </w:r>
      <w:r>
        <w:t xml:space="preserve">Il tempo di sblocco mattutino separa A da C. Il confronto fra i distretti separa D da tutti gli altri. Il legame con i periodi di pressione orienta su B. La presunzione decide</w:t>
      </w:r>
      <w:r>
        <w:t xml:space="preserve"> </w:t>
      </w:r>
      <w:r>
        <w:rPr>
          <w:b/>
          <w:bCs/>
        </w:rPr>
        <w:t xml:space="preserve">da dove parti</w:t>
      </w:r>
      <w:r>
        <w:t xml:space="preserve">, non che cosa il paziente ha, e va scritta in cartella con questa parola.</w:t>
      </w:r>
    </w:p>
    <w:p>
      <w:pPr>
        <w:pStyle w:val="BodyText"/>
      </w:pPr>
      <w:r>
        <w:rPr>
          <w:b/>
          <w:bCs/>
        </w:rPr>
        <w:t xml:space="preserve">E — Non è rigidità muscolare.</w:t>
      </w:r>
      <w:r>
        <w:t xml:space="preserve"> </w:t>
      </w:r>
      <w:r>
        <w:t xml:space="preserve">Non è un pattern da trattare: è un cancello, e le sue righe stanno nella tabella delle bandiere rosse.</w:t>
      </w:r>
    </w:p>
    <w:p>
      <w:pPr>
        <w:pStyle w:val="BlockText"/>
      </w:pPr>
      <w:r>
        <w:rPr>
          <w:b/>
          <w:bCs/>
        </w:rPr>
        <w:t xml:space="preserve">Condizioni spesso associate:</w:t>
      </w:r>
      <w:r>
        <w:t xml:space="preserve"> </w:t>
      </w:r>
      <w:r>
        <w:t xml:space="preserve">stanchezza che non passa col riposo → Bibbia dell’Affaticamento cronico; sonno non ristoratore come sintomo principale → Disturbi del sonno; irrigidimento dentro un quadro di allarme → Ansia somatizzata; dolore concentrato sulle articolazioni → Dolori articolari e Artrosi. I quadri condividono il terreno — immobilità, sonno, livello di attivazione — e non uno la stessa causa.</w:t>
      </w:r>
    </w:p>
    <w:p>
      <w:pPr>
        <w:pStyle w:val="FirstParagraph"/>
      </w:pPr>
      <w:r>
        <w:rPr>
          <w:b/>
          <w:bCs/>
        </w:rPr>
        <w:t xml:space="preserve">Le tre cose da ricordare, più una</w:t>
      </w:r>
    </w:p>
    <w:p>
      <w:pPr>
        <w:pStyle w:val="Compact"/>
        <w:numPr>
          <w:ilvl w:val="0"/>
          <w:numId w:val="1020"/>
        </w:numPr>
      </w:pPr>
      <w:r>
        <w:t xml:space="preserve">Il pattern si presume e si scrive come presunzione: chi lo scrive come diagnosi ha fatto un atto che non è suo.</w:t>
      </w:r>
    </w:p>
    <w:p>
      <w:pPr>
        <w:pStyle w:val="Compact"/>
        <w:numPr>
          <w:ilvl w:val="0"/>
          <w:numId w:val="1020"/>
        </w:numPr>
      </w:pPr>
      <w:r>
        <w:t xml:space="preserve">Il pattern D non si distingue dal pattern A senza misurare, ed è quello su cui hai più margine: è la ragione operativa per cui misuri.</w:t>
      </w:r>
    </w:p>
    <w:p>
      <w:pPr>
        <w:pStyle w:val="Compact"/>
        <w:numPr>
          <w:ilvl w:val="0"/>
          <w:numId w:val="1020"/>
        </w:numPr>
      </w:pPr>
      <w:r>
        <w:t xml:space="preserve">Il pattern E non è un sottotipo difficile: è un’uscita.</w:t>
      </w:r>
    </w:p>
    <w:p>
      <w:pPr>
        <w:pStyle w:val="Compact"/>
        <w:numPr>
          <w:ilvl w:val="0"/>
          <w:numId w:val="1020"/>
        </w:numPr>
      </w:pPr>
      <w:r>
        <w:rPr>
          <w:b/>
          <w:bCs/>
        </w:rPr>
        <w:t xml:space="preserve">Perché ci sei tu.</w:t>
      </w:r>
      <w:r>
        <w:t xml:space="preserve"> </w:t>
      </w:r>
      <w:r>
        <w:t xml:space="preserve">Su questo pattern non ci sei. Nei criteri di classificazione della polimialgia reumatica la rigidità mattutina</w:t>
      </w:r>
      <w:r>
        <w:t xml:space="preserve"> </w:t>
      </w:r>
      <w:r>
        <w:rPr>
          <w:b/>
          <w:bCs/>
        </w:rPr>
        <w:t xml:space="preserve">oltre i 45 minuti</w:t>
      </w:r>
      <w:r>
        <w:t xml:space="preserve"> </w:t>
      </w:r>
      <w:r>
        <w:t xml:space="preserve">sopra i 50 anni, con dolore bilaterale ai cingoli, vale due punti su quattro (Dasgupta, 2012, PMID 22388996). Questo ti autorizza a riconoscere quel quadro e a mandarlo, con una domanda da dieci secondi. Non ti autorizza a trattarlo né a escluderlo: quei criteri, lo dicono gli autori, non servono a fare diagnosi.</w:t>
      </w:r>
    </w:p>
    <w:p>
      <w:r>
        <w:pict>
          <v:rect style="width:0;height:1.5pt" o:hralign="center" o:hrstd="t" o:hr="t"/>
        </w:pict>
      </w:r>
    </w:p>
    <w:bookmarkEnd w:id="38"/>
    <w:bookmarkStart w:id="44"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questo quadro il modello che pesa di più è quello che meno somiglia all’osteopatia classica, e vale la pena saperlo prima di entrare in stanza.</w:t>
      </w:r>
    </w:p>
    <w:bookmarkStart w:id="39" w:name="biomeccanico-strutturale"/>
    <w:p>
      <w:pPr>
        <w:pStyle w:val="Heading3"/>
      </w:pPr>
      <w:r>
        <w:t xml:space="preserve">Biomeccanico-Strutturale</w:t>
      </w:r>
    </w:p>
    <w:p>
      <w:pPr>
        <w:pStyle w:val="FirstParagraph"/>
      </w:pPr>
      <w:r>
        <w:rPr>
          <w:b/>
          <w:bCs/>
        </w:rPr>
        <w:t xml:space="preserve">Cosa governa qui.</w:t>
      </w:r>
      <w:r>
        <w:t xml:space="preserve"> </w:t>
      </w:r>
      <w:r>
        <w:t xml:space="preserve">La</w:t>
      </w:r>
      <w:r>
        <w:t xml:space="preserve"> </w:t>
      </w:r>
      <w:r>
        <w:rPr>
          <w:b/>
          <w:bCs/>
        </w:rPr>
        <w:t xml:space="preserve">rigidità passiva che il tessuto costruisce da solo stando fermo</w:t>
      </w:r>
      <w:r>
        <w:t xml:space="preserve">, che è la colonna portante del documento. E poi l’escursione disponibile e lo scorrimento fra i piani. Risponde alla domanda</w:t>
      </w:r>
      <w:r>
        <w:t xml:space="preserve"> </w:t>
      </w:r>
      <w:r>
        <w:rPr>
          <w:i/>
          <w:iCs/>
        </w:rPr>
        <w:t xml:space="preserve">«questo corpo, quanto si muove davvero, e quanto in fretta si richiude?»</w:t>
      </w:r>
      <w:r>
        <w:t xml:space="preserve">.</w:t>
      </w:r>
    </w:p>
    <w:p>
      <w:pPr>
        <w:pStyle w:val="BodyText"/>
      </w:pPr>
      <w:r>
        <w:rPr>
          <w:b/>
          <w:bCs/>
        </w:rPr>
        <w:t xml:space="preserve">Gli attori.</w:t>
      </w:r>
      <w:r>
        <w:t xml:space="preserve"> </w:t>
      </w:r>
      <w:r>
        <w:t xml:space="preserve">Il muscolo a riposo con la sua tissotropia, la fascia toracolombare, il trapezio superiore, la cerniera dorso-lombare, le anche, la colonna cervicale.</w:t>
      </w:r>
    </w:p>
    <w:p>
      <w:pPr>
        <w:pStyle w:val="BodyText"/>
      </w:pPr>
      <w:r>
        <w:rPr>
          <w:b/>
          <w:bCs/>
        </w:rPr>
        <w:t xml:space="preserve">I segnali che ti dicono che pesa.</w:t>
      </w:r>
      <w:r>
        <w:t xml:space="preserve"> </w:t>
      </w:r>
      <w:r>
        <w:t xml:space="preserve">Sblocco progressivo dopo ogni immobilità e peggioramento netto dopo un’ora di sedia. Escursione</w:t>
      </w:r>
      <w:r>
        <w:t xml:space="preserve"> </w:t>
      </w:r>
      <w:r>
        <w:rPr>
          <w:b/>
          <w:bCs/>
        </w:rPr>
        <w:t xml:space="preserve">asimmetrica</w:t>
      </w:r>
      <w:r>
        <w:t xml:space="preserve">, destra contro sinistra. Dolore al movimento e non a riposo. Pelle e sottocute che non scorrono in una zona e scorrono nell’altra. È il modello dominante nei pattern A e D.</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la rigidità passiva salga con l’immobilità, scenda con il movimento e si ricostituisca in una quindicina di secondi (Sakanaka, PMID 26607292; Nitta, PMID 40084577; Lakie, PMID 31070959). È il pezzo più solido del documento, e non passa dalle tue mani più che dai passi del paziente.</w:t>
      </w:r>
      <w:r>
        <w:t xml:space="preserve"> </w:t>
      </w:r>
      <w:r>
        <w:rPr>
          <w:b/>
          <w:bCs/>
        </w:rPr>
        <w:t xml:space="preserve">PROBABILE</w:t>
      </w:r>
      <w:r>
        <w:t xml:space="preserve"> </w:t>
      </w:r>
      <w:r>
        <w:rPr>
          <w:i/>
          <w:iCs/>
        </w:rPr>
        <w:t xml:space="preserve">(razionale forte, prove parziali)</w:t>
      </w:r>
      <w:r>
        <w:t xml:space="preserve"> </w:t>
      </w:r>
      <w:r>
        <w:t xml:space="preserve">che lo scorrimento fra gli strati fasciali sia ridotto nella lombalgia cronica (Langevin, PMID 21929806). Sull’escursione, la manipolazione toracica migliora flessione ed estensione cervicale, e a sinistra rotazione e inclinazione, su 18 studi e 914 pazienti con dolore cervicale. L’effetto è</w:t>
      </w:r>
      <w:r>
        <w:t xml:space="preserve"> </w:t>
      </w:r>
      <w:r>
        <w:rPr>
          <w:b/>
          <w:bCs/>
        </w:rPr>
        <w:t xml:space="preserve">a breve termine</w:t>
      </w:r>
      <w:r>
        <w:t xml:space="preserve">. Sulla rotazione, che è il tuo marker, è piccolo e al limite: SMD 0,23, IC 0,01–0,45. Sta</w:t>
      </w:r>
      <w:r>
        <w:t xml:space="preserve"> </w:t>
      </w:r>
      <w:r>
        <w:rPr>
          <w:b/>
          <w:bCs/>
        </w:rPr>
        <w:t xml:space="preserve">sotto la soglia di dieci gradi che questa Bibbia si è data</w:t>
      </w:r>
      <w:r>
        <w:t xml:space="preserve"> </w:t>
      </w:r>
      <w:r>
        <w:t xml:space="preserve">(Yang, PMID 38759063).</w:t>
      </w:r>
      <w:r>
        <w:t xml:space="preserve"> </w:t>
      </w:r>
      <w:r>
        <w:rPr>
          <w:b/>
          <w:bCs/>
        </w:rPr>
        <w:t xml:space="preserve">IPOTESI</w:t>
      </w:r>
      <w:r>
        <w:t xml:space="preserve"> </w:t>
      </w:r>
      <w:r>
        <w:rPr>
          <w:i/>
          <w:iCs/>
        </w:rPr>
        <w:t xml:space="preserve">(meccanismo coerente, nessuno studio)</w:t>
      </w:r>
      <w:r>
        <w:t xml:space="preserve"> </w:t>
      </w:r>
      <w:r>
        <w:t xml:space="preserve">che il gesto manuale ripristini lo scorrimento fasciale.</w:t>
      </w:r>
    </w:p>
    <w:bookmarkEnd w:id="39"/>
    <w:bookmarkStart w:id="40" w:name="respiratorio-circolatorio"/>
    <w:p>
      <w:pPr>
        <w:pStyle w:val="Heading3"/>
      </w:pPr>
      <w:r>
        <w:t xml:space="preserve">Respiratorio-Circolatorio</w:t>
      </w:r>
    </w:p>
    <w:p>
      <w:pPr>
        <w:pStyle w:val="FirstParagraph"/>
      </w:pPr>
      <w:r>
        <w:rPr>
          <w:b/>
          <w:bCs/>
        </w:rPr>
        <w:t xml:space="preserve">Cosa governa qui.</w:t>
      </w:r>
      <w:r>
        <w:t xml:space="preserve"> </w:t>
      </w:r>
      <w:r>
        <w:t xml:space="preserve">L’unico movimento che un corpo fermo continua a fare, e la quantità di anidride carbonica che quel movimento trattiene. La metà</w:t>
      </w:r>
      <w:r>
        <w:t xml:space="preserve"> </w:t>
      </w:r>
      <w:r>
        <w:rPr>
          <w:b/>
          <w:bCs/>
        </w:rPr>
        <w:t xml:space="preserve">circolatoria</w:t>
      </w:r>
      <w:r>
        <w:t xml:space="preserve"> </w:t>
      </w:r>
      <w:r>
        <w:t xml:space="preserve">— ritorno venoso e drenaggio linfatico — qui</w:t>
      </w:r>
      <w:r>
        <w:t xml:space="preserve"> </w:t>
      </w:r>
      <w:r>
        <w:rPr>
          <w:b/>
          <w:bCs/>
        </w:rPr>
        <w:t xml:space="preserve">non pesa</w:t>
      </w:r>
      <w:r>
        <w:t xml:space="preserve">, e lo dichiaro perché non sembri dimenticata: nessun dato la collega alla rigidità diffusa.</w:t>
      </w:r>
    </w:p>
    <w:p>
      <w:pPr>
        <w:pStyle w:val="BodyText"/>
      </w:pPr>
      <w:r>
        <w:rPr>
          <w:b/>
          <w:bCs/>
        </w:rPr>
        <w:t xml:space="preserve">Gli attori.</w:t>
      </w:r>
      <w:r>
        <w:t xml:space="preserve"> </w:t>
      </w:r>
      <w:r>
        <w:t xml:space="preserve">Diaframma, coste basse, colonna dorsale, stretto toracico superiore, CO2 di fine espirazione.</w:t>
      </w:r>
    </w:p>
    <w:p>
      <w:pPr>
        <w:pStyle w:val="BodyText"/>
      </w:pPr>
      <w:r>
        <w:rPr>
          <w:b/>
          <w:bCs/>
        </w:rPr>
        <w:t xml:space="preserve">I segnali che ti dicono che pesa.</w:t>
      </w:r>
      <w:r>
        <w:t xml:space="preserve"> </w:t>
      </w:r>
      <w:r>
        <w:t xml:space="preserve">Respiro apicale e corto, sospiri frequenti, coste basse che non si allargano, apnea quando racconta qualcosa che lo tocca. Peggioramento nei periodi in cui il respiro si è alzato. Frequenza respiratoria a riposo alta, contata su sessanta secondi senza dirglielo.</w:t>
      </w:r>
    </w:p>
    <w:p>
      <w:pPr>
        <w:pStyle w:val="BlockText"/>
      </w:pPr>
      <w:r>
        <w:rPr>
          <w:b/>
          <w:bCs/>
        </w:rPr>
        <w:t xml:space="preserve">Quanto è solido:</w:t>
      </w:r>
      <w:r>
        <w:t xml:space="preserve"> </w:t>
      </w:r>
      <w:r>
        <w:t xml:space="preserve">l’etichetta si spezza in tre.</w:t>
      </w:r>
      <w:r>
        <w:t xml:space="preserve"> </w:t>
      </w:r>
      <w:r>
        <w:rPr>
          <w:b/>
          <w:bCs/>
        </w:rPr>
        <w:t xml:space="preserve">DIMOSTRATO</w:t>
      </w:r>
      <w:r>
        <w:t xml:space="preserve"> </w:t>
      </w:r>
      <w:r>
        <w:rPr>
          <w:i/>
          <w:iCs/>
        </w:rPr>
        <w:t xml:space="preserve">(studi sull’uomo, solidi)</w:t>
      </w:r>
      <w:r>
        <w:t xml:space="preserve"> </w:t>
      </w:r>
      <w:r>
        <w:t xml:space="preserve">che sotto carico mentale la ventilazione aumenti e la CO2 di fine espirazione scenda insieme all’attività del trapezio (Schleifer, PMID 18282206). E sono gli autori a proporre la ventilazione eccessiva come possibile</w:t>
      </w:r>
      <w:r>
        <w:t xml:space="preserve"> </w:t>
      </w:r>
      <w:r>
        <w:rPr>
          <w:b/>
          <w:bCs/>
        </w:rPr>
        <w:t xml:space="preserve">mediatore</w:t>
      </w:r>
      <w:r>
        <w:t xml:space="preserve">: per questo la misura appartiene a questo modello e non a un altro.</w:t>
      </w:r>
      <w:r>
        <w:t xml:space="preserve"> </w:t>
      </w:r>
      <w:r>
        <w:rPr>
          <w:b/>
          <w:bCs/>
        </w:rPr>
        <w:t xml:space="preserve">IPOTESI</w:t>
      </w:r>
      <w:r>
        <w:t xml:space="preserve"> </w:t>
      </w:r>
      <w:r>
        <w:rPr>
          <w:i/>
          <w:iCs/>
        </w:rPr>
        <w:t xml:space="preserve">(meccanismo coerente, nessuno studio)</w:t>
      </w:r>
      <w:r>
        <w:t xml:space="preserve"> </w:t>
      </w:r>
      <w:r>
        <w:t xml:space="preserve">che riportare la CO2 verso la norma riduca la rigidità. Nessuno ha collegato le due misure.</w:t>
      </w:r>
      <w:r>
        <w:t xml:space="preserve"> </w:t>
      </w:r>
      <w:r>
        <w:rPr>
          <w:b/>
          <w:bCs/>
        </w:rPr>
        <w:t xml:space="preserve">IPOTESI</w:t>
      </w:r>
      <w:r>
        <w:t xml:space="preserve"> </w:t>
      </w:r>
      <w:r>
        <w:rPr>
          <w:i/>
          <w:iCs/>
        </w:rPr>
        <w:t xml:space="preserve">(meccanismo coerente, nessuno studio)</w:t>
      </w:r>
      <w:r>
        <w:t xml:space="preserve"> </w:t>
      </w:r>
      <w:r>
        <w:t xml:space="preserve">che un lavoro manuale sul diaframma modifichi la rigidità muscolare diffusa.</w:t>
      </w:r>
    </w:p>
    <w:bookmarkEnd w:id="40"/>
    <w:bookmarkStart w:id="41" w:name="neurologico"/>
    <w:p>
      <w:pPr>
        <w:pStyle w:val="Heading3"/>
      </w:pPr>
      <w:r>
        <w:t xml:space="preserve">Neurologico</w:t>
      </w:r>
    </w:p>
    <w:p>
      <w:pPr>
        <w:pStyle w:val="FirstParagraph"/>
      </w:pPr>
      <w:r>
        <w:rPr>
          <w:b/>
          <w:bCs/>
        </w:rPr>
        <w:t xml:space="preserve">Cosa governa qui.</w:t>
      </w:r>
      <w:r>
        <w:t xml:space="preserve"> </w:t>
      </w:r>
      <w:r>
        <w:t xml:space="preserve">La soglia alla quale un segnale che viene dal tessuto diventa sintomo, il livello di attivazione di fondo, e il tono autonomico.</w:t>
      </w:r>
    </w:p>
    <w:p>
      <w:pPr>
        <w:pStyle w:val="BodyText"/>
      </w:pPr>
      <w:r>
        <w:rPr>
          <w:b/>
          <w:bCs/>
        </w:rPr>
        <w:t xml:space="preserve">Gli attori.</w:t>
      </w:r>
      <w:r>
        <w:t xml:space="preserve"> </w:t>
      </w:r>
      <w:r>
        <w:t xml:space="preserve">Vie di sommazione spinale, vie discendenti di controllo, fuso neuromuscolare, sonno, bilancia simpatico-vagale.</w:t>
      </w:r>
    </w:p>
    <w:p>
      <w:pPr>
        <w:pStyle w:val="BodyText"/>
      </w:pPr>
      <w:r>
        <w:rPr>
          <w:b/>
          <w:bCs/>
        </w:rPr>
        <w:t xml:space="preserve">I segnali che ti dicono che pesa in questo paziente.</w:t>
      </w:r>
      <w:r>
        <w:t xml:space="preserve"> </w:t>
      </w:r>
      <w:r>
        <w:t xml:space="preserve">Dolore alla pressione moderata in sedi non usate. Dolore che si sposta di giorno in giorno. Sonno non ristoratore. Reazione sproporzionata al contatto. È il modello dominante nel pattern C, e il pattern C corrisponde ai criteri di dolore nociplastico probabile.</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sul</w:t>
      </w:r>
      <w:r>
        <w:t xml:space="preserve"> </w:t>
      </w:r>
      <w:r>
        <w:rPr>
          <w:b/>
          <w:bCs/>
        </w:rPr>
        <w:t xml:space="preserve">meccanismo</w:t>
      </w:r>
      <w:r>
        <w:t xml:space="preserve">: sommazione temporale aumentata e modulazione discendente ridotta, effetti medi su 23 studi (O’Brien, PMID 29454976). Pazienti con fibromialgia, non tutti quelli con rigidità diffusa.</w:t>
      </w:r>
      <w:r>
        <w:t xml:space="preserve"> </w:t>
      </w:r>
      <w:r>
        <w:rPr>
          <w:b/>
          <w:bCs/>
        </w:rPr>
        <w:t xml:space="preserve">PROBABILE</w:t>
      </w:r>
      <w:r>
        <w:t xml:space="preserve"> </w:t>
      </w:r>
      <w:r>
        <w:rPr>
          <w:i/>
          <w:iCs/>
        </w:rPr>
        <w:t xml:space="preserve">(razionale forte, prove parziali)</w:t>
      </w:r>
      <w:r>
        <w:t xml:space="preserve"> </w:t>
      </w:r>
      <w:r>
        <w:t xml:space="preserve">sull’</w:t>
      </w:r>
      <w:r>
        <w:rPr>
          <w:b/>
          <w:bCs/>
        </w:rPr>
        <w:t xml:space="preserve">esito clinico</w:t>
      </w:r>
      <w:r>
        <w:t xml:space="preserve"> </w:t>
      </w:r>
      <w:r>
        <w:t xml:space="preserve">di un ciclo di lavoro manuale: nove studi randomizzati sul massaggio ad almeno cinque settimane, dieci lavori sul rilascio miofasciale (Li, PMID 24586677; Yuan, PMID 25457196). Hanno misurato dolore, ansia e umore —</w:t>
      </w:r>
      <w:r>
        <w:t xml:space="preserve"> </w:t>
      </w:r>
      <w:r>
        <w:rPr>
          <w:b/>
          <w:bCs/>
        </w:rPr>
        <w:t xml:space="preserve">non</w:t>
      </w:r>
      <w:r>
        <w:t xml:space="preserve"> </w:t>
      </w:r>
      <w:r>
        <w:t xml:space="preserve">la soglia: il PROBABILE riguarda l’esito, non il meccanismo d’azione. È il motivo per cui la tabella dei pattern dice «abbastanza, a bassa intensità e su un ciclo» e non «poco».</w:t>
      </w:r>
      <w:r>
        <w:t xml:space="preserve"> </w:t>
      </w:r>
      <w:r>
        <w:rPr>
          <w:b/>
          <w:bCs/>
        </w:rPr>
        <w:t xml:space="preserve">DIMOSTRATO</w:t>
      </w:r>
      <w:r>
        <w:t xml:space="preserve"> </w:t>
      </w:r>
      <w:r>
        <w:rPr>
          <w:i/>
          <w:iCs/>
        </w:rPr>
        <w:t xml:space="preserve">(studi sull’uomo, solidi)</w:t>
      </w:r>
      <w:r>
        <w:t xml:space="preserve"> </w:t>
      </w:r>
      <w:r>
        <w:t xml:space="preserve">che il respiro lento volontario aumenti gli indici vagali della variabilità cardiaca: 223 studi (Laborde, PMID 35623448). Esercizio fatto dal soggetto, popolazioni generali, mai collegato alla rigidità.</w:t>
      </w:r>
    </w:p>
    <w:bookmarkEnd w:id="41"/>
    <w:bookmarkStart w:id="42" w:name="metabolico-energetico"/>
    <w:p>
      <w:pPr>
        <w:pStyle w:val="Heading3"/>
      </w:pPr>
      <w:r>
        <w:t xml:space="preserve">Metabolico-Energetico</w:t>
      </w:r>
    </w:p>
    <w:p>
      <w:pPr>
        <w:pStyle w:val="FirstParagraph"/>
      </w:pPr>
      <w:r>
        <w:rPr>
          <w:b/>
          <w:bCs/>
        </w:rPr>
        <w:t xml:space="preserve">Cosa governa qui.</w:t>
      </w:r>
      <w:r>
        <w:t xml:space="preserve"> </w:t>
      </w:r>
      <w:r>
        <w:t xml:space="preserve">Quanto costa al corpo tenere questo assetto: capacità aerobica, decondizionamento, economia del recupero. Possiede la leva con la letteratura più larga del documento, l’esercizio, e insieme le variabili che non passano dalle tue mani.</w:t>
      </w:r>
    </w:p>
    <w:p>
      <w:pPr>
        <w:pStyle w:val="BodyText"/>
      </w:pPr>
      <w:r>
        <w:rPr>
          <w:b/>
          <w:bCs/>
        </w:rPr>
        <w:t xml:space="preserve">Gli attori.</w:t>
      </w:r>
      <w:r>
        <w:t xml:space="preserve"> </w:t>
      </w:r>
      <w:r>
        <w:t xml:space="preserve">Capacità aerobica e attività abituale, sonno, peso, farmaci in corso, funzione tiroidea.</w:t>
      </w:r>
    </w:p>
    <w:p>
      <w:pPr>
        <w:pStyle w:val="BodyText"/>
      </w:pPr>
      <w:r>
        <w:rPr>
          <w:b/>
          <w:bCs/>
        </w:rPr>
        <w:t xml:space="preserve">I segnali che ti dicono che pesa.</w:t>
      </w:r>
      <w:r>
        <w:t xml:space="preserve"> </w:t>
      </w:r>
      <w:r>
        <w:t xml:space="preserve">Sonno che non ristora da mesi. Un farmaco iniziato o cambiato in coincidenza col sintomo. Un profilo tiroideo mai ricontrollato. Attività dichiarata alta e concentrata in una sola sessione settimanale, con sei giorni fermi attorno.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l’esercizio migliori la qualità di vita in questa popolazione. È l’unica raccomandazione «forte a favore» delle linee guida europee (Bidonde, PMID 28636204; Macfarlane, PMID 27377815). La leva è di questo modello, ed è del paziente.</w:t>
      </w:r>
      <w:r>
        <w:t xml:space="preserve"> </w:t>
      </w:r>
      <w:r>
        <w:rPr>
          <w:b/>
          <w:bCs/>
        </w:rPr>
        <w:t xml:space="preserve">PROBABILE</w:t>
      </w:r>
      <w:r>
        <w:t xml:space="preserve"> </w:t>
      </w:r>
      <w:r>
        <w:rPr>
          <w:i/>
          <w:iCs/>
        </w:rPr>
        <w:t xml:space="preserve">(razionale forte, prove parziali)</w:t>
      </w:r>
      <w:r>
        <w:t xml:space="preserve"> </w:t>
      </w:r>
      <w:r>
        <w:t xml:space="preserve">che la privazione di sonno abbassi la soglia dolorosa: gli autori graduano la prova «limitata» nei sani e «molto limitata» in chi ha già dolore cronico (Chang, PMID 36334461). È la stessa etichetta che porta al capitolo dei meccanismi, non una più alta.</w:t>
      </w:r>
      <w:r>
        <w:t xml:space="preserve"> </w:t>
      </w:r>
      <w:r>
        <w:rPr>
          <w:b/>
          <w:bCs/>
        </w:rPr>
        <w:t xml:space="preserve">RAGIONAMENTO</w:t>
      </w:r>
      <w:r>
        <w:t xml:space="preserve"> </w:t>
      </w:r>
      <w:r>
        <w:rPr>
          <w:i/>
          <w:iCs/>
        </w:rPr>
        <w:t xml:space="preserve">(cornice clinica, non una prova)</w:t>
      </w:r>
      <w:r>
        <w:t xml:space="preserve"> </w:t>
      </w:r>
      <w:r>
        <w:t xml:space="preserve">che sia questa la leva prioritaria in un dato paziente. Su peso, sonno, farmaci e tiroide tu</w:t>
      </w:r>
      <w:r>
        <w:t xml:space="preserve"> </w:t>
      </w:r>
      <w:r>
        <w:rPr>
          <w:b/>
          <w:bCs/>
        </w:rPr>
        <w:t xml:space="preserve">valuti e segnali</w:t>
      </w:r>
      <w:r>
        <w:t xml:space="preserve">: la decisione è del medico.</w:t>
      </w:r>
    </w:p>
    <w:bookmarkEnd w:id="42"/>
    <w:bookmarkStart w:id="43"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Che cosa il paziente crede di avere, quanto si espone al movimento, e se continua fra una seduta e l’altra. È il modello che decide se il piano verrà eseguito, ed è co-dominante con il Biomeccanico: tutto quello che questa Bibbia propone converge sul movimento, e chi non lo fa non lo fa per una ragione che sta qui. Un piano che nessuno esegue vale quanto la dieta appesa al frigorifero.</w:t>
      </w:r>
    </w:p>
    <w:p>
      <w:pPr>
        <w:pStyle w:val="BodyText"/>
      </w:pPr>
      <w:r>
        <w:rPr>
          <w:b/>
          <w:bCs/>
        </w:rPr>
        <w:t xml:space="preserve">Gli attori.</w:t>
      </w:r>
      <w:r>
        <w:t xml:space="preserve"> </w:t>
      </w:r>
      <w:r>
        <w:t xml:space="preserve">Le credenze con cui è arrivato, la paura di muoversi, l’aspettativa, l’aderenza nel tempo. E i muscoli posturali che tengono acceso il livello di attivazione: trapezio, masticatori, diaframma.</w:t>
      </w:r>
    </w:p>
    <w:p>
      <w:pPr>
        <w:pStyle w:val="BodyText"/>
      </w:pPr>
      <w:r>
        <w:rPr>
          <w:b/>
          <w:bCs/>
        </w:rPr>
        <w:t xml:space="preserve">I segnali che ti dicono che pesa.</w:t>
      </w:r>
      <w:r>
        <w:t xml:space="preserve"> </w:t>
      </w:r>
      <w:r>
        <w:t xml:space="preserve">Il quadro segue i periodi di pressione e migliora in vacanza. Ha smesso di provarci e chiama la rigidità «sono fatto così». Ha ricevuto un «è stress» e l’ha tradotto in «te lo inventi». Evita i movimenti che una volta gli hanno fatto male, e non distingue più fra dolore e danno. Ha cominciato tre programmi di esercizio e non ne ha finito nessuno.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il carico mentale aumenti l’attività elettrica del trapezio e cancelli le micro-pause (Schleifer, PMID 18282206). È la parte</w:t>
      </w:r>
      <w:r>
        <w:t xml:space="preserve"> </w:t>
      </w:r>
      <w:r>
        <w:rPr>
          <w:b/>
          <w:bCs/>
        </w:rPr>
        <w:t xml:space="preserve">fisica</w:t>
      </w:r>
      <w:r>
        <w:t xml:space="preserve"> </w:t>
      </w:r>
      <w:r>
        <w:t xml:space="preserve">di questo modello: quella che serve a dire al paziente che ciò che sente è misurabile.</w:t>
      </w:r>
      <w:r>
        <w:t xml:space="preserve"> </w:t>
      </w:r>
      <w:r>
        <w:rPr>
          <w:b/>
          <w:bCs/>
        </w:rPr>
        <w:t xml:space="preserve">DIMOSTRATO</w:t>
      </w:r>
      <w:r>
        <w:t xml:space="preserve"> </w:t>
      </w:r>
      <w:r>
        <w:rPr>
          <w:i/>
          <w:iCs/>
        </w:rPr>
        <w:t xml:space="preserve">(studi sull’uomo, solidi)</w:t>
      </w:r>
      <w:r>
        <w:t xml:space="preserve"> </w:t>
      </w:r>
      <w:r>
        <w:t xml:space="preserve">che circa una persona su cinque abbandoni un programma di esercizio in questa popolazione, con l’alta intensità che abbandona più della bassa (Vancampfort, PMID 37331421). L’aderenza è una variabile misurata, non una qualità morale.</w:t>
      </w:r>
      <w:r>
        <w:t xml:space="preserve"> </w:t>
      </w:r>
      <w:r>
        <w:rPr>
          <w:b/>
          <w:bCs/>
        </w:rPr>
        <w:t xml:space="preserve">PROBABILE</w:t>
      </w:r>
      <w:r>
        <w:t xml:space="preserve"> </w:t>
      </w:r>
      <w:r>
        <w:rPr>
          <w:i/>
          <w:iCs/>
        </w:rPr>
        <w:t xml:space="preserve">(razionale forte, prove parziali)</w:t>
      </w:r>
      <w:r>
        <w:t xml:space="preserve"> </w:t>
      </w:r>
      <w:r>
        <w:t xml:space="preserve">che gli interventi manuali osteopatici riducano i sintomi depressivi: g = −0,47, e −0,61 nelle popolazioni con dolore (Gordon, PMID 39920074). È l’unico esito psicometrico positivo della letteratura osteopatica, e appartiene a questo modello.</w:t>
      </w:r>
      <w:r>
        <w:t xml:space="preserve"> </w:t>
      </w:r>
      <w:r>
        <w:rPr>
          <w:b/>
          <w:bCs/>
        </w:rPr>
        <w:t xml:space="preserve">PROBABILE</w:t>
      </w:r>
      <w:r>
        <w:t xml:space="preserve"> </w:t>
      </w:r>
      <w:r>
        <w:rPr>
          <w:i/>
          <w:iCs/>
        </w:rPr>
        <w:t xml:space="preserve">(razionale forte, prove parziali)</w:t>
      </w:r>
      <w:r>
        <w:t xml:space="preserve"> </w:t>
      </w:r>
      <w:r>
        <w:t xml:space="preserve">che l’alleanza terapeutica pesi sull’esito. In 182 pazienti con lombalgia cronica, l’alleanza misurata alla</w:t>
      </w:r>
      <w:r>
        <w:t xml:space="preserve"> </w:t>
      </w:r>
      <w:r>
        <w:rPr>
          <w:b/>
          <w:bCs/>
        </w:rPr>
        <w:t xml:space="preserve">seconda</w:t>
      </w:r>
      <w:r>
        <w:t xml:space="preserve"> </w:t>
      </w:r>
      <w:r>
        <w:t xml:space="preserve">seduta ha predetto in modo costante funzione, effetto percepito, dolore e disabilità a otto settimane (Ferreira, PMID 23139428). Misurato su pazienti con lombalgia cronica in trattamento fisioterapico, non su pazienti con rigidità diffusa — ed è un’associazione predittiva, non una prova che migliorare l’alleanza migliori l’esito.</w:t>
      </w:r>
      <w:r>
        <w:t xml:space="preserve"> </w:t>
      </w:r>
      <w:r>
        <w:rPr>
          <w:b/>
          <w:bCs/>
        </w:rPr>
        <w:t xml:space="preserve">IPOTESI</w:t>
      </w:r>
      <w:r>
        <w:t xml:space="preserve"> </w:t>
      </w:r>
      <w:r>
        <w:rPr>
          <w:i/>
          <w:iCs/>
        </w:rPr>
        <w:t xml:space="preserve">(meccanismo coerente, nessuno studio)</w:t>
      </w:r>
      <w:r>
        <w:t xml:space="preserve"> </w:t>
      </w:r>
      <w:r>
        <w:t xml:space="preserve">che il tuo contatto modifichi durevolmente il livello di attivazione di fondo.</w:t>
      </w:r>
    </w:p>
    <w:p>
      <w:pPr>
        <w:pStyle w:val="BlockText"/>
      </w:pPr>
      <w:r>
        <w:rPr>
          <w:b/>
          <w:bCs/>
        </w:rPr>
        <w:t xml:space="preserve">Cosa cambia per te.</w:t>
      </w:r>
      <w:r>
        <w:t xml:space="preserve"> </w:t>
      </w:r>
      <w:r>
        <w:t xml:space="preserve">I modelli che portano un pezzo</w:t>
      </w:r>
      <w:r>
        <w:t xml:space="preserve"> </w:t>
      </w:r>
      <w:r>
        <w:rPr>
          <w:b/>
          <w:bCs/>
        </w:rPr>
        <w:t xml:space="preserve">DIMOSTRATO</w:t>
      </w:r>
      <w:r>
        <w:t xml:space="preserve"> </w:t>
      </w:r>
      <w:r>
        <w:t xml:space="preserve">sono quattro: il Biomeccanico, il Respiratorio-Circolatorio, il Metabolico-Energetico e il Comportamentale. In tutti e quattro il DIMOSTRATO riguarda un</w:t>
      </w:r>
      <w:r>
        <w:t xml:space="preserve"> </w:t>
      </w:r>
      <w:r>
        <w:rPr>
          <w:b/>
          <w:bCs/>
        </w:rPr>
        <w:t xml:space="preserve">fenomeno</w:t>
      </w:r>
      <w:r>
        <w:t xml:space="preserve">, mai la tua mano. È la ragione per cui il tempo che passi a misurare e a insegnare vale quanto quello che passi a trattare, e va difeso allo stesso modo.</w:t>
      </w:r>
    </w:p>
    <w:p>
      <w:pPr>
        <w:pStyle w:val="FirstParagraph"/>
      </w:pPr>
      <w:r>
        <w:rPr>
          <w:b/>
          <w:bCs/>
        </w:rPr>
        <w:t xml:space="preserve">Le tre cose da ricordare, più una</w:t>
      </w:r>
    </w:p>
    <w:p>
      <w:pPr>
        <w:pStyle w:val="Compact"/>
        <w:numPr>
          <w:ilvl w:val="0"/>
          <w:numId w:val="1021"/>
        </w:numPr>
      </w:pPr>
      <w:r>
        <w:t xml:space="preserve">Il modello Biomeccanico qui porta il pezzo più solido del documento — la rigidità che si costruisce da sola — e si legge in</w:t>
      </w:r>
      <w:r>
        <w:t xml:space="preserve"> </w:t>
      </w:r>
      <w:r>
        <w:rPr>
          <w:b/>
          <w:bCs/>
        </w:rPr>
        <w:t xml:space="preserve">asimmetria</w:t>
      </w:r>
      <w:r>
        <w:t xml:space="preserve">, non in valore assoluto.</w:t>
      </w:r>
    </w:p>
    <w:p>
      <w:pPr>
        <w:pStyle w:val="Compact"/>
        <w:numPr>
          <w:ilvl w:val="0"/>
          <w:numId w:val="1021"/>
        </w:numPr>
      </w:pPr>
      <w:r>
        <w:t xml:space="preserve">I modelli con le prove migliori descrivono fenomeni che non passano dalle tue mani, e questo cambia come costruisci la seduta.</w:t>
      </w:r>
    </w:p>
    <w:p>
      <w:pPr>
        <w:pStyle w:val="Compact"/>
        <w:numPr>
          <w:ilvl w:val="0"/>
          <w:numId w:val="1021"/>
        </w:numPr>
      </w:pPr>
      <w:r>
        <w:t xml:space="preserve">Il modello Comportamentale non è «come il paziente si sente»: è cosa crede, quanto si espone e se continua. È il modello che decide se il tuo piano verrà eseguito.</w:t>
      </w:r>
    </w:p>
    <w:p>
      <w:pPr>
        <w:pStyle w:val="Compact"/>
        <w:numPr>
          <w:ilvl w:val="0"/>
          <w:numId w:val="1021"/>
        </w:numPr>
      </w:pPr>
      <w:r>
        <w:rPr>
          <w:b/>
          <w:bCs/>
        </w:rPr>
        <w:t xml:space="preserve">Perché ci sei tu.</w:t>
      </w:r>
      <w:r>
        <w:t xml:space="preserve"> </w:t>
      </w:r>
      <w:r>
        <w:t xml:space="preserve">Sotto carico mentale il trapezio non si spegne più fra un compito e l’altro, e la CO2 di fine espirazione scende (Schleifer, 2008, PMID 18282206). Questo ti autorizza a spiegare la componente da stress come un fenomeno muscolare misurabile, che è l’unica versione che questo paziente accetterà. Non ti autorizza a occuparti della causa dello stress: è un altro mestiere, e sconfinarci è il modo più rapido di perdere il paziente e il perimetro.</w:t>
      </w:r>
    </w:p>
    <w:p>
      <w:r>
        <w:pict>
          <v:rect style="width:0;height:1.5pt" o:hralign="center" o:hrstd="t" o:hr="t"/>
        </w:pict>
      </w:r>
    </w:p>
    <w:bookmarkEnd w:id="43"/>
    <w:bookmarkEnd w:id="44"/>
    <w:bookmarkStart w:id="52"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il paziente porta una sensazione unica e indivisibile, e il tuo lavoro è dividerla — prima in numeri, poi in un pattern, poi in una decisione.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quello che segue è il modo in cui decido su cosa agire per primo. Non è un meccanismo dimostrato, e non va presentato al paziente come tale.</w:t>
      </w:r>
    </w:p>
    <w:bookmarkStart w:id="45" w:name="la-punta-e-il-sommerso"/>
    <w:p>
      <w:pPr>
        <w:pStyle w:val="Heading3"/>
      </w:pPr>
      <w:r>
        <w:t xml:space="preserve">La punta e il sommerso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FirstParagraph"/>
      </w:pPr>
      <w:r>
        <w:t xml:space="preserve">La punta, qui, è ingannevole. «Tutto» somiglia a una descrizione completa, ed è invece la parola di chi non ha strumenti per distinguere.</w:t>
      </w:r>
    </w:p>
    <w:p>
      <w:pPr>
        <w:pStyle w:val="BodyText"/>
      </w:pPr>
      <w:r>
        <w:t xml:space="preserve">E il sommerso va diviso in due, perché non tutto quello che trovi comanda. Un piano</w:t>
      </w:r>
      <w:r>
        <w:t xml:space="preserve"> </w:t>
      </w:r>
      <w:r>
        <w:rPr>
          <w:b/>
          <w:bCs/>
        </w:rPr>
        <w:t xml:space="preserve">compensa</w:t>
      </w:r>
      <w:r>
        <w:t xml:space="preserve"> </w:t>
      </w:r>
      <w:r>
        <w:t xml:space="preserve">quando si adatta per far continuare il resto: il paziente D che riduce l’ampiezza senza accorgersene sta compensando. Un piano</w:t>
      </w:r>
      <w:r>
        <w:t xml:space="preserve"> </w:t>
      </w:r>
      <w:r>
        <w:rPr>
          <w:b/>
          <w:bCs/>
        </w:rPr>
        <w:t xml:space="preserve">comanda</w:t>
      </w:r>
      <w:r>
        <w:t xml:space="preserve"> </w:t>
      </w:r>
      <w:r>
        <w:t xml:space="preserve">quando decide che cosa tutti gli altri possono fare: la soglia abbassata comanda. Se tratti il piano che compensa, il piano che comanda lo ricostruisce, e la seduta dopo sei al punto di prima.</w:t>
      </w:r>
    </w:p>
    <w:p>
      <w:pPr>
        <w:pStyle w:val="BlockText"/>
      </w:pPr>
      <w:r>
        <w:rPr>
          <w:b/>
          <w:bCs/>
        </w:rPr>
        <w:t xml:space="preserve">Attenzione.</w:t>
      </w:r>
      <w:r>
        <w:t xml:space="preserve"> </w:t>
      </w:r>
      <w:r>
        <w:t xml:space="preserve">La regola «non trattare il punto in cui il paziente sente» qui non viene attenuata: viene</w:t>
      </w:r>
      <w:r>
        <w:t xml:space="preserve"> </w:t>
      </w:r>
      <w:r>
        <w:rPr>
          <w:b/>
          <w:bCs/>
        </w:rPr>
        <w:t xml:space="preserve">tolta</w:t>
      </w:r>
      <w:r>
        <w:t xml:space="preserve">. Lo dichiaro perché una rimozione silenziosa è indistinguibile da una dimenticanza. Il motivo è un fatto: su questo quadro gli interventi con le prove migliori si applicano proprio sui distretti che il paziente sente. Quello che resta, intatto e con potere di discriminare, è la regola di</w:t>
      </w:r>
      <w:r>
        <w:t xml:space="preserve"> </w:t>
      </w:r>
      <w:r>
        <w:rPr>
          <w:b/>
          <w:bCs/>
        </w:rPr>
        <w:t xml:space="preserve">verifica</w:t>
      </w:r>
      <w:r>
        <w:t xml:space="preserve">: il marker con cui rivaluti appartiene a un piano che non hai trattato.</w:t>
      </w:r>
    </w:p>
    <w:p>
      <w:pPr>
        <w:pStyle w:val="FirstParagraph"/>
      </w:pPr>
      <w:r>
        <w:t xml:space="preserve">Quattro pazienti con la stessa punta.</w:t>
      </w:r>
    </w:p>
    <w:p>
      <w:pPr>
        <w:pStyle w:val="BodyText"/>
      </w:pPr>
      <w:r>
        <w:rPr>
          <w:b/>
          <w:bCs/>
        </w:rPr>
        <w:t xml:space="preserve">Paziente A — quarantotto anni, impiegato, si sblocca in venti minuti.</w:t>
      </w:r>
      <w:r>
        <w:t xml:space="preserve"> </w:t>
      </w:r>
      <w:r>
        <w:t xml:space="preserve">Cammina il fine settimana e sta meglio. Dita-terra a 22 cm, rotazioni d’anca e cervicale simmetriche.</w:t>
      </w:r>
      <w:r>
        <w:t xml:space="preserve"> </w:t>
      </w:r>
      <w:r>
        <w:rPr>
          <w:b/>
          <w:bCs/>
        </w:rPr>
        <w:t xml:space="preserve">Che cosa fai:</w:t>
      </w:r>
      <w:r>
        <w:t xml:space="preserve"> </w:t>
      </w:r>
      <w:r>
        <w:t xml:space="preserve">lavori sul distretto che misura peggio, e il resto della seduta lo spendi sulla distribuzione del movimento nella giornata. Il suo meccanismo si ricostruisce in secondi, e nessuna seduta lo raggiunge lì. Il marker che rimisuri a fine seduta è la</w:t>
      </w:r>
      <w:r>
        <w:t xml:space="preserve"> </w:t>
      </w:r>
      <w:r>
        <w:rPr>
          <w:b/>
          <w:bCs/>
        </w:rPr>
        <w:t xml:space="preserve">rotazione cervicale</w:t>
      </w:r>
      <w:r>
        <w:t xml:space="preserve">, non il dita-terra: il dita-terra è il piano che hai appena trattato, e un suo miglioramento non ti direbbe niente. E gli dai il tempo di sblocco da segnare per una settimana.</w:t>
      </w:r>
    </w:p>
    <w:p>
      <w:pPr>
        <w:pStyle w:val="BodyText"/>
      </w:pPr>
      <w:r>
        <w:rPr>
          <w:b/>
          <w:bCs/>
        </w:rPr>
        <w:t xml:space="preserve">Paziente B — cinquantadue anni, sei mesi difficili al lavoro, respiro alto.</w:t>
      </w:r>
      <w:r>
        <w:t xml:space="preserve"> </w:t>
      </w:r>
      <w:r>
        <w:t xml:space="preserve">Il tessuto sobbalza appena appoggi le mani, e dorme male da quando è cominciato tutto. Le misure di escursione sono simmetriche e quasi piene: il suo problema non è quanto si muove.</w:t>
      </w:r>
      <w:r>
        <w:t xml:space="preserve"> </w:t>
      </w:r>
      <w:r>
        <w:rPr>
          <w:b/>
          <w:bCs/>
        </w:rPr>
        <w:t xml:space="preserve">Che cosa fai:</w:t>
      </w:r>
      <w:r>
        <w:t xml:space="preserve"> </w:t>
      </w:r>
      <w:r>
        <w:t xml:space="preserve">a comandare è il livello di attivazione, e la leva ce l’hai. È lavoro manuale a tutti gli effetti, mirato altrove, con l’etichetta IPOTESI dichiarata nel capitolo delle leve e non una di più. Il pezzo che regge davvero è il respiro lento, e glielo insegni nella stessa seduta. Il marker che decide non è il tessuto che hai toccato: è il tempo di sblocco della mattina dopo.</w:t>
      </w:r>
    </w:p>
    <w:p>
      <w:pPr>
        <w:pStyle w:val="BodyText"/>
      </w:pPr>
      <w:r>
        <w:rPr>
          <w:b/>
          <w:bCs/>
        </w:rPr>
        <w:t xml:space="preserve">Paziente C — sessantuno anni, tutto fa male al tatto, si sveglia più stanca di quando si è coricata.</w:t>
      </w:r>
      <w:r>
        <w:t xml:space="preserve"> </w:t>
      </w:r>
      <w:r>
        <w:t xml:space="preserve">Il dolore si sposta, e la pressione moderata sul polpaccio le fa male quanto quella sul trapezio.</w:t>
      </w:r>
      <w:r>
        <w:t xml:space="preserve"> </w:t>
      </w:r>
      <w:r>
        <w:rPr>
          <w:b/>
          <w:bCs/>
        </w:rPr>
        <w:t xml:space="preserve">Che cosa fai:</w:t>
      </w:r>
      <w:r>
        <w:t xml:space="preserve"> </w:t>
      </w:r>
      <w:r>
        <w:t xml:space="preserve">riduci l’intensità del contatto, non la aumenti, e il conto lo fai a cinque settimane e non a fine seduta. Su questo pattern ciò che si muove è il ciclo. In parallelo consegni e accompagni l’esposizione graduata al movimento. Sai che la singola sessione può alzarle il dolore invece di abbassarlo, e il perché sta in «Cosa può fare il paziente da solo», Strumento 1. E attivi il canale medico per iscritto, perché qui l’inquadramento reumatologico manca più spesso che altrove.</w:t>
      </w:r>
    </w:p>
    <w:p>
      <w:pPr>
        <w:pStyle w:val="BodyText"/>
      </w:pPr>
      <w:r>
        <w:rPr>
          <w:b/>
          <w:bCs/>
        </w:rPr>
        <w:t xml:space="preserve">Paziente D — cinquantacinque anni, racconta quello che racconta il paziente A.</w:t>
      </w:r>
      <w:r>
        <w:t xml:space="preserve"> </w:t>
      </w:r>
      <w:r>
        <w:t xml:space="preserve">Dall’anamnesi non li distingui. Poi misuri: rotazione interna d’anca 38 gradi a destra e 22 a sinistra, cervicale simmetrica. Un solo distretto è asimmetrico, molto oltre il cambiamento minimo rilevabile.</w:t>
      </w:r>
      <w:r>
        <w:t xml:space="preserve"> </w:t>
      </w:r>
      <w:r>
        <w:rPr>
          <w:b/>
          <w:bCs/>
        </w:rPr>
        <w:t xml:space="preserve">Che cosa fai:</w:t>
      </w:r>
      <w:r>
        <w:t xml:space="preserve"> </w:t>
      </w:r>
      <w:r>
        <w:t xml:space="preserve">non hai un paziente diffuso, hai un’anca. E qui scatta la domanda che il documento ti chiede sempre —</w:t>
      </w:r>
      <w:r>
        <w:t xml:space="preserve"> </w:t>
      </w:r>
      <w:r>
        <w:rPr>
          <w:b/>
          <w:bCs/>
        </w:rPr>
        <w:t xml:space="preserve">perché proprio quel distretto?</w:t>
      </w:r>
      <w:r>
        <w:t xml:space="preserve"> </w:t>
      </w:r>
      <w:r>
        <w:t xml:space="preserve">Prima di eleggerlo a bersaglio guardi a monte e a valle: la caviglia dello stesso lato, una cicatrice, un vecchio trauma distale. Il posto che misura peggio non è automaticamente il posto che comanda.</w:t>
      </w:r>
    </w:p>
    <w:bookmarkEnd w:id="45"/>
    <w:bookmarkStart w:id="46" w:name="X6293d6b00e417b58635dde1ac29ade589b6bd6a"/>
    <w:p>
      <w:pPr>
        <w:pStyle w:val="Heading3"/>
      </w:pPr>
      <w:r>
        <w:t xml:space="preserve">Perché si indaga da monte, e cosa vuol dire «monte»</w:t>
      </w:r>
    </w:p>
    <w:p>
      <w:pPr>
        <w:pStyle w:val="FirstParagraph"/>
      </w:pPr>
      <w:r>
        <w:t xml:space="preserve">Il piano più a monte comanda su quelli sotto. E</w:t>
      </w:r>
      <w:r>
        <w:t xml:space="preserve"> </w:t>
      </w:r>
      <w:r>
        <w:rPr>
          <w:b/>
          <w:bCs/>
        </w:rPr>
        <w:t xml:space="preserve">«a monte» non è una coordinata anatomica</w:t>
      </w:r>
      <w:r>
        <w:t xml:space="preserve">: non vuol dire più vicino alla testa, vuol dire più a monte sul piano funzionale.</w:t>
      </w:r>
    </w:p>
    <w:p>
      <w:pPr>
        <w:pStyle w:val="BodyText"/>
      </w:pPr>
      <w:r>
        <w:t xml:space="preserve">L’ordine, qui, è:</w:t>
      </w:r>
      <w:r>
        <w:t xml:space="preserve"> </w:t>
      </w:r>
      <w:r>
        <w:rPr>
          <w:b/>
          <w:bCs/>
        </w:rPr>
        <w:t xml:space="preserve">sonno e livello di attivazione → soglia → distribuzione del movimento nella giornata → assetto respiratorio → scorrimento ed escursione dei distretti.</w:t>
      </w:r>
    </w:p>
    <w:p>
      <w:pPr>
        <w:pStyle w:val="BodyText"/>
      </w:pPr>
      <w:r>
        <w:t xml:space="preserve">La soglia sta in alto e non in fondo, perché decide l’intensità di tutto quello che farai a valle: scoprirla dopo aver costruito il piano ti obbliga a buttarlo via. E un paziente che dorme quattro ore e sta fermo dodici non risponde a un lavoro sul tessuto. Non perché il tessuto non conti, ma perché viene ricostruito più in fretta di quanto tu lo sciolga.</w:t>
      </w:r>
    </w:p>
    <w:bookmarkEnd w:id="46"/>
    <w:bookmarkStart w:id="49" w:name="la-prova-della-chiave-di-volta"/>
    <w:p>
      <w:pPr>
        <w:pStyle w:val="Heading3"/>
      </w:pPr>
      <w:r>
        <w:t xml:space="preserve">La prova della chiave di volta</w:t>
      </w:r>
    </w:p>
    <w:p>
      <w:pPr>
        <w:pStyle w:val="FirstParagraph"/>
      </w:pPr>
      <w:r>
        <w:t xml:space="preserve">Tratti in prova il piano che sospetti dominante, poi rivaluti. Se cede anche il resto, hai trovato la chiave.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Quattro condizioni: scelto</w:t>
      </w:r>
      <w:r>
        <w:t xml:space="preserve"> </w:t>
      </w:r>
      <w:r>
        <w:rPr>
          <w:b/>
          <w:bCs/>
        </w:rPr>
        <w:t xml:space="preserve">prima</w:t>
      </w:r>
      <w:r>
        <w:t xml:space="preserve"> </w:t>
      </w:r>
      <w:r>
        <w:t xml:space="preserve">di trattare, misurato con lo stesso metodo prima e dopo, appartenente a un piano che</w:t>
      </w:r>
      <w:r>
        <w:t xml:space="preserve"> </w:t>
      </w:r>
      <w:r>
        <w:rPr>
          <w:b/>
          <w:bCs/>
        </w:rPr>
        <w:t xml:space="preserve">non</w:t>
      </w:r>
      <w:r>
        <w:t xml:space="preserve"> </w:t>
      </w:r>
      <w:r>
        <w:t xml:space="preserve">hai trattato, con una soglia dichiarata prima di vedere il risultato.</w:t>
      </w:r>
    </w:p>
    <w:p>
      <w:pPr>
        <w:pStyle w:val="BodyText"/>
      </w:pPr>
      <w:r>
        <w:t xml:space="preserve">I marker si dividono poi in due famiglie, e la distinzione conta. Gli</w:t>
      </w:r>
      <w:r>
        <w:t xml:space="preserve"> </w:t>
      </w:r>
      <w:r>
        <w:rPr>
          <w:b/>
          <w:bCs/>
        </w:rPr>
        <w:t xml:space="preserve">intra-seduta</w:t>
      </w:r>
      <w:r>
        <w:t xml:space="preserve"> </w:t>
      </w:r>
      <w:r>
        <w:t xml:space="preserve">si rimisurano subito e costano un minuto. Gli</w:t>
      </w:r>
      <w:r>
        <w:t xml:space="preserve"> </w:t>
      </w:r>
      <w:r>
        <w:rPr>
          <w:b/>
          <w:bCs/>
        </w:rPr>
        <w:t xml:space="preserve">inter-seduta</w:t>
      </w:r>
      <w:r>
        <w:t xml:space="preserve"> </w:t>
      </w:r>
      <w:r>
        <w:t xml:space="preserve">li porta il paziente alla volta dopo, e qui</w:t>
      </w:r>
      <w:r>
        <w:t xml:space="preserve"> </w:t>
      </w:r>
      <w:r>
        <w:rPr>
          <w:b/>
          <w:bCs/>
        </w:rPr>
        <w:t xml:space="preserve">pesano di più</w:t>
      </w:r>
      <w:r>
        <w:t xml:space="preserve">: il meccanismo principale si ricostruisce in secondi, quindi ogni misura di fine seduta è contaminata dal movimento che hai appena imposto, come la febbre presa subito dopo una doccia calda. E su una condizione diffusa i piani che tratti coprono tutto il corpo. La soluzione è tenere</w:t>
      </w:r>
      <w:r>
        <w:t xml:space="preserve"> </w:t>
      </w:r>
      <w:r>
        <w:rPr>
          <w:b/>
          <w:bCs/>
        </w:rPr>
        <w:t xml:space="preserve">cinque marker fuori dal piano l’uno dell’altro</w:t>
      </w:r>
      <w:r>
        <w:t xml:space="preserve"> </w:t>
      </w:r>
      <w:r>
        <w:t xml:space="preserve">e dichiarare quale verifica quale.</w:t>
      </w:r>
    </w:p>
    <w:p>
      <w:pPr>
        <w:pStyle w:val="BodyText"/>
      </w:pPr>
      <w:r>
        <w:t xml:space="preserve">E c’è una cosa che</w:t>
      </w:r>
      <w:r>
        <w:t xml:space="preserve"> </w:t>
      </w:r>
      <w:r>
        <w:rPr>
          <w:b/>
          <w:bCs/>
        </w:rPr>
        <w:t xml:space="preserve">non</w:t>
      </w:r>
      <w:r>
        <w:t xml:space="preserve"> </w:t>
      </w:r>
      <w:r>
        <w:t xml:space="preserve">è un marker, ed è quella che verrebbe più naturale usare: la durezza sotto le dita. Il dato va dato per intero, o faremmo a Beynon quello che questo documento rimprovera a chi cita a metà. Su 36 partecipanti giovani e due operatori, l’accordo grezzo sulla rigidità segmentale toracica va da</w:t>
      </w:r>
      <w:r>
        <w:t xml:space="preserve"> </w:t>
      </w:r>
      <w:r>
        <w:rPr>
          <w:b/>
          <w:bCs/>
        </w:rPr>
        <w:t xml:space="preserve">meno-che-il-caso a moderato</w:t>
      </w:r>
      <w:r>
        <w:t xml:space="preserve"> </w:t>
      </w:r>
      <w:r>
        <w:t xml:space="preserve">(kappa da −0,11 a 0,53). Corretto per prevalenza e bias sale a 0,12–0,76, e gli autori concludono che la palpazione statica è</w:t>
      </w:r>
      <w:r>
        <w:t xml:space="preserve"> </w:t>
      </w:r>
      <w:r>
        <w:rPr>
          <w:b/>
          <w:bCs/>
        </w:rPr>
        <w:t xml:space="preserve">complessivamente moderatamente affidabile</w:t>
      </w:r>
      <w:r>
        <w:t xml:space="preserve"> </w:t>
      </w:r>
      <w:r>
        <w:t xml:space="preserve">(Beynon, PMID 30524705). Quello che regge la regola non è il kappa più basso. È che</w:t>
      </w:r>
      <w:r>
        <w:t xml:space="preserve"> </w:t>
      </w:r>
      <w:r>
        <w:rPr>
          <w:b/>
          <w:bCs/>
        </w:rPr>
        <w:t xml:space="preserve">un addestramento comune non migliora l’accordo</w:t>
      </w:r>
      <w:r>
        <w:t xml:space="preserve">, e che la palpazione della mobilità in movimento fa peggio (Walker, PMID 26170883).</w:t>
      </w:r>
      <w:r>
        <w:t xml:space="preserve"> </w:t>
      </w:r>
      <w:r>
        <w:rPr>
          <w:b/>
          <w:bCs/>
        </w:rPr>
        <w:t xml:space="preserve">Per te:</w:t>
      </w:r>
      <w:r>
        <w:t xml:space="preserve"> </w:t>
      </w:r>
      <w:r>
        <w:t xml:space="preserve">la durezza palpata resta nell’esame come</w:t>
      </w:r>
      <w:r>
        <w:t xml:space="preserve"> </w:t>
      </w:r>
      <w:r>
        <w:rPr>
          <w:b/>
          <w:bCs/>
        </w:rPr>
        <w:t xml:space="preserve">orientamento</w:t>
      </w:r>
      <w:r>
        <w:t xml:space="preserve">, e in cartella si scrive con quella parola. Non fonda il mandato e non è mai il marker, perché la sua affidabilità dipende da chi la fa e non migliora addestrandosi. Il paradosso di questa condizione è che il reperto che le dà il nome è il meno riproducibile che hai.</w:t>
      </w:r>
    </w:p>
    <w:bookmarkStart w:id="47" w:name="i-cinque-marker-di-questa-condizione"/>
    <w:p>
      <w:pPr>
        <w:pStyle w:val="Heading4"/>
      </w:pPr>
      <w:r>
        <w:t xml:space="preserve">I cinque marker di questa condizione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Famiglia</w:t>
            </w:r>
          </w:p>
        </w:tc>
        <w:tc>
          <w:tcPr/>
          <w:p>
            <w:pPr>
              <w:pStyle w:val="Compact"/>
            </w:pPr>
            <w:r>
              <w:t xml:space="preserve">Soglia</w:t>
            </w:r>
          </w:p>
        </w:tc>
        <w:tc>
          <w:tcPr/>
          <w:p>
            <w:pPr>
              <w:pStyle w:val="Compact"/>
            </w:pPr>
            <w:r>
              <w:t xml:space="preserve">Da dove viene la soglia</w:t>
            </w:r>
          </w:p>
        </w:tc>
      </w:tr>
      <w:tr>
        <w:tc>
          <w:tcPr/>
          <w:p>
            <w:pPr>
              <w:pStyle w:val="Compact"/>
            </w:pPr>
            <w:r>
              <w:t xml:space="preserve">Dita-terra</w:t>
            </w:r>
          </w:p>
        </w:tc>
        <w:tc>
          <w:tcPr/>
          <w:p>
            <w:pPr>
              <w:pStyle w:val="Compact"/>
            </w:pPr>
            <w:r>
              <w:t xml:space="preserve">Intra-seduta</w:t>
            </w:r>
          </w:p>
        </w:tc>
        <w:tc>
          <w:tcPr/>
          <w:p>
            <w:pPr>
              <w:pStyle w:val="Compact"/>
            </w:pPr>
            <w:r>
              <w:t xml:space="preserve">4,5 cm</w:t>
            </w:r>
          </w:p>
        </w:tc>
        <w:tc>
          <w:tcPr/>
          <w:p>
            <w:pPr>
              <w:pStyle w:val="Compact"/>
            </w:pPr>
            <w:r>
              <w:t xml:space="preserve">Cambiamento minimo rilevabile, lombalgia acuta/subacuta</w:t>
            </w:r>
          </w:p>
        </w:tc>
      </w:tr>
      <w:tr>
        <w:tc>
          <w:tcPr/>
          <w:p>
            <w:pPr>
              <w:pStyle w:val="Compact"/>
            </w:pPr>
            <w:r>
              <w:t xml:space="preserve">Rotazione interna d’anca</w:t>
            </w:r>
          </w:p>
        </w:tc>
        <w:tc>
          <w:tcPr/>
          <w:p>
            <w:pPr>
              <w:pStyle w:val="Compact"/>
            </w:pPr>
            <w:r>
              <w:t xml:space="preserve">Intra-seduta</w:t>
            </w:r>
          </w:p>
        </w:tc>
        <w:tc>
          <w:tcPr/>
          <w:p>
            <w:pPr>
              <w:pStyle w:val="Compact"/>
            </w:pPr>
            <w:r>
              <w:t xml:space="preserve">5,4 gradi</w:t>
            </w:r>
          </w:p>
        </w:tc>
        <w:tc>
          <w:tcPr/>
          <w:p>
            <w:pPr>
              <w:pStyle w:val="Compact"/>
            </w:pPr>
            <w:r>
              <w:t xml:space="preserve">Cambiamento minimo rilevabile, adulti asintomatici</w:t>
            </w:r>
          </w:p>
        </w:tc>
      </w:tr>
      <w:tr>
        <w:tc>
          <w:tcPr/>
          <w:p>
            <w:pPr>
              <w:pStyle w:val="Compact"/>
            </w:pPr>
            <w:r>
              <w:t xml:space="preserve">Rotazione cervicale attiva</w:t>
            </w:r>
          </w:p>
        </w:tc>
        <w:tc>
          <w:tcPr/>
          <w:p>
            <w:pPr>
              <w:pStyle w:val="Compact"/>
            </w:pPr>
            <w:r>
              <w:t xml:space="preserve">Intra-seduta</w:t>
            </w:r>
          </w:p>
        </w:tc>
        <w:tc>
          <w:tcPr/>
          <w:p>
            <w:pPr>
              <w:pStyle w:val="Compact"/>
            </w:pPr>
            <w:r>
              <w:t xml:space="preserve">10 gradi</w:t>
            </w:r>
          </w:p>
        </w:tc>
        <w:tc>
          <w:tcPr/>
          <w:p>
            <w:pPr>
              <w:pStyle w:val="Compact"/>
            </w:pPr>
            <w:r>
              <w:t xml:space="preserve">Errore dello strumento arrotondato per eccesso</w:t>
            </w:r>
          </w:p>
        </w:tc>
      </w:tr>
      <w:tr>
        <w:tc>
          <w:tcPr/>
          <w:p>
            <w:pPr>
              <w:pStyle w:val="Compact"/>
            </w:pPr>
            <w:r>
              <w:t xml:space="preserve">Soglia di pressione dolorosa</w:t>
            </w:r>
          </w:p>
        </w:tc>
        <w:tc>
          <w:tcPr/>
          <w:p>
            <w:pPr>
              <w:pStyle w:val="Compact"/>
            </w:pPr>
            <w:r>
              <w:t xml:space="preserve">Intra-seduta</w:t>
            </w:r>
          </w:p>
        </w:tc>
        <w:tc>
          <w:tcPr/>
          <w:p>
            <w:pPr>
              <w:pStyle w:val="Compact"/>
            </w:pPr>
            <w:r>
              <w:t xml:space="preserve">Da definire</w:t>
            </w:r>
          </w:p>
        </w:tc>
        <w:tc>
          <w:tcPr/>
          <w:p>
            <w:pPr>
              <w:pStyle w:val="Compact"/>
            </w:pPr>
            <w:r>
              <w:t xml:space="preserve">Riproducibilità pubblicata, soglia no</w:t>
            </w:r>
          </w:p>
        </w:tc>
      </w:tr>
      <w:tr>
        <w:tc>
          <w:tcPr/>
          <w:p>
            <w:pPr>
              <w:pStyle w:val="Compact"/>
            </w:pPr>
            <w:r>
              <w:t xml:space="preserve">Tempo di sblocco mattutino</w:t>
            </w:r>
          </w:p>
        </w:tc>
        <w:tc>
          <w:tcPr/>
          <w:p>
            <w:pPr>
              <w:pStyle w:val="Compact"/>
            </w:pPr>
            <w:r>
              <w:t xml:space="preserve">Inter-seduta</w:t>
            </w:r>
          </w:p>
        </w:tc>
        <w:tc>
          <w:tcPr/>
          <w:p>
            <w:pPr>
              <w:pStyle w:val="Compact"/>
            </w:pPr>
            <w:r>
              <w:t xml:space="preserve">Riduzione del 30%</w:t>
            </w:r>
          </w:p>
        </w:tc>
        <w:tc>
          <w:tcPr/>
          <w:p>
            <w:pPr>
              <w:pStyle w:val="Compact"/>
            </w:pPr>
            <w:r>
              <w:t xml:space="preserve">Soglia presa in prestito, dichiarata</w:t>
            </w:r>
          </w:p>
        </w:tc>
      </w:tr>
    </w:tbl>
    <w:p>
      <w:pPr>
        <w:pStyle w:val="BodyText"/>
      </w:pPr>
      <w:r>
        <w:rPr>
          <w:b/>
          <w:bCs/>
        </w:rPr>
        <w:t xml:space="preserve">Dita-terra.</w:t>
      </w:r>
      <w:r>
        <w:t xml:space="preserve"> </w:t>
      </w:r>
      <w:r>
        <w:t xml:space="preserve">In piedi, flessione del tronco, distanza fra dita e suolo. Affidabilità fra operatori 0,95 (Gauvin, PMID 2141425). Cambiamento minimo rilevabile</w:t>
      </w:r>
      <w:r>
        <w:t xml:space="preserve"> </w:t>
      </w:r>
      <w:r>
        <w:rPr>
          <w:b/>
          <w:bCs/>
        </w:rPr>
        <w:t xml:space="preserve">4,5 cm</w:t>
      </w:r>
      <w:r>
        <w:t xml:space="preserve">, ricavato però su pazienti con lombalgia</w:t>
      </w:r>
      <w:r>
        <w:t xml:space="preserve"> </w:t>
      </w:r>
      <w:r>
        <w:rPr>
          <w:b/>
          <w:bCs/>
        </w:rPr>
        <w:t xml:space="preserve">acuta o subacuta</w:t>
      </w:r>
      <w:r>
        <w:t xml:space="preserve"> </w:t>
      </w:r>
      <w:r>
        <w:t xml:space="preserve">(Ekedahl, PMID 22555005). Sotto quella cifra non hai misurato un cambiamento: hai misurato il tuo errore.</w:t>
      </w:r>
    </w:p>
    <w:p>
      <w:pPr>
        <w:pStyle w:val="BlockText"/>
      </w:pPr>
      <w:r>
        <w:rPr>
          <w:b/>
          <w:bCs/>
        </w:rPr>
        <w:t xml:space="preserve">Attenzione.</w:t>
      </w:r>
      <w:r>
        <w:t xml:space="preserve"> </w:t>
      </w:r>
      <w:r>
        <w:t xml:space="preserve">Il dita-terra è la flessione anteriore massima senza appoggio, cioè il gesto che carica in compressione la colonna anteriore.</w:t>
      </w:r>
      <w:r>
        <w:t xml:space="preserve"> </w:t>
      </w:r>
      <w:r>
        <w:rPr>
          <w:b/>
          <w:bCs/>
        </w:rPr>
        <w:t xml:space="preserve">Non si misura</w:t>
      </w:r>
      <w:r>
        <w:t xml:space="preserve"> </w:t>
      </w:r>
      <w:r>
        <w:t xml:space="preserve">in chi ha osteoporosi nota, una pregressa frattura da fragilità, una terapia corticosteroidea prolungata o una perdita di statura non spiegata. È una popolazione densa proprio fra le donne oltre i sessantacinque anni che dicono «sono rigida dappertutto». In queste persone restano gli altri marker, e in cartella si scrive perché. La direzione del rischio è nota da quarant’anni: nell’osteoporosi vertebrale postmenopausale i programmi in flessione hanno prodotto molti più nuovi crolli di quelli in estensione (Sinaki, 1984, PMID 6487063 — studio su programmi ripetuti, non su una singola misura: l’estrapolazione è dichiarata).</w:t>
      </w:r>
    </w:p>
    <w:p>
      <w:pPr>
        <w:pStyle w:val="FirstParagraph"/>
      </w:pPr>
      <w:r>
        <w:rPr>
          <w:b/>
          <w:bCs/>
        </w:rPr>
        <w:t xml:space="preserve">Rotazione interna d’anca.</w:t>
      </w:r>
      <w:r>
        <w:t xml:space="preserve"> </w:t>
      </w:r>
      <w:r>
        <w:t xml:space="preserve">Attiva, da seduto, una gamba alla volta, con inclinometro e l’occhio sul bacino. Affidabilità 0,89–0,93, cambiamento minimo rilevabile</w:t>
      </w:r>
      <w:r>
        <w:t xml:space="preserve"> </w:t>
      </w:r>
      <w:r>
        <w:rPr>
          <w:b/>
          <w:bCs/>
        </w:rPr>
        <w:t xml:space="preserve">5,4 gradi</w:t>
      </w:r>
      <w:r>
        <w:t xml:space="preserve">, ricavato su 25 soggetti</w:t>
      </w:r>
      <w:r>
        <w:t xml:space="preserve"> </w:t>
      </w:r>
      <w:r>
        <w:rPr>
          <w:b/>
          <w:bCs/>
        </w:rPr>
        <w:t xml:space="preserve">asintomatici</w:t>
      </w:r>
      <w:r>
        <w:t xml:space="preserve"> </w:t>
      </w:r>
      <w:r>
        <w:t xml:space="preserve">fra i 22 e i 42 anni (Krause, PMID 24912575). È il marker più lontano dai distretti che tratterai per primi, e quello che separa il pattern D dall’A.</w:t>
      </w:r>
    </w:p>
    <w:p>
      <w:pPr>
        <w:pStyle w:val="BodyText"/>
      </w:pPr>
      <w:r>
        <w:rPr>
          <w:b/>
          <w:bCs/>
        </w:rPr>
        <w:t xml:space="preserve">Rotazione cervicale attiva.</w:t>
      </w:r>
      <w:r>
        <w:t xml:space="preserve"> </w:t>
      </w:r>
      <w:r>
        <w:t xml:space="preserve">Con goniometro o inclinometro l’errore minimo rilevabile fra operatori è circa l’11% dell’escursione, poco meno di otto gradi (Araujo, PMID 39160504).</w:t>
      </w:r>
      <w:r>
        <w:t xml:space="preserve"> </w:t>
      </w:r>
      <w:r>
        <w:rPr>
          <w:b/>
          <w:bCs/>
        </w:rPr>
        <w:t xml:space="preserve">La soglia di dieci gradi non viene da uno studio: è quell’errore arrotondato per eccesso, ed è dichiarata per questo.</w:t>
      </w:r>
    </w:p>
    <w:p>
      <w:pPr>
        <w:pStyle w:val="BlockText"/>
      </w:pPr>
      <w:r>
        <w:rPr>
          <w:b/>
          <w:bCs/>
        </w:rPr>
        <w:t xml:space="preserve">Attenzione.</w:t>
      </w:r>
      <w:r>
        <w:t xml:space="preserve"> </w:t>
      </w:r>
      <w:r>
        <w:t xml:space="preserve">Il rachide cervicale ha un profilo di rischio vascolare riconosciuto. Il quadro di riferimento internazionale (IFOMPT 2020) copre anche le tecniche non-thrust e l’esercizio, non solo la manipolazione, e nessun test singolo permette di escludere quel rischio. La conseguenza operativa è una sola:</w:t>
      </w:r>
      <w:r>
        <w:t xml:space="preserve"> </w:t>
      </w:r>
      <w:r>
        <w:rPr>
          <w:b/>
          <w:bCs/>
        </w:rPr>
        <w:t xml:space="preserve">vertigine, nausea, disturbi visivi, visione doppia o nistagmo durante la rotazione cervicale</w:t>
      </w:r>
      <w:r>
        <w:t xml:space="preserve"> </w:t>
      </w:r>
      <w:r>
        <w:t xml:space="preserve">fermano la valutazione e aprono il canale medico.</w:t>
      </w:r>
    </w:p>
    <w:p>
      <w:pPr>
        <w:pStyle w:val="FirstParagraph"/>
      </w:pPr>
      <w:r>
        <w:rPr>
          <w:b/>
          <w:bCs/>
        </w:rPr>
        <w:t xml:space="preserve">Soglia di pressione dolorosa.</w:t>
      </w:r>
      <w:r>
        <w:t xml:space="preserve"> </w:t>
      </w:r>
      <w:r>
        <w:t xml:space="preserve">È il marker che mancava, e l’unico che misura ciò che definisce il pattern C. Algometro digitale su due siti: l’angolo del trapezio superiore e il ventre del</w:t>
      </w:r>
      <w:r>
        <w:t xml:space="preserve"> </w:t>
      </w:r>
      <w:r>
        <w:rPr>
          <w:b/>
          <w:bCs/>
        </w:rPr>
        <w:t xml:space="preserve">tibiale anteriore</w:t>
      </w:r>
      <w:r>
        <w:t xml:space="preserve">, che è per costruzione fuori dal piano che tratterai. Regge anche in mani non esperte: accordo fra operatori 0,79–0,90 con valutatori principianti (Walton, PMID 21885906), fino a 0,91 con operatori addestrati (Chesterton, PMID 18075402).</w:t>
      </w:r>
      <w:r>
        <w:t xml:space="preserve"> </w:t>
      </w:r>
      <w:r>
        <w:rPr>
          <w:b/>
          <w:bCs/>
        </w:rPr>
        <w:t xml:space="preserve">La soglia di cambiamento si scrive «da definire»</w:t>
      </w:r>
      <w:r>
        <w:t xml:space="preserve"> </w:t>
      </w:r>
      <w:r>
        <w:t xml:space="preserve">finché non la si legge nel testo pieno: non si inventa un numero. Serve a capire se hai mosso qualcosa di non locale, e a separare il pattern D dal C. Soglia bassa solo in sede sintomatica è regionale; bassa anche al tibiale anteriore, no.</w:t>
      </w:r>
    </w:p>
    <w:p>
      <w:pPr>
        <w:pStyle w:val="BodyText"/>
      </w:pPr>
      <w:r>
        <w:rPr>
          <w:b/>
          <w:bCs/>
        </w:rPr>
        <w:t xml:space="preserve">Tempo di sblocco mattutino.</w:t>
      </w:r>
      <w:r>
        <w:t xml:space="preserve"> </w:t>
      </w:r>
      <w:r>
        <w:t xml:space="preserve">I minuti fra il risveglio e il momento in cui il corpo si muove normalmente. Il paziente lo segna per una settimana e ti porta la mediana.</w:t>
      </w:r>
      <w:r>
        <w:t xml:space="preserve"> </w:t>
      </w:r>
      <w:r>
        <w:rPr>
          <w:b/>
          <w:bCs/>
        </w:rPr>
        <w:t xml:space="preserve">La soglia del 30% non viene da uno studio su questa misura</w:t>
      </w:r>
      <w:r>
        <w:t xml:space="preserve">: i modelli sul dolore cronico collocano fra il 15% e il 30% la riduzione minimamente importante, e quella scala è stata applicata alla rigidità mattutina nell’artrite reumatoide (Buttgereit, PMID 26535595). È presa in prestito, e va scritta così. È l’unico marker inter-seduta, ed è quello che pesa di più.</w:t>
      </w:r>
    </w:p>
    <w:bookmarkEnd w:id="47"/>
    <w:bookmarkStart w:id="48" w:name="quale-marker-verifica-quale-piano"/>
    <w:p>
      <w:pPr>
        <w:pStyle w:val="Heading4"/>
      </w:pPr>
      <w:r>
        <w:t xml:space="preserve">Quale marker verifica quale piano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Piano trattato</w:t>
            </w:r>
          </w:p>
        </w:tc>
        <w:tc>
          <w:tcPr/>
          <w:p>
            <w:pPr>
              <w:pStyle w:val="Compact"/>
            </w:pPr>
            <w:r>
              <w:t xml:space="preserve">Marker che decide</w:t>
            </w:r>
          </w:p>
        </w:tc>
      </w:tr>
      <w:tr>
        <w:tc>
          <w:tcPr/>
          <w:p>
            <w:pPr>
              <w:pStyle w:val="Compact"/>
            </w:pPr>
            <w:r>
              <w:t xml:space="preserve">Tronco, catena posteriore, lombare</w:t>
            </w:r>
          </w:p>
        </w:tc>
        <w:tc>
          <w:tcPr/>
          <w:p>
            <w:pPr>
              <w:pStyle w:val="Compact"/>
            </w:pPr>
            <w:r>
              <w:t xml:space="preserve">Rotazione cervicale attiva</w:t>
            </w:r>
          </w:p>
        </w:tc>
      </w:tr>
      <w:tr>
        <w:tc>
          <w:tcPr/>
          <w:p>
            <w:pPr>
              <w:pStyle w:val="Compact"/>
            </w:pPr>
            <w:r>
              <w:t xml:space="preserve">Cervicale, cingolo scapolare</w:t>
            </w:r>
          </w:p>
        </w:tc>
        <w:tc>
          <w:tcPr/>
          <w:p>
            <w:pPr>
              <w:pStyle w:val="Compact"/>
            </w:pPr>
            <w:r>
              <w:t xml:space="preserve">Rotazione interna d’anca</w:t>
            </w:r>
          </w:p>
        </w:tc>
      </w:tr>
      <w:tr>
        <w:tc>
          <w:tcPr/>
          <w:p>
            <w:pPr>
              <w:pStyle w:val="Compact"/>
            </w:pPr>
            <w:r>
              <w:t xml:space="preserve">Bacino e arto inferiore</w:t>
            </w:r>
          </w:p>
        </w:tc>
        <w:tc>
          <w:tcPr/>
          <w:p>
            <w:pPr>
              <w:pStyle w:val="Compact"/>
            </w:pPr>
            <w:r>
              <w:t xml:space="preserve">Rotazione cervicale attiva</w:t>
            </w:r>
          </w:p>
        </w:tc>
      </w:tr>
      <w:tr>
        <w:tc>
          <w:tcPr/>
          <w:p>
            <w:pPr>
              <w:pStyle w:val="Compact"/>
            </w:pPr>
            <w:r>
              <w:t xml:space="preserve">Qualunque piano, se cerchi un effetto non locale</w:t>
            </w:r>
          </w:p>
        </w:tc>
        <w:tc>
          <w:tcPr/>
          <w:p>
            <w:pPr>
              <w:pStyle w:val="Compact"/>
            </w:pPr>
            <w:r>
              <w:t xml:space="preserve">Soglia di pressione al tibiale anteriore</w:t>
            </w:r>
          </w:p>
        </w:tc>
      </w:tr>
      <w:tr>
        <w:tc>
          <w:tcPr/>
          <w:p>
            <w:pPr>
              <w:pStyle w:val="Compact"/>
            </w:pPr>
            <w:r>
              <w:t xml:space="preserve">Livello di attivazione, respiro</w:t>
            </w:r>
          </w:p>
        </w:tc>
        <w:tc>
          <w:tcPr/>
          <w:p>
            <w:pPr>
              <w:pStyle w:val="Compact"/>
            </w:pPr>
            <w:r>
              <w:t xml:space="preserve">Tempo di sblocco mattutino</w:t>
            </w:r>
          </w:p>
        </w:tc>
      </w:tr>
    </w:tbl>
    <w:p>
      <w:pPr>
        <w:pStyle w:val="BlockText"/>
      </w:pPr>
      <w:r>
        <w:rPr>
          <w:b/>
          <w:bCs/>
        </w:rPr>
        <w:t xml:space="preserve">Attenzione.</w:t>
      </w:r>
      <w:r>
        <w:t xml:space="preserve"> </w:t>
      </w:r>
      <w:r>
        <w:t xml:space="preserve">La rotazione cervicale ha una soglia di dieci gradi, e le dimensioni d’effetto note della leva manuale non la raggiungono (SMD 0,23, Yang, PMID 38759063). Un re-test negativo su quel marker non falsifica l’ipotesi di piano: dice che lo strumento non è abbastanza fine per vederla. Quando il piano trattato è il tronco o il bacino, il marker che pesa resta l’inter-seduta, cioè il tempo di sblocco della mattina dopo.</w:t>
      </w:r>
    </w:p>
    <w:p>
      <w:pPr>
        <w:pStyle w:val="BlockText"/>
      </w:pPr>
      <w:r>
        <w:rPr>
          <w:b/>
          <w:bCs/>
        </w:rPr>
        <w:t xml:space="preserve">Attenzione.</w:t>
      </w:r>
      <w:r>
        <w:t xml:space="preserve"> </w:t>
      </w:r>
      <w:r>
        <w:t xml:space="preserve">Sul paziente ipermobile del capitolo precedente questi marker non decidono, perché non c’è escursione da guadagnare. Il reperto e la verifica si cercano nella tolleranza al carico e nel controllo del movimento.</w:t>
      </w:r>
    </w:p>
    <w:p>
      <w:pPr>
        <w:pStyle w:val="BlockText"/>
      </w:pPr>
      <w:r>
        <w:rPr>
          <w:b/>
          <w:bCs/>
        </w:rPr>
        <w:t xml:space="preserve">Attenzione.</w:t>
      </w:r>
      <w:r>
        <w:t xml:space="preserve"> </w:t>
      </w:r>
      <w:r>
        <w:t xml:space="preserve">Una parte del miglioramento immediato non è tua e non prova niente: la rigidità passiva cala con</w:t>
      </w:r>
      <w:r>
        <w:t xml:space="preserve"> </w:t>
      </w:r>
      <w:r>
        <w:rPr>
          <w:b/>
          <w:bCs/>
        </w:rPr>
        <w:t xml:space="preserve">qualunque</w:t>
      </w:r>
      <w:r>
        <w:t xml:space="preserve"> </w:t>
      </w:r>
      <w:r>
        <w:t xml:space="preserve">movimento, compreso quello che gli imprimi tu (Sakanaka, 2016, PMID 26607292). Un re-test positivo subito dopo il contatto è compatibile sia con «ho trovato il piano giusto» sia con «ho mosso un arto». È la ragione per cui il marker che decide sta su un piano che non hai toccato. Ed è la ragione per cui il tempo di sblocco della mattina dopo vale più di qualunque misura di fine seduta.</w:t>
      </w:r>
    </w:p>
    <w:bookmarkEnd w:id="48"/>
    <w:bookmarkEnd w:id="49"/>
    <w:bookmarkStart w:id="50" w:name="la-road-map"/>
    <w:p>
      <w:pPr>
        <w:pStyle w:val="Heading3"/>
      </w:pPr>
      <w:r>
        <w:t xml:space="preserve">La Road Map</w:t>
      </w:r>
    </w:p>
    <w:p>
      <w:pPr>
        <w:pStyle w:val="Compact"/>
        <w:numPr>
          <w:ilvl w:val="0"/>
          <w:numId w:val="1022"/>
        </w:numPr>
      </w:pPr>
      <w:r>
        <w:rPr>
          <w:b/>
          <w:bCs/>
        </w:rPr>
        <w:t xml:space="preserve">C’è una bandiera rossa?</w:t>
      </w:r>
      <w:r>
        <w:t xml:space="preserve"> </w:t>
      </w:r>
      <w:r>
        <w:t xml:space="preserve">Se sì, il triage decide e si ferma qui.</w:t>
      </w:r>
    </w:p>
    <w:p>
      <w:pPr>
        <w:pStyle w:val="Compact"/>
        <w:numPr>
          <w:ilvl w:val="0"/>
          <w:numId w:val="1022"/>
        </w:numPr>
      </w:pPr>
      <w:r>
        <w:rPr>
          <w:b/>
          <w:bCs/>
        </w:rPr>
        <w:t xml:space="preserve">Il paziente dorme?</w:t>
      </w:r>
      <w:r>
        <w:t xml:space="preserve"> </w:t>
      </w:r>
      <w:r>
        <w:t xml:space="preserve">Se il sonno è distrutto da mesi, la leva non è manuale — e non è nemmeno assente. Ma non è l’esercizio. Sul piano del sonno l’intervento con le prove migliori è la</w:t>
      </w:r>
      <w:r>
        <w:t xml:space="preserve"> </w:t>
      </w:r>
      <w:r>
        <w:rPr>
          <w:b/>
          <w:bCs/>
        </w:rPr>
        <w:t xml:space="preserve">terapia cognitivo-comportamentale per l’insonnia</w:t>
      </w:r>
      <w:r>
        <w:t xml:space="preserve">, ed è lo Strumento 5 del capitolo «Cosa può fare il paziente da solo». Tu lo riconosci, lo dici e lo rinvii: non lo eroghi. L’esercizio resta la leva che consegni</w:t>
      </w:r>
      <w:r>
        <w:t xml:space="preserve"> </w:t>
      </w:r>
      <w:r>
        <w:rPr>
          <w:b/>
          <w:bCs/>
        </w:rPr>
        <w:t xml:space="preserve">tu</w:t>
      </w:r>
      <w:r>
        <w:t xml:space="preserve">, con effetto piccolo dichiarato. Si segnala per iscritto, si rinvia quello che non è tuo, si consegna quello che lo è, con una soglia dichiarata in anticipo: se alla revisione delle sei settimane il tempo di sblocco non si è mosso del 30%, il piano dominante era il sonno e non tu.</w:t>
      </w:r>
      <w:r>
        <w:t xml:space="preserve"> </w:t>
      </w:r>
      <w:r>
        <w:t xml:space="preserve">&gt;</w:t>
      </w:r>
      <w:r>
        <w:t xml:space="preserve"> </w:t>
      </w:r>
      <w:r>
        <w:rPr>
          <w:b/>
          <w:bCs/>
        </w:rPr>
        <w:t xml:space="preserve">Quanto è solido:</w:t>
      </w:r>
      <w:r>
        <w:t xml:space="preserve"> </w:t>
      </w:r>
      <w:r>
        <w:t xml:space="preserve">PROBABILE</w:t>
      </w:r>
      <w:r>
        <w:t xml:space="preserve"> </w:t>
      </w:r>
      <w:r>
        <w:rPr>
          <w:i/>
          <w:iCs/>
        </w:rPr>
        <w:t xml:space="preserve">(razionale forte, prove parziali)</w:t>
      </w:r>
      <w:r>
        <w:t xml:space="preserve">, con effetto</w:t>
      </w:r>
      <w:r>
        <w:t xml:space="preserve"> </w:t>
      </w:r>
      <w:r>
        <w:rPr>
          <w:b/>
          <w:bCs/>
        </w:rPr>
        <w:t xml:space="preserve">piccolo</w:t>
      </w:r>
      <w:r>
        <w:t xml:space="preserve">, e riguarda</w:t>
      </w:r>
      <w:r>
        <w:t xml:space="preserve"> </w:t>
      </w:r>
      <w:r>
        <w:rPr>
          <w:b/>
          <w:bCs/>
        </w:rPr>
        <w:t xml:space="preserve">la leva che consegni tu</w:t>
      </w:r>
      <w:r>
        <w:t xml:space="preserve">, non il sonno in generale. L’esercizio migliora la qualità del sonno in questa popolazione: SMD −0,17 su 12 studi e 731 persone, e −0,47 sulla fatica, con i programmi a ritmo lento e con il respiro dentro indicati come i più efficaci (Estévez-López, PMID 32721388). Una revisione ombrello di 42 studi primari stima l’effetto medio a −0,46 (Cuenca-Martínez, PMID 37229847). Le due stime non coincidono, e vanno date entrambe.</w:t>
      </w:r>
      <w:r>
        <w:t xml:space="preserve"> </w:t>
      </w:r>
      <w:r>
        <w:rPr>
          <w:b/>
          <w:bCs/>
        </w:rPr>
        <w:t xml:space="preserve">Sul sonno in sé la leva più forte non è questa, e non è tua:</w:t>
      </w:r>
      <w:r>
        <w:t xml:space="preserve"> </w:t>
      </w:r>
      <w:r>
        <w:t xml:space="preserve">sta nello Strumento 5.</w:t>
      </w:r>
    </w:p>
    <w:p>
      <w:pPr>
        <w:pStyle w:val="Compact"/>
        <w:numPr>
          <w:ilvl w:val="0"/>
          <w:numId w:val="1022"/>
        </w:numPr>
      </w:pPr>
      <w:r>
        <w:rPr>
          <w:b/>
          <w:bCs/>
        </w:rPr>
        <w:t xml:space="preserve">La soglia è abbassata?</w:t>
      </w:r>
      <w:r>
        <w:t xml:space="preserve"> </w:t>
      </w:r>
      <w:r>
        <w:t xml:space="preserve">È la domanda che va fatta</w:t>
      </w:r>
      <w:r>
        <w:t xml:space="preserve"> </w:t>
      </w:r>
      <w:r>
        <w:rPr>
          <w:b/>
          <w:bCs/>
        </w:rPr>
        <w:t xml:space="preserve">prima</w:t>
      </w:r>
      <w:r>
        <w:t xml:space="preserve"> </w:t>
      </w:r>
      <w:r>
        <w:t xml:space="preserve">di costruire il piano, non dopo: decide l’intensità di tutto il resto. Se la pressione moderata fa male anche in sede remota, il confronto si fa a cinque settimane, l’intensità scende, e il centro si sposta sull’esposizione graduata al movimento.</w:t>
      </w:r>
    </w:p>
    <w:p>
      <w:pPr>
        <w:pStyle w:val="Compact"/>
        <w:numPr>
          <w:ilvl w:val="0"/>
          <w:numId w:val="1022"/>
        </w:numPr>
      </w:pPr>
      <w:r>
        <w:rPr>
          <w:b/>
          <w:bCs/>
        </w:rPr>
        <w:t xml:space="preserve">Qual è il livello di attivazione?</w:t>
      </w:r>
      <w:r>
        <w:t xml:space="preserve"> </w:t>
      </w:r>
      <w:r>
        <w:t xml:space="preserve">Tessuto che sobbalza, respiro alto, apnea mentre parla, frequenza respiratoria a riposo alta. Se comanda questo, la seduta cambia ritmo prima ancora di cambiare tecnica.</w:t>
      </w:r>
    </w:p>
    <w:p>
      <w:pPr>
        <w:pStyle w:val="Compact"/>
        <w:numPr>
          <w:ilvl w:val="0"/>
          <w:numId w:val="1022"/>
        </w:numPr>
      </w:pPr>
      <w:r>
        <w:rPr>
          <w:b/>
          <w:bCs/>
        </w:rPr>
        <w:t xml:space="preserve">Quanto sta fermo, e come è distribuito il suo movimento?</w:t>
      </w:r>
      <w:r>
        <w:t xml:space="preserve"> </w:t>
      </w:r>
      <w:r>
        <w:t xml:space="preserve">Non quanto si allena: quante volte al giorno cambia posizione. È la domanda che nessuno gli ha fatto.</w:t>
      </w:r>
    </w:p>
    <w:p>
      <w:pPr>
        <w:pStyle w:val="Compact"/>
        <w:numPr>
          <w:ilvl w:val="0"/>
          <w:numId w:val="1022"/>
        </w:numPr>
      </w:pPr>
      <w:r>
        <w:rPr>
          <w:b/>
          <w:bCs/>
        </w:rPr>
        <w:t xml:space="preserve">Le misure sono simmetriche fra distretti?</w:t>
      </w:r>
      <w:r>
        <w:t xml:space="preserve"> </w:t>
      </w:r>
      <w:r>
        <w:t xml:space="preserve">Se no, il pattern è regionale travestito e hai un bersaglio — ma prima di eleggerlo, chiediti perché è proprio quello.</w:t>
      </w:r>
    </w:p>
    <w:bookmarkEnd w:id="50"/>
    <w:bookmarkStart w:id="51" w:name="i-tre-stati-del-paziente"/>
    <w:p>
      <w:pPr>
        <w:pStyle w:val="Heading3"/>
      </w:pPr>
      <w:r>
        <w:t xml:space="preserve">I tre stati del paziente</w:t>
      </w:r>
    </w:p>
    <w:p>
      <w:pPr>
        <w:pStyle w:val="Compact"/>
        <w:numPr>
          <w:ilvl w:val="0"/>
          <w:numId w:val="1023"/>
        </w:numPr>
      </w:pPr>
      <w:r>
        <w:rPr>
          <w:b/>
          <w:bCs/>
        </w:rPr>
        <w:t xml:space="preserve">In difesa</w:t>
      </w:r>
      <w:r>
        <w:t xml:space="preserve"> </w:t>
      </w:r>
      <w:r>
        <w:t xml:space="preserve">— teso, monosillabi, ti guarda le mani. Parla al bisogno di sicurezza: gli dici cosa farai prima di farlo.</w:t>
      </w:r>
    </w:p>
    <w:p>
      <w:pPr>
        <w:pStyle w:val="Compact"/>
        <w:numPr>
          <w:ilvl w:val="0"/>
          <w:numId w:val="1023"/>
        </w:numPr>
      </w:pPr>
      <w:r>
        <w:rPr>
          <w:b/>
          <w:bCs/>
        </w:rPr>
        <w:t xml:space="preserve">Emotivo</w:t>
      </w:r>
      <w:r>
        <w:t xml:space="preserve"> </w:t>
      </w:r>
      <w:r>
        <w:t xml:space="preserve">— collega la rigidità a un periodo della vita e cerca di essere creduto. La frase che aspetta è che quello che sente è misurabile.</w:t>
      </w:r>
    </w:p>
    <w:p>
      <w:pPr>
        <w:pStyle w:val="Compact"/>
        <w:numPr>
          <w:ilvl w:val="0"/>
          <w:numId w:val="1023"/>
        </w:numPr>
      </w:pPr>
      <w:r>
        <w:rPr>
          <w:b/>
          <w:bCs/>
        </w:rPr>
        <w:t xml:space="preserve">Razionale</w:t>
      </w:r>
      <w:r>
        <w:t xml:space="preserve"> </w:t>
      </w:r>
      <w:r>
        <w:t xml:space="preserve">— vuole i numeri. Mostragli la misura prima e dopo, e la soglia sotto cui non conta: è il paziente che rispetta di più chi gli dichiara un limite.</w:t>
      </w:r>
    </w:p>
    <w:p>
      <w:pPr>
        <w:pStyle w:val="FirstParagraph"/>
      </w:pPr>
      <w:r>
        <w:rPr>
          <w:b/>
          <w:bCs/>
        </w:rPr>
        <w:t xml:space="preserve">Le tre cose da ricordare, più una</w:t>
      </w:r>
    </w:p>
    <w:p>
      <w:pPr>
        <w:pStyle w:val="Compact"/>
        <w:numPr>
          <w:ilvl w:val="0"/>
          <w:numId w:val="1024"/>
        </w:numPr>
      </w:pPr>
      <w:r>
        <w:t xml:space="preserve">La durezza che palpi orienta e non decide: l’accordo fra due operatori esperti su quel reperto arriva a essere inferiore al caso.</w:t>
      </w:r>
    </w:p>
    <w:p>
      <w:pPr>
        <w:pStyle w:val="Compact"/>
        <w:numPr>
          <w:ilvl w:val="0"/>
          <w:numId w:val="1024"/>
        </w:numPr>
      </w:pPr>
      <w:r>
        <w:t xml:space="preserve">I marker sono cinque perché la condizione è diffusa, e ciascuno verifica un piano diverso. Sceglierli dopo il trattamento è un auto-inganno.</w:t>
      </w:r>
    </w:p>
    <w:p>
      <w:pPr>
        <w:pStyle w:val="Compact"/>
        <w:numPr>
          <w:ilvl w:val="0"/>
          <w:numId w:val="1024"/>
        </w:numPr>
      </w:pPr>
      <w:r>
        <w:t xml:space="preserve">Il paziente in cui comanda il livello di attivazione è quello in cui hai</w:t>
      </w:r>
      <w:r>
        <w:t xml:space="preserve"> </w:t>
      </w:r>
      <w:r>
        <w:rPr>
          <w:b/>
          <w:bCs/>
        </w:rPr>
        <w:t xml:space="preserve">più</w:t>
      </w:r>
      <w:r>
        <w:t xml:space="preserve"> </w:t>
      </w:r>
      <w:r>
        <w:t xml:space="preserve">da fare, non meno: la leva sull’attivazione esiste, ha la sua etichetta, e va usata con quella.</w:t>
      </w:r>
    </w:p>
    <w:p>
      <w:pPr>
        <w:pStyle w:val="Compact"/>
        <w:numPr>
          <w:ilvl w:val="0"/>
          <w:numId w:val="1024"/>
        </w:numPr>
      </w:pPr>
      <w:r>
        <w:rPr>
          <w:b/>
          <w:bCs/>
        </w:rPr>
        <w:t xml:space="preserve">Perché ci sei tu.</w:t>
      </w:r>
      <w:r>
        <w:t xml:space="preserve"> </w:t>
      </w:r>
      <w:r>
        <w:t xml:space="preserve">La soglia di pressione dolorosa misurata con l’algometro ha un accordo fra operatori di 0,79–0,90 anche in mani principianti (Walton, 2011, PMID 21885906). Il reperto con cui la confronti ha invece un’affidabilità che non migliora addestrandosi. Questo ti autorizza a portare in stanza una misura riproducibile della grandezza che definisce il pattern C. Non ti autorizza a dichiararne una soglia di cambiamento: quella, finché non la leggi, si scrive «da definire».</w:t>
      </w:r>
    </w:p>
    <w:p>
      <w:r>
        <w:pict>
          <v:rect style="width:0;height:1.5pt" o:hralign="center" o:hrstd="t" o:hr="t"/>
        </w:pict>
      </w:r>
    </w:p>
    <w:bookmarkEnd w:id="51"/>
    <w:bookmarkEnd w:id="52"/>
    <w:bookmarkStart w:id="58"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questo quadro il rischio non è fare male con le mani: è tenere in studio per sei mesi qualcuno che aveva bisogno di un esame del sangue.</w:t>
      </w:r>
    </w:p>
    <w:bookmarkStart w:id="53" w:name="le-bandiere-rosse"/>
    <w:p>
      <w:pPr>
        <w:pStyle w:val="Heading3"/>
      </w:pPr>
      <w:r>
        <w:t xml:space="preserve">Le bandiere rosse</w:t>
      </w:r>
    </w:p>
    <w:p>
      <w:pPr>
        <w:pStyle w:val="FirstParagraph"/>
      </w:pPr>
      <w:r>
        <w:t xml:space="preserve">Sono prese dai documenti che indicano l’accertamento specialistico per i quadri che entrano nel pattern 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Rigidità o ipertonia</w:t>
            </w:r>
            <w:r>
              <w:t xml:space="preserve"> </w:t>
            </w:r>
            <w:r>
              <w:rPr>
                <w:b/>
                <w:bCs/>
              </w:rPr>
              <w:t xml:space="preserve">nuova</w:t>
            </w:r>
            <w:r>
              <w:t xml:space="preserve"> </w:t>
            </w:r>
            <w:r>
              <w:t xml:space="preserve">con febbre ≥38 °C, sudorazione, tremore, scosse o confusione, in chi assume tramadolo, antidepressivi serotoninergici, antipsicotici o antiemetici</w:t>
            </w:r>
          </w:p>
        </w:tc>
        <w:tc>
          <w:tcPr/>
          <w:p>
            <w:pPr>
              <w:pStyle w:val="Compact"/>
            </w:pPr>
            <w:r>
              <w:t xml:space="preserve">Pronto soccorso</w:t>
            </w:r>
          </w:p>
        </w:tc>
        <w:tc>
          <w:tcPr/>
          <w:p>
            <w:pPr>
              <w:pStyle w:val="Compact"/>
            </w:pPr>
            <w:r>
              <w:t xml:space="preserve">Urgente</w:t>
            </w:r>
          </w:p>
        </w:tc>
      </w:tr>
      <w:tr>
        <w:tc>
          <w:tcPr/>
          <w:p>
            <w:pPr>
              <w:pStyle w:val="Compact"/>
            </w:pPr>
            <w:r>
              <w:t xml:space="preserve">Rigidità del collo con cefalea nuova e febbre</w:t>
            </w:r>
          </w:p>
        </w:tc>
        <w:tc>
          <w:tcPr/>
          <w:p>
            <w:pPr>
              <w:pStyle w:val="Compact"/>
            </w:pPr>
            <w:r>
              <w:t xml:space="preserve">Pronto soccorso</w:t>
            </w:r>
          </w:p>
        </w:tc>
        <w:tc>
          <w:tcPr/>
          <w:p>
            <w:pPr>
              <w:pStyle w:val="Compact"/>
            </w:pPr>
            <w:r>
              <w:t xml:space="preserve">Urgente</w:t>
            </w:r>
          </w:p>
        </w:tc>
      </w:tr>
      <w:tr>
        <w:tc>
          <w:tcPr/>
          <w:p>
            <w:pPr>
              <w:pStyle w:val="Compact"/>
            </w:pPr>
            <w:r>
              <w:t xml:space="preserve">Urine molto scure dopo dolori muscolari intensi</w:t>
            </w:r>
          </w:p>
        </w:tc>
        <w:tc>
          <w:tcPr/>
          <w:p>
            <w:pPr>
              <w:pStyle w:val="Compact"/>
            </w:pPr>
            <w:r>
              <w:t xml:space="preserve">Pronto soccorso</w:t>
            </w:r>
          </w:p>
        </w:tc>
        <w:tc>
          <w:tcPr/>
          <w:p>
            <w:pPr>
              <w:pStyle w:val="Compact"/>
            </w:pPr>
            <w:r>
              <w:t xml:space="preserve">Urgente</w:t>
            </w:r>
          </w:p>
        </w:tc>
      </w:tr>
      <w:tr>
        <w:tc>
          <w:tcPr/>
          <w:p>
            <w:pPr>
              <w:pStyle w:val="Compact"/>
            </w:pPr>
            <w:r>
              <w:t xml:space="preserve">Quadro dei cingoli con cefalea nuova, dolore alla masticazione o disturbi visivi</w:t>
            </w:r>
          </w:p>
        </w:tc>
        <w:tc>
          <w:tcPr/>
          <w:p>
            <w:pPr>
              <w:pStyle w:val="Compact"/>
            </w:pPr>
            <w:r>
              <w:t xml:space="preserve">Pronto soccorso</w:t>
            </w:r>
          </w:p>
        </w:tc>
        <w:tc>
          <w:tcPr/>
          <w:p>
            <w:pPr>
              <w:pStyle w:val="Compact"/>
            </w:pPr>
            <w:r>
              <w:t xml:space="preserve">Urgente</w:t>
            </w:r>
          </w:p>
        </w:tc>
      </w:tr>
      <w:tr>
        <w:tc>
          <w:tcPr/>
          <w:p>
            <w:pPr>
              <w:pStyle w:val="Compact"/>
            </w:pPr>
            <w:r>
              <w:t xml:space="preserve">Debolezza prossimale con</w:t>
            </w:r>
            <w:r>
              <w:t xml:space="preserve"> </w:t>
            </w:r>
            <w:r>
              <w:rPr>
                <w:b/>
                <w:bCs/>
              </w:rPr>
              <w:t xml:space="preserve">disfagia</w:t>
            </w:r>
            <w:r>
              <w:t xml:space="preserve"> </w:t>
            </w:r>
            <w:r>
              <w:t xml:space="preserve">o con dispnea da sforzo di nuova insorgenza</w:t>
            </w:r>
          </w:p>
        </w:tc>
        <w:tc>
          <w:tcPr/>
          <w:p>
            <w:pPr>
              <w:pStyle w:val="Compact"/>
            </w:pPr>
            <w:r>
              <w:t xml:space="preserve">Pronto soccorso</w:t>
            </w:r>
          </w:p>
        </w:tc>
        <w:tc>
          <w:tcPr/>
          <w:p>
            <w:pPr>
              <w:pStyle w:val="Compact"/>
            </w:pPr>
            <w:r>
              <w:t xml:space="preserve">Urgente</w:t>
            </w:r>
          </w:p>
        </w:tc>
      </w:tr>
      <w:tr>
        <w:tc>
          <w:tcPr/>
          <w:p>
            <w:pPr>
              <w:pStyle w:val="Compact"/>
            </w:pPr>
            <w:r>
              <w:t xml:space="preserve">Debolezza prossimale vera e progressiva (scale, braccia sopra la testa)</w:t>
            </w:r>
          </w:p>
        </w:tc>
        <w:tc>
          <w:tcPr/>
          <w:p>
            <w:pPr>
              <w:pStyle w:val="Compact"/>
            </w:pPr>
            <w:r>
              <w:t xml:space="preserve">Medico curante, per invio reumatologico o neurologico</w:t>
            </w:r>
          </w:p>
        </w:tc>
        <w:tc>
          <w:tcPr/>
          <w:p>
            <w:pPr>
              <w:pStyle w:val="Compact"/>
            </w:pPr>
            <w:r>
              <w:t xml:space="preserve">Invio, non attendere</w:t>
            </w:r>
          </w:p>
        </w:tc>
      </w:tr>
      <w:tr>
        <w:tc>
          <w:tcPr/>
          <w:p>
            <w:pPr>
              <w:pStyle w:val="Compact"/>
            </w:pPr>
            <w:r>
              <w:t xml:space="preserve">Età ≥50 con dolore bilaterale ai cingoli e rigidità mattutina &gt;45 minuti</w:t>
            </w:r>
          </w:p>
        </w:tc>
        <w:tc>
          <w:tcPr/>
          <w:p>
            <w:pPr>
              <w:pStyle w:val="Compact"/>
            </w:pPr>
            <w:r>
              <w:t xml:space="preserve">Medico curante, per indici infiammatori e invio reumatologico</w:t>
            </w:r>
          </w:p>
        </w:tc>
        <w:tc>
          <w:tcPr/>
          <w:p>
            <w:pPr>
              <w:pStyle w:val="Compact"/>
            </w:pPr>
            <w:r>
              <w:t xml:space="preserve">Invio, non attendere</w:t>
            </w:r>
          </w:p>
        </w:tc>
      </w:tr>
      <w:tr>
        <w:tc>
          <w:tcPr/>
          <w:p>
            <w:pPr>
              <w:pStyle w:val="Compact"/>
            </w:pPr>
            <w:r>
              <w:t xml:space="preserve">Rigidità con febbre persistente, senza i segni della prima riga</w:t>
            </w:r>
          </w:p>
        </w:tc>
        <w:tc>
          <w:tcPr/>
          <w:p>
            <w:pPr>
              <w:pStyle w:val="Compact"/>
            </w:pPr>
            <w:r>
              <w:t xml:space="preserve">Medico curante in giornata; se non raggiungibile, pronto soccorso</w:t>
            </w:r>
          </w:p>
        </w:tc>
        <w:tc>
          <w:tcPr/>
          <w:p>
            <w:pPr>
              <w:pStyle w:val="Compact"/>
            </w:pPr>
            <w:r>
              <w:t xml:space="preserve">Urgente</w:t>
            </w:r>
          </w:p>
        </w:tc>
      </w:tr>
      <w:tr>
        <w:tc>
          <w:tcPr/>
          <w:p>
            <w:pPr>
              <w:pStyle w:val="Compact"/>
            </w:pPr>
            <w:r>
              <w:t xml:space="preserve">Rigidità con calo di peso involontario</w:t>
            </w:r>
          </w:p>
        </w:tc>
        <w:tc>
          <w:tcPr/>
          <w:p>
            <w:pPr>
              <w:pStyle w:val="Compact"/>
            </w:pPr>
            <w:r>
              <w:t xml:space="preserve">Medico curante</w:t>
            </w:r>
          </w:p>
        </w:tc>
        <w:tc>
          <w:tcPr/>
          <w:p>
            <w:pPr>
              <w:pStyle w:val="Compact"/>
            </w:pPr>
            <w:r>
              <w:t xml:space="preserve">Invio, non attendere</w:t>
            </w:r>
          </w:p>
        </w:tc>
      </w:tr>
      <w:tr>
        <w:tc>
          <w:tcPr/>
          <w:p>
            <w:pPr>
              <w:pStyle w:val="Compact"/>
            </w:pPr>
            <w:r>
              <w:t xml:space="preserve">Tremore a riposo, lentezza dei movimenti, scrittura rimpicciolita</w:t>
            </w:r>
          </w:p>
        </w:tc>
        <w:tc>
          <w:tcPr/>
          <w:p>
            <w:pPr>
              <w:pStyle w:val="Compact"/>
            </w:pPr>
            <w:r>
              <w:t xml:space="preserve">Medico curante, per invio neurologico</w:t>
            </w:r>
          </w:p>
        </w:tc>
        <w:tc>
          <w:tcPr/>
          <w:p>
            <w:pPr>
              <w:pStyle w:val="Compact"/>
            </w:pPr>
            <w:r>
              <w:t xml:space="preserve">Invio, non attendere</w:t>
            </w:r>
          </w:p>
        </w:tc>
      </w:tr>
      <w:tr>
        <w:tc>
          <w:tcPr/>
          <w:p>
            <w:pPr>
              <w:pStyle w:val="Compact"/>
            </w:pPr>
            <w:r>
              <w:t xml:space="preserve">Rigidità con intolleranza al freddo, aumento di peso, stipsi, voce rauca, rallentamento —</w:t>
            </w:r>
            <w:r>
              <w:t xml:space="preserve"> </w:t>
            </w:r>
            <w:r>
              <w:rPr>
                <w:b/>
                <w:bCs/>
              </w:rPr>
              <w:t xml:space="preserve">o funzione tiroidea non ricontrollata da oltre dodici mesi</w:t>
            </w:r>
          </w:p>
        </w:tc>
        <w:tc>
          <w:tcPr/>
          <w:p>
            <w:pPr>
              <w:pStyle w:val="Compact"/>
            </w:pPr>
            <w:r>
              <w:t xml:space="preserve">Medico curante, per funzione tiroidea</w:t>
            </w:r>
          </w:p>
        </w:tc>
        <w:tc>
          <w:tcPr/>
          <w:p>
            <w:pPr>
              <w:pStyle w:val="Compact"/>
            </w:pPr>
            <w:r>
              <w:t xml:space="preserve">Invio</w:t>
            </w:r>
          </w:p>
        </w:tc>
      </w:tr>
      <w:tr>
        <w:tc>
          <w:tcPr/>
          <w:p>
            <w:pPr>
              <w:pStyle w:val="Compact"/>
            </w:pPr>
            <w:r>
              <w:t xml:space="preserve">Esordio prima dei 45 anni, rigidità mattutina &gt;30 minuti, dolore notturno che migliora muovendosi</w:t>
            </w:r>
          </w:p>
        </w:tc>
        <w:tc>
          <w:tcPr/>
          <w:p>
            <w:pPr>
              <w:pStyle w:val="Compact"/>
            </w:pPr>
            <w:r>
              <w:t xml:space="preserve">Medico curante, per invio reumatologico</w:t>
            </w:r>
          </w:p>
        </w:tc>
        <w:tc>
          <w:tcPr/>
          <w:p>
            <w:pPr>
              <w:pStyle w:val="Compact"/>
            </w:pPr>
            <w:r>
              <w:t xml:space="preserve">Invio</w:t>
            </w:r>
          </w:p>
        </w:tc>
      </w:tr>
      <w:tr>
        <w:tc>
          <w:tcPr/>
          <w:p>
            <w:pPr>
              <w:pStyle w:val="Compact"/>
            </w:pPr>
            <w:r>
              <w:t xml:space="preserve">Sintomi muscolari comparsi entro settimane o mesi dall’inizio o dalla modifica di un farmaco — statine, inibitori dell’aromatasi, bifosfonati</w:t>
            </w:r>
          </w:p>
        </w:tc>
        <w:tc>
          <w:tcPr/>
          <w:p>
            <w:pPr>
              <w:pStyle w:val="Compact"/>
            </w:pPr>
            <w:r>
              <w:t xml:space="preserve">Medico prescrittore</w:t>
            </w:r>
          </w:p>
        </w:tc>
        <w:tc>
          <w:tcPr/>
          <w:p>
            <w:pPr>
              <w:pStyle w:val="Compact"/>
            </w:pPr>
            <w:r>
              <w:t xml:space="preserve">Invio programmato</w:t>
            </w:r>
          </w:p>
        </w:tc>
      </w:tr>
      <w:tr>
        <w:tc>
          <w:tcPr/>
          <w:p>
            <w:pPr>
              <w:pStyle w:val="Compact"/>
            </w:pPr>
            <w:r>
              <w:t xml:space="preserve">Gli stessi sintomi in chi assume un inibitore del checkpoint immunitario</w:t>
            </w:r>
          </w:p>
        </w:tc>
        <w:tc>
          <w:tcPr/>
          <w:p>
            <w:pPr>
              <w:pStyle w:val="Compact"/>
            </w:pPr>
            <w:r>
              <w:t xml:space="preserve">Prescrittore o oncologo</w:t>
            </w:r>
          </w:p>
        </w:tc>
        <w:tc>
          <w:tcPr/>
          <w:p>
            <w:pPr>
              <w:pStyle w:val="Compact"/>
            </w:pPr>
            <w:r>
              <w:t xml:space="preserve">Invio, non attendere</w:t>
            </w:r>
          </w:p>
        </w:tc>
      </w:tr>
    </w:tbl>
    <w:p>
      <w:pPr>
        <w:pStyle w:val="BodyText"/>
      </w:pPr>
      <w:r>
        <w:rPr>
          <w:b/>
          <w:bCs/>
        </w:rPr>
        <w:t xml:space="preserve">Due segni che vedi senza chiedere niente</w:t>
      </w:r>
      <w:r>
        <w:t xml:space="preserve">, sul viso e sulle mani di chi si sta spogliando: un arrossamento violaceo intorno agli occhi, o placche squamose sul dorso delle nocche. Sono l’eliotropo e le papule di Gottron della dermatomiosite, e rendono l’invio reumatologico non differibile.</w:t>
      </w:r>
    </w:p>
    <w:p>
      <w:pPr>
        <w:pStyle w:val="BodyText"/>
      </w:pPr>
      <w:r>
        <w:rPr>
          <w:b/>
          <w:bCs/>
        </w:rPr>
        <w:t xml:space="preserve">Perché due forcelle d’età e non una.</w:t>
      </w:r>
      <w:r>
        <w:t xml:space="preserve"> </w:t>
      </w:r>
      <w:r>
        <w:t xml:space="preserve">La rigidità mattutina prolungata cambia significato con l’età.</w:t>
      </w:r>
      <w:r>
        <w:t xml:space="preserve"> </w:t>
      </w:r>
      <w:r>
        <w:rPr>
          <w:b/>
          <w:bCs/>
        </w:rPr>
        <w:t xml:space="preserve">Oltre 45 minuti sopra i 50 anni</w:t>
      </w:r>
      <w:r>
        <w:t xml:space="preserve">, con dolore ai cingoli, punta sulla polimialgia.</w:t>
      </w:r>
      <w:r>
        <w:t xml:space="preserve"> </w:t>
      </w:r>
      <w:r>
        <w:rPr>
          <w:b/>
          <w:bCs/>
        </w:rPr>
        <w:t xml:space="preserve">Oltre 30 minuti sotto i 45 anni</w:t>
      </w:r>
      <w:r>
        <w:t xml:space="preserve">, con dolore notturno che migliora muovendosi, punta sulla spondiloartrite assiale. Un paziente di quarant’anni con quaranta minuti di rigidità cade nella seconda, non fuori da entrambe.</w:t>
      </w:r>
    </w:p>
    <w:p>
      <w:pPr>
        <w:pStyle w:val="BodyText"/>
      </w:pPr>
      <w:r>
        <w:t xml:space="preserve">La prima riga usa i criteri di Hunter per la sindrome serotoninergica, che sono la regola di decisione pubblicata su quel quadro (Dunkley, PMID 12925718). Le righe sui cingoli seguono le raccomandazioni internazionali di invio per sospetta polimialgia, con l’arterite gigantocellulare</w:t>
      </w:r>
      <w:r>
        <w:t xml:space="preserve"> </w:t>
      </w:r>
      <w:r>
        <w:rPr>
          <w:b/>
          <w:bCs/>
        </w:rPr>
        <w:t xml:space="preserve">entro ventiquattro ore</w:t>
      </w:r>
      <w:r>
        <w:t xml:space="preserve"> </w:t>
      </w:r>
      <w:r>
        <w:t xml:space="preserve">(Keller, PMID 38050004; Mukhtyar, PMID 42481270). La riga sul parkinsonismo segue la linea guida inglese, che chiede di inviare</w:t>
      </w:r>
      <w:r>
        <w:t xml:space="preserve"> </w:t>
      </w:r>
      <w:r>
        <w:rPr>
          <w:b/>
          <w:bCs/>
        </w:rPr>
        <w:t xml:space="preserve">rapidamente e senza terapia</w:t>
      </w:r>
      <w:r>
        <w:t xml:space="preserve"> </w:t>
      </w:r>
      <w:r>
        <w:t xml:space="preserve">(NICE NG71, 2017). Quella sulle statine segue il consenso della European Atherosclerosis Society, che riserva al prescrittore la valutazione dei sintomi muscolari. Le righe su rabdomiolisi, debolezza prossimale, febbre, calo di peso e spondiloartrite non hanno una singola fonte di invio, e l’ultima fonde due criteri di classificazione distinti: l’età d’esordio sotto i 45 anni e la definizione di lombalgia infiammatoria.</w:t>
      </w:r>
    </w:p>
    <w:bookmarkEnd w:id="53"/>
    <w:bookmarkStart w:id="54" w:name="il-cancello-dingresso"/>
    <w:p>
      <w:pPr>
        <w:pStyle w:val="Heading3"/>
      </w:pPr>
      <w:r>
        <w:t xml:space="preserve">Il cancello d’ingresso</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il tuo comportamento è diverso.</w:t>
      </w:r>
    </w:p>
    <w:p>
      <w:pPr>
        <w:pStyle w:val="BodyText"/>
      </w:pPr>
      <w:r>
        <w:t xml:space="preserve">Il tuo mandato</w:t>
      </w:r>
      <w:r>
        <w:t xml:space="preserve"> </w:t>
      </w:r>
      <w:r>
        <w:rPr>
          <w:b/>
          <w:bCs/>
        </w:rPr>
        <w:t xml:space="preserve">clinico</w:t>
      </w:r>
      <w:r>
        <w:t xml:space="preserve"> </w:t>
      </w:r>
      <w:r>
        <w:t xml:space="preserve">— avere qualcosa da trattare oggi — nasce da un reperto disfunzionale documentato e da un marker che si muove quando lo tratti.</w:t>
      </w:r>
      <w:r>
        <w:t xml:space="preserve"> </w:t>
      </w:r>
      <w:r>
        <w:rPr>
          <w:b/>
          <w:bCs/>
        </w:rPr>
        <w:t xml:space="preserve">Senza quelli non hai un motivo per lavorare nemmeno con la diagnosi in mano.</w:t>
      </w:r>
      <w:r>
        <w:t xml:space="preserve"> </w:t>
      </w:r>
      <w:r>
        <w:t xml:space="preserve">La</w:t>
      </w:r>
      <w:r>
        <w:t xml:space="preserve"> </w:t>
      </w:r>
      <w:r>
        <w:rPr>
          <w:b/>
          <w:bCs/>
        </w:rPr>
        <w:t xml:space="preserve">cornice professionale</w:t>
      </w:r>
      <w:r>
        <w:t xml:space="preserve"> </w:t>
      </w:r>
      <w:r>
        <w:t xml:space="preserve">è un’altra cosa: si opera in riferimento alla diagnosi di competenza medica, e quando l’inquadramento manca il canale medico si attiva</w:t>
      </w:r>
      <w:r>
        <w:t xml:space="preserve"> </w:t>
      </w:r>
      <w:r>
        <w:rPr>
          <w:b/>
          <w:bCs/>
        </w:rPr>
        <w:t xml:space="preserve">insieme</w:t>
      </w:r>
      <w:r>
        <w:t xml:space="preserve"> </w:t>
      </w:r>
      <w:r>
        <w:t xml:space="preserve">al tuo lavoro, non dopo.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t xml:space="preserve">Su questa condizione il reperto che fonda il mandato</w:t>
      </w:r>
      <w:r>
        <w:t xml:space="preserve"> </w:t>
      </w:r>
      <w:r>
        <w:rPr>
          <w:b/>
          <w:bCs/>
        </w:rPr>
        <w:t xml:space="preserve">non</w:t>
      </w:r>
      <w:r>
        <w:t xml:space="preserve"> </w:t>
      </w:r>
      <w:r>
        <w:t xml:space="preserve">è la durezza palpata, per la ragione scritta nel capitolo precedente. È una grandezza che produci e che un collega riprodurrebbe: un’escursione in centimetri o in gradi, l’asimmetria fra due distretti, il tempo su un compito.</w:t>
      </w:r>
    </w:p>
    <w:p>
      <w:pPr>
        <w:pStyle w:val="BodyText"/>
      </w:pPr>
      <w:r>
        <w:rPr>
          <w:b/>
          <w:bCs/>
        </w:rPr>
        <w:t xml:space="preserve">Un reperto positivo giustifica il tuo lavoro, non sostituisce l’inquadramento medico.</w:t>
      </w:r>
      <w:r>
        <w:t xml:space="preserve"> </w:t>
      </w:r>
      <w:r>
        <w:t xml:space="preserve">Trovare un dita-terra a 25 centimetri e una rotazione d’anca ridotta non esclude nulla. 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convivono, e vanno dette al paziente come conviventi.</w:t>
      </w:r>
    </w:p>
    <w:p>
      <w:pPr>
        <w:pStyle w:val="BodyText"/>
      </w:pPr>
      <w:r>
        <w:rPr>
          <w:b/>
          <w:bCs/>
        </w:rPr>
        <w:t xml:space="preserve">🔴 ROSSO — Stop.</w:t>
      </w:r>
      <w:r>
        <w:t xml:space="preserve"> </w:t>
      </w:r>
      <w:r>
        <w:t xml:space="preserve">Anche una sola bandiera rossa. Non si apre un ciclo e non si rimanda alla prossima seduta. Il paziente esce con un’indicazione medica</w:t>
      </w:r>
      <w:r>
        <w:t xml:space="preserve"> </w:t>
      </w:r>
      <w:r>
        <w:rPr>
          <w:b/>
          <w:bCs/>
        </w:rPr>
        <w:t xml:space="preserve">esplicita e scritta</w:t>
      </w:r>
      <w:r>
        <w:t xml:space="preserve">, e con i tempi dichiarati. Nessuna eccezione, e nessun reperto positivo scavalca questa uscita.</w:t>
      </w:r>
    </w:p>
    <w:p>
      <w:pPr>
        <w:pStyle w:val="BodyText"/>
      </w:pPr>
      <w:r>
        <w:t xml:space="preserve">Il rosso ha due gradi, e la formulazione va presa alla lettera.</w:t>
      </w:r>
    </w:p>
    <w:p>
      <w:pPr>
        <w:pStyle w:val="Compact"/>
        <w:numPr>
          <w:ilvl w:val="0"/>
          <w:numId w:val="1025"/>
        </w:numPr>
      </w:pPr>
      <w:r>
        <w:rPr>
          <w:b/>
          <w:bCs/>
        </w:rPr>
        <w:t xml:space="preserve">Rosso con invio al medico curante.</w:t>
      </w:r>
      <w:r>
        <w:t xml:space="preserve"> </w:t>
      </w:r>
      <w:r>
        <w:t xml:space="preserve">Se coesiste una disfunzione muscolo-scheletrica autonoma la si può trattare. Ma il documento del trattamento dichiara che la rigidità diffusa è in attesa di inquadramento e</w:t>
      </w:r>
      <w:r>
        <w:t xml:space="preserve"> </w:t>
      </w:r>
      <w:r>
        <w:rPr>
          <w:b/>
          <w:bCs/>
        </w:rPr>
        <w:t xml:space="preserve">non è il bersaglio</w:t>
      </w:r>
      <w:r>
        <w:t xml:space="preserve">.</w:t>
      </w:r>
    </w:p>
    <w:p>
      <w:pPr>
        <w:pStyle w:val="Compact"/>
        <w:numPr>
          <w:ilvl w:val="0"/>
          <w:numId w:val="1025"/>
        </w:numPr>
      </w:pPr>
      <w:r>
        <w:rPr>
          <w:b/>
          <w:bCs/>
        </w:rPr>
        <w:t xml:space="preserve">Rosso con invio al pronto soccorso</w:t>
      </w:r>
      <w:r>
        <w:t xml:space="preserve"> </w:t>
      </w:r>
      <w:r>
        <w:t xml:space="preserve">— le righe marcate</w:t>
      </w:r>
      <w:r>
        <w:t xml:space="preserve"> </w:t>
      </w:r>
      <w:r>
        <w:rPr>
          <w:i/>
          <w:iCs/>
        </w:rPr>
        <w:t xml:space="preserve">Urgente</w:t>
      </w:r>
      <w:r>
        <w:t xml:space="preserve">.</w:t>
      </w:r>
      <w:r>
        <w:t xml:space="preserve"> </w:t>
      </w:r>
      <w:r>
        <w:rPr>
          <w:b/>
          <w:bCs/>
        </w:rPr>
        <w:t xml:space="preserve">Non si mette mano, nemmeno su un reperto autonomo, e la seduta non si apre.</w:t>
      </w:r>
      <w:r>
        <w:t xml:space="preserve"> </w:t>
      </w:r>
      <w:r>
        <w:t xml:space="preserve">Su un sospetto di danno muscolare in atto il lavoro manuale sul muscolo non è neutro: esistono descrizioni pubblicate di rabdomiolisi provocata da massaggio profondo e da pistola percussiva, e ogni minuto di seduta è sottratto all’unico trattamento che protegge il rene. Sul sospetto di arterite gigantocellulare la posta è una cecità permanente, dentro una finestra di ventiquattro ore.</w:t>
      </w:r>
    </w:p>
    <w:p>
      <w:pPr>
        <w:pStyle w:val="FirstParagraph"/>
      </w:pPr>
      <w:r>
        <w:rPr>
          <w:b/>
          <w:bCs/>
        </w:rPr>
        <w:t xml:space="preserve">🟡 GIALLO — Si lavora, in parallelo.</w:t>
      </w:r>
      <w:r>
        <w:t xml:space="preserve"> </w:t>
      </w:r>
      <w:r>
        <w:t xml:space="preserve">Nessuna bandiera rossa, inquadramento assente o incompleto.</w:t>
      </w:r>
      <w:r>
        <w:t xml:space="preserve"> </w:t>
      </w:r>
      <w:r>
        <w:rPr>
          <w:b/>
          <w:bCs/>
        </w:rPr>
        <w:t xml:space="preserve">È la situazione più frequente qui</w:t>
      </w:r>
      <w:r>
        <w:t xml:space="preserve">, perché quasi nessuno di questi pazienti ha un’etichetta — e non è un motivo per rimandarlo fuori. Quattro condizioni verificabili:</w:t>
      </w:r>
    </w:p>
    <w:p>
      <w:pPr>
        <w:pStyle w:val="Compact"/>
        <w:numPr>
          <w:ilvl w:val="0"/>
          <w:numId w:val="1026"/>
        </w:numPr>
      </w:pPr>
      <w:r>
        <w:rPr>
          <w:b/>
          <w:bCs/>
        </w:rPr>
        <w:t xml:space="preserve">Un reperto tuo, positivo e scritto in cartella.</w:t>
      </w:r>
      <w:r>
        <w:t xml:space="preserve"> </w:t>
      </w:r>
      <w:r>
        <w:t xml:space="preserve">Non «il paziente è rigido», ma le misure di partenza con la data.</w:t>
      </w:r>
    </w:p>
    <w:p>
      <w:pPr>
        <w:pStyle w:val="Compact"/>
        <w:numPr>
          <w:ilvl w:val="0"/>
          <w:numId w:val="1026"/>
        </w:numPr>
      </w:pPr>
      <w:r>
        <w:rPr>
          <w:b/>
          <w:bCs/>
        </w:rPr>
        <w:t xml:space="preserve">Il paziente sa cosa tratti e cosa no.</w:t>
      </w:r>
      <w:r>
        <w:t xml:space="preserve"> </w:t>
      </w:r>
      <w:r>
        <w:t xml:space="preserve">Frase da usare:</w:t>
      </w:r>
      <w:r>
        <w:t xml:space="preserve"> </w:t>
      </w:r>
      <w:r>
        <w:rPr>
          <w:i/>
          <w:iCs/>
        </w:rPr>
        <w:t xml:space="preserve">«io lavoro sui distretti che ho misurato — questi numeri qui — e su quanto si muovono. Il perché il tuo corpo si irrigidisca dappertutto va comunque inquadrato dal tuo medico, e nel frattempo io non aspetto.»</w:t>
      </w:r>
      <w:r>
        <w:t xml:space="preserve"> </w:t>
      </w:r>
      <w:r>
        <w:t xml:space="preserve">Non dire «lo scorrimento che ho misurato»: lo scorrimento fasciale in stanza non si misura, e il documento lo dichiara due volte.</w:t>
      </w:r>
    </w:p>
    <w:p>
      <w:pPr>
        <w:pStyle w:val="Compact"/>
        <w:numPr>
          <w:ilvl w:val="0"/>
          <w:numId w:val="1026"/>
        </w:numPr>
      </w:pPr>
      <w:r>
        <w:rPr>
          <w:b/>
          <w:bCs/>
        </w:rPr>
        <w:t xml:space="preserve">Canale medico attivato senza interrompere il lavoro.</w:t>
      </w:r>
      <w:r>
        <w:t xml:space="preserve"> </w:t>
      </w:r>
      <w:r>
        <w:t xml:space="preserve">Una comunicazione</w:t>
      </w:r>
      <w:r>
        <w:t xml:space="preserve"> </w:t>
      </w:r>
      <w:r>
        <w:rPr>
          <w:b/>
          <w:bCs/>
        </w:rPr>
        <w:t xml:space="preserve">scritta</w:t>
      </w:r>
      <w:r>
        <w:t xml:space="preserve"> </w:t>
      </w:r>
      <w:r>
        <w:t xml:space="preserve">al curante, non un rinvio del paziente. Quattro voci, sempre le stesse: le misure di partenza; la durata del quadro; i farmaci iniziati o modificati in coincidenza col sintomo;</w:t>
      </w:r>
      <w:r>
        <w:t xml:space="preserve"> </w:t>
      </w:r>
      <w:r>
        <w:rPr>
          <w:b/>
          <w:bCs/>
        </w:rPr>
        <w:t xml:space="preserve">i segnali d’allarme cercati e non trovati</w:t>
      </w:r>
      <w:r>
        <w:t xml:space="preserve"> </w:t>
      </w:r>
      <w:r>
        <w:t xml:space="preserve">(sblocco mattutino, debolezza prossimale, febbre, calo di peso, sintomi visivi o mandibolari sopra i cinquanta)</w:t>
      </w:r>
      <w:r>
        <w:t xml:space="preserve"> </w:t>
      </w:r>
      <w:r>
        <w:rPr>
          <w:b/>
          <w:bCs/>
        </w:rPr>
        <w:t xml:space="preserve">e la data di revisione già fissata</w:t>
      </w:r>
      <w:r>
        <w:t xml:space="preserve">. Sono le ultime due a trasformare una nota informativa in un passaggio di consegne. Senza la prima il medico non sa se ripartire da zero; senza la seconda non sa quando il parallelo scade.</w:t>
      </w:r>
    </w:p>
    <w:p>
      <w:pPr>
        <w:pStyle w:val="Compact"/>
        <w:numPr>
          <w:ilvl w:val="0"/>
          <w:numId w:val="1026"/>
        </w:numPr>
      </w:pPr>
      <w:r>
        <w:rPr>
          <w:b/>
          <w:bCs/>
        </w:rPr>
        <w:t xml:space="preserve">Tempo definito, contato in calendario e non in sedute.</w:t>
      </w:r>
      <w:r>
        <w:t xml:space="preserve"> </w:t>
      </w:r>
      <w:r>
        <w:t xml:space="preserve">La data di revisione si scrive in cartella il giorno in cui si apre il giallo, e cade</w:t>
      </w:r>
      <w:r>
        <w:t xml:space="preserve"> </w:t>
      </w:r>
      <w:r>
        <w:rPr>
          <w:b/>
          <w:bCs/>
        </w:rPr>
        <w:t xml:space="preserve">entro sei settimane</w:t>
      </w:r>
      <w:r>
        <w:t xml:space="preserve"> </w:t>
      </w:r>
      <w:r>
        <w:t xml:space="preserve">dalla prima seduta. Vale qualunque sia il numero di sedute fatte. Il tetto in settimane vive qui perché un paziente che dirada gli appuntamenti non fa scadere niente.</w:t>
      </w:r>
    </w:p>
    <w:p>
      <w:pPr>
        <w:pStyle w:val="FirstParagraph"/>
      </w:pPr>
      <w:r>
        <w:rPr>
          <w:b/>
          <w:bCs/>
        </w:rPr>
        <w:t xml:space="preserve">Se la data arriva e i marker non si sono mossi</w:t>
      </w:r>
      <w:r>
        <w:t xml:space="preserve">, non è una rinuncia: è un’informazione. Il tuo reperto non era il piano che comanda, e la spinta sul canale medico diventa prioritaria.</w:t>
      </w:r>
    </w:p>
    <w:p>
      <w:pPr>
        <w:pStyle w:val="BodyText"/>
      </w:pPr>
      <w:r>
        <w:rPr>
          <w:b/>
          <w:bCs/>
        </w:rPr>
        <w:t xml:space="preserve">Perché questa versione protegge di più, non di meno.</w:t>
      </w:r>
      <w:r>
        <w:t xml:space="preserve"> </w:t>
      </w:r>
      <w:r>
        <w:t xml:space="preserve">Un cancello binario — «senza inquadramento non si tratta» — qui verrebbe aggirato ogni settimana. Su questa condizione il giallo è la maggioranza dei pazienti, e quasi nessuno arriva con un’etichetta.</w:t>
      </w:r>
      <w:r>
        <w:t xml:space="preserve"> </w:t>
      </w:r>
      <w:r>
        <w:rPr>
          <w:b/>
          <w:bCs/>
        </w:rPr>
        <w:t xml:space="preserve">Una regola scritta e disattesa vale meno di nessuna regola, perché fa credere che un controllo esista.</w:t>
      </w:r>
      <w:r>
        <w:t xml:space="preserve"> </w:t>
      </w:r>
      <w:r>
        <w:t xml:space="preserve">Il triage dichiara invece che cosa fai davvero in ciascuna delle tre situazioni, tiene il rosso assolutamente rigido, e mette per iscritto l’unica cosa che rende difendibile il giallo: il tuo reperto, il marker, il canale medico attivato, il tempo definito.</w:t>
      </w:r>
    </w:p>
    <w:p>
      <w:pPr>
        <w:pStyle w:val="BodyText"/>
      </w:pPr>
      <w:r>
        <w:rPr>
          <w:b/>
          <w:bCs/>
        </w:rPr>
        <w:t xml:space="preserve">🟢 VERDE — Si procede.</w:t>
      </w:r>
      <w:r>
        <w:t xml:space="preserve"> </w:t>
      </w:r>
      <w:r>
        <w:t xml:space="preserve">Nessuna bandiera rossa e almeno una di queste tre condizioni: esami infiammatori, muscolari e tiroidei</w:t>
      </w:r>
      <w:r>
        <w:t xml:space="preserve"> </w:t>
      </w:r>
      <w:r>
        <w:rPr>
          <w:b/>
          <w:bCs/>
        </w:rPr>
        <w:t xml:space="preserve">eseguiti dopo l’esordio del quadro attuale</w:t>
      </w:r>
      <w:r>
        <w:t xml:space="preserve"> </w:t>
      </w:r>
      <w:r>
        <w:t xml:space="preserve">e negativi; un inquadramento reumatologico già fatto; una diagnosi già posta con un percorso in corso. Il ciclo si apre secondo Procedura, e anche il verde porta</w:t>
      </w:r>
      <w:r>
        <w:t xml:space="preserve"> </w:t>
      </w:r>
      <w:r>
        <w:rPr>
          <w:b/>
          <w:bCs/>
        </w:rPr>
        <w:t xml:space="preserve">una data di revisione scritta in cartella</w:t>
      </w:r>
      <w:r>
        <w:t xml:space="preserve">, con lo stesso tetto in settimane del giallo.</w:t>
      </w:r>
    </w:p>
    <w:p>
      <w:pPr>
        <w:pStyle w:val="BodyText"/>
      </w:pPr>
      <w:r>
        <w:rPr>
          <w:b/>
          <w:bCs/>
        </w:rPr>
        <w:t xml:space="preserve">Perché «dopo l’esordio» e non «negli ultimi dodici mesi».</w:t>
      </w:r>
      <w:r>
        <w:t xml:space="preserve"> </w:t>
      </w:r>
      <w:r>
        <w:t xml:space="preserve">Un esame è informativo rispetto al momento in cui è stato fatto. Un pannello normale precedente all’esordio non ha guardato il quadro di adesso, e se il quadro è più vecchio degli esami la situazione è gialla, non verde. Vale doppio qui, per due ragioni. La polimialgia all’esordio non arriva ancora ai quarantacinque minuti di rigidità, quindi la tabella non la intercetta. E una parte di quei pazienti ha VES</w:t>
      </w:r>
      <w:r>
        <w:t xml:space="preserve"> </w:t>
      </w:r>
      <w:r>
        <w:rPr>
          <w:b/>
          <w:bCs/>
        </w:rPr>
        <w:t xml:space="preserve">e</w:t>
      </w:r>
      <w:r>
        <w:t xml:space="preserve"> </w:t>
      </w:r>
      <w:r>
        <w:t xml:space="preserve">PCR normali alla diagnosi (Kara, PMID 37773830 — 8 casi su 54, casistica piccola). Un pannello negativo non chiude la porta neanche quando è recente.</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la rigidità cambia carattere, sede o intensità, se compare debolezza, o se compare uno dei segnali della tabella. Un quadro che cambia forma</w:t>
      </w:r>
      <w:r>
        <w:t xml:space="preserve"> </w:t>
      </w:r>
      <w:r>
        <w:rPr>
          <w:b/>
          <w:bCs/>
        </w:rPr>
        <w:t xml:space="preserve">torna al triage, dall’inizio</w:t>
      </w:r>
      <w:r>
        <w:t xml:space="preserve">.</w:t>
      </w:r>
    </w:p>
    <w:p>
      <w:pPr>
        <w:pStyle w:val="BodyTex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w:t>
      </w:r>
      <w:r>
        <w:t xml:space="preserve"> </w:t>
      </w:r>
      <w:r>
        <w:rPr>
          <w:b/>
          <w:bCs/>
        </w:rPr>
        <w:t xml:space="preserve">Quello che non è scritto non esiste.</w:t>
      </w:r>
    </w:p>
    <w:bookmarkEnd w:id="54"/>
    <w:bookmarkStart w:id="55" w:name="X5ac40c5b49b381f25386d880c1ce462e8995bb5"/>
    <w:p>
      <w:pPr>
        <w:pStyle w:val="Heading3"/>
      </w:pPr>
      <w:r>
        <w:t xml:space="preserve">Cosa fanno i farmaci che prende, e perché non li commenti</w:t>
      </w:r>
    </w:p>
    <w:p>
      <w:pPr>
        <w:pStyle w:val="FirstParagraph"/>
      </w:pPr>
      <w:r>
        <w:t xml:space="preserve">I</w:t>
      </w:r>
      <w:r>
        <w:t xml:space="preserve"> </w:t>
      </w:r>
      <w:r>
        <w:rPr>
          <w:b/>
          <w:bCs/>
        </w:rPr>
        <w:t xml:space="preserve">miorilassanti</w:t>
      </w:r>
      <w:r>
        <w:t xml:space="preserve"> </w:t>
      </w:r>
      <w:r>
        <w:t xml:space="preserve">riducono il tono per via centrale, per il tempo in cui sono in circolo. Fra questi la</w:t>
      </w:r>
      <w:r>
        <w:t xml:space="preserve"> </w:t>
      </w:r>
      <w:r>
        <w:rPr>
          <w:b/>
          <w:bCs/>
        </w:rPr>
        <w:t xml:space="preserve">tiocolchicoside</w:t>
      </w:r>
      <w:r>
        <w:t xml:space="preserve"> </w:t>
      </w:r>
      <w:r>
        <w:t xml:space="preserve">sistemica è sotto restrizione europea per rischio genotossico, con durata di trattamento limitata: un paziente che dice «lo prendo da mesi» è un’informazione da scrivere. I</w:t>
      </w:r>
      <w:r>
        <w:t xml:space="preserve"> </w:t>
      </w:r>
      <w:r>
        <w:rPr>
          <w:b/>
          <w:bCs/>
        </w:rPr>
        <w:t xml:space="preserve">FANS</w:t>
      </w:r>
      <w:r>
        <w:t xml:space="preserve"> </w:t>
      </w:r>
      <w:r>
        <w:t xml:space="preserve">agiscono sul dolore e sull’infiammazione, non sulla rigidità passiva. Il</w:t>
      </w:r>
      <w:r>
        <w:t xml:space="preserve"> </w:t>
      </w:r>
      <w:r>
        <w:rPr>
          <w:b/>
          <w:bCs/>
        </w:rPr>
        <w:t xml:space="preserve">magnesio</w:t>
      </w:r>
      <w:r>
        <w:t xml:space="preserve"> </w:t>
      </w:r>
      <w:r>
        <w:t xml:space="preserve">se l’è dato da solo. È stato studiato bene su un esito solo, i crampi: lì la revisione Cochrane conclude che è improbabile che dia una prevenzione clinicamente utile negli adulti più anziani (Garrison,</w:t>
      </w:r>
      <w:r>
        <w:t xml:space="preserve"> </w:t>
      </w:r>
      <w:r>
        <w:rPr>
          <w:i/>
          <w:iCs/>
        </w:rPr>
        <w:t xml:space="preserve">Cochrane</w:t>
      </w:r>
      <w:r>
        <w:t xml:space="preserve"> </w:t>
      </w:r>
      <w:r>
        <w:t xml:space="preserve">2020, PMID 32956536). Le</w:t>
      </w:r>
      <w:r>
        <w:t xml:space="preserve"> </w:t>
      </w:r>
      <w:r>
        <w:rPr>
          <w:b/>
          <w:bCs/>
        </w:rPr>
        <w:t xml:space="preserve">statine</w:t>
      </w:r>
      <w:r>
        <w:t xml:space="preserve">, gli</w:t>
      </w:r>
      <w:r>
        <w:t xml:space="preserve"> </w:t>
      </w:r>
      <w:r>
        <w:rPr>
          <w:b/>
          <w:bCs/>
        </w:rPr>
        <w:t xml:space="preserve">inibitori dell’aromatasi</w:t>
      </w:r>
      <w:r>
        <w:t xml:space="preserve">, i</w:t>
      </w:r>
      <w:r>
        <w:t xml:space="preserve"> </w:t>
      </w:r>
      <w:r>
        <w:rPr>
          <w:b/>
          <w:bCs/>
        </w:rPr>
        <w:t xml:space="preserve">bifosfonati</w:t>
      </w:r>
      <w:r>
        <w:t xml:space="preserve">, gli</w:t>
      </w:r>
      <w:r>
        <w:t xml:space="preserve"> </w:t>
      </w:r>
      <w:r>
        <w:rPr>
          <w:b/>
          <w:bCs/>
        </w:rPr>
        <w:t xml:space="preserve">inibitori del checkpoint</w:t>
      </w:r>
      <w:r>
        <w:t xml:space="preserve"> </w:t>
      </w:r>
      <w:r>
        <w:t xml:space="preserve">e i</w:t>
      </w:r>
      <w:r>
        <w:t xml:space="preserve"> </w:t>
      </w:r>
      <w:r>
        <w:rPr>
          <w:b/>
          <w:bCs/>
        </w:rPr>
        <w:t xml:space="preserve">serotoninergici</w:t>
      </w:r>
      <w:r>
        <w:t xml:space="preserve"> </w:t>
      </w:r>
      <w:r>
        <w:t xml:space="preserve">hanno il quadro descritto in «Chi ti trova davanti», e per tutti vale la stessa regola.</w:t>
      </w:r>
    </w:p>
    <w:p>
      <w:pPr>
        <w:pStyle w:val="BodyText"/>
      </w:pPr>
      <w:r>
        <w:t xml:space="preserve">Nessuna valutazione e nessun suggerimento di modifica, nemmeno in forma dubitativa: decide il prescrittore. Quello che fai è</w:t>
      </w:r>
      <w:r>
        <w:t xml:space="preserve"> </w:t>
      </w:r>
      <w:r>
        <w:rPr>
          <w:b/>
          <w:bCs/>
        </w:rPr>
        <w:t xml:space="preserve">chiedere e scrivere</w:t>
      </w:r>
      <w:r>
        <w:t xml:space="preserve">.</w:t>
      </w:r>
    </w:p>
    <w:bookmarkEnd w:id="55"/>
    <w:bookmarkStart w:id="56" w:name="cosa-dichiari-nel-consenso"/>
    <w:p>
      <w:pPr>
        <w:pStyle w:val="Heading3"/>
      </w:pPr>
      <w:r>
        <w:t xml:space="preserve">Cosa dichiari nel consenso</w:t>
      </w:r>
    </w:p>
    <w:p>
      <w:pPr>
        <w:pStyle w:val="FirstParagraph"/>
      </w:pPr>
      <w:r>
        <w:t xml:space="preserve">Quattro righe che qui aggiungi e che in un’altra Bibbia non scriveresti:</w:t>
      </w:r>
    </w:p>
    <w:p>
      <w:pPr>
        <w:pStyle w:val="Compact"/>
        <w:numPr>
          <w:ilvl w:val="0"/>
          <w:numId w:val="1027"/>
        </w:numPr>
      </w:pPr>
      <w:r>
        <w:t xml:space="preserve">Che l’oggetto del trattamento è</w:t>
      </w:r>
      <w:r>
        <w:t xml:space="preserve"> </w:t>
      </w:r>
      <w:r>
        <w:rPr>
          <w:b/>
          <w:bCs/>
        </w:rPr>
        <w:t xml:space="preserve">la disfunzione somatica misurata</w:t>
      </w:r>
      <w:r>
        <w:t xml:space="preserve">, e non la rigidità diffusa in quanto tale.</w:t>
      </w:r>
    </w:p>
    <w:p>
      <w:pPr>
        <w:pStyle w:val="Compact"/>
        <w:numPr>
          <w:ilvl w:val="0"/>
          <w:numId w:val="1027"/>
        </w:numPr>
      </w:pPr>
      <w:r>
        <w:t xml:space="preserve">Che</w:t>
      </w:r>
      <w:r>
        <w:t xml:space="preserve"> </w:t>
      </w:r>
      <w:r>
        <w:rPr>
          <w:b/>
          <w:bCs/>
        </w:rPr>
        <w:t xml:space="preserve">la stima manuale della durezza dei tessuti non stabilisce se ci sia una malattia</w:t>
      </w:r>
      <w:r>
        <w:t xml:space="preserve">, e che serve a orientare l’esame, non a escludere niente.</w:t>
      </w:r>
    </w:p>
    <w:p>
      <w:pPr>
        <w:pStyle w:val="Compact"/>
        <w:numPr>
          <w:ilvl w:val="0"/>
          <w:numId w:val="1027"/>
        </w:numPr>
      </w:pPr>
      <w:r>
        <w:t xml:space="preserve">Che</w:t>
      </w:r>
      <w:r>
        <w:t xml:space="preserve"> </w:t>
      </w:r>
      <w:r>
        <w:rPr>
          <w:b/>
          <w:bCs/>
        </w:rPr>
        <w:t xml:space="preserve">l’evidenza di terapia manuale in questo quadro è scarsa e a breve termine</w:t>
      </w:r>
      <w:r>
        <w:t xml:space="preserve">, e che la leva con le prove migliori è l’attività fisica.</w:t>
      </w:r>
    </w:p>
    <w:p>
      <w:pPr>
        <w:pStyle w:val="Compact"/>
        <w:numPr>
          <w:ilvl w:val="0"/>
          <w:numId w:val="1027"/>
        </w:numPr>
      </w:pPr>
      <w:r>
        <w:t xml:space="preserve">Che</w:t>
      </w:r>
      <w:r>
        <w:t xml:space="preserve"> </w:t>
      </w:r>
      <w:r>
        <w:rPr>
          <w:b/>
          <w:bCs/>
        </w:rPr>
        <w:t xml:space="preserve">una reazione transitoria di indolenzimento nelle 24-48 ore è attesa</w:t>
      </w:r>
      <w:r>
        <w:t xml:space="preserve"> </w:t>
      </w:r>
      <w:r>
        <w:t xml:space="preserve">in circa quattro pazienti su dieci nelle coorti di terapia manuale. Si risolve entro tre giorni (Carnes, PMID 20097115). Pesa di più sul pattern C: quel paziente ha la soglia abbassata, e se nessuno gliel’ha detto prima leggerà l’indolenzimento come peggioramento della malattia.</w:t>
      </w:r>
    </w:p>
    <w:p>
      <w:pPr>
        <w:pStyle w:val="FirstParagraph"/>
      </w:pPr>
      <w:r>
        <w:rPr>
          <w:b/>
          <w:bCs/>
        </w:rPr>
        <w:t xml:space="preserve">Per te:</w:t>
      </w:r>
      <w:r>
        <w:t xml:space="preserve"> </w:t>
      </w:r>
      <w:r>
        <w:t xml:space="preserve">questa riga si dice</w:t>
      </w:r>
      <w:r>
        <w:t xml:space="preserve"> </w:t>
      </w:r>
      <w:r>
        <w:rPr>
          <w:b/>
          <w:bCs/>
        </w:rPr>
        <w:t xml:space="preserve">prima</w:t>
      </w:r>
      <w:r>
        <w:t xml:space="preserve">, non dopo. Sul pattern C l’effetto misurabile arriva a settimane, e l’indolenzimento arriva la sera stessa. Un paziente non avvertito abbandona il ciclo esattamente nella finestra in cui non c’era ancora niente da vedere.</w:t>
      </w:r>
    </w:p>
    <w:p>
      <w:pPr>
        <w:pStyle w:val="BlockText"/>
      </w:pPr>
      <w:r>
        <w:rPr>
          <w:b/>
          <w:bCs/>
        </w:rPr>
        <w:t xml:space="preserve">Attenzione.</w:t>
      </w:r>
      <w:r>
        <w:t xml:space="preserve"> </w:t>
      </w:r>
      <w:r>
        <w:t xml:space="preserve">C’è una cosa che il paziente deve sapere prima di uscire, e che la tabella delle bandiere rosse non gli dice perché è scritta per te. Se dopo la seduta compaiono</w:t>
      </w:r>
      <w:r>
        <w:t xml:space="preserve"> </w:t>
      </w:r>
      <w:r>
        <w:rPr>
          <w:b/>
          <w:bCs/>
        </w:rPr>
        <w:t xml:space="preserve">cefalea improvvisa e violenta, un deficit neurologico, disturbi visivi, dolore toracico, difficoltà a respirare o urine scure</w:t>
      </w:r>
      <w:r>
        <w:t xml:space="preserve">, si va in pronto soccorso. Vale indipendentemente da cosa è stato fatto in stanza.</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bookmarkEnd w:id="56"/>
    <w:bookmarkStart w:id="57" w:name="il-confine-di-atto"/>
    <w:p>
      <w:pPr>
        <w:pStyle w:val="Heading3"/>
      </w:pPr>
      <w:r>
        <w:t xml:space="preserve">Il confine di atto</w:t>
      </w:r>
    </w:p>
    <w:p>
      <w:pPr>
        <w:pStyle w:val="FirstParagraph"/>
      </w:pPr>
      <w:r>
        <w:t xml:space="preserve">La tentazione, qui, non è di fare una manovra rischiosa: è di</w:t>
      </w:r>
      <w:r>
        <w:t xml:space="preserve"> </w:t>
      </w:r>
      <w:r>
        <w:rPr>
          <w:b/>
          <w:bCs/>
        </w:rPr>
        <w:t xml:space="preserve">dire una frase di esclusione</w:t>
      </w:r>
      <w:r>
        <w:t xml:space="preserve">. Le due fuori perimetro sono queste, e la seconda è la più pericolosa.</w:t>
      </w:r>
    </w:p>
    <w:p>
      <w:pPr>
        <w:pStyle w:val="Compact"/>
        <w:numPr>
          <w:ilvl w:val="0"/>
          <w:numId w:val="1028"/>
        </w:numPr>
      </w:pPr>
      <w:r>
        <w:rPr>
          <w:i/>
          <w:iCs/>
        </w:rPr>
        <w:t xml:space="preserve">«Non hai niente, è solo tensione.»</w:t>
      </w:r>
      <w:r>
        <w:t xml:space="preserve"> </w:t>
      </w:r>
      <w:r>
        <w:t xml:space="preserve">È una diagnosi di esclusione, ed è un atto medico. Il DPR 131/2021 non riserva atti: colloca il nostro. Dice che l’osteopata opera</w:t>
      </w:r>
      <w:r>
        <w:t xml:space="preserve"> </w:t>
      </w:r>
      <w:r>
        <w:rPr>
          <w:b/>
          <w:bCs/>
        </w:rPr>
        <w:t xml:space="preserve">in riferimento alla diagnosi di competenza medica</w:t>
      </w:r>
      <w:r>
        <w:t xml:space="preserve">, con tecniche esclusivamente manuali, non invasive ed esterne, su disfunzioni somatiche</w:t>
      </w:r>
      <w:r>
        <w:t xml:space="preserve"> </w:t>
      </w:r>
      <w:r>
        <w:rPr>
          <w:b/>
          <w:bCs/>
        </w:rPr>
        <w:t xml:space="preserve">non riconducibili a patologie</w:t>
      </w:r>
      <w:r>
        <w:t xml:space="preserve">. È esattamente la norma che spiega perché qui il canale medico si attiva in parallelo e non dopo.</w:t>
      </w:r>
    </w:p>
    <w:p>
      <w:pPr>
        <w:pStyle w:val="Compact"/>
        <w:numPr>
          <w:ilvl w:val="0"/>
          <w:numId w:val="1028"/>
        </w:numPr>
      </w:pPr>
      <w:r>
        <w:rPr>
          <w:i/>
          <w:iCs/>
        </w:rPr>
        <w:t xml:space="preserve">«I tuoi esami sono a posto, quindi possiamo escludere una malattia reumatologica.»</w:t>
      </w:r>
      <w:r>
        <w:t xml:space="preserve"> </w:t>
      </w:r>
      <w:r>
        <w:t xml:space="preserve">Gli esami escludono ciò che misurano, alla data in cui sono stati fatti. Interpretarli è del medico, e un quadro reumatologico può comparire dopo esami normali.</w:t>
      </w:r>
    </w:p>
    <w:p>
      <w:pPr>
        <w:pStyle w:val="FirstParagraph"/>
      </w:pPr>
      <w:r>
        <w:rPr>
          <w:b/>
          <w:bCs/>
        </w:rPr>
        <w:t xml:space="preserve">Se sbagli campo</w:t>
      </w:r>
      <w:r>
        <w:t xml:space="preserve">, l’errore non è un danno acuto: è un ritardo. Sei mesi di sedute mensili su una polimialgia sono sei mesi in cui un paziente che avrebbe risposto in pochi giorni continua a peggiorare. È la ragione per cui la scadenza del giallo si conta in settimane.</w:t>
      </w:r>
    </w:p>
    <w:p>
      <w:pPr>
        <w:pStyle w:val="BodyText"/>
      </w:pPr>
      <w:r>
        <w:rPr>
          <w:b/>
          <w:bCs/>
        </w:rPr>
        <w:t xml:space="preserve">Le tre cose da ricordare, più una</w:t>
      </w:r>
    </w:p>
    <w:p>
      <w:pPr>
        <w:pStyle w:val="Compact"/>
        <w:numPr>
          <w:ilvl w:val="0"/>
          <w:numId w:val="1029"/>
        </w:numPr>
      </w:pPr>
      <w:r>
        <w:t xml:space="preserve">Il triage si apre con tre domande da dieci secondi: quanti minuti ci mette a sbloccarsi la mattina, quanti anni ha — con</w:t>
      </w:r>
      <w:r>
        <w:t xml:space="preserve"> </w:t>
      </w:r>
      <w:r>
        <w:rPr>
          <w:b/>
          <w:bCs/>
        </w:rPr>
        <w:t xml:space="preserve">due</w:t>
      </w:r>
      <w:r>
        <w:t xml:space="preserve"> </w:t>
      </w:r>
      <w:r>
        <w:t xml:space="preserve">forcelle, sopra i cinquanta e sotto i quarantacinque, non una — e quali farmaci ha iniziato o cambiato nell’ultimo anno.</w:t>
      </w:r>
    </w:p>
    <w:p>
      <w:pPr>
        <w:pStyle w:val="Compact"/>
        <w:numPr>
          <w:ilvl w:val="0"/>
          <w:numId w:val="1029"/>
        </w:numPr>
      </w:pPr>
      <w:r>
        <w:t xml:space="preserve">Il giallo è la situazione normale qui, e regge solo se è scritto: misure, comunicazione al curante, data di revisione entro sei settimane.</w:t>
      </w:r>
    </w:p>
    <w:p>
      <w:pPr>
        <w:pStyle w:val="Compact"/>
        <w:numPr>
          <w:ilvl w:val="0"/>
          <w:numId w:val="1029"/>
        </w:numPr>
      </w:pPr>
      <w:r>
        <w:t xml:space="preserve">La frase pericolosa non è quella che promette: è quella che esclude.</w:t>
      </w:r>
    </w:p>
    <w:p>
      <w:pPr>
        <w:pStyle w:val="Compact"/>
        <w:numPr>
          <w:ilvl w:val="0"/>
          <w:numId w:val="1029"/>
        </w:numPr>
      </w:pPr>
      <w:r>
        <w:rPr>
          <w:b/>
          <w:bCs/>
        </w:rPr>
        <w:t xml:space="preserve">Perché ci sei tu.</w:t>
      </w:r>
      <w:r>
        <w:t xml:space="preserve"> </w:t>
      </w:r>
      <w:r>
        <w:t xml:space="preserve">La miopatia vera da statina è rara: da uno su mille a uno su diecimila. I sintomi muscolari senza alterazioni di laboratorio sono invece riferiti dal 7% al 29% nei registri (Stroes, 2015, PMID 25694464). Questo ti autorizza a fare la domanda sui farmaci in ogni prima seduta e a metterne la risposta nella comunicazione al curante. Non ti autorizza a suggerire di sospendere o di ridurre: quella decisione ha un rischio cardiovascolare, e non è tua.</w:t>
      </w:r>
    </w:p>
    <w:p>
      <w:r>
        <w:pict>
          <v:rect style="width:0;height:1.5pt" o:hralign="center" o:hrstd="t" o:hr="t"/>
        </w:pict>
      </w:r>
    </w:p>
    <w:bookmarkEnd w:id="57"/>
    <w:bookmarkEnd w:id="58"/>
    <w:bookmarkStart w:id="65" w:name="capitolo-10-cosa-dice-la-scienza"/>
    <w:p>
      <w:pPr>
        <w:pStyle w:val="Heading2"/>
      </w:pPr>
      <w:r>
        <w:t xml:space="preserve">Capitolo 10 — Cosa dice la scienza</w:t>
      </w:r>
    </w:p>
    <w:p>
      <w:pPr>
        <w:pStyle w:val="BlockText"/>
      </w:pPr>
      <w:r>
        <w:rPr>
          <w:b/>
          <w:bCs/>
        </w:rPr>
        <w:t xml:space="preserve">In una riga:</w:t>
      </w:r>
      <w:r>
        <w:t xml:space="preserve"> </w:t>
      </w:r>
      <w:r>
        <w:t xml:space="preserve">la letteratura sulle nostre mani in questo quadro è di settantaquattro pazienti in tre studi, e la letteratura sul meccanismo è enorme: sapere quale delle due stai citando è tutto il capitolo.</w:t>
      </w:r>
    </w:p>
    <w:bookmarkStart w:id="59" w:name="le-due-ancore"/>
    <w:p>
      <w:pPr>
        <w:pStyle w:val="Heading3"/>
      </w:pPr>
      <w:r>
        <w:t xml:space="preserve">Le due ancore</w:t>
      </w:r>
    </w:p>
    <w:p>
      <w:pPr>
        <w:pStyle w:val="FirstParagraph"/>
      </w:pPr>
      <w:r>
        <w:t xml:space="preserve">Su questo quadro non esiste un ricercatore-ancora di terapia manuale, e dichiararlo è più forte che gonfiarne uno.</w:t>
      </w:r>
    </w:p>
    <w:p>
      <w:pPr>
        <w:pStyle w:val="BodyText"/>
      </w:pPr>
      <w:r>
        <w:rPr>
          <w:b/>
          <w:bCs/>
        </w:rPr>
        <w:t xml:space="preserve">L’ancora clinica</w:t>
      </w:r>
      <w:r>
        <w:t xml:space="preserve"> </w:t>
      </w:r>
      <w:r>
        <w:t xml:space="preserve">sono</w:t>
      </w:r>
      <w:r>
        <w:t xml:space="preserve"> </w:t>
      </w:r>
      <w:r>
        <w:rPr>
          <w:b/>
          <w:bCs/>
        </w:rPr>
        <w:t xml:space="preserve">Busch e Bidonde</w:t>
      </w:r>
      <w:r>
        <w:t xml:space="preserve">: quattro revisioni Cochrane sull’esercizio nel dolore diffuso. È l’unico corpo di studi randomizzati in cui la</w:t>
      </w:r>
      <w:r>
        <w:t xml:space="preserve"> </w:t>
      </w:r>
      <w:r>
        <w:rPr>
          <w:b/>
          <w:bCs/>
        </w:rPr>
        <w:t xml:space="preserve">rigidità</w:t>
      </w:r>
      <w:r>
        <w:t xml:space="preserve"> </w:t>
      </w:r>
      <w:r>
        <w:t xml:space="preserve">compare come esito misurato in queste persone. I limiti li dichiarano loro: popolazione della fibromialgia e prove di qualità bassa.</w:t>
      </w:r>
    </w:p>
    <w:p>
      <w:pPr>
        <w:pStyle w:val="BodyText"/>
      </w:pPr>
      <w:r>
        <w:rPr>
          <w:b/>
          <w:bCs/>
        </w:rPr>
        <w:t xml:space="preserve">L’ancora fisiologica</w:t>
      </w:r>
      <w:r>
        <w:t xml:space="preserve"> </w:t>
      </w:r>
      <w:r>
        <w:t xml:space="preserve">è</w:t>
      </w:r>
      <w:r>
        <w:t xml:space="preserve"> </w:t>
      </w:r>
      <w:r>
        <w:rPr>
          <w:b/>
          <w:bCs/>
        </w:rPr>
        <w:t xml:space="preserve">Michael Lakie</w:t>
      </w:r>
      <w:r>
        <w:t xml:space="preserve">: la rigidità del muscolo rilassato si costruisce con l’immobilità, si cancella con il movimento e si ricostituisce in secondi. È la più autorevole delle due, e spiega più cose.</w:t>
      </w:r>
    </w:p>
    <w:bookmarkEnd w:id="59"/>
    <w:bookmarkStart w:id="60" w:name="i-tre-cerchi"/>
    <w:p>
      <w:pPr>
        <w:pStyle w:val="Heading3"/>
      </w:pPr>
      <w:r>
        <w:t xml:space="preserve">I tre cerchi</w:t>
      </w:r>
    </w:p>
    <w:p>
      <w:pPr>
        <w:pStyle w:val="FirstParagraph"/>
      </w:pPr>
      <w:r>
        <w:rPr>
          <w:b/>
          <w:bCs/>
        </w:rPr>
        <w:t xml:space="preserve">Cerchio 1 — l’evidenza specifica.</w:t>
      </w:r>
      <w:r>
        <w:t xml:space="preserve"> </w:t>
      </w:r>
      <w:r>
        <w:t xml:space="preserve">Quello che è stato fatto sulle nostre mani, in questo quadro. Tre lavori. Un pilota randomizzato del 2002 su</w:t>
      </w:r>
      <w:r>
        <w:t xml:space="preserve"> </w:t>
      </w:r>
      <w:r>
        <w:rPr>
          <w:b/>
          <w:bCs/>
        </w:rPr>
        <w:t xml:space="preserve">24 donne</w:t>
      </w:r>
      <w:r>
        <w:t xml:space="preserve"> </w:t>
      </w:r>
      <w:r>
        <w:t xml:space="preserve">con fibromialgia in quattro bracci, con soglie dolorimetriche come esito (Gamber,</w:t>
      </w:r>
      <w:r>
        <w:t xml:space="preserve"> </w:t>
      </w:r>
      <w:r>
        <w:rPr>
          <w:i/>
          <w:iCs/>
        </w:rPr>
        <w:t xml:space="preserve">J Am Osteopath Assoc</w:t>
      </w:r>
      <w:r>
        <w:t xml:space="preserve"> </w:t>
      </w:r>
      <w:r>
        <w:t xml:space="preserve">2002, PMID 12090649). Uno studio di fattibilità del 2018, su 40 reclutati e</w:t>
      </w:r>
      <w:r>
        <w:t xml:space="preserve"> </w:t>
      </w:r>
      <w:r>
        <w:rPr>
          <w:b/>
          <w:bCs/>
        </w:rPr>
        <w:t xml:space="preserve">29 completati</w:t>
      </w:r>
      <w:r>
        <w:t xml:space="preserve">. Nessuna differenza fra i gruppi ha raggiunto la significatività, come gli autori si aspettavano data la numerosità (Marske,</w:t>
      </w:r>
      <w:r>
        <w:t xml:space="preserve"> </w:t>
      </w:r>
      <w:r>
        <w:rPr>
          <w:i/>
          <w:iCs/>
        </w:rPr>
        <w:t xml:space="preserve">J Altern Complement Med</w:t>
      </w:r>
      <w:r>
        <w:t xml:space="preserve"> </w:t>
      </w:r>
      <w:r>
        <w:t xml:space="preserve">2018, PMID 29298077). Uno studio</w:t>
      </w:r>
      <w:r>
        <w:t xml:space="preserve"> </w:t>
      </w:r>
      <w:r>
        <w:rPr>
          <w:b/>
          <w:bCs/>
        </w:rPr>
        <w:t xml:space="preserve">retrospettivo</w:t>
      </w:r>
      <w:r>
        <w:t xml:space="preserve"> </w:t>
      </w:r>
      <w:r>
        <w:t xml:space="preserve">del 2023 su</w:t>
      </w:r>
      <w:r>
        <w:t xml:space="preserve"> </w:t>
      </w:r>
      <w:r>
        <w:rPr>
          <w:b/>
          <w:bCs/>
        </w:rPr>
        <w:t xml:space="preserve">21 cartelle</w:t>
      </w:r>
      <w:r>
        <w:t xml:space="preserve">, senza gruppo di controllo (Dal Farra,</w:t>
      </w:r>
      <w:r>
        <w:t xml:space="preserve"> </w:t>
      </w:r>
      <w:r>
        <w:rPr>
          <w:i/>
          <w:iCs/>
        </w:rPr>
        <w:t xml:space="preserve">J Complement Integr Med</w:t>
      </w:r>
      <w:r>
        <w:t xml:space="preserve"> </w:t>
      </w:r>
      <w:r>
        <w:t xml:space="preserve">2023, PMID 34766483).</w:t>
      </w:r>
    </w:p>
    <w:p>
      <w:pPr>
        <w:pStyle w:val="BodyText"/>
      </w:pPr>
      <w:r>
        <w:rPr>
          <w:b/>
          <w:bCs/>
        </w:rPr>
        <w:t xml:space="preserve">Per te:</w:t>
      </w:r>
      <w:r>
        <w:t xml:space="preserve"> </w:t>
      </w:r>
      <w:r>
        <w:t xml:space="preserve">settantaquattro pazienti in tutto, di cui ventiquattro in un pilota e ventuno senza controllo. Non basta per dire che funziona e non basta per dire che non funziona. Basta per sapere che chiunque ti citi «gli studi» su questo argomento non li ha aperti.</w:t>
      </w:r>
    </w:p>
    <w:p>
      <w:pPr>
        <w:pStyle w:val="BlockText"/>
      </w:pPr>
      <w:r>
        <w:rPr>
          <w:b/>
          <w:bCs/>
        </w:rPr>
        <w:t xml:space="preserve">Attenzione.</w:t>
      </w:r>
      <w:r>
        <w:t xml:space="preserve"> </w:t>
      </w:r>
      <w:r>
        <w:t xml:space="preserve">Ecco il criterio che tiene separati i due conteggi, perché più avanti ne leggerai altri molto più grandi. Nel cerchio 1 entrano solo gli studi in cui</w:t>
      </w:r>
      <w:r>
        <w:t xml:space="preserve"> </w:t>
      </w:r>
      <w:r>
        <w:rPr>
          <w:b/>
          <w:bCs/>
        </w:rPr>
        <w:t xml:space="preserve">l’intervento è trattamento osteopatico</w:t>
      </w:r>
      <w:r>
        <w:t xml:space="preserve"> </w:t>
      </w:r>
      <w:r>
        <w:t xml:space="preserve">e</w:t>
      </w:r>
      <w:r>
        <w:t xml:space="preserve"> </w:t>
      </w:r>
      <w:r>
        <w:rPr>
          <w:b/>
          <w:bCs/>
        </w:rPr>
        <w:t xml:space="preserve">la popolazione è questa</w:t>
      </w:r>
      <w:r>
        <w:t xml:space="preserve">. Massaggio, rilascio miofasciale e manipolazione toracica stanno nel cerchio 2, insieme alle loro centinaia di pazienti: sono interventi diversi su popolazioni diverse. Possono reggere l’etichetta dell’</w:t>
      </w:r>
      <w:r>
        <w:rPr>
          <w:b/>
          <w:bCs/>
        </w:rPr>
        <w:t xml:space="preserve">effetto misurato su quell’intervento</w:t>
      </w:r>
      <w:r>
        <w:t xml:space="preserve">, dichiarato con la sua frase-ponte, mai quella del</w:t>
      </w:r>
      <w:r>
        <w:t xml:space="preserve"> </w:t>
      </w:r>
      <w:r>
        <w:rPr>
          <w:b/>
          <w:bCs/>
        </w:rPr>
        <w:t xml:space="preserve">trattamento osteopatico</w:t>
      </w:r>
      <w:r>
        <w:t xml:space="preserve"> </w:t>
      </w:r>
      <w:r>
        <w:t xml:space="preserve">su questa condizione, che resta ferma ai settantaquattro pazienti. Quando un collega ti chiede «quanti studi ci sono», la risposta onesta è: settantaquattro pazienti sul nostro intervento, molti di più su interventi vicini.</w:t>
      </w:r>
    </w:p>
    <w:p>
      <w:pPr>
        <w:pStyle w:val="FirstParagraph"/>
      </w:pPr>
      <w:r>
        <w:rPr>
          <w:b/>
          <w:bCs/>
        </w:rPr>
        <w:t xml:space="preserve">Cerchio 2 — l’evidenza trasversale sul meccanismo.</w:t>
      </w:r>
      <w:r>
        <w:t xml:space="preserve"> </w:t>
      </w:r>
      <w:r>
        <w:t xml:space="preserve">Ricca, e ogni fonte porta con sé la frase che dichiara il salto.</w:t>
      </w:r>
    </w:p>
    <w:p>
      <w:pPr>
        <w:pStyle w:val="BodyText"/>
      </w:pPr>
      <w:r>
        <w:rPr>
          <w:b/>
          <w:bCs/>
        </w:rPr>
        <w:t xml:space="preserve">Cerchio 3 — la fisiologia</w:t>
      </w:r>
      <w:r>
        <w:t xml:space="preserve">: tissotropia, innervazione della fascia, tono di riposo. Regge il razionale, mai l’efficacia.</w:t>
      </w:r>
    </w:p>
    <w:bookmarkEnd w:id="60"/>
    <w:bookmarkStart w:id="61"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Lakie 2019 (31070959) · c3</w:t>
            </w:r>
          </w:p>
        </w:tc>
        <w:tc>
          <w:tcPr/>
          <w:p>
            <w:pPr>
              <w:pStyle w:val="Compact"/>
            </w:pPr>
            <w:r>
              <w:t xml:space="preserve">Tissotropia, sintesi</w:t>
            </w:r>
          </w:p>
        </w:tc>
        <w:tc>
          <w:tcPr/>
          <w:p>
            <w:pPr>
              <w:pStyle w:val="Compact"/>
            </w:pPr>
            <w:r>
              <w:t xml:space="preserve">Spiegare la rigidità mattutina</w:t>
            </w:r>
          </w:p>
        </w:tc>
      </w:tr>
      <w:tr>
        <w:tc>
          <w:tcPr/>
          <w:p>
            <w:pPr>
              <w:pStyle w:val="Compact"/>
            </w:pPr>
            <w:r>
              <w:t xml:space="preserve">Sakanaka 2016 (26607292) · c3</w:t>
            </w:r>
          </w:p>
        </w:tc>
        <w:tc>
          <w:tcPr/>
          <w:p>
            <w:pPr>
              <w:pStyle w:val="Compact"/>
            </w:pPr>
            <w:r>
              <w:t xml:space="preserve">Rigidità di caviglia, −43%</w:t>
            </w:r>
          </w:p>
        </w:tc>
        <w:tc>
          <w:tcPr/>
          <w:p>
            <w:pPr>
              <w:pStyle w:val="Compact"/>
            </w:pPr>
            <w:r>
              <w:t xml:space="preserve">Non attribuirti il re-test immediato</w:t>
            </w:r>
          </w:p>
        </w:tc>
      </w:tr>
      <w:tr>
        <w:tc>
          <w:tcPr/>
          <w:p>
            <w:pPr>
              <w:pStyle w:val="Compact"/>
            </w:pPr>
            <w:r>
              <w:t xml:space="preserve">Nitta 2025 (40084577) · c2</w:t>
            </w:r>
          </w:p>
        </w:tc>
        <w:tc>
          <w:tcPr/>
          <w:p>
            <w:pPr>
              <w:pStyle w:val="Compact"/>
            </w:pPr>
            <w:r>
              <w:t xml:space="preserve">Elastografia del trapezio, 90 min seduti</w:t>
            </w:r>
          </w:p>
        </w:tc>
        <w:tc>
          <w:tcPr/>
          <w:p>
            <w:pPr>
              <w:pStyle w:val="Compact"/>
            </w:pPr>
            <w:r>
              <w:t xml:space="preserve">Mettere il movimento distribuito al centro</w:t>
            </w:r>
          </w:p>
        </w:tc>
      </w:tr>
      <w:tr>
        <w:tc>
          <w:tcPr/>
          <w:p>
            <w:pPr>
              <w:pStyle w:val="Compact"/>
            </w:pPr>
            <w:r>
              <w:t xml:space="preserve">Jelen 2024 (39253625) · c2</w:t>
            </w:r>
          </w:p>
        </w:tc>
        <w:tc>
          <w:tcPr/>
          <w:p>
            <w:pPr>
              <w:pStyle w:val="Compact"/>
            </w:pPr>
            <w:r>
              <w:t xml:space="preserve">Massaggio 5 settimane, elastografia</w:t>
            </w:r>
          </w:p>
        </w:tc>
        <w:tc>
          <w:tcPr/>
          <w:p>
            <w:pPr>
              <w:pStyle w:val="Compact"/>
            </w:pPr>
            <w:r>
              <w:t xml:space="preserve">Dire che la rigidità misurata si muove con un ciclo, in una porzione di un muscolo, su donne giovani sane</w:t>
            </w:r>
          </w:p>
        </w:tc>
      </w:tr>
      <w:tr>
        <w:tc>
          <w:tcPr/>
          <w:p>
            <w:pPr>
              <w:pStyle w:val="Compact"/>
            </w:pPr>
            <w:r>
              <w:t xml:space="preserve">Freitas 2018 (28801950) · c2</w:t>
            </w:r>
          </w:p>
        </w:tc>
        <w:tc>
          <w:tcPr/>
          <w:p>
            <w:pPr>
              <w:pStyle w:val="Compact"/>
            </w:pPr>
            <w:r>
              <w:t xml:space="preserve">Stretching 3-8 settimane</w:t>
            </w:r>
          </w:p>
        </w:tc>
        <w:tc>
          <w:tcPr/>
          <w:p>
            <w:pPr>
              <w:pStyle w:val="Compact"/>
            </w:pPr>
            <w:r>
              <w:t xml:space="preserve">Spiegare perché lo stretching non basta</w:t>
            </w:r>
          </w:p>
        </w:tc>
      </w:tr>
      <w:tr>
        <w:tc>
          <w:tcPr/>
          <w:p>
            <w:pPr>
              <w:pStyle w:val="Compact"/>
            </w:pPr>
            <w:r>
              <w:t xml:space="preserve">Bidonde 2017 (28636204) · c1</w:t>
            </w:r>
          </w:p>
        </w:tc>
        <w:tc>
          <w:tcPr/>
          <w:p>
            <w:pPr>
              <w:pStyle w:val="Compact"/>
            </w:pPr>
            <w:r>
              <w:t xml:space="preserve">Esercizio aerobico, 13 RCT</w:t>
            </w:r>
          </w:p>
        </w:tc>
        <w:tc>
          <w:tcPr/>
          <w:p>
            <w:pPr>
              <w:pStyle w:val="Compact"/>
            </w:pPr>
            <w:r>
              <w:t xml:space="preserve">Dare spazio all’esercizio</w:t>
            </w:r>
          </w:p>
        </w:tc>
      </w:tr>
      <w:tr>
        <w:tc>
          <w:tcPr/>
          <w:p>
            <w:pPr>
              <w:pStyle w:val="Compact"/>
            </w:pPr>
            <w:r>
              <w:t xml:space="preserve">Macfarlane 2017 (27377815) · c1</w:t>
            </w:r>
          </w:p>
        </w:tc>
        <w:tc>
          <w:tcPr/>
          <w:p>
            <w:pPr>
              <w:pStyle w:val="Compact"/>
            </w:pPr>
            <w:r>
              <w:t xml:space="preserve">Raccomandazioni EULAR</w:t>
            </w:r>
          </w:p>
        </w:tc>
        <w:tc>
          <w:tcPr/>
          <w:p>
            <w:pPr>
              <w:pStyle w:val="Compact"/>
            </w:pPr>
            <w:r>
              <w:t xml:space="preserve">Sapere qual è l’unica leva forte</w:t>
            </w:r>
          </w:p>
        </w:tc>
      </w:tr>
      <w:tr>
        <w:tc>
          <w:tcPr/>
          <w:p>
            <w:pPr>
              <w:pStyle w:val="Compact"/>
            </w:pPr>
            <w:r>
              <w:t xml:space="preserve">Papageorgiou 2002 (12429537) · c1</w:t>
            </w:r>
          </w:p>
        </w:tc>
        <w:tc>
          <w:tcPr/>
          <w:p>
            <w:pPr>
              <w:pStyle w:val="Compact"/>
            </w:pPr>
            <w:r>
              <w:t xml:space="preserve">Decorso a 7 anni, 1386 adulti</w:t>
            </w:r>
          </w:p>
        </w:tc>
        <w:tc>
          <w:tcPr/>
          <w:p>
            <w:pPr>
              <w:pStyle w:val="Compact"/>
            </w:pPr>
            <w:r>
              <w:t xml:space="preserve">Non intestarti l’oscillazione naturale</w:t>
            </w:r>
          </w:p>
        </w:tc>
      </w:tr>
      <w:tr>
        <w:tc>
          <w:tcPr/>
          <w:p>
            <w:pPr>
              <w:pStyle w:val="Compact"/>
            </w:pPr>
            <w:r>
              <w:t xml:space="preserve">Beynon 2018 (30524705) · c2</w:t>
            </w:r>
          </w:p>
        </w:tc>
        <w:tc>
          <w:tcPr/>
          <w:p>
            <w:pPr>
              <w:pStyle w:val="Compact"/>
            </w:pPr>
            <w:r>
              <w:t xml:space="preserve">Accordo fra operatori sulla palpazione</w:t>
            </w:r>
          </w:p>
        </w:tc>
        <w:tc>
          <w:tcPr/>
          <w:p>
            <w:pPr>
              <w:pStyle w:val="Compact"/>
            </w:pPr>
            <w:r>
              <w:t xml:space="preserve">Non usare la durezza come marker</w:t>
            </w:r>
          </w:p>
        </w:tc>
      </w:tr>
    </w:tbl>
    <w:p>
      <w:pPr>
        <w:pStyle w:val="BodyText"/>
      </w:pPr>
      <w:r>
        <w:rPr>
          <w:rStyle w:val="VerbatimChar"/>
        </w:rPr>
        <w:t xml:space="preserve">c1</w:t>
      </w:r>
      <w:r>
        <w:t xml:space="preserve"> </w:t>
      </w:r>
      <w:r>
        <w:t xml:space="preserve">specifico su questa condizione ·</w:t>
      </w:r>
      <w:r>
        <w:t xml:space="preserve"> </w:t>
      </w:r>
      <w:r>
        <w:rPr>
          <w:rStyle w:val="VerbatimChar"/>
        </w:rPr>
        <w:t xml:space="preserve">c2</w:t>
      </w:r>
      <w:r>
        <w:t xml:space="preserve"> </w:t>
      </w:r>
      <w:r>
        <w:t xml:space="preserve">trasversale sul meccanismo ·</w:t>
      </w:r>
      <w:r>
        <w:t xml:space="preserve"> </w:t>
      </w:r>
      <w:r>
        <w:rPr>
          <w:rStyle w:val="VerbatimChar"/>
        </w:rPr>
        <w:t xml:space="preserve">c3</w:t>
      </w:r>
      <w:r>
        <w:t xml:space="preserve"> </w:t>
      </w:r>
      <w:r>
        <w:t xml:space="preserve">fisiologia di base. I settantaquattro pazienti contati sopra sono il</w:t>
      </w:r>
      <w:r>
        <w:t xml:space="preserve"> </w:t>
      </w:r>
      <w:r>
        <w:rPr>
          <w:rStyle w:val="VerbatimChar"/>
        </w:rPr>
        <w:t xml:space="preserve">c1</w:t>
      </w:r>
      <w:r>
        <w:t xml:space="preserve"> </w:t>
      </w:r>
      <w:r>
        <w:rPr>
          <w:b/>
          <w:bCs/>
        </w:rPr>
        <w:t xml:space="preserve">delle nostre mani</w:t>
      </w:r>
      <w:r>
        <w:t xml:space="preserve">, che è un sottoinsieme del</w:t>
      </w:r>
      <w:r>
        <w:t xml:space="preserve"> </w:t>
      </w:r>
      <w:r>
        <w:rPr>
          <w:rStyle w:val="VerbatimChar"/>
        </w:rPr>
        <w:t xml:space="preserve">c1</w:t>
      </w:r>
      <w:r>
        <w:t xml:space="preserve">. Senza questa distinzione la tabella si legge come nove fonti equivalenti, e non lo sono.</w:t>
      </w:r>
    </w:p>
    <w:bookmarkEnd w:id="61"/>
    <w:bookmarkStart w:id="62" w:name="cosa-possiamo-dire"/>
    <w:p>
      <w:pPr>
        <w:pStyle w:val="Heading3"/>
      </w:pPr>
      <w:r>
        <w:t xml:space="preserve">Cosa possiamo dire</w:t>
      </w:r>
    </w:p>
    <w:p>
      <w:pPr>
        <w:pStyle w:val="Compact"/>
        <w:numPr>
          <w:ilvl w:val="0"/>
          <w:numId w:val="1030"/>
        </w:numPr>
      </w:pPr>
      <w:r>
        <w:t xml:space="preserve">Che la rigidità del muscolo rilassato si costruisce con l’immobilità, si riduce con il movimento e si ricostituisce in secondi.</w:t>
      </w:r>
    </w:p>
    <w:p>
      <w:pPr>
        <w:pStyle w:val="Compact"/>
        <w:numPr>
          <w:ilvl w:val="0"/>
          <w:numId w:val="1030"/>
        </w:numPr>
      </w:pPr>
      <w:r>
        <w:t xml:space="preserve">Che sotto carico mentale l’attività elettrica dei muscoli posturali sale, le micro-pause spariscono e la CO2 di fine espirazione scende.</w:t>
      </w:r>
    </w:p>
    <w:p>
      <w:pPr>
        <w:pStyle w:val="Compact"/>
        <w:numPr>
          <w:ilvl w:val="0"/>
          <w:numId w:val="1030"/>
        </w:numPr>
      </w:pPr>
      <w:r>
        <w:t xml:space="preserve">Che nelle persone con</w:t>
      </w:r>
      <w:r>
        <w:t xml:space="preserve"> </w:t>
      </w:r>
      <w:r>
        <w:rPr>
          <w:b/>
          <w:bCs/>
        </w:rPr>
        <w:t xml:space="preserve">lombalgia cronica</w:t>
      </w:r>
      <w:r>
        <w:t xml:space="preserve"> </w:t>
      </w:r>
      <w:r>
        <w:t xml:space="preserve">lo scorrimento fra gli strati della fascia lombare è ridotto di circa un quinto. Confronto fra gruppi, non una causa.</w:t>
      </w:r>
    </w:p>
    <w:p>
      <w:pPr>
        <w:pStyle w:val="Compact"/>
        <w:numPr>
          <w:ilvl w:val="0"/>
          <w:numId w:val="1030"/>
        </w:numPr>
      </w:pPr>
      <w:r>
        <w:t xml:space="preserve">Che un ciclo di massaggio di cinque settimane riduce la rigidità elastografica della</w:t>
      </w:r>
      <w:r>
        <w:t xml:space="preserve"> </w:t>
      </w:r>
      <w:r>
        <w:rPr>
          <w:b/>
          <w:bCs/>
        </w:rPr>
        <w:t xml:space="preserve">porzione prossimale</w:t>
      </w:r>
      <w:r>
        <w:t xml:space="preserve"> </w:t>
      </w:r>
      <w:r>
        <w:t xml:space="preserve">del trapezio superiore in donne giovani sane. Nello stesso studio la porzione distale e l’erettore spinale non si sono mossi.</w:t>
      </w:r>
    </w:p>
    <w:p>
      <w:pPr>
        <w:pStyle w:val="Compact"/>
        <w:numPr>
          <w:ilvl w:val="0"/>
          <w:numId w:val="1030"/>
        </w:numPr>
      </w:pPr>
      <w:r>
        <w:t xml:space="preserve">Che l’esercizio è l’unico intervento con una raccomandazione forte a favore nelle linee guida europee su questa popolazione.</w:t>
      </w:r>
    </w:p>
    <w:p>
      <w:pPr>
        <w:pStyle w:val="Compact"/>
        <w:numPr>
          <w:ilvl w:val="0"/>
          <w:numId w:val="1030"/>
        </w:numPr>
      </w:pPr>
      <w:r>
        <w:t xml:space="preserve">Che il decorso spontaneo del dolore cronico diffuso è descritto, e che a tre anni quattro persone su dieci escono dalla categoria senza essere state trattate.</w:t>
      </w:r>
    </w:p>
    <w:bookmarkEnd w:id="62"/>
    <w:bookmarkStart w:id="63" w:name="cosa-non-possiamo-dire"/>
    <w:p>
      <w:pPr>
        <w:pStyle w:val="Heading3"/>
      </w:pPr>
      <w:r>
        <w:t xml:space="preserve">Cosa non possiamo dire</w:t>
      </w:r>
    </w:p>
    <w:p>
      <w:pPr>
        <w:pStyle w:val="Compact"/>
        <w:numPr>
          <w:ilvl w:val="0"/>
          <w:numId w:val="1031"/>
        </w:numPr>
      </w:pPr>
      <w:r>
        <w:rPr>
          <w:b/>
          <w:bCs/>
        </w:rPr>
        <w:t xml:space="preserve">Che il trattamento manuale osteopatico riduca la rigidità diffusa.</w:t>
      </w:r>
      <w:r>
        <w:t xml:space="preserve"> </w:t>
      </w:r>
      <w:r>
        <w:t xml:space="preserve">Settantaquattro pazienti in tre studi non lo stabiliscono in nessuna direzione.</w:t>
      </w:r>
    </w:p>
    <w:p>
      <w:pPr>
        <w:pStyle w:val="Compact"/>
        <w:numPr>
          <w:ilvl w:val="0"/>
          <w:numId w:val="1031"/>
        </w:numPr>
      </w:pPr>
      <w:r>
        <w:rPr>
          <w:b/>
          <w:bCs/>
        </w:rPr>
        <w:t xml:space="preserve">Che il gesto manuale ripristini lo scorrimento fasciale.</w:t>
      </w:r>
      <w:r>
        <w:t xml:space="preserve"> </w:t>
      </w:r>
      <w:r>
        <w:t xml:space="preserve">Nessuno l’ha misurato prima e dopo, e il solo dato indiretto che abbiamo va nella direzione opposta.</w:t>
      </w:r>
    </w:p>
    <w:p>
      <w:pPr>
        <w:pStyle w:val="Compact"/>
        <w:numPr>
          <w:ilvl w:val="0"/>
          <w:numId w:val="1031"/>
        </w:numPr>
      </w:pPr>
      <w:r>
        <w:rPr>
          <w:b/>
          <w:bCs/>
        </w:rPr>
        <w:t xml:space="preserve">Che il tocco abbassi il livello di attivazione di fondo.</w:t>
      </w:r>
      <w:r>
        <w:t xml:space="preserve"> </w:t>
      </w:r>
      <w:r>
        <w:rPr>
          <w:b/>
          <w:bCs/>
        </w:rPr>
        <w:t xml:space="preserve">Nessuno ha misurato quel livello prima e dopo terapia manuale in questi pazienti</w:t>
      </w:r>
      <w:r>
        <w:t xml:space="preserve">, ed è tutto quello che devi portarti via. Il resto sono i numeri, e vanno dati per intero. La meta-analisi più ampia degli effetti psicofisiologici degli interventi osteopatici raccoglie 20 studi randomizzati. Su ansia e stress non c’è effetto. La conduttanza cutanea</w:t>
      </w:r>
      <w:r>
        <w:t xml:space="preserve"> </w:t>
      </w:r>
      <w:r>
        <w:rPr>
          <w:b/>
          <w:bCs/>
        </w:rPr>
        <w:t xml:space="preserve">aumenta</w:t>
      </w:r>
      <w:r>
        <w:t xml:space="preserve">: g = 0,67, cioè un effetto di dimensione media, con un intervallo che tocca lo zero e una significatività al limite. La depressione si riduce: g = −0,47, e −0,61 nelle popolazioni con dolore (Gordon,</w:t>
      </w:r>
      <w:r>
        <w:t xml:space="preserve"> </w:t>
      </w:r>
      <w:r>
        <w:rPr>
          <w:i/>
          <w:iCs/>
        </w:rPr>
        <w:t xml:space="preserve">BMJ Open</w:t>
      </w:r>
      <w:r>
        <w:t xml:space="preserve"> </w:t>
      </w:r>
      <w:r>
        <w:t xml:space="preserve">2025, PMID 39920074). Sulla conduttanza serve una precisazione che si sente spesso storta. Quella misura ha</w:t>
      </w:r>
      <w:r>
        <w:t xml:space="preserve"> </w:t>
      </w:r>
      <w:r>
        <w:rPr>
          <w:b/>
          <w:bCs/>
        </w:rPr>
        <w:t xml:space="preserve">due componenti</w:t>
      </w:r>
      <w:r>
        <w:t xml:space="preserve">: un livello di fondo lento, e una risposta rapida al singolo stimolo. La difesa classica dice che nella terapia manuale l’aumento accompagna l’ipoalgesia invece di escluderla (Vicenzino,</w:t>
      </w:r>
      <w:r>
        <w:t xml:space="preserve"> </w:t>
      </w:r>
      <w:r>
        <w:rPr>
          <w:i/>
          <w:iCs/>
        </w:rPr>
        <w:t xml:space="preserve">JMPT</w:t>
      </w:r>
      <w:r>
        <w:t xml:space="preserve"> </w:t>
      </w:r>
      <w:r>
        <w:t xml:space="preserve">1998, PMID 9777544; Sterling,</w:t>
      </w:r>
      <w:r>
        <w:t xml:space="preserve"> </w:t>
      </w:r>
      <w:r>
        <w:rPr>
          <w:i/>
          <w:iCs/>
        </w:rPr>
        <w:t xml:space="preserve">Man Ther</w:t>
      </w:r>
      <w:r>
        <w:t xml:space="preserve"> </w:t>
      </w:r>
      <w:r>
        <w:t xml:space="preserve">2001, PMID 11414776). Quella difesa vale per la</w:t>
      </w:r>
      <w:r>
        <w:t xml:space="preserve"> </w:t>
      </w:r>
      <w:r>
        <w:rPr>
          <w:b/>
          <w:bCs/>
        </w:rPr>
        <w:t xml:space="preserve">risposta allo stimolo</w:t>
      </w:r>
      <w:r>
        <w:t xml:space="preserve">, non per il livello di fondo. Sul livello di fondo il poco che è stato aggregato va contro di noi, ed è precisamente ciò che rende onesta l’etichetta IPOTESI.</w:t>
      </w:r>
    </w:p>
    <w:p>
      <w:pPr>
        <w:pStyle w:val="Compact"/>
        <w:numPr>
          <w:ilvl w:val="0"/>
          <w:numId w:val="1031"/>
        </w:numPr>
      </w:pPr>
      <w:r>
        <w:rPr>
          <w:b/>
          <w:bCs/>
        </w:rPr>
        <w:t xml:space="preserve">Che il paziente «senta troppo il proprio corpo».</w:t>
      </w:r>
      <w:r>
        <w:t xml:space="preserve"> </w:t>
      </w:r>
      <w:r>
        <w:t xml:space="preserve">È la frase più diffusa e la meno sostenuta.</w:t>
      </w:r>
    </w:p>
    <w:p>
      <w:pPr>
        <w:pStyle w:val="Compact"/>
        <w:numPr>
          <w:ilvl w:val="0"/>
          <w:numId w:val="1031"/>
        </w:numPr>
      </w:pPr>
      <w:r>
        <w:rPr>
          <w:b/>
          <w:bCs/>
        </w:rPr>
        <w:t xml:space="preserve">Che il meteo spieghi il quadro.</w:t>
      </w:r>
      <w:r>
        <w:t xml:space="preserve"> </w:t>
      </w:r>
      <w:r>
        <w:t xml:space="preserve">Circa una persona su dieci con dolore cronico è sensibile alla temperatura, e la direzione cambia da persona a persona.</w:t>
      </w:r>
    </w:p>
    <w:p>
      <w:pPr>
        <w:pStyle w:val="Compact"/>
        <w:numPr>
          <w:ilvl w:val="0"/>
          <w:numId w:val="1031"/>
        </w:numPr>
      </w:pPr>
      <w:r>
        <w:rPr>
          <w:b/>
          <w:bCs/>
        </w:rPr>
        <w:t xml:space="preserve">Che la terapia manuale su questa popolazione sia raccomandabile.</w:t>
      </w:r>
      <w:r>
        <w:t xml:space="preserve"> </w:t>
      </w:r>
      <w:r>
        <w:t xml:space="preserve">Sette studi randomizzati e 368 pazienti</w:t>
      </w:r>
      <w:r>
        <w:t xml:space="preserve"> </w:t>
      </w:r>
      <w:r>
        <w:rPr>
          <w:b/>
          <w:bCs/>
        </w:rPr>
        <w:t xml:space="preserve">sono stati fatti</w:t>
      </w:r>
      <w:r>
        <w:t xml:space="preserve">, con qualità delle prove da molto bassa a moderata. La conclusione degli autori è che l’evidenza è</w:t>
      </w:r>
      <w:r>
        <w:t xml:space="preserve"> </w:t>
      </w:r>
      <w:r>
        <w:rPr>
          <w:b/>
          <w:bCs/>
        </w:rPr>
        <w:t xml:space="preserve">inconcludente e insufficiente a raccomandarne l’uso</w:t>
      </w:r>
      <w:r>
        <w:t xml:space="preserve">. Nella stessa revisione l’unica modalità che ha ottenuto un miglioramento del dolore clinicamente rilevante rispetto al controllo è il</w:t>
      </w:r>
      <w:r>
        <w:t xml:space="preserve"> </w:t>
      </w:r>
      <w:r>
        <w:rPr>
          <w:b/>
          <w:bCs/>
        </w:rPr>
        <w:t xml:space="preserve">trattamento osteopatico generale</w:t>
      </w:r>
      <w:r>
        <w:t xml:space="preserve"> </w:t>
      </w:r>
      <w:r>
        <w:t xml:space="preserve">(Schulze, PMID 32967389). Le due metà si danno insieme o non si danno. Misurato su pazienti con diagnosi di fibromialgia e su terapia manuale in senso largo, non sul nostro pacchetto e non su tutti quelli con rigidità diffusa. E il verso di questa fonte è contro di noi, non a favore.</w:t>
      </w:r>
    </w:p>
    <w:p>
      <w:pPr>
        <w:pStyle w:val="Compact"/>
        <w:numPr>
          <w:ilvl w:val="0"/>
          <w:numId w:val="1031"/>
        </w:numPr>
      </w:pPr>
      <w:r>
        <w:rPr>
          <w:b/>
          <w:bCs/>
        </w:rPr>
        <w:t xml:space="preserve">Che l’ipoalgesia da terapia manuale sia una via stabilita.</w:t>
      </w:r>
      <w:r>
        <w:t xml:space="preserve"> </w:t>
      </w:r>
      <w:r>
        <w:t xml:space="preserve">Trenta revisioni sistematiche, undici con meta-analisi: evidenza</w:t>
      </w:r>
      <w:r>
        <w:t xml:space="preserve"> </w:t>
      </w:r>
      <w:r>
        <w:rPr>
          <w:b/>
          <w:bCs/>
        </w:rPr>
        <w:t xml:space="preserve">conflittuale</w:t>
      </w:r>
      <w:r>
        <w:t xml:space="preserve">, qualità metodologica</w:t>
      </w:r>
      <w:r>
        <w:t xml:space="preserve"> </w:t>
      </w:r>
      <w:r>
        <w:rPr>
          <w:b/>
          <w:bCs/>
        </w:rPr>
        <w:t xml:space="preserve">da bassa a criticamente bassa</w:t>
      </w:r>
      <w:r>
        <w:t xml:space="preserve"> </w:t>
      </w:r>
      <w:r>
        <w:t xml:space="preserve">(Rodgers, PMID 37908101). Misurata con test sensoriali su popolazioni muscoloscheletriche varie, non su questi pazienti — e la sintesi di livello più alto che esiste su questa via non conclude a nostro favore.</w:t>
      </w:r>
    </w:p>
    <w:p>
      <w:pPr>
        <w:pStyle w:val="Compact"/>
        <w:numPr>
          <w:ilvl w:val="0"/>
          <w:numId w:val="1031"/>
        </w:numPr>
      </w:pPr>
      <w:r>
        <w:rPr>
          <w:b/>
          <w:bCs/>
        </w:rPr>
        <w:t xml:space="preserve">Che un miglioramento a sei settimane nel tuo studio sia attribuibile a te.</w:t>
      </w:r>
      <w:r>
        <w:t xml:space="preserve"> </w:t>
      </w:r>
      <w:r>
        <w:t xml:space="preserve">Nel braccio</w:t>
      </w:r>
      <w:r>
        <w:t xml:space="preserve"> </w:t>
      </w:r>
      <w:r>
        <w:rPr>
          <w:b/>
          <w:bCs/>
        </w:rPr>
        <w:t xml:space="preserve">placebo</w:t>
      </w:r>
      <w:r>
        <w:t xml:space="preserve"> </w:t>
      </w:r>
      <w:r>
        <w:t xml:space="preserve">di 30 studi randomizzati e 3.846 pazienti, il 30,8% ha ottenuto una riduzione del dolore ≥30% e il 18,8% ≥50% (Häuser, PMID 22120916). Misurato nei bracci placebo di studi farmacologici su pazienti con fibromialgia, non su terapia manuale e non su questi pazienti: dice quanto è grande la quota non specifica, non che il tuo lavoro sia quella quota.</w:t>
      </w:r>
    </w:p>
    <w:p>
      <w:pPr>
        <w:pStyle w:val="Compact"/>
        <w:numPr>
          <w:ilvl w:val="0"/>
          <w:numId w:val="1031"/>
        </w:numPr>
      </w:pPr>
      <w:r>
        <w:rPr>
          <w:b/>
          <w:bCs/>
        </w:rPr>
        <w:t xml:space="preserve">Che l’educazione al dolore abbia prove sufficienti per stare fra gli strumenti che consegni.</w:t>
      </w:r>
      <w:r>
        <w:t xml:space="preserve"> </w:t>
      </w:r>
      <w:r>
        <w:t xml:space="preserve">Otto revisioni sistematiche e trenta meta-analisi danno risultati incoerenti fra revisioni che coprono lo stesso esito, con qualità metodologica</w:t>
      </w:r>
      <w:r>
        <w:t xml:space="preserve"> </w:t>
      </w:r>
      <w:r>
        <w:rPr>
          <w:b/>
          <w:bCs/>
        </w:rPr>
        <w:t xml:space="preserve">criticamente bassa</w:t>
      </w:r>
      <w:r>
        <w:t xml:space="preserve"> </w:t>
      </w:r>
      <w:r>
        <w:t xml:space="preserve">in tutte. Gli autori concludono che è impossibile formulare raccomandazioni cliniche chiare (Martinez-Calderon, PMID 37161889). Misurato sul dolore cronico in generale, non su questi pazienti: è la ragione documentata per cui quella famiglia non apre uno strumento nel capitolo che segue.</w:t>
      </w:r>
    </w:p>
    <w:bookmarkEnd w:id="63"/>
    <w:bookmarkStart w:id="64" w:name="quando-la-scienza-tace"/>
    <w:p>
      <w:pPr>
        <w:pStyle w:val="Heading3"/>
      </w:pPr>
      <w:r>
        <w:t xml:space="preserve">Quando la scienza tace</w:t>
      </w:r>
    </w:p>
    <w:p>
      <w:pPr>
        <w:pStyle w:val="FirstParagraph"/>
      </w:pPr>
      <w:r>
        <w:t xml:space="preserve">Su questo quadro la letteratura specifica è sottile, e la conclusione onesta non è che allora non si tratta.</w:t>
      </w:r>
    </w:p>
    <w:p>
      <w:pPr>
        <w:pStyle w:val="BodyText"/>
      </w:pPr>
      <w:r>
        <w:rPr>
          <w:b/>
          <w:bCs/>
        </w:rPr>
        <w:t xml:space="preserve">1. Assenza di prove non è prova di assenza.</w:t>
      </w:r>
      <w:r>
        <w:t xml:space="preserve"> </w:t>
      </w:r>
      <w:r>
        <w:t xml:space="preserve">Che nessuno abbia fatto uno studio randomizzato serio sul trattamento manuale della rigidità diffusa non dice niente sulla sua efficacia: dice che nessuno l’ha misurata.</w:t>
      </w:r>
    </w:p>
    <w:p>
      <w:pPr>
        <w:pStyle w:val="BodyText"/>
      </w:pPr>
      <w:r>
        <w:rPr>
          <w:b/>
          <w:bCs/>
        </w:rPr>
        <w:t xml:space="preserve">2. Perché quella letteratura non esiste.</w:t>
      </w:r>
      <w:r>
        <w:t xml:space="preserve"> </w:t>
      </w:r>
      <w:r>
        <w:t xml:space="preserve">Prima di tutto perché</w:t>
      </w:r>
      <w:r>
        <w:t xml:space="preserve"> </w:t>
      </w:r>
      <w:r>
        <w:rPr>
          <w:b/>
          <w:bCs/>
        </w:rPr>
        <w:t xml:space="preserve">manca l’esito</w:t>
      </w:r>
      <w:r>
        <w:t xml:space="preserve">. Non esiste una misura standard di «rigidità diffusa». Gli studi usano una scala soggettiva da 0 a 100, dentro un questionario costruito per la fibromialgia. L’elastografia misura un muscolo alla volta. E la palpazione, che sarebbe la misura naturale, dipende da chi la fa. Senza un esito misurabile non si finanzia uno studio.</w:t>
      </w:r>
    </w:p>
    <w:p>
      <w:pPr>
        <w:pStyle w:val="BodyText"/>
      </w:pPr>
      <w:r>
        <w:t xml:space="preserve">Ma c’è una seconda ragione, e va detta perché cambia che cosa prometti:</w:t>
      </w:r>
      <w:r>
        <w:t xml:space="preserve"> </w:t>
      </w:r>
      <w:r>
        <w:rPr>
          <w:b/>
          <w:bCs/>
        </w:rPr>
        <w:t xml:space="preserve">il silenzio riguarda il nostro pacchetto, non il campo.</w:t>
      </w:r>
      <w:r>
        <w:t xml:space="preserve"> </w:t>
      </w:r>
      <w:r>
        <w:t xml:space="preserve">Sulla terapia manuale in senso largo in questa popolazione gli studi ci sono stati, e sulla via ipoalgesica pure. Entrambe le sintesi sono riportate per intero in «Cosa non possiamo dire», qui sopra, e nessuna delle due conclude a nostro favore. Qui non stai riempiendo un silenzio: stai lavorando accanto a una letteratura che, su interventi vicini al tuo, ha già detto «non basta».</w:t>
      </w:r>
    </w:p>
    <w:p>
      <w:pPr>
        <w:pStyle w:val="BodyText"/>
      </w:pPr>
      <w:r>
        <w:rPr>
          <w:b/>
          <w:bCs/>
        </w:rPr>
        <w:t xml:space="preserve">3. Su cosa ti basi allora.</w:t>
      </w:r>
      <w:r>
        <w:t xml:space="preserve"> </w:t>
      </w:r>
      <w:r>
        <w:t xml:space="preserve">Sul</w:t>
      </w:r>
      <w:r>
        <w:t xml:space="preserve"> </w:t>
      </w:r>
      <w:r>
        <w:rPr>
          <w:b/>
          <w:bCs/>
        </w:rPr>
        <w:t xml:space="preserve">meccanismo fisiologico</w:t>
      </w:r>
      <w:r>
        <w:t xml:space="preserve">, qui documentato meglio della media, perché la tissotropia è misurata direttamente nell’uomo. Sul</w:t>
      </w:r>
      <w:r>
        <w:t xml:space="preserve"> </w:t>
      </w:r>
      <w:r>
        <w:rPr>
          <w:b/>
          <w:bCs/>
        </w:rPr>
        <w:t xml:space="preserve">ragionamento clinico</w:t>
      </w:r>
      <w:r>
        <w:t xml:space="preserve">, dichiarato come tale. E sulla</w:t>
      </w:r>
      <w:r>
        <w:t xml:space="preserve"> </w:t>
      </w:r>
      <w:r>
        <w:rPr>
          <w:b/>
          <w:bCs/>
        </w:rPr>
        <w:t xml:space="preserve">verifica sul singolo paziente</w:t>
      </w:r>
      <w:r>
        <w:t xml:space="preserve">, con un marker scelto</w:t>
      </w:r>
      <w:r>
        <w:t xml:space="preserve"> </w:t>
      </w:r>
      <w:r>
        <w:rPr>
          <w:b/>
          <w:bCs/>
        </w:rPr>
        <w:t xml:space="preserve">prima</w:t>
      </w:r>
      <w:r>
        <w:t xml:space="preserve"> </w:t>
      </w:r>
      <w:r>
        <w:t xml:space="preserve">e una soglia dichiarata prima di vedere il risultato. Insieme a quella verifica ti serve sapere</w:t>
      </w:r>
      <w:r>
        <w:t xml:space="preserve"> </w:t>
      </w:r>
      <w:r>
        <w:rPr>
          <w:b/>
          <w:bCs/>
        </w:rPr>
        <w:t xml:space="preserve">quanto è grande la quota che si muove da sola</w:t>
      </w:r>
      <w:r>
        <w:t xml:space="preserve">: in questa popolazione, nel solo braccio placebo, un paziente su tre migliora del 30% (Häuser, PMID 22120916). Senza quel numero, il «rimisuriamo a sei settimane» è una verifica che non sa contro che cosa si sta misurando.</w:t>
      </w:r>
    </w:p>
    <w:p>
      <w:pPr>
        <w:pStyle w:val="BodyText"/>
      </w:pPr>
      <w:r>
        <w:rPr>
          <w:b/>
          <w:bCs/>
        </w:rPr>
        <w:t xml:space="preserve">4. Cosa separa questo dal pensiero magico.</w:t>
      </w:r>
      <w:r>
        <w:t xml:space="preserve"> </w:t>
      </w:r>
      <w:r>
        <w:t xml:space="preserve">La verifica, e nient’altro. Scegliere il marker prima di trattare, dichiarare la soglia sotto cui non conta, e accettare il verdetto: è scienza applicata a un caso singolo. Sceglierlo dopo aver visto il paziente muoversi meglio, no.</w:t>
      </w:r>
    </w:p>
    <w:p>
      <w:pPr>
        <w:pStyle w:val="BodyText"/>
      </w:pPr>
      <w:r>
        <w:rPr>
          <w:b/>
          <w:bCs/>
        </w:rPr>
        <w:t xml:space="preserve">5. Cosa questo non autorizza.</w:t>
      </w:r>
      <w:r>
        <w:t xml:space="preserve"> </w:t>
      </w:r>
      <w:r>
        <w:t xml:space="preserve">Non a promettere un esito. Non a scrivere DIMOSTRATO dove c’è IPOTESI. Non a dire al paziente che «gli studi lo confermano», perché su quello che fai tu non lo confermano.</w:t>
      </w:r>
    </w:p>
    <w:p>
      <w:pPr>
        <w:pStyle w:val="BodyText"/>
      </w:pPr>
      <w:r>
        <w:t xml:space="preserve">E c’è una cosa che va registrata insieme alle assenze, perché un capitolo che elenca solo ciò che manca non è onesto ma pessimista:</w:t>
      </w:r>
      <w:r>
        <w:t xml:space="preserve"> </w:t>
      </w:r>
      <w:r>
        <w:rPr>
          <w:b/>
          <w:bCs/>
        </w:rPr>
        <w:t xml:space="preserve">la rigidità misurata con l’elastografia si è mossa in uno studio randomizzato di terapia manuale</w:t>
      </w:r>
      <w:r>
        <w:t xml:space="preserve">. Con tutti i suoi limiti, sta nel prossimo capitolo.</w:t>
      </w:r>
    </w:p>
    <w:p>
      <w:pPr>
        <w:pStyle w:val="BodyText"/>
      </w:pPr>
      <w:r>
        <w:rPr>
          <w:b/>
          <w:bCs/>
        </w:rPr>
        <w:t xml:space="preserve">Le tre cose da ricordare, più una</w:t>
      </w:r>
    </w:p>
    <w:p>
      <w:pPr>
        <w:pStyle w:val="Compact"/>
        <w:numPr>
          <w:ilvl w:val="0"/>
          <w:numId w:val="1032"/>
        </w:numPr>
      </w:pPr>
      <w:r>
        <w:t xml:space="preserve">Il cerchio 1 su questa condizione sono settantaquattro pazienti. Chiunque ti dica il contrario non ha aperto gli abstract.</w:t>
      </w:r>
    </w:p>
    <w:p>
      <w:pPr>
        <w:pStyle w:val="Compact"/>
        <w:numPr>
          <w:ilvl w:val="0"/>
          <w:numId w:val="1032"/>
        </w:numPr>
      </w:pPr>
      <w:r>
        <w:t xml:space="preserve">Il cerchio 2 è ricco: può reggere l’etichetta dell’effetto misurato su quell’intervento, mai quella del trattamento osteopatico su questa condizione.</w:t>
      </w:r>
    </w:p>
    <w:p>
      <w:pPr>
        <w:pStyle w:val="Compact"/>
        <w:numPr>
          <w:ilvl w:val="0"/>
          <w:numId w:val="1032"/>
        </w:numPr>
      </w:pPr>
      <w:r>
        <w:t xml:space="preserve">Non esiste una misura standard di rigidità diffusa, ed è il motivo per cui la letteratura manca: il buco è nell’esito, non nell’interesse.</w:t>
      </w:r>
    </w:p>
    <w:p>
      <w:pPr>
        <w:pStyle w:val="Compact"/>
        <w:numPr>
          <w:ilvl w:val="0"/>
          <w:numId w:val="1032"/>
        </w:numPr>
      </w:pPr>
      <w:r>
        <w:rPr>
          <w:b/>
          <w:bCs/>
        </w:rPr>
        <w:t xml:space="preserve">Perché ci sei tu.</w:t>
      </w:r>
      <w:r>
        <w:t xml:space="preserve"> </w:t>
      </w:r>
      <w:r>
        <w:t xml:space="preserve">Tutta la letteratura osteopatica su questo quadro è di</w:t>
      </w:r>
      <w:r>
        <w:t xml:space="preserve"> </w:t>
      </w:r>
      <w:r>
        <w:rPr>
          <w:b/>
          <w:bCs/>
        </w:rPr>
        <w:t xml:space="preserve">settantaquattro pazienti in tre studi</w:t>
      </w:r>
      <w:r>
        <w:t xml:space="preserve"> </w:t>
      </w:r>
      <w:r>
        <w:t xml:space="preserve">(Gamber 2002, PMID 12090649; Marske 2018, PMID 29298077; Dal Farra 2023, PMID 34766483). Questo ti autorizza a dire con precisione quanto poco si sa, e a difendere il tuo lavoro sul meccanismo e sulla verifica. Non ti autorizza a dire che funziona.</w:t>
      </w:r>
    </w:p>
    <w:p>
      <w:r>
        <w:pict>
          <v:rect style="width:0;height:1.5pt" o:hralign="center" o:hrstd="t" o:hr="t"/>
        </w:pict>
      </w:r>
    </w:p>
    <w:bookmarkEnd w:id="64"/>
    <w:bookmarkEnd w:id="65"/>
    <w:bookmarkStart w:id="74"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su tre dei cinque meccanismi la mano ha un razionale e un dato; su due non ce l’ha, e conviene dirlo per primo.</w:t>
      </w:r>
    </w:p>
    <w:bookmarkStart w:id="66" w:name="X7b24e6ae9a1bd1d2ae9eefaef88af03186ef945"/>
    <w:p>
      <w:pPr>
        <w:pStyle w:val="Heading3"/>
      </w:pPr>
      <w:r>
        <w:t xml:space="preserve">Cosa non possono fare le mani, detto per primo</w:t>
      </w:r>
    </w:p>
    <w:p>
      <w:pPr>
        <w:pStyle w:val="FirstParagraph"/>
      </w:pPr>
      <w:r>
        <w:t xml:space="preserve">Non possono impedire alla rigidità di ricostruirsi. Il primo meccanismo si ricostituisce in secondi, e nessuna seduta lo raggiunge lì: chi promette di «sciogliere» un corpo che si irrigidisce da solo tutto il giorno sta vendendo un abbonamento.</w:t>
      </w:r>
    </w:p>
    <w:p>
      <w:pPr>
        <w:pStyle w:val="BodyText"/>
      </w:pPr>
      <w:r>
        <w:t xml:space="preserve">E non possono spostare la soglia del pattern C con la sola intensità: su quel paziente aumentare la pressione peggiora.</w:t>
      </w:r>
    </w:p>
    <w:bookmarkEnd w:id="66"/>
    <w:bookmarkStart w:id="67" w:name="meccanismo-1-la-rigidità-da-immobilità"/>
    <w:p>
      <w:pPr>
        <w:pStyle w:val="Heading3"/>
      </w:pPr>
      <w:r>
        <w:t xml:space="preserve">Meccanismo 1 — la rigidità da immobilità</w:t>
      </w:r>
    </w:p>
    <w:p>
      <w:pPr>
        <w:pStyle w:val="FirstParagraph"/>
      </w:pPr>
      <w:r>
        <w:rPr>
          <w:b/>
          <w:bCs/>
        </w:rPr>
        <w:t xml:space="preserve">Su cosa può agire una mano.</w:t>
      </w:r>
      <w:r>
        <w:t xml:space="preserve"> </w:t>
      </w:r>
      <w:r>
        <w:t xml:space="preserve">Sul muscolo e sull’articolazione che stanno fermi, imponendo il movimento che il paziente non fa.</w:t>
      </w:r>
      <w:r>
        <w:t xml:space="preserve"> </w:t>
      </w:r>
      <w:r>
        <w:rPr>
          <w:b/>
          <w:bCs/>
        </w:rPr>
        <w:t xml:space="preserve">Che effetto ci si aspetta.</w:t>
      </w:r>
      <w:r>
        <w:t xml:space="preserve"> </w:t>
      </w:r>
      <w:r>
        <w:t xml:space="preserve">Un calo della rigidità passiva nei distretti mobilizzati, e un guadagno di escursione che il paziente sente subito.</w:t>
      </w:r>
      <w:r>
        <w:t xml:space="preserve"> </w:t>
      </w:r>
      <w:r>
        <w:rPr>
          <w:b/>
          <w:bCs/>
        </w:rPr>
        <w:t xml:space="preserve">In quanto tempo si vedrebbe.</w:t>
      </w:r>
      <w:r>
        <w:t xml:space="preserve"> </w:t>
      </w:r>
      <w:r>
        <w:t xml:space="preserve">Dentro la seduta.</w:t>
      </w:r>
      <w:r>
        <w:t xml:space="preserve"> </w:t>
      </w:r>
      <w:r>
        <w:rPr>
          <w:b/>
          <w:bCs/>
        </w:rPr>
        <w:t xml:space="preserve">E in quanto tempo svanisce.</w:t>
      </w:r>
      <w:r>
        <w:t xml:space="preserve"> </w:t>
      </w:r>
      <w:r>
        <w:t xml:space="preserve">In secondi, appena il paziente si ferma. È la domanda che va fatta a ogni leva, e su questa la risposta è la più scomoda del capitolo.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il movimento riduca la rigidità passiva — fino al 43%, in dieci soggetti sani (Sakanaka, 2016, PMID 26607292).</w:t>
      </w:r>
      <w:r>
        <w:t xml:space="preserve"> </w:t>
      </w:r>
      <w:r>
        <w:rPr>
          <w:b/>
          <w:bCs/>
        </w:rPr>
        <w:t xml:space="preserve">E qui il dato è a tuo sfavore quanto a tuo favore.</w:t>
      </w:r>
      <w:r>
        <w:t xml:space="preserve"> </w:t>
      </w:r>
      <w:r>
        <w:t xml:space="preserve">Il calo lo produce il movimento in sé, quindi non dimostra niente sul tuo gesto in particolare, e si ricostituisce in una quindicina di secondi di immobilità. È l’effetto più affidabile che hai, il meno specifico, e il più breve. Tutto ciò che dura oltre i secondi non è tissotropia.</w:t>
      </w:r>
    </w:p>
    <w:bookmarkEnd w:id="67"/>
    <w:bookmarkStart w:id="68" w:name="meccanismo-2-il-carico-mentale"/>
    <w:p>
      <w:pPr>
        <w:pStyle w:val="Heading3"/>
      </w:pPr>
      <w:r>
        <w:t xml:space="preserve">Meccanismo 2 — il carico mentale</w:t>
      </w:r>
    </w:p>
    <w:p>
      <w:pPr>
        <w:pStyle w:val="FirstParagraph"/>
      </w:pPr>
      <w:r>
        <w:rPr>
          <w:b/>
          <w:bCs/>
        </w:rPr>
        <w:t xml:space="preserve">Su cosa può agire una mano.</w:t>
      </w:r>
      <w:r>
        <w:t xml:space="preserve"> </w:t>
      </w:r>
      <w:r>
        <w:t xml:space="preserve">Sul ritmo. Contatto lento, tempo di appoggio lungo, ampiezza toracica, respiro accompagnato.</w:t>
      </w:r>
      <w:r>
        <w:t xml:space="preserve"> </w:t>
      </w:r>
      <w:r>
        <w:rPr>
          <w:b/>
          <w:bCs/>
        </w:rPr>
        <w:t xml:space="preserve">Che effetto ci si aspetta.</w:t>
      </w:r>
      <w:r>
        <w:t xml:space="preserve"> </w:t>
      </w:r>
      <w:r>
        <w:t xml:space="preserve">Un abbassamento del livello di attivazione durante la seduta, con tessuto meno reattivo al contatto.</w:t>
      </w:r>
      <w:r>
        <w:t xml:space="preserve"> </w:t>
      </w:r>
      <w:r>
        <w:rPr>
          <w:b/>
          <w:bCs/>
        </w:rPr>
        <w:t xml:space="preserve">In quanto tempo si vedrebbe.</w:t>
      </w:r>
      <w:r>
        <w:t xml:space="preserve"> </w:t>
      </w:r>
      <w:r>
        <w:t xml:space="preserve">Dentro la seduta per lo stato; sul tempo di sblocco mattutino, se si sposta, in settimane.</w:t>
      </w:r>
    </w:p>
    <w:p>
      <w:pPr>
        <w:pStyle w:val="BlockText"/>
      </w:pPr>
      <w:r>
        <w:rPr>
          <w:b/>
          <w:bCs/>
        </w:rPr>
        <w:t xml:space="preserve">Quanto è solido:</w:t>
      </w:r>
      <w:r>
        <w:t xml:space="preserve"> </w:t>
      </w:r>
      <w:r>
        <w:t xml:space="preserve">l’etichetta si spezza.</w:t>
      </w:r>
      <w:r>
        <w:t xml:space="preserve"> </w:t>
      </w:r>
      <w:r>
        <w:rPr>
          <w:b/>
          <w:bCs/>
        </w:rPr>
        <w:t xml:space="preserve">IPOTESI</w:t>
      </w:r>
      <w:r>
        <w:t xml:space="preserve"> </w:t>
      </w:r>
      <w:r>
        <w:rPr>
          <w:i/>
          <w:iCs/>
        </w:rPr>
        <w:t xml:space="preserve">(meccanismo coerente, nessuno studio)</w:t>
      </w:r>
      <w:r>
        <w:t xml:space="preserve"> </w:t>
      </w:r>
      <w:r>
        <w:t xml:space="preserve">sull’effetto: nessuno ha misurato il livello di attivazione di fondo prima e dopo terapia manuale in questi pazienti. Sul dato di Gordon 2025 e sulle due componenti della conduttanza cutanea vale per intero quello che è scritto nel capitolo precedente: sul livello di fondo il poco che esiste va contro, e l’etichetta è IPOTESI proprio per questo.</w:t>
      </w:r>
      <w:r>
        <w:t xml:space="preserve"> </w:t>
      </w:r>
      <w:r>
        <w:rPr>
          <w:b/>
          <w:bCs/>
        </w:rPr>
        <w:t xml:space="preserve">IPOTESI</w:t>
      </w:r>
      <w:r>
        <w:t xml:space="preserve"> </w:t>
      </w:r>
      <w:r>
        <w:rPr>
          <w:i/>
          <w:iCs/>
        </w:rPr>
        <w:t xml:space="preserve">(meccanismo coerente, nessuno studio)</w:t>
      </w:r>
      <w:r>
        <w:t xml:space="preserve"> </w:t>
      </w:r>
      <w:r>
        <w:t xml:space="preserve">anche su quello che il paziente prova sotto quel contatto, e qui il dato disponibile è scomodo. Pazienti con fibromialgia hanno valutato</w:t>
      </w:r>
      <w:r>
        <w:t xml:space="preserve"> </w:t>
      </w:r>
      <w:r>
        <w:rPr>
          <w:b/>
          <w:bCs/>
        </w:rPr>
        <w:t xml:space="preserve">meno piacevole</w:t>
      </w:r>
      <w:r>
        <w:t xml:space="preserve"> </w:t>
      </w:r>
      <w:r>
        <w:t xml:space="preserve">dei controlli sia lo spazzolamento lento, quello che attiva in modo ottimale le</w:t>
      </w:r>
      <w:r>
        <w:t xml:space="preserve"> </w:t>
      </w:r>
      <w:r>
        <w:rPr>
          <w:b/>
          <w:bCs/>
        </w:rPr>
        <w:t xml:space="preserve">fibre C-tattili</w:t>
      </w:r>
      <w:r>
        <w:t xml:space="preserve">, i recettori della pelle che rispondono alla carezza lenta, sia quello veloce. L’elaborazione sensoriale precoce era</w:t>
      </w:r>
      <w:r>
        <w:t xml:space="preserve"> </w:t>
      </w:r>
      <w:r>
        <w:rPr>
          <w:b/>
          <w:bCs/>
        </w:rPr>
        <w:t xml:space="preserve">intatta</w:t>
      </w:r>
      <w:r>
        <w:t xml:space="preserve">, e a essere alterata era la valutazione (Boehme, PMID 32443443). Misurato su una coorte di pazienti con fibromialgia in risonanza, non su pazienti con rigidità diffusa in seduta: dice che non puoi dare per scontato che il tocco lento sia gradevole, non che sia controproducente.</w:t>
      </w:r>
    </w:p>
    <w:p>
      <w:pPr>
        <w:pStyle w:val="FirstParagraph"/>
      </w:pPr>
      <w:r>
        <w:rPr>
          <w:b/>
          <w:bCs/>
        </w:rPr>
        <w:t xml:space="preserve">Questo non è un vicolo cieco.</w:t>
      </w:r>
      <w:r>
        <w:t xml:space="preserve"> </w:t>
      </w:r>
      <w:r>
        <w:t xml:space="preserve">Se in un paziente comanda il livello di attivazione, l’attivazione</w:t>
      </w:r>
      <w:r>
        <w:t xml:space="preserve"> </w:t>
      </w:r>
      <w:r>
        <w:rPr>
          <w:b/>
          <w:bCs/>
        </w:rPr>
        <w:t xml:space="preserve">è il bersaglio</w:t>
      </w:r>
      <w:r>
        <w:t xml:space="preserve">, e la leva ce l’hai: contatto lento, ritmo del respiro, tempo dedicato. È lavoro manuale a tutti gli effetti, mirato altrove. Porta l’etichetta IPOTESI, né una di più né una di meno, e il pezzo che regge DIMOSTRATO — il respiro lento — è quello che gli insegni.</w:t>
      </w:r>
    </w:p>
    <w:bookmarkEnd w:id="68"/>
    <w:bookmarkStart w:id="69" w:name="meccanismo-3-la-soglia-abbassata"/>
    <w:p>
      <w:pPr>
        <w:pStyle w:val="Heading3"/>
      </w:pPr>
      <w:r>
        <w:t xml:space="preserve">Meccanismo 3 — la soglia abbassata</w:t>
      </w:r>
    </w:p>
    <w:p>
      <w:pPr>
        <w:pStyle w:val="FirstParagraph"/>
      </w:pPr>
      <w:r>
        <w:rPr>
          <w:b/>
          <w:bCs/>
        </w:rPr>
        <w:t xml:space="preserve">Su cosa può agire una mano.</w:t>
      </w:r>
      <w:r>
        <w:t xml:space="preserve"> </w:t>
      </w:r>
      <w:r>
        <w:t xml:space="preserve">Su un effetto analgesico prodotto da un</w:t>
      </w:r>
      <w:r>
        <w:t xml:space="preserve"> </w:t>
      </w:r>
      <w:r>
        <w:rPr>
          <w:b/>
          <w:bCs/>
        </w:rPr>
        <w:t xml:space="preserve">ciclo</w:t>
      </w:r>
      <w:r>
        <w:t xml:space="preserve"> </w:t>
      </w:r>
      <w:r>
        <w:t xml:space="preserve">di contatto ripetuto. La via non è identificata, e conviene tenerla separata dall’effetto.</w:t>
      </w:r>
      <w:r>
        <w:t xml:space="preserve"> </w:t>
      </w:r>
      <w:r>
        <w:rPr>
          <w:b/>
          <w:bCs/>
        </w:rPr>
        <w:t xml:space="preserve">Che effetto ci si aspetta.</w:t>
      </w:r>
      <w:r>
        <w:t xml:space="preserve"> </w:t>
      </w:r>
      <w:r>
        <w:t xml:space="preserve">Una riduzione dell’intensità del sintomo, non della sua distribuzione.</w:t>
      </w:r>
      <w:r>
        <w:t xml:space="preserve"> </w:t>
      </w:r>
      <w:r>
        <w:rPr>
          <w:b/>
          <w:bCs/>
        </w:rPr>
        <w:t xml:space="preserve">In quanto tempo si vedrebbe.</w:t>
      </w:r>
      <w:r>
        <w:t xml:space="preserve"> </w:t>
      </w:r>
      <w:r>
        <w:t xml:space="preserve">Settimane, e solo se il contatto resta sotto la soglia che gli riaccende i sintomi. Se in cinque settimane non si muove niente, la via non era quella, e va scritto in cartella.</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sull’</w:t>
      </w:r>
      <w:r>
        <w:rPr>
          <w:b/>
          <w:bCs/>
        </w:rPr>
        <w:t xml:space="preserve">effetto</w:t>
      </w:r>
      <w:r>
        <w:t xml:space="preserve">. Nella fibromialgia il massaggio ad almeno cinque settimane migliora dolore, ansia e depressione: nove studi randomizzati e 404 pazienti in tutto. Il risultato citato viene dal</w:t>
      </w:r>
      <w:r>
        <w:t xml:space="preserve"> </w:t>
      </w:r>
      <w:r>
        <w:rPr>
          <w:b/>
          <w:bCs/>
        </w:rPr>
        <w:t xml:space="preserve">sottogruppo</w:t>
      </w:r>
      <w:r>
        <w:t xml:space="preserve"> </w:t>
      </w:r>
      <w:r>
        <w:t xml:space="preserve">«durata ≥5 settimane», e non c’è alcun dato sugli effetti a distanza: quelli descritti sono immediati (Li, PMID 24586677). Il rilascio miofasciale ha effetti grandi sul dolore rispetto al placebo e migliora anche fatica e</w:t>
      </w:r>
      <w:r>
        <w:t xml:space="preserve"> </w:t>
      </w:r>
      <w:r>
        <w:rPr>
          <w:b/>
          <w:bCs/>
        </w:rPr>
        <w:t xml:space="preserve">rigidità</w:t>
      </w:r>
      <w:r>
        <w:t xml:space="preserve">: dieci lavori, non tutti randomizzati, effetto aggregato su</w:t>
      </w:r>
      <w:r>
        <w:t xml:space="preserve"> </w:t>
      </w:r>
      <w:r>
        <w:rPr>
          <w:b/>
          <w:bCs/>
        </w:rPr>
        <w:t xml:space="preserve">145 partecipanti</w:t>
      </w:r>
      <w:r>
        <w:t xml:space="preserve">, e nella stessa revisione il massaggio svedese non migliora nulla (Yuan, PMID 25457196). Pazienti con fibromialgia, non tutti quelli con rigidità diffusa.</w:t>
      </w:r>
      <w:r>
        <w:t xml:space="preserve"> </w:t>
      </w:r>
      <w:r>
        <w:rPr>
          <w:b/>
          <w:bCs/>
        </w:rPr>
        <w:t xml:space="preserve">È l’etichetta manuale più alta del documento, ed è la ragione per cui il pattern C prende «abbastanza» e non «poco».</w:t>
      </w:r>
      <w:r>
        <w:t xml:space="preserve"> </w:t>
      </w:r>
      <w:r>
        <w:rPr>
          <w:b/>
          <w:bCs/>
        </w:rPr>
        <w:t xml:space="preserve">IPOTESI</w:t>
      </w:r>
      <w:r>
        <w:t xml:space="preserve"> </w:t>
      </w:r>
      <w:r>
        <w:rPr>
          <w:i/>
          <w:iCs/>
        </w:rPr>
        <w:t xml:space="preserve">(meccanismo coerente, nessuno studio)</w:t>
      </w:r>
      <w:r>
        <w:t xml:space="preserve"> </w:t>
      </w:r>
      <w:r>
        <w:t xml:space="preserve">sulla</w:t>
      </w:r>
      <w:r>
        <w:t xml:space="preserve"> </w:t>
      </w:r>
      <w:r>
        <w:rPr>
          <w:b/>
          <w:bCs/>
        </w:rPr>
        <w:t xml:space="preserve">via</w:t>
      </w:r>
      <w:r>
        <w:t xml:space="preserve">. La più plausibile è la modulazione discendente, che in questi pazienti è meno efficiente (O’Brien, PMID 29454976): il che predice un effetto</w:t>
      </w:r>
      <w:r>
        <w:t xml:space="preserve"> </w:t>
      </w:r>
      <w:r>
        <w:rPr>
          <w:b/>
          <w:bCs/>
        </w:rPr>
        <w:t xml:space="preserve">più piccolo</w:t>
      </w:r>
      <w:r>
        <w:t xml:space="preserve"> </w:t>
      </w:r>
      <w:r>
        <w:t xml:space="preserve">qui che in un paziente regionale, non più grande. E la sintesi di livello più alto che esiste su questa via non alza niente: trenta revisioni sistematiche sulle variazioni di soglia sensoriale dopo terapia manuale trovano evidenza</w:t>
      </w:r>
      <w:r>
        <w:t xml:space="preserve"> </w:t>
      </w:r>
      <w:r>
        <w:rPr>
          <w:b/>
          <w:bCs/>
        </w:rPr>
        <w:t xml:space="preserve">conflittuale</w:t>
      </w:r>
      <w:r>
        <w:t xml:space="preserve"> </w:t>
      </w:r>
      <w:r>
        <w:t xml:space="preserve">e qualità metodologica da bassa a criticamente bassa (Rodgers, PMID 37908101). Misurato con test sensoriali quantitativi su popolazioni muscoloscheletriche varie, non su pazienti con rigidità diffusa: è la riga che impedisce di leggere il PROBABILE qui sopra come più forte di quanto sia.</w:t>
      </w:r>
    </w:p>
    <w:bookmarkEnd w:id="69"/>
    <w:bookmarkStart w:id="70" w:name="meccanismo-4-il-tessuto-che-non-scorre"/>
    <w:p>
      <w:pPr>
        <w:pStyle w:val="Heading3"/>
      </w:pPr>
      <w:r>
        <w:t xml:space="preserve">Meccanismo 4 — il tessuto che non scorre</w:t>
      </w:r>
    </w:p>
    <w:p>
      <w:pPr>
        <w:pStyle w:val="FirstParagraph"/>
      </w:pPr>
      <w:r>
        <w:rPr>
          <w:b/>
          <w:bCs/>
        </w:rPr>
        <w:t xml:space="preserve">Su cosa può agire una mano.</w:t>
      </w:r>
      <w:r>
        <w:t xml:space="preserve"> </w:t>
      </w:r>
      <w:r>
        <w:t xml:space="preserve">Sui piani di scorrimento e sull’escursione dei distretti che misurano peggio.</w:t>
      </w:r>
      <w:r>
        <w:t xml:space="preserve"> </w:t>
      </w:r>
      <w:r>
        <w:rPr>
          <w:b/>
          <w:bCs/>
        </w:rPr>
        <w:t xml:space="preserve">Che effetto ci si aspetta.</w:t>
      </w:r>
      <w:r>
        <w:t xml:space="preserve"> </w:t>
      </w:r>
      <w:r>
        <w:t xml:space="preserve">Un guadagno di escursione misurabile, e nel trapezio superiore un calo della rigidità misurabile con l’elastografia.</w:t>
      </w:r>
      <w:r>
        <w:t xml:space="preserve"> </w:t>
      </w:r>
      <w:r>
        <w:rPr>
          <w:b/>
          <w:bCs/>
        </w:rPr>
        <w:t xml:space="preserve">In quanto tempo si vedrebbe.</w:t>
      </w:r>
      <w:r>
        <w:t xml:space="preserve"> </w:t>
      </w:r>
      <w:r>
        <w:t xml:space="preserve">L’escursione dentro la seduta; la rigidità misurata, in settimane.</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PROBABILE</w:t>
      </w:r>
      <w:r>
        <w:t xml:space="preserve"> </w:t>
      </w:r>
      <w:r>
        <w:rPr>
          <w:i/>
          <w:iCs/>
        </w:rPr>
        <w:t xml:space="preserve">(razionale forte, prove parziali)</w:t>
      </w:r>
      <w:r>
        <w:t xml:space="preserve"> </w:t>
      </w:r>
      <w:r>
        <w:t xml:space="preserve">che un</w:t>
      </w:r>
      <w:r>
        <w:t xml:space="preserve"> </w:t>
      </w:r>
      <w:r>
        <w:rPr>
          <w:b/>
          <w:bCs/>
        </w:rPr>
        <w:t xml:space="preserve">ciclo</w:t>
      </w:r>
      <w:r>
        <w:t xml:space="preserve"> </w:t>
      </w:r>
      <w:r>
        <w:t xml:space="preserve">di lavoro manuale riduca la rigidità misurata. In un randomizzato su 30 donne giovani sane, cinque sedute di massaggio in cinque settimane hanno ridotto il modulo di taglio della</w:t>
      </w:r>
      <w:r>
        <w:t xml:space="preserve"> </w:t>
      </w:r>
      <w:r>
        <w:rPr>
          <w:b/>
          <w:bCs/>
        </w:rPr>
        <w:t xml:space="preserve">porzione prossimale del trapezio superiore</w:t>
      </w:r>
      <w:r>
        <w:t xml:space="preserve">. Il calo si vede a tre giorni e a tre settimane dalla fine.</w:t>
      </w:r>
      <w:r>
        <w:t xml:space="preserve"> </w:t>
      </w:r>
      <w:r>
        <w:rPr>
          <w:b/>
          <w:bCs/>
        </w:rPr>
        <w:t xml:space="preserve">Non</w:t>
      </w:r>
      <w:r>
        <w:t xml:space="preserve"> </w:t>
      </w:r>
      <w:r>
        <w:t xml:space="preserve">hanno modificato né la porzione distale dello stesso muscolo né l’erettore spinale. Il confronto basale-fine intervento non era significativo (p = 0,053), l’effetto compare al follow-up, e il controllo non riceveva un trattamento simulato (Jelen, PMID 39253625).</w:t>
      </w:r>
      <w:r>
        <w:t xml:space="preserve"> </w:t>
      </w:r>
      <w:r>
        <w:rPr>
          <w:b/>
          <w:bCs/>
        </w:rPr>
        <w:t xml:space="preserve">E c’è una prova che ridimensiona:</w:t>
      </w:r>
      <w:r>
        <w:t xml:space="preserve"> </w:t>
      </w:r>
      <w:r>
        <w:t xml:space="preserve">cinque minuti di massaggio, classico o sportivo, non riducono la rigidità più del riposo passivo (Jelen, PMID 38251300). Quello che si muove è il ciclo, non il singolo contatto.</w:t>
      </w:r>
      <w:r>
        <w:t xml:space="preserve"> </w:t>
      </w:r>
      <w:r>
        <w:rPr>
          <w:b/>
          <w:bCs/>
        </w:rPr>
        <w:t xml:space="preserve">PROBABILE</w:t>
      </w:r>
      <w:r>
        <w:t xml:space="preserve"> </w:t>
      </w:r>
      <w:r>
        <w:rPr>
          <w:i/>
          <w:iCs/>
        </w:rPr>
        <w:t xml:space="preserve">(razionale forte, prove parziali)</w:t>
      </w:r>
      <w:r>
        <w:t xml:space="preserve"> </w:t>
      </w:r>
      <w:r>
        <w:t xml:space="preserve">sull’escursione: la manipolazione toracica migliora flessione ed estensione cervicale, e a sinistra rotazione e inclinazione, su 18 studi e 914 pazienti con dolore cervicale. Effetto</w:t>
      </w:r>
      <w:r>
        <w:t xml:space="preserve"> </w:t>
      </w:r>
      <w:r>
        <w:rPr>
          <w:b/>
          <w:bCs/>
        </w:rPr>
        <w:t xml:space="preserve">a breve termine</w:t>
      </w:r>
      <w:r>
        <w:t xml:space="preserve">, e sulla rotazione piccolo e al limite (SMD 0,23), sotto la soglia di dieci gradi che usiamo per quel marker (Yang, PMID 38759063).</w:t>
      </w:r>
      <w:r>
        <w:t xml:space="preserve"> </w:t>
      </w:r>
      <w:r>
        <w:rPr>
          <w:b/>
          <w:bCs/>
        </w:rPr>
        <w:t xml:space="preserve">IPOTESI</w:t>
      </w:r>
      <w:r>
        <w:t xml:space="preserve"> </w:t>
      </w:r>
      <w:r>
        <w:rPr>
          <w:i/>
          <w:iCs/>
        </w:rPr>
        <w:t xml:space="preserve">(meccanismo coerente, nessuno studio)</w:t>
      </w:r>
      <w:r>
        <w:t xml:space="preserve"> </w:t>
      </w:r>
      <w:r>
        <w:t xml:space="preserve">che l’effetto passi dal ripristino dello scorrimento fasciale —</w:t>
      </w:r>
      <w:r>
        <w:t xml:space="preserve"> </w:t>
      </w:r>
      <w:r>
        <w:rPr>
          <w:b/>
          <w:bCs/>
        </w:rPr>
        <w:t xml:space="preserve">e qui il dato va nella direzione opposta.</w:t>
      </w:r>
      <w:r>
        <w:t xml:space="preserve"> </w:t>
      </w:r>
      <w:r>
        <w:t xml:space="preserve">In Jelen l’unico muscolo che non si è mosso è l’erettore spinale, cioè quello sotto la fascia toracolombare di cui questo meccanismo parla. Se la via fosse lo scorrimento fra gli strati, la dissociazione sarebbe girata al contrario. Un calo che dura giorni in un muscolo posturale ha una via più plausibile: la riduzione del livello di attivazione di fondo delle unità motorie a bassa soglia. Cioè il</w:t>
      </w:r>
      <w:r>
        <w:t xml:space="preserve"> </w:t>
      </w:r>
      <w:r>
        <w:rPr>
          <w:b/>
          <w:bCs/>
        </w:rPr>
        <w:t xml:space="preserve">meccanismo 2</w:t>
      </w:r>
      <w:r>
        <w:t xml:space="preserve">, non questo.</w:t>
      </w:r>
    </w:p>
    <w:p>
      <w:pPr>
        <w:pStyle w:val="FirstParagraph"/>
      </w:pPr>
      <w:r>
        <w:rPr>
          <w:b/>
          <w:bCs/>
        </w:rPr>
        <w:t xml:space="preserve">Per te:</w:t>
      </w:r>
      <w:r>
        <w:t xml:space="preserve"> </w:t>
      </w:r>
      <w:r>
        <w:t xml:space="preserve">due numeri di questo box cambiano un comportamento, non solo una convinzione. Su</w:t>
      </w:r>
      <w:r>
        <w:t xml:space="preserve"> </w:t>
      </w:r>
      <w:r>
        <w:rPr>
          <w:b/>
          <w:bCs/>
        </w:rPr>
        <w:t xml:space="preserve">Yang</w:t>
      </w:r>
      <w:r>
        <w:t xml:space="preserve">, l’effetto sulla rotazione cervicale (SMD 0,23) sta</w:t>
      </w:r>
      <w:r>
        <w:t xml:space="preserve"> </w:t>
      </w:r>
      <w:r>
        <w:rPr>
          <w:b/>
          <w:bCs/>
        </w:rPr>
        <w:t xml:space="preserve">sotto</w:t>
      </w:r>
      <w:r>
        <w:t xml:space="preserve"> </w:t>
      </w:r>
      <w:r>
        <w:t xml:space="preserve">la soglia di dieci gradi che usi per quel marker: non rimisurare la rotazione cervicale per verificare</w:t>
      </w:r>
      <w:r>
        <w:t xml:space="preserve"> </w:t>
      </w:r>
      <w:r>
        <w:rPr>
          <w:i/>
          <w:iCs/>
        </w:rPr>
        <w:t xml:space="preserve">questa</w:t>
      </w:r>
      <w:r>
        <w:t xml:space="preserve"> </w:t>
      </w:r>
      <w:r>
        <w:t xml:space="preserve">leva, perché lo strumento non è abbastanza fine per vederla. Su</w:t>
      </w:r>
      <w:r>
        <w:t xml:space="preserve"> </w:t>
      </w:r>
      <w:r>
        <w:rPr>
          <w:b/>
          <w:bCs/>
        </w:rPr>
        <w:t xml:space="preserve">Jelen</w:t>
      </w:r>
      <w:r>
        <w:t xml:space="preserve">, l’effetto compare al follow-up e non a fine ciclo: se rimisuri l’ultimo giorno e non trovi niente, non hai ancora la risposta — e va detto al paziente prima, non dopo.</w:t>
      </w:r>
    </w:p>
    <w:p>
      <w:pPr>
        <w:pStyle w:val="BlockText"/>
      </w:pPr>
      <w:r>
        <w:rPr>
          <w:b/>
          <w:bCs/>
        </w:rPr>
        <w:t xml:space="preserve">Attenzione.</w:t>
      </w:r>
      <w:r>
        <w:t xml:space="preserve"> </w:t>
      </w:r>
      <w:r>
        <w:t xml:space="preserve">Le prove sulla manipolazione toracica vengono da soggetti con dolore cervicale, e su questa popolazione la densità ossea non l’ha cercata nessuno. Il paziente tipo qui è sopra i cinquant’anni e sedentario. E fra i quadri che il triage prevede c’è la polimialgia reumatica, cioè una malattia trattata con corticosteroide: la prima causa di</w:t>
      </w:r>
      <w:r>
        <w:t xml:space="preserve"> </w:t>
      </w:r>
      <w:r>
        <w:rPr>
          <w:b/>
          <w:bCs/>
        </w:rPr>
        <w:t xml:space="preserve">osteoporosi</w:t>
      </w:r>
      <w:r>
        <w:t xml:space="preserve"> </w:t>
      </w:r>
      <w:r>
        <w:t xml:space="preserve">secondaria. Gli eventi avversi gravi documentati per il rachide toracico comprendono frattura vertebrale e costale, pneumotorace ed emotorace (Heneghan, 2020, PMID 32148185). Un dato di efficacia sull’escursione non è una ragione sufficiente per arrivare su quella giunzione senza questa riga in testa.</w:t>
      </w:r>
    </w:p>
    <w:bookmarkEnd w:id="70"/>
    <w:bookmarkStart w:id="71" w:name="meccanismo-5-il-freddo"/>
    <w:p>
      <w:pPr>
        <w:pStyle w:val="Heading3"/>
      </w:pPr>
      <w:r>
        <w:t xml:space="preserve">Meccanismo 5 — il freddo</w:t>
      </w:r>
    </w:p>
    <w:p>
      <w:pPr>
        <w:pStyle w:val="FirstParagraph"/>
      </w:pPr>
      <w:r>
        <w:rPr>
          <w:b/>
          <w:bCs/>
        </w:rPr>
        <w:t xml:space="preserve">Su cosa può agire una mano.</w:t>
      </w:r>
      <w:r>
        <w:t xml:space="preserve"> </w:t>
      </w:r>
      <w:r>
        <w:t xml:space="preserve">Su niente che duri. Il calore gli dà sollievo, e quanto duri lo sa lui meglio di te: è un’osservazione clinica riferita dal paziente, non un dato che questa Bibbia possa reggere con una fonte. Il suo lavoro sta altrove: nel movimento, e in una registrazione di due settimane. Quella registrazione è l’unico modo per sapere se appartiene alla minoranza in cui il legame col meteo esiste davvero.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il pezzo fisico è misurato (Nakamura, PMID 30539131), quello clinico no, e la sensibilità individuale al meteo è molto più rara di quanto il paziente creda (Yimer, PMID 35047712).</w:t>
      </w:r>
    </w:p>
    <w:bookmarkEnd w:id="71"/>
    <w:bookmarkStart w:id="72" w:name="il-massaggio-mi-dura-tre-giorni"/>
    <w:p>
      <w:pPr>
        <w:pStyle w:val="Heading3"/>
      </w:pPr>
      <w:r>
        <w:t xml:space="preserve">«Il massaggio mi dura tre giorni»</w:t>
      </w:r>
    </w:p>
    <w:p>
      <w:pPr>
        <w:pStyle w:val="FirstParagraph"/>
      </w:pPr>
      <w:r>
        <w:t xml:space="preserve">Nessuno dei meccanismi di questa Bibbia, da solo, copre quella finestra. La tissotropia dura secondi, la tolleranza allo stiramento minuti, il ciclo di contatto settimane. L’unico dato che ci cade dentro è il punto a</w:t>
      </w:r>
      <w:r>
        <w:t xml:space="preserve"> </w:t>
      </w:r>
      <w:r>
        <w:rPr>
          <w:b/>
          <w:bCs/>
        </w:rPr>
        <w:t xml:space="preserve">tre giorni</w:t>
      </w:r>
      <w:r>
        <w:t xml:space="preserve"> </w:t>
      </w:r>
      <w:r>
        <w:t xml:space="preserve">di Jelen su un muscolo posturale. Quindi ciò che dura giorni è plausibilmente una</w:t>
      </w:r>
      <w:r>
        <w:t xml:space="preserve"> </w:t>
      </w:r>
      <w:r>
        <w:rPr>
          <w:b/>
          <w:bCs/>
        </w:rPr>
        <w:t xml:space="preserve">riduzione del livello di attivazione di fondo</w:t>
      </w:r>
      <w:r>
        <w:t xml:space="preserve">, non una proprietà del tessuto.</w:t>
      </w:r>
      <w:r>
        <w:t xml:space="preserve"> </w:t>
      </w:r>
      <w:r>
        <w:rPr>
          <w:i/>
          <w:iCs/>
        </w:rPr>
        <w:t xml:space="preserve">IPOTESI (meccanismo coerente, nessuno studio).</w:t>
      </w:r>
    </w:p>
    <w:bookmarkEnd w:id="72"/>
    <w:bookmarkStart w:id="73" w:name="X313a9305afc17cefd332a43187892ca69ddea55"/>
    <w:p>
      <w:pPr>
        <w:pStyle w:val="Heading3"/>
      </w:pPr>
      <w:r>
        <w:t xml:space="preserve">Cosa fa l’osteopata che il resto del percorso non fa</w:t>
      </w:r>
    </w:p>
    <w:p>
      <w:pPr>
        <w:pStyle w:val="FirstParagraph"/>
      </w:pPr>
      <w:r>
        <w:t xml:space="preserve">Tre cose, e sono sui meccanismi, non sulle persone.</w:t>
      </w:r>
    </w:p>
    <w:p>
      <w:pPr>
        <w:pStyle w:val="Compact"/>
        <w:numPr>
          <w:ilvl w:val="0"/>
          <w:numId w:val="1033"/>
        </w:numPr>
      </w:pPr>
      <w:r>
        <w:rPr>
          <w:b/>
          <w:bCs/>
        </w:rPr>
        <w:t xml:space="preserve">Produce una misura.</w:t>
      </w:r>
      <w:r>
        <w:t xml:space="preserve"> </w:t>
      </w:r>
      <w:r>
        <w:t xml:space="preserve">Nel percorso che questo paziente ha fatto, costruito per escludere, nessuno ha misurato la funzione. Le tue misure sono l’unico dato longitudinale che qualcuno stia raccogliendo su di lui.</w:t>
      </w:r>
    </w:p>
    <w:p>
      <w:pPr>
        <w:pStyle w:val="Compact"/>
        <w:numPr>
          <w:ilvl w:val="0"/>
          <w:numId w:val="1033"/>
        </w:numPr>
      </w:pPr>
      <w:r>
        <w:rPr>
          <w:b/>
          <w:bCs/>
        </w:rPr>
        <w:t xml:space="preserve">Separa il regionale dal diffuso.</w:t>
      </w:r>
      <w:r>
        <w:t xml:space="preserve"> </w:t>
      </w:r>
      <w:r>
        <w:t xml:space="preserve">Distinguere due distretti bloccati da una soglia abbassata cambia il piano da cima a fondo, e nel suo percorso non l’ha fatto nessuno.</w:t>
      </w:r>
    </w:p>
    <w:p>
      <w:pPr>
        <w:pStyle w:val="Compact"/>
        <w:numPr>
          <w:ilvl w:val="0"/>
          <w:numId w:val="1033"/>
        </w:numPr>
      </w:pPr>
      <w:r>
        <w:rPr>
          <w:b/>
          <w:bCs/>
        </w:rPr>
        <w:t xml:space="preserve">Impone il movimento a un sistema che non lo produce da sé.</w:t>
      </w:r>
      <w:r>
        <w:t xml:space="preserve"> </w:t>
      </w:r>
      <w:r>
        <w:t xml:space="preserve">Non perché il tuo movimento sia speciale: perché è quello che accade davvero in un corpo che ha smesso di muoversi in ampiezza.</w:t>
      </w:r>
    </w:p>
    <w:p>
      <w:pPr>
        <w:pStyle w:val="FirstParagraph"/>
      </w:pPr>
      <w:r>
        <w:rPr>
          <w:b/>
          <w:bCs/>
        </w:rPr>
        <w:t xml:space="preserve">Le tre cose da ricordare, più una</w:t>
      </w:r>
    </w:p>
    <w:p>
      <w:pPr>
        <w:pStyle w:val="Compact"/>
        <w:numPr>
          <w:ilvl w:val="0"/>
          <w:numId w:val="1034"/>
        </w:numPr>
      </w:pPr>
      <w:r>
        <w:t xml:space="preserve">Il primo effetto è il più affidabile e il meno specifico: dichiaralo come tale, o costruirai una reputazione su una cosa che il paziente ottiene camminando.</w:t>
      </w:r>
    </w:p>
    <w:p>
      <w:pPr>
        <w:pStyle w:val="Compact"/>
        <w:numPr>
          <w:ilvl w:val="0"/>
          <w:numId w:val="1034"/>
        </w:numPr>
      </w:pPr>
      <w:r>
        <w:t xml:space="preserve">Il ciclo si muove, il singolo contatto no: è il dato più importante di questo capitolo per come organizzi il lavoro.</w:t>
      </w:r>
    </w:p>
    <w:p>
      <w:pPr>
        <w:pStyle w:val="Compact"/>
        <w:numPr>
          <w:ilvl w:val="0"/>
          <w:numId w:val="1034"/>
        </w:numPr>
      </w:pPr>
      <w:r>
        <w:t xml:space="preserve">Sul paziente con la soglia abbassata l’intensità è la variabile da abbassare, non da alzare.</w:t>
      </w:r>
    </w:p>
    <w:p>
      <w:pPr>
        <w:pStyle w:val="Compact"/>
        <w:numPr>
          <w:ilvl w:val="0"/>
          <w:numId w:val="1034"/>
        </w:numPr>
      </w:pPr>
      <w:r>
        <w:rPr>
          <w:b/>
          <w:bCs/>
        </w:rPr>
        <w:t xml:space="preserve">Perché ci sei tu.</w:t>
      </w:r>
      <w:r>
        <w:t xml:space="preserve"> </w:t>
      </w:r>
      <w:r>
        <w:t xml:space="preserve">In un randomizzato su trenta donne giovani sane, cinque settimane di massaggio hanno ridotto la rigidità elastografica della porzione prossimale del trapezio superiore. Non hanno mosso la porzione distale dello stesso muscolo, né l’erettore spinale (Jelen, 2024, PMID 39253625). Questo ti autorizza a dire che la rigidità</w:t>
      </w:r>
      <w:r>
        <w:t xml:space="preserve"> </w:t>
      </w:r>
      <w:r>
        <w:rPr>
          <w:b/>
          <w:bCs/>
        </w:rPr>
        <w:t xml:space="preserve">misurata</w:t>
      </w:r>
      <w:r>
        <w:t xml:space="preserve">, e non solo quella percepita, si muove con un ciclo. Non ti autorizza a estenderlo: nello stesso soggetto, una porzione di un muscolo si è mossa e l’altra no.</w:t>
      </w:r>
    </w:p>
    <w:p>
      <w:pPr>
        <w:pStyle w:val="FirstParagraph"/>
      </w:pPr>
      <w:r>
        <w:rPr>
          <w:i/>
          <w:iCs/>
        </w:rPr>
        <w:t xml:space="preserve">Il come si fa non è qui. Sta nella Procedura della Rigidità muscolare diffusa: due pagine, tecniche, dosi e piano delle sedute.</w:t>
      </w:r>
    </w:p>
    <w:p>
      <w:r>
        <w:pict>
          <v:rect style="width:0;height:1.5pt" o:hralign="center" o:hrstd="t" o:hr="t"/>
        </w:pict>
      </w:r>
    </w:p>
    <w:bookmarkEnd w:id="73"/>
    <w:bookmarkEnd w:id="74"/>
    <w:bookmarkStart w:id="80"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lo strumento con le prove migliori non è la tua mano — è il movimento; e sul piano che comanda più spesso, il sonno, non è nemmeno tuo da erogare.</w:t>
      </w:r>
    </w:p>
    <w:p>
      <w:pPr>
        <w:pStyle w:val="FirstParagraph"/>
      </w:pPr>
      <w:r>
        <w:t xml:space="preserve">Questo capitolo esiste per due ragioni. L’esercizio è l’</w:t>
      </w:r>
      <w:r>
        <w:rPr>
          <w:b/>
          <w:bCs/>
        </w:rPr>
        <w:t xml:space="preserve">unica</w:t>
      </w:r>
      <w:r>
        <w:t xml:space="preserve"> </w:t>
      </w:r>
      <w:r>
        <w:t xml:space="preserve">raccomandazione «forte a favore» delle linee guida europee su questa popolazione (Macfarlane, PMID 27377815). E la linea guida inglese sul dolore primario cronico raccomanda un programma di esercizio supervisionato (NICE NG193, 2021).</w:t>
      </w:r>
    </w:p>
    <w:p>
      <w:pPr>
        <w:pStyle w:val="BlockText"/>
      </w:pPr>
      <w:r>
        <w:rPr>
          <w:b/>
          <w:bCs/>
        </w:rPr>
        <w:t xml:space="preserve">Attenzione.</w:t>
      </w:r>
      <w:r>
        <w:t xml:space="preserve"> </w:t>
      </w:r>
      <w:r>
        <w:t xml:space="preserve">Questo capitolo pesa più del tetto previsto, e lo dichiaro qui. Gli strumenti che superano la condizione di attivazione sono cinque, e ognuno porta la popolazione dichiarata, la prova contraria nella stessa riga e la conseguenza dell’interruzione. Sono le righe che impediscono di leggere il numero più grande come il migliore dei cinque. Non si tolgono per rientrare in un numero (registro delle deviazioni, voci D-065 e D-085).</w:t>
      </w:r>
    </w:p>
    <w:bookmarkStart w:id="75" w:name="strumento-1-lesercizio-regolare"/>
    <w:p>
      <w:pPr>
        <w:pStyle w:val="Heading3"/>
      </w:pPr>
      <w:r>
        <w:t xml:space="preserve">Strumento 1 — L’esercizio regolare</w:t>
      </w:r>
    </w:p>
    <w:p>
      <w:pPr>
        <w:pStyle w:val="FirstParagraph"/>
      </w:pPr>
      <w:r>
        <w:rPr>
          <w:b/>
          <w:bCs/>
        </w:rPr>
        <w:t xml:space="preserve">Cos’è.</w:t>
      </w:r>
      <w:r>
        <w:t xml:space="preserve"> </w:t>
      </w:r>
      <w:r>
        <w:t xml:space="preserve">Attività ripetuta più volte a settimana per settimane. La modalità conta meno di quanto il paziente creda: la letteratura è su quattro famiglie diverse, e nessuna vince nettamente.</w:t>
      </w:r>
    </w:p>
    <w:p>
      <w:pPr>
        <w:pStyle w:val="BodyText"/>
      </w:pPr>
      <w:r>
        <w:rPr>
          <w:b/>
          <w:bCs/>
        </w:rPr>
        <w:t xml:space="preserve">Su quale meccanismo agisce.</w:t>
      </w:r>
      <w:r>
        <w:t xml:space="preserve"> </w:t>
      </w:r>
      <w:r>
        <w:t xml:space="preserve">Sul primo — la rigidità che si costruisce stando fermi — e sul terzo, la soglia abbassata. È anche la leva del modello Metabolico-Energetico.</w:t>
      </w:r>
    </w:p>
    <w:p>
      <w:pPr>
        <w:pStyle w:val="BodyText"/>
      </w:pPr>
      <w:r>
        <w:rPr>
          <w:b/>
          <w:bCs/>
        </w:rPr>
        <w:t xml:space="preserve">Cosa hanno misurato gli studi.</w:t>
      </w:r>
      <w:r>
        <w:t xml:space="preserve"> </w:t>
      </w:r>
      <w:r>
        <w:t xml:space="preserve">Quattro revisioni Cochrane, non una: la frase «sulla rigidità c’è un solo studio» vale per l’aerobico, non per la rigidità in generale.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Modalità</w:t>
            </w:r>
          </w:p>
        </w:tc>
        <w:tc>
          <w:tcPr/>
          <w:p>
            <w:pPr>
              <w:pStyle w:val="Compact"/>
            </w:pPr>
            <w:r>
              <w:t xml:space="preserve">Studi e partecipanti</w:t>
            </w:r>
          </w:p>
        </w:tc>
        <w:tc>
          <w:tcPr/>
          <w:p>
            <w:pPr>
              <w:pStyle w:val="Compact"/>
            </w:pPr>
            <w:r>
              <w:t xml:space="preserve">Sulla rigidità</w:t>
            </w:r>
          </w:p>
        </w:tc>
      </w:tr>
      <w:tr>
        <w:tc>
          <w:tcPr/>
          <w:p>
            <w:pPr>
              <w:pStyle w:val="Compact"/>
            </w:pPr>
            <w:r>
              <w:t xml:space="preserve">Aerobico</w:t>
            </w:r>
          </w:p>
        </w:tc>
        <w:tc>
          <w:tcPr/>
          <w:p>
            <w:pPr>
              <w:pStyle w:val="Compact"/>
            </w:pPr>
            <w:r>
              <w:t xml:space="preserve">13 RCT, 839 persone (8 RCT e 456 nel confronto contro nessun esercizio)</w:t>
            </w:r>
          </w:p>
        </w:tc>
        <w:tc>
          <w:tcPr/>
          <w:p>
            <w:pPr>
              <w:pStyle w:val="Compact"/>
            </w:pPr>
            <w:r>
              <w:t xml:space="preserve">~8 punti su 100, da</w:t>
            </w:r>
            <w:r>
              <w:t xml:space="preserve"> </w:t>
            </w:r>
            <w:r>
              <w:rPr>
                <w:b/>
                <w:bCs/>
              </w:rPr>
              <w:t xml:space="preserve">un solo</w:t>
            </w:r>
            <w:r>
              <w:t xml:space="preserve"> </w:t>
            </w:r>
            <w:r>
              <w:t xml:space="preserve">studio su 143</w:t>
            </w:r>
          </w:p>
        </w:tc>
      </w:tr>
      <w:tr>
        <w:tc>
          <w:tcPr/>
          <w:p>
            <w:pPr>
              <w:pStyle w:val="Compact"/>
            </w:pPr>
            <w:r>
              <w:t xml:space="preserve">Acquatico</w:t>
            </w:r>
          </w:p>
        </w:tc>
        <w:tc>
          <w:tcPr/>
          <w:p>
            <w:pPr>
              <w:pStyle w:val="Compact"/>
            </w:pPr>
            <w:r>
              <w:t xml:space="preserve">16 RCT, 881 persone</w:t>
            </w:r>
          </w:p>
        </w:tc>
        <w:tc>
          <w:tcPr/>
          <w:p>
            <w:pPr>
              <w:pStyle w:val="Compact"/>
            </w:pPr>
            <w:r>
              <w:t xml:space="preserve">−18 punti su 100, oltre la soglia di rilevanza dichiarata dagli autori</w:t>
            </w:r>
          </w:p>
        </w:tc>
      </w:tr>
      <w:tr>
        <w:tc>
          <w:tcPr/>
          <w:p>
            <w:pPr>
              <w:pStyle w:val="Compact"/>
            </w:pPr>
            <w:r>
              <w:t xml:space="preserve">Misto</w:t>
            </w:r>
          </w:p>
        </w:tc>
        <w:tc>
          <w:tcPr/>
          <w:p>
            <w:pPr>
              <w:pStyle w:val="Compact"/>
            </w:pPr>
            <w:r>
              <w:t xml:space="preserve">29 RCT, 2.088 persone</w:t>
            </w:r>
          </w:p>
        </w:tc>
        <w:tc>
          <w:tcPr/>
          <w:p>
            <w:pPr>
              <w:pStyle w:val="Compact"/>
            </w:pPr>
            <w:r>
              <w:t xml:space="preserve">da 68 a 61 su 100, su 5 studi e 261 persone</w:t>
            </w:r>
          </w:p>
        </w:tc>
      </w:tr>
      <w:tr>
        <w:tc>
          <w:tcPr/>
          <w:p>
            <w:pPr>
              <w:pStyle w:val="Compact"/>
            </w:pPr>
            <w:r>
              <w:t xml:space="preserve">Resistenza</w:t>
            </w:r>
          </w:p>
        </w:tc>
        <w:tc>
          <w:tcPr/>
          <w:p>
            <w:pPr>
              <w:pStyle w:val="Compact"/>
            </w:pPr>
            <w:r>
              <w:t xml:space="preserve">5 RCT, 219 donne</w:t>
            </w:r>
          </w:p>
        </w:tc>
        <w:tc>
          <w:tcPr/>
          <w:p>
            <w:pPr>
              <w:pStyle w:val="Compact"/>
            </w:pPr>
            <w:r>
              <w:t xml:space="preserve">non riportata; migliorano funzione, dolore, dolorabilità e forza</w:t>
            </w:r>
          </w:p>
        </w:tc>
      </w:tr>
    </w:tbl>
    <w:p>
      <w:pPr>
        <w:pStyle w:val="BodyText"/>
      </w:pPr>
      <w:r>
        <w:t xml:space="preserve">Negli studi i programmi duravano dalle</w:t>
      </w:r>
      <w:r>
        <w:t xml:space="preserve"> </w:t>
      </w:r>
      <w:r>
        <w:rPr>
          <w:b/>
          <w:bCs/>
        </w:rPr>
        <w:t xml:space="preserve">6 alle 24 settimane</w:t>
      </w:r>
      <w:r>
        <w:t xml:space="preserve"> </w:t>
      </w:r>
      <w:r>
        <w:t xml:space="preserve">(Bidonde,</w:t>
      </w:r>
      <w:r>
        <w:t xml:space="preserve"> </w:t>
      </w:r>
      <w:r>
        <w:rPr>
          <w:i/>
          <w:iCs/>
        </w:rPr>
        <w:t xml:space="preserve">Cochrane</w:t>
      </w:r>
      <w:r>
        <w:t xml:space="preserve"> </w:t>
      </w:r>
      <w:r>
        <w:t xml:space="preserve">2017, PMID 28636204; 2014, PMID 25350761; 2019, PMID 31124142; Busch,</w:t>
      </w:r>
      <w:r>
        <w:t xml:space="preserve"> </w:t>
      </w:r>
      <w:r>
        <w:rPr>
          <w:i/>
          <w:iCs/>
        </w:rPr>
        <w:t xml:space="preserve">Cochrane</w:t>
      </w:r>
      <w:r>
        <w:t xml:space="preserve"> </w:t>
      </w:r>
      <w:r>
        <w:t xml:space="preserve">2013, PMID 24362925).</w:t>
      </w:r>
    </w:p>
    <w:p>
      <w:pPr>
        <w:pStyle w:val="BlockText"/>
      </w:pPr>
      <w:r>
        <w:rPr>
          <w:b/>
          <w:bCs/>
        </w:rPr>
        <w:t xml:space="preserve">Quanto è solido:</w:t>
      </w:r>
      <w:r>
        <w:t xml:space="preserve"> </w:t>
      </w:r>
      <w:r>
        <w:t xml:space="preserve">l’etichetta si spezza, perché la certezza cambia con l’esito.</w:t>
      </w:r>
      <w:r>
        <w:t xml:space="preserve"> </w:t>
      </w:r>
      <w:r>
        <w:rPr>
          <w:b/>
          <w:bCs/>
        </w:rPr>
        <w:t xml:space="preserve">DIMOSTRATO</w:t>
      </w:r>
      <w:r>
        <w:t xml:space="preserve"> </w:t>
      </w:r>
      <w:r>
        <w:rPr>
          <w:i/>
          <w:iCs/>
        </w:rPr>
        <w:t xml:space="preserve">(studi sull’uomo, solidi)</w:t>
      </w:r>
      <w:r>
        <w:t xml:space="preserve"> </w:t>
      </w:r>
      <w:r>
        <w:t xml:space="preserve">sulla</w:t>
      </w:r>
      <w:r>
        <w:t xml:space="preserve"> </w:t>
      </w:r>
      <w:r>
        <w:rPr>
          <w:b/>
          <w:bCs/>
        </w:rPr>
        <w:t xml:space="preserve">qualità di vita</w:t>
      </w:r>
      <w:r>
        <w:t xml:space="preserve">, l’unico esito a cui gli autori danno certezza moderata, e sull’esistenza di una raccomandazione «forte a favore» (Macfarlane, PMID 27377815).</w:t>
      </w:r>
      <w:r>
        <w:t xml:space="preserve"> </w:t>
      </w:r>
      <w:r>
        <w:rPr>
          <w:b/>
          <w:bCs/>
        </w:rPr>
        <w:t xml:space="preserve">PROBABILE</w:t>
      </w:r>
      <w:r>
        <w:t xml:space="preserve"> </w:t>
      </w:r>
      <w:r>
        <w:rPr>
          <w:i/>
          <w:iCs/>
        </w:rPr>
        <w:t xml:space="preserve">(razionale forte, prove parziali)</w:t>
      </w:r>
      <w:r>
        <w:t xml:space="preserve"> </w:t>
      </w:r>
      <w:r>
        <w:t xml:space="preserve">su dolore e funzione: certezza dichiarata bassa.</w:t>
      </w:r>
      <w:r>
        <w:t xml:space="preserve"> </w:t>
      </w:r>
      <w:r>
        <w:rPr>
          <w:b/>
          <w:bCs/>
        </w:rPr>
        <w:t xml:space="preserve">PROBABILE</w:t>
      </w:r>
      <w:r>
        <w:t xml:space="preserve"> </w:t>
      </w:r>
      <w:r>
        <w:rPr>
          <w:i/>
          <w:iCs/>
        </w:rPr>
        <w:t xml:space="preserve">(razionale forte, prove parziali)</w:t>
      </w:r>
      <w:r>
        <w:t xml:space="preserve"> </w:t>
      </w:r>
      <w:r>
        <w:t xml:space="preserve">sulla</w:t>
      </w:r>
      <w:r>
        <w:t xml:space="preserve"> </w:t>
      </w:r>
      <w:r>
        <w:rPr>
          <w:b/>
          <w:bCs/>
        </w:rPr>
        <w:t xml:space="preserve">rigidità</w:t>
      </w:r>
      <w:r>
        <w:t xml:space="preserve">. Per l’aerobico l’8% resta sotto la soglia del 15% che la revisione stessa si dà per la rilevanza clinica, e viene da un solo studio; il dato più grande è quello dell’acquatico. Pazienti con fibromialgia, non tutti quelli con rigidità diffusa.</w:t>
      </w:r>
    </w:p>
    <w:p>
      <w:pPr>
        <w:pStyle w:val="FirstParagraph"/>
      </w:pPr>
      <w:r>
        <w:rPr>
          <w:b/>
          <w:bCs/>
        </w:rPr>
        <w:t xml:space="preserve">Cosa non fa, e cosa succede quando smette.</w:t>
      </w:r>
      <w:r>
        <w:t xml:space="preserve"> </w:t>
      </w:r>
      <w:r>
        <w:t xml:space="preserve">Non abolisce la rigidità mattutina. E sul dopo esiste una misura, che vale più del ragionamento: da sei a cinquantadue settimane dopo la fine di un programma misto il guadagno su qualità di vita, fatica e funzione fisica</w:t>
      </w:r>
      <w:r>
        <w:t xml:space="preserve"> </w:t>
      </w:r>
      <w:r>
        <w:rPr>
          <w:b/>
          <w:bCs/>
        </w:rPr>
        <w:t xml:space="preserve">resta</w:t>
      </w:r>
      <w:r>
        <w:t xml:space="preserve">; quello su rigidità e dolore</w:t>
      </w:r>
      <w:r>
        <w:t xml:space="preserve"> </w:t>
      </w:r>
      <w:r>
        <w:rPr>
          <w:b/>
          <w:bCs/>
        </w:rPr>
        <w:t xml:space="preserve">no</w:t>
      </w:r>
      <w:r>
        <w:t xml:space="preserve"> </w:t>
      </w:r>
      <w:r>
        <w:t xml:space="preserve">(Bidonde, PMID 31124142). È la conoscenza che spiega le ricadute: quello che il paziente perde smettendo è esattamente il sintomo per cui è venuto.</w:t>
      </w:r>
    </w:p>
    <w:p>
      <w:pPr>
        <w:pStyle w:val="BodyText"/>
      </w:pPr>
      <w:r>
        <w:rPr>
          <w:b/>
          <w:bCs/>
        </w:rPr>
        <w:t xml:space="preserve">Per te:</w:t>
      </w:r>
      <w:r>
        <w:t xml:space="preserve"> </w:t>
      </w:r>
      <w:r>
        <w:t xml:space="preserve">otto punti su cento, da un solo studio e con certezza bassa, vogliono dire due cose insieme. L’esercizio è la leva migliore che hai,</w:t>
      </w:r>
      <w:r>
        <w:t xml:space="preserve"> </w:t>
      </w:r>
      <w:r>
        <w:rPr>
          <w:b/>
          <w:bCs/>
        </w:rPr>
        <w:t xml:space="preserve">e</w:t>
      </w:r>
      <w:r>
        <w:t xml:space="preserve"> </w:t>
      </w:r>
      <w:r>
        <w:t xml:space="preserve">non è la leva che gli toglie la rigidità. Quello che compra è funzione, dolore e qualità di vita. Se glielo vendi come il rimedio alla rigidità, all’ottava settimana lo perdi — e perdi con lui l’unica cosa raccomandata forte su questa condizione.</w:t>
      </w:r>
    </w:p>
    <w:p>
      <w:pPr>
        <w:pStyle w:val="BlockText"/>
      </w:pPr>
      <w:r>
        <w:rPr>
          <w:b/>
          <w:bCs/>
        </w:rPr>
        <w:t xml:space="preserve">Attenzione.</w:t>
      </w:r>
      <w:r>
        <w:t xml:space="preserve"> </w:t>
      </w:r>
      <w:r>
        <w:t xml:space="preserve">Se il paziente riferisce un peggioramento sproporzionato e ritardato dopo lo sforzo, un programma a incrementi fissi non si consegna e il canale medico diventa prioritario (NICE NG206, 2021). E su chi ha la soglia abbassata la singola sessione può alzare il dolore invece di abbassarlo: nel dolore diffuso l’ipoalgesia da esercizio è ridotta o invertita (Rice, PMID 30904519). È la ragione fisiologica per cui la dose va graduata, ed è anche la ragione per cui ci ha già provato e gli è andata peggio.</w:t>
      </w:r>
    </w:p>
    <w:p>
      <w:pPr>
        <w:pStyle w:val="FirstParagraph"/>
      </w:pPr>
      <w:r>
        <w:rPr>
          <w:b/>
          <w:bCs/>
        </w:rPr>
        <w:t xml:space="preserve">Quanti smettono.</w:t>
      </w:r>
      <w:r>
        <w:t xml:space="preserve"> </w:t>
      </w:r>
      <w:r>
        <w:t xml:space="preserve">Un capitolo di esercizi che non nomina l’abbandono descrive un mondo che non esiste. Su 89 studi randomizzati e 3.702 pazienti l’abbandono aggiustato è del</w:t>
      </w:r>
      <w:r>
        <w:t xml:space="preserve"> </w:t>
      </w:r>
      <w:r>
        <w:rPr>
          <w:b/>
          <w:bCs/>
        </w:rPr>
        <w:t xml:space="preserve">19,2%</w:t>
      </w:r>
      <w:r>
        <w:t xml:space="preserve">,</w:t>
      </w:r>
      <w:r>
        <w:t xml:space="preserve"> </w:t>
      </w:r>
      <w:r>
        <w:rPr>
          <w:b/>
          <w:bCs/>
        </w:rPr>
        <w:t xml:space="preserve">uguale a quello dei gruppi di controllo</w:t>
      </w:r>
      <w:r>
        <w:t xml:space="preserve">. Abbandonano di più chi ha BMI più alto e malattia più grave, e chi fa esercizio ad</w:t>
      </w:r>
      <w:r>
        <w:t xml:space="preserve"> </w:t>
      </w:r>
      <w:r>
        <w:rPr>
          <w:b/>
          <w:bCs/>
        </w:rPr>
        <w:t xml:space="preserve">alta intensità</w:t>
      </w:r>
      <w:r>
        <w:t xml:space="preserve">; il tasso più basso si osserva con la</w:t>
      </w:r>
      <w:r>
        <w:t xml:space="preserve"> </w:t>
      </w:r>
      <w:r>
        <w:rPr>
          <w:b/>
          <w:bCs/>
        </w:rPr>
        <w:t xml:space="preserve">supervisione continua di un professionista</w:t>
      </w:r>
      <w:r>
        <w:t xml:space="preserve"> </w:t>
      </w:r>
      <w:r>
        <w:t xml:space="preserve">(Vancampfort, PMID 37331421).</w:t>
      </w:r>
      <w:r>
        <w:t xml:space="preserve"> </w:t>
      </w:r>
      <w:r>
        <w:rPr>
          <w:i/>
          <w:iCs/>
        </w:rPr>
        <w:t xml:space="preserve">DIMOSTRATO (studi sull’uomo, solidi)</w:t>
      </w:r>
      <w:r>
        <w:t xml:space="preserve">, dentro studi randomizzati dove l’aderenza è più alta che nella vita reale.</w:t>
      </w:r>
    </w:p>
    <w:p>
      <w:pPr>
        <w:pStyle w:val="BodyText"/>
      </w:pPr>
      <w:r>
        <w:rPr>
          <w:b/>
          <w:bCs/>
        </w:rPr>
        <w:t xml:space="preserve">Per te:</w:t>
      </w:r>
      <w:r>
        <w:t xml:space="preserve"> </w:t>
      </w:r>
      <w:r>
        <w:t xml:space="preserve">l’aderenza si segue, non si presume. Alla revisione chiedi quante sessioni ha fatto davvero</w:t>
      </w:r>
      <w:r>
        <w:t xml:space="preserve"> </w:t>
      </w:r>
      <w:r>
        <w:rPr>
          <w:b/>
          <w:bCs/>
        </w:rPr>
        <w:t xml:space="preserve">prima</w:t>
      </w:r>
      <w:r>
        <w:t xml:space="preserve"> </w:t>
      </w:r>
      <w:r>
        <w:t xml:space="preserve">di chiederti se l’esercizio ha funzionato. Un programma non eseguito e un programma inefficace producono lo stesso numero sul marker, e si distinguono solo con quella domanda.</w:t>
      </w:r>
    </w:p>
    <w:bookmarkEnd w:id="75"/>
    <w:bookmarkStart w:id="76" w:name="X53b3e657d9b5cbee91af0df6312b91338de505b"/>
    <w:p>
      <w:pPr>
        <w:pStyle w:val="Heading3"/>
      </w:pPr>
      <w:r>
        <w:t xml:space="preserve">Strumento 2 — Il movimento distribuito nella giornata</w:t>
      </w:r>
    </w:p>
    <w:p>
      <w:pPr>
        <w:pStyle w:val="FirstParagraph"/>
      </w:pPr>
      <w:r>
        <w:rPr>
          <w:b/>
          <w:bCs/>
        </w:rPr>
        <w:t xml:space="preserve">Cos’è.</w:t>
      </w:r>
      <w:r>
        <w:t xml:space="preserve"> </w:t>
      </w:r>
      <w:r>
        <w:t xml:space="preserve">Interrompere le posizioni mantenute più volte al giorno, indipendentemente dall’allenamento. Agisce direttamente sul primo meccanismo, nel punto in cui nasce.</w:t>
      </w:r>
    </w:p>
    <w:p>
      <w:pPr>
        <w:pStyle w:val="BodyText"/>
      </w:pPr>
      <w:r>
        <w:rPr>
          <w:b/>
          <w:bCs/>
        </w:rPr>
        <w:t xml:space="preserve">Cosa hanno misurato gli studi.</w:t>
      </w:r>
      <w:r>
        <w:t xml:space="preserve"> </w:t>
      </w:r>
      <w:r>
        <w:t xml:space="preserve">In 25 donne sane, dopo</w:t>
      </w:r>
      <w:r>
        <w:t xml:space="preserve"> </w:t>
      </w:r>
      <w:r>
        <w:rPr>
          <w:b/>
          <w:bCs/>
        </w:rPr>
        <w:t xml:space="preserve">90 minuti</w:t>
      </w:r>
      <w:r>
        <w:t xml:space="preserve"> </w:t>
      </w:r>
      <w:r>
        <w:t xml:space="preserve">al computer la rigidità elastografica del trapezio era salita. Un esercizio di collo e spalle l’ha riportata giù, insieme al dolore (Nitta, PMID 40084577). La rigidità percepita al ginocchio è già aumentata a</w:t>
      </w:r>
      <w:r>
        <w:t xml:space="preserve"> </w:t>
      </w:r>
      <w:r>
        <w:rPr>
          <w:b/>
          <w:bCs/>
        </w:rPr>
        <w:t xml:space="preserve">30 minuti</w:t>
      </w:r>
      <w:r>
        <w:t xml:space="preserve"> </w:t>
      </w:r>
      <w:r>
        <w:t xml:space="preserve">di seduta e continua a salire a 60 e a 90 (Kovats, PMID 41869370 — pilota, 31 analizzati).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il fenomeno è misurato con strumenti oggettivi, ma su volontari sani in laboratorio e non come intervento a lungo termine su pazienti con rigidità diffusa.</w:t>
      </w:r>
    </w:p>
    <w:p>
      <w:pPr>
        <w:pStyle w:val="FirstParagraph"/>
      </w:pPr>
      <w:r>
        <w:rPr>
          <w:b/>
          <w:bCs/>
        </w:rPr>
        <w:t xml:space="preserve">Cosa non fa.</w:t>
      </w:r>
      <w:r>
        <w:t xml:space="preserve"> </w:t>
      </w:r>
      <w:r>
        <w:t xml:space="preserve">Non sostituisce l’allenamento e non migliora la capacità. Agisce nel momento in cui la rigidità si forma, e per questo va accanto al primo strumento e non al suo posto.</w:t>
      </w:r>
    </w:p>
    <w:p>
      <w:pPr>
        <w:pStyle w:val="BodyText"/>
      </w:pPr>
      <w:r>
        <w:rPr>
          <w:b/>
          <w:bCs/>
        </w:rPr>
        <w:t xml:space="preserve">E c’è una versione con carico, misurata sullo stesso muscolo del meccanismo 2.</w:t>
      </w:r>
      <w:r>
        <w:t xml:space="preserve"> </w:t>
      </w:r>
      <w:r>
        <w:t xml:space="preserve">Lo studio ha seguito 198 lavoratori al computer con dolore a collo e spalle. Dieci settimane di resistenza con elastico —</w:t>
      </w:r>
      <w:r>
        <w:t xml:space="preserve"> </w:t>
      </w:r>
      <w:r>
        <w:rPr>
          <w:b/>
          <w:bCs/>
        </w:rPr>
        <w:t xml:space="preserve">due minuti al giorno</w:t>
      </w:r>
      <w:r>
        <w:t xml:space="preserve"> </w:t>
      </w:r>
      <w:r>
        <w:t xml:space="preserve">o dodici, cinque volte a settimana — hanno ridotto dolore e dolorabilità rispetto al controllo. Gli autori concludono che due minuti bastano per una riduzione clinicamente rilevante (Andersen,</w:t>
      </w:r>
      <w:r>
        <w:t xml:space="preserve"> </w:t>
      </w:r>
      <w:r>
        <w:rPr>
          <w:i/>
          <w:iCs/>
        </w:rPr>
        <w:t xml:space="preserve">Pain</w:t>
      </w:r>
      <w:r>
        <w:t xml:space="preserve"> </w:t>
      </w:r>
      <w:r>
        <w:t xml:space="preserve">2011, PMID 21177034).</w:t>
      </w:r>
      <w:r>
        <w:t xml:space="preserve"> </w:t>
      </w:r>
      <w:r>
        <w:rPr>
          <w:i/>
          <w:iCs/>
        </w:rPr>
        <w:t xml:space="preserve">PROBABILE (razionale forte, prove parziali)</w:t>
      </w:r>
      <w:r>
        <w:t xml:space="preserve">: lavoratori con dolore regionale, non pazienti con rigidità diffusa. È la leva più diretta sul meccanismo 2, ed è la risposta alla domanda</w:t>
      </w:r>
      <w:r>
        <w:t xml:space="preserve"> </w:t>
      </w:r>
      <w:r>
        <w:rPr>
          <w:i/>
          <w:iCs/>
        </w:rPr>
        <w:t xml:space="preserve">«invece di allungarmi, cosa faccio?»</w:t>
      </w:r>
      <w:r>
        <w:t xml:space="preserve">. E nella Cochrane sulla resistenza il rinforzo a bassa intensità batte l’esercizio di flessibilità (Busch, PMID 24362925).</w:t>
      </w:r>
    </w:p>
    <w:bookmarkEnd w:id="76"/>
    <w:bookmarkStart w:id="77" w:name="strumento-3-il-respiro-lento"/>
    <w:p>
      <w:pPr>
        <w:pStyle w:val="Heading3"/>
      </w:pPr>
      <w:r>
        <w:t xml:space="preserve">Strumento 3 — Il respiro lento</w:t>
      </w:r>
    </w:p>
    <w:p>
      <w:pPr>
        <w:pStyle w:val="FirstParagraph"/>
      </w:pPr>
      <w:r>
        <w:rPr>
          <w:b/>
          <w:bCs/>
        </w:rPr>
        <w:t xml:space="preserve">Cos’è.</w:t>
      </w:r>
      <w:r>
        <w:t xml:space="preserve"> </w:t>
      </w:r>
      <w:r>
        <w:t xml:space="preserve">Respirazione volontaria a frequenza ridotta, praticata a sessioni. Agisce sul secondo meccanismo, il carico mentale che tiene acceso il muscolo.</w:t>
      </w:r>
    </w:p>
    <w:p>
      <w:pPr>
        <w:pStyle w:val="BodyText"/>
      </w:pPr>
      <w:r>
        <w:rPr>
          <w:b/>
          <w:bCs/>
        </w:rPr>
        <w:t xml:space="preserve">Cosa hanno misurato gli studi.</w:t>
      </w:r>
      <w:r>
        <w:t xml:space="preserve"> </w:t>
      </w:r>
      <w:r>
        <w:t xml:space="preserve">Nella sintesi più ampia —</w:t>
      </w:r>
      <w:r>
        <w:t xml:space="preserve"> </w:t>
      </w:r>
      <w:r>
        <w:rPr>
          <w:b/>
          <w:bCs/>
        </w:rPr>
        <w:t xml:space="preserve">223 studi</w:t>
      </w:r>
      <w:r>
        <w:t xml:space="preserve"> </w:t>
      </w:r>
      <w:r>
        <w:t xml:space="preserve">— il respiro lento volontario aumenta gli indici vagali della variabilità cardiaca (Laborde, PMID 35623448). Ma il razionale più diretto, qui, non è autonomico: è la</w:t>
      </w:r>
      <w:r>
        <w:t xml:space="preserve"> </w:t>
      </w:r>
      <w:r>
        <w:rPr>
          <w:b/>
          <w:bCs/>
        </w:rPr>
        <w:t xml:space="preserve">CO2</w:t>
      </w:r>
      <w:r>
        <w:t xml:space="preserve">. Il respiro lento riporta verso la norma la stessa variabile che scende sotto carico mentale nel meccanismo 2.</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DIMOSTRATO</w:t>
      </w:r>
      <w:r>
        <w:t xml:space="preserve"> </w:t>
      </w:r>
      <w:r>
        <w:rPr>
          <w:i/>
          <w:iCs/>
        </w:rPr>
        <w:t xml:space="preserve">(studi sull’uomo, solidi)</w:t>
      </w:r>
      <w:r>
        <w:t xml:space="preserve"> </w:t>
      </w:r>
      <w:r>
        <w:t xml:space="preserve">sull’effetto autonomico. Misurato su popolazioni generali e sportive, non su questi pazienti — e un aumento di ampiezza degli indici vagali non equivale a un aumento del tono vagale di fondo.</w:t>
      </w:r>
      <w:r>
        <w:t xml:space="preserve"> </w:t>
      </w:r>
      <w:r>
        <w:rPr>
          <w:b/>
          <w:bCs/>
        </w:rPr>
        <w:t xml:space="preserve">IPOTESI</w:t>
      </w:r>
      <w:r>
        <w:t xml:space="preserve"> </w:t>
      </w:r>
      <w:r>
        <w:rPr>
          <w:i/>
          <w:iCs/>
        </w:rPr>
        <w:t xml:space="preserve">(meccanismo coerente, nessuno studio)</w:t>
      </w:r>
      <w:r>
        <w:t xml:space="preserve"> </w:t>
      </w:r>
      <w:r>
        <w:t xml:space="preserve">che quell’effetto si traduca in meno rigidità. Nessuno ha collegato le due misure.</w:t>
      </w:r>
    </w:p>
    <w:p>
      <w:pPr>
        <w:pStyle w:val="FirstParagraph"/>
      </w:pPr>
      <w:r>
        <w:rPr>
          <w:b/>
          <w:bCs/>
        </w:rPr>
        <w:t xml:space="preserve">Cosa non fa.</w:t>
      </w:r>
      <w:r>
        <w:t xml:space="preserve"> </w:t>
      </w:r>
      <w:r>
        <w:t xml:space="preserve">Non è un trattamento della rigidità. E c’è un dato sulla popolazione giusta che va nella direzione scomoda. In 27 donne con fibromialgia e 25 controlli sane, il respiro lento riduce intensità e sgradevolezza del dolore.</w:t>
      </w:r>
      <w:r>
        <w:t xml:space="preserve"> </w:t>
      </w:r>
      <w:r>
        <w:rPr>
          <w:b/>
          <w:bCs/>
        </w:rPr>
        <w:t xml:space="preserve">Ma gli effetti sono meno affidabili nelle pazienti che nelle sane</w:t>
      </w:r>
      <w:r>
        <w:t xml:space="preserve">, e gli autori concludono che chi ha dolore cronico ha bisogno di</w:t>
      </w:r>
      <w:r>
        <w:t xml:space="preserve"> </w:t>
      </w:r>
      <w:r>
        <w:rPr>
          <w:b/>
          <w:bCs/>
        </w:rPr>
        <w:t xml:space="preserve">più guida</w:t>
      </w:r>
      <w:r>
        <w:t xml:space="preserve"> </w:t>
      </w:r>
      <w:r>
        <w:t xml:space="preserve">(Zautra,</w:t>
      </w:r>
      <w:r>
        <w:t xml:space="preserve"> </w:t>
      </w:r>
      <w:r>
        <w:rPr>
          <w:i/>
          <w:iCs/>
        </w:rPr>
        <w:t xml:space="preserve">Pain</w:t>
      </w:r>
      <w:r>
        <w:t xml:space="preserve"> </w:t>
      </w:r>
      <w:r>
        <w:t xml:space="preserve">2010, PMID 20079569). È l’argomento per cui questo strumento si insegna in seduta e non si consegna su un foglio.</w:t>
      </w:r>
    </w:p>
    <w:p>
      <w:pPr>
        <w:pStyle w:val="BlockText"/>
      </w:pPr>
      <w:r>
        <w:rPr>
          <w:b/>
          <w:bCs/>
        </w:rPr>
        <w:t xml:space="preserve">Attenzione.</w:t>
      </w:r>
      <w:r>
        <w:t xml:space="preserve"> </w:t>
      </w:r>
      <w:r>
        <w:t xml:space="preserve">La leva è la</w:t>
      </w:r>
      <w:r>
        <w:t xml:space="preserve"> </w:t>
      </w:r>
      <w:r>
        <w:rPr>
          <w:b/>
          <w:bCs/>
        </w:rPr>
        <w:t xml:space="preserve">riduzione della frequenza</w:t>
      </w:r>
      <w:r>
        <w:t xml:space="preserve">, non l’aumento del volume. Su una persona già lievemente iperventilante, un lavoro respiratorio condotto al contrario produce capogiro e formicolii intorno alla bocca e alle mani: se compaiono, si sta facendo l’opposto di quello che serve.</w:t>
      </w:r>
    </w:p>
    <w:bookmarkEnd w:id="77"/>
    <w:bookmarkStart w:id="78" w:name="Xdd59abeac18ea2d7230095dcb12509fb01d8063"/>
    <w:p>
      <w:pPr>
        <w:pStyle w:val="Heading3"/>
      </w:pPr>
      <w:r>
        <w:t xml:space="preserve">Strumento 4 — Lo stretching, e cosa fa davvero</w:t>
      </w:r>
    </w:p>
    <w:p>
      <w:pPr>
        <w:pStyle w:val="FirstParagraph"/>
      </w:pPr>
      <w:r>
        <w:rPr>
          <w:b/>
          <w:bCs/>
        </w:rPr>
        <w:t xml:space="preserve">Cos’è.</w:t>
      </w:r>
      <w:r>
        <w:t xml:space="preserve"> </w:t>
      </w:r>
      <w:r>
        <w:t xml:space="preserve">L’allungamento passivo, che questo paziente fa già tutti i giorni ed è convinto non gli serva. Agisce sul primo meccanismo, per pochi minuti, e su nessun altro.</w:t>
      </w:r>
    </w:p>
    <w:p>
      <w:pPr>
        <w:pStyle w:val="BodyText"/>
      </w:pPr>
      <w:r>
        <w:rPr>
          <w:b/>
          <w:bCs/>
        </w:rPr>
        <w:t xml:space="preserve">Cosa hanno misurato gli studi.</w:t>
      </w:r>
      <w:r>
        <w:t xml:space="preserve"> </w:t>
      </w:r>
      <w:r>
        <w:t xml:space="preserve">In</w:t>
      </w:r>
      <w:r>
        <w:t xml:space="preserve"> </w:t>
      </w:r>
      <w:r>
        <w:rPr>
          <w:b/>
          <w:bCs/>
        </w:rPr>
        <w:t xml:space="preserve">26 studi</w:t>
      </w:r>
      <w:r>
        <w:t xml:space="preserve">, protocolli da</w:t>
      </w:r>
      <w:r>
        <w:t xml:space="preserve"> </w:t>
      </w:r>
      <w:r>
        <w:rPr>
          <w:b/>
          <w:bCs/>
        </w:rPr>
        <w:t xml:space="preserve">3 a 8 settimane</w:t>
      </w:r>
      <w:r>
        <w:t xml:space="preserve"> </w:t>
      </w:r>
      <w:r>
        <w:t xml:space="preserve">hanno prodotto effetti piccoli sulla tensione massima tollerata ed effetti</w:t>
      </w:r>
      <w:r>
        <w:t xml:space="preserve"> </w:t>
      </w:r>
      <w:r>
        <w:rPr>
          <w:b/>
          <w:bCs/>
        </w:rPr>
        <w:t xml:space="preserve">trascurabili</w:t>
      </w:r>
      <w:r>
        <w:t xml:space="preserve"> </w:t>
      </w:r>
      <w:r>
        <w:t xml:space="preserve">su resistenza articolare, architettura del muscolo, rigidità muscolare e tendinea. Sotto le otto settimane gli adattamenti sono soprattutto</w:t>
      </w:r>
      <w:r>
        <w:t xml:space="preserve"> </w:t>
      </w:r>
      <w:r>
        <w:rPr>
          <w:b/>
          <w:bCs/>
        </w:rPr>
        <w:t xml:space="preserve">sensoriali</w:t>
      </w:r>
      <w:r>
        <w:t xml:space="preserve"> </w:t>
      </w:r>
      <w:r>
        <w:t xml:space="preserve">(Freitas, PMID 28801950).</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su quello che lo stretching</w:t>
      </w:r>
      <w:r>
        <w:t xml:space="preserve"> </w:t>
      </w:r>
      <w:r>
        <w:rPr>
          <w:b/>
          <w:bCs/>
        </w:rPr>
        <w:t xml:space="preserve">non</w:t>
      </w:r>
      <w:r>
        <w:t xml:space="preserve"> </w:t>
      </w:r>
      <w:r>
        <w:t xml:space="preserve">cambia</w:t>
      </w:r>
      <w:r>
        <w:t xml:space="preserve"> </w:t>
      </w:r>
      <w:r>
        <w:rPr>
          <w:b/>
          <w:bCs/>
        </w:rPr>
        <w:t xml:space="preserve">entro le otto settimane</w:t>
      </w:r>
      <w:r>
        <w:t xml:space="preserve">. Oltre quel limite gli studi non parlano, e la revisione include lavori non randomizzati e molto eterogenei. Misurato in gran parte su persone sane.</w:t>
      </w:r>
    </w:p>
    <w:p>
      <w:pPr>
        <w:pStyle w:val="FirstParagraph"/>
      </w:pPr>
      <w:r>
        <w:rPr>
          <w:b/>
          <w:bCs/>
        </w:rPr>
        <w:t xml:space="preserve">Cosa non fa, e perché è la cosa più utile di questo capitolo.</w:t>
      </w:r>
      <w:r>
        <w:t xml:space="preserve"> </w:t>
      </w:r>
      <w:r>
        <w:t xml:space="preserve">Non allunga il muscolo e non ne riduce la rigidità: aumenta quanta tensione il paziente</w:t>
      </w:r>
      <w:r>
        <w:t xml:space="preserve"> </w:t>
      </w:r>
      <w:r>
        <w:rPr>
          <w:b/>
          <w:bCs/>
        </w:rPr>
        <w:t xml:space="preserve">tollera</w:t>
      </w:r>
      <w:r>
        <w:t xml:space="preserve">. Alza il volume che sopporti, non abbassa il rumore. È la risposta alla frase che porta da anni. Guadagna due centimetri e li perde perché non ha cambiato il tessuto: ha cambiato per un po’ la soglia a cui lo ferma.</w:t>
      </w:r>
    </w:p>
    <w:p>
      <w:pPr>
        <w:pStyle w:val="BodyText"/>
      </w:pPr>
      <w:r>
        <w:rPr>
          <w:i/>
          <w:iCs/>
        </w:rPr>
        <w:t xml:space="preserve">Come e quando consegnarlo al tuo paziente sta nella Procedura.</w:t>
      </w:r>
    </w:p>
    <w:bookmarkEnd w:id="78"/>
    <w:bookmarkStart w:id="79" w:name="Xab1ef9983dc7d22351fb488b29f141253ecce22"/>
    <w:p>
      <w:pPr>
        <w:pStyle w:val="Heading3"/>
      </w:pPr>
      <w:r>
        <w:t xml:space="preserve">Strumento 5 — Il sonno, e l’intervento che non eroghi tu</w:t>
      </w:r>
    </w:p>
    <w:p>
      <w:pPr>
        <w:pStyle w:val="FirstParagraph"/>
      </w:pPr>
      <w:r>
        <w:rPr>
          <w:b/>
          <w:bCs/>
        </w:rPr>
        <w:t xml:space="preserve">Cos’è.</w:t>
      </w:r>
      <w:r>
        <w:t xml:space="preserve"> </w:t>
      </w:r>
      <w:r>
        <w:t xml:space="preserve">Un programma strutturato di terapia cognitivo-comportamentale per l’insonnia: restrizione del tempo a letto, controllo degli stimoli, lavoro sulle credenze sul sonno. Non è un elenco di consigli di igiene del sonno, ed è un percorso di settimane.</w:t>
      </w:r>
    </w:p>
    <w:p>
      <w:pPr>
        <w:pStyle w:val="BodyText"/>
      </w:pPr>
      <w:r>
        <w:rPr>
          <w:b/>
          <w:bCs/>
        </w:rPr>
        <w:t xml:space="preserve">Su quale meccanismo agisce.</w:t>
      </w:r>
      <w:r>
        <w:t xml:space="preserve"> </w:t>
      </w:r>
      <w:r>
        <w:t xml:space="preserve">Sul terzo —</w:t>
      </w:r>
      <w:r>
        <w:t xml:space="preserve"> </w:t>
      </w:r>
      <w:r>
        <w:rPr>
          <w:b/>
          <w:bCs/>
        </w:rPr>
        <w:t xml:space="preserve">la soglia che si abbassa</w:t>
      </w:r>
      <w:r>
        <w:t xml:space="preserve"> </w:t>
      </w:r>
      <w:r>
        <w:t xml:space="preserve">— nel punto esatto in cui il capitolo dei meccanismi mette l’origine: il sonno non ristoratore che indebolisce il freno discendente. È il piano che l’ordine di interrogazione mette per primo, ed è la ragione per cui questo strumento esiste.</w:t>
      </w:r>
    </w:p>
    <w:p>
      <w:pPr>
        <w:pStyle w:val="BodyText"/>
      </w:pPr>
      <w:r>
        <w:rPr>
          <w:b/>
          <w:bCs/>
        </w:rPr>
        <w:t xml:space="preserve">Cosa hanno misurato gli studi.</w:t>
      </w:r>
      <w:r>
        <w:t xml:space="preserve"> </w:t>
      </w:r>
      <w:r>
        <w:t xml:space="preserve">Su pazienti con dolore cronico non oncologico e insonnia in comorbilità, dodici studi randomizzati e 762 partecipanti: effetto</w:t>
      </w:r>
      <w:r>
        <w:t xml:space="preserve"> </w:t>
      </w:r>
      <w:r>
        <w:rPr>
          <w:b/>
          <w:bCs/>
        </w:rPr>
        <w:t xml:space="preserve">grande</w:t>
      </w:r>
      <w:r>
        <w:t xml:space="preserve"> </w:t>
      </w:r>
      <w:r>
        <w:t xml:space="preserve">sul sonno (SMD 0,89), che a un anno resta (0,56), e un effetto</w:t>
      </w:r>
      <w:r>
        <w:t xml:space="preserve"> </w:t>
      </w:r>
      <w:r>
        <w:rPr>
          <w:b/>
          <w:bCs/>
        </w:rPr>
        <w:t xml:space="preserve">piccolo sul dolore (0,20)</w:t>
      </w:r>
      <w:r>
        <w:t xml:space="preserve">, con nessun effetto su ansia e fatica (Selvanathan, PMID 33610967). Sulla popolazione più vicina ci sono cinque studi randomizzati su pazienti con fibromialgia: qualità del sonno, dolore, ansia e depressione migliorano con dimensioni</w:t>
      </w:r>
      <w:r>
        <w:t xml:space="preserve"> </w:t>
      </w:r>
      <w:r>
        <w:rPr>
          <w:b/>
          <w:bCs/>
        </w:rPr>
        <w:t xml:space="preserve">da piccole a moderate</w:t>
      </w:r>
      <w:r>
        <w:t xml:space="preserve">, ma</w:t>
      </w:r>
      <w:r>
        <w:t xml:space="preserve"> </w:t>
      </w:r>
      <w:r>
        <w:rPr>
          <w:b/>
          <w:bCs/>
        </w:rPr>
        <w:t xml:space="preserve">l’efficienza del sonno non raggiunge la significatività</w:t>
      </w:r>
      <w:r>
        <w:t xml:space="preserve"> </w:t>
      </w:r>
      <w:r>
        <w:t xml:space="preserve">(SMD 0,31; p = 0,05), e gli autori dichiarano prove di qualità</w:t>
      </w:r>
      <w:r>
        <w:t xml:space="preserve"> </w:t>
      </w:r>
      <w:r>
        <w:rPr>
          <w:b/>
          <w:bCs/>
        </w:rPr>
        <w:t xml:space="preserve">da molto bassa a bassa</w:t>
      </w:r>
      <w:r>
        <w:t xml:space="preserve"> </w:t>
      </w:r>
      <w:r>
        <w:t xml:space="preserve">(Climent-Sanz, PMID 34297651).</w:t>
      </w:r>
    </w:p>
    <w:p>
      <w:pPr>
        <w:pStyle w:val="BlockText"/>
      </w:pPr>
      <w:r>
        <w:rPr>
          <w:b/>
          <w:bCs/>
        </w:rPr>
        <w:t xml:space="preserve">Quanto è solido:</w:t>
      </w:r>
      <w:r>
        <w:t xml:space="preserve"> </w:t>
      </w:r>
      <w:r>
        <w:t xml:space="preserve">l’etichetta si spezza, e il salto qui non è di popolazione: è di</w:t>
      </w:r>
      <w:r>
        <w:t xml:space="preserve"> </w:t>
      </w:r>
      <w:r>
        <w:rPr>
          <w:b/>
          <w:bCs/>
        </w:rPr>
        <w:t xml:space="preserve">erogatore</w:t>
      </w:r>
      <w:r>
        <w:t xml:space="preserve">.</w:t>
      </w:r>
      <w:r>
        <w:t xml:space="preserve"> </w:t>
      </w:r>
      <w:r>
        <w:rPr>
          <w:b/>
          <w:bCs/>
        </w:rPr>
        <w:t xml:space="preserve">DIMOSTRATO</w:t>
      </w:r>
      <w:r>
        <w:t xml:space="preserve"> </w:t>
      </w:r>
      <w:r>
        <w:rPr>
          <w:i/>
          <w:iCs/>
        </w:rPr>
        <w:t xml:space="preserve">(studi sull’uomo, solidi)</w:t>
      </w:r>
      <w:r>
        <w:t xml:space="preserve"> </w:t>
      </w:r>
      <w:r>
        <w:t xml:space="preserve">che il sonno sia modificabile, e con quale ampiezza. Misurato su pazienti con dolore cronico non oncologico e insonnia in comorbilità, non su pazienti con rigidità diffusa. E negli studi il programma è erogato da psicologi e terapisti formati in questa terapia, non da osteopati. Tu lo riconosci, lo dici e lo rinvii: non lo eroghi.</w:t>
      </w:r>
      <w:r>
        <w:t xml:space="preserve"> </w:t>
      </w:r>
      <w:r>
        <w:rPr>
          <w:b/>
          <w:bCs/>
        </w:rPr>
        <w:t xml:space="preserve">PROBABILE</w:t>
      </w:r>
      <w:r>
        <w:t xml:space="preserve"> </w:t>
      </w:r>
      <w:r>
        <w:rPr>
          <w:i/>
          <w:iCs/>
        </w:rPr>
        <w:t xml:space="preserve">(razionale forte, prove parziali)</w:t>
      </w:r>
      <w:r>
        <w:t xml:space="preserve"> </w:t>
      </w:r>
      <w:r>
        <w:t xml:space="preserve">sulla popolazione più vicina. Misurato su pazienti con diagnosi di fibromialgia, non su tutti quelli con rigidità diffusa, e su cinque soli studi di qualità da molto bassa a bassa.</w:t>
      </w:r>
      <w:r>
        <w:t xml:space="preserve"> </w:t>
      </w:r>
      <w:r>
        <w:t xml:space="preserve">Nessuna etichetta, in nessun punto, sulla leva «rigidità diffusa»: su quella nessuno ha misurato niente.</w:t>
      </w:r>
    </w:p>
    <w:p>
      <w:pPr>
        <w:pStyle w:val="FirstParagraph"/>
      </w:pPr>
      <w:r>
        <w:rPr>
          <w:b/>
          <w:bCs/>
        </w:rPr>
        <w:t xml:space="preserve">Cosa non fa.</w:t>
      </w:r>
      <w:r>
        <w:t xml:space="preserve"> </w:t>
      </w:r>
      <w:r>
        <w:t xml:space="preserve">Non toglie il dolore. L’effetto sul dolore è</w:t>
      </w:r>
      <w:r>
        <w:t xml:space="preserve"> </w:t>
      </w:r>
      <w:r>
        <w:rPr>
          <w:b/>
          <w:bCs/>
        </w:rPr>
        <w:t xml:space="preserve">piccolo</w:t>
      </w:r>
      <w:r>
        <w:t xml:space="preserve">, su ansia e fatica non c’è, e l’efficienza del sonno non raggiunge la significatività nemmeno sulla popolazione più vicina. Un capitolo che dicesse «SMD 0,89» e basta avrebbe sostituito una promessa gonfiata con un’altra.</w:t>
      </w:r>
    </w:p>
    <w:p>
      <w:pPr>
        <w:pStyle w:val="BodyText"/>
      </w:pPr>
      <w:r>
        <w:rPr>
          <w:i/>
          <w:iCs/>
        </w:rPr>
        <w:t xml:space="preserve">Chi lo eroga, come si formula il rinvio e che cosa scrivi al curante sta nella Procedura.</w:t>
      </w:r>
    </w:p>
    <w:p>
      <w:pPr>
        <w:pStyle w:val="BodyText"/>
      </w:pPr>
      <w:r>
        <w:rPr>
          <w:b/>
          <w:bCs/>
        </w:rPr>
        <w:t xml:space="preserve">Sul meccanismo 4 nessuno strumento agisce direttamente, e lo dichiaro perché non sembri una dimenticanza:</w:t>
      </w:r>
      <w:r>
        <w:t xml:space="preserve"> </w:t>
      </w:r>
      <w:r>
        <w:t xml:space="preserve">da solo il paziente ci arriva per via indiretta, attraverso l’ampiezza di movimento degli Strumenti 1 e 2.</w:t>
      </w:r>
    </w:p>
    <w:p>
      <w:pPr>
        <w:pStyle w:val="BodyText"/>
      </w:pPr>
      <w:r>
        <w:rPr>
          <w:b/>
          <w:bCs/>
        </w:rPr>
        <w:t xml:space="preserve">Una famiglia è stata controllata e non apre uno strumento: l’educazione al dolore.</w:t>
      </w:r>
      <w:r>
        <w:t xml:space="preserve"> </w:t>
      </w:r>
      <w:r>
        <w:t xml:space="preserve">Le meta-analisi esistono e prese una alla volta sembrano positive. La panoramica che le tiene insieme conclude però che non si possono formulare raccomandazioni cliniche chiare, con il dettaglio in «Cosa non possiamo dire» (Martinez-Calderon, PMID 37161889). Spiegare che cosa fa davvero lo stretching resta parte di quello che dici; un programma di educazione al dolore come strumento a sé, no.</w:t>
      </w:r>
    </w:p>
    <w:p>
      <w:pPr>
        <w:pStyle w:val="BodyText"/>
      </w:pPr>
      <w:r>
        <w:rPr>
          <w:b/>
          <w:bCs/>
        </w:rPr>
        <w:t xml:space="preserve">Le tre cose da ricordare, più una</w:t>
      </w:r>
    </w:p>
    <w:p>
      <w:pPr>
        <w:pStyle w:val="Compact"/>
        <w:numPr>
          <w:ilvl w:val="0"/>
          <w:numId w:val="1035"/>
        </w:numPr>
      </w:pPr>
      <w:r>
        <w:t xml:space="preserve">Lo strumento con le prove migliori qui non è la tua mano, e il documento glielo riconosce con lo spazio, non solo con l’etichetta. E sul piano del sonno non è nemmeno tuo da erogare: lo riconosci, lo dici, lo rinvii.</w:t>
      </w:r>
    </w:p>
    <w:p>
      <w:pPr>
        <w:pStyle w:val="Compact"/>
        <w:numPr>
          <w:ilvl w:val="0"/>
          <w:numId w:val="1035"/>
        </w:numPr>
      </w:pPr>
      <w:r>
        <w:t xml:space="preserve">Il movimento distribuito nella giornata è l’unico strumento che agisce dove la rigidità nasce, e nessuno l’ha mai spiegato a questo paziente.</w:t>
      </w:r>
    </w:p>
    <w:p>
      <w:pPr>
        <w:pStyle w:val="Compact"/>
        <w:numPr>
          <w:ilvl w:val="0"/>
          <w:numId w:val="1035"/>
        </w:numPr>
      </w:pPr>
      <w:r>
        <w:t xml:space="preserve">Lo stretching non è inutile e non fa quello che il paziente crede: separare le due cose vale più di qualunque tecnica in questa prima seduta.</w:t>
      </w:r>
    </w:p>
    <w:p>
      <w:pPr>
        <w:pStyle w:val="Compact"/>
        <w:numPr>
          <w:ilvl w:val="0"/>
          <w:numId w:val="1035"/>
        </w:numPr>
      </w:pPr>
      <w:r>
        <w:rPr>
          <w:b/>
          <w:bCs/>
        </w:rPr>
        <w:t xml:space="preserve">Perché ci sei tu.</w:t>
      </w:r>
      <w:r>
        <w:t xml:space="preserve"> </w:t>
      </w:r>
      <w:r>
        <w:t xml:space="preserve">Nelle raccomandazioni europee su questa popolazione, l’</w:t>
      </w:r>
      <w:r>
        <w:rPr>
          <w:b/>
          <w:bCs/>
        </w:rPr>
        <w:t xml:space="preserve">unica</w:t>
      </w:r>
      <w:r>
        <w:t xml:space="preserve"> </w:t>
      </w:r>
      <w:r>
        <w:t xml:space="preserve">raccomandazione «forte a favore» basata su meta-analisi è l’esercizio (Macfarlane, 2017, PMID 27377815). E circa una persona su cinque lo abbandona, meno se supervisionata (Vancampfort, 2024, PMID 37331421). Questo ti autorizza a spendere tempo di seduta a insegnarlo e a seguirne l’aderenza, perché la supervisione è la variabile che riduce l’abbandono. Non ti autorizza a chiamarlo trattamento osteopatico: appartiene alla letteratura riabilitativa, e tu lo consegni.</w:t>
      </w:r>
    </w:p>
    <w:p>
      <w:r>
        <w:pict>
          <v:rect style="width:0;height:1.5pt" o:hralign="center" o:hrstd="t" o:hr="t"/>
        </w:pict>
      </w:r>
    </w:p>
    <w:bookmarkEnd w:id="79"/>
    <w:bookmarkEnd w:id="80"/>
    <w:bookmarkStart w:id="84" w:name="capitolo-13-cosa-dire-al-paziente"/>
    <w:p>
      <w:pPr>
        <w:pStyle w:val="Heading2"/>
      </w:pPr>
      <w:r>
        <w:t xml:space="preserve">Capitolo 13 — Cosa dire al paziente</w:t>
      </w:r>
    </w:p>
    <w:p>
      <w:pPr>
        <w:pStyle w:val="BlockText"/>
      </w:pPr>
      <w:r>
        <w:rPr>
          <w:b/>
          <w:bCs/>
        </w:rPr>
        <w:t xml:space="preserve">In una riga:</w:t>
      </w:r>
      <w:r>
        <w:t xml:space="preserve"> </w:t>
      </w:r>
      <w:r>
        <w:t xml:space="preserve">ha bisogno di due cose in dieci minuti — capire perché lo stretching non gli serve, e sentirsi dire che quello che prova è misurabile.</w:t>
      </w:r>
    </w:p>
    <w:bookmarkStart w:id="81" w:name="lo-script"/>
    <w:p>
      <w:pPr>
        <w:pStyle w:val="Heading3"/>
      </w:pPr>
      <w:r>
        <w:t xml:space="preserve">Lo script</w:t>
      </w:r>
    </w:p>
    <w:p>
      <w:pPr>
        <w:pStyle w:val="FirstParagraph"/>
      </w:pPr>
      <w:r>
        <w:rPr>
          <w:i/>
          <w:iCs/>
        </w:rPr>
        <w:t xml:space="preserve">«Il muscolo, quando sta fermo, si indurisce da solo, come il miele nel barattolo: fermo diventa denso, giri il cucchiaio e torna liquido. Il problema non è che ti manchi il movimento: è che le zone che si sono fermate restano ferme anche quando ti alleni. Io misuro quali sono, ci lavoro sopra, e ti do il modo di non farle richiudere. Quello che misuro mi dice cosa ho da trattare, non cosa hai: il perché va inquadrato dal tuo medico, e nel frattempo io non aspetto.»</w:t>
      </w:r>
    </w:p>
    <w:bookmarkEnd w:id="81"/>
    <w:bookmarkStart w:id="82" w:name="le-obiezioni-e-le-risposte-oneste"/>
    <w:p>
      <w:pPr>
        <w:pStyle w:val="Heading3"/>
      </w:pPr>
      <w:r>
        <w:t xml:space="preserve">Le obiezioni, e le risposte oneste</w:t>
      </w:r>
    </w:p>
    <w:p>
      <w:pPr>
        <w:pStyle w:val="FirstParagraph"/>
      </w:pPr>
      <w:r>
        <w:rPr>
          <w:b/>
          <w:bCs/>
        </w:rPr>
        <w:t xml:space="preserve">«Faccio stretching tutti i giorni.»</w:t>
      </w:r>
      <w:r>
        <w:t xml:space="preserve"> </w:t>
      </w:r>
      <w:r>
        <w:rPr>
          <w:i/>
          <w:iCs/>
        </w:rPr>
        <w:t xml:space="preserve">«E funziona per quello che fa davvero, che non è quello che ti hanno detto. Ventisei studi hanno misurato cosa cambia dopo settimane di allungamento, fino a due mesi: la rigidità del muscolo e del tendine non cambia. Cambia quanta tensione riesci a sopportare prima di fermarti. Per questo guadagni due centimetri e domani sei da capo: non hai cambiato il tessuto, hai spostato il punto in cui ti fermi. Non ti dico di smettere: ti dico che da solo non basta, e perché.»</w:t>
      </w:r>
    </w:p>
    <w:p>
      <w:pPr>
        <w:pStyle w:val="BodyText"/>
      </w:pPr>
      <w:r>
        <w:rPr>
          <w:b/>
          <w:bCs/>
        </w:rPr>
        <w:t xml:space="preserve">«Mi muovo già, faccio sport.»</w:t>
      </w:r>
      <w:r>
        <w:t xml:space="preserve"> </w:t>
      </w:r>
      <w:r>
        <w:rPr>
          <w:i/>
          <w:iCs/>
        </w:rPr>
        <w:t xml:space="preserve">«Ci credo, e la parte allenata del tuo corpo probabilmente sta bene. Ma la rigidità si costruisce durante le ore ferme, non durante l’ora allenata: se ti alleni un’ora e stai fermo dieci, il conto non torna, e non è colpa dell’ora. Quello che devo trovare non è quanto ti muovi, è quali zone non partecipano quando ti muovi. E quelle si misurano.»</w:t>
      </w:r>
    </w:p>
    <w:p>
      <w:pPr>
        <w:pStyle w:val="BodyText"/>
      </w:pPr>
      <w:r>
        <w:rPr>
          <w:b/>
          <w:bCs/>
        </w:rPr>
        <w:t xml:space="preserve">«I massaggi mi durano tre giorni.»</w:t>
      </w:r>
      <w:r>
        <w:t xml:space="preserve"> </w:t>
      </w:r>
      <w:r>
        <w:rPr>
          <w:i/>
          <w:iCs/>
        </w:rPr>
        <w:t xml:space="preserve">«È l’informazione più utile che mi hai dato. Mi dice che il tessuto risponde — altrimenti non ti durerebbero nemmeno tre giorni — e che qualcosa lo ricostruisce più in fretta di quanto io lo sciolga. Il mio lavoro è trovare quel qualcosa. Su quanto durerà non ti faccio promesse: ti do delle misure, e fra sei settimane le rifacciamo.»</w:t>
      </w:r>
    </w:p>
    <w:p>
      <w:pPr>
        <w:pStyle w:val="BodyText"/>
      </w:pPr>
      <w:r>
        <w:rPr>
          <w:b/>
          <w:bCs/>
        </w:rPr>
        <w:t xml:space="preserve">«Sono fatto così, sono sempre stato rigido.»</w:t>
      </w:r>
      <w:r>
        <w:t xml:space="preserve"> </w:t>
      </w:r>
      <w:r>
        <w:rPr>
          <w:i/>
          <w:iCs/>
        </w:rPr>
        <w:t xml:space="preserve">«Può darsi che tu parta da più indietro di altri, e su questo non posso niente. Ma</w:t>
      </w:r>
      <w:r>
        <w:rPr>
          <w:i/>
          <w:iCs/>
        </w:rPr>
        <w:t xml:space="preserve"> </w:t>
      </w:r>
      <w:r>
        <w:rPr>
          <w:i/>
          <w:iCs/>
        </w:rPr>
        <w:t xml:space="preserve">“sempre stato rigido”</w:t>
      </w:r>
      <w:r>
        <w:rPr>
          <w:i/>
          <w:iCs/>
        </w:rPr>
        <w:t xml:space="preserve"> </w:t>
      </w:r>
      <w:r>
        <w:rPr>
          <w:i/>
          <w:iCs/>
        </w:rPr>
        <w:t xml:space="preserve">non è una misura: è un ricordo. Oggi prendiamo dei numeri, e fra sei settimane li rifacciamo. Se non si muovono, te lo dico io, e cambiamo strada.»</w:t>
      </w:r>
    </w:p>
    <w:bookmarkEnd w:id="82"/>
    <w:bookmarkStart w:id="83" w:name="Xc2952ee400c68f051c50c519964f35320a6b33a"/>
    <w:p>
      <w:pPr>
        <w:pStyle w:val="Heading3"/>
      </w:pPr>
      <w:r>
        <w:t xml:space="preserve">Cosa non promettere mai, e cosa dire sempre</w:t>
      </w:r>
    </w:p>
    <w:p>
      <w:pPr>
        <w:pStyle w:val="FirstParagraph"/>
      </w:pPr>
      <w:r>
        <w:t xml:space="preserve">Non promettere che la rigidità passi: nessuno ha misurato che il nostro lavoro la faccia passare. Non promettere che non tornerà. Non dire mai che «non ha niente»: è una diagnosi di esclusione, e non è tua.</w:t>
      </w:r>
    </w:p>
    <w:p>
      <w:pPr>
        <w:pStyle w:val="BodyText"/>
      </w:pPr>
      <w:r>
        <w:t xml:space="preserve">E</w:t>
      </w:r>
      <w:r>
        <w:t xml:space="preserve"> </w:t>
      </w:r>
      <w:r>
        <w:rPr>
          <w:b/>
          <w:bCs/>
        </w:rPr>
        <w:t xml:space="preserve">di’ sempre che il tuo reperto e l’inquadramento medico convivono</w:t>
      </w:r>
      <w:r>
        <w:t xml:space="preserve"> </w:t>
      </w:r>
      <w:r>
        <w:t xml:space="preserve">— che quello che misuri ti dice cosa hai da trattare, non cosa lui ha. E</w:t>
      </w:r>
      <w:r>
        <w:t xml:space="preserve"> </w:t>
      </w:r>
      <w:r>
        <w:rPr>
          <w:b/>
          <w:bCs/>
        </w:rPr>
        <w:t xml:space="preserve">di’ sempre che su questa condizione la leva con le prove migliori non è la tua mano ma il movimento</w:t>
      </w:r>
      <w:r>
        <w:t xml:space="preserve">: è la ragione per cui una parte della seduta si spende a insegnarlo.</w:t>
      </w:r>
    </w:p>
    <w:p>
      <w:pPr>
        <w:pStyle w:val="BodyText"/>
      </w:pPr>
      <w:r>
        <w:t xml:space="preserve">Due numeri reggono questo capitolo. Nel braccio placebo degli studi su questa popolazione un paziente su tre migliora del 30% senza ricevere niente di attivo (Häuser, PMID 22120916): è la ragione per cui prometti un secondo giro di misure e non un risultato. E l’alleanza terapeutica misurata alla seconda seduta predice funzione, dolore e disabilità a otto settimane nella lombalgia cronica (Ferreira, PMID 23139428). È un’associazione predittiva, non una prova che migliorarla migliori l’esito. Insieme dicono che quello che dici in questa mezz’ora non è il contorno del trattamento, e non è nemmeno il trattamento.</w:t>
      </w:r>
    </w:p>
    <w:p>
      <w:pPr>
        <w:pStyle w:val="BodyText"/>
      </w:pPr>
      <w:r>
        <w:rPr>
          <w:b/>
          <w:bCs/>
        </w:rPr>
        <w:t xml:space="preserve">Le tre cose da ricordare, più una</w:t>
      </w:r>
    </w:p>
    <w:p>
      <w:pPr>
        <w:pStyle w:val="Compact"/>
        <w:numPr>
          <w:ilvl w:val="0"/>
          <w:numId w:val="1036"/>
        </w:numPr>
      </w:pPr>
      <w:r>
        <w:t xml:space="preserve">La spiegazione sullo stretching compra più fiducia di qualunque altra cosa in prima seduta: è l’unica che risponde a una domanda che si porta da anni.</w:t>
      </w:r>
    </w:p>
    <w:p>
      <w:pPr>
        <w:pStyle w:val="Compact"/>
        <w:numPr>
          <w:ilvl w:val="0"/>
          <w:numId w:val="1036"/>
        </w:numPr>
      </w:pPr>
      <w:r>
        <w:t xml:space="preserve">«Il massaggio mi dura tre giorni» va restituito come dato clinico, non consolato.</w:t>
      </w:r>
    </w:p>
    <w:p>
      <w:pPr>
        <w:pStyle w:val="Compact"/>
        <w:numPr>
          <w:ilvl w:val="0"/>
          <w:numId w:val="1036"/>
        </w:numPr>
      </w:pPr>
      <w:r>
        <w:t xml:space="preserve">Promettere sei settimane e un nuovo giro di misure è più forte di promettere un risultato, ed espone molto meno.</w:t>
      </w:r>
    </w:p>
    <w:p>
      <w:pPr>
        <w:pStyle w:val="Compact"/>
        <w:numPr>
          <w:ilvl w:val="0"/>
          <w:numId w:val="1036"/>
        </w:numPr>
      </w:pPr>
      <w:r>
        <w:rPr>
          <w:b/>
          <w:bCs/>
        </w:rPr>
        <w:t xml:space="preserve">Perché ci sei tu.</w:t>
      </w:r>
      <w:r>
        <w:t xml:space="preserve"> </w:t>
      </w:r>
      <w:r>
        <w:t xml:space="preserve">Nei protocolli fino a otto settimane lo stretching non cambia le proprietà di muscolo e tendine, e aumenta solo la tensione che la persona tollera: 26 studi (Freitas, 2018, PMID 28801950). Questo ti autorizza a spiegare perché guadagna due centimetri e li perde. Non ti autorizza a dirgli di smettere, né a estendere il risultato oltre le otto settimane: lo studio dice cosa non fa, non che faccia danno.</w:t>
      </w:r>
    </w:p>
    <w:p>
      <w:r>
        <w:pict>
          <v:rect style="width:0;height:1.5pt" o:hralign="center" o:hrstd="t" o:hr="t"/>
        </w:pict>
      </w:r>
    </w:p>
    <w:bookmarkEnd w:id="83"/>
    <w:bookmarkEnd w:id="84"/>
    <w:bookmarkStart w:id="85" w:name="capitolo-14-cosa-fare-adesso"/>
    <w:p>
      <w:pPr>
        <w:pStyle w:val="Heading2"/>
      </w:pPr>
      <w:r>
        <w:t xml:space="preserve">Capitolo 14 — Cosa fare adesso</w:t>
      </w:r>
    </w:p>
    <w:p>
      <w:pPr>
        <w:pStyle w:val="BlockText"/>
      </w:pPr>
      <w:r>
        <w:rPr>
          <w:b/>
          <w:bCs/>
        </w:rPr>
        <w:t xml:space="preserve">In una riga:</w:t>
      </w:r>
      <w:r>
        <w:t xml:space="preserve"> </w:t>
      </w:r>
      <w:r>
        <w:t xml:space="preserve">hai un paziente che porta una sensazione unica, e il tuo mestiere è trasformarla in cinque numeri e una decisione.</w:t>
      </w:r>
    </w:p>
    <w:p>
      <w:pPr>
        <w:pStyle w:val="FirstParagraph"/>
      </w:pPr>
      <w:r>
        <w:t xml:space="preserve">Ti arriva qualcuno che compra tre giorni di sollievo alla volta, da anni, e che ha smesso di aspettarsi altro. Quello che sente è vero e ha una spiegazione fisica: il muscolo fermo si indurisce da solo, in secondi, e lui si ferma più di quanto si muova. Sopra quel meccanismo se ne appoggiano altri quattro: il carico mentale che non spegne mai i muscoli posturali, la soglia che scende, il tessuto che scorre meno, il freddo. Comandano in ordine diverso in pazienti diversi. Il tuo lavoro non è scioglierlo. È capire quale dei cinque comanda, misurarlo prima di toccarlo, e consegnargli la leva che nella letteratura ha la raccomandazione più forte, che è il movimento. Il tuo campo finisce dove comincia il pattern che non è rigidità muscolare, e quella porta si apre con tre domande da dieci secondi.</w:t>
      </w:r>
    </w:p>
    <w:p>
      <w:pPr>
        <w:pStyle w:val="BodyText"/>
      </w:pPr>
      <w:r>
        <w:rPr>
          <w:b/>
          <w:bCs/>
        </w:rPr>
        <w:t xml:space="preserve">Le tre cose che cambi da lunedì</w:t>
      </w:r>
    </w:p>
    <w:p>
      <w:pPr>
        <w:pStyle w:val="Compact"/>
        <w:numPr>
          <w:ilvl w:val="0"/>
          <w:numId w:val="1037"/>
        </w:numPr>
      </w:pPr>
      <w:r>
        <w:rPr>
          <w:b/>
          <w:bCs/>
        </w:rPr>
        <w:t xml:space="preserve">Guarda l’asimmetria, non la durezza.</w:t>
      </w:r>
      <w:r>
        <w:t xml:space="preserve"> </w:t>
      </w:r>
      <w:r>
        <w:t xml:space="preserve">Su ogni paziente che dice «sono rigido dappertutto», misura destra contro sinistra su rotazione d’anca e rotazione cervicale prima di appoggiare le mani. E aggiungi il dita-terra</w:t>
      </w:r>
      <w:r>
        <w:t xml:space="preserve"> </w:t>
      </w:r>
      <w:r>
        <w:rPr>
          <w:b/>
          <w:bCs/>
        </w:rPr>
        <w:t xml:space="preserve">se non ci sono ragioni ossee per non farlo piegare</w:t>
      </w:r>
      <w:r>
        <w:t xml:space="preserve">. Una quota che nessuno ha mai contato non sarà diffusa, e lo scopri solo così.</w:t>
      </w:r>
    </w:p>
    <w:p>
      <w:pPr>
        <w:pStyle w:val="Compact"/>
        <w:numPr>
          <w:ilvl w:val="0"/>
          <w:numId w:val="1037"/>
        </w:numPr>
      </w:pPr>
      <w:r>
        <w:rPr>
          <w:b/>
          <w:bCs/>
        </w:rPr>
        <w:t xml:space="preserve">Di’ al paziente cosa fa davvero lo stretching.</w:t>
      </w:r>
      <w:r>
        <w:t xml:space="preserve"> </w:t>
      </w:r>
      <w:r>
        <w:t xml:space="preserve">Nei protocolli fino a otto settimane non allunga il muscolo: sposta la soglia a cui si ferma. È la frase che risponde alla domanda che si porta dietro da anni.</w:t>
      </w:r>
    </w:p>
    <w:p>
      <w:pPr>
        <w:pStyle w:val="Compact"/>
        <w:numPr>
          <w:ilvl w:val="0"/>
          <w:numId w:val="1037"/>
        </w:numPr>
      </w:pPr>
      <w:r>
        <w:rPr>
          <w:b/>
          <w:bCs/>
        </w:rPr>
        <w:t xml:space="preserve">Smetti di usare la durezza palpata come prova.</w:t>
      </w:r>
      <w:r>
        <w:t xml:space="preserve"> </w:t>
      </w:r>
      <w:r>
        <w:t xml:space="preserve">Resta nell’esame come orientamento e si scrive con quella parola. Non fonda il mandato, non è il marker, e non si dice al paziente come se fosse una misura.</w:t>
      </w:r>
    </w:p>
    <w:p>
      <w:pPr>
        <w:pStyle w:val="FirstParagraph"/>
      </w:pPr>
      <w:r>
        <w:rPr>
          <w:i/>
          <w:iCs/>
        </w:rPr>
        <w:t xml:space="preserve">Questo paziente ha già ricevuto due frasi: «ti manca il movimento» e «sei fatto così». Non gli serve che tu ne aggiunga una terza. Gli serve qualcuno che, per la prima volta, scriva dei numeri sul suo corpo e sia disposto a rileggerli fra sei settimane anche se non si sono mossi.</w:t>
      </w:r>
    </w:p>
    <w:p>
      <w:pPr>
        <w:pStyle w:val="BodyText"/>
      </w:pPr>
      <w:r>
        <w:rPr>
          <w:b/>
          <w:bCs/>
        </w:rPr>
        <w:t xml:space="preserve">Le tre cose da ricordare, più una</w:t>
      </w:r>
    </w:p>
    <w:p>
      <w:pPr>
        <w:pStyle w:val="Compact"/>
        <w:numPr>
          <w:ilvl w:val="0"/>
          <w:numId w:val="1038"/>
        </w:numPr>
      </w:pPr>
      <w:r>
        <w:t xml:space="preserve">Misura l’asimmetria destra-sinistra prima di toccare.</w:t>
      </w:r>
    </w:p>
    <w:p>
      <w:pPr>
        <w:pStyle w:val="Compact"/>
        <w:numPr>
          <w:ilvl w:val="0"/>
          <w:numId w:val="1038"/>
        </w:numPr>
      </w:pPr>
      <w:r>
        <w:t xml:space="preserve">Spiega cosa fa davvero lo stretching, e entro quale limite di tempo lo sappiamo.</w:t>
      </w:r>
    </w:p>
    <w:p>
      <w:pPr>
        <w:pStyle w:val="Compact"/>
        <w:numPr>
          <w:ilvl w:val="0"/>
          <w:numId w:val="1038"/>
        </w:numPr>
      </w:pPr>
      <w:r>
        <w:t xml:space="preserve">Non usare la durezza palpata come prova.</w:t>
      </w:r>
    </w:p>
    <w:p>
      <w:pPr>
        <w:pStyle w:val="Compact"/>
        <w:numPr>
          <w:ilvl w:val="0"/>
          <w:numId w:val="1038"/>
        </w:numPr>
      </w:pPr>
      <w:r>
        <w:rPr>
          <w:b/>
          <w:bCs/>
        </w:rPr>
        <w:t xml:space="preserve">Perché ci sei tu.</w:t>
      </w:r>
      <w:r>
        <w:t xml:space="preserve"> </w:t>
      </w:r>
      <w:r>
        <w:t xml:space="preserve">Su 36 partecipanti e due operatori, l’accordo sulla rigidità segmentale palpata va da meno-che-il-caso a moderato, e un addestramento comune non lo migliora (Beynon, 2018, PMID 30524705). Questo ti autorizza a togliere la durezza palpata dai due posti in cui non regge — il mandato e il marker — e a metterci grandezze che un collega riprodurrebbe. Non ti autorizza a buttarla via: resta nell’esame come orientamento, e in cartella si scrive con quella parola.</w:t>
      </w:r>
    </w:p>
    <w:p>
      <w:r>
        <w:pict>
          <v:rect style="width:0;height:1.5pt" o:hralign="center" o:hrstd="t" o:hr="t"/>
        </w:pict>
      </w:r>
    </w:p>
    <w:bookmarkEnd w:id="85"/>
    <w:bookmarkStart w:id="86" w:name="appendice-a-glossario"/>
    <w:p>
      <w:pPr>
        <w:pStyle w:val="Heading2"/>
      </w:pPr>
      <w:r>
        <w:t xml:space="preserve">Appendice A — Glossario</w:t>
      </w:r>
    </w:p>
    <w:p>
      <w:pPr>
        <w:pStyle w:val="FirstParagraph"/>
      </w:pPr>
      <w:r>
        <w:rPr>
          <w:b/>
          <w:bCs/>
        </w:rPr>
        <w:t xml:space="preserve">Accordo fra operatori (kappa, ICC)</w:t>
      </w:r>
      <w:r>
        <w:t xml:space="preserve"> </w:t>
      </w:r>
      <w:r>
        <w:t xml:space="preserve">— Quanto due esaminatori diversi ottengono lo stesso risultato sullo stesso paziente. Il</w:t>
      </w:r>
      <w:r>
        <w:t xml:space="preserve"> </w:t>
      </w:r>
      <w:r>
        <w:rPr>
          <w:b/>
          <w:bCs/>
        </w:rPr>
        <w:t xml:space="preserve">kappa</w:t>
      </w:r>
      <w:r>
        <w:t xml:space="preserve"> </w:t>
      </w:r>
      <w:r>
        <w:t xml:space="preserve">vale 1 se coincidono sempre, 0 se coincidono quanto il caso, ed è negativo se coincidono</w:t>
      </w:r>
      <w:r>
        <w:t xml:space="preserve"> </w:t>
      </w:r>
      <w:r>
        <w:rPr>
          <w:b/>
          <w:bCs/>
        </w:rPr>
        <w:t xml:space="preserve">meno</w:t>
      </w:r>
      <w:r>
        <w:t xml:space="preserve"> </w:t>
      </w:r>
      <w:r>
        <w:t xml:space="preserve">del caso. L’</w:t>
      </w:r>
      <w:r>
        <w:rPr>
          <w:b/>
          <w:bCs/>
        </w:rPr>
        <w:t xml:space="preserve">ICC</w:t>
      </w:r>
      <w:r>
        <w:t xml:space="preserve"> </w:t>
      </w:r>
      <w:r>
        <w:t xml:space="preserve">(coefficiente di correlazione intraclasse) fa lo stesso per le misure numeriche: sopra 0,75 si considera buono.</w:t>
      </w:r>
    </w:p>
    <w:p>
      <w:pPr>
        <w:pStyle w:val="BodyText"/>
      </w:pPr>
      <w:r>
        <w:rPr>
          <w:b/>
          <w:bCs/>
        </w:rPr>
        <w:t xml:space="preserve">Alleanza terapeutica</w:t>
      </w:r>
      <w:r>
        <w:t xml:space="preserve"> </w:t>
      </w:r>
      <w:r>
        <w:t xml:space="preserve">— La qualità del legame di lavoro fra paziente e clinico: accordo sugli obiettivi, accordo sui compiti, legame personale. Si misura con questionari validati, ed è una variabile studiata, non un modo di dire.</w:t>
      </w:r>
    </w:p>
    <w:p>
      <w:pPr>
        <w:pStyle w:val="BodyText"/>
      </w:pPr>
      <w:r>
        <w:rPr>
          <w:b/>
          <w:bCs/>
        </w:rPr>
        <w:t xml:space="preserve">Cambiamento minimo rilevabile</w:t>
      </w:r>
      <w:r>
        <w:t xml:space="preserve"> </w:t>
      </w:r>
      <w:r>
        <w:t xml:space="preserve">— La differenza più piccola fra due misure che non può essere spiegata dall’errore dello strumento e dell’operatore. Sotto quella cifra non hai misurato un cambiamento: hai misurato il tuo errore.</w:t>
      </w:r>
    </w:p>
    <w:p>
      <w:pPr>
        <w:pStyle w:val="BodyText"/>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BodyText"/>
      </w:pPr>
      <w:r>
        <w:rPr>
          <w:b/>
          <w:bCs/>
        </w:rPr>
        <w:t xml:space="preserve">CO2 di fine espirazione</w:t>
      </w:r>
      <w:r>
        <w:t xml:space="preserve"> </w:t>
      </w:r>
      <w:r>
        <w:t xml:space="preserve">— La quantità di anidride carbonica nell’aria espirata a fine respiro. Se scende, la persona sta ventilando più del necessario; il sangue diventa più alcalino e i nervi e i muscoli diventano più eccitabili.</w:t>
      </w:r>
    </w:p>
    <w:p>
      <w:pPr>
        <w:pStyle w:val="BodyText"/>
      </w:pPr>
      <w:r>
        <w:rPr>
          <w:b/>
          <w:bCs/>
        </w:rPr>
        <w:t xml:space="preserve">CBT-I (terapia cognitivo-comportamentale per l’insonnia)</w:t>
      </w:r>
      <w:r>
        <w:t xml:space="preserve"> </w:t>
      </w:r>
      <w:r>
        <w:t xml:space="preserve">— Programma strutturato di alcune settimane su tempo a letto, controllo degli stimoli e credenze sul sonno. Non è igiene del sonno, e negli studi la erogano psicologi e terapisti formati.</w:t>
      </w:r>
    </w:p>
    <w:p>
      <w:pPr>
        <w:pStyle w:val="BodyText"/>
      </w:pPr>
      <w:r>
        <w:rPr>
          <w:b/>
          <w:bCs/>
        </w:rPr>
        <w:t xml:space="preserve">Cerchio 1, 2, 3</w:t>
      </w:r>
      <w:r>
        <w:t xml:space="preserve"> </w:t>
      </w:r>
      <w:r>
        <w:t xml:space="preserve">— I tre livelli in cui si cerca l’evidenza: specifico sull’intervento e sulla condizione, trasversale sul meccanismo, fisiologico di base.</w:t>
      </w:r>
    </w:p>
    <w:p>
      <w:pPr>
        <w:pStyle w:val="BodyText"/>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Conduttanza cutanea</w:t>
      </w:r>
      <w:r>
        <w:t xml:space="preserve"> </w:t>
      </w:r>
      <w:r>
        <w:t xml:space="preserve">— Misura elettrica della sudorazione, usata come indice dell’attività simpatica. Ha due componenti: il</w:t>
      </w:r>
      <w:r>
        <w:t xml:space="preserve"> </w:t>
      </w:r>
      <w:r>
        <w:rPr>
          <w:b/>
          <w:bCs/>
        </w:rPr>
        <w:t xml:space="preserve">livello di fondo</w:t>
      </w:r>
      <w:r>
        <w:t xml:space="preserve">, lento, che indicizza il livello di attivazione di fondo, e la</w:t>
      </w:r>
      <w:r>
        <w:t xml:space="preserve"> </w:t>
      </w:r>
      <w:r>
        <w:rPr>
          <w:b/>
          <w:bCs/>
        </w:rPr>
        <w:t xml:space="preserve">risposta al singolo stimolo</w:t>
      </w:r>
      <w:r>
        <w:t xml:space="preserve">, rapida. Confonderle è l’errore più comune quando si cita questa misura.</w:t>
      </w:r>
    </w:p>
    <w:p>
      <w:pPr>
        <w:pStyle w:val="BodyText"/>
      </w:pPr>
      <w:r>
        <w:rPr>
          <w:b/>
          <w:bCs/>
        </w:rPr>
        <w:t xml:space="preserve">Dita-terra</w:t>
      </w:r>
      <w:r>
        <w:t xml:space="preserve"> </w:t>
      </w:r>
      <w:r>
        <w:t xml:space="preserve">— Distanza in centimetri fra la punta delle dita e il suolo nella flessione del tronco in piedi.</w:t>
      </w:r>
    </w:p>
    <w:p>
      <w:pPr>
        <w:pStyle w:val="BodyText"/>
      </w:pPr>
      <w:r>
        <w:rPr>
          <w:b/>
          <w:bCs/>
        </w:rPr>
        <w:t xml:space="preserve">DIMOSTRATO</w:t>
      </w:r>
      <w:r>
        <w:t xml:space="preserve"> </w:t>
      </w:r>
      <w:r>
        <w:t xml:space="preserve">— Etichetta di solidità: studi sull’uomo, solidi.</w:t>
      </w:r>
    </w:p>
    <w:p>
      <w:pPr>
        <w:pStyle w:val="BodyText"/>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BodyText"/>
      </w:pPr>
      <w:r>
        <w:rPr>
          <w:b/>
          <w:bCs/>
        </w:rPr>
        <w:t xml:space="preserve">Dolore cronico diffuso</w:t>
      </w:r>
      <w:r>
        <w:t xml:space="preserve"> </w:t>
      </w:r>
      <w:r>
        <w:t xml:space="preserve">— Dolore da almeno tre mesi sopra e sotto la vita, a destra e a sinistra, e nello scheletro assiale.</w:t>
      </w:r>
    </w:p>
    <w:p>
      <w:pPr>
        <w:pStyle w:val="BodyText"/>
      </w:pPr>
      <w:r>
        <w:rPr>
          <w:b/>
          <w:bCs/>
        </w:rPr>
        <w:t xml:space="preserve">Dimensione dell’effetto (g, SMD)</w:t>
      </w:r>
      <w:r>
        <w:t xml:space="preserve"> </w:t>
      </w:r>
      <w:r>
        <w:t xml:space="preserve">— Un numero che dice quanto è grande un effetto, indipendentemente dall’unità di misura. Per orientarsi: 0,2 piccolo, 0,5 medio, 0,8 grande. Il segno indica solo la direzione.</w:t>
      </w:r>
    </w:p>
    <w:p>
      <w:pPr>
        <w:pStyle w:val="BodyText"/>
      </w:pPr>
      <w:r>
        <w:rPr>
          <w:b/>
          <w:bCs/>
        </w:rPr>
        <w:t xml:space="preserve">Effetto di stato / livello di attivazione di fondo (livello tonico)</w:t>
      </w:r>
      <w:r>
        <w:t xml:space="preserve"> </w:t>
      </w:r>
      <w:r>
        <w:t xml:space="preserve">— L’</w:t>
      </w:r>
      <w:r>
        <w:rPr>
          <w:b/>
          <w:bCs/>
        </w:rPr>
        <w:t xml:space="preserve">effetto di stato</w:t>
      </w:r>
      <w:r>
        <w:t xml:space="preserve"> </w:t>
      </w:r>
      <w:r>
        <w:t xml:space="preserve">è un cambiamento che dura quanto lo stimolo e poco oltre: il tessuto meno reattivo alla fine della seduta. Il</w:t>
      </w:r>
      <w:r>
        <w:t xml:space="preserve"> </w:t>
      </w:r>
      <w:r>
        <w:rPr>
          <w:b/>
          <w:bCs/>
        </w:rPr>
        <w:t xml:space="preserve">livello di attivazione di fondo</w:t>
      </w:r>
      <w:r>
        <w:t xml:space="preserve"> </w:t>
      </w:r>
      <w:r>
        <w:t xml:space="preserve">è il valore attorno a cui una funzione oscilla nella giornata. Spostare il primo non dimostra di aver spostato il secondo.</w:t>
      </w:r>
    </w:p>
    <w:p>
      <w:pPr>
        <w:pStyle w:val="BodyText"/>
      </w:pPr>
      <w:r>
        <w:rPr>
          <w:b/>
          <w:bCs/>
        </w:rPr>
        <w:t xml:space="preserve">Elastografia a onde di taglio</w:t>
      </w:r>
      <w:r>
        <w:t xml:space="preserve"> </w:t>
      </w:r>
      <w:r>
        <w:t xml:space="preserve">— Tecnica ecografica che misura la rigidità di un tessuto dalla velocità con cui vi si propaga un’onda.</w:t>
      </w:r>
    </w:p>
    <w:p>
      <w:pPr>
        <w:pStyle w:val="BodyText"/>
      </w:pPr>
      <w:r>
        <w:rPr>
          <w:b/>
          <w:bCs/>
        </w:rPr>
        <w:t xml:space="preserve">Esposizione graduata</w:t>
      </w:r>
      <w:r>
        <w:t xml:space="preserve"> </w:t>
      </w:r>
      <w:r>
        <w:t xml:space="preserve">— Riportare la persona a fare il movimento che evita, aumentando la richiesta a piccoli passi e restando sotto la soglia che riaccende i sintomi.</w:t>
      </w:r>
    </w:p>
    <w:p>
      <w:pPr>
        <w:pStyle w:val="BodyText"/>
      </w:pPr>
      <w:r>
        <w:rPr>
          <w:b/>
          <w:bCs/>
        </w:rPr>
        <w:t xml:space="preserve">Fascia toracolombare</w:t>
      </w:r>
      <w:r>
        <w:t xml:space="preserve"> </w:t>
      </w:r>
      <w:r>
        <w:t xml:space="preserve">— Tessuto connettivo a tre strati che riveste i muscoli del dorso e trasmette forza fra tronco, bacino e arti.</w:t>
      </w:r>
    </w:p>
    <w:p>
      <w:pPr>
        <w:pStyle w:val="BodyText"/>
      </w:pPr>
      <w:r>
        <w:rPr>
          <w:b/>
          <w:bCs/>
        </w:rPr>
        <w:t xml:space="preserve">Freno discendente (modulazione discendente, modulazione condizionata del dolore)</w:t>
      </w:r>
      <w:r>
        <w:t xml:space="preserve"> </w:t>
      </w:r>
      <w:r>
        <w:t xml:space="preserve">— Il controllo che parte dal cervello e scende sul midollo, e che decide quanto segnale in arrivo dal tessuto diventa sintomo. Si misura con la capacità di uno stimolo doloroso di ridurre la percezione di un altro.</w:t>
      </w:r>
    </w:p>
    <w:p>
      <w:pPr>
        <w:pStyle w:val="BodyText"/>
      </w:pPr>
      <w:r>
        <w:rPr>
          <w:b/>
          <w:bCs/>
        </w:rPr>
        <w:t xml:space="preserve">Fibre C-tattili</w:t>
      </w:r>
      <w:r>
        <w:t xml:space="preserve"> </w:t>
      </w:r>
      <w:r>
        <w:t xml:space="preserve">— Fibre nervose della pelle che rispondono in modo ottimale al tocco lento e leggero. Non trasportano dolore.</w:t>
      </w:r>
    </w:p>
    <w:p>
      <w:pPr>
        <w:pStyle w:val="BodyText"/>
      </w:pPr>
      <w:r>
        <w:rPr>
          <w:b/>
          <w:bCs/>
        </w:rPr>
        <w:t xml:space="preserve">Fuso neuromuscolare</w:t>
      </w:r>
      <w:r>
        <w:t xml:space="preserve"> </w:t>
      </w:r>
      <w:r>
        <w:t xml:space="preserve">— Sensore di lunghezza e velocità di stiramento contenuto nel muscolo.</w:t>
      </w:r>
    </w:p>
    <w:p>
      <w:pPr>
        <w:pStyle w:val="BodyText"/>
      </w:pPr>
      <w:r>
        <w:rPr>
          <w:b/>
          <w:bCs/>
        </w:rPr>
        <w:t xml:space="preserve">IPOTESI</w:t>
      </w:r>
      <w:r>
        <w:t xml:space="preserve"> </w:t>
      </w:r>
      <w:r>
        <w:t xml:space="preserve">— Etichetta di solidità: meccanismo coerente, nessuno studio.</w:t>
      </w:r>
    </w:p>
    <w:p>
      <w:pPr>
        <w:pStyle w:val="BodyText"/>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Micro-pause (EMG gaps)</w:t>
      </w:r>
      <w:r>
        <w:t xml:space="preserve"> </w:t>
      </w:r>
      <w:r>
        <w:t xml:space="preserve">— Brevi momenti di silenzio elettrico che intervallano il lavoro muscolare leggero e permettono al muscolo di riposare.</w:t>
      </w:r>
    </w:p>
    <w:p>
      <w:pPr>
        <w:pStyle w:val="BodyText"/>
      </w:pPr>
      <w:r>
        <w:rPr>
          <w:b/>
          <w:bCs/>
        </w:rPr>
        <w:t xml:space="preserve">Modulo di taglio</w:t>
      </w:r>
      <w:r>
        <w:t xml:space="preserve"> </w:t>
      </w:r>
      <w:r>
        <w:t xml:space="preserve">— Grandezza fisica che esprime quanto un tessuto resiste a essere deformato lateralmente. Più è alto, più il tessuto è rigido.</w:t>
      </w:r>
    </w:p>
    <w:p>
      <w:pPr>
        <w:pStyle w:val="BodyText"/>
      </w:pPr>
      <w:r>
        <w:rPr>
          <w:b/>
          <w:bCs/>
        </w:rPr>
        <w:t xml:space="preserve">Nociplastico</w:t>
      </w:r>
      <w:r>
        <w:t xml:space="preserve"> </w:t>
      </w:r>
      <w:r>
        <w:t xml:space="preserve">— Dolore che non nasce da un tessuto danneggiato (nocicettivo) né da una lesione nervosa (neuropatico), ma da un cambiamento nel modo in cui il sistema nervoso elabora il segnale. Ha criteri clinici pubblicati, e il grado massimo previsto è «probabile», mai «definito».</w:t>
      </w:r>
    </w:p>
    <w:p>
      <w:pPr>
        <w:pStyle w:val="BodyText"/>
      </w:pPr>
      <w:r>
        <w:rPr>
          <w:b/>
          <w:bCs/>
        </w:rPr>
        <w:t xml:space="preserve">p (valore di p)</w:t>
      </w:r>
      <w:r>
        <w:t xml:space="preserve"> </w:t>
      </w:r>
      <w:r>
        <w:t xml:space="preserve">— La probabilità di osservare un risultato come quello ottenuto se in realtà non ci fosse nessun effetto. Per convenzione sotto 0,05 il risultato si dice significativo; a 0,05 esatto è al limite, e non prova granché.</w:t>
      </w:r>
    </w:p>
    <w:p>
      <w:pPr>
        <w:pStyle w:val="BodyText"/>
      </w:pPr>
      <w:r>
        <w:rPr>
          <w:b/>
          <w:bCs/>
        </w:rPr>
        <w:t xml:space="preserve">Polimialgia reumatica</w:t>
      </w:r>
      <w:r>
        <w:t xml:space="preserve"> </w:t>
      </w:r>
      <w:r>
        <w:t xml:space="preserve">— Malattia infiammatoria dei cingoli, dopo i 50 anni, con rigidità mattutina prolungata e indici infiammatori alti.</w:t>
      </w:r>
    </w:p>
    <w:p>
      <w:pPr>
        <w:pStyle w:val="BodyText"/>
      </w:pPr>
      <w:r>
        <w:rPr>
          <w:b/>
          <w:bCs/>
        </w:rPr>
        <w:t xml:space="preserve">Profilo professionale dell’osteopata (DPR 131/2021)</w:t>
      </w:r>
      <w:r>
        <w:t xml:space="preserve"> </w:t>
      </w:r>
      <w:r>
        <w:t xml:space="preserve">— La norma italiana che definisce il perimetro dell’osteopata. Il contenuto che ci riguarda è scritto per intero nel «confine di atto» di «Dove finisce il nostro campo».</w:t>
      </w:r>
    </w:p>
    <w:p>
      <w:pPr>
        <w:pStyle w:val="BodyText"/>
      </w:pPr>
      <w:r>
        <w:rPr>
          <w:b/>
          <w:bCs/>
        </w:rPr>
        <w:t xml:space="preserve">PROBABILE</w:t>
      </w:r>
      <w:r>
        <w:t xml:space="preserve"> </w:t>
      </w:r>
      <w:r>
        <w:t xml:space="preserve">— Etichetta di solidità: razionale forte, prove parziali.</w:t>
      </w:r>
    </w:p>
    <w:p>
      <w:pPr>
        <w:pStyle w:val="BodyText"/>
      </w:pPr>
      <w:r>
        <w:rPr>
          <w:b/>
          <w:bCs/>
        </w:rPr>
        <w:t xml:space="preserve">RAGIONAMENTO</w:t>
      </w:r>
      <w:r>
        <w:t xml:space="preserve"> </w:t>
      </w:r>
      <w:r>
        <w:t xml:space="preserve">— Etichetta di solidità: cornice clinica, non una prova.</w:t>
      </w:r>
    </w:p>
    <w:p>
      <w:pPr>
        <w:pStyle w:val="BodyTex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Risposta non specifica (braccio placebo)</w:t>
      </w:r>
      <w:r>
        <w:t xml:space="preserve"> </w:t>
      </w:r>
      <w:r>
        <w:t xml:space="preserve">— La quota di miglioramento osservata in chi riceve un trattamento inattivo. Non è immaginazione: è tutto ciò che cambia per ragioni diverse dal principio attivo — attesa, attenzione, tempo dedicato, decorso naturale.</w:t>
      </w:r>
    </w:p>
    <w:p>
      <w:pPr>
        <w:pStyle w:val="BodyText"/>
      </w:pPr>
      <w:r>
        <w:rPr>
          <w:b/>
          <w:bCs/>
        </w:rPr>
        <w:t xml:space="preserve">Sarcopenia</w:t>
      </w:r>
      <w:r>
        <w:t xml:space="preserve"> </w:t>
      </w:r>
      <w:r>
        <w:t xml:space="preserve">— Perdita di massa e di forza muscolare legata all’età. Somiglia alla rigidità da immobilità e non è la stessa cosa.</w:t>
      </w:r>
    </w:p>
    <w:p>
      <w:pPr>
        <w:pStyle w:val="BodyText"/>
      </w:pPr>
      <w:r>
        <w:rPr>
          <w:b/>
          <w:bCs/>
        </w:rPr>
        <w:t xml:space="preserve">Sensibilizzazione</w:t>
      </w:r>
      <w:r>
        <w:t xml:space="preserve"> </w:t>
      </w:r>
      <w:r>
        <w:t xml:space="preserve">— Stato in cui lo stesso segnale periferico produce più sintomo, per aumento della sommazione o riduzione del freno discendente.</w:t>
      </w:r>
    </w:p>
    <w:p>
      <w:pPr>
        <w:pStyle w:val="BodyTex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Soglia di pressione dolorosa</w:t>
      </w:r>
      <w:r>
        <w:t xml:space="preserve"> </w:t>
      </w:r>
      <w:r>
        <w:t xml:space="preserve">— La pressione minima, misurata con un algometro, alla quale la persona comincia a sentire dolore invece che semplice pressione. Scende quando la soglia del sistema si abbassa.</w:t>
      </w:r>
    </w:p>
    <w:p>
      <w:pPr>
        <w:pStyle w:val="BodyText"/>
      </w:pPr>
      <w:r>
        <w:rPr>
          <w:b/>
          <w:bCs/>
        </w:rPr>
        <w:t xml:space="preserve">Sommazione temporale</w:t>
      </w:r>
      <w:r>
        <w:t xml:space="preserve"> </w:t>
      </w:r>
      <w:r>
        <w:t xml:space="preserve">— Aumento della percezione dolorosa quando uno stimolo identico viene ripetuto a breve distanza.</w:t>
      </w:r>
    </w:p>
    <w:p>
      <w:pPr>
        <w:pStyle w:val="BodyText"/>
      </w:pPr>
      <w:r>
        <w:rPr>
          <w:b/>
          <w:bCs/>
        </w:rPr>
        <w:t xml:space="preserve">Tissotropia</w:t>
      </w:r>
      <w:r>
        <w:t xml:space="preserve"> </w:t>
      </w:r>
      <w:r>
        <w:t xml:space="preserve">— Proprietà per cui un materiale diventa più rigido stando fermo e più cedevole quando viene mosso. Nel muscolo dipende dai ponti fra actina e miosina che si riformano durante l’immobilità.</w:t>
      </w:r>
    </w:p>
    <w:p>
      <w:pPr>
        <w:pStyle w:val="BodyText"/>
      </w:pPr>
      <w:r>
        <w:rPr>
          <w:b/>
          <w:bCs/>
        </w:rPr>
        <w:t xml:space="preserve">Tono di riposo</w:t>
      </w:r>
      <w:r>
        <w:t xml:space="preserve"> </w:t>
      </w:r>
      <w:r>
        <w:t xml:space="preserve">— Resistenza allo stiramento di un muscolo rilassato ed elettricamente silente. Vale circa l’uno per cento della contrazione massima.</w:t>
      </w:r>
    </w:p>
    <w:p>
      <w:pPr>
        <w:pStyle w:val="BodyText"/>
      </w:pPr>
      <w:r>
        <w:rPr>
          <w:b/>
          <w:bCs/>
        </w:rPr>
        <w:t xml:space="preserve">Variabilità cardiaca (indici vagali)</w:t>
      </w:r>
      <w:r>
        <w:t xml:space="preserve"> </w:t>
      </w:r>
      <w:r>
        <w:t xml:space="preserve">— Misure della variazione fra un battito e l’altro che riflettono l’attività parasimpatica sul cuore.</w:t>
      </w:r>
    </w:p>
    <w:p>
      <w:r>
        <w:pict>
          <v:rect style="width:0;height:1.5pt" o:hralign="center" o:hrstd="t" o:hr="t"/>
        </w:pict>
      </w:r>
    </w:p>
    <w:bookmarkEnd w:id="86"/>
    <w:bookmarkStart w:id="87" w:name="appendice-b-le-fonti"/>
    <w:p>
      <w:pPr>
        <w:pStyle w:val="Heading2"/>
      </w:pPr>
      <w:r>
        <w:t xml:space="preserve">Appendice B — Le fonti</w:t>
      </w:r>
    </w:p>
    <w:p>
      <w:pPr>
        <w:pStyle w:val="FirstParagraph"/>
      </w:pPr>
      <w:r>
        <w:t xml:space="preserve">Nell’ordine in cui compaiono nel testo. Autore, anno, rivista e link verificato.</w:t>
      </w:r>
    </w:p>
    <w:p>
      <w:pPr>
        <w:pStyle w:val="Compact"/>
        <w:numPr>
          <w:ilvl w:val="0"/>
          <w:numId w:val="1039"/>
        </w:numPr>
      </w:pPr>
      <w:r>
        <w:t xml:space="preserve">Cholesterol Treatment Trialists’ Collaboration,</w:t>
      </w:r>
      <w:r>
        <w:t xml:space="preserve"> </w:t>
      </w:r>
      <w:r>
        <w:rPr>
          <w:i/>
          <w:iCs/>
        </w:rPr>
        <w:t xml:space="preserve">Lancet</w:t>
      </w:r>
      <w:r>
        <w:t xml:space="preserve"> </w:t>
      </w:r>
      <w:r>
        <w:t xml:space="preserve">2022. https://pubmed.ncbi.nlm.nih.gov/36049498/</w:t>
      </w:r>
    </w:p>
    <w:p>
      <w:pPr>
        <w:pStyle w:val="Compact"/>
        <w:numPr>
          <w:ilvl w:val="0"/>
          <w:numId w:val="1039"/>
        </w:numPr>
      </w:pPr>
      <w:r>
        <w:t xml:space="preserve">Hershman DL et al.,</w:t>
      </w:r>
      <w:r>
        <w:t xml:space="preserve"> </w:t>
      </w:r>
      <w:r>
        <w:rPr>
          <w:i/>
          <w:iCs/>
        </w:rPr>
        <w:t xml:space="preserve">Adv Exp Med Biol</w:t>
      </w:r>
      <w:r>
        <w:t xml:space="preserve"> </w:t>
      </w:r>
      <w:r>
        <w:t xml:space="preserve">2015. https://pubmed.ncbi.nlm.nih.gov/26059931/</w:t>
      </w:r>
    </w:p>
    <w:p>
      <w:pPr>
        <w:pStyle w:val="Compact"/>
        <w:numPr>
          <w:ilvl w:val="0"/>
          <w:numId w:val="1039"/>
        </w:numPr>
      </w:pPr>
      <w:r>
        <w:t xml:space="preserve">Lombard JM et al.,</w:t>
      </w:r>
      <w:r>
        <w:t xml:space="preserve"> </w:t>
      </w:r>
      <w:r>
        <w:rPr>
          <w:i/>
          <w:iCs/>
        </w:rPr>
        <w:t xml:space="preserve">Support Care Cancer</w:t>
      </w:r>
      <w:r>
        <w:t xml:space="preserve"> </w:t>
      </w:r>
      <w:r>
        <w:t xml:space="preserve">2016. https://pubmed.ncbi.nlm.nih.gov/26556210/</w:t>
      </w:r>
    </w:p>
    <w:p>
      <w:pPr>
        <w:pStyle w:val="Compact"/>
        <w:numPr>
          <w:ilvl w:val="0"/>
          <w:numId w:val="1039"/>
        </w:numPr>
      </w:pPr>
      <w:r>
        <w:t xml:space="preserve">Wright VJ et al.,</w:t>
      </w:r>
      <w:r>
        <w:t xml:space="preserve"> </w:t>
      </w:r>
      <w:r>
        <w:rPr>
          <w:i/>
          <w:iCs/>
        </w:rPr>
        <w:t xml:space="preserve">Climacteric</w:t>
      </w:r>
      <w:r>
        <w:t xml:space="preserve"> </w:t>
      </w:r>
      <w:r>
        <w:t xml:space="preserve">2024. https://pubmed.ncbi.nlm.nih.gov/39077777/</w:t>
      </w:r>
    </w:p>
    <w:p>
      <w:pPr>
        <w:pStyle w:val="Compact"/>
        <w:numPr>
          <w:ilvl w:val="0"/>
          <w:numId w:val="1039"/>
        </w:numPr>
      </w:pPr>
      <w:r>
        <w:t xml:space="preserve">Mansfield KE et al.,</w:t>
      </w:r>
      <w:r>
        <w:t xml:space="preserve"> </w:t>
      </w:r>
      <w:r>
        <w:rPr>
          <w:i/>
          <w:iCs/>
        </w:rPr>
        <w:t xml:space="preserve">Pain</w:t>
      </w:r>
      <w:r>
        <w:t xml:space="preserve"> </w:t>
      </w:r>
      <w:r>
        <w:t xml:space="preserve">2016. https://pubmed.ncbi.nlm.nih.gov/26270591/</w:t>
      </w:r>
    </w:p>
    <w:p>
      <w:pPr>
        <w:pStyle w:val="Compact"/>
        <w:numPr>
          <w:ilvl w:val="0"/>
          <w:numId w:val="1039"/>
        </w:numPr>
      </w:pPr>
      <w:r>
        <w:t xml:space="preserve">D’Souza RS et al.,</w:t>
      </w:r>
      <w:r>
        <w:t xml:space="preserve"> </w:t>
      </w:r>
      <w:r>
        <w:rPr>
          <w:i/>
          <w:iCs/>
        </w:rPr>
        <w:t xml:space="preserve">Anesth Analg</w:t>
      </w:r>
      <w:r>
        <w:t xml:space="preserve"> </w:t>
      </w:r>
      <w:r>
        <w:t xml:space="preserve">2026. https://pubmed.ncbi.nlm.nih.gov/42201834/</w:t>
      </w:r>
    </w:p>
    <w:p>
      <w:pPr>
        <w:pStyle w:val="Compact"/>
        <w:numPr>
          <w:ilvl w:val="0"/>
          <w:numId w:val="1039"/>
        </w:numPr>
      </w:pPr>
      <w:r>
        <w:t xml:space="preserve">Bergman S et al.,</w:t>
      </w:r>
      <w:r>
        <w:t xml:space="preserve"> </w:t>
      </w:r>
      <w:r>
        <w:rPr>
          <w:i/>
          <w:iCs/>
        </w:rPr>
        <w:t xml:space="preserve">J Rheumatol</w:t>
      </w:r>
      <w:r>
        <w:t xml:space="preserve"> </w:t>
      </w:r>
      <w:r>
        <w:t xml:space="preserve">2002. https://pubmed.ncbi.nlm.nih.gov/11950027/</w:t>
      </w:r>
    </w:p>
    <w:p>
      <w:pPr>
        <w:pStyle w:val="Compact"/>
        <w:numPr>
          <w:ilvl w:val="0"/>
          <w:numId w:val="1039"/>
        </w:numPr>
      </w:pPr>
      <w:r>
        <w:t xml:space="preserve">Papageorgiou AC, Silman AJ, Macfarlane GJ,</w:t>
      </w:r>
      <w:r>
        <w:t xml:space="preserve"> </w:t>
      </w:r>
      <w:r>
        <w:rPr>
          <w:i/>
          <w:iCs/>
        </w:rPr>
        <w:t xml:space="preserve">Ann Rheum Dis</w:t>
      </w:r>
      <w:r>
        <w:t xml:space="preserve"> </w:t>
      </w:r>
      <w:r>
        <w:t xml:space="preserve">2002. https://pubmed.ncbi.nlm.nih.gov/12429537/</w:t>
      </w:r>
    </w:p>
    <w:p>
      <w:pPr>
        <w:pStyle w:val="Compact"/>
        <w:numPr>
          <w:ilvl w:val="0"/>
          <w:numId w:val="1039"/>
        </w:numPr>
      </w:pPr>
      <w:r>
        <w:t xml:space="preserve">Mundal I et al., HUNT, 2014. https://pubmed.ncbi.nlm.nih.gov/24951013/</w:t>
      </w:r>
    </w:p>
    <w:p>
      <w:pPr>
        <w:pStyle w:val="Compact"/>
        <w:numPr>
          <w:ilvl w:val="0"/>
          <w:numId w:val="1039"/>
        </w:numPr>
      </w:pPr>
      <w:r>
        <w:t xml:space="preserve">Mogard E et al.,</w:t>
      </w:r>
      <w:r>
        <w:t xml:space="preserve"> </w:t>
      </w:r>
      <w:r>
        <w:rPr>
          <w:i/>
          <w:iCs/>
        </w:rPr>
        <w:t xml:space="preserve">Scand J Rheumatol</w:t>
      </w:r>
      <w:r>
        <w:t xml:space="preserve"> </w:t>
      </w:r>
      <w:r>
        <w:t xml:space="preserve">2019. https://pubmed.ncbi.nlm.nih.gov/31244357/</w:t>
      </w:r>
    </w:p>
    <w:p>
      <w:pPr>
        <w:pStyle w:val="Compact"/>
        <w:numPr>
          <w:ilvl w:val="0"/>
          <w:numId w:val="1039"/>
        </w:numPr>
      </w:pPr>
      <w:r>
        <w:t xml:space="preserve">Masi AT, Hannon JC,</w:t>
      </w:r>
      <w:r>
        <w:t xml:space="preserve"> </w:t>
      </w:r>
      <w:r>
        <w:rPr>
          <w:i/>
          <w:iCs/>
        </w:rPr>
        <w:t xml:space="preserve">J Bodyw Mov Ther</w:t>
      </w:r>
      <w:r>
        <w:t xml:space="preserve"> </w:t>
      </w:r>
      <w:r>
        <w:t xml:space="preserve">2008. https://pubmed.ncbi.nlm.nih.gov/19083691/</w:t>
      </w:r>
    </w:p>
    <w:p>
      <w:pPr>
        <w:pStyle w:val="Compact"/>
        <w:numPr>
          <w:ilvl w:val="0"/>
          <w:numId w:val="1039"/>
        </w:numPr>
      </w:pPr>
      <w:r>
        <w:t xml:space="preserve">Proske U, Tsay A, Allen T,</w:t>
      </w:r>
      <w:r>
        <w:t xml:space="preserve"> </w:t>
      </w:r>
      <w:r>
        <w:rPr>
          <w:i/>
          <w:iCs/>
        </w:rPr>
        <w:t xml:space="preserve">Exp Brain Res</w:t>
      </w:r>
      <w:r>
        <w:t xml:space="preserve"> </w:t>
      </w:r>
      <w:r>
        <w:t xml:space="preserve">2014. https://pubmed.ncbi.nlm.nih.gov/25200179/</w:t>
      </w:r>
    </w:p>
    <w:p>
      <w:pPr>
        <w:pStyle w:val="Compact"/>
        <w:numPr>
          <w:ilvl w:val="0"/>
          <w:numId w:val="1039"/>
        </w:numPr>
      </w:pPr>
      <w:r>
        <w:t xml:space="preserve">Langevin HM et al.,</w:t>
      </w:r>
      <w:r>
        <w:t xml:space="preserve"> </w:t>
      </w:r>
      <w:r>
        <w:rPr>
          <w:i/>
          <w:iCs/>
        </w:rPr>
        <w:t xml:space="preserve">BMC Musculoskelet Disord</w:t>
      </w:r>
      <w:r>
        <w:t xml:space="preserve"> </w:t>
      </w:r>
      <w:r>
        <w:t xml:space="preserve">2011. https://pubmed.ncbi.nlm.nih.gov/21929806/</w:t>
      </w:r>
    </w:p>
    <w:p>
      <w:pPr>
        <w:pStyle w:val="Compact"/>
        <w:numPr>
          <w:ilvl w:val="0"/>
          <w:numId w:val="1039"/>
        </w:numPr>
      </w:pPr>
      <w:r>
        <w:t xml:space="preserve">Vogel S et al.,</w:t>
      </w:r>
      <w:r>
        <w:t xml:space="preserve"> </w:t>
      </w:r>
      <w:r>
        <w:rPr>
          <w:i/>
          <w:iCs/>
        </w:rPr>
        <w:t xml:space="preserve">Life</w:t>
      </w:r>
      <w:r>
        <w:t xml:space="preserve"> </w:t>
      </w:r>
      <w:r>
        <w:t xml:space="preserve">2022. https://pubmed.ncbi.nlm.nih.gov/35330091/</w:t>
      </w:r>
    </w:p>
    <w:p>
      <w:pPr>
        <w:pStyle w:val="Compact"/>
        <w:numPr>
          <w:ilvl w:val="0"/>
          <w:numId w:val="1039"/>
        </w:numPr>
      </w:pPr>
      <w:r>
        <w:t xml:space="preserve">Tesarz J et al.,</w:t>
      </w:r>
      <w:r>
        <w:t xml:space="preserve"> </w:t>
      </w:r>
      <w:r>
        <w:rPr>
          <w:i/>
          <w:iCs/>
        </w:rPr>
        <w:t xml:space="preserve">Neuroscience</w:t>
      </w:r>
      <w:r>
        <w:t xml:space="preserve"> </w:t>
      </w:r>
      <w:r>
        <w:t xml:space="preserve">2011. https://pubmed.ncbi.nlm.nih.gov/21839150/</w:t>
      </w:r>
    </w:p>
    <w:p>
      <w:pPr>
        <w:pStyle w:val="Compact"/>
        <w:numPr>
          <w:ilvl w:val="0"/>
          <w:numId w:val="1039"/>
        </w:numPr>
      </w:pPr>
      <w:r>
        <w:t xml:space="preserve">Schleifer LM et al.,</w:t>
      </w:r>
      <w:r>
        <w:t xml:space="preserve"> </w:t>
      </w:r>
      <w:r>
        <w:rPr>
          <w:i/>
          <w:iCs/>
        </w:rPr>
        <w:t xml:space="preserve">Psychophysiology</w:t>
      </w:r>
      <w:r>
        <w:t xml:space="preserve"> </w:t>
      </w:r>
      <w:r>
        <w:t xml:space="preserve">2008. https://pubmed.ncbi.nlm.nih.gov/18282206/</w:t>
      </w:r>
    </w:p>
    <w:p>
      <w:pPr>
        <w:pStyle w:val="Compact"/>
        <w:numPr>
          <w:ilvl w:val="0"/>
          <w:numId w:val="1039"/>
        </w:numPr>
      </w:pPr>
      <w:r>
        <w:t xml:space="preserve">Sakanaka TE, Lakie M, Reynolds RF,</w:t>
      </w:r>
      <w:r>
        <w:t xml:space="preserve"> </w:t>
      </w:r>
      <w:r>
        <w:rPr>
          <w:i/>
          <w:iCs/>
        </w:rPr>
        <w:t xml:space="preserve">J Physiol</w:t>
      </w:r>
      <w:r>
        <w:t xml:space="preserve"> </w:t>
      </w:r>
      <w:r>
        <w:t xml:space="preserve">2016. https://pubmed.ncbi.nlm.nih.gov/26607292/</w:t>
      </w:r>
    </w:p>
    <w:p>
      <w:pPr>
        <w:pStyle w:val="Compact"/>
        <w:numPr>
          <w:ilvl w:val="0"/>
          <w:numId w:val="1039"/>
        </w:numPr>
      </w:pPr>
      <w:r>
        <w:t xml:space="preserve">Nitta A et al.,</w:t>
      </w:r>
      <w:r>
        <w:t xml:space="preserve"> </w:t>
      </w:r>
      <w:r>
        <w:rPr>
          <w:i/>
          <w:iCs/>
        </w:rPr>
        <w:t xml:space="preserve">J Back Musculoskelet Rehabil</w:t>
      </w:r>
      <w:r>
        <w:t xml:space="preserve"> </w:t>
      </w:r>
      <w:r>
        <w:t xml:space="preserve">2025. https://pubmed.ncbi.nlm.nih.gov/40084577/</w:t>
      </w:r>
    </w:p>
    <w:p>
      <w:pPr>
        <w:pStyle w:val="Compact"/>
        <w:numPr>
          <w:ilvl w:val="0"/>
          <w:numId w:val="1039"/>
        </w:numPr>
      </w:pPr>
      <w:r>
        <w:t xml:space="preserve">Kovats A, Thom JM,</w:t>
      </w:r>
      <w:r>
        <w:t xml:space="preserve"> </w:t>
      </w:r>
      <w:r>
        <w:rPr>
          <w:i/>
          <w:iCs/>
        </w:rPr>
        <w:t xml:space="preserve">JSAMS Plus</w:t>
      </w:r>
      <w:r>
        <w:t xml:space="preserve"> </w:t>
      </w:r>
      <w:r>
        <w:t xml:space="preserve">2025. https://pubmed.ncbi.nlm.nih.gov/41869370/</w:t>
      </w:r>
    </w:p>
    <w:p>
      <w:pPr>
        <w:pStyle w:val="Compact"/>
        <w:numPr>
          <w:ilvl w:val="0"/>
          <w:numId w:val="1039"/>
        </w:numPr>
      </w:pPr>
      <w:r>
        <w:t xml:space="preserve">Lakie M, Campbell KS,</w:t>
      </w:r>
      <w:r>
        <w:t xml:space="preserve"> </w:t>
      </w:r>
      <w:r>
        <w:rPr>
          <w:i/>
          <w:iCs/>
        </w:rPr>
        <w:t xml:space="preserve">J Appl Physiol</w:t>
      </w:r>
      <w:r>
        <w:t xml:space="preserve"> </w:t>
      </w:r>
      <w:r>
        <w:t xml:space="preserve">2019. https://pubmed.ncbi.nlm.nih.gov/31070959/</w:t>
      </w:r>
    </w:p>
    <w:p>
      <w:pPr>
        <w:pStyle w:val="Compact"/>
        <w:numPr>
          <w:ilvl w:val="0"/>
          <w:numId w:val="1039"/>
        </w:numPr>
      </w:pPr>
      <w:r>
        <w:t xml:space="preserve">O’Brien AT et al.,</w:t>
      </w:r>
      <w:r>
        <w:t xml:space="preserve"> </w:t>
      </w:r>
      <w:r>
        <w:rPr>
          <w:i/>
          <w:iCs/>
        </w:rPr>
        <w:t xml:space="preserve">J Pain</w:t>
      </w:r>
      <w:r>
        <w:t xml:space="preserve"> </w:t>
      </w:r>
      <w:r>
        <w:t xml:space="preserve">2018. https://pubmed.ncbi.nlm.nih.gov/29454976/</w:t>
      </w:r>
    </w:p>
    <w:p>
      <w:pPr>
        <w:pStyle w:val="Compact"/>
        <w:numPr>
          <w:ilvl w:val="0"/>
          <w:numId w:val="1039"/>
        </w:numPr>
      </w:pPr>
      <w:r>
        <w:t xml:space="preserve">Chang JR et al.,</w:t>
      </w:r>
      <w:r>
        <w:t xml:space="preserve"> </w:t>
      </w:r>
      <w:r>
        <w:rPr>
          <w:i/>
          <w:iCs/>
        </w:rPr>
        <w:t xml:space="preserve">Sleep Med Rev</w:t>
      </w:r>
      <w:r>
        <w:t xml:space="preserve"> </w:t>
      </w:r>
      <w:r>
        <w:t xml:space="preserve">2022. https://pubmed.ncbi.nlm.nih.gov/36334461/</w:t>
      </w:r>
    </w:p>
    <w:p>
      <w:pPr>
        <w:pStyle w:val="Compact"/>
        <w:numPr>
          <w:ilvl w:val="0"/>
          <w:numId w:val="1039"/>
        </w:numPr>
      </w:pPr>
      <w:r>
        <w:t xml:space="preserve">Schrimpf M et al.,</w:t>
      </w:r>
      <w:r>
        <w:t xml:space="preserve"> </w:t>
      </w:r>
      <w:r>
        <w:rPr>
          <w:i/>
          <w:iCs/>
        </w:rPr>
        <w:t xml:space="preserve">Sleep Med</w:t>
      </w:r>
      <w:r>
        <w:t xml:space="preserve"> </w:t>
      </w:r>
      <w:r>
        <w:t xml:space="preserve">2015. https://pubmed.ncbi.nlm.nih.gov/26498229/</w:t>
      </w:r>
    </w:p>
    <w:p>
      <w:pPr>
        <w:pStyle w:val="Compact"/>
        <w:numPr>
          <w:ilvl w:val="0"/>
          <w:numId w:val="1039"/>
        </w:numPr>
      </w:pPr>
      <w:r>
        <w:t xml:space="preserve">Finan PH, Goodin BR, Smith MT,</w:t>
      </w:r>
      <w:r>
        <w:t xml:space="preserve"> </w:t>
      </w:r>
      <w:r>
        <w:rPr>
          <w:i/>
          <w:iCs/>
        </w:rPr>
        <w:t xml:space="preserve">J Pain</w:t>
      </w:r>
      <w:r>
        <w:t xml:space="preserve"> </w:t>
      </w:r>
      <w:r>
        <w:t xml:space="preserve">2013. https://pubmed.ncbi.nlm.nih.gov/24290442/</w:t>
      </w:r>
    </w:p>
    <w:p>
      <w:pPr>
        <w:pStyle w:val="Compact"/>
        <w:numPr>
          <w:ilvl w:val="0"/>
          <w:numId w:val="1039"/>
        </w:numPr>
      </w:pPr>
      <w:r>
        <w:t xml:space="preserve">Mork PJ, Nilsen TIL,</w:t>
      </w:r>
      <w:r>
        <w:t xml:space="preserve"> </w:t>
      </w:r>
      <w:r>
        <w:rPr>
          <w:i/>
          <w:iCs/>
        </w:rPr>
        <w:t xml:space="preserve">Arthritis Rheum</w:t>
      </w:r>
      <w:r>
        <w:t xml:space="preserve"> </w:t>
      </w:r>
      <w:r>
        <w:t xml:space="preserve">2012. https://pubmed.ncbi.nlm.nih.gov/22081440/ (lettera critica: Wolfe F, https://pubmed.ncbi.nlm.nih.gov/22354843/)</w:t>
      </w:r>
    </w:p>
    <w:p>
      <w:pPr>
        <w:pStyle w:val="Compact"/>
        <w:numPr>
          <w:ilvl w:val="0"/>
          <w:numId w:val="1039"/>
        </w:numPr>
      </w:pPr>
      <w:r>
        <w:t xml:space="preserve">Kosek E et al.,</w:t>
      </w:r>
      <w:r>
        <w:t xml:space="preserve"> </w:t>
      </w:r>
      <w:r>
        <w:rPr>
          <w:i/>
          <w:iCs/>
        </w:rPr>
        <w:t xml:space="preserve">Pain</w:t>
      </w:r>
      <w:r>
        <w:t xml:space="preserve"> </w:t>
      </w:r>
      <w:r>
        <w:t xml:space="preserve">2021. https://pubmed.ncbi.nlm.nih.gov/33974577/</w:t>
      </w:r>
    </w:p>
    <w:p>
      <w:pPr>
        <w:pStyle w:val="Compact"/>
        <w:numPr>
          <w:ilvl w:val="0"/>
          <w:numId w:val="1039"/>
        </w:numPr>
      </w:pPr>
      <w:r>
        <w:t xml:space="preserve">Nijs J et al.,</w:t>
      </w:r>
      <w:r>
        <w:t xml:space="preserve"> </w:t>
      </w:r>
      <w:r>
        <w:rPr>
          <w:i/>
          <w:iCs/>
        </w:rPr>
        <w:t xml:space="preserve">J Clin Med</w:t>
      </w:r>
      <w:r>
        <w:t xml:space="preserve"> </w:t>
      </w:r>
      <w:r>
        <w:t xml:space="preserve">2021. https://pubmed.ncbi.nlm.nih.gov/34361986/</w:t>
      </w:r>
    </w:p>
    <w:p>
      <w:pPr>
        <w:pStyle w:val="Compact"/>
        <w:numPr>
          <w:ilvl w:val="0"/>
          <w:numId w:val="1039"/>
        </w:numPr>
      </w:pPr>
      <w:r>
        <w:t xml:space="preserve">Nakamura M et al.,</w:t>
      </w:r>
      <w:r>
        <w:t xml:space="preserve"> </w:t>
      </w:r>
      <w:r>
        <w:rPr>
          <w:i/>
          <w:iCs/>
        </w:rPr>
        <w:t xml:space="preserve">Sports Med Int Open</w:t>
      </w:r>
      <w:r>
        <w:t xml:space="preserve"> </w:t>
      </w:r>
      <w:r>
        <w:t xml:space="preserve">2018. https://pubmed.ncbi.nlm.nih.gov/30539131/</w:t>
      </w:r>
    </w:p>
    <w:p>
      <w:pPr>
        <w:pStyle w:val="Compact"/>
        <w:numPr>
          <w:ilvl w:val="0"/>
          <w:numId w:val="1039"/>
        </w:numPr>
      </w:pPr>
      <w:r>
        <w:t xml:space="preserve">Yimer BB et al.,</w:t>
      </w:r>
      <w:r>
        <w:t xml:space="preserve"> </w:t>
      </w:r>
      <w:r>
        <w:rPr>
          <w:i/>
          <w:iCs/>
        </w:rPr>
        <w:t xml:space="preserve">Pain Rep</w:t>
      </w:r>
      <w:r>
        <w:t xml:space="preserve"> </w:t>
      </w:r>
      <w:r>
        <w:t xml:space="preserve">2022. https://pubmed.ncbi.nlm.nih.gov/35047712/</w:t>
      </w:r>
    </w:p>
    <w:p>
      <w:pPr>
        <w:pStyle w:val="Compact"/>
        <w:numPr>
          <w:ilvl w:val="0"/>
          <w:numId w:val="1039"/>
        </w:numPr>
      </w:pPr>
      <w:r>
        <w:t xml:space="preserve">Dasgupta B et al.,</w:t>
      </w:r>
      <w:r>
        <w:t xml:space="preserve"> </w:t>
      </w:r>
      <w:r>
        <w:rPr>
          <w:i/>
          <w:iCs/>
        </w:rPr>
        <w:t xml:space="preserve">Ann Rheum Dis</w:t>
      </w:r>
      <w:r>
        <w:t xml:space="preserve"> </w:t>
      </w:r>
      <w:r>
        <w:t xml:space="preserve">2012. https://pubmed.ncbi.nlm.nih.gov/22388996/</w:t>
      </w:r>
    </w:p>
    <w:p>
      <w:pPr>
        <w:pStyle w:val="Compact"/>
        <w:numPr>
          <w:ilvl w:val="0"/>
          <w:numId w:val="1039"/>
        </w:numPr>
      </w:pPr>
      <w:r>
        <w:t xml:space="preserve">Boehme R et al.,</w:t>
      </w:r>
      <w:r>
        <w:t xml:space="preserve"> </w:t>
      </w:r>
      <w:r>
        <w:rPr>
          <w:i/>
          <w:iCs/>
        </w:rPr>
        <w:t xml:space="preserve">Anhedonia to gentle touch in fibromyalgia: normal sensory processing but abnormal evaluation</w:t>
      </w:r>
      <w:r>
        <w:t xml:space="preserve">,</w:t>
      </w:r>
      <w:r>
        <w:t xml:space="preserve"> </w:t>
      </w:r>
      <w:r>
        <w:rPr>
          <w:i/>
          <w:iCs/>
        </w:rPr>
        <w:t xml:space="preserve">Brain Sci</w:t>
      </w:r>
      <w:r>
        <w:t xml:space="preserve"> </w:t>
      </w:r>
      <w:r>
        <w:t xml:space="preserve">2020. https://pubmed.ncbi.nlm.nih.gov/32443443/</w:t>
      </w:r>
    </w:p>
    <w:p>
      <w:pPr>
        <w:pStyle w:val="Compact"/>
        <w:numPr>
          <w:ilvl w:val="0"/>
          <w:numId w:val="1039"/>
        </w:numPr>
      </w:pPr>
      <w:r>
        <w:t xml:space="preserve">Yang H et al.,</w:t>
      </w:r>
      <w:r>
        <w:t xml:space="preserve"> </w:t>
      </w:r>
      <w:r>
        <w:rPr>
          <w:i/>
          <w:iCs/>
        </w:rPr>
        <w:t xml:space="preserve">Technol Health Care</w:t>
      </w:r>
      <w:r>
        <w:t xml:space="preserve"> </w:t>
      </w:r>
      <w:r>
        <w:t xml:space="preserve">2024. https://pubmed.ncbi.nlm.nih.gov/38759063/</w:t>
      </w:r>
    </w:p>
    <w:p>
      <w:pPr>
        <w:pStyle w:val="Compact"/>
        <w:numPr>
          <w:ilvl w:val="0"/>
          <w:numId w:val="1039"/>
        </w:numPr>
      </w:pPr>
      <w:r>
        <w:t xml:space="preserve">Laborde S et al.,</w:t>
      </w:r>
      <w:r>
        <w:t xml:space="preserve"> </w:t>
      </w:r>
      <w:r>
        <w:rPr>
          <w:i/>
          <w:iCs/>
        </w:rPr>
        <w:t xml:space="preserve">Neurosci Biobehav Rev</w:t>
      </w:r>
      <w:r>
        <w:t xml:space="preserve"> </w:t>
      </w:r>
      <w:r>
        <w:t xml:space="preserve">2022. https://pubmed.ncbi.nlm.nih.gov/35623448/</w:t>
      </w:r>
    </w:p>
    <w:p>
      <w:pPr>
        <w:pStyle w:val="Compact"/>
        <w:numPr>
          <w:ilvl w:val="0"/>
          <w:numId w:val="1039"/>
        </w:numPr>
      </w:pPr>
      <w:r>
        <w:t xml:space="preserve">Vancampfort D et al.,</w:t>
      </w:r>
      <w:r>
        <w:t xml:space="preserve"> </w:t>
      </w:r>
      <w:r>
        <w:rPr>
          <w:i/>
          <w:iCs/>
        </w:rPr>
        <w:t xml:space="preserve">Arch Phys Med Rehabil</w:t>
      </w:r>
      <w:r>
        <w:t xml:space="preserve"> </w:t>
      </w:r>
      <w:r>
        <w:t xml:space="preserve">2024. https://pubmed.ncbi.nlm.nih.gov/37331421/</w:t>
      </w:r>
    </w:p>
    <w:p>
      <w:pPr>
        <w:pStyle w:val="Compact"/>
        <w:numPr>
          <w:ilvl w:val="0"/>
          <w:numId w:val="1039"/>
        </w:numPr>
      </w:pPr>
      <w:r>
        <w:t xml:space="preserve">Gordon C et al.,</w:t>
      </w:r>
      <w:r>
        <w:t xml:space="preserve"> </w:t>
      </w:r>
      <w:r>
        <w:rPr>
          <w:i/>
          <w:iCs/>
        </w:rPr>
        <w:t xml:space="preserve">BMJ Open</w:t>
      </w:r>
      <w:r>
        <w:t xml:space="preserve"> </w:t>
      </w:r>
      <w:r>
        <w:t xml:space="preserve">2025. https://pubmed.ncbi.nlm.nih.gov/39920074/</w:t>
      </w:r>
    </w:p>
    <w:p>
      <w:pPr>
        <w:pStyle w:val="Compact"/>
        <w:numPr>
          <w:ilvl w:val="0"/>
          <w:numId w:val="1039"/>
        </w:numPr>
      </w:pPr>
      <w:r>
        <w:t xml:space="preserve">Ferreira PH et al.,</w:t>
      </w:r>
      <w:r>
        <w:t xml:space="preserve"> </w:t>
      </w:r>
      <w:r>
        <w:rPr>
          <w:i/>
          <w:iCs/>
        </w:rPr>
        <w:t xml:space="preserve">The therapeutic alliance between clinicians and patients predicts outcome in chronic low back pain</w:t>
      </w:r>
      <w:r>
        <w:t xml:space="preserve">,</w:t>
      </w:r>
      <w:r>
        <w:t xml:space="preserve"> </w:t>
      </w:r>
      <w:r>
        <w:rPr>
          <w:i/>
          <w:iCs/>
        </w:rPr>
        <w:t xml:space="preserve">Phys Ther</w:t>
      </w:r>
      <w:r>
        <w:t xml:space="preserve"> </w:t>
      </w:r>
      <w:r>
        <w:t xml:space="preserve">2013. https://pubmed.ncbi.nlm.nih.gov/23139428/</w:t>
      </w:r>
    </w:p>
    <w:p>
      <w:pPr>
        <w:pStyle w:val="Compact"/>
        <w:numPr>
          <w:ilvl w:val="0"/>
          <w:numId w:val="1039"/>
        </w:numPr>
      </w:pPr>
      <w:r>
        <w:t xml:space="preserve">Beynon AM, Hebert JJ, Walker BF,</w:t>
      </w:r>
      <w:r>
        <w:t xml:space="preserve"> </w:t>
      </w:r>
      <w:r>
        <w:rPr>
          <w:i/>
          <w:iCs/>
        </w:rPr>
        <w:t xml:space="preserve">Chiropr Man Therap</w:t>
      </w:r>
      <w:r>
        <w:t xml:space="preserve"> </w:t>
      </w:r>
      <w:r>
        <w:t xml:space="preserve">2018. https://pubmed.ncbi.nlm.nih.gov/30524705/</w:t>
      </w:r>
    </w:p>
    <w:p>
      <w:pPr>
        <w:pStyle w:val="Compact"/>
        <w:numPr>
          <w:ilvl w:val="0"/>
          <w:numId w:val="1039"/>
        </w:numPr>
      </w:pPr>
      <w:r>
        <w:t xml:space="preserve">Walker BF et al.,</w:t>
      </w:r>
      <w:r>
        <w:t xml:space="preserve"> </w:t>
      </w:r>
      <w:r>
        <w:rPr>
          <w:i/>
          <w:iCs/>
        </w:rPr>
        <w:t xml:space="preserve">Evid Based Complement Alternat Med</w:t>
      </w:r>
      <w:r>
        <w:t xml:space="preserve"> </w:t>
      </w:r>
      <w:r>
        <w:t xml:space="preserve">2015. https://pubmed.ncbi.nlm.nih.gov/26170883/</w:t>
      </w:r>
    </w:p>
    <w:p>
      <w:pPr>
        <w:pStyle w:val="Compact"/>
        <w:numPr>
          <w:ilvl w:val="0"/>
          <w:numId w:val="1039"/>
        </w:numPr>
      </w:pPr>
      <w:r>
        <w:t xml:space="preserve">Gauvin MG, Riddle DL, Rothstein JM,</w:t>
      </w:r>
      <w:r>
        <w:t xml:space="preserve"> </w:t>
      </w:r>
      <w:r>
        <w:rPr>
          <w:i/>
          <w:iCs/>
        </w:rPr>
        <w:t xml:space="preserve">Phys Ther</w:t>
      </w:r>
      <w:r>
        <w:t xml:space="preserve"> </w:t>
      </w:r>
      <w:r>
        <w:t xml:space="preserve">1990. https://pubmed.ncbi.nlm.nih.gov/2141425/</w:t>
      </w:r>
    </w:p>
    <w:p>
      <w:pPr>
        <w:pStyle w:val="Compact"/>
        <w:numPr>
          <w:ilvl w:val="0"/>
          <w:numId w:val="1039"/>
        </w:numPr>
      </w:pPr>
      <w:r>
        <w:t xml:space="preserve">Ekedahl H, Jönsson B, Frobell RB,</w:t>
      </w:r>
      <w:r>
        <w:t xml:space="preserve"> </w:t>
      </w:r>
      <w:r>
        <w:rPr>
          <w:i/>
          <w:iCs/>
        </w:rPr>
        <w:t xml:space="preserve">Arch Phys Med Rehabil</w:t>
      </w:r>
      <w:r>
        <w:t xml:space="preserve"> </w:t>
      </w:r>
      <w:r>
        <w:t xml:space="preserve">2012. https://pubmed.ncbi.nlm.nih.gov/22555005/</w:t>
      </w:r>
    </w:p>
    <w:p>
      <w:pPr>
        <w:pStyle w:val="Compact"/>
        <w:numPr>
          <w:ilvl w:val="0"/>
          <w:numId w:val="1039"/>
        </w:numPr>
      </w:pPr>
      <w:r>
        <w:t xml:space="preserve">Sinaki M, Mikkelsen BA,</w:t>
      </w:r>
      <w:r>
        <w:t xml:space="preserve"> </w:t>
      </w:r>
      <w:r>
        <w:rPr>
          <w:i/>
          <w:iCs/>
        </w:rPr>
        <w:t xml:space="preserve">Arch Phys Med Rehabil</w:t>
      </w:r>
      <w:r>
        <w:t xml:space="preserve"> </w:t>
      </w:r>
      <w:r>
        <w:t xml:space="preserve">1984. https://pubmed.ncbi.nlm.nih.gov/6487063/</w:t>
      </w:r>
    </w:p>
    <w:p>
      <w:pPr>
        <w:pStyle w:val="Compact"/>
        <w:numPr>
          <w:ilvl w:val="0"/>
          <w:numId w:val="1039"/>
        </w:numPr>
      </w:pPr>
      <w:r>
        <w:t xml:space="preserve">Krause DA et al.,</w:t>
      </w:r>
      <w:r>
        <w:t xml:space="preserve"> </w:t>
      </w:r>
      <w:r>
        <w:rPr>
          <w:i/>
          <w:iCs/>
        </w:rPr>
        <w:t xml:space="preserve">Knee Surg Sports Traumatol Arthrosc</w:t>
      </w:r>
      <w:r>
        <w:t xml:space="preserve"> </w:t>
      </w:r>
      <w:r>
        <w:t xml:space="preserve">2015. https://pubmed.ncbi.nlm.nih.gov/24912575/</w:t>
      </w:r>
    </w:p>
    <w:p>
      <w:pPr>
        <w:pStyle w:val="Compact"/>
        <w:numPr>
          <w:ilvl w:val="0"/>
          <w:numId w:val="1039"/>
        </w:numPr>
      </w:pPr>
      <w:r>
        <w:t xml:space="preserve">Araujo GGC et al.,</w:t>
      </w:r>
      <w:r>
        <w:t xml:space="preserve"> </w:t>
      </w:r>
      <w:r>
        <w:rPr>
          <w:i/>
          <w:iCs/>
        </w:rPr>
        <w:t xml:space="preserve">BMC Musculoskelet Disord</w:t>
      </w:r>
      <w:r>
        <w:t xml:space="preserve"> </w:t>
      </w:r>
      <w:r>
        <w:t xml:space="preserve">2024. https://pubmed.ncbi.nlm.nih.gov/39160504/</w:t>
      </w:r>
    </w:p>
    <w:p>
      <w:pPr>
        <w:pStyle w:val="Compact"/>
        <w:numPr>
          <w:ilvl w:val="0"/>
          <w:numId w:val="1039"/>
        </w:numPr>
      </w:pPr>
      <w:r>
        <w:t xml:space="preserve">Walton DM et al.,</w:t>
      </w:r>
      <w:r>
        <w:t xml:space="preserve"> </w:t>
      </w:r>
      <w:r>
        <w:rPr>
          <w:i/>
          <w:iCs/>
        </w:rPr>
        <w:t xml:space="preserve">J Orthop Sports Phys Ther</w:t>
      </w:r>
      <w:r>
        <w:t xml:space="preserve"> </w:t>
      </w:r>
      <w:r>
        <w:t xml:space="preserve">2011. https://pubmed.ncbi.nlm.nih.gov/21885906/</w:t>
      </w:r>
    </w:p>
    <w:p>
      <w:pPr>
        <w:pStyle w:val="Compact"/>
        <w:numPr>
          <w:ilvl w:val="0"/>
          <w:numId w:val="1039"/>
        </w:numPr>
      </w:pPr>
      <w:r>
        <w:t xml:space="preserve">Chesterton LS et al.,</w:t>
      </w:r>
      <w:r>
        <w:t xml:space="preserve"> </w:t>
      </w:r>
      <w:r>
        <w:rPr>
          <w:i/>
          <w:iCs/>
        </w:rPr>
        <w:t xml:space="preserve">Clin J Pain</w:t>
      </w:r>
      <w:r>
        <w:t xml:space="preserve"> </w:t>
      </w:r>
      <w:r>
        <w:t xml:space="preserve">2007. https://pubmed.ncbi.nlm.nih.gov/18075402/</w:t>
      </w:r>
    </w:p>
    <w:p>
      <w:pPr>
        <w:pStyle w:val="Compact"/>
        <w:numPr>
          <w:ilvl w:val="0"/>
          <w:numId w:val="1039"/>
        </w:numPr>
      </w:pPr>
      <w:r>
        <w:t xml:space="preserve">Buttgereit F et al.,</w:t>
      </w:r>
      <w:r>
        <w:t xml:space="preserve"> </w:t>
      </w:r>
      <w:r>
        <w:rPr>
          <w:i/>
          <w:iCs/>
        </w:rPr>
        <w:t xml:space="preserve">Bull Hosp Jt Dis</w:t>
      </w:r>
      <w:r>
        <w:t xml:space="preserve"> </w:t>
      </w:r>
      <w:r>
        <w:t xml:space="preserve">2015. https://pubmed.ncbi.nlm.nih.gov/26535595/</w:t>
      </w:r>
    </w:p>
    <w:p>
      <w:pPr>
        <w:pStyle w:val="Compact"/>
        <w:numPr>
          <w:ilvl w:val="0"/>
          <w:numId w:val="1039"/>
        </w:numPr>
      </w:pPr>
      <w:r>
        <w:t xml:space="preserve">Estévez-López F et al.,</w:t>
      </w:r>
      <w:r>
        <w:t xml:space="preserve"> </w:t>
      </w:r>
      <w:r>
        <w:rPr>
          <w:i/>
          <w:iCs/>
        </w:rPr>
        <w:t xml:space="preserve">Arch Phys Med Rehabil</w:t>
      </w:r>
      <w:r>
        <w:t xml:space="preserve"> </w:t>
      </w:r>
      <w:r>
        <w:t xml:space="preserve">2021. https://pubmed.ncbi.nlm.nih.gov/32721388/</w:t>
      </w:r>
    </w:p>
    <w:p>
      <w:pPr>
        <w:pStyle w:val="Compact"/>
        <w:numPr>
          <w:ilvl w:val="0"/>
          <w:numId w:val="1039"/>
        </w:numPr>
      </w:pPr>
      <w:r>
        <w:t xml:space="preserve">Cuenca-Martínez F et al.,</w:t>
      </w:r>
      <w:r>
        <w:t xml:space="preserve"> </w:t>
      </w:r>
      <w:r>
        <w:rPr>
          <w:i/>
          <w:iCs/>
        </w:rPr>
        <w:t xml:space="preserve">Semin Arthritis Rheum</w:t>
      </w:r>
      <w:r>
        <w:t xml:space="preserve"> </w:t>
      </w:r>
      <w:r>
        <w:t xml:space="preserve">2023. https://pubmed.ncbi.nlm.nih.gov/37229847/</w:t>
      </w:r>
    </w:p>
    <w:p>
      <w:pPr>
        <w:pStyle w:val="Compact"/>
        <w:numPr>
          <w:ilvl w:val="0"/>
          <w:numId w:val="1039"/>
        </w:numPr>
      </w:pPr>
      <w:r>
        <w:t xml:space="preserve">Selvanathan J et al.,</w:t>
      </w:r>
      <w:r>
        <w:t xml:space="preserve"> </w:t>
      </w:r>
      <w:r>
        <w:rPr>
          <w:i/>
          <w:iCs/>
        </w:rPr>
        <w:t xml:space="preserve">Cognitive behavioral therapy for insomnia in patients with chronic pain — a systematic review and meta-analysis of randomized controlled trials</w:t>
      </w:r>
      <w:r>
        <w:t xml:space="preserve">,</w:t>
      </w:r>
      <w:r>
        <w:t xml:space="preserve"> </w:t>
      </w:r>
      <w:r>
        <w:rPr>
          <w:i/>
          <w:iCs/>
        </w:rPr>
        <w:t xml:space="preserve">Sleep Med Rev</w:t>
      </w:r>
      <w:r>
        <w:t xml:space="preserve"> </w:t>
      </w:r>
      <w:r>
        <w:t xml:space="preserve">2021. https://pubmed.ncbi.nlm.nih.gov/33610967/</w:t>
      </w:r>
    </w:p>
    <w:p>
      <w:pPr>
        <w:pStyle w:val="Compact"/>
        <w:numPr>
          <w:ilvl w:val="0"/>
          <w:numId w:val="1039"/>
        </w:numPr>
      </w:pPr>
      <w:r>
        <w:t xml:space="preserve">Climent-Sanz C et al.,</w:t>
      </w:r>
      <w:r>
        <w:t xml:space="preserve"> </w:t>
      </w:r>
      <w:r>
        <w:rPr>
          <w:i/>
          <w:iCs/>
        </w:rPr>
        <w:t xml:space="preserve">Cognitive behavioral therapy for insomnia (CBT-i) in patients with fibromyalgia: a systematic review and meta-analysis</w:t>
      </w:r>
      <w:r>
        <w:t xml:space="preserve">,</w:t>
      </w:r>
      <w:r>
        <w:t xml:space="preserve"> </w:t>
      </w:r>
      <w:r>
        <w:rPr>
          <w:i/>
          <w:iCs/>
        </w:rPr>
        <w:t xml:space="preserve">Disabil Rehabil</w:t>
      </w:r>
      <w:r>
        <w:t xml:space="preserve"> </w:t>
      </w:r>
      <w:r>
        <w:t xml:space="preserve">2022. https://pubmed.ncbi.nlm.nih.gov/34297651/</w:t>
      </w:r>
    </w:p>
    <w:p>
      <w:pPr>
        <w:pStyle w:val="Compact"/>
        <w:numPr>
          <w:ilvl w:val="0"/>
          <w:numId w:val="1039"/>
        </w:numPr>
      </w:pPr>
      <w:r>
        <w:t xml:space="preserve">Rice D et al.,</w:t>
      </w:r>
      <w:r>
        <w:t xml:space="preserve"> </w:t>
      </w:r>
      <w:r>
        <w:rPr>
          <w:i/>
          <w:iCs/>
        </w:rPr>
        <w:t xml:space="preserve">J Pain</w:t>
      </w:r>
      <w:r>
        <w:t xml:space="preserve"> </w:t>
      </w:r>
      <w:r>
        <w:t xml:space="preserve">2019. https://pubmed.ncbi.nlm.nih.gov/30904519/</w:t>
      </w:r>
    </w:p>
    <w:p>
      <w:pPr>
        <w:pStyle w:val="Compact"/>
        <w:numPr>
          <w:ilvl w:val="0"/>
          <w:numId w:val="1039"/>
        </w:numPr>
      </w:pPr>
      <w:r>
        <w:t xml:space="preserve">Keller KK et al.,</w:t>
      </w:r>
      <w:r>
        <w:t xml:space="preserve"> </w:t>
      </w:r>
      <w:r>
        <w:rPr>
          <w:i/>
          <w:iCs/>
        </w:rPr>
        <w:t xml:space="preserve">Ann Rheum Dis</w:t>
      </w:r>
      <w:r>
        <w:t xml:space="preserve"> </w:t>
      </w:r>
      <w:r>
        <w:t xml:space="preserve">2024. https://pubmed.ncbi.nlm.nih.gov/38050004/</w:t>
      </w:r>
    </w:p>
    <w:p>
      <w:pPr>
        <w:pStyle w:val="Compact"/>
        <w:numPr>
          <w:ilvl w:val="0"/>
          <w:numId w:val="1039"/>
        </w:numPr>
      </w:pPr>
      <w:r>
        <w:t xml:space="preserve">Mukhtyar CB et al.,</w:t>
      </w:r>
      <w:r>
        <w:t xml:space="preserve"> </w:t>
      </w:r>
      <w:r>
        <w:rPr>
          <w:i/>
          <w:iCs/>
        </w:rPr>
        <w:t xml:space="preserve">Ann Rheum Dis</w:t>
      </w:r>
      <w:r>
        <w:t xml:space="preserve"> </w:t>
      </w:r>
      <w:r>
        <w:t xml:space="preserve">2026. https://pubmed.ncbi.nlm.nih.gov/42481270/</w:t>
      </w:r>
    </w:p>
    <w:p>
      <w:pPr>
        <w:pStyle w:val="Compact"/>
        <w:numPr>
          <w:ilvl w:val="0"/>
          <w:numId w:val="1039"/>
        </w:numPr>
      </w:pPr>
      <w:r>
        <w:t xml:space="preserve">Kara M et al.,</w:t>
      </w:r>
      <w:r>
        <w:t xml:space="preserve"> </w:t>
      </w:r>
      <w:r>
        <w:rPr>
          <w:i/>
          <w:iCs/>
        </w:rPr>
        <w:t xml:space="preserve">Medicine</w:t>
      </w:r>
      <w:r>
        <w:t xml:space="preserve"> </w:t>
      </w:r>
      <w:r>
        <w:t xml:space="preserve">2023. https://pubmed.ncbi.nlm.nih.gov/37773830/</w:t>
      </w:r>
    </w:p>
    <w:p>
      <w:pPr>
        <w:pStyle w:val="Compact"/>
        <w:numPr>
          <w:ilvl w:val="0"/>
          <w:numId w:val="1039"/>
        </w:numPr>
      </w:pPr>
      <w:r>
        <w:t xml:space="preserve">Dunkley EJC et al.,</w:t>
      </w:r>
      <w:r>
        <w:t xml:space="preserve"> </w:t>
      </w:r>
      <w:r>
        <w:rPr>
          <w:i/>
          <w:iCs/>
        </w:rPr>
        <w:t xml:space="preserve">QJM</w:t>
      </w:r>
      <w:r>
        <w:t xml:space="preserve"> </w:t>
      </w:r>
      <w:r>
        <w:t xml:space="preserve">2003. https://pubmed.ncbi.nlm.nih.gov/12925718/</w:t>
      </w:r>
    </w:p>
    <w:p>
      <w:pPr>
        <w:pStyle w:val="Compact"/>
        <w:numPr>
          <w:ilvl w:val="0"/>
          <w:numId w:val="1039"/>
        </w:numPr>
      </w:pPr>
      <w:r>
        <w:t xml:space="preserve">Heneghan NR et al., 2020. https://pubmed.ncbi.nlm.nih.gov/32148185/</w:t>
      </w:r>
    </w:p>
    <w:p>
      <w:pPr>
        <w:pStyle w:val="Compact"/>
        <w:numPr>
          <w:ilvl w:val="0"/>
          <w:numId w:val="1039"/>
        </w:numPr>
      </w:pPr>
      <w:r>
        <w:t xml:space="preserve">Carnes D et al.,</w:t>
      </w:r>
      <w:r>
        <w:t xml:space="preserve"> </w:t>
      </w:r>
      <w:r>
        <w:rPr>
          <w:i/>
          <w:iCs/>
        </w:rPr>
        <w:t xml:space="preserve">Man Ther</w:t>
      </w:r>
      <w:r>
        <w:t xml:space="preserve"> </w:t>
      </w:r>
      <w:r>
        <w:t xml:space="preserve">2010. https://pubmed.ncbi.nlm.nih.gov/20097115/</w:t>
      </w:r>
    </w:p>
    <w:p>
      <w:pPr>
        <w:pStyle w:val="Compact"/>
        <w:numPr>
          <w:ilvl w:val="0"/>
          <w:numId w:val="1039"/>
        </w:numPr>
      </w:pPr>
      <w:r>
        <w:t xml:space="preserve">National Institute for Health and Care Excellence, NG71, 2017. https://www.nice.org.uk/guidance/ng71</w:t>
      </w:r>
    </w:p>
    <w:p>
      <w:pPr>
        <w:pStyle w:val="Compact"/>
        <w:numPr>
          <w:ilvl w:val="0"/>
          <w:numId w:val="1039"/>
        </w:numPr>
      </w:pPr>
      <w:r>
        <w:t xml:space="preserve">National Institute for Health and Care Excellence, NG206, 2021. https://www.nice.org.uk/guidance/ng206</w:t>
      </w:r>
    </w:p>
    <w:p>
      <w:pPr>
        <w:pStyle w:val="Compact"/>
        <w:numPr>
          <w:ilvl w:val="0"/>
          <w:numId w:val="1039"/>
        </w:numPr>
      </w:pPr>
      <w:r>
        <w:t xml:space="preserve">National Institute for Health and Care Excellence, NG193, 2021. https://www.nice.org.uk/guidance/ng193</w:t>
      </w:r>
    </w:p>
    <w:p>
      <w:pPr>
        <w:pStyle w:val="Compact"/>
        <w:numPr>
          <w:ilvl w:val="0"/>
          <w:numId w:val="1039"/>
        </w:numPr>
      </w:pPr>
      <w:r>
        <w:t xml:space="preserve">IFOMPT, 2020. https://www.ifompt.org/</w:t>
      </w:r>
    </w:p>
    <w:p>
      <w:pPr>
        <w:pStyle w:val="Compact"/>
        <w:numPr>
          <w:ilvl w:val="0"/>
          <w:numId w:val="1039"/>
        </w:numPr>
      </w:pPr>
      <w:r>
        <w:t xml:space="preserve">Stroes ES et al.,</w:t>
      </w:r>
      <w:r>
        <w:t xml:space="preserve"> </w:t>
      </w:r>
      <w:r>
        <w:rPr>
          <w:i/>
          <w:iCs/>
        </w:rPr>
        <w:t xml:space="preserve">Eur Heart J</w:t>
      </w:r>
      <w:r>
        <w:t xml:space="preserve"> </w:t>
      </w:r>
      <w:r>
        <w:t xml:space="preserve">2015. https://pubmed.ncbi.nlm.nih.gov/25694464/</w:t>
      </w:r>
    </w:p>
    <w:p>
      <w:pPr>
        <w:pStyle w:val="Compact"/>
        <w:numPr>
          <w:ilvl w:val="0"/>
          <w:numId w:val="1039"/>
        </w:numPr>
      </w:pPr>
      <w:r>
        <w:t xml:space="preserve">Garrison SR et al.,</w:t>
      </w:r>
      <w:r>
        <w:t xml:space="preserve"> </w:t>
      </w:r>
      <w:r>
        <w:rPr>
          <w:i/>
          <w:iCs/>
        </w:rPr>
        <w:t xml:space="preserve">Cochrane</w:t>
      </w:r>
      <w:r>
        <w:t xml:space="preserve"> </w:t>
      </w:r>
      <w:r>
        <w:t xml:space="preserve">2020. https://pubmed.ncbi.nlm.nih.gov/32956536/</w:t>
      </w:r>
    </w:p>
    <w:p>
      <w:pPr>
        <w:pStyle w:val="Compact"/>
        <w:numPr>
          <w:ilvl w:val="0"/>
          <w:numId w:val="1039"/>
        </w:numPr>
      </w:pPr>
      <w:r>
        <w:t xml:space="preserve">Gamber RG et al.,</w:t>
      </w:r>
      <w:r>
        <w:t xml:space="preserve"> </w:t>
      </w:r>
      <w:r>
        <w:rPr>
          <w:i/>
          <w:iCs/>
        </w:rPr>
        <w:t xml:space="preserve">J Am Osteopath Assoc</w:t>
      </w:r>
      <w:r>
        <w:t xml:space="preserve"> </w:t>
      </w:r>
      <w:r>
        <w:t xml:space="preserve">2002. https://pubmed.ncbi.nlm.nih.gov/12090649/</w:t>
      </w:r>
    </w:p>
    <w:p>
      <w:pPr>
        <w:pStyle w:val="Compact"/>
        <w:numPr>
          <w:ilvl w:val="0"/>
          <w:numId w:val="1039"/>
        </w:numPr>
      </w:pPr>
      <w:r>
        <w:t xml:space="preserve">Marske C et al.,</w:t>
      </w:r>
      <w:r>
        <w:t xml:space="preserve"> </w:t>
      </w:r>
      <w:r>
        <w:rPr>
          <w:i/>
          <w:iCs/>
        </w:rPr>
        <w:t xml:space="preserve">J Altern Complement Med</w:t>
      </w:r>
      <w:r>
        <w:t xml:space="preserve"> </w:t>
      </w:r>
      <w:r>
        <w:t xml:space="preserve">2018. https://pubmed.ncbi.nlm.nih.gov/29298077/</w:t>
      </w:r>
    </w:p>
    <w:p>
      <w:pPr>
        <w:pStyle w:val="Compact"/>
        <w:numPr>
          <w:ilvl w:val="0"/>
          <w:numId w:val="1039"/>
        </w:numPr>
      </w:pPr>
      <w:r>
        <w:t xml:space="preserve">Dal Farra F et al.,</w:t>
      </w:r>
      <w:r>
        <w:t xml:space="preserve"> </w:t>
      </w:r>
      <w:r>
        <w:rPr>
          <w:i/>
          <w:iCs/>
        </w:rPr>
        <w:t xml:space="preserve">J Complement Integr Med</w:t>
      </w:r>
      <w:r>
        <w:t xml:space="preserve"> </w:t>
      </w:r>
      <w:r>
        <w:t xml:space="preserve">2023. https://pubmed.ncbi.nlm.nih.gov/34766483/</w:t>
      </w:r>
    </w:p>
    <w:p>
      <w:pPr>
        <w:pStyle w:val="Compact"/>
        <w:numPr>
          <w:ilvl w:val="0"/>
          <w:numId w:val="1039"/>
        </w:numPr>
      </w:pPr>
      <w:r>
        <w:t xml:space="preserve">Vicenzino B et al.,</w:t>
      </w:r>
      <w:r>
        <w:t xml:space="preserve"> </w:t>
      </w:r>
      <w:r>
        <w:rPr>
          <w:i/>
          <w:iCs/>
        </w:rPr>
        <w:t xml:space="preserve">JMPT</w:t>
      </w:r>
      <w:r>
        <w:t xml:space="preserve"> </w:t>
      </w:r>
      <w:r>
        <w:t xml:space="preserve">1998. https://pubmed.ncbi.nlm.nih.gov/9777544/</w:t>
      </w:r>
    </w:p>
    <w:p>
      <w:pPr>
        <w:pStyle w:val="Compact"/>
        <w:numPr>
          <w:ilvl w:val="0"/>
          <w:numId w:val="1039"/>
        </w:numPr>
      </w:pPr>
      <w:r>
        <w:t xml:space="preserve">Sterling M, Jull G, Wright A,</w:t>
      </w:r>
      <w:r>
        <w:t xml:space="preserve"> </w:t>
      </w:r>
      <w:r>
        <w:rPr>
          <w:i/>
          <w:iCs/>
        </w:rPr>
        <w:t xml:space="preserve">Man Ther</w:t>
      </w:r>
      <w:r>
        <w:t xml:space="preserve"> </w:t>
      </w:r>
      <w:r>
        <w:t xml:space="preserve">2001. https://pubmed.ncbi.nlm.nih.gov/11414776/</w:t>
      </w:r>
    </w:p>
    <w:p>
      <w:pPr>
        <w:pStyle w:val="Compact"/>
        <w:numPr>
          <w:ilvl w:val="0"/>
          <w:numId w:val="1039"/>
        </w:numPr>
      </w:pPr>
      <w:r>
        <w:t xml:space="preserve">Schulze NB et al.,</w:t>
      </w:r>
      <w:r>
        <w:t xml:space="preserve"> </w:t>
      </w:r>
      <w:r>
        <w:rPr>
          <w:i/>
          <w:iCs/>
        </w:rPr>
        <w:t xml:space="preserve">Efficacy of manual therapy on pain, impact of disease, and quality of life in the treatment of fibromyalgia: a systematic review</w:t>
      </w:r>
      <w:r>
        <w:t xml:space="preserve">,</w:t>
      </w:r>
      <w:r>
        <w:t xml:space="preserve"> </w:t>
      </w:r>
      <w:r>
        <w:rPr>
          <w:i/>
          <w:iCs/>
        </w:rPr>
        <w:t xml:space="preserve">Pain Physician</w:t>
      </w:r>
      <w:r>
        <w:t xml:space="preserve"> </w:t>
      </w:r>
      <w:r>
        <w:t xml:space="preserve">2020. https://pubmed.ncbi.nlm.nih.gov/32967389/</w:t>
      </w:r>
    </w:p>
    <w:p>
      <w:pPr>
        <w:pStyle w:val="Compact"/>
        <w:numPr>
          <w:ilvl w:val="0"/>
          <w:numId w:val="1039"/>
        </w:numPr>
      </w:pPr>
      <w:r>
        <w:t xml:space="preserve">Rodgers LJ et al.,</w:t>
      </w:r>
      <w:r>
        <w:t xml:space="preserve"> </w:t>
      </w:r>
      <w:r>
        <w:rPr>
          <w:i/>
          <w:iCs/>
        </w:rPr>
        <w:t xml:space="preserve">An overview of systematic reviews examining the quantitative sensory testing-derived hypoalgesic effects of manual therapy for musculoskeletal pain</w:t>
      </w:r>
      <w:r>
        <w:t xml:space="preserve">,</w:t>
      </w:r>
      <w:r>
        <w:t xml:space="preserve"> </w:t>
      </w:r>
      <w:r>
        <w:rPr>
          <w:i/>
          <w:iCs/>
        </w:rPr>
        <w:t xml:space="preserve">J Man Manip Ther</w:t>
      </w:r>
      <w:r>
        <w:t xml:space="preserve"> </w:t>
      </w:r>
      <w:r>
        <w:t xml:space="preserve">2024. https://pubmed.ncbi.nlm.nih.gov/37908101/</w:t>
      </w:r>
    </w:p>
    <w:p>
      <w:pPr>
        <w:pStyle w:val="Compact"/>
        <w:numPr>
          <w:ilvl w:val="0"/>
          <w:numId w:val="1039"/>
        </w:numPr>
      </w:pPr>
      <w:r>
        <w:t xml:space="preserve">Häuser W et al.,</w:t>
      </w:r>
      <w:r>
        <w:t xml:space="preserve"> </w:t>
      </w:r>
      <w:r>
        <w:rPr>
          <w:i/>
          <w:iCs/>
        </w:rPr>
        <w:t xml:space="preserve">Placebo responders in randomized controlled drug trials of fibromyalgia syndrome</w:t>
      </w:r>
      <w:r>
        <w:t xml:space="preserve">,</w:t>
      </w:r>
      <w:r>
        <w:t xml:space="preserve"> </w:t>
      </w:r>
      <w:r>
        <w:rPr>
          <w:i/>
          <w:iCs/>
        </w:rPr>
        <w:t xml:space="preserve">Schmerz</w:t>
      </w:r>
      <w:r>
        <w:t xml:space="preserve"> </w:t>
      </w:r>
      <w:r>
        <w:t xml:space="preserve">2011 — articolo in tedesco, abstract e versione integrale in inglese disponibili. https://pubmed.ncbi.nlm.nih.gov/22120916/</w:t>
      </w:r>
    </w:p>
    <w:p>
      <w:pPr>
        <w:pStyle w:val="Compact"/>
        <w:numPr>
          <w:ilvl w:val="0"/>
          <w:numId w:val="1039"/>
        </w:numPr>
      </w:pPr>
      <w:r>
        <w:t xml:space="preserve">Martinez-Calderon J et al., 2023. https://pubmed.ncbi.nlm.nih.gov/37161889/</w:t>
      </w:r>
    </w:p>
    <w:p>
      <w:pPr>
        <w:pStyle w:val="Compact"/>
        <w:numPr>
          <w:ilvl w:val="0"/>
          <w:numId w:val="1039"/>
        </w:numPr>
      </w:pPr>
      <w:r>
        <w:t xml:space="preserve">Li YH et al.,</w:t>
      </w:r>
      <w:r>
        <w:t xml:space="preserve"> </w:t>
      </w:r>
      <w:r>
        <w:rPr>
          <w:i/>
          <w:iCs/>
        </w:rPr>
        <w:t xml:space="preserve">PLoS One</w:t>
      </w:r>
      <w:r>
        <w:t xml:space="preserve"> </w:t>
      </w:r>
      <w:r>
        <w:t xml:space="preserve">2014. https://pubmed.ncbi.nlm.nih.gov/24586677/</w:t>
      </w:r>
    </w:p>
    <w:p>
      <w:pPr>
        <w:pStyle w:val="Compact"/>
        <w:numPr>
          <w:ilvl w:val="0"/>
          <w:numId w:val="1039"/>
        </w:numPr>
      </w:pPr>
      <w:r>
        <w:t xml:space="preserve">Yuan SL, Matsutani LA, Marques AP,</w:t>
      </w:r>
      <w:r>
        <w:t xml:space="preserve"> </w:t>
      </w:r>
      <w:r>
        <w:rPr>
          <w:i/>
          <w:iCs/>
        </w:rPr>
        <w:t xml:space="preserve">Man Ther</w:t>
      </w:r>
      <w:r>
        <w:t xml:space="preserve"> </w:t>
      </w:r>
      <w:r>
        <w:t xml:space="preserve">2015. https://pubmed.ncbi.nlm.nih.gov/25457196/</w:t>
      </w:r>
    </w:p>
    <w:p>
      <w:pPr>
        <w:pStyle w:val="Compact"/>
        <w:numPr>
          <w:ilvl w:val="0"/>
          <w:numId w:val="1039"/>
        </w:numPr>
      </w:pPr>
      <w:r>
        <w:t xml:space="preserve">Jelen A et al.,</w:t>
      </w:r>
      <w:r>
        <w:t xml:space="preserve"> </w:t>
      </w:r>
      <w:r>
        <w:rPr>
          <w:i/>
          <w:iCs/>
        </w:rPr>
        <w:t xml:space="preserve">Front Sports Act Living</w:t>
      </w:r>
      <w:r>
        <w:t xml:space="preserve"> </w:t>
      </w:r>
      <w:r>
        <w:t xml:space="preserve">2024. https://pubmed.ncbi.nlm.nih.gov/39253625/</w:t>
      </w:r>
    </w:p>
    <w:p>
      <w:pPr>
        <w:pStyle w:val="Compact"/>
        <w:numPr>
          <w:ilvl w:val="0"/>
          <w:numId w:val="1039"/>
        </w:numPr>
      </w:pPr>
      <w:r>
        <w:t xml:space="preserve">Jelen A et al.,</w:t>
      </w:r>
      <w:r>
        <w:t xml:space="preserve"> </w:t>
      </w:r>
      <w:r>
        <w:rPr>
          <w:i/>
          <w:iCs/>
        </w:rPr>
        <w:t xml:space="preserve">Sports</w:t>
      </w:r>
      <w:r>
        <w:t xml:space="preserve"> </w:t>
      </w:r>
      <w:r>
        <w:t xml:space="preserve">2024. https://pubmed.ncbi.nlm.nih.gov/38251300/</w:t>
      </w:r>
    </w:p>
    <w:p>
      <w:pPr>
        <w:pStyle w:val="Compact"/>
        <w:numPr>
          <w:ilvl w:val="0"/>
          <w:numId w:val="1039"/>
        </w:numPr>
      </w:pPr>
      <w:r>
        <w:t xml:space="preserve">Macfarlane GJ et al.,</w:t>
      </w:r>
      <w:r>
        <w:t xml:space="preserve"> </w:t>
      </w:r>
      <w:r>
        <w:rPr>
          <w:i/>
          <w:iCs/>
        </w:rPr>
        <w:t xml:space="preserve">Ann Rheum Dis</w:t>
      </w:r>
      <w:r>
        <w:t xml:space="preserve"> </w:t>
      </w:r>
      <w:r>
        <w:t xml:space="preserve">2017. https://pubmed.ncbi.nlm.nih.gov/27377815/</w:t>
      </w:r>
    </w:p>
    <w:p>
      <w:pPr>
        <w:pStyle w:val="Compact"/>
        <w:numPr>
          <w:ilvl w:val="0"/>
          <w:numId w:val="1039"/>
        </w:numPr>
      </w:pPr>
      <w:r>
        <w:t xml:space="preserve">Bidonde J, Busch AJ et al.,</w:t>
      </w:r>
      <w:r>
        <w:t xml:space="preserve"> </w:t>
      </w:r>
      <w:r>
        <w:rPr>
          <w:i/>
          <w:iCs/>
        </w:rPr>
        <w:t xml:space="preserve">Cochrane</w:t>
      </w:r>
      <w:r>
        <w:t xml:space="preserve"> </w:t>
      </w:r>
      <w:r>
        <w:t xml:space="preserve">2017. https://pubmed.ncbi.nlm.nih.gov/28636204/</w:t>
      </w:r>
    </w:p>
    <w:p>
      <w:pPr>
        <w:pStyle w:val="Compact"/>
        <w:numPr>
          <w:ilvl w:val="0"/>
          <w:numId w:val="1039"/>
        </w:numPr>
      </w:pPr>
      <w:r>
        <w:t xml:space="preserve">Bidonde J et al.,</w:t>
      </w:r>
      <w:r>
        <w:t xml:space="preserve"> </w:t>
      </w:r>
      <w:r>
        <w:rPr>
          <w:i/>
          <w:iCs/>
        </w:rPr>
        <w:t xml:space="preserve">Cochrane</w:t>
      </w:r>
      <w:r>
        <w:t xml:space="preserve"> </w:t>
      </w:r>
      <w:r>
        <w:t xml:space="preserve">2014. https://pubmed.ncbi.nlm.nih.gov/25350761/</w:t>
      </w:r>
    </w:p>
    <w:p>
      <w:pPr>
        <w:pStyle w:val="Compact"/>
        <w:numPr>
          <w:ilvl w:val="0"/>
          <w:numId w:val="1039"/>
        </w:numPr>
      </w:pPr>
      <w:r>
        <w:t xml:space="preserve">Bidonde J et al.,</w:t>
      </w:r>
      <w:r>
        <w:t xml:space="preserve"> </w:t>
      </w:r>
      <w:r>
        <w:rPr>
          <w:i/>
          <w:iCs/>
        </w:rPr>
        <w:t xml:space="preserve">Cochrane</w:t>
      </w:r>
      <w:r>
        <w:t xml:space="preserve"> </w:t>
      </w:r>
      <w:r>
        <w:t xml:space="preserve">2019. https://pubmed.ncbi.nlm.nih.gov/31124142/</w:t>
      </w:r>
    </w:p>
    <w:p>
      <w:pPr>
        <w:pStyle w:val="Compact"/>
        <w:numPr>
          <w:ilvl w:val="0"/>
          <w:numId w:val="1039"/>
        </w:numPr>
      </w:pPr>
      <w:r>
        <w:t xml:space="preserve">Busch AJ et al.,</w:t>
      </w:r>
      <w:r>
        <w:t xml:space="preserve"> </w:t>
      </w:r>
      <w:r>
        <w:rPr>
          <w:i/>
          <w:iCs/>
        </w:rPr>
        <w:t xml:space="preserve">Cochrane</w:t>
      </w:r>
      <w:r>
        <w:t xml:space="preserve"> </w:t>
      </w:r>
      <w:r>
        <w:t xml:space="preserve">2013. https://pubmed.ncbi.nlm.nih.gov/24362925/</w:t>
      </w:r>
    </w:p>
    <w:p>
      <w:pPr>
        <w:pStyle w:val="Compact"/>
        <w:numPr>
          <w:ilvl w:val="0"/>
          <w:numId w:val="1039"/>
        </w:numPr>
      </w:pPr>
      <w:r>
        <w:t xml:space="preserve">Andersen LL et al.,</w:t>
      </w:r>
      <w:r>
        <w:t xml:space="preserve"> </w:t>
      </w:r>
      <w:r>
        <w:rPr>
          <w:i/>
          <w:iCs/>
        </w:rPr>
        <w:t xml:space="preserve">Pain</w:t>
      </w:r>
      <w:r>
        <w:t xml:space="preserve"> </w:t>
      </w:r>
      <w:r>
        <w:t xml:space="preserve">2011. https://pubmed.ncbi.nlm.nih.gov/21177034/</w:t>
      </w:r>
    </w:p>
    <w:p>
      <w:pPr>
        <w:pStyle w:val="Compact"/>
        <w:numPr>
          <w:ilvl w:val="0"/>
          <w:numId w:val="1039"/>
        </w:numPr>
      </w:pPr>
      <w:r>
        <w:t xml:space="preserve">Zautra AJ et al.,</w:t>
      </w:r>
      <w:r>
        <w:t xml:space="preserve"> </w:t>
      </w:r>
      <w:r>
        <w:rPr>
          <w:i/>
          <w:iCs/>
        </w:rPr>
        <w:t xml:space="preserve">Pain</w:t>
      </w:r>
      <w:r>
        <w:t xml:space="preserve"> </w:t>
      </w:r>
      <w:r>
        <w:t xml:space="preserve">2010. https://pubmed.ncbi.nlm.nih.gov/20079569/</w:t>
      </w:r>
    </w:p>
    <w:p>
      <w:pPr>
        <w:pStyle w:val="Compact"/>
        <w:numPr>
          <w:ilvl w:val="0"/>
          <w:numId w:val="1039"/>
        </w:numPr>
      </w:pPr>
      <w:r>
        <w:t xml:space="preserve">Freitas SR et al.,</w:t>
      </w:r>
      <w:r>
        <w:t xml:space="preserve"> </w:t>
      </w:r>
      <w:r>
        <w:rPr>
          <w:i/>
          <w:iCs/>
        </w:rPr>
        <w:t xml:space="preserve">Scand J Med Sci Sports</w:t>
      </w:r>
      <w:r>
        <w:t xml:space="preserve"> </w:t>
      </w:r>
      <w:r>
        <w:t xml:space="preserve">2018. https://pubmed.ncbi.nlm.nih.gov/28801950/</w:t>
      </w:r>
    </w:p>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Rigidità Muscolare Diffusa</dc:title>
  <dc:creator>Mobilitas — Direzione Osteopatica</dc:creator>
  <dc:language>it-IT</dc:language>
  <cp:keywords/>
  <dcterms:created xsi:type="dcterms:W3CDTF">2026-09-01T04:54:17Z</dcterms:created>
  <dcterms:modified xsi:type="dcterms:W3CDTF">2026-09-01T04:54:17Z</dcterms:modified>
</cp:coreProperties>
</file>

<file path=docProps/custom.xml><?xml version="1.0" encoding="utf-8"?>
<Properties xmlns="http://schemas.openxmlformats.org/officeDocument/2006/custom-properties" xmlns:vt="http://schemas.openxmlformats.org/officeDocument/2006/docPropsVTypes"/>
</file>