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rigidità-muscolare-diffusa"/>
    <w:p>
      <w:pPr>
        <w:pStyle w:val="Heading1"/>
      </w:pPr>
      <w:r>
        <w:t xml:space="preserve">Mappa — Rigidità muscolare diffusa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Busch e Bidonde (quattro revisioni Cochrane sull’esercizio)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Lakie (tissotropia) ·</w:t>
      </w:r>
      <w:r>
        <w:t xml:space="preserve"> </w:t>
      </w:r>
      <w:r>
        <w:rPr>
          <w:b/>
          <w:bCs/>
        </w:rPr>
        <w:t xml:space="preserve">v7 finale</w:t>
      </w:r>
      <w:r>
        <w:t xml:space="preserve"> </w:t>
      </w:r>
      <w:r>
        <w:t xml:space="preserve">· 1 settembre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Non è una diagnosi: è un sintomo che sta dentro almeno cinque quadri diversi.</w:t>
      </w:r>
      <w:r>
        <w:t xml:space="preserve"> </w:t>
      </w:r>
      <w:r>
        <w:t xml:space="preserve">Il contenitore con criteri operativi è il dolore cronico diffuso, che riguarda circa una persona su dieci fra gli adulti. Ma le prevalenze di popolazione non si applicano al tuo ambulatorio, dove il paziente è già selezionato.</w:t>
      </w:r>
      <w:r>
        <w:t xml:space="preserve"> </w:t>
      </w:r>
      <w:r>
        <w:t xml:space="preserve">Il decorso spontaneo è descritto: a tre anni quattro persone su dieci escono dalla categoria senza essere state trattate.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immobilità prolungata → ponti non contrattili che si riformano nel muscolo fermo → rigidità passiva che cresce di ora in ora → ampiezza di movimento ridotta → meno movimento, quindi più rigidità → «sono di legno dappertutto»</w:t>
      </w:r>
    </w:p>
    <w:p>
      <w:pPr>
        <w:pStyle w:val="BodyText"/>
      </w:pPr>
      <w:r>
        <w:rPr>
          <w:b/>
          <w:bCs/>
        </w:rPr>
        <w:t xml:space="preserve">La rigidità torna in una quindicina di secondi di immobilità.</w:t>
      </w:r>
      <w:r>
        <w:t xml:space="preserve"> </w:t>
      </w:r>
      <w:r>
        <w:t xml:space="preserve">Per questo il meccanismo non si tratta in seduta: si tratta nella giornata.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Rigidità da immobilità</w:t>
            </w:r>
          </w:p>
        </w:tc>
        <w:tc>
          <w:tcPr/>
          <w:p>
            <w:pPr>
              <w:pStyle w:val="Compact"/>
            </w:pPr>
            <w:r>
              <w:t xml:space="preserve">Sblocco progressivo, peggiora fermo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mentale su muscolo e respiro</w:t>
            </w:r>
          </w:p>
        </w:tc>
        <w:tc>
          <w:tcPr/>
          <w:p>
            <w:pPr>
              <w:pStyle w:val="Compact"/>
            </w:pPr>
            <w:r>
              <w:t xml:space="preserve">Peggiora sotto pressione, respiro alto</w:t>
            </w:r>
          </w:p>
        </w:tc>
        <w:tc>
          <w:tcPr/>
          <w:p>
            <w:pPr>
              <w:pStyle w:val="Compact"/>
            </w:pPr>
            <w:r>
              <w:t xml:space="preserve">DIMOSTRATO in laboratorio; IPOTESI l’anello CO2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(il sonno viene prima)</w:t>
            </w:r>
          </w:p>
        </w:tc>
        <w:tc>
          <w:tcPr/>
          <w:p>
            <w:pPr>
              <w:pStyle w:val="Compact"/>
            </w:pPr>
            <w:r>
              <w:t xml:space="preserve">Male al tatto ovunque, sonno non ristora</w:t>
            </w:r>
          </w:p>
        </w:tc>
        <w:tc>
          <w:tcPr/>
          <w:p>
            <w:pPr>
              <w:pStyle w:val="Compact"/>
            </w:pPr>
            <w:r>
              <w:t xml:space="preserve">PROBABILE · la leva sul sonno è di un’altra professione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che non scorre</w:t>
            </w:r>
          </w:p>
        </w:tc>
        <w:tc>
          <w:tcPr/>
          <w:p>
            <w:pPr>
              <w:pStyle w:val="Compact"/>
            </w:pPr>
            <w:r>
              <w:t xml:space="preserve">Dolore migrante</w:t>
            </w:r>
            <w:r>
              <w:t xml:space="preserve"> </w:t>
            </w:r>
            <w:r>
              <w:rPr>
                <w:b/>
                <w:bCs/>
              </w:rPr>
              <w:t xml:space="preserve">con</w:t>
            </w:r>
            <w:r>
              <w:t xml:space="preserve"> </w:t>
            </w:r>
            <w:r>
              <w:t xml:space="preserve">pelle che non scorre</w:t>
            </w:r>
          </w:p>
        </w:tc>
        <w:tc>
          <w:tcPr/>
          <w:p>
            <w:pPr>
              <w:pStyle w:val="Compact"/>
            </w:pPr>
            <w:r>
              <w:t xml:space="preserve">PROBABILE il reperto, IPOTESI la leva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Freddo e umido</w:t>
            </w:r>
          </w:p>
        </w:tc>
        <w:tc>
          <w:tcPr/>
          <w:p>
            <w:pPr>
              <w:pStyle w:val="Compact"/>
            </w:pPr>
            <w:r>
              <w:t xml:space="preserve">Peggiora con il meteo, sollievo col caldo</w:t>
            </w:r>
          </w:p>
        </w:tc>
        <w:tc>
          <w:tcPr/>
          <w:p>
            <w:pPr>
              <w:pStyle w:val="Compact"/>
            </w:pPr>
            <w:r>
              <w:t xml:space="preserve">IPOTESI, con dati che ridimensionano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-pattern-e-chi-comanda"/>
    <w:p>
      <w:pPr>
        <w:pStyle w:val="Heading2"/>
      </w:pPr>
      <w:r>
        <w:t xml:space="preserve">4 ·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Meccanismo che comanda</w:t>
            </w:r>
          </w:p>
        </w:tc>
        <w:tc>
          <w:tcPr/>
          <w:p>
            <w:pPr>
              <w:pStyle w:val="Compact"/>
            </w:pPr>
            <w:r>
              <w:t xml:space="preserve">Margine su un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Da immobilità</w:t>
            </w:r>
          </w:p>
        </w:tc>
        <w:tc>
          <w:tcPr/>
          <w:p>
            <w:pPr>
              <w:pStyle w:val="Compact"/>
            </w:pPr>
            <w:r>
              <w:t xml:space="preserve">Sblocco sotto i 30 minuti</w:t>
            </w:r>
          </w:p>
        </w:tc>
        <w:tc>
          <w:tcPr/>
          <w:p>
            <w:pPr>
              <w:pStyle w:val="Compact"/>
            </w:pPr>
            <w:r>
              <w:t xml:space="preserve">Tissotropia</w:t>
            </w:r>
          </w:p>
        </w:tc>
        <w:tc>
          <w:tcPr/>
          <w:p>
            <w:pPr>
              <w:pStyle w:val="Compact"/>
            </w:pPr>
            <w:r>
              <w:t xml:space="preserve">Molto, ma fuori dalla seduta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Da carico mentale</w:t>
            </w:r>
          </w:p>
        </w:tc>
        <w:tc>
          <w:tcPr/>
          <w:p>
            <w:pPr>
              <w:pStyle w:val="Compact"/>
            </w:pPr>
            <w:r>
              <w:t xml:space="preserve">Migliora in vacanza, respiro alto</w:t>
            </w:r>
          </w:p>
        </w:tc>
        <w:tc>
          <w:tcPr/>
          <w:p>
            <w:pPr>
              <w:pStyle w:val="Compact"/>
            </w:pPr>
            <w:r>
              <w:t xml:space="preserve">Livello di attivazione e respiro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Con soglia abbassata</w:t>
            </w:r>
          </w:p>
        </w:tc>
        <w:tc>
          <w:tcPr/>
          <w:p>
            <w:pPr>
              <w:pStyle w:val="Compact"/>
            </w:pPr>
            <w:r>
              <w:t xml:space="preserve">Pressione moderata dolorosa ovunque</w:t>
            </w:r>
          </w:p>
        </w:tc>
        <w:tc>
          <w:tcPr/>
          <w:p>
            <w:pPr>
              <w:pStyle w:val="Compact"/>
            </w:pPr>
            <w:r>
              <w:t xml:space="preserve">Sensibilizzazione</w:t>
            </w:r>
          </w:p>
        </w:tc>
        <w:tc>
          <w:tcPr/>
          <w:p>
            <w:pPr>
              <w:pStyle w:val="Compact"/>
            </w:pPr>
            <w:r>
              <w:t xml:space="preserve">Abbastanza, a bassa intensità e a cinque settimane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Regionale travestita</w:t>
            </w:r>
          </w:p>
        </w:tc>
        <w:tc>
          <w:tcPr/>
          <w:p>
            <w:pPr>
              <w:pStyle w:val="Compact"/>
            </w:pPr>
            <w:r>
              <w:t xml:space="preserve">Un distretto asimmetrico, gli altri no</w:t>
            </w:r>
          </w:p>
        </w:tc>
        <w:tc>
          <w:tcPr/>
          <w:p>
            <w:pPr>
              <w:pStyle w:val="Compact"/>
            </w:pPr>
            <w:r>
              <w:t xml:space="preserve">Scorrimento del tessuto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Non è rigidità muscolare</w:t>
            </w:r>
          </w:p>
        </w:tc>
        <w:tc>
          <w:tcPr/>
          <w:p>
            <w:pPr>
              <w:pStyle w:val="Compact"/>
            </w:pPr>
            <w:r>
              <w:t xml:space="preserve">Vedi bandiere rosse</w:t>
            </w:r>
          </w:p>
        </w:tc>
        <w:tc>
          <w:tcPr/>
          <w:p>
            <w:pPr>
              <w:pStyle w:val="Compact"/>
            </w:pPr>
            <w:r>
              <w:t xml:space="preserve">Nessuno dei cinque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pattern C soddisfa i criteri di dolore nociplastico probabile</w:t>
      </w:r>
      <w:r>
        <w:t xml:space="preserve">, e quella lista è il modo di riconoscerlo senza affidarsi all’impressione. Il pattern D si separa dall’A solo misurando</w:t>
      </w:r>
      <w:r>
        <w:t xml:space="preserve"> </w:t>
      </w:r>
      <w:r>
        <w:rPr>
          <w:b/>
          <w:bCs/>
        </w:rPr>
        <w:t xml:space="preserve">destra contro sinistra</w:t>
      </w:r>
      <w:r>
        <w:t xml:space="preserve">: non esistono valori normali pubblicati, quindi il criterio è il confronto interno, non «fuori norma».</w:t>
      </w:r>
      <w:r>
        <w:t xml:space="preserve"> </w:t>
      </w:r>
      <w:r>
        <w:rPr>
          <w:b/>
          <w:bCs/>
        </w:rPr>
        <w:t xml:space="preserve">E c’è un paziente fuori tabella:</w:t>
      </w:r>
      <w:r>
        <w:t xml:space="preserve"> </w:t>
      </w:r>
      <w:r>
        <w:t xml:space="preserve">quello che dice «sono di legno» e appoggia i palmi a terra. Su di lui i marker di escursione mentono, e la direzione è carico, non ampiezza.</w:t>
      </w:r>
    </w:p>
    <w:p>
      <w:r>
        <w:pict>
          <v:rect style="width:0;height:1.5pt" o:hralign="center" o:hrstd="t" o:hr="t"/>
        </w:pict>
      </w:r>
    </w:p>
    <w:bookmarkEnd w:id="12"/>
    <w:bookmarkStart w:id="13" w:name="il-ragionamento-in-cinque-righe"/>
    <w:p>
      <w:pPr>
        <w:pStyle w:val="Heading2"/>
      </w:pPr>
      <w:r>
        <w:t xml:space="preserve">5 · Il ragionamento, in cinque righe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Ordine di interrogazione, dal piano che comanda a quello che obbedisce:</w:t>
      </w:r>
      <w:r>
        <w:t xml:space="preserve"> </w:t>
      </w:r>
      <w:r>
        <w:t xml:space="preserve">sonno e livello di attivazione → soglia → distribuzione del movimento nella giornata → assetto respiratorio → scorrimento ed escursione.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soglia si chiede prima di costruire il piano</w:t>
      </w:r>
      <w:r>
        <w:t xml:space="preserve">, non dopo: decide l’intensità di tutto il resto.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marker che decide sta su un piano che non hai toccato.</w:t>
      </w:r>
      <w:r>
        <w:t xml:space="preserve"> </w:t>
      </w:r>
      <w:r>
        <w:t xml:space="preserve">Qualunque movimento abbassa la rigidità passiva, quindi un re-test positivo subito dopo il contatto non prova niente. E la rotazione cervicale ha una soglia che la leva manuale non raggiunge: un re-test negativo lì non falsifica l’ipotesi di piano.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posto che misura peggio non è automaticamente il posto che comanda.</w:t>
      </w:r>
      <w:r>
        <w:t xml:space="preserve"> </w:t>
      </w:r>
      <w:r>
        <w:t xml:space="preserve">Prima di eleggerlo, guarda a monte e a valle.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il sonno è distrutto, la leva non è manuale e non è assente — ma non è l’esercizio.</w:t>
      </w:r>
      <w:r>
        <w:t xml:space="preserve"> </w:t>
      </w:r>
      <w:r>
        <w:t xml:space="preserve">Sul piano del sonno l’intervento con le prove migliori è la terapia cognitivo-comportamentale per l’insonnia: la riconosci, la dici e la rinvii, non la eroghi. L’esercizio resta la leva che consegni tu, con effetto piccolo dichiarato, insieme alla segnalazione scritta al curante.</w:t>
      </w:r>
    </w:p>
    <w:p>
      <w:r>
        <w:pict>
          <v:rect style="width:0;height:1.5pt" o:hralign="center" o:hrstd="t" o:hr="t"/>
        </w:pict>
      </w:r>
    </w:p>
    <w:bookmarkEnd w:id="13"/>
    <w:bookmarkStart w:id="14" w:name="i-marker"/>
    <w:p>
      <w:pPr>
        <w:pStyle w:val="Heading2"/>
      </w:pPr>
      <w:r>
        <w:t xml:space="preserve">6 · I marker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Famiglia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 della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Dita-terra</w:t>
            </w:r>
          </w:p>
        </w:tc>
        <w:tc>
          <w:tcPr/>
          <w:p>
            <w:pPr>
              <w:pStyle w:val="Compact"/>
            </w:pPr>
            <w:r>
              <w:t xml:space="preserve">Intra-seduta</w:t>
            </w:r>
          </w:p>
        </w:tc>
        <w:tc>
          <w:tcPr/>
          <w:p>
            <w:pPr>
              <w:pStyle w:val="Compact"/>
            </w:pPr>
            <w:r>
              <w:t xml:space="preserve">4,5 cm</w:t>
            </w:r>
          </w:p>
        </w:tc>
        <w:tc>
          <w:tcPr/>
          <w:p>
            <w:pPr>
              <w:pStyle w:val="Compact"/>
            </w:pPr>
            <w:r>
              <w:t xml:space="preserve">Cambiamento minimo rilevabile, lombalgia acuta/subacuta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interna d’anca</w:t>
            </w:r>
          </w:p>
        </w:tc>
        <w:tc>
          <w:tcPr/>
          <w:p>
            <w:pPr>
              <w:pStyle w:val="Compact"/>
            </w:pPr>
            <w:r>
              <w:t xml:space="preserve">Intra-seduta</w:t>
            </w:r>
          </w:p>
        </w:tc>
        <w:tc>
          <w:tcPr/>
          <w:p>
            <w:pPr>
              <w:pStyle w:val="Compact"/>
            </w:pPr>
            <w:r>
              <w:t xml:space="preserve">5,4 gradi</w:t>
            </w:r>
          </w:p>
        </w:tc>
        <w:tc>
          <w:tcPr/>
          <w:p>
            <w:pPr>
              <w:pStyle w:val="Compact"/>
            </w:pPr>
            <w:r>
              <w:t xml:space="preserve">Cambiamento minimo rilevabile, adulti asintomatici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 attiva</w:t>
            </w:r>
          </w:p>
        </w:tc>
        <w:tc>
          <w:tcPr/>
          <w:p>
            <w:pPr>
              <w:pStyle w:val="Compact"/>
            </w:pPr>
            <w:r>
              <w:t xml:space="preserve">Intra-seduta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Errore dello strumento arrotondato per eccesso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 dolorosa</w:t>
            </w:r>
          </w:p>
        </w:tc>
        <w:tc>
          <w:tcPr/>
          <w:p>
            <w:pPr>
              <w:pStyle w:val="Compact"/>
            </w:pPr>
            <w:r>
              <w:t xml:space="preserve">Intra-seduta</w:t>
            </w:r>
          </w:p>
        </w:tc>
        <w:tc>
          <w:tcPr/>
          <w:p>
            <w:pPr>
              <w:pStyle w:val="Compact"/>
            </w:pPr>
            <w:r>
              <w:t xml:space="preserve">Da definire</w:t>
            </w:r>
          </w:p>
        </w:tc>
        <w:tc>
          <w:tcPr/>
          <w:p>
            <w:pPr>
              <w:pStyle w:val="Compact"/>
            </w:pPr>
            <w:r>
              <w:t xml:space="preserve">Riproducibilità pubblicata, soglia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Sblocco mattutino</w:t>
            </w:r>
          </w:p>
        </w:tc>
        <w:tc>
          <w:tcPr/>
          <w:p>
            <w:pPr>
              <w:pStyle w:val="Compact"/>
            </w:pPr>
            <w:r>
              <w:t xml:space="preserve">Inter-seduta</w:t>
            </w:r>
          </w:p>
        </w:tc>
        <w:tc>
          <w:tcPr/>
          <w:p>
            <w:pPr>
              <w:pStyle w:val="Compact"/>
            </w:pPr>
            <w:r>
              <w:t xml:space="preserve">Riduzione del 30%</w:t>
            </w:r>
          </w:p>
        </w:tc>
        <w:tc>
          <w:tcPr/>
          <w:p>
            <w:pPr>
              <w:pStyle w:val="Compact"/>
            </w:pPr>
            <w:r>
              <w:t xml:space="preserve">Soglia presa in prestito, dichiarata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durezza palpata non è un marker.</w:t>
      </w:r>
      <w:r>
        <w:t xml:space="preserve"> </w:t>
      </w:r>
      <w:r>
        <w:t xml:space="preserve">L’accordo fra operatori non migliora con un addestramento comune, e la palpazione in movimento fa peggio. Resta nell’esame come orientamento, e in cartella si scrive con quella parola.</w:t>
      </w:r>
      <w:r>
        <w:t xml:space="preserve"> </w:t>
      </w:r>
      <w:r>
        <w:rPr>
          <w:b/>
          <w:bCs/>
        </w:rPr>
        <w:t xml:space="preserve">Un miglioramento a sei settimane non è automaticamente tuo:</w:t>
      </w:r>
      <w:r>
        <w:t xml:space="preserve"> </w:t>
      </w:r>
      <w:r>
        <w:t xml:space="preserve">nel braccio placebo degli studi su questa popolazione un paziente su tre migliora del 30%. È il motivo per cui la misura di partenza non è burocrazia.</w:t>
      </w:r>
      <w:r>
        <w:t xml:space="preserve"> </w:t>
      </w:r>
      <w:r>
        <w:rPr>
          <w:b/>
          <w:bCs/>
        </w:rPr>
        <w:t xml:space="preserve">Il dita-terra non si misura</w:t>
      </w:r>
      <w:r>
        <w:t xml:space="preserve"> </w:t>
      </w:r>
      <w:r>
        <w:t xml:space="preserve">in chi ha osteoporosi nota, una frattura da fragilità, una terapia corticosteroidea prolungata o una perdita di statura non spiegata.</w:t>
      </w:r>
      <w:r>
        <w:t xml:space="preserve"> </w:t>
      </w:r>
      <w:r>
        <w:rPr>
          <w:b/>
          <w:bCs/>
        </w:rPr>
        <w:t xml:space="preserve">Vertigine, nausea, disturbi visivi o nistagmo durante la rotazione cervicale</w:t>
      </w:r>
      <w:r>
        <w:t xml:space="preserve"> </w:t>
      </w:r>
      <w:r>
        <w:t xml:space="preserve">fermano la valutazione e aprono il canale medico.</w:t>
      </w:r>
    </w:p>
    <w:p>
      <w:r>
        <w:pict>
          <v:rect style="width:0;height:1.5pt" o:hralign="center" o:hrstd="t" o:hr="t"/>
        </w:pict>
      </w:r>
    </w:p>
    <w:bookmarkEnd w:id="14"/>
    <w:bookmarkStart w:id="15" w:name="il-cancello-bandiere-rosse-e-giallo"/>
    <w:p>
      <w:pPr>
        <w:pStyle w:val="Heading2"/>
      </w:pPr>
      <w:r>
        <w:t xml:space="preserve">7 · Il cancello: bandiere rosse e giallo</w:t>
      </w:r>
    </w:p>
    <w:p>
      <w:pPr>
        <w:pStyle w:val="FirstParagraph"/>
      </w:pPr>
      <w:r>
        <w:rPr>
          <w:b/>
          <w:bCs/>
        </w:rPr>
        <w:t xml:space="preserve">Pronto soccorso, urgente</w:t>
      </w:r>
      <w:r>
        <w:t xml:space="preserve"> </w:t>
      </w:r>
      <w:r>
        <w:t xml:space="preserve">- Rigidità o ipertonia nuova con febbre ≥38 °C, sudorazione, tremore, scosse o confusione, in chi assume tramadolo, antidepressivi serotoninergici, antipsicotici o antiemetici</w:t>
      </w:r>
      <w:r>
        <w:t xml:space="preserve"> </w:t>
      </w:r>
      <w:r>
        <w:t xml:space="preserve">- Rigidità del collo con cefalea nuova e febbre</w:t>
      </w:r>
      <w:r>
        <w:t xml:space="preserve"> </w:t>
      </w:r>
      <w:r>
        <w:t xml:space="preserve">- Urine molto scure dopo dolori muscolari intensi</w:t>
      </w:r>
      <w:r>
        <w:t xml:space="preserve"> </w:t>
      </w:r>
      <w:r>
        <w:t xml:space="preserve">- Quadro dei cingoli con cefalea nuova, dolore alla masticazione o disturbi visivi</w:t>
      </w:r>
      <w:r>
        <w:t xml:space="preserve"> </w:t>
      </w:r>
      <w:r>
        <w:t xml:space="preserve">- Debolezza prossimale con disfagia o dispnea di nuova insorgenza</w:t>
      </w:r>
    </w:p>
    <w:p>
      <w:pPr>
        <w:pStyle w:val="BodyText"/>
      </w:pPr>
      <w:r>
        <w:rPr>
          <w:b/>
          <w:bCs/>
        </w:rPr>
        <w:t xml:space="preserve">Medico curante, invio non differibile</w:t>
      </w:r>
      <w:r>
        <w:t xml:space="preserve"> </w:t>
      </w:r>
      <w:r>
        <w:t xml:space="preserve">- Debolezza prossimale vera e progressiva</w:t>
      </w:r>
      <w:r>
        <w:t xml:space="preserve"> </w:t>
      </w:r>
      <w:r>
        <w:t xml:space="preserve">- Età ≥50, dolore bilaterale ai cingoli, rigidità mattutina &gt;45 min</w:t>
      </w:r>
      <w:r>
        <w:t xml:space="preserve"> </w:t>
      </w:r>
      <w:r>
        <w:t xml:space="preserve">- Rigidità con febbre persistente senza i segni di sopra → in giornata; se il curante non è raggiungibile, pronto soccorso</w:t>
      </w:r>
      <w:r>
        <w:t xml:space="preserve"> </w:t>
      </w:r>
      <w:r>
        <w:t xml:space="preserve">- Rigidità con calo di peso involontario</w:t>
      </w:r>
      <w:r>
        <w:t xml:space="preserve"> </w:t>
      </w:r>
      <w:r>
        <w:t xml:space="preserve">- Tremore a riposo, lentezza, scrittura rimpicciolita</w:t>
      </w:r>
      <w:r>
        <w:t xml:space="preserve"> </w:t>
      </w:r>
      <w:r>
        <w:t xml:space="preserve">- Arrossamento violaceo periorbitario o placche sulle nocche (dermatomiosite)</w:t>
      </w:r>
    </w:p>
    <w:p>
      <w:pPr>
        <w:pStyle w:val="BodyText"/>
      </w:pPr>
      <w:r>
        <w:rPr>
          <w:b/>
          <w:bCs/>
        </w:rPr>
        <w:t xml:space="preserve">Invio programmato</w:t>
      </w:r>
      <w:r>
        <w:t xml:space="preserve"> </w:t>
      </w:r>
      <w:r>
        <w:t xml:space="preserve">- Rigidità con intolleranza al freddo, aumento di peso, stipsi, voce rauca — o funzione tiroidea non ricontrollata da oltre dodici mesi</w:t>
      </w:r>
      <w:r>
        <w:t xml:space="preserve"> </w:t>
      </w:r>
      <w:r>
        <w:t xml:space="preserve">- Esordio &lt;45 anni, rigidità mattutina &gt;30 min, dolore notturno che migliora muovendosi</w:t>
      </w:r>
      <w:r>
        <w:t xml:space="preserve"> </w:t>
      </w:r>
      <w:r>
        <w:t xml:space="preserve">- Sintomi muscolari entro settimane o mesi dall’inizio o dalla modifica di statine, inibitori dell’aromatasi, bifosfonati — e</w:t>
      </w:r>
      <w:r>
        <w:t xml:space="preserve"> </w:t>
      </w:r>
      <w:r>
        <w:rPr>
          <w:b/>
          <w:bCs/>
        </w:rPr>
        <w:t xml:space="preserve">subito</w:t>
      </w:r>
      <w:r>
        <w:t xml:space="preserve">, se si tratta di un inibitore del checkpoint immunitario</w:t>
      </w:r>
    </w:p>
    <w:p>
      <w:pPr>
        <w:pStyle w:val="BodyText"/>
      </w:pPr>
      <w:r>
        <w:rPr>
          <w:b/>
          <w:bCs/>
        </w:rPr>
        <w:t xml:space="preserve">Il giallo è la situazione normale qui</w:t>
      </w:r>
      <w:r>
        <w:t xml:space="preserve">, e regge solo se è scritto. Quattro cose: un reperto tuo in cartella con la data; il paziente informato che quello che misuri dice cosa hai da trattare, non cosa lui ha; una comunicazione scritta al curante con misure, durata, farmaci iniziati o modificati, segnali d’allarme cercati e negativi e data di revisione; una revisione</w:t>
      </w:r>
      <w:r>
        <w:t xml:space="preserve"> </w:t>
      </w:r>
      <w:r>
        <w:rPr>
          <w:b/>
          <w:bCs/>
        </w:rPr>
        <w:t xml:space="preserve">entro sei settimane</w:t>
      </w:r>
      <w:r>
        <w:t xml:space="preserve">, contate in calendario e non in sedute. Il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vuole esami eseguiti</w:t>
      </w:r>
      <w:r>
        <w:t xml:space="preserve"> </w:t>
      </w:r>
      <w:r>
        <w:rPr>
          <w:b/>
          <w:bCs/>
        </w:rPr>
        <w:t xml:space="preserve">dopo l’esordio del quadro attuale</w:t>
      </w:r>
      <w:r>
        <w:t xml:space="preserve">, e porta anch’esso una data. Il</w:t>
      </w:r>
      <w:r>
        <w:t xml:space="preserve"> </w:t>
      </w:r>
      <w:r>
        <w:rPr>
          <w:b/>
          <w:bCs/>
        </w:rPr>
        <w:t xml:space="preserve">rosso da pronto soccorso</w:t>
      </w:r>
      <w:r>
        <w:t xml:space="preserve"> </w:t>
      </w:r>
      <w:r>
        <w:t xml:space="preserve">non ammette trattamento, nemmeno su un reperto autonomo.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«Il muscolo, quando sta fermo, si indurisce da solo. È come il miele nel barattolo: fermo diventa denso, giri il cucchiaio e torna liquido. Il problema non è che ti manchi il movimento: è che le zone che si sono fermate restano ferme anche quando ti alleni. Io misuro quali sono, ci lavoro sopra, e ti do il modo di non farle richiudere. Una cosa te la dico adesso: quello che misuro mi dice cosa ho da trattare, non cosa hai — il perché va comunque inquadrato dal tuo medico, e nel frattempo io non aspetto.»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Nelle raccomandazioni europee su questa popolazione l’unica raccomandazione «forte a favore» basata su meta-analisi è l’esercizio, e circa una persona su cinque lo abbandona — meno se è supervisionata. Tutta la letteratura osteopatica su questo quadro è invece di settantaquattro pazienti in tre studi, di cui uno pilota e uno retrospettivo senza controllo. Questo ti autorizza a essere, nel percorso che questo paziente ha fatto, il professionista che misura la funzione e che consegna e segue nel tempo la leva con le prove migliori. Non ti autorizza a presentare le tue mani come l’intervento raccomandato: su questa condizione non lo sono.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2026-09-01T04:54:22Z</dcterms:created>
  <dcterms:modified xsi:type="dcterms:W3CDTF">2026-09-01T04:54:22Z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