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dolori-mandibolari-atm"/>
    <w:p>
      <w:pPr>
        <w:pStyle w:val="Heading1"/>
      </w:pPr>
      <w:r>
        <w:t xml:space="preserve">Mappa concettuale — Dolori mandibolari (ATM)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Susan Armijo-Olivo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Birgitta Häggman-Henrikson ·</w:t>
      </w:r>
      <w:r>
        <w:t xml:space="preserve"> </w:t>
      </w:r>
      <w:r>
        <w:rPr>
          <w:b/>
          <w:bCs/>
        </w:rPr>
        <w:t xml:space="preserve">v7 finale · 27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3"/>
      </w:pPr>
      <w:r>
        <w:t xml:space="preserve">1 — La condizione in tre righe</w:t>
      </w:r>
    </w:p>
    <w:p>
      <w:pPr>
        <w:pStyle w:val="FirstParagraph"/>
      </w:pPr>
      <w:r>
        <w:t xml:space="preserve">Dolore e disfunzione dei muscoli masticatori e dell’articolazione della mandibola. La forma cronica dolorosa riguarda dal 6% al 9% degli adulti. È il secondo disturbo muscolo-scheletrico da dolore cronico dopo la lombalgia.</w:t>
      </w:r>
      <w:r>
        <w:t xml:space="preserve"> </w:t>
      </w:r>
      <w:r>
        <w:t xml:space="preserve">Senza trattamento, nel blocco articolare 43 pazienti su 100 sono asintomatici a due anni e mezzo. Nel quadro</w:t>
      </w:r>
      <w:r>
        <w:t xml:space="preserve"> </w:t>
      </w:r>
      <w:r>
        <w:rPr>
          <w:b/>
          <w:bCs/>
        </w:rPr>
        <w:t xml:space="preserve">doloroso</w:t>
      </w:r>
      <w:r>
        <w:t xml:space="preserve"> </w:t>
      </w:r>
      <w:r>
        <w:t xml:space="preserve">di prima insorgenza, a sei mesi 75 su 147 sono risolti e 72 persistono.</w:t>
      </w:r>
      <w:r>
        <w:t xml:space="preserve"> </w:t>
      </w:r>
      <w:r>
        <w:t xml:space="preserve">Apertura normale:</w:t>
      </w:r>
      <w:r>
        <w:t xml:space="preserve"> </w:t>
      </w:r>
      <w:r>
        <w:rPr>
          <w:b/>
          <w:bCs/>
        </w:rPr>
        <w:t xml:space="preserve">≥ 40 mm</w:t>
      </w:r>
      <w:r>
        <w:t xml:space="preserve"> </w:t>
      </w:r>
      <w:r>
        <w:t xml:space="preserve">fra i bordi incisali, più overbite. Oltre</w:t>
      </w:r>
      <w:r>
        <w:t xml:space="preserve"> </w:t>
      </w:r>
      <w:r>
        <w:rPr>
          <w:b/>
          <w:bCs/>
        </w:rPr>
        <w:t xml:space="preserve">50-55 mm</w:t>
      </w:r>
      <w:r>
        <w:t xml:space="preserve"> </w:t>
      </w:r>
      <w:r>
        <w:t xml:space="preserve">si entra nell’ipermobilità.</w:t>
      </w:r>
    </w:p>
    <w:p>
      <w:r>
        <w:pict>
          <v:rect style="width:0;height:1.5pt" o:hralign="center" o:hrstd="t" o:hr="t"/>
        </w:pict>
      </w:r>
    </w:p>
    <w:bookmarkEnd w:id="9"/>
    <w:bookmarkStart w:id="10" w:name="la-sequenza-causale"/>
    <w:p>
      <w:pPr>
        <w:pStyle w:val="Heading3"/>
      </w:pPr>
      <w:r>
        <w:t xml:space="preserve">2 — La sequenza causale</w:t>
      </w:r>
    </w:p>
    <w:p>
      <w:pPr>
        <w:pStyle w:val="FirstParagraph"/>
      </w:pPr>
      <w:r>
        <w:rPr>
          <w:rStyle w:val="VerbatimChar"/>
        </w:rPr>
        <w:t xml:space="preserve">tensione diurna della mandibola + collo che non regge il punto d'appoggio → carico continuo sulle unità motorie a bassa soglia degli elevatori → soglia dolorosa del muscolo che scende → convergenza trigemino-cervicale che allarga il campo → dolore alla mandibola, alla tempia e all'orecchio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3"/>
      </w:pPr>
      <w:r>
        <w:t xml:space="preserve">3 —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Muscolo che non molla</w:t>
            </w:r>
          </w:p>
        </w:tc>
        <w:tc>
          <w:tcPr/>
          <w:p>
            <w:pPr>
              <w:pStyle w:val="Compact"/>
            </w:pPr>
            <w:r>
              <w:t xml:space="preserve">Denti a contatto a sorpresa</w:t>
            </w:r>
          </w:p>
        </w:tc>
        <w:tc>
          <w:tcPr/>
          <w:p>
            <w:pPr>
              <w:pStyle w:val="Compact"/>
            </w:pPr>
            <w:r>
              <w:t xml:space="preserve">DIMOSTRATO / 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 che non regge</w:t>
            </w:r>
          </w:p>
        </w:tc>
        <w:tc>
          <w:tcPr/>
          <w:p>
            <w:pPr>
              <w:pStyle w:val="Compact"/>
            </w:pPr>
            <w:r>
              <w:t xml:space="preserve">Rotazione ridotta, storia di trauma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fuori dal binario</w:t>
            </w:r>
          </w:p>
        </w:tc>
        <w:tc>
          <w:tcPr/>
          <w:p>
            <w:pPr>
              <w:pStyle w:val="Compact"/>
            </w:pPr>
            <w:r>
              <w:t xml:space="preserve">Click riproducibile, deviazione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che cambia indirizzo</w:t>
            </w:r>
          </w:p>
        </w:tc>
        <w:tc>
          <w:tcPr/>
          <w:p>
            <w:pPr>
              <w:pStyle w:val="Compact"/>
            </w:pPr>
            <w:r>
              <w:t xml:space="preserve">Orecchio pieno, ORL negativo</w:t>
            </w:r>
          </w:p>
        </w:tc>
        <w:tc>
          <w:tcPr/>
          <w:p>
            <w:pPr>
              <w:pStyle w:val="Compact"/>
            </w:pPr>
            <w:r>
              <w:t xml:space="preserve">DIMOSTRATO /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che alza il peso</w:t>
            </w:r>
          </w:p>
        </w:tc>
        <w:tc>
          <w:tcPr/>
          <w:p>
            <w:pPr>
              <w:pStyle w:val="Compact"/>
            </w:pPr>
            <w:r>
              <w:t xml:space="preserve">Dolore in più sedi, sonno rotto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</w:tbl>
    <w:p>
      <w:pPr>
        <w:pStyle w:val="BodyText"/>
      </w:pPr>
      <w:r>
        <w:rPr>
          <w:i/>
          <w:iCs/>
        </w:rPr>
        <w:t xml:space="preserve">Ordinati per quanto spesso comandano, non per quanto sono solidi. E non è l’ordine in cui si indagano: quello è la Road Map del blocco 6, e comincia dall’ultimo, subito dopo le bandiere rosse.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lasse-che-li-taglia"/>
    <w:p>
      <w:pPr>
        <w:pStyle w:val="Heading3"/>
      </w:pPr>
      <w:r>
        <w:t xml:space="preserve">4 — I sottotipi, e l’asse che li taglia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Muscolare da tensione diurna</w:t>
            </w:r>
          </w:p>
        </w:tc>
        <w:tc>
          <w:tcPr/>
          <w:p>
            <w:pPr>
              <w:pStyle w:val="Compact"/>
            </w:pPr>
            <w:r>
              <w:t xml:space="preserve">Masseteri dolenti al risveglio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Articolare con click</w:t>
            </w:r>
          </w:p>
        </w:tc>
        <w:tc>
          <w:tcPr/>
          <w:p>
            <w:pPr>
              <w:pStyle w:val="Compact"/>
            </w:pPr>
            <w:r>
              <w:t xml:space="preserve">Rumore e dolore pre-auricolare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Blocco recente</w:t>
            </w:r>
          </w:p>
        </w:tc>
        <w:tc>
          <w:tcPr/>
          <w:p>
            <w:pPr>
              <w:pStyle w:val="Compact"/>
            </w:pPr>
            <w:r>
              <w:t xml:space="preserve">Rumore sparito, apertura calata</w:t>
            </w:r>
          </w:p>
        </w:tc>
        <w:tc>
          <w:tcPr/>
          <w:p>
            <w:pPr>
              <w:pStyle w:val="Compact"/>
            </w:pPr>
            <w:r>
              <w:t xml:space="preserve">Abbastanza, se presto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Articolazione lassa</w:t>
            </w:r>
          </w:p>
        </w:tc>
        <w:tc>
          <w:tcPr/>
          <w:p>
            <w:pPr>
              <w:pStyle w:val="Compact"/>
            </w:pPr>
            <w:r>
              <w:t xml:space="preserve">Apertura oltre 50 mm, si aggancia</w:t>
            </w:r>
          </w:p>
        </w:tc>
        <w:tc>
          <w:tcPr/>
          <w:p>
            <w:pPr>
              <w:pStyle w:val="Compact"/>
            </w:pPr>
            <w:r>
              <w:t xml:space="preserve">Obiettivo rovesciato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Degenerativo</w:t>
            </w:r>
          </w:p>
        </w:tc>
        <w:tc>
          <w:tcPr/>
          <w:p>
            <w:pPr>
              <w:pStyle w:val="Compact"/>
            </w:pPr>
            <w:r>
              <w:t xml:space="preserve">Crepitio, oltre i cinquant’anni</w:t>
            </w:r>
          </w:p>
        </w:tc>
        <w:tc>
          <w:tcPr/>
          <w:p>
            <w:pPr>
              <w:pStyle w:val="Compact"/>
            </w:pPr>
            <w:r>
              <w:t xml:space="preserve">Poco —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Infiammatorio sistemico</w:t>
            </w:r>
          </w:p>
        </w:tc>
        <w:tc>
          <w:tcPr/>
          <w:p>
            <w:pPr>
              <w:pStyle w:val="Compact"/>
            </w:pPr>
            <w:r>
              <w:t xml:space="preserve">Poliartrite, rigidità diffusa</w:t>
            </w:r>
          </w:p>
        </w:tc>
        <w:tc>
          <w:tcPr/>
          <w:p>
            <w:pPr>
              <w:pStyle w:val="Compact"/>
            </w:pPr>
            <w:r>
              <w:t xml:space="preserve">Poco — reumatologo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 dominante</w:t>
            </w:r>
          </w:p>
        </w:tc>
        <w:tc>
          <w:tcPr/>
          <w:p>
            <w:pPr>
              <w:pStyle w:val="Compact"/>
            </w:pPr>
            <w:r>
              <w:t xml:space="preserve">Trauma cervicale, rotazione ridotta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</w:tbl>
    <w:p>
      <w:pPr>
        <w:pStyle w:val="BodyText"/>
      </w:pPr>
      <w:r>
        <w:rPr>
          <w:b/>
          <w:bCs/>
        </w:rPr>
        <w:t xml:space="preserve">L’asse trasversale:</w:t>
      </w:r>
      <w:r>
        <w:t xml:space="preserve"> </w:t>
      </w:r>
      <w:r>
        <w:t xml:space="preserve">dolore</w:t>
      </w:r>
      <w:r>
        <w:t xml:space="preserve"> </w:t>
      </w:r>
      <w:r>
        <w:rPr>
          <w:b/>
          <w:bCs/>
        </w:rPr>
        <w:t xml:space="preserve">nocicettivo</w:t>
      </w:r>
      <w:r>
        <w:t xml:space="preserve">, che si riproduce caricando il tessuto, contro</w:t>
      </w:r>
      <w:r>
        <w:t xml:space="preserve"> </w:t>
      </w:r>
      <w:r>
        <w:rPr>
          <w:b/>
          <w:bCs/>
        </w:rPr>
        <w:t xml:space="preserve">nociplastico</w:t>
      </w:r>
      <w:r>
        <w:t xml:space="preserve">, che porta più sedi, sensibilizzazione centrale e sonno peggiore. Il nocicettivo è quello che risponde meglio alle mani.</w:t>
      </w:r>
    </w:p>
    <w:p>
      <w:r>
        <w:pict>
          <v:rect style="width:0;height:1.5pt" o:hralign="center" o:hrstd="t" o:hr="t"/>
        </w:pict>
      </w:r>
    </w:p>
    <w:bookmarkEnd w:id="12"/>
    <w:bookmarkStart w:id="13" w:name="le-bandiere-rosse"/>
    <w:p>
      <w:pPr>
        <w:pStyle w:val="Heading3"/>
      </w:pPr>
      <w:r>
        <w:t xml:space="preserve">5 — Le bandiere rosse</w:t>
      </w:r>
    </w:p>
    <w:p>
      <w:pPr>
        <w:pStyle w:val="Compact"/>
        <w:numPr>
          <w:ilvl w:val="0"/>
          <w:numId w:val="1001"/>
        </w:numPr>
      </w:pPr>
      <w:r>
        <w:t xml:space="preserve">Deficit neurologico acuto, anche in seduta o dopo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Dolore mandibolare da sforzo, non da masticazione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Vertigine non posizionale, diplopia, disartria, disfagia, atassia → pronto soccorso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Gonfiore caldo pre-auricolare, febbre → pronto soccorso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Claudicazione mandibolare oltre i 50 → pronto soccorso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Ipoacusia improvvisa monolaterale → ORL →</w:t>
      </w:r>
      <w:r>
        <w:t xml:space="preserve"> </w:t>
      </w:r>
      <w:r>
        <w:rPr>
          <w:b/>
          <w:bCs/>
        </w:rPr>
        <w:t xml:space="preserve">entro due settimane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Dolore osseo mandibolare in bisfosfonati o denosumab</w:t>
      </w:r>
      <w:r>
        <w:t xml:space="preserve"> </w:t>
      </w:r>
      <w:r>
        <w:t xml:space="preserve">→ maxillo-facciale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Morso cambiato,</w:t>
      </w:r>
      <w:r>
        <w:t xml:space="preserve"> </w:t>
      </w:r>
      <w:r>
        <w:rPr>
          <w:b/>
          <w:bCs/>
        </w:rPr>
        <w:t xml:space="preserve">con o senza trauma</w:t>
      </w:r>
      <w:r>
        <w:t xml:space="preserve"> </w:t>
      </w:r>
      <w:r>
        <w:t xml:space="preserve">→ maxillo-facciale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Apertura che cala di settimana in settimana → maxillo-facciale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Ipoestesia del mento o del labbro → maxillo-facciale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Massa, tumefazione o</w:t>
      </w:r>
      <w:r>
        <w:t xml:space="preserve"> </w:t>
      </w:r>
      <w:r>
        <w:rPr>
          <w:b/>
          <w:bCs/>
        </w:rPr>
        <w:t xml:space="preserve">linfoadenopatia</w:t>
      </w:r>
      <w:r>
        <w:t xml:space="preserve"> </w:t>
      </w:r>
      <w:r>
        <w:t xml:space="preserve">→ maxillo-facciale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Neoplasia pregressa, calo di peso non spiegato → curante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Ulcera orale o raucedine oltre tre settimane → odontoiatra o ORL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→ ROSSO</w:t>
      </w:r>
    </w:p>
    <w:p>
      <w:pPr>
        <w:pStyle w:val="Compact"/>
        <w:numPr>
          <w:ilvl w:val="0"/>
          <w:numId w:val="1001"/>
        </w:numPr>
      </w:pPr>
      <w:r>
        <w:t xml:space="preserve">Blocco recente sotto i 30 mm → gnatologo →</w:t>
      </w:r>
      <w:r>
        <w:t xml:space="preserve"> </w:t>
      </w:r>
      <w:r>
        <w:rPr>
          <w:b/>
          <w:bCs/>
        </w:rPr>
        <w:t xml:space="preserve">revisione a due settimane</w:t>
      </w:r>
      <w:r>
        <w:t xml:space="preserve"> </w:t>
      </w:r>
      <w:r>
        <w:t xml:space="preserve">→ GIALLO</w:t>
      </w:r>
    </w:p>
    <w:p>
      <w:pPr>
        <w:pStyle w:val="FirstParagraph"/>
      </w:pPr>
      <w:r>
        <w:rPr>
          <w:i/>
          <w:iCs/>
        </w:rPr>
        <w:t xml:space="preserve">Rete, non filtro. Nucleo dalla linea guida NHS England GIRFT / RCS 2025.</w:t>
      </w:r>
    </w:p>
    <w:p>
      <w:r>
        <w:pict>
          <v:rect style="width:0;height:1.5pt" o:hralign="center" o:hrstd="t" o:hr="t"/>
        </w:pict>
      </w:r>
    </w:p>
    <w:bookmarkEnd w:id="13"/>
    <w:bookmarkStart w:id="14" w:name="come-decidi-e-su-cosa-verifichi"/>
    <w:p>
      <w:pPr>
        <w:pStyle w:val="Heading3"/>
      </w:pPr>
      <w:r>
        <w:t xml:space="preserve">6 —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bandiere rosse → amplificazione e livello di attivazione → comportamento diurno → carico dal collo → muscolo o articolazione → cosa era successo il giorno dell’esordio.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Apertura senza dolore</w:t>
            </w:r>
          </w:p>
        </w:tc>
        <w:tc>
          <w:tcPr/>
          <w:p>
            <w:pPr>
              <w:pStyle w:val="Compact"/>
            </w:pPr>
            <w:r>
              <w:t xml:space="preserve">5 mm (3 su media di tre)</w:t>
            </w:r>
          </w:p>
        </w:tc>
        <w:tc>
          <w:tcPr/>
          <w:p>
            <w:pPr>
              <w:pStyle w:val="Compact"/>
            </w:pPr>
            <w:r>
              <w:t xml:space="preserve">Kropmans 1999, su sani</w:t>
            </w:r>
          </w:p>
        </w:tc>
        <w:tc>
          <w:tcPr/>
          <w:p>
            <w:pPr>
              <w:pStyle w:val="Compact"/>
            </w:pPr>
            <w:r>
              <w:t xml:space="preserve">Effetto immediato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massetere</w:t>
            </w:r>
          </w:p>
        </w:tc>
        <w:tc>
          <w:tcPr/>
          <w:p>
            <w:pPr>
              <w:pStyle w:val="Compact"/>
            </w:pPr>
            <w:r>
              <w:t xml:space="preserve">+20% sulla mediana</w:t>
            </w:r>
          </w:p>
        </w:tc>
        <w:tc>
          <w:tcPr/>
          <w:p>
            <w:pPr>
              <w:pStyle w:val="Compact"/>
            </w:pPr>
            <w:r>
              <w:t xml:space="preserve">Convenzione di metodo</w:t>
            </w:r>
          </w:p>
        </w:tc>
        <w:tc>
          <w:tcPr/>
          <w:p>
            <w:pPr>
              <w:pStyle w:val="Compact"/>
            </w:pPr>
            <w:r>
              <w:t xml:space="preserve">Effetto immediato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tibiale</w:t>
            </w:r>
          </w:p>
        </w:tc>
        <w:tc>
          <w:tcPr/>
          <w:p>
            <w:pPr>
              <w:pStyle w:val="Compact"/>
            </w:pPr>
            <w:r>
              <w:t xml:space="preserve">+20% sulla mediana</w:t>
            </w:r>
          </w:p>
        </w:tc>
        <w:tc>
          <w:tcPr/>
          <w:p>
            <w:pPr>
              <w:pStyle w:val="Compact"/>
            </w:pPr>
            <w:r>
              <w:t xml:space="preserve">Convenzione · non provata contro sham</w:t>
            </w:r>
          </w:p>
        </w:tc>
        <w:tc>
          <w:tcPr/>
          <w:p>
            <w:pPr>
              <w:pStyle w:val="Compact"/>
            </w:pPr>
            <w:r>
              <w:t xml:space="preserve">Chiave di volta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di provocazione positivi</w:t>
            </w:r>
          </w:p>
        </w:tc>
        <w:tc>
          <w:tcPr/>
          <w:p>
            <w:pPr>
              <w:pStyle w:val="Compact"/>
            </w:pPr>
            <w:r>
              <w:t xml:space="preserve">Due in meno</w:t>
            </w:r>
          </w:p>
        </w:tc>
        <w:tc>
          <w:tcPr/>
          <w:p>
            <w:pPr>
              <w:pStyle w:val="Compact"/>
            </w:pPr>
            <w:r>
              <w:t xml:space="preserve">Convenzione di metodo</w:t>
            </w:r>
          </w:p>
        </w:tc>
        <w:tc>
          <w:tcPr/>
          <w:p>
            <w:pPr>
              <w:pStyle w:val="Compact"/>
            </w:pPr>
            <w:r>
              <w:t xml:space="preserve">Esito di ciclo</w:t>
            </w:r>
          </w:p>
        </w:tc>
      </w:tr>
    </w:tbl>
    <w:p>
      <w:pPr>
        <w:pStyle w:val="BodyText"/>
      </w:pPr>
      <w:r>
        <w:rPr>
          <w:i/>
          <w:iCs/>
        </w:rPr>
        <w:t xml:space="preserve">«Fuori piano» è relativo a ciò che hai trattato. Quando comanda l’amplificazione, la chiave di volta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 è disponibile in seduta</w:t>
      </w:r>
      <w:r>
        <w:rPr>
          <w:i/>
          <w:iCs/>
        </w:rPr>
        <w:t xml:space="preserve">: si giudica sull’esito di ciclo.</w:t>
      </w:r>
    </w:p>
    <w:p>
      <w:pPr>
        <w:pStyle w:val="BodyText"/>
      </w:pPr>
      <w:r>
        <w:rPr>
          <w:i/>
          <w:iCs/>
        </w:rPr>
        <w:t xml:space="preserve">Il marker dice se la tua ipotesi regge in questo paziente. Non dice che il gesto ha prodotto un effetto specifico: l’ipoalgesia a sito remoto si trova contro altri interventi (Coronado, PMID 22296867) e non contro un finto trattamento (Jung, PMID 37172128).</w:t>
      </w:r>
    </w:p>
    <w:p>
      <w:r>
        <w:pict>
          <v:rect style="width:0;height:1.5pt" o:hralign="center" o:hrstd="t" o:hr="t"/>
        </w:pict>
      </w:r>
    </w:p>
    <w:bookmarkEnd w:id="14"/>
    <w:bookmarkStart w:id="15" w:name="la-sicurezza-del-gesto"/>
    <w:p>
      <w:pPr>
        <w:pStyle w:val="Heading3"/>
      </w:pPr>
      <w:r>
        <w:t xml:space="preserve">7 — La sicurezza del gesto</w:t>
      </w:r>
    </w:p>
    <w:p>
      <w:pPr>
        <w:pStyle w:val="FirstParagraph"/>
      </w:pPr>
      <w:r>
        <w:t xml:space="preserve">Dentro la bocca non si entra mai: tecniche esclusivamente manuali, non invasive ed esterne (DPR 131/2021).</w:t>
      </w:r>
      <w:r>
        <w:t xml:space="preserve"> </w:t>
      </w:r>
      <w:r>
        <w:t xml:space="preserve">Triangolo anteriore del collo e pavimento della bocca non sono bersagli. È una scelta prudenziale dichiarata: il beneficio lì non è stato misurato.</w:t>
      </w:r>
      <w:r>
        <w:t xml:space="preserve"> </w:t>
      </w:r>
      <w:r>
        <w:rPr>
          <w:b/>
          <w:bCs/>
        </w:rPr>
        <w:t xml:space="preserve">Prima del collo alto:</w:t>
      </w:r>
      <w:r>
        <w:t xml:space="preserve"> </w:t>
      </w:r>
      <w:r>
        <w:t xml:space="preserve">esame vascolare secondo l’IFOMPT Cervical Framework 2020, scritto in cartella. Le vertigini si differenziano</w:t>
      </w:r>
      <w:r>
        <w:t xml:space="preserve"> </w:t>
      </w:r>
      <w:r>
        <w:rPr>
          <w:b/>
          <w:bCs/>
        </w:rPr>
        <w:t xml:space="preserve">prima</w:t>
      </w:r>
      <w:r>
        <w:t xml:space="preserve">, e non si spiegano con la convergenza.</w:t>
      </w:r>
      <w:r>
        <w:t xml:space="preserve"> </w:t>
      </w:r>
      <w:r>
        <w:t xml:space="preserve">Il pericolo ha un nome:</w:t>
      </w:r>
      <w:r>
        <w:t xml:space="preserve"> </w:t>
      </w:r>
      <w:r>
        <w:rPr>
          <w:b/>
          <w:bCs/>
        </w:rPr>
        <w:t xml:space="preserve">dissezione dell’arteria vertebrale o carotidea</w:t>
      </w:r>
      <w:r>
        <w:t xml:space="preserve">. Nei 12 mesi dopo un colpo di frusta l’incidenza è 1,6 su 100 contro 0,0041.</w:t>
      </w:r>
      <w:r>
        <w:t xml:space="preserve"> </w:t>
      </w:r>
      <w:r>
        <w:rPr>
          <w:b/>
          <w:bCs/>
        </w:rPr>
        <w:t xml:space="preserve">Il segnale d’allarme delle 48 ore lo porta a casa il paziente</w:t>
      </w:r>
      <w:r>
        <w:t xml:space="preserve">, con parole date. E in cartella si scrive che gli è stato detto.</w:t>
      </w:r>
    </w:p>
    <w:p>
      <w:r>
        <w:pict>
          <v:rect style="width:0;height:1.5pt" o:hralign="center" o:hrstd="t" o:hr="t"/>
        </w:pict>
      </w:r>
    </w:p>
    <w:bookmarkEnd w:id="15"/>
    <w:bookmarkStart w:id="16" w:name="cosa-può-fare-il-paziente-da-solo"/>
    <w:p>
      <w:pPr>
        <w:pStyle w:val="Heading3"/>
      </w:pPr>
      <w:r>
        <w:t xml:space="preserve">8 — Cosa può fare il paziente da solo</w:t>
      </w:r>
    </w:p>
    <w:p>
      <w:pPr>
        <w:pStyle w:val="FirstParagraph"/>
      </w:pPr>
      <w:r>
        <w:t xml:space="preserve">Esercizio per il collo · esercizio mandibolare e stretching · spiegazione e auto-osservazione del comportamento diurno.</w:t>
      </w:r>
      <w:r>
        <w:t xml:space="preserve"> </w:t>
      </w:r>
      <w:r>
        <w:rPr>
          <w:b/>
          <w:bCs/>
        </w:rPr>
        <w:t xml:space="preserve">Le raccomandazioni forti riguardano la versione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supervisionata</w:t>
      </w:r>
      <w:r>
        <w:rPr>
          <w:b/>
          <w:bCs/>
        </w:rPr>
        <w:t xml:space="preserve">.</w:t>
      </w:r>
      <w:r>
        <w:t xml:space="preserve"> </w:t>
      </w:r>
      <w:r>
        <w:t xml:space="preserve">La versione domiciliare cade fra le cure abituali, con effetto più basso e abbandono più alto.</w:t>
      </w:r>
      <w:r>
        <w:t xml:space="preserve"> </w:t>
      </w:r>
      <w:r>
        <w:t xml:space="preserve">Non entrano qui: la respirazione, che non ha nessuna sperimentazione; il rilassamento o il biofeedback da soli, che hanno una raccomandazione condizionale</w:t>
      </w:r>
      <w:r>
        <w:t xml:space="preserve"> </w:t>
      </w:r>
      <w:r>
        <w:rPr>
          <w:b/>
          <w:bCs/>
        </w:rPr>
        <w:t xml:space="preserve">contro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5cff843a7870c3a5b3f48a675a474c6e3de18c9"/>
    <w:p>
      <w:pPr>
        <w:pStyle w:val="Heading3"/>
      </w:pPr>
      <w:r>
        <w:t xml:space="preserve">9 — La frase per il paziente, e la frase da non dire</w:t>
      </w:r>
    </w:p>
    <w:p>
      <w:pPr>
        <w:pStyle w:val="FirstParagraph"/>
      </w:pPr>
      <w:r>
        <w:rPr>
          <w:i/>
          <w:iCs/>
        </w:rPr>
        <w:t xml:space="preserve">“La mandibola non lavora da sola: ogni volta che apri la bocca, il collo si muove insieme a lei. Quando la mandibola resta contratta per ore — di giorno, senza che te ne accorga — i muscoli si stancano come un braccio che tiene una borsa piegato: non pesa, e dopo un po’ brucia.”</w:t>
      </w:r>
    </w:p>
    <w:p>
      <w:pPr>
        <w:pStyle w:val="BodyText"/>
      </w:pPr>
      <w:r>
        <w:rPr>
          <w:b/>
          <w:bCs/>
        </w:rPr>
        <w:t xml:space="preserve">Da non dire: che il trattamento «rilassa» o «abbassa lo stress».</w:t>
      </w:r>
      <w:r>
        <w:t xml:space="preserve"> </w:t>
      </w:r>
      <w:r>
        <w:t xml:space="preserve">Nessuno ha misurato quello che affermi, e le misure vicine non concordano. In meta-analisi l’effetto autonomico non si trova e la direzione è ambigua (Hansen, PMID 40232939); la conduttanza cutanea sale (Gordon, PMID 39920074); la variabilità cardiaca sale (Carnevali, PMID 33436300).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Nella meta-analisi a rete di 153 studi controllati su 8.713 pazienti, la mobilizzazione mandibolare assistita dal terapista è fra i tre interventi più efficaci sul dolore cronico mandibolare. Rispetto al finto trattamento, 36 pazienti su 100 in più raggiungono il miglioramento che conta per loro, con</w:t>
      </w:r>
      <w:r>
        <w:t xml:space="preserve"> </w:t>
      </w:r>
      <w:r>
        <w:rPr>
          <w:b/>
          <w:bCs/>
        </w:rPr>
        <w:t xml:space="preserve">certezza moderata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raccomandazione forte a favore</w:t>
      </w:r>
      <w:r>
        <w:t xml:space="preserve">. E la stessa linea guida raccomanda</w:t>
      </w:r>
      <w:r>
        <w:t xml:space="preserve"> </w:t>
      </w:r>
      <w:r>
        <w:rPr>
          <w:b/>
          <w:bCs/>
        </w:rPr>
        <w:t xml:space="preserve">contro</w:t>
      </w:r>
      <w:r>
        <w:t xml:space="preserve"> </w:t>
      </w:r>
      <w:r>
        <w:t xml:space="preserve">i dispositivi occlusali reversibili (Yao e Busse,</w:t>
      </w:r>
      <w:r>
        <w:t xml:space="preserve"> </w:t>
      </w:r>
      <w:r>
        <w:rPr>
          <w:i/>
          <w:iCs/>
        </w:rPr>
        <w:t xml:space="preserve">BMJ</w:t>
      </w:r>
      <w:r>
        <w:t xml:space="preserve"> </w:t>
      </w:r>
      <w:r>
        <w:t xml:space="preserve">2023, PMID 38101924 e 38101929). Questo ti autorizza a presentare il tuo lavoro come intervento di prima linea, con una fonte in mano. Non ti autorizza a dire che il bite non serve: quella raccomandazione è condizionale, riguarda il dolore e non lo smalto, la decisione appartiene a chi l’ha prescritto, e il solo segnale emerso dalla Cochrane va a favore del dispositivo sul dolore muscolare masticando.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Deviazioni dichiarate: due ancore invece di una (D-067); blocco «Come decidi» (D-018); blocco sulla sicurezza del gesto (D-042); blocco sugli strumenti attivi (D-011); uscita in colonna nella tabella delle bandiere rosse (D-015); «La sequenza causale» al posto di «La catena causale» (D-066); bandiere rosse prese da una linea guida di gestione diversa da quella di trattamento (D-070).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2026-08-27T18:10:21Z</dcterms:created>
  <dcterms:modified xsi:type="dcterms:W3CDTF">2026-08-27T18:10:21Z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