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Colon Irritabile</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9" w:name="X9bac5149890f03e052ac2ef3821ccb4259d39ae"/>
    <w:p>
      <w:pPr>
        <w:pStyle w:val="Heading1"/>
      </w:pPr>
      <w:r>
        <w:t xml:space="preserve">Bibbia Teorica — Colon irritabile (sindrome dell’intestino irritabile)</w:t>
      </w:r>
    </w:p>
    <w:p>
      <w:pPr>
        <w:pStyle w:val="FirstParagraph"/>
      </w:pPr>
      <w:r>
        <w:rPr>
          <w:b/>
          <w:bCs/>
        </w:rPr>
        <w:t xml:space="preserve">Mobilitas / OsteoTouch — Direzione Osteopatica</w:t>
      </w:r>
      <w:r>
        <w:t xml:space="preserve"> </w:t>
      </w:r>
      <w:r>
        <w:rPr>
          <w:b/>
          <w:bCs/>
        </w:rPr>
        <w:t xml:space="preserve">Ancora clinica:</w:t>
      </w:r>
      <w:r>
        <w:t xml:space="preserve"> </w:t>
      </w:r>
      <w:r>
        <w:t xml:space="preserve">Marc Bouchoucha, Gastroenterologia, Ospedale Avicenne, Bobigny</w:t>
      </w:r>
      <w:r>
        <w:t xml:space="preserve"> </w:t>
      </w:r>
      <w:r>
        <w:rPr>
          <w:b/>
          <w:bCs/>
        </w:rPr>
        <w:t xml:space="preserve">Ancora fisiologica:</w:t>
      </w:r>
      <w:r>
        <w:t xml:space="preserve"> </w:t>
      </w:r>
      <w:r>
        <w:t xml:space="preserve">Fernando Azpiroz, Hospital Universitari Vall d’Hebron, Barcellona</w:t>
      </w:r>
      <w:r>
        <w:t xml:space="preserve"> </w:t>
      </w:r>
      <w:r>
        <w:rPr>
          <w:b/>
          <w:bCs/>
        </w:rPr>
        <w:t xml:space="preserve">Versione:</w:t>
      </w:r>
      <w:r>
        <w:t xml:space="preserve"> </w:t>
      </w:r>
      <w:r>
        <w:t xml:space="preserve">v7 (revisione di lingua, 6º livello) ·</w:t>
      </w:r>
      <w:r>
        <w:t xml:space="preserve"> </w:t>
      </w:r>
      <w:r>
        <w:rPr>
          <w:b/>
          <w:bCs/>
        </w:rPr>
        <w:t xml:space="preserve">Data:</w:t>
      </w:r>
      <w:r>
        <w:t xml:space="preserve"> </w:t>
      </w:r>
      <w:r>
        <w:t xml:space="preserve">28 agosto 2026</w:t>
      </w:r>
    </w:p>
    <w:p>
      <w:r>
        <w:pict>
          <v:rect style="width:0;height:1.5pt" o:hralign="center" o:hrstd="t" o:hr="t"/>
        </w:pict>
      </w:r>
    </w:p>
    <w:bookmarkStart w:id="9"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c’è quello che devi</w:t>
      </w:r>
      <w:r>
        <w:t xml:space="preserve"> </w:t>
      </w:r>
      <w:r>
        <w:rPr>
          <w:b/>
          <w:bCs/>
        </w:rPr>
        <w:t xml:space="preserve">sapere</w:t>
      </w:r>
      <w:r>
        <w:t xml:space="preserve"> </w:t>
      </w:r>
      <w:r>
        <w:t xml:space="preserve">sul colon irritabile; quello che devi</w:t>
      </w:r>
      <w:r>
        <w:t xml:space="preserve"> </w:t>
      </w:r>
      <w:r>
        <w:rPr>
          <w:b/>
          <w:bCs/>
        </w:rPr>
        <w:t xml:space="preserve">fare</w:t>
      </w:r>
      <w:r>
        <w:t xml:space="preserve"> </w:t>
      </w:r>
      <w:r>
        <w:t xml:space="preserve">in stanza sta nella Procedura.</w:t>
      </w:r>
    </w:p>
    <w:p>
      <w:pPr>
        <w:pStyle w:val="FirstParagraph"/>
      </w:pPr>
      <w:r>
        <w:rPr>
          <w:b/>
          <w:bCs/>
        </w:rPr>
        <w:t xml:space="preserve">A chi parla.</w:t>
      </w:r>
      <w:r>
        <w:t xml:space="preserve"> </w:t>
      </w:r>
      <w:r>
        <w:t xml:space="preserve">All’osteopata del team. Non ti spieghiamo cos’è il diaframma: ti spieghiamo cosa fa il diaframma</w:t>
      </w:r>
      <w:r>
        <w:t xml:space="preserve"> </w:t>
      </w:r>
      <w:r>
        <w:rPr>
          <w:b/>
          <w:bCs/>
        </w:rPr>
        <w:t xml:space="preserve">qui</w:t>
      </w:r>
      <w:r>
        <w:t xml:space="preserve">.</w:t>
      </w:r>
    </w:p>
    <w:p>
      <w:pPr>
        <w:pStyle w:val="BodyText"/>
      </w:pPr>
      <w:r>
        <w:rPr>
          <w:b/>
          <w:bCs/>
        </w:rPr>
        <w:t xml:space="preserve">Le etichette di solidità.</w:t>
      </w:r>
      <w:r>
        <w:t xml:space="preserve"> </w:t>
      </w:r>
      <w:r>
        <w:t xml:space="preserve">Ogni meccanismo, ogni modello e ogni leva ne porta una. La prosa afferma, l’onestà sta nell’etichetta.</w:t>
      </w:r>
    </w:p>
    <w:p>
      <w:pPr>
        <w:pStyle w:val="Compact"/>
        <w:numPr>
          <w:ilvl w:val="0"/>
          <w:numId w:val="1001"/>
        </w:numPr>
      </w:pPr>
      <w:r>
        <w:rPr>
          <w:b/>
          <w:bCs/>
        </w:rPr>
        <w:t xml:space="preserve">DIMOSTRATO</w:t>
      </w:r>
      <w:r>
        <w:t xml:space="preserve"> </w:t>
      </w:r>
      <w:r>
        <w:rPr>
          <w:i/>
          <w:iCs/>
        </w:rPr>
        <w:t xml:space="preserve">(studi sull’uomo, solidi)</w:t>
      </w:r>
    </w:p>
    <w:p>
      <w:pPr>
        <w:pStyle w:val="Compact"/>
        <w:numPr>
          <w:ilvl w:val="0"/>
          <w:numId w:val="1001"/>
        </w:numPr>
      </w:pPr>
      <w:r>
        <w:rPr>
          <w:b/>
          <w:bCs/>
        </w:rPr>
        <w:t xml:space="preserve">PROBABILE</w:t>
      </w:r>
      <w:r>
        <w:t xml:space="preserve"> </w:t>
      </w:r>
      <w:r>
        <w:rPr>
          <w:i/>
          <w:iCs/>
        </w:rPr>
        <w:t xml:space="preserve">(razionale forte, prove parziali)</w:t>
      </w:r>
    </w:p>
    <w:p>
      <w:pPr>
        <w:pStyle w:val="Compact"/>
        <w:numPr>
          <w:ilvl w:val="0"/>
          <w:numId w:val="1001"/>
        </w:numPr>
      </w:pPr>
      <w:r>
        <w:rPr>
          <w:b/>
          <w:bCs/>
        </w:rPr>
        <w:t xml:space="preserve">IPOTESI</w:t>
      </w:r>
      <w:r>
        <w:t xml:space="preserve"> </w:t>
      </w:r>
      <w:r>
        <w:rPr>
          <w:i/>
          <w:iCs/>
        </w:rPr>
        <w:t xml:space="preserve">(meccanismo coerente, nessuno studio)</w:t>
      </w:r>
    </w:p>
    <w:p>
      <w:pPr>
        <w:pStyle w:val="Compact"/>
        <w:numPr>
          <w:ilvl w:val="0"/>
          <w:numId w:val="1001"/>
        </w:numPr>
      </w:pPr>
      <w:r>
        <w:rPr>
          <w:b/>
          <w:bCs/>
        </w:rPr>
        <w:t xml:space="preserve">RAGIONAMENTO</w:t>
      </w:r>
      <w:r>
        <w:t xml:space="preserve"> </w:t>
      </w:r>
      <w:r>
        <w:rPr>
          <w:i/>
          <w:iCs/>
        </w:rPr>
        <w:t xml:space="preserve">(cornice clinica, non una prova)</w:t>
      </w:r>
    </w:p>
    <w:p>
      <w:pPr>
        <w:pStyle w:val="FirstParagraph"/>
      </w:pPr>
      <w:r>
        <w:t xml:space="preserve">A volte i pezzi di un’affermazione non hanno la stessa forza. Allora</w:t>
      </w:r>
      <w:r>
        <w:t xml:space="preserve"> </w:t>
      </w:r>
      <w:r>
        <w:rPr>
          <w:b/>
          <w:bCs/>
        </w:rPr>
        <w:t xml:space="preserve">l’etichetta si spezza</w:t>
      </w:r>
      <w:r>
        <w:t xml:space="preserve">, e ogni pezzo porta la sua.</w:t>
      </w:r>
    </w:p>
    <w:p>
      <w:pPr>
        <w:pStyle w:val="BodyText"/>
      </w:pPr>
      <w:r>
        <w:rPr>
          <w:b/>
          <w:bCs/>
        </w:rPr>
        <w:t xml:space="preserve">L’etichetta non si declina.</w:t>
      </w:r>
      <w:r>
        <w:t xml:space="preserve"> </w:t>
      </w:r>
      <w:r>
        <w:t xml:space="preserve">Le etichette sono quattro, e la glossa che segue ciascuna è sempre la stessa. Quando qualcuno ha misurato e non ha trovato, l’etichetta resta quella che è:</w:t>
      </w:r>
      <w:r>
        <w:t xml:space="preserve"> </w:t>
      </w:r>
      <w:r>
        <w:rPr>
          <w:b/>
          <w:bCs/>
        </w:rPr>
        <w:t xml:space="preserve">la prova contraria si scrive nella frase</w:t>
      </w:r>
      <w:r>
        <w:t xml:space="preserve">, nominata e citata. Una quinta etichetta toglie al lettore l’unico appiglio che ha a pagina venti. Una glossa riscritta per l’occasione fa lo stesso danno.</w:t>
      </w:r>
    </w:p>
    <w:p>
      <w:pPr>
        <w:pStyle w:val="BodyText"/>
      </w:pPr>
      <w:r>
        <w:rPr>
          <w:b/>
          <w:bCs/>
        </w:rPr>
        <w:t xml:space="preserve">Come si studia questa Bibbia.</w:t>
      </w:r>
      <w:r>
        <w:t xml:space="preserve"> </w:t>
      </w:r>
      <w:r>
        <w:t xml:space="preserve">Sei passi, in quest’ordine.</w:t>
      </w:r>
    </w:p>
    <w:p>
      <w:pPr>
        <w:pStyle w:val="Compact"/>
        <w:numPr>
          <w:ilvl w:val="0"/>
          <w:numId w:val="1002"/>
        </w:numPr>
      </w:pPr>
      <w:r>
        <w:rPr>
          <w:b/>
          <w:bCs/>
        </w:rPr>
        <w:t xml:space="preserve">Prima lettura, tutta di fila, senza appunti.</w:t>
      </w:r>
      <w:r>
        <w:t xml:space="preserve"> </w:t>
      </w:r>
      <w:r>
        <w:t xml:space="preserve">Serve la mappa d’insieme, non i dettagli. Quello che non torna si segna e si lascia lì.</w:t>
      </w:r>
    </w:p>
    <w:p>
      <w:pPr>
        <w:pStyle w:val="Compact"/>
        <w:numPr>
          <w:ilvl w:val="0"/>
          <w:numId w:val="1002"/>
        </w:numPr>
      </w:pPr>
      <w:r>
        <w:rPr>
          <w:b/>
          <w:bCs/>
        </w:rPr>
        <w:t xml:space="preserve">Seconda passata con un paziente in testa</w:t>
      </w:r>
      <w:r>
        <w:t xml:space="preserve"> </w:t>
      </w:r>
      <w:r>
        <w:t xml:space="preserve">— uno vero, che hai già visto. Rileggi solo «Cosa si rompe» e «Come ragiono davanti a questo paziente». Su ognuno dei sei guasti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i sei meccanismi e da cosa si</w:t>
      </w:r>
      <w:r>
        <w:t xml:space="preserve"> </w:t>
      </w:r>
      <w:r>
        <w:rPr>
          <w:b/>
          <w:bCs/>
        </w:rPr>
        <w:t xml:space="preserve">sospetta</w:t>
      </w:r>
      <w:r>
        <w:t xml:space="preserve"> </w:t>
      </w:r>
      <w:r>
        <w:t xml:space="preserve">ciascuno.</w:t>
      </w:r>
      <w:r>
        <w:t xml:space="preserve"> </w:t>
      </w:r>
      <w:r>
        <w:rPr>
          <w:b/>
          <w:bCs/>
        </w:rPr>
        <w:t xml:space="preserve">Quello che non sai dire non l’hai imparato</w:t>
      </w:r>
      <w:r>
        <w:t xml:space="preserve">, e torni solo lì. Le</w:t>
      </w:r>
      <w:r>
        <w:t xml:space="preserve"> </w:t>
      </w:r>
      <w:r>
        <w:rPr>
          <w:b/>
          <w:bCs/>
        </w:rPr>
        <w:t xml:space="preserve">tre cose da ricordare</w:t>
      </w:r>
      <w:r>
        <w:t xml:space="preserve"> </w:t>
      </w:r>
      <w:r>
        <w:t xml:space="preserve">in fondo a ogni capitolo sono la traccia di questa prova, non un riassunto.</w:t>
      </w:r>
      <w:r>
        <w:t xml:space="preserve"> </w:t>
      </w:r>
      <w:r>
        <w:rPr>
          <w:b/>
          <w:bCs/>
        </w:rPr>
        <w:t xml:space="preserve">La soglia vera però non è la recita: sono tre casi difficili.</w:t>
      </w:r>
      <w:r>
        <w:t xml:space="preserve"> </w:t>
      </w:r>
      <w:r>
        <w:t xml:space="preserve">Distinguere Marco da Chiara senza esitare («Come ragiono davanti a questo paziente»). Riconoscere il paziente su cui puoi poco o niente, cioè il post-infettivo e il malassorbimento biliare («Non è una condizione sola»). Dire a un medico cosa possiamo e cosa non possiamo affermare («Cosa dice la scienza»).</w:t>
      </w:r>
    </w:p>
    <w:p>
      <w:pPr>
        <w:pStyle w:val="Compact"/>
        <w:numPr>
          <w:ilvl w:val="0"/>
          <w:numId w:val="1002"/>
        </w:numPr>
      </w:pPr>
      <w:r>
        <w:rPr>
          <w:b/>
          <w:bCs/>
        </w:rPr>
        <w:t xml:space="preserve">Prima del primo paziente: la Mappa concettuale, due minuti.</w:t>
      </w:r>
      <w:r>
        <w:t xml:space="preserve"> </w:t>
      </w:r>
      <w:r>
        <w:t xml:space="preserve">Non la Bibbia.</w:t>
      </w:r>
    </w:p>
    <w:p>
      <w:pPr>
        <w:pStyle w:val="Compact"/>
        <w:numPr>
          <w:ilvl w:val="0"/>
          <w:numId w:val="1002"/>
        </w:numPr>
      </w:pPr>
      <w:r>
        <w:rPr>
          <w:b/>
          <w:bCs/>
        </w:rPr>
        <w:t xml:space="preserve">Dopo i primi tre pazienti: rileggi «Dove finisce il nostro campo» e «Cosa dice la scienza».</w:t>
      </w:r>
      <w:r>
        <w:t xml:space="preserve"> </w:t>
      </w:r>
      <w:r>
        <w:t xml:space="preserve">Dicono una cosa diversa quando hai avuto qualcuno davanti.</w:t>
      </w:r>
    </w:p>
    <w:p>
      <w:pPr>
        <w:pStyle w:val="Compact"/>
        <w:numPr>
          <w:ilvl w:val="0"/>
          <w:numId w:val="1002"/>
        </w:numPr>
      </w:pPr>
      <w:r>
        <w:rPr>
          <w:b/>
          <w:bCs/>
        </w:rPr>
        <w:t xml:space="preserve">A sei mesi: solo la Mappa.</w:t>
      </w:r>
      <w:r>
        <w:t xml:space="preserve"> </w:t>
      </w:r>
      <w:r>
        <w:t xml:space="preserve">Se un blocco non ti riaccende il capitolo, quello è il capitolo da rileggere.</w:t>
      </w:r>
    </w:p>
    <w:p>
      <w:pPr>
        <w:pStyle w:val="FirstParagraph"/>
      </w:pPr>
      <w:r>
        <w:t xml:space="preserve">Il principio che tiene insieme i sei passi:</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3"/>
        </w:numPr>
      </w:pPr>
      <w:r>
        <w:t xml:space="preserve">La prosa afferma, l’etichetta qualifica. Un’affermazione senza etichetta accanto è un’etichetta da cercare, perché ci deve essere.</w:t>
      </w:r>
    </w:p>
    <w:p>
      <w:pPr>
        <w:pStyle w:val="Compact"/>
        <w:numPr>
          <w:ilvl w:val="0"/>
          <w:numId w:val="1003"/>
        </w:numPr>
      </w:pPr>
      <w:r>
        <w:t xml:space="preserve">Le ancore sono due perché le prove sono di due tipi: una clinica, una fisiologica.</w:t>
      </w:r>
    </w:p>
    <w:p>
      <w:pPr>
        <w:pStyle w:val="Compact"/>
        <w:numPr>
          <w:ilvl w:val="0"/>
          <w:numId w:val="1003"/>
        </w:numPr>
      </w:pPr>
      <w:r>
        <w:t xml:space="preserve">Il confine è netto: qui il razionale della leva, nella Procedura il gesto.</w:t>
      </w:r>
    </w:p>
    <w:p>
      <w:pPr>
        <w:pStyle w:val="Compact"/>
        <w:numPr>
          <w:ilvl w:val="0"/>
          <w:numId w:val="1003"/>
        </w:numPr>
      </w:pPr>
      <w:r>
        <w:rPr>
          <w:b/>
          <w:bCs/>
        </w:rPr>
        <w:t xml:space="preserve">Perché ci sei tu.</w:t>
      </w:r>
      <w:r>
        <w:t xml:space="preserve"> </w:t>
      </w:r>
      <w:r>
        <w:t xml:space="preserve">Il pacchetto manuale su questa sindrome è stato misurato: cinque studi randomizzati, due con un finto trattamento. Questo ti autorizza a studiare una letteratura che esiste. Non ti autorizza a chiamarla solida: la qualità complessiva è giudicata bassa.</w:t>
      </w:r>
    </w:p>
    <w:p>
      <w:pPr>
        <w:pStyle w:val="FirstParagraph"/>
      </w:pPr>
      <w:r>
        <w:t xml:space="preserve">Buon nutrimento!</w:t>
      </w:r>
    </w:p>
    <w:p>
      <w:r>
        <w:pict>
          <v:rect style="width:0;height:1.5pt" o:hralign="center" o:hrstd="t" o:hr="t"/>
        </w:pict>
      </w:r>
    </w:p>
    <w:bookmarkEnd w:id="9"/>
    <w:bookmarkStart w:id="14"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una persona che ha in mano una colonscopia perfetta e la stessa identica pancia di prima, e che ha smesso di cercare risposte.</w:t>
      </w:r>
    </w:p>
    <w:bookmarkStart w:id="10" w:name="come-lo-racconta-lui"/>
    <w:p>
      <w:pPr>
        <w:pStyle w:val="Heading3"/>
      </w:pPr>
      <w:r>
        <w:t xml:space="preserve">Come lo racconta lui</w:t>
      </w:r>
    </w:p>
    <w:p>
      <w:pPr>
        <w:pStyle w:val="FirstParagraph"/>
      </w:pPr>
      <w:r>
        <w:t xml:space="preserve">Non parla di intestino. Parla di geografia e di orari.</w:t>
      </w:r>
    </w:p>
    <w:p>
      <w:pPr>
        <w:pStyle w:val="BodyText"/>
      </w:pPr>
      <w:r>
        <w:rPr>
          <w:i/>
          <w:iCs/>
        </w:rPr>
        <w:t xml:space="preserve">«So dove sono i bagni ovunque io vada. È diventato un riflesso: entro in un posto nuovo e la prima cosa che faccio è capire dov’è il bagno. Non ci penso nemmeno più.»</w:t>
      </w:r>
    </w:p>
    <w:p>
      <w:pPr>
        <w:pStyle w:val="BodyText"/>
      </w:pPr>
      <w:r>
        <w:rPr>
          <w:i/>
          <w:iCs/>
        </w:rPr>
        <w:t xml:space="preserve">«La mattina aspetto. Aspetto di andare in bagno, di capire come sarà oggi, prima di decidere se posso uscire. La mia giornata comincia solo dopo quel verdetto.»</w:t>
      </w:r>
    </w:p>
    <w:bookmarkEnd w:id="10"/>
    <w:bookmarkStart w:id="11" w:name="cosa-ha-già-fatto"/>
    <w:p>
      <w:pPr>
        <w:pStyle w:val="Heading3"/>
      </w:pPr>
      <w:r>
        <w:t xml:space="preserve">Cosa ha già fatto</w:t>
      </w:r>
    </w:p>
    <w:p>
      <w:pPr>
        <w:pStyle w:val="FirstParagraph"/>
      </w:pPr>
      <w:r>
        <w:t xml:space="preserve">Quasi sempre in quest’ordine: ecografia, esami del sangue, colonscopia, breath test, test per le intolleranze comprati in farmacia.</w:t>
      </w:r>
    </w:p>
    <w:p>
      <w:pPr>
        <w:pStyle w:val="BodyText"/>
      </w:pPr>
      <w:r>
        <w:t xml:space="preserve">Poi le diete: via il glutine, via il lattosio, via i FODMAP, cioè gli zuccheri fermentabili a catena corta. Poi i farmaci: antispastici, simeticone, loperamide o macrogol, a seconda di come va la settimana. A volte un antidepressivo a basso dosaggio, prescritto per abbassare la sensibilità dell’intestino e non per l’umore. Quasi nessuno gliel’ha spiegato così.</w:t>
      </w:r>
    </w:p>
    <w:p>
      <w:pPr>
        <w:pStyle w:val="BodyText"/>
      </w:pPr>
      <w:r>
        <w:t xml:space="preserve">Il risultato di tutto questo è un’informazione preziosa, ed è il motivo per cui arriva da te:</w:t>
      </w:r>
      <w:r>
        <w:t xml:space="preserve"> </w:t>
      </w:r>
      <w:r>
        <w:rPr>
          <w:b/>
          <w:bCs/>
        </w:rPr>
        <w:t xml:space="preserve">gli esami sono negativi e il problema è identico.</w:t>
      </w:r>
    </w:p>
    <w:p>
      <w:pPr>
        <w:pStyle w:val="BodyText"/>
      </w:pPr>
      <w:r>
        <w:t xml:space="preserve">Quel dato ha un numero.</w:t>
      </w:r>
      <w:r>
        <w:t xml:space="preserve"> </w:t>
      </w:r>
      <w:r>
        <w:rPr>
          <w:b/>
          <w:bCs/>
        </w:rPr>
        <w:t xml:space="preserve">Le lesioni strutturali non sono più frequenti</w:t>
      </w:r>
      <w:r>
        <w:t xml:space="preserve"> </w:t>
      </w:r>
      <w:r>
        <w:t xml:space="preserve">nei sintomatici che in chi fa la colonscopia per screening: adenomi 7,7% contro 26,1%, diverticoli 8,8% contro 21,3%. I controlli però erano più anziani, e l’età conta. La colite microscopica è la cosa che quella colonscopia serve davvero a escludere: si trovava nell’1,5% dei casi, e</w:t>
      </w:r>
      <w:r>
        <w:t xml:space="preserve"> </w:t>
      </w:r>
      <w:r>
        <w:rPr>
          <w:b/>
          <w:bCs/>
        </w:rPr>
        <w:t xml:space="preserve">si vede solo al microscopio</w:t>
      </w:r>
      <w:r>
        <w:t xml:space="preserve">. Senza biopsie, quel referto non la esclude.</w:t>
      </w:r>
      <w:r>
        <w:t xml:space="preserve"> </w:t>
      </w:r>
      <w:r>
        <w:rPr>
          <w:b/>
          <w:bCs/>
        </w:rPr>
        <w:t xml:space="preserve">Per te:</w:t>
      </w:r>
      <w:r>
        <w:t xml:space="preserve"> </w:t>
      </w:r>
      <w:r>
        <w:rPr>
          <w:i/>
          <w:iCs/>
        </w:rPr>
        <w:t xml:space="preserve">«la colonscopia era perfetta»</w:t>
      </w:r>
      <w:r>
        <w:t xml:space="preserve"> </w:t>
      </w:r>
      <w:r>
        <w:t xml:space="preserve">non è un vicolo cieco: è un esame che ha fatto il suo lavoro. Non è servito a niente solo se pensavi che dovesse trovare qualcosa.</w:t>
      </w:r>
      <w:r>
        <w:t xml:space="preserve"> </w:t>
      </w:r>
      <w:r>
        <w:t xml:space="preserve">(Chey 2010, PMID 20179696; disegno in Appendice B)</w:t>
      </w:r>
    </w:p>
    <w:bookmarkEnd w:id="11"/>
    <w:bookmarkStart w:id="12" w:name="cosa-nessuno-ha-guardato"/>
    <w:p>
      <w:pPr>
        <w:pStyle w:val="Heading3"/>
      </w:pPr>
      <w:r>
        <w:t xml:space="preserve">Cosa nessuno ha guardato</w:t>
      </w:r>
    </w:p>
    <w:p>
      <w:pPr>
        <w:pStyle w:val="FirstParagraph"/>
      </w:pPr>
      <w:r>
        <w:t xml:space="preserve">Quattro cose, tutte nel nostro dominio.</w:t>
      </w:r>
    </w:p>
    <w:p>
      <w:pPr>
        <w:pStyle w:val="Compact"/>
        <w:numPr>
          <w:ilvl w:val="0"/>
          <w:numId w:val="1004"/>
        </w:numPr>
      </w:pPr>
      <w:r>
        <w:rPr>
          <w:b/>
          <w:bCs/>
        </w:rPr>
        <w:t xml:space="preserve">La parete addominale.</w:t>
      </w:r>
      <w:r>
        <w:t xml:space="preserve"> </w:t>
      </w:r>
      <w:r>
        <w:t xml:space="preserve">Nessuno l’ha mai palpata mentre contraeva. Il dolore di parete esiste e ha un test da trenta secondi.</w:t>
      </w:r>
    </w:p>
    <w:p>
      <w:pPr>
        <w:pStyle w:val="Compact"/>
        <w:numPr>
          <w:ilvl w:val="0"/>
          <w:numId w:val="1004"/>
        </w:numPr>
      </w:pPr>
      <w:r>
        <w:rPr>
          <w:b/>
          <w:bCs/>
        </w:rPr>
        <w:t xml:space="preserve">Il contenitore</w:t>
      </w:r>
      <w:r>
        <w:t xml:space="preserve">, cioè cosa fanno coste basse e diaframma mentre la pancia si gonfia. Si vede a occhio nudo, e nessun esame standard lo misura.</w:t>
      </w:r>
    </w:p>
    <w:p>
      <w:pPr>
        <w:pStyle w:val="Compact"/>
        <w:numPr>
          <w:ilvl w:val="0"/>
          <w:numId w:val="1004"/>
        </w:numPr>
      </w:pPr>
      <w:r>
        <w:rPr>
          <w:b/>
          <w:bCs/>
        </w:rPr>
        <w:t xml:space="preserve">Il pavimento pelvico</w:t>
      </w:r>
      <w:r>
        <w:t xml:space="preserve">, cioè come spinge e cosa resta dopo.</w:t>
      </w:r>
    </w:p>
    <w:p>
      <w:pPr>
        <w:pStyle w:val="Compact"/>
        <w:numPr>
          <w:ilvl w:val="0"/>
          <w:numId w:val="1004"/>
        </w:numPr>
      </w:pPr>
      <w:r>
        <w:rPr>
          <w:b/>
          <w:bCs/>
        </w:rPr>
        <w:t xml:space="preserve">L’assetto autonomico.</w:t>
      </w:r>
      <w:r>
        <w:t xml:space="preserve"> </w:t>
      </w:r>
      <w:r>
        <w:t xml:space="preserve">Nessuno ha contato gli atti respiratori a riposo, né ha chiesto se il sintomo è cambiato dopo un evento preciso della vita.</w:t>
      </w:r>
    </w:p>
    <w:p>
      <w:pPr>
        <w:pStyle w:val="FirstParagraph"/>
      </w:pPr>
      <w:r>
        <w:t xml:space="preserve">Non è una critica al percorso medico, che ha fatto la parte più importante: escludere. Quel percorso misura la</w:t>
      </w:r>
      <w:r>
        <w:t xml:space="preserve"> </w:t>
      </w:r>
      <w:r>
        <w:rPr>
          <w:b/>
          <w:bCs/>
        </w:rPr>
        <w:t xml:space="preserve">struttura</w:t>
      </w:r>
      <w:r>
        <w:t xml:space="preserve">, e questo è un problema di</w:t>
      </w:r>
      <w:r>
        <w:t xml:space="preserve"> </w:t>
      </w:r>
      <w:r>
        <w:rPr>
          <w:b/>
          <w:bCs/>
        </w:rPr>
        <w:t xml:space="preserve">funzione</w:t>
      </w:r>
      <w:r>
        <w:t xml:space="preserve">. È la differenza fra controllare che i tubi non perdano e chiedersi perché l’acqua arriva fredda.</w:t>
      </w:r>
    </w:p>
    <w:bookmarkEnd w:id="12"/>
    <w:bookmarkStart w:id="13" w:name="X53b44d4bf61db511be2ae5011c08a284006cb94"/>
    <w:p>
      <w:pPr>
        <w:pStyle w:val="Heading3"/>
      </w:pPr>
      <w:r>
        <w:t xml:space="preserve">E poi c’è il paziente che questo capitolo non descrive</w:t>
      </w:r>
    </w:p>
    <w:p>
      <w:pPr>
        <w:pStyle w:val="FirstParagraph"/>
      </w:pPr>
      <w:r>
        <w:t xml:space="preserve">Il ritratto qui sopra è quello di un adulto sotto i sessanta. Chi non gli somiglia è chi ti fa sbagliare.</w:t>
      </w:r>
    </w:p>
    <w:p>
      <w:pPr>
        <w:pStyle w:val="BodyText"/>
      </w:pPr>
      <w:r>
        <w:t xml:space="preserve">È l’</w:t>
      </w:r>
      <w:r>
        <w:rPr>
          <w:b/>
          <w:bCs/>
        </w:rPr>
        <w:t xml:space="preserve">over-65 con l’etichetta vecchia</w:t>
      </w:r>
      <w:r>
        <w:t xml:space="preserve">: colon irritabile «da sempre», sei farmaci al giorno, accertamenti fermi a quindici anni fa. Spesso non ha aderito allo screening del colon-retto (in Italia 50-69 anni, adesione 41-47%). La prevalenza in quella fascia è simile a quella dell’adulto giovane. Ma</w:t>
      </w:r>
      <w:r>
        <w:t xml:space="preserve"> </w:t>
      </w:r>
      <w:r>
        <w:rPr>
          <w:b/>
          <w:bCs/>
        </w:rPr>
        <w:t xml:space="preserve">l’età è essa stessa un elemento d’allarme</w:t>
      </w:r>
      <w:r>
        <w:t xml:space="preserve">, e cambia due regole di questo documento: quella sull’alvo che cambia e la tabella delle bandiere rosse. Dopo i 50 fai una domanda in più:</w:t>
      </w:r>
      <w:r>
        <w:t xml:space="preserve"> </w:t>
      </w:r>
      <w:r>
        <w:rPr>
          <w:i/>
          <w:iCs/>
        </w:rPr>
        <w:t xml:space="preserve">«hai fatto il test delle feci che ti manda la ASL?»</w:t>
      </w:r>
      <w:r>
        <w:t xml:space="preserve">.</w:t>
      </w:r>
    </w:p>
    <w:p>
      <w:pPr>
        <w:pStyle w:val="BodyText"/>
      </w:pPr>
      <w:r>
        <w:rPr>
          <w:b/>
          <w:bCs/>
        </w:rPr>
        <w:t xml:space="preserve">E le due cose che non racconta da solo.</w:t>
      </w:r>
      <w:r>
        <w:t xml:space="preserve"> </w:t>
      </w:r>
      <w:r>
        <w:t xml:space="preserve">La prima è l’incontinenza. Capita almeno una volta al mese a 1 paziente su 5 in una coorte e a 1 su 7 in un’altra. È legata a urgenza rettale e feci molli (Simrén 2017, PMID 27581702). In una parte di questi pazienti è la ragione vera della mappa dei bagni:</w:t>
      </w:r>
      <w:r>
        <w:t xml:space="preserve"> </w:t>
      </w:r>
      <w:r>
        <w:rPr>
          <w:i/>
          <w:iCs/>
        </w:rPr>
        <w:t xml:space="preserve">«ti è mai capitato di non farcela?»</w:t>
      </w:r>
      <w:r>
        <w:t xml:space="preserve">. La seconda riguarda le donne:</w:t>
      </w:r>
      <w:r>
        <w:t xml:space="preserve"> </w:t>
      </w:r>
      <w:r>
        <w:rPr>
          <w:i/>
          <w:iCs/>
        </w:rPr>
        <w:t xml:space="preserve">«i giorni peggiori cadono sempre nello stesso punto del mese?»</w:t>
      </w:r>
    </w:p>
    <w:p>
      <w:pPr>
        <w:pStyle w:val="BodyText"/>
      </w:pPr>
      <w:r>
        <w:rPr>
          <w:b/>
          <w:bCs/>
        </w:rPr>
        <w:t xml:space="preserve">Le tre cose da ricordare, più una</w:t>
      </w:r>
    </w:p>
    <w:p>
      <w:pPr>
        <w:pStyle w:val="Compact"/>
        <w:numPr>
          <w:ilvl w:val="0"/>
          <w:numId w:val="1005"/>
        </w:numPr>
      </w:pPr>
      <w:r>
        <w:t xml:space="preserve">Non ti descrive un sintomo: ti descrive una giornata organizzata attorno a un sintomo. Chiedi dell’organizzazione, non del dolore soltanto.</w:t>
      </w:r>
    </w:p>
    <w:p>
      <w:pPr>
        <w:pStyle w:val="Compact"/>
        <w:numPr>
          <w:ilvl w:val="0"/>
          <w:numId w:val="1005"/>
        </w:numPr>
      </w:pPr>
      <w:r>
        <w:t xml:space="preserve">Arriva con esami negativi: un dato, non un fallimento, e va restituito come tale.</w:t>
      </w:r>
    </w:p>
    <w:p>
      <w:pPr>
        <w:pStyle w:val="Compact"/>
        <w:numPr>
          <w:ilvl w:val="0"/>
          <w:numId w:val="1005"/>
        </w:numPr>
      </w:pPr>
      <w:r>
        <w:t xml:space="preserve">Ha già tolto cibi: se togliere non ha funzionato, la variabile non era solo il cibo. Dillo prima che lo chieda.</w:t>
      </w:r>
    </w:p>
    <w:p>
      <w:pPr>
        <w:pStyle w:val="Compact"/>
        <w:numPr>
          <w:ilvl w:val="0"/>
          <w:numId w:val="1005"/>
        </w:numPr>
      </w:pPr>
      <w:r>
        <w:rPr>
          <w:b/>
          <w:bCs/>
        </w:rPr>
        <w:t xml:space="preserve">Perché ci sei tu.</w:t>
      </w:r>
      <w:r>
        <w:t xml:space="preserve"> </w:t>
      </w:r>
      <w:r>
        <w:t xml:space="preserve">Nella colonscopia di queste persone le lesioni strutturali</w:t>
      </w:r>
      <w:r>
        <w:t xml:space="preserve"> </w:t>
      </w:r>
      <w:r>
        <w:rPr>
          <w:b/>
          <w:bCs/>
        </w:rPr>
        <w:t xml:space="preserve">non sono più frequenti</w:t>
      </w:r>
      <w:r>
        <w:t xml:space="preserve"> </w:t>
      </w:r>
      <w:r>
        <w:t xml:space="preserve">che nella popolazione sana di confronto. Questo ti autorizza a dire che l’esame negativo è un risultato e non un vicolo cieco. Non ti autorizza a dire che l’esame era inutile, né a rassicurare tu: chi ha escluso è il medico che l’ha letto.</w:t>
      </w:r>
    </w:p>
    <w:p>
      <w:r>
        <w:pict>
          <v:rect style="width:0;height:1.5pt" o:hralign="center" o:hrstd="t" o:hr="t"/>
        </w:pict>
      </w:r>
    </w:p>
    <w:bookmarkEnd w:id="13"/>
    <w:bookmarkEnd w:id="14"/>
    <w:bookmarkStart w:id="20" w:name="capitolo-2-che-cosè-davvero"/>
    <w:p>
      <w:pPr>
        <w:pStyle w:val="Heading2"/>
      </w:pPr>
      <w:r>
        <w:t xml:space="preserve">Capitolo 2 — Che cos’è davvero</w:t>
      </w:r>
    </w:p>
    <w:p>
      <w:pPr>
        <w:pStyle w:val="BlockText"/>
      </w:pPr>
      <w:r>
        <w:rPr>
          <w:b/>
          <w:bCs/>
        </w:rPr>
        <w:t xml:space="preserve">In una riga:</w:t>
      </w:r>
      <w:r>
        <w:t xml:space="preserve"> </w:t>
      </w:r>
      <w:r>
        <w:t xml:space="preserve">è un disturbo dell’interazione fra intestino e cervello, definito da come il dolore si lega all’evacuazione — e non da una lesione, perché la lesione non c’è.</w:t>
      </w:r>
    </w:p>
    <w:bookmarkStart w:id="15" w:name="la-definizione-e-cosa-dice-davvero"/>
    <w:p>
      <w:pPr>
        <w:pStyle w:val="Heading3"/>
      </w:pPr>
      <w:r>
        <w:t xml:space="preserve">La definizione, e cosa dice davvero</w:t>
      </w:r>
    </w:p>
    <w:p>
      <w:pPr>
        <w:pStyle w:val="FirstParagraph"/>
      </w:pPr>
      <w:r>
        <w:t xml:space="preserve">I criteri di Roma sono lo standard internazionale, e l’edizione corrente è la</w:t>
      </w:r>
      <w:r>
        <w:t xml:space="preserve"> </w:t>
      </w:r>
      <w:r>
        <w:rPr>
          <w:b/>
          <w:bCs/>
        </w:rPr>
        <w:t xml:space="preserve">quinta</w:t>
      </w:r>
      <w:r>
        <w:t xml:space="preserve">. Definisce la sindrome così:</w:t>
      </w:r>
      <w:r>
        <w:t xml:space="preserve"> </w:t>
      </w:r>
      <w:r>
        <w:rPr>
          <w:b/>
          <w:bCs/>
        </w:rPr>
        <w:t xml:space="preserve">dolore o fastidio addominale ricorrente ma non continuo</w:t>
      </w:r>
      <w:r>
        <w:t xml:space="preserve">, almeno tre giorni al mese negli ultimi tre mesi,</w:t>
      </w:r>
      <w:r>
        <w:t xml:space="preserve"> </w:t>
      </w:r>
      <w:r>
        <w:rPr>
          <w:b/>
          <w:bCs/>
        </w:rPr>
        <w:t xml:space="preserve">associato ad almeno due</w:t>
      </w:r>
      <w:r>
        <w:t xml:space="preserve"> </w:t>
      </w:r>
      <w:r>
        <w:t xml:space="preserve">di queste tre cose.</w:t>
      </w:r>
    </w:p>
    <w:p>
      <w:pPr>
        <w:pStyle w:val="Compact"/>
        <w:numPr>
          <w:ilvl w:val="0"/>
          <w:numId w:val="1006"/>
        </w:numPr>
      </w:pPr>
      <w:r>
        <w:t xml:space="preserve">È legato all’evacuazione.</w:t>
      </w:r>
    </w:p>
    <w:p>
      <w:pPr>
        <w:pStyle w:val="Compact"/>
        <w:numPr>
          <w:ilvl w:val="0"/>
          <w:numId w:val="1006"/>
        </w:numPr>
      </w:pPr>
      <w:r>
        <w:t xml:space="preserve">Si accompagna a un cambiamento della frequenza delle evacuazioni.</w:t>
      </w:r>
    </w:p>
    <w:p>
      <w:pPr>
        <w:pStyle w:val="Compact"/>
        <w:numPr>
          <w:ilvl w:val="0"/>
          <w:numId w:val="1006"/>
        </w:numPr>
      </w:pPr>
      <w:r>
        <w:t xml:space="preserve">Si accompagna a un cambiamento della forma delle feci.</w:t>
      </w:r>
    </w:p>
    <w:p>
      <w:pPr>
        <w:pStyle w:val="FirstParagraph"/>
      </w:pPr>
      <w:r>
        <w:t xml:space="preserve">Rispetto all’edizione precedente cambiano tre cose. Torna il</w:t>
      </w:r>
      <w:r>
        <w:t xml:space="preserve"> </w:t>
      </w:r>
      <w:r>
        <w:rPr>
          <w:b/>
          <w:bCs/>
        </w:rPr>
        <w:t xml:space="preserve">fastidio</w:t>
      </w:r>
      <w:r>
        <w:t xml:space="preserve"> </w:t>
      </w:r>
      <w:r>
        <w:t xml:space="preserve">accanto al dolore. Scende la</w:t>
      </w:r>
      <w:r>
        <w:t xml:space="preserve"> </w:t>
      </w:r>
      <w:r>
        <w:rPr>
          <w:b/>
          <w:bCs/>
        </w:rPr>
        <w:t xml:space="preserve">frequenza</w:t>
      </w:r>
      <w:r>
        <w:t xml:space="preserve"> </w:t>
      </w:r>
      <w:r>
        <w:t xml:space="preserve">richiesta. E compare la clausola</w:t>
      </w:r>
      <w:r>
        <w:t xml:space="preserve"> </w:t>
      </w:r>
      <w:r>
        <w:rPr>
          <w:b/>
          <w:bCs/>
        </w:rPr>
        <w:t xml:space="preserve">«ricorrente ma non continuo»</w:t>
      </w:r>
      <w:r>
        <w:t xml:space="preserve">, che serve a separare questa sindrome dal dolore addominale a mediazione centrale — vedi «Cosa non è».</w:t>
      </w:r>
    </w:p>
    <w:p>
      <w:pPr>
        <w:pStyle w:val="BodyText"/>
      </w:pPr>
      <w:r>
        <w:t xml:space="preserve">Guarda invece cosa non c’è: gonfiore, urgenza, muco. Sono frequentissimi e non definiscono nulla.</w:t>
      </w:r>
      <w:r>
        <w:t xml:space="preserve"> </w:t>
      </w:r>
      <w:r>
        <w:rPr>
          <w:b/>
          <w:bCs/>
        </w:rPr>
        <w:t xml:space="preserve">La cerniera diagnostica è il legame fra il dolore e l’evacuazione.</w:t>
      </w:r>
      <w:r>
        <w:t xml:space="preserve"> </w:t>
      </w:r>
      <w:r>
        <w:t xml:space="preserve">È la prima domanda da fare, e spesso l’unica che nessuno ha fatto in modo pulito.</w:t>
      </w:r>
    </w:p>
    <w:bookmarkEnd w:id="15"/>
    <w:bookmarkStart w:id="16" w:name="quanto-è-diffusa"/>
    <w:p>
      <w:pPr>
        <w:pStyle w:val="Heading3"/>
      </w:pPr>
      <w:r>
        <w:t xml:space="preserve">Quanto è diffusa</w:t>
      </w:r>
    </w:p>
    <w:p>
      <w:pPr>
        <w:pStyle w:val="FirstParagraph"/>
      </w:pPr>
      <w:r>
        <w:t xml:space="preserve">I criteri cambiano chi ti trovi davanti.</w:t>
      </w:r>
    </w:p>
    <w:p>
      <w:pPr>
        <w:pStyle w:val="BodyText"/>
      </w:pPr>
      <w:r>
        <w:t xml:space="preserve">Con Roma III ne aveva i sintomi il</w:t>
      </w:r>
      <w:r>
        <w:t xml:space="preserve"> </w:t>
      </w:r>
      <w:r>
        <w:rPr>
          <w:b/>
          <w:bCs/>
        </w:rPr>
        <w:t xml:space="preserve">9,2%</w:t>
      </w:r>
      <w:r>
        <w:t xml:space="preserve">. Con Roma IV, più stretti, la quota scende al</w:t>
      </w:r>
      <w:r>
        <w:t xml:space="preserve"> </w:t>
      </w:r>
      <w:r>
        <w:rPr>
          <w:b/>
          <w:bCs/>
        </w:rPr>
        <w:t xml:space="preserve">3,8%</w:t>
      </w:r>
      <w:r>
        <w:t xml:space="preserve">. Con Roma V risale all’</w:t>
      </w:r>
      <w:r>
        <w:rPr>
          <w:b/>
          <w:bCs/>
        </w:rPr>
        <w:t xml:space="preserve">8,5%</w:t>
      </w:r>
      <w:r>
        <w:t xml:space="preserve">.</w:t>
      </w:r>
      <w:r>
        <w:t xml:space="preserve"> </w:t>
      </w:r>
      <w:r>
        <w:rPr>
          <w:b/>
          <w:bCs/>
        </w:rPr>
        <w:t xml:space="preserve">Per te:</w:t>
      </w:r>
      <w:r>
        <w:t xml:space="preserve"> </w:t>
      </w:r>
      <w:r>
        <w:t xml:space="preserve">il numero che ti riguarda è il più alto. Roma V ha riallargato la soglia della frequenza del dolore, e il numero è risalito con lei. I criteri stretti selezionano i pazienti dei trial, cioè i più gravi. Chi ti si siede davanti arriva dal medico di base e somiglia alla popolazione misurata con i criteri larghi. Aspettati quadri sfumati, e non usare un criterio non soddisfatto per dire a qualcuno che non ce l’ha.</w:t>
      </w:r>
      <w:r>
        <w:t xml:space="preserve"> </w:t>
      </w:r>
      <w:r>
        <w:t xml:space="preserve">(Oka 2020, PMID 32702295; Sperber 2026, PMID 42613194)</w:t>
      </w:r>
    </w:p>
    <w:p>
      <w:pPr>
        <w:pStyle w:val="BodyText"/>
      </w:pPr>
      <w:r>
        <w:t xml:space="preserve">È più frequente nelle donne, e si associa a peggiore qualità di vita (Sperber 2021, PMID 32294476).</w:t>
      </w:r>
    </w:p>
    <w:bookmarkEnd w:id="16"/>
    <w:bookmarkStart w:id="17" w:name="come-evolve-se-non-fai-nulla"/>
    <w:p>
      <w:pPr>
        <w:pStyle w:val="Heading3"/>
      </w:pPr>
      <w:r>
        <w:t xml:space="preserve">Come evolve se non fai nulla</w:t>
      </w:r>
    </w:p>
    <w:p>
      <w:pPr>
        <w:pStyle w:val="FirstParagraph"/>
      </w:pPr>
      <w:r>
        <w:t xml:space="preserve">Non evolve verso una malattia: evolve</w:t>
      </w:r>
      <w:r>
        <w:t xml:space="preserve"> </w:t>
      </w:r>
      <w:r>
        <w:rPr>
          <w:b/>
          <w:bCs/>
        </w:rPr>
        <w:t xml:space="preserve">cambiando forma</w:t>
      </w:r>
      <w:r>
        <w:t xml:space="preserve">.</w:t>
      </w:r>
    </w:p>
    <w:p>
      <w:pPr>
        <w:pStyle w:val="BodyText"/>
      </w:pPr>
      <w:r>
        <w:t xml:space="preserve">Una volta che i primi accertamenti sono negativi, meno di 5 persone su 100 ricevono una diagnosi organica alternativa nei sei anni successivi. Nel lungo periodo dal 2% al 18% peggiora, il 30-50% resta uguale, il resto migliora o vede sparire i sintomi.</w:t>
      </w:r>
      <w:r>
        <w:t xml:space="preserve"> </w:t>
      </w:r>
      <w:r>
        <w:rPr>
          <w:b/>
          <w:bCs/>
        </w:rPr>
        <w:t xml:space="preserve">Per te:</w:t>
      </w:r>
      <w:r>
        <w:t xml:space="preserve"> </w:t>
      </w:r>
      <w:r>
        <w:t xml:space="preserve">non rincorrere l’organico. La probabilità è bassa, e il paziente ha già pagato quella rincorsa in anni. E se in un ciclo migliora, una quota di quel miglioramento appartiene alla fluttuazione naturale: si scrive in cartella</w:t>
      </w:r>
      <w:r>
        <w:t xml:space="preserve"> </w:t>
      </w:r>
      <w:r>
        <w:rPr>
          <w:b/>
          <w:bCs/>
        </w:rPr>
        <w:t xml:space="preserve">prima</w:t>
      </w:r>
      <w:r>
        <w:t xml:space="preserve"> </w:t>
      </w:r>
      <w:r>
        <w:t xml:space="preserve">di iniziare, non dopo aver visto il risultato.</w:t>
      </w:r>
      <w:r>
        <w:t xml:space="preserve"> </w:t>
      </w:r>
      <w:r>
        <w:t xml:space="preserve">(El-Serag 2004, PMID 15080847)</w:t>
      </w:r>
    </w:p>
    <w:p>
      <w:pPr>
        <w:pStyle w:val="BodyText"/>
      </w:pPr>
      <w:r>
        <w:t xml:space="preserve">E cambia etichetta. A dodici anni, fra chi aveva sintomi all’inizio, il 20% aveva gli stessi sintomi alla fine, il 40% non ne aveva più, e il 40% ne aveva di</w:t>
      </w:r>
      <w:r>
        <w:t xml:space="preserve"> </w:t>
      </w:r>
      <w:r>
        <w:rPr>
          <w:b/>
          <w:bCs/>
        </w:rPr>
        <w:t xml:space="preserve">diversi</w:t>
      </w:r>
      <w:r>
        <w:t xml:space="preserve">. La sparizione di un sintomo era spesso il passaggio a un altro (Halder 2007, PMID 17678917).</w:t>
      </w:r>
    </w:p>
    <w:p>
      <w:pPr>
        <w:pStyle w:val="BodyText"/>
      </w:pPr>
      <w:r>
        <w:t xml:space="preserve">C’è poi una fluttuazione che ha un calendario. Nelle donne in età fertile i sintomi variano con la fase del ciclo, e variano sia col contraccettivo sia senza, in tutte le forme di alvo.</w:t>
      </w:r>
      <w:r>
        <w:t xml:space="preserve"> </w:t>
      </w:r>
      <w:r>
        <w:t xml:space="preserve">&gt;</w:t>
      </w:r>
      <w:r>
        <w:t xml:space="preserve"> </w:t>
      </w: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diari giornalieri su un ciclo intero (Heitkemper 2003, PMID 12591063; Bharadwaj 2015, PMID 25788484).</w:t>
      </w:r>
    </w:p>
    <w:p>
      <w:pPr>
        <w:pStyle w:val="BodyText"/>
      </w:pPr>
      <w:r>
        <w:rPr>
          <w:b/>
          <w:bCs/>
        </w:rPr>
        <w:t xml:space="preserve">Per te:</w:t>
      </w:r>
      <w:r>
        <w:t xml:space="preserve"> </w:t>
      </w:r>
      <w:r>
        <w:t xml:space="preserve">metà dei pazienti che dicono</w:t>
      </w:r>
      <w:r>
        <w:t xml:space="preserve"> </w:t>
      </w:r>
      <w:r>
        <w:rPr>
          <w:i/>
          <w:iCs/>
        </w:rPr>
        <w:t xml:space="preserve">«non c’è una regola»</w:t>
      </w:r>
      <w:r>
        <w:t xml:space="preserve"> </w:t>
      </w:r>
      <w:r>
        <w:t xml:space="preserve">una regola ce l’hanno, ed è di ventotto giorni. Se misuri un marker basale in una fase e lo rimisuri in un’altra, stai leggendo il ciclo e chiamandolo effetto del tuo lavoro.</w:t>
      </w:r>
    </w:p>
    <w:p>
      <w:pPr>
        <w:pStyle w:val="BlockText"/>
      </w:pPr>
      <w:r>
        <w:rPr>
          <w:b/>
          <w:bCs/>
        </w:rPr>
        <w:t xml:space="preserve">Cosa cambia per te, con una condizione d’età.</w:t>
      </w:r>
      <w:r>
        <w:t xml:space="preserve"> </w:t>
      </w:r>
      <w:r>
        <w:rPr>
          <w:b/>
          <w:bCs/>
        </w:rPr>
        <w:t xml:space="preserve">Sotto i 60 anni</w:t>
      </w:r>
      <w:r>
        <w:t xml:space="preserve">,</w:t>
      </w:r>
      <w:r>
        <w:t xml:space="preserve"> </w:t>
      </w:r>
      <w:r>
        <w:rPr>
          <w:i/>
          <w:iCs/>
        </w:rPr>
        <w:t xml:space="preserve">«prima era stitichezza, adesso è il contrario»</w:t>
      </w:r>
      <w:r>
        <w:t xml:space="preserve"> </w:t>
      </w:r>
      <w:r>
        <w:t xml:space="preserve">non è un peggioramento né una diagnosi sbagliata: è il comportamento tipico di questa condizione. Restano fuori i casi in cui carattere, sede o intensità del dolore sono cambiati.</w:t>
      </w:r>
      <w:r>
        <w:t xml:space="preserve"> </w:t>
      </w:r>
      <w:r>
        <w:rPr>
          <w:b/>
          <w:bCs/>
        </w:rPr>
        <w:t xml:space="preserve">Dai 60 in su la regola si rovescia.</w:t>
      </w:r>
      <w:r>
        <w:t xml:space="preserve"> </w:t>
      </w:r>
      <w:r>
        <w:t xml:space="preserve">Un alvo più molle o più frequente da oltre sei settimane è un criterio di invio per sospetto tumore (NICE NG12, CG61). Si scrive al curante e non si aspetta.</w:t>
      </w:r>
    </w:p>
    <w:bookmarkEnd w:id="17"/>
    <w:bookmarkStart w:id="18" w:name="X6820c7f04c7379b5930bec9ad9aa3ee0e127e21"/>
    <w:p>
      <w:pPr>
        <w:pStyle w:val="Heading3"/>
      </w:pPr>
      <w:r>
        <w:t xml:space="preserve">Cosa dicono le etichette che porta, e cosa non dicono</w:t>
      </w:r>
    </w:p>
    <w:p>
      <w:pPr>
        <w:pStyle w:val="Compact"/>
        <w:numPr>
          <w:ilvl w:val="0"/>
          <w:numId w:val="1007"/>
        </w:numPr>
      </w:pPr>
      <w:r>
        <w:rPr>
          <w:b/>
          <w:bCs/>
        </w:rPr>
        <w:t xml:space="preserve">IBS-D, IBS-C, IBS-M.</w:t>
      </w:r>
      <w:r>
        <w:t xml:space="preserve"> </w:t>
      </w:r>
      <w:r>
        <w:t xml:space="preserve">Dicono quale forma di feci prevaleva</w:t>
      </w:r>
      <w:r>
        <w:t xml:space="preserve"> </w:t>
      </w:r>
      <w:r>
        <w:rPr>
          <w:b/>
          <w:bCs/>
        </w:rPr>
        <w:t xml:space="preserve">quando è stato compilato il questionario</w:t>
      </w:r>
      <w:r>
        <w:t xml:space="preserve">. Non dicono niente sul meccanismo, e cambiano nel tempo nella stessa persona. Sono la foto del traffico alle otto: dicono com’era quella mattina, non come si guida in quella città.</w:t>
      </w:r>
    </w:p>
    <w:p>
      <w:pPr>
        <w:pStyle w:val="Compact"/>
        <w:numPr>
          <w:ilvl w:val="0"/>
          <w:numId w:val="1007"/>
        </w:numPr>
      </w:pPr>
      <w:r>
        <w:rPr>
          <w:b/>
          <w:bCs/>
        </w:rPr>
        <w:t xml:space="preserve">Colonscopia negativa.</w:t>
      </w:r>
      <w:r>
        <w:t xml:space="preserve"> </w:t>
      </w:r>
      <w:r>
        <w:t xml:space="preserve">Dice che non c’è una lesione visibile. Non dice niente sulla soglia a cui quell’intestino segnala.</w:t>
      </w:r>
      <w:r>
        <w:t xml:space="preserve"> </w:t>
      </w:r>
      <w:r>
        <w:rPr>
          <w:b/>
          <w:bCs/>
        </w:rPr>
        <w:t xml:space="preserve">Guarda se il referto nomina le biopsie:</w:t>
      </w:r>
      <w:r>
        <w:t xml:space="preserve"> </w:t>
      </w:r>
      <w:r>
        <w:t xml:space="preserve">la colite microscopica ha mucosa normale a occhio nudo e si vede solo all’istologia. Nel paziente con diarrea e un referto senza biopsie l’inquadramento è incompleto: è un GIALLO, non un VERDE.</w:t>
      </w:r>
    </w:p>
    <w:p>
      <w:pPr>
        <w:pStyle w:val="Compact"/>
        <w:numPr>
          <w:ilvl w:val="0"/>
          <w:numId w:val="1007"/>
        </w:numPr>
      </w:pPr>
      <w:r>
        <w:rPr>
          <w:b/>
          <w:bCs/>
        </w:rPr>
        <w:t xml:space="preserve">Breath test positivo per sovracrescita batterica.</w:t>
      </w:r>
      <w:r>
        <w:t xml:space="preserve"> </w:t>
      </w:r>
      <w:r>
        <w:t xml:space="preserve">Dice che il test è positivo. Le linee guida non lo raccomandano di routine, e spesso il paziente l’ha fatto privatamente.</w:t>
      </w:r>
    </w:p>
    <w:p>
      <w:pPr>
        <w:pStyle w:val="Compact"/>
        <w:numPr>
          <w:ilvl w:val="0"/>
          <w:numId w:val="1007"/>
        </w:numPr>
      </w:pPr>
      <w:r>
        <w:rPr>
          <w:b/>
          <w:bCs/>
        </w:rPr>
        <w:t xml:space="preserve">Calprotectina fecale.</w:t>
      </w:r>
      <w:r>
        <w:t xml:space="preserve"> </w:t>
      </w:r>
      <w:r>
        <w:t xml:space="preserve">Separa una sofferenza infiammatoria da un disturbo funzionale. È l’esame più utile e meno richiesto del percorso. Se il paziente ha diarrea e non ce l’ha, è un buco dell’inquadramento.</w:t>
      </w:r>
    </w:p>
    <w:p>
      <w:pPr>
        <w:pStyle w:val="FirstParagraph"/>
      </w:pPr>
      <w:r>
        <w:rPr>
          <w:b/>
          <w:bCs/>
        </w:rPr>
        <w:t xml:space="preserve">La diagnosi è atto medico.</w:t>
      </w:r>
      <w:r>
        <w:t xml:space="preserve"> </w:t>
      </w:r>
      <w:r>
        <w:t xml:space="preserve">Qui impari a leggere un referto, non a formularne uno.</w:t>
      </w:r>
    </w:p>
    <w:bookmarkEnd w:id="18"/>
    <w:bookmarkStart w:id="19" w:name="cosa-non-è"/>
    <w:p>
      <w:pPr>
        <w:pStyle w:val="Heading3"/>
      </w:pPr>
      <w:r>
        <w:t xml:space="preserve">Cosa non è</w:t>
      </w:r>
    </w:p>
    <w:p>
      <w:pPr>
        <w:pStyle w:val="Compact"/>
        <w:numPr>
          <w:ilvl w:val="0"/>
          <w:numId w:val="1008"/>
        </w:numPr>
      </w:pPr>
      <w:r>
        <w:rPr>
          <w:b/>
          <w:bCs/>
        </w:rPr>
        <w:t xml:space="preserve">Non è una malattia infiammatoria cronica intestinale.</w:t>
      </w:r>
      <w:r>
        <w:t xml:space="preserve"> </w:t>
      </w:r>
      <w:r>
        <w:t xml:space="preserve">Quella dà sangue, febbre, calo di peso, diarrea notturna e calprotectina alta.</w:t>
      </w:r>
    </w:p>
    <w:p>
      <w:pPr>
        <w:pStyle w:val="Compact"/>
        <w:numPr>
          <w:ilvl w:val="0"/>
          <w:numId w:val="1008"/>
        </w:numPr>
      </w:pPr>
      <w:r>
        <w:rPr>
          <w:b/>
          <w:bCs/>
        </w:rPr>
        <w:t xml:space="preserve">Non è celiachia</w:t>
      </w:r>
      <w:r>
        <w:t xml:space="preserve">, e per esserne sicuri le linee guida raccomandano la sierologia in chi ha sintomi con diarrea.</w:t>
      </w:r>
    </w:p>
    <w:p>
      <w:pPr>
        <w:pStyle w:val="Compact"/>
        <w:numPr>
          <w:ilvl w:val="0"/>
          <w:numId w:val="1008"/>
        </w:numPr>
      </w:pPr>
      <w:r>
        <w:rPr>
          <w:b/>
          <w:bCs/>
        </w:rPr>
        <w:t xml:space="preserve">Non è sempre un problema dell’intestino.</w:t>
      </w:r>
      <w:r>
        <w:t xml:space="preserve"> </w:t>
      </w:r>
      <w:r>
        <w:t xml:space="preserve">Una parte di questi pazienti ha un dolore che nasce nella</w:t>
      </w:r>
      <w:r>
        <w:t xml:space="preserve"> </w:t>
      </w:r>
      <w:r>
        <w:rPr>
          <w:b/>
          <w:bCs/>
        </w:rPr>
        <w:t xml:space="preserve">parete addominale</w:t>
      </w:r>
      <w:r>
        <w:t xml:space="preserve">.</w:t>
      </w:r>
    </w:p>
    <w:p>
      <w:pPr>
        <w:pStyle w:val="Compact"/>
        <w:numPr>
          <w:ilvl w:val="0"/>
          <w:numId w:val="1008"/>
        </w:numPr>
      </w:pPr>
      <w:r>
        <w:rPr>
          <w:b/>
          <w:bCs/>
        </w:rPr>
        <w:t xml:space="preserve">Non è stitichezza funzionale.</w:t>
      </w:r>
      <w:r>
        <w:t xml:space="preserve"> </w:t>
      </w:r>
      <w:r>
        <w:t xml:space="preserve">Lì il problema è l’evacuazione; qui la cerniera è il dolore. Vedi la Bibbia della</w:t>
      </w:r>
      <w:r>
        <w:t xml:space="preserve"> </w:t>
      </w:r>
      <w:r>
        <w:rPr>
          <w:b/>
          <w:bCs/>
        </w:rPr>
        <w:t xml:space="preserve">stitichezza</w:t>
      </w:r>
      <w:r>
        <w:t xml:space="preserve">.</w:t>
      </w:r>
    </w:p>
    <w:p>
      <w:pPr>
        <w:pStyle w:val="Compact"/>
        <w:numPr>
          <w:ilvl w:val="0"/>
          <w:numId w:val="1008"/>
        </w:numPr>
      </w:pPr>
      <w:r>
        <w:rPr>
          <w:b/>
          <w:bCs/>
        </w:rPr>
        <w:t xml:space="preserve">Non è dolore addominale a mediazione centrale.</w:t>
      </w:r>
      <w:r>
        <w:t xml:space="preserve"> </w:t>
      </w:r>
      <w:r>
        <w:t xml:space="preserve">Lì il dolore è continuo, quotidiano, e non legato all’evacuazione. Roma V lo separa apposta con la clausola «ricorrente ma non continuo», e il percorso è un altro.</w:t>
      </w:r>
    </w:p>
    <w:p>
      <w:pPr>
        <w:pStyle w:val="Compact"/>
        <w:numPr>
          <w:ilvl w:val="0"/>
          <w:numId w:val="1008"/>
        </w:numPr>
      </w:pPr>
      <w:r>
        <w:rPr>
          <w:b/>
          <w:bCs/>
        </w:rPr>
        <w:t xml:space="preserve">Non è endometriosi.</w:t>
      </w:r>
      <w:r>
        <w:t xml:space="preserve"> </w:t>
      </w:r>
      <w:r>
        <w:t xml:space="preserve">Dolore che peggiora attorno al ciclo, mestruazioni molto dolorose, dolore ai rapporti: il sospetto è ginecologico e si scrive al curante. La sovrapposizione è ampia — 23,4% nelle donne con endometriosi, probabilità circa tripla (Nabi 2022, PMID 35957857) — ed è qui che nasce il ritardo diagnostico.</w:t>
      </w:r>
    </w:p>
    <w:p>
      <w:pPr>
        <w:pStyle w:val="FirstParagraph"/>
      </w:pPr>
      <w:r>
        <w:rPr>
          <w:b/>
          <w:bCs/>
        </w:rPr>
        <w:t xml:space="preserve">Le tre cose da ricordare, più una</w:t>
      </w:r>
    </w:p>
    <w:p>
      <w:pPr>
        <w:pStyle w:val="Compact"/>
        <w:numPr>
          <w:ilvl w:val="0"/>
          <w:numId w:val="1009"/>
        </w:numPr>
      </w:pPr>
      <w:r>
        <w:t xml:space="preserve">La cerniera diagnostica è il legame fra dolore ed evacuazione: gonfiore, urgenza e muco non definiscono niente.</w:t>
      </w:r>
    </w:p>
    <w:p>
      <w:pPr>
        <w:pStyle w:val="Compact"/>
        <w:numPr>
          <w:ilvl w:val="0"/>
          <w:numId w:val="1009"/>
        </w:numPr>
      </w:pPr>
      <w:r>
        <w:t xml:space="preserve">Cambia forma nel tempo, e sotto i 60 anni cambiare forma è normale. Cambiare carattere, sede o intensità del dolore non lo è. E dai 60 in su non lo è nemmeno cambiare alvo.</w:t>
      </w:r>
    </w:p>
    <w:p>
      <w:pPr>
        <w:pStyle w:val="Compact"/>
        <w:numPr>
          <w:ilvl w:val="0"/>
          <w:numId w:val="1009"/>
        </w:numPr>
      </w:pPr>
      <w:r>
        <w:t xml:space="preserve">I sottotipi con la lettera descrivono le feci di un periodo, non il meccanismo.</w:t>
      </w:r>
    </w:p>
    <w:p>
      <w:pPr>
        <w:pStyle w:val="Compact"/>
        <w:numPr>
          <w:ilvl w:val="0"/>
          <w:numId w:val="1009"/>
        </w:numPr>
      </w:pPr>
      <w:r>
        <w:rPr>
          <w:b/>
          <w:bCs/>
        </w:rPr>
        <w:t xml:space="preserve">Perché ci sei tu.</w:t>
      </w:r>
      <w:r>
        <w:t xml:space="preserve"> </w:t>
      </w:r>
      <w:r>
        <w:t xml:space="preserve">Dopo un inquadramento negativo, meno di 5 pazienti su 100 ricevono un’altra diagnosi organica in sei anni. Questo ti autorizza a lavorare sulla funzione senza rincorrere l’organico. Non ti autorizza a saltare il primo inquadramento: quel numero vale</w:t>
      </w:r>
      <w:r>
        <w:t xml:space="preserve"> </w:t>
      </w:r>
      <w:r>
        <w:rPr>
          <w:b/>
          <w:bCs/>
        </w:rPr>
        <w:t xml:space="preserve">dopo</w:t>
      </w:r>
      <w:r>
        <w:t xml:space="preserve"> </w:t>
      </w:r>
      <w:r>
        <w:t xml:space="preserve">che gli accertamenti sono stati fatti, non al posto loro.</w:t>
      </w:r>
    </w:p>
    <w:p>
      <w:r>
        <w:pict>
          <v:rect style="width:0;height:1.5pt" o:hralign="center" o:hrstd="t" o:hr="t"/>
        </w:pict>
      </w:r>
    </w:p>
    <w:bookmarkEnd w:id="19"/>
    <w:bookmarkEnd w:id="20"/>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il segnale che fa male sale al dorso basso e al sacro, non al collo — e il muscolo che decide quanto si vede la pancia gonfia è scheletrico, quindi è nelle tue mani.</w:t>
      </w:r>
    </w:p>
    <w:bookmarkStart w:id="21" w:name="X9063e6004697abcce9a5f0771b0ef27d7bbf5a0"/>
    <w:p>
      <w:pPr>
        <w:pStyle w:val="Heading3"/>
      </w:pPr>
      <w:r>
        <w:t xml:space="preserve">La mappa nervosa del colon, e perché quasi tutti la sbagliano</w:t>
      </w:r>
    </w:p>
    <w:p>
      <w:pPr>
        <w:pStyle w:val="FirstParagraph"/>
      </w:pPr>
      <w:r>
        <w:t xml:space="preserve">Le mappe nervose sono due. Una è quella dei comandi che scendono ai visceri. L’altra è quella dei segnali che salgono, ed è la seconda a riguardare un problema di dolore e di soglia.</w:t>
      </w:r>
      <w:r>
        <w:t xml:space="preserve"> </w:t>
      </w:r>
      <w:r>
        <w:rPr>
          <w:b/>
          <w:bCs/>
        </w:rPr>
        <w:t xml:space="preserve">Qui si usa la mappa afferente</w:t>
      </w:r>
      <w:r>
        <w:t xml:space="preserve">, cioè quella dei segnali che salgono. Sono due impianti dentro lo stesso muro: quello che porta la corrente e quello che porta il campanello.</w:t>
      </w:r>
    </w:p>
    <w:p>
      <w:pPr>
        <w:pStyle w:val="BodyText"/>
      </w:pPr>
      <w:r>
        <w:rPr>
          <w:b/>
          <w:bCs/>
        </w:rPr>
        <w:t xml:space="preserve">Il segnale del colon-retto sale per due vie, entrambe spinali.</w:t>
      </w:r>
    </w:p>
    <w:p>
      <w:pPr>
        <w:pStyle w:val="Compact"/>
        <w:numPr>
          <w:ilvl w:val="0"/>
          <w:numId w:val="1010"/>
        </w:numPr>
      </w:pPr>
      <w:r>
        <w:t xml:space="preserve">La</w:t>
      </w:r>
      <w:r>
        <w:t xml:space="preserve"> </w:t>
      </w:r>
      <w:r>
        <w:rPr>
          <w:b/>
          <w:bCs/>
        </w:rPr>
        <w:t xml:space="preserve">via pelvica</w:t>
      </w:r>
      <w:r>
        <w:t xml:space="preserve"> </w:t>
      </w:r>
      <w:r>
        <w:t xml:space="preserve">ha i corpi cellulari in S2-S4. Viaggia dentro il nervo pelvico, ma non è fatta di fibre parasimpatiche. Porta sia il riempimento normale sia l’urgenza.</w:t>
      </w:r>
    </w:p>
    <w:p>
      <w:pPr>
        <w:pStyle w:val="Compact"/>
        <w:numPr>
          <w:ilvl w:val="0"/>
          <w:numId w:val="1010"/>
        </w:numPr>
      </w:pPr>
      <w:r>
        <w:t xml:space="preserve">La</w:t>
      </w:r>
      <w:r>
        <w:t xml:space="preserve"> </w:t>
      </w:r>
      <w:r>
        <w:rPr>
          <w:b/>
          <w:bCs/>
        </w:rPr>
        <w:t xml:space="preserve">via splancnica lombare</w:t>
      </w:r>
      <w:r>
        <w:t xml:space="preserve"> </w:t>
      </w:r>
      <w:r>
        <w:t xml:space="preserve">ha i corpi cellulari fra T10 e L1. È in gran parte fatta di nocicettori ad alta soglia, cioè di sensori che scattano solo con stimoli forti.</w:t>
      </w:r>
    </w:p>
    <w:p>
      <w:pPr>
        <w:pStyle w:val="FirstParagraph"/>
      </w:pPr>
      <w:r>
        <w:t xml:space="preserve">Entrambe terminano nel corno dorsale del midollo. Sul versante dei comandi il confine cade alla flessura splenica: il</w:t>
      </w:r>
      <w:r>
        <w:t xml:space="preserve"> </w:t>
      </w:r>
      <w:r>
        <w:rPr>
          <w:b/>
          <w:bCs/>
        </w:rPr>
        <w:t xml:space="preserve">vago</w:t>
      </w:r>
      <w:r>
        <w:t xml:space="preserve"> </w:t>
      </w:r>
      <w:r>
        <w:t xml:space="preserve">governa il colon prossimale, e al distale non arriva.</w:t>
      </w:r>
    </w:p>
    <w:p>
      <w:pPr>
        <w:pStyle w:val="BlockText"/>
      </w:pPr>
      <w:r>
        <w:rPr>
          <w:b/>
          <w:bCs/>
        </w:rPr>
        <w:t xml:space="preserve">Attenzione.</w:t>
      </w:r>
      <w:r>
        <w:t xml:space="preserve"> </w:t>
      </w:r>
      <w:r>
        <w:t xml:space="preserve">Il modello di ragionamento interno manda a cercare la zona riflessa di un viscere addominale in dorsale media, in cervicale bassa e alla spalla. Per il colon distale quelle coordinate sono sbagliate: quei segmenti non ricevono niente da lì e non mandano niente lì.</w:t>
      </w:r>
      <w:r>
        <w:t xml:space="preserve"> </w:t>
      </w:r>
      <w:r>
        <w:rPr>
          <w:b/>
          <w:bCs/>
        </w:rPr>
        <w:t xml:space="preserve">Il collo non è zona riflessa di questo problema.</w:t>
      </w:r>
      <w:r>
        <w:t xml:space="preserve"> </w:t>
      </w:r>
      <w:r>
        <w:t xml:space="preserve">I distretti che contano sono i segmenti in cui i due fasci afferenti</w:t>
      </w:r>
      <w:r>
        <w:t xml:space="preserve"> </w:t>
      </w:r>
      <w:r>
        <w:rPr>
          <w:b/>
          <w:bCs/>
        </w:rPr>
        <w:t xml:space="preserve">entrano</w:t>
      </w:r>
      <w:r>
        <w:t xml:space="preserve">: la</w:t>
      </w:r>
      <w:r>
        <w:t xml:space="preserve"> </w:t>
      </w:r>
      <w:r>
        <w:rPr>
          <w:b/>
          <w:bCs/>
        </w:rPr>
        <w:t xml:space="preserve">giunzione dorso-lombare</w:t>
      </w:r>
      <w:r>
        <w:t xml:space="preserve"> </w:t>
      </w:r>
      <w:r>
        <w:t xml:space="preserve">e il</w:t>
      </w:r>
      <w:r>
        <w:t xml:space="preserve"> </w:t>
      </w:r>
      <w:r>
        <w:rPr>
          <w:b/>
          <w:bCs/>
        </w:rPr>
        <w:t xml:space="preserve">sacro</w:t>
      </w:r>
      <w:r>
        <w:t xml:space="preserve">.</w:t>
      </w:r>
      <w:r>
        <w:t xml:space="preserve"> </w:t>
      </w:r>
      <w:r>
        <w:t xml:space="preserve">Due precisazioni, perché l’esclusione non diventi più larga dell’argomento che la regge. La prima: il vago arriva al colon prossimale, ma i sintomi che definiscono questa sindrome nascono a valle della flessura splenica. La seconda: il collo resta l’origine del frenico (C3-C5), che comanda il diaframma, e che una manovra cervicale cambi quel comando</w:t>
      </w:r>
      <w:r>
        <w:t xml:space="preserve"> </w:t>
      </w:r>
      <w:r>
        <w:rPr>
          <w:b/>
          <w:bCs/>
        </w:rPr>
        <w:t xml:space="preserve">non è stato misurato</w:t>
      </w:r>
      <w:r>
        <w:t xml:space="preserve">.</w:t>
      </w:r>
      <w:r>
        <w:t xml:space="preserve"> </w:t>
      </w:r>
      <w:r>
        <w:t xml:space="preserve">(StatPearls NBK470577 e NBK560504; Brierley 2004, PMID 15236183)</w:t>
      </w:r>
    </w:p>
    <w:p>
      <w:pPr>
        <w:pStyle w:val="FirstParagraph"/>
      </w:pPr>
      <w:r>
        <w:rPr>
          <w:b/>
          <w:bCs/>
        </w:rPr>
        <w:t xml:space="preserve">La chicca.</w:t>
      </w:r>
      <w:r>
        <w:t xml:space="preserve"> </w:t>
      </w:r>
      <w:r>
        <w:t xml:space="preserve">Il confine nervoso e quello meccanico cadono nello stesso punto: la flessura splenica è ancorata al diaframma dal</w:t>
      </w:r>
      <w:r>
        <w:t xml:space="preserve"> </w:t>
      </w:r>
      <w:r>
        <w:rPr>
          <w:b/>
          <w:bCs/>
        </w:rPr>
        <w:t xml:space="preserve">legamento freno-colico</w:t>
      </w:r>
      <w:r>
        <w:t xml:space="preserve">. È un’osservazione anatomica, non una leva.</w:t>
      </w:r>
    </w:p>
    <w:bookmarkEnd w:id="21"/>
    <w:bookmarkStart w:id="22" w:name="le-strutture-una-per-una"/>
    <w:p>
      <w:pPr>
        <w:pStyle w:val="Heading3"/>
      </w:pPr>
      <w:r>
        <w:t xml:space="preserve">Le strutture, una per una</w:t>
      </w:r>
    </w:p>
    <w:p>
      <w:pPr>
        <w:pStyle w:val="FirstParagraph"/>
      </w:pPr>
      <w:r>
        <w:rPr>
          <w:b/>
          <w:bCs/>
        </w:rPr>
        <w:t xml:space="preserve">Il diaframma.</w:t>
      </w:r>
      <w:r>
        <w:t xml:space="preserve"> </w:t>
      </w:r>
      <w:r>
        <w:t xml:space="preserve">Muscolo scheletrico, innervato dal frenico (C3-C5). Qui conta come</w:t>
      </w:r>
      <w:r>
        <w:t xml:space="preserve"> </w:t>
      </w:r>
      <w:r>
        <w:rPr>
          <w:b/>
          <w:bCs/>
        </w:rPr>
        <w:t xml:space="preserve">coperchio pressorio</w:t>
      </w:r>
      <w:r>
        <w:t xml:space="preserve">, non come muscolo respiratorio. Quando il volume dentro l’addome aumenta, un diaframma normale si rilassa e sale, e l’aumento si distribuisce verso l’alto. Nei pazienti con distensione visibile fa il contrario.</w:t>
      </w:r>
    </w:p>
    <w:p>
      <w:pPr>
        <w:pStyle w:val="BodyText"/>
      </w:pPr>
      <w:r>
        <w:rPr>
          <w:b/>
          <w:bCs/>
        </w:rPr>
        <w:t xml:space="preserve">I muscoli della parete addominale anteriore e laterale</w:t>
      </w:r>
      <w:r>
        <w:t xml:space="preserve"> </w:t>
      </w:r>
      <w:r>
        <w:t xml:space="preserve">— retto, obliquo esterno,</w:t>
      </w:r>
      <w:r>
        <w:t xml:space="preserve"> </w:t>
      </w:r>
      <w:r>
        <w:rPr>
          <w:b/>
          <w:bCs/>
        </w:rPr>
        <w:t xml:space="preserve">obliquo interno</w:t>
      </w:r>
      <w:r>
        <w:t xml:space="preserve">, trasverso. Sono il fondo del contenitore. Il loro tono decide quanto la pancia sporge a parità di volume interno. L’obliquo interno è quello che si comporta al contrario nei pazienti con distensione.</w:t>
      </w:r>
    </w:p>
    <w:p>
      <w:pPr>
        <w:pStyle w:val="BodyText"/>
      </w:pPr>
      <w:r>
        <w:rPr>
          <w:b/>
          <w:bCs/>
        </w:rPr>
        <w:t xml:space="preserve">I nervi cutanei anteriori dell’addome.</w:t>
      </w:r>
      <w:r>
        <w:t xml:space="preserve"> </w:t>
      </w:r>
      <w:r>
        <w:t xml:space="preserve">Sono i rami terminali degli intercostali T7-T12. Attraversano la guaina del retto lungo un tragitto stretto, ad angolo retto, e lì possono essere irritati. Danno un dolore</w:t>
      </w:r>
      <w:r>
        <w:t xml:space="preserve"> </w:t>
      </w:r>
      <w:r>
        <w:rPr>
          <w:b/>
          <w:bCs/>
        </w:rPr>
        <w:t xml:space="preserve">fisso, superficiale e riproducibile</w:t>
      </w:r>
      <w:r>
        <w:t xml:space="preserve"> </w:t>
      </w:r>
      <w:r>
        <w:t xml:space="preserve">che somiglia a un dolore viscerale e non lo è. È la struttura che spiega il sottotipo su cui puoi di più.</w:t>
      </w:r>
    </w:p>
    <w:p>
      <w:pPr>
        <w:pStyle w:val="BodyText"/>
      </w:pPr>
      <w:r>
        <w:rPr>
          <w:b/>
          <w:bCs/>
        </w:rPr>
        <w:t xml:space="preserve">Il retto, come organo di misura.</w:t>
      </w:r>
      <w:r>
        <w:t xml:space="preserve"> </w:t>
      </w:r>
      <w:r>
        <w:t xml:space="preserve">Non conta la sua meccanica: conta la sua</w:t>
      </w:r>
      <w:r>
        <w:t xml:space="preserve"> </w:t>
      </w:r>
      <w:r>
        <w:rPr>
          <w:b/>
          <w:bCs/>
        </w:rPr>
        <w:t xml:space="preserve">soglia</w:t>
      </w:r>
      <w:r>
        <w:t xml:space="preserve">. È l’unico punto in cui la sensibilità viscerale di questi pazienti è stata misurata in modo riproducibile, con un palloncino a pressione controllata.</w:t>
      </w:r>
    </w:p>
    <w:p>
      <w:pPr>
        <w:pStyle w:val="BodyText"/>
      </w:pPr>
      <w:r>
        <w:rPr>
          <w:b/>
          <w:bCs/>
        </w:rPr>
        <w:t xml:space="preserve">La giunzione dorso-lombare (T12-L1).</w:t>
      </w:r>
      <w:r>
        <w:t xml:space="preserve"> </w:t>
      </w:r>
      <w:r>
        <w:t xml:space="preserve">È il crocevia: lì entrano gli afferenti splancnici del colon distale, e lì si inserisce il pilastro del diaframma. Una cerniera per due sistemi.</w:t>
      </w:r>
    </w:p>
    <w:p>
      <w:pPr>
        <w:pStyle w:val="BodyText"/>
      </w:pPr>
      <w:r>
        <w:rPr>
          <w:b/>
          <w:bCs/>
        </w:rPr>
        <w:t xml:space="preserve">Il complesso lombo-sacrale e il pavimento pelvico.</w:t>
      </w:r>
      <w:r>
        <w:t xml:space="preserve"> </w:t>
      </w:r>
      <w:r>
        <w:t xml:space="preserve">S2-S4 passa di qui. Il pavimento pelvico è insieme muscolo posturale e muscolo di continenza: partecipa alla pressione dentro l’addome, all’urgenza e all’evacuazione. È il secondo muscolo scheletrico di questa fisiopatologia.</w:t>
      </w:r>
    </w:p>
    <w:p>
      <w:pPr>
        <w:pStyle w:val="BodyText"/>
      </w:pPr>
      <w:r>
        <w:rPr>
          <w:b/>
          <w:bCs/>
        </w:rPr>
        <w:t xml:space="preserve">La mucosa del colon e i mastociti.</w:t>
      </w:r>
      <w:r>
        <w:t xml:space="preserve"> </w:t>
      </w:r>
      <w:r>
        <w:t xml:space="preserve">Non è una struttura che tocchi. È dove si misura il legame fra attivazione immunitaria di basso grado e dolore, e spiega perché una parte di questi pazienti non risponde a niente di meccanico.</w:t>
      </w:r>
    </w:p>
    <w:p>
      <w:pPr>
        <w:pStyle w:val="BlockText"/>
      </w:pPr>
      <w:r>
        <w:rPr>
          <w:b/>
          <w:bCs/>
        </w:rPr>
        <w:t xml:space="preserve">Attenzione — le due cose che qui si rompono.</w:t>
      </w:r>
      <w:r>
        <w:t xml:space="preserve"> </w:t>
      </w:r>
      <w:r>
        <w:t xml:space="preserve">L’</w:t>
      </w:r>
      <w:r>
        <w:rPr>
          <w:b/>
          <w:bCs/>
        </w:rPr>
        <w:t xml:space="preserve">aorta</w:t>
      </w:r>
      <w:r>
        <w:t xml:space="preserve"> </w:t>
      </w:r>
      <w:r>
        <w:t xml:space="preserve">passa sotto l’ombelico e lì si palpa: una massa periombelicale</w:t>
      </w:r>
      <w:r>
        <w:t xml:space="preserve"> </w:t>
      </w:r>
      <w:r>
        <w:rPr>
          <w:b/>
          <w:bCs/>
        </w:rPr>
        <w:t xml:space="preserve">pulsante ed espansiva</w:t>
      </w:r>
      <w:r>
        <w:t xml:space="preserve"> </w:t>
      </w:r>
      <w:r>
        <w:t xml:space="preserve">non si palpa a fondo e non si tratta. È raro: nessuna rottura pubblicata dopo terapia manuale, e due casi recenti di trattamento sicuro in aneurisma noto, con screening fatto prima (PMID 30198815; PMID 35928356). Ma la prevalenza nei maschi anziani è dell’1-12%, cioè dentro la fascia d’età di questi pazienti. Il</w:t>
      </w:r>
      <w:r>
        <w:t xml:space="preserve"> </w:t>
      </w:r>
      <w:r>
        <w:rPr>
          <w:b/>
          <w:bCs/>
        </w:rPr>
        <w:t xml:space="preserve">margine costale</w:t>
      </w:r>
      <w:r>
        <w:t xml:space="preserve"> </w:t>
      </w:r>
      <w:r>
        <w:t xml:space="preserve">è l’altra struttura, ed è un bersaglio ricorrente qui. Su quasi un milione di sedute gli unici due eventi avversi severi erano fratture costali. Erano entrambe in donne oltre i sessanta (0,21 per 100.000 — Chu 2023, PMID 36690712).</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t xml:space="preserve">La catena che conta qui è corta e non sale sopra le coste basse: diaframma → pressione dentro l’addome → parete addominale → sacro e pavimento pelvico.</w:t>
      </w:r>
    </w:p>
    <w:p>
      <w:pPr>
        <w:pStyle w:val="BodyText"/>
      </w:pPr>
      <w:r>
        <w:rPr>
          <w:b/>
          <w:bCs/>
        </w:rPr>
        <w:t xml:space="preserve">Le tre cose da ricordare, più una</w:t>
      </w:r>
    </w:p>
    <w:p>
      <w:pPr>
        <w:pStyle w:val="Compact"/>
        <w:numPr>
          <w:ilvl w:val="0"/>
          <w:numId w:val="1011"/>
        </w:numPr>
      </w:pPr>
      <w:r>
        <w:t xml:space="preserve">Il segnale del colon distale entra in S2-S4 e fra T10 e L1: sono due vie afferenti spinali, non una parasimpatica e una simpatica. Nessuna zona riflessa cervicale.</w:t>
      </w:r>
    </w:p>
    <w:p>
      <w:pPr>
        <w:pStyle w:val="Compact"/>
        <w:numPr>
          <w:ilvl w:val="0"/>
          <w:numId w:val="1011"/>
        </w:numPr>
      </w:pPr>
      <w:r>
        <w:t xml:space="preserve">Il diaframma qui è un coperchio pressorio, non un muscolo respiratorio.</w:t>
      </w:r>
    </w:p>
    <w:p>
      <w:pPr>
        <w:pStyle w:val="Compact"/>
        <w:numPr>
          <w:ilvl w:val="0"/>
          <w:numId w:val="1011"/>
        </w:numPr>
      </w:pPr>
      <w:r>
        <w:t xml:space="preserve">Il dolore fisso e superficiale può essere di parete: i nervi cutanei anteriori esistono, e nessuno li cerca.</w:t>
      </w:r>
    </w:p>
    <w:p>
      <w:pPr>
        <w:pStyle w:val="Compact"/>
        <w:numPr>
          <w:ilvl w:val="0"/>
          <w:numId w:val="1011"/>
        </w:numPr>
      </w:pPr>
      <w:r>
        <w:rPr>
          <w:b/>
          <w:bCs/>
        </w:rPr>
        <w:t xml:space="preserve">Perché ci sei tu.</w:t>
      </w:r>
      <w:r>
        <w:t xml:space="preserve"> </w:t>
      </w:r>
      <w:r>
        <w:t xml:space="preserve">Durante un episodio di distensione visibile il diaframma</w:t>
      </w:r>
      <w:r>
        <w:t xml:space="preserve"> </w:t>
      </w:r>
      <w:r>
        <w:rPr>
          <w:b/>
          <w:bCs/>
        </w:rPr>
        <w:t xml:space="preserve">si contrae</w:t>
      </w:r>
      <w:r>
        <w:t xml:space="preserve"> </w:t>
      </w:r>
      <w:r>
        <w:t xml:space="preserve">invece di rilassarsi e l’obliquo interno</w:t>
      </w:r>
      <w:r>
        <w:t xml:space="preserve"> </w:t>
      </w:r>
      <w:r>
        <w:rPr>
          <w:b/>
          <w:bCs/>
        </w:rPr>
        <w:t xml:space="preserve">si rilassa</w:t>
      </w:r>
      <w:r>
        <w:t xml:space="preserve"> </w:t>
      </w:r>
      <w:r>
        <w:t xml:space="preserve">invece di contrarsi: due muscoli scheletrici dentro la fisiopatologia. Questo ti autorizza a mettere le mani dentro il meccanismo, non accanto. Non ti autorizza a dire che tratti l’intestino: tratti il suo contenitore.</w:t>
      </w:r>
    </w:p>
    <w:p>
      <w:r>
        <w:pict>
          <v:rect style="width:0;height:1.5pt" o:hralign="center" o:hrstd="t" o:hr="t"/>
        </w:pict>
      </w:r>
    </w:p>
    <w:bookmarkEnd w:id="22"/>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intestino sano riempie, misura, decide e svuota — e il proprietario non se ne accorge, perché il segnale che sale non supera mai la soglia della coscienza.</w:t>
      </w:r>
    </w:p>
    <w:p>
      <w:pPr>
        <w:pStyle w:val="FirstParagraph"/>
      </w:pPr>
      <w:r>
        <w:t xml:space="preserve">La sequenza normale, in ordine.</w:t>
      </w:r>
    </w:p>
    <w:p>
      <w:pPr>
        <w:numPr>
          <w:ilvl w:val="0"/>
          <w:numId w:val="1012"/>
        </w:numPr>
      </w:pPr>
      <w:r>
        <w:rPr>
          <w:b/>
          <w:bCs/>
        </w:rPr>
        <w:t xml:space="preserve">Il pasto entra e il colon riceve un ordine.</w:t>
      </w:r>
      <w:r>
        <w:t xml:space="preserve"> </w:t>
      </w:r>
      <w:r>
        <w:t xml:space="preserve">Poche decine di minuti dopo, la motilità del colon aumenta: è una risposta normale e misurata, non una malattia.</w:t>
      </w:r>
    </w:p>
    <w:p>
      <w:pPr>
        <w:numPr>
          <w:ilvl w:val="0"/>
          <w:numId w:val="1012"/>
        </w:numPr>
      </w:pPr>
      <w:r>
        <w:rPr>
          <w:b/>
          <w:bCs/>
        </w:rPr>
        <w:t xml:space="preserve">Il contenuto avanza e distende la parete.</w:t>
      </w:r>
      <w:r>
        <w:t xml:space="preserve"> </w:t>
      </w:r>
      <w:r>
        <w:t xml:space="preserve">I recettori di stiramento si accorgono del volume, e il segnale sale.</w:t>
      </w:r>
    </w:p>
    <w:p>
      <w:pPr>
        <w:numPr>
          <w:ilvl w:val="0"/>
          <w:numId w:val="1012"/>
        </w:numPr>
      </w:pPr>
      <w:r>
        <w:rPr>
          <w:b/>
          <w:bCs/>
        </w:rPr>
        <w:t xml:space="preserve">Il segnale sale per le due vie spinali</w:t>
      </w:r>
      <w:r>
        <w:t xml:space="preserve"> </w:t>
      </w:r>
      <w:r>
        <w:t xml:space="preserve">descritte in «Le strutture in gioco».</w:t>
      </w:r>
    </w:p>
    <w:p>
      <w:pPr>
        <w:numPr>
          <w:ilvl w:val="0"/>
          <w:numId w:val="1012"/>
        </w:numPr>
      </w:pPr>
      <w:r>
        <w:rPr>
          <w:b/>
          <w:bCs/>
        </w:rPr>
        <w:t xml:space="preserve">Il midollo e il tronco filtrano.</w:t>
      </w:r>
      <w:r>
        <w:t xml:space="preserve"> </w:t>
      </w:r>
      <w:r>
        <w:t xml:space="preserve">La maggior parte di quel traffico</w:t>
      </w:r>
      <w:r>
        <w:t xml:space="preserve"> </w:t>
      </w:r>
      <w:r>
        <w:rPr>
          <w:b/>
          <w:bCs/>
        </w:rPr>
        <w:t xml:space="preserve">non arriva alla coscienza</w:t>
      </w:r>
      <w:r>
        <w:t xml:space="preserve">: è lo stesso filtro che ti permette di non sentire i vestiti che hai addosso.</w:t>
      </w:r>
    </w:p>
    <w:p>
      <w:pPr>
        <w:numPr>
          <w:ilvl w:val="0"/>
          <w:numId w:val="1012"/>
        </w:numPr>
      </w:pPr>
      <w:r>
        <w:rPr>
          <w:b/>
          <w:bCs/>
        </w:rPr>
        <w:t xml:space="preserve">Il contenitore assorbe verso l’alto.</w:t>
      </w:r>
      <w:r>
        <w:t xml:space="preserve"> </w:t>
      </w:r>
      <w:r>
        <w:t xml:space="preserve">La pancia non sporge perché il contenitore lo ha impedito.</w:t>
      </w:r>
    </w:p>
    <w:p>
      <w:pPr>
        <w:numPr>
          <w:ilvl w:val="0"/>
          <w:numId w:val="1012"/>
        </w:numPr>
      </w:pPr>
      <w:r>
        <w:rPr>
          <w:b/>
          <w:bCs/>
        </w:rPr>
        <w:t xml:space="preserve">Il retto si riempie e segnala.</w:t>
      </w:r>
      <w:r>
        <w:t xml:space="preserve"> </w:t>
      </w:r>
      <w:r>
        <w:t xml:space="preserve">Le soglie sono tre e distanziate: c’è margine fra</w:t>
      </w:r>
      <w:r>
        <w:t xml:space="preserve"> </w:t>
      </w:r>
      <w:r>
        <w:t xml:space="preserve">“lo sento”</w:t>
      </w:r>
      <w:r>
        <w:t xml:space="preserve"> </w:t>
      </w:r>
      <w:r>
        <w:t xml:space="preserve">e</w:t>
      </w:r>
      <w:r>
        <w:t xml:space="preserve"> </w:t>
      </w:r>
      <w:r>
        <w:t xml:space="preserve">“devo andare adesso”</w:t>
      </w:r>
      <w:r>
        <w:t xml:space="preserve">.</w:t>
      </w:r>
    </w:p>
    <w:p>
      <w:pPr>
        <w:numPr>
          <w:ilvl w:val="0"/>
          <w:numId w:val="1012"/>
        </w:numPr>
      </w:pPr>
      <w:r>
        <w:rPr>
          <w:b/>
          <w:bCs/>
        </w:rPr>
        <w:t xml:space="preserve">Il guadagno della catena segue l’assetto autonomico.</w:t>
      </w:r>
    </w:p>
    <w:p>
      <w:pPr>
        <w:pStyle w:val="BlockText"/>
      </w:pPr>
      <w:r>
        <w:rPr>
          <w:b/>
          <w:bCs/>
        </w:rPr>
        <w:t xml:space="preserve">Attenzione — due cose diverse, e qui si confondono sempre.</w:t>
      </w:r>
      <w:r>
        <w:t xml:space="preserve"> </w:t>
      </w:r>
      <w:r>
        <w:t xml:space="preserve">Il</w:t>
      </w:r>
      <w:r>
        <w:t xml:space="preserve"> </w:t>
      </w:r>
      <w:r>
        <w:rPr>
          <w:b/>
          <w:bCs/>
        </w:rPr>
        <w:t xml:space="preserve">filtro</w:t>
      </w:r>
      <w:r>
        <w:t xml:space="preserve"> </w:t>
      </w:r>
      <w:r>
        <w:t xml:space="preserve">del punto 4 è la modulazione discendente dal tronco. Il</w:t>
      </w:r>
      <w:r>
        <w:t xml:space="preserve"> </w:t>
      </w:r>
      <w:r>
        <w:rPr>
          <w:b/>
          <w:bCs/>
        </w:rPr>
        <w:t xml:space="preserve">tono vagale</w:t>
      </w:r>
      <w:r>
        <w:t xml:space="preserve"> </w:t>
      </w:r>
      <w:r>
        <w:t xml:space="preserve">è un’altra cosa: non muove il colon distale, perché lì non arriva. I due si muovono spesso insieme, ma sono sistemi diversi e si misurano separatamente. Un assetto alterato è un indizio dello stato generale, non una lettura del filtro.</w:t>
      </w:r>
    </w:p>
    <w:p>
      <w:pPr>
        <w:pStyle w:val="FirstParagraph"/>
      </w:pPr>
      <w:r>
        <w:rPr>
          <w:b/>
          <w:bCs/>
        </w:rPr>
        <w:t xml:space="preserve">Le tre cose da ricordare, più una</w:t>
      </w:r>
    </w:p>
    <w:p>
      <w:pPr>
        <w:pStyle w:val="Compact"/>
        <w:numPr>
          <w:ilvl w:val="0"/>
          <w:numId w:val="1013"/>
        </w:numPr>
      </w:pPr>
      <w:r>
        <w:t xml:space="preserve">La motilità che aumenta dopo il pasto è normale: il sintomo non nasce dall’ordine, ma da come viene ricevuto.</w:t>
      </w:r>
    </w:p>
    <w:p>
      <w:pPr>
        <w:pStyle w:val="Compact"/>
        <w:numPr>
          <w:ilvl w:val="0"/>
          <w:numId w:val="1013"/>
        </w:numPr>
      </w:pPr>
      <w:r>
        <w:t xml:space="preserve">Fra</w:t>
      </w:r>
      <w:r>
        <w:t xml:space="preserve"> </w:t>
      </w:r>
      <w:r>
        <w:t xml:space="preserve">“lo sento”</w:t>
      </w:r>
      <w:r>
        <w:t xml:space="preserve"> </w:t>
      </w:r>
      <w:r>
        <w:t xml:space="preserve">e</w:t>
      </w:r>
      <w:r>
        <w:t xml:space="preserve"> </w:t>
      </w:r>
      <w:r>
        <w:t xml:space="preserve">“devo andare adesso”</w:t>
      </w:r>
      <w:r>
        <w:t xml:space="preserve"> </w:t>
      </w:r>
      <w:r>
        <w:t xml:space="preserve">una persona sana ha margine, ed è il margine che si perde.</w:t>
      </w:r>
    </w:p>
    <w:p>
      <w:pPr>
        <w:pStyle w:val="Compact"/>
        <w:numPr>
          <w:ilvl w:val="0"/>
          <w:numId w:val="1013"/>
        </w:numPr>
      </w:pPr>
      <w:r>
        <w:t xml:space="preserve">Il contenitore muscolare fa parte della fisiologia normale: assorbe il volume verso l’alto.</w:t>
      </w:r>
    </w:p>
    <w:p>
      <w:pPr>
        <w:pStyle w:val="Compact"/>
        <w:numPr>
          <w:ilvl w:val="0"/>
          <w:numId w:val="1013"/>
        </w:numPr>
      </w:pPr>
      <w:r>
        <w:rPr>
          <w:b/>
          <w:bCs/>
        </w:rPr>
        <w:t xml:space="preserve">Perché ci sei tu.</w:t>
      </w:r>
      <w:r>
        <w:t xml:space="preserve"> </w:t>
      </w:r>
      <w:r>
        <w:t xml:space="preserve">Nei pazienti con questa sindrome il tono vagale misurato è più basso, e la bilancia fra i due rami dell’autonomico è spostata. Sono 11 studi su 392 pazienti confrontati con 263 persone sane, con un effetto piccolo e studi primari a rischio di distorsione dichiarato. Questo ti autorizza a considerare l’assetto autonomico un bersaglio legittimo. Non ti autorizza a dire che il tuo tocco lo sposta: quella misura, dopo un trattamento manuale e su questi pazienti, nessuno l’ha fatta.</w:t>
      </w:r>
    </w:p>
    <w:p>
      <w:r>
        <w:pict>
          <v:rect style="width:0;height:1.5pt" o:hralign="center" o:hrstd="t" o:hr="t"/>
        </w:pict>
      </w:r>
    </w:p>
    <w:bookmarkEnd w:id="24"/>
    <w:bookmarkStart w:id="31"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sei guasti, tutti reali e nessuno presente in tutti i pazienti — e il tuo lavoro è capire quale comanda in</w:t>
      </w:r>
      <w:r>
        <w:t xml:space="preserve"> </w:t>
      </w:r>
      <w:r>
        <w:rPr>
          <w:b/>
          <w:bCs/>
        </w:rPr>
        <w:t xml:space="preserve">questo</w:t>
      </w:r>
      <w:r>
        <w:t xml:space="preserve">.</w:t>
      </w:r>
    </w:p>
    <w:p>
      <w:pPr>
        <w:pStyle w:val="FirstParagraph"/>
      </w:pPr>
      <w:r>
        <w:rPr>
          <w:b/>
          <w:bCs/>
        </w:rPr>
        <w:t xml:space="preserve">Che tipo di dolore è.</w:t>
      </w:r>
      <w:r>
        <w:t xml:space="preserve"> </w:t>
      </w:r>
      <w:r>
        <w:t xml:space="preserve">L’IASP mette questa sindrome fra gli esempi tipici del dolore</w:t>
      </w:r>
      <w:r>
        <w:t xml:space="preserve"> </w:t>
      </w:r>
      <w:r>
        <w:rPr>
          <w:b/>
          <w:bCs/>
        </w:rPr>
        <w:t xml:space="preserve">nociplastico</w:t>
      </w:r>
      <w:r>
        <w:t xml:space="preserve">: il guadagno del sistema è alterato, e non c’è una sorgente periferica proporzionata.</w:t>
      </w:r>
      <w:r>
        <w:t xml:space="preserve"> </w:t>
      </w:r>
      <w:r>
        <w:rPr>
          <w:b/>
          <w:bCs/>
        </w:rPr>
        <w:t xml:space="preserve">Su un quadro nociplastico insistere sul tessuto locale non è neutro, peggiora.</w:t>
      </w:r>
      <w:r>
        <w:t xml:space="preserve"> </w:t>
      </w:r>
      <w:r>
        <w:t xml:space="preserve">È il motivo per cui chi ha già tolto dieci cibi e fatto sei esami sta peggio di prima.</w:t>
      </w:r>
    </w:p>
    <w:p>
      <w:pPr>
        <w:pStyle w:val="BodyText"/>
      </w:pPr>
      <w:r>
        <w:t xml:space="preserve">I meccanismi sono ordinati dal più solido al meno solido.</w:t>
      </w:r>
      <w:r>
        <w:t xml:space="preserve"> </w:t>
      </w:r>
      <w:r>
        <w:rPr>
          <w:b/>
          <w:bCs/>
        </w:rPr>
        <w:t xml:space="preserve">La classifica misura la solidità del meccanismo, non quella della leva:</w:t>
      </w:r>
      <w:r>
        <w:t xml:space="preserve"> </w:t>
      </w:r>
      <w:r>
        <w:t xml:space="preserve">gli ultimi della lista hanno alle spalle gli interventi con le prove di trattamento migliori del documento.</w:t>
      </w:r>
    </w:p>
    <w:bookmarkStart w:id="25" w:name="la-soglia-abbassata"/>
    <w:p>
      <w:pPr>
        <w:pStyle w:val="Heading3"/>
      </w:pPr>
      <w:r>
        <w:t xml:space="preserve">1. La soglia abbassata</w:t>
      </w:r>
    </w:p>
    <w:p>
      <w:pPr>
        <w:pStyle w:val="FirstParagraph"/>
      </w:pPr>
      <w:r>
        <w:rPr>
          <w:b/>
          <w:bCs/>
        </w:rPr>
        <w:t xml:space="preserve">La sequenza.</w:t>
      </w:r>
    </w:p>
    <w:p>
      <w:pPr>
        <w:pStyle w:val="Compact"/>
        <w:numPr>
          <w:ilvl w:val="0"/>
          <w:numId w:val="1014"/>
        </w:numPr>
      </w:pPr>
      <w:r>
        <w:t xml:space="preserve">La parete del colon e del retto segnala il riempimento come sempre.</w:t>
      </w:r>
    </w:p>
    <w:p>
      <w:pPr>
        <w:pStyle w:val="Compact"/>
        <w:numPr>
          <w:ilvl w:val="0"/>
          <w:numId w:val="1014"/>
        </w:numPr>
      </w:pPr>
      <w:r>
        <w:t xml:space="preserve">Il segnale entra in un sistema che lo amplifica. Il livello si riconosce dalla distribuzione. Se la sensibilità aumentata sta solo nell’addome, la sensibilizzazione è periferica o segmentaria. Se il paziente è più sensibile anche fuori — pressione, rumore, freddo — la via alterata è quella generale.</w:t>
      </w:r>
    </w:p>
    <w:p>
      <w:pPr>
        <w:pStyle w:val="Compact"/>
        <w:numPr>
          <w:ilvl w:val="0"/>
          <w:numId w:val="1014"/>
        </w:numPr>
      </w:pPr>
      <w:r>
        <w:t xml:space="preserve">Un volume che prima stava sotto la soglia della coscienza arriva come fastidio, e uno che era fastidio arriva come dolore.</w:t>
      </w:r>
    </w:p>
    <w:p>
      <w:pPr>
        <w:pStyle w:val="Compact"/>
        <w:numPr>
          <w:ilvl w:val="0"/>
          <w:numId w:val="1014"/>
        </w:numPr>
      </w:pPr>
      <w:r>
        <w:t xml:space="preserve">Il margine fra</w:t>
      </w:r>
      <w:r>
        <w:t xml:space="preserve"> </w:t>
      </w:r>
      <w:r>
        <w:t xml:space="preserve">“lo sento”</w:t>
      </w:r>
      <w:r>
        <w:t xml:space="preserve"> </w:t>
      </w:r>
      <w:r>
        <w:t xml:space="preserve">e</w:t>
      </w:r>
      <w:r>
        <w:t xml:space="preserve"> </w:t>
      </w:r>
      <w:r>
        <w:t xml:space="preserve">“devo andare adesso”</w:t>
      </w:r>
      <w:r>
        <w:t xml:space="preserve"> </w:t>
      </w:r>
      <w:r>
        <w:t xml:space="preserve">si accorcia, e nasce l’urgenza.</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Che la soglia sia abbassata in una parte dei pazienti: DIMOSTRATO</w:t>
      </w:r>
      <w:r>
        <w:t xml:space="preserve"> </w:t>
      </w:r>
      <w:r>
        <w:rPr>
          <w:i/>
          <w:iCs/>
        </w:rPr>
        <w:t xml:space="preserve">(studi sull’uomo, solidi)</w:t>
      </w:r>
      <w:r>
        <w:t xml:space="preserve"> </w:t>
      </w:r>
      <w:r>
        <w:t xml:space="preserve">— con il palloncino a pressione controllata l’allodinia si trova nel 36% e l’iperalgesia nel 22% (Simrén 2019, PMID 31022401). Con una soglia ottimizzata sul confronto con i sani, la quota di ipersensibili sale al 63,5% (Ludidi 2012, PMID 22591192).</w:t>
      </w:r>
      <w:r>
        <w:t xml:space="preserve"> </w:t>
      </w:r>
      <w:r>
        <w:rPr>
          <w:b/>
          <w:bCs/>
        </w:rPr>
        <w:t xml:space="preserve">Che sia lei a produrre i sintomi di questo paziente: PROBABILE</w:t>
      </w:r>
      <w:r>
        <w:t xml:space="preserve"> </w:t>
      </w:r>
      <w:r>
        <w:rPr>
          <w:i/>
          <w:iCs/>
        </w:rPr>
        <w:t xml:space="preserve">(razionale forte, prove parziali)</w:t>
      </w:r>
      <w:r>
        <w:t xml:space="preserve"> </w:t>
      </w:r>
      <w:r>
        <w:t xml:space="preserve">— su 92 pazienti nessun sintomo permetteva di prevedere</w:t>
      </w:r>
      <w:r>
        <w:t xml:space="preserve"> </w:t>
      </w:r>
      <w:r>
        <w:rPr>
          <w:b/>
          <w:bCs/>
        </w:rPr>
        <w:t xml:space="preserve">con accuratezza</w:t>
      </w:r>
      <w:r>
        <w:t xml:space="preserve"> </w:t>
      </w:r>
      <w:r>
        <w:t xml:space="preserve">chi fosse ipersensibile. Il dolore severo era più frequente negli ipersensibili (88% contro 67%), ma non abbastanza da decidere sul singolo (Kuiken,</w:t>
      </w:r>
      <w:r>
        <w:t xml:space="preserve"> </w:t>
      </w:r>
      <w:r>
        <w:rPr>
          <w:i/>
          <w:iCs/>
        </w:rPr>
        <w:t xml:space="preserve">Aliment Pharmacol Ther</w:t>
      </w:r>
      <w:r>
        <w:t xml:space="preserve"> </w:t>
      </w:r>
      <w:r>
        <w:t xml:space="preserve">2005 — PMID 16011674).</w:t>
      </w:r>
      <w:r>
        <w:t xml:space="preserve"> </w:t>
      </w:r>
      <w:r>
        <w:rPr>
          <w:b/>
          <w:bCs/>
        </w:rPr>
        <w:t xml:space="preserve">Dove sono stati misurati questi numeri:</w:t>
      </w:r>
      <w:r>
        <w:t xml:space="preserve"> </w:t>
      </w:r>
      <w:r>
        <w:t xml:space="preserve">in centri di terzo livello, su pazienti selezionati. Nel paziente che arriva dal medico di base la quota di ipersensibili è presumibilmente più bassa, e nessuno l’ha misurata.</w:t>
      </w:r>
    </w:p>
    <w:p>
      <w:pPr>
        <w:pStyle w:val="FirstParagraph"/>
      </w:pPr>
      <w:r>
        <w:rPr>
          <w:b/>
          <w:bCs/>
        </w:rPr>
        <w:t xml:space="preserve">Come si vede addosso.</w:t>
      </w:r>
      <w:r>
        <w:t xml:space="preserve"> </w:t>
      </w:r>
      <w:r>
        <w:t xml:space="preserve">Dolore sproporzionato a tutto quello che è stato misurato. Urgenza con pochissimo preavviso. Fastidio con quantità di cibo normali. E una frase che vale una domanda:</w:t>
      </w:r>
      <w:r>
        <w:t xml:space="preserve"> </w:t>
      </w:r>
      <w:r>
        <w:rPr>
          <w:i/>
          <w:iCs/>
        </w:rPr>
        <w:t xml:space="preserve">«non è che mangio di più, è che sento tutto».</w:t>
      </w:r>
      <w:r>
        <w:t xml:space="preserve"> </w:t>
      </w:r>
      <w:r>
        <w:rPr>
          <w:b/>
          <w:bCs/>
        </w:rPr>
        <w:t xml:space="preserve">Questi segni alzano il sospetto e non lo chiudono.</w:t>
      </w:r>
      <w:r>
        <w:t xml:space="preserve"> </w:t>
      </w:r>
      <w:r>
        <w:t xml:space="preserve">Il dolore severo è più frequente negli ipersensibili, ma non abbastanza da decidere sul singolo (Kuiken 2005). A decidere è il marker sul sito remoto.</w:t>
      </w:r>
    </w:p>
    <w:p>
      <w:pPr>
        <w:pStyle w:val="BodyText"/>
      </w:pPr>
      <w:r>
        <w:rPr>
          <w:b/>
          <w:bCs/>
        </w:rPr>
        <w:t xml:space="preserve">Il citofono col volume al massimo: chi passa per strada non è cambiato, ma adesso lo senti dentro casa.</w:t>
      </w:r>
    </w:p>
    <w:bookmarkEnd w:id="25"/>
    <w:bookmarkStart w:id="26" w:name="X0092f3790682d7cf1a4dc34201899d5212b9e10"/>
    <w:p>
      <w:pPr>
        <w:pStyle w:val="Heading3"/>
      </w:pPr>
      <w:r>
        <w:t xml:space="preserve">2. Il contenitore che spinge nel verso sbagliato</w:t>
      </w:r>
    </w:p>
    <w:p>
      <w:pPr>
        <w:pStyle w:val="FirstParagraph"/>
      </w:pPr>
      <w:r>
        <w:rPr>
          <w:b/>
          <w:bCs/>
        </w:rPr>
        <w:t xml:space="preserve">La sequenza.</w:t>
      </w:r>
    </w:p>
    <w:p>
      <w:pPr>
        <w:pStyle w:val="Compact"/>
        <w:numPr>
          <w:ilvl w:val="0"/>
          <w:numId w:val="1015"/>
        </w:numPr>
      </w:pPr>
      <w:r>
        <w:rPr>
          <w:b/>
          <w:bCs/>
        </w:rPr>
        <w:t xml:space="preserve">Dopo il pasto</w:t>
      </w:r>
      <w:r>
        <w:t xml:space="preserve"> </w:t>
      </w:r>
      <w:r>
        <w:t xml:space="preserve">il volume dentro l’addome aumenta. È l’unica condizione in cui il comportamento si osserva: a digiuno il contenitore lavora normalmente anche in chi ha il guasto.</w:t>
      </w:r>
    </w:p>
    <w:p>
      <w:pPr>
        <w:pStyle w:val="Compact"/>
        <w:numPr>
          <w:ilvl w:val="0"/>
          <w:numId w:val="1015"/>
        </w:numPr>
      </w:pPr>
      <w:r>
        <w:t xml:space="preserve">Invece di rilassarsi e salire, il</w:t>
      </w:r>
      <w:r>
        <w:t xml:space="preserve"> </w:t>
      </w:r>
      <w:r>
        <w:rPr>
          <w:b/>
          <w:bCs/>
        </w:rPr>
        <w:t xml:space="preserve">diaframma si contrae e scende</w:t>
      </w:r>
      <w:r>
        <w:t xml:space="preserve">.</w:t>
      </w:r>
    </w:p>
    <w:p>
      <w:pPr>
        <w:pStyle w:val="Compact"/>
        <w:numPr>
          <w:ilvl w:val="0"/>
          <w:numId w:val="1015"/>
        </w:numPr>
      </w:pPr>
      <w:r>
        <w:t xml:space="preserve">Insieme al diaframma si contraggono gli intercostali, e il torace si allarga in avanti.</w:t>
      </w:r>
    </w:p>
    <w:p>
      <w:pPr>
        <w:pStyle w:val="Compact"/>
        <w:numPr>
          <w:ilvl w:val="0"/>
          <w:numId w:val="1015"/>
        </w:numPr>
      </w:pPr>
      <w:r>
        <w:t xml:space="preserve">L’</w:t>
      </w:r>
      <w:r>
        <w:rPr>
          <w:b/>
          <w:bCs/>
        </w:rPr>
        <w:t xml:space="preserve">obliquo interno si rilassa</w:t>
      </w:r>
      <w:r>
        <w:t xml:space="preserve"> </w:t>
      </w:r>
      <w:r>
        <w:t xml:space="preserve">invece di aumentare il tono.</w:t>
      </w:r>
    </w:p>
    <w:p>
      <w:pPr>
        <w:pStyle w:val="Compact"/>
        <w:numPr>
          <w:ilvl w:val="0"/>
          <w:numId w:val="1015"/>
        </w:numPr>
      </w:pPr>
      <w:r>
        <w:t xml:space="preserve">Il volume non può più andare verso l’alto e va verso l’esterno: la pancia sporge, e il paziente la vede.</w:t>
      </w:r>
    </w:p>
    <w:p>
      <w:pPr>
        <w:pStyle w:val="BlockText"/>
      </w:pPr>
      <w:r>
        <w:rPr>
          <w:b/>
          <w:bCs/>
        </w:rPr>
        <w:t xml:space="preserve">Quanto è solido:</w:t>
      </w:r>
      <w:r>
        <w:t xml:space="preserve"> </w:t>
      </w:r>
      <w:r>
        <w:t xml:space="preserve">l’etichetta si spezza.</w:t>
      </w:r>
      <w:r>
        <w:t xml:space="preserve"> </w:t>
      </w:r>
      <w:r>
        <w:rPr>
          <w:b/>
          <w:bCs/>
        </w:rPr>
        <w:t xml:space="preserve">Che il comportamento muscolare esista e sia questo: DIMOSTRATO</w:t>
      </w:r>
      <w:r>
        <w:t xml:space="preserve"> </w:t>
      </w:r>
      <w:r>
        <w:rPr>
          <w:i/>
          <w:iCs/>
        </w:rPr>
        <w:t xml:space="preserve">(studi sull’uomo, solidi)</w:t>
      </w:r>
      <w:r>
        <w:t xml:space="preserve"> </w:t>
      </w:r>
      <w:r>
        <w:t xml:space="preserve">— misurato con tomografia ed elettromiografia. Durante gli episodi il diaframma aumentava l’attività del 19% e scendeva di 12 mm, e la circonferenza cresceva di 32 mm (Barba 2015, PMID 25500424). Il quadro è stato riprodotto sperimentalmente caricando il colon di gas: contrazione paradossa del diaframma e rilasciamento dell’obliquo interno (Villoria 2011, PMID 21540894).</w:t>
      </w:r>
      <w:r>
        <w:t xml:space="preserve"> </w:t>
      </w:r>
      <w:r>
        <w:rPr>
          <w:b/>
          <w:bCs/>
        </w:rPr>
        <w:t xml:space="preserve">Che sia correggibile: DIMOSTRATO</w:t>
      </w:r>
      <w:r>
        <w:t xml:space="preserve"> </w:t>
      </w:r>
      <w:r>
        <w:rPr>
          <w:i/>
          <w:iCs/>
        </w:rPr>
        <w:t xml:space="preserve">(studi sull’uomo, solidi)</w:t>
      </w:r>
      <w:r>
        <w:t xml:space="preserve">. Il gruppo che imparava a mobilizzare il diaframma riduceva del 66% il punteggio di distensione, il placebo no (Barba 2024, PMID 38467383).</w:t>
      </w:r>
      <w:r>
        <w:t xml:space="preserve"> </w:t>
      </w:r>
      <w:r>
        <w:rPr>
          <w:b/>
          <w:bCs/>
        </w:rPr>
        <w:t xml:space="preserve">Che la mano dell’osteopata produca la stessa correzione: IPOTESI</w:t>
      </w:r>
      <w:r>
        <w:t xml:space="preserve"> </w:t>
      </w:r>
      <w:r>
        <w:rPr>
          <w:i/>
          <w:iCs/>
        </w:rPr>
        <w:t xml:space="preserve">(meccanismo coerente, nessuno studio)</w:t>
      </w:r>
      <w:r>
        <w:t xml:space="preserve">. Negli studi la correzione arriva da un segnale visivo restituito al paziente, non da un contatto manuale. Il salto è di</w:t>
      </w:r>
      <w:r>
        <w:t xml:space="preserve"> </w:t>
      </w:r>
      <w:r>
        <w:rPr>
          <w:b/>
          <w:bCs/>
        </w:rPr>
        <w:t xml:space="preserve">erogatore e di strumento</w:t>
      </w:r>
      <w:r>
        <w:t xml:space="preserve">.</w:t>
      </w:r>
      <w:r>
        <w:t xml:space="preserve"> </w:t>
      </w:r>
      <w:r>
        <w:rPr>
          <w:b/>
          <w:bCs/>
        </w:rPr>
        <w:t xml:space="preserve">E un terzo salto, di popolazione.</w:t>
      </w:r>
      <w:r>
        <w:t xml:space="preserve"> </w:t>
      </w:r>
      <w:r>
        <w:t xml:space="preserve">Quei pazienti avevano tutti distensione</w:t>
      </w:r>
      <w:r>
        <w:t xml:space="preserve"> </w:t>
      </w:r>
      <w:r>
        <w:rPr>
          <w:b/>
          <w:bCs/>
        </w:rPr>
        <w:t xml:space="preserve">visibile</w:t>
      </w:r>
      <w:r>
        <w:t xml:space="preserve">, e in maggioranza la forma con stitichezza (27 su 45 nello studio del 2015). Nella forma con diarrea e senza distensione visibile il DIMOSTRATO non vale: scende a IPOTESI.</w:t>
      </w:r>
    </w:p>
    <w:p>
      <w:pPr>
        <w:pStyle w:val="FirstParagraph"/>
      </w:pPr>
      <w:r>
        <w:rPr>
          <w:b/>
          <w:bCs/>
        </w:rPr>
        <w:t xml:space="preserve">Come si vede addosso.</w:t>
      </w:r>
      <w:r>
        <w:t xml:space="preserve"> </w:t>
      </w:r>
      <w:r>
        <w:t xml:space="preserve">Circonferenza che cresce nella giornata e torna quasi normale al mattino. Coste basse che si allargano invece di scendere in espirazione. La frase tipica:</w:t>
      </w:r>
      <w:r>
        <w:t xml:space="preserve"> </w:t>
      </w:r>
      <w:r>
        <w:rPr>
          <w:i/>
          <w:iCs/>
        </w:rPr>
        <w:t xml:space="preserve">«la mattina sono piatta, la sera sembro incinta».</w:t>
      </w:r>
      <w:r>
        <w:t xml:space="preserve"> </w:t>
      </w:r>
      <w:r>
        <w:t xml:space="preserve">E il dettaglio che smaschera il meccanismo: si gonfia</w:t>
      </w:r>
      <w:r>
        <w:t xml:space="preserve"> </w:t>
      </w:r>
      <w:r>
        <w:rPr>
          <w:b/>
          <w:bCs/>
        </w:rPr>
        <w:t xml:space="preserve">anche quando non ha mangiato niente di diverso</w:t>
      </w:r>
      <w:r>
        <w:t xml:space="preserve">.</w:t>
      </w:r>
    </w:p>
    <w:p>
      <w:pPr>
        <w:pStyle w:val="BodyText"/>
      </w:pPr>
      <w:r>
        <w:rPr>
          <w:b/>
          <w:bCs/>
        </w:rPr>
        <w:t xml:space="preserve">La fisarmonica che si allarga invece di soffiare: il mantice si apre e l’aria non esce.</w:t>
      </w:r>
    </w:p>
    <w:bookmarkEnd w:id="26"/>
    <w:bookmarkStart w:id="27" w:name="il-comando-che-non-stacca-mai"/>
    <w:p>
      <w:pPr>
        <w:pStyle w:val="Heading3"/>
      </w:pPr>
      <w:r>
        <w:t xml:space="preserve">3. Il comando che non stacca mai</w:t>
      </w:r>
    </w:p>
    <w:p>
      <w:pPr>
        <w:pStyle w:val="FirstParagraph"/>
      </w:pPr>
      <w:r>
        <w:rPr>
          <w:b/>
          <w:bCs/>
        </w:rPr>
        <w:t xml:space="preserve">La sequenza.</w:t>
      </w:r>
    </w:p>
    <w:p>
      <w:pPr>
        <w:pStyle w:val="Compact"/>
        <w:numPr>
          <w:ilvl w:val="0"/>
          <w:numId w:val="1016"/>
        </w:numPr>
      </w:pPr>
      <w:r>
        <w:t xml:space="preserve">Lo stress attiva l’asse ormonale e sposta la bilancia dell’autonomico verso il ramo di allarme.</w:t>
      </w:r>
    </w:p>
    <w:p>
      <w:pPr>
        <w:pStyle w:val="Compact"/>
        <w:numPr>
          <w:ilvl w:val="0"/>
          <w:numId w:val="1016"/>
        </w:numPr>
      </w:pPr>
      <w:r>
        <w:t xml:space="preserve">In questi pazienti la risposta di quell’asse è più marcata che nei sani, e la motilità del colon aumenta più del normale.</w:t>
      </w:r>
    </w:p>
    <w:p>
      <w:pPr>
        <w:pStyle w:val="Compact"/>
        <w:numPr>
          <w:ilvl w:val="0"/>
          <w:numId w:val="1016"/>
        </w:numPr>
      </w:pPr>
      <w:r>
        <w:t xml:space="preserve">Nello stesso momento il filtro che dovrebbe smorzare il segnale in salita lavora peggio.</w:t>
      </w:r>
    </w:p>
    <w:p>
      <w:pPr>
        <w:pStyle w:val="Compact"/>
        <w:numPr>
          <w:ilvl w:val="0"/>
          <w:numId w:val="1016"/>
        </w:numPr>
      </w:pPr>
      <w:r>
        <w:t xml:space="preserve">Lo stesso evento intestinale produce un sintomo più intenso e più precoce.</w:t>
      </w:r>
    </w:p>
    <w:p>
      <w:pPr>
        <w:pStyle w:val="BlockText"/>
      </w:pPr>
      <w:r>
        <w:rPr>
          <w:b/>
          <w:bCs/>
        </w:rPr>
        <w:t xml:space="preserve">Quanto è solido:</w:t>
      </w:r>
      <w:r>
        <w:t xml:space="preserve"> </w:t>
      </w:r>
      <w:r>
        <w:t xml:space="preserve">l’etichetta si spezza.</w:t>
      </w:r>
      <w:r>
        <w:t xml:space="preserve"> </w:t>
      </w:r>
      <w:r>
        <w:rPr>
          <w:b/>
          <w:bCs/>
        </w:rPr>
        <w:t xml:space="preserve">Che l’assetto autonomico sia alterato: DIMOSTRATO</w:t>
      </w:r>
      <w:r>
        <w:t xml:space="preserve"> </w:t>
      </w:r>
      <w:r>
        <w:rPr>
          <w:i/>
          <w:iCs/>
        </w:rPr>
        <w:t xml:space="preserve">(studi sull’uomo, solidi)</w:t>
      </w:r>
      <w:r>
        <w:t xml:space="preserve">,</w:t>
      </w:r>
      <w:r>
        <w:t xml:space="preserve"> </w:t>
      </w:r>
      <w:r>
        <w:rPr>
          <w:b/>
          <w:bCs/>
        </w:rPr>
        <w:t xml:space="preserve">con la riserva scritta nella stessa riga.</w:t>
      </w:r>
      <w:r>
        <w:t xml:space="preserve"> </w:t>
      </w:r>
      <w:r>
        <w:t xml:space="preserve">Nei pazienti la potenza ad alta frequenza è più bassa (g = −0,38) e il rapporto fra le due bande più alto (g = 0,43) (Liu 2013, PMID 23927739). Una seconda revisione con meta-analisi lo conferma (Sadowski 2020, PMID 33346998). La riserva è tripla. Gli effetti sono</w:t>
      </w:r>
      <w:r>
        <w:t xml:space="preserve"> </w:t>
      </w:r>
      <w:r>
        <w:rPr>
          <w:b/>
          <w:bCs/>
        </w:rPr>
        <w:t xml:space="preserve">piccoli</w:t>
      </w:r>
      <w:r>
        <w:t xml:space="preserve">: g misura quanto è grande la differenza, e 0,38 è poco. L’eterogeneità fra studi è alta. E la seconda meta-analisi dichiara da sé alto rischio di distorsione negli studi primari.</w:t>
      </w:r>
      <w:r>
        <w:t xml:space="preserve"> </w:t>
      </w:r>
      <w:r>
        <w:rPr>
          <w:b/>
          <w:bCs/>
        </w:rPr>
        <w:t xml:space="preserve">Che lo stress agisca sul colon per via ormonale: PROBABILE</w:t>
      </w:r>
      <w:r>
        <w:t xml:space="preserve"> </w:t>
      </w:r>
      <w:r>
        <w:rPr>
          <w:i/>
          <w:iCs/>
        </w:rPr>
        <w:t xml:space="preserve">(razionale forte, prove parziali)</w:t>
      </w:r>
      <w:r>
        <w:t xml:space="preserve"> </w:t>
      </w:r>
      <w:r>
        <w:t xml:space="preserve">— somministrando l’ormone dello stress, i pazienti avevano una risposta ormonale maggiore. Gli uomini aumentavano la motilità del colon più dei controlli, e le donne mostravano un tono parasimpatico di base più basso (Kano 2017, PMID 28963545). È un solo esperimento su 28 pazienti, con risultato specifico per sesso: non regge il plurale che DIMOSTRATO richiede.</w:t>
      </w:r>
      <w:r>
        <w:t xml:space="preserve"> </w:t>
      </w:r>
      <w:r>
        <w:rPr>
          <w:b/>
          <w:bCs/>
        </w:rPr>
        <w:t xml:space="preserve">Che lo stress sia un generatore di episodi: da riformulare.</w:t>
      </w:r>
      <w:r>
        <w:t xml:space="preserve"> </w:t>
      </w:r>
      <w:r>
        <w:t xml:space="preserve">Sui sintomi viscerali funzionali lo stress si comporta soprattutto come</w:t>
      </w:r>
      <w:r>
        <w:t xml:space="preserve"> </w:t>
      </w:r>
      <w:r>
        <w:rPr>
          <w:b/>
          <w:bCs/>
        </w:rPr>
        <w:t xml:space="preserve">amplificatore percettivo</w:t>
      </w:r>
      <w:r>
        <w:t xml:space="preserve">, non come generatore. La conseguenza operativa è precisa: nel paziente in cui questo meccanismo comanda, l’esito atteso è</w:t>
      </w:r>
      <w:r>
        <w:t xml:space="preserve"> </w:t>
      </w:r>
      <w:r>
        <w:rPr>
          <w:b/>
          <w:bCs/>
        </w:rPr>
        <w:t xml:space="preserve">dolore più basso a parità di numero di episodi</w:t>
      </w:r>
      <w:r>
        <w:t xml:space="preserve">.</w:t>
      </w:r>
    </w:p>
    <w:p>
      <w:pPr>
        <w:pStyle w:val="FirstParagraph"/>
      </w:pPr>
      <w:r>
        <w:rPr>
          <w:b/>
          <w:bCs/>
        </w:rPr>
        <w:t xml:space="preserve">Come si vede addosso.</w:t>
      </w:r>
      <w:r>
        <w:t xml:space="preserve"> </w:t>
      </w:r>
      <w:r>
        <w:rPr>
          <w:i/>
          <w:iCs/>
        </w:rPr>
        <w:t xml:space="preserve">«Non c’è una regola»</w:t>
      </w:r>
      <w:r>
        <w:t xml:space="preserve">: la stessa cosa oggi va bene e domani no. Peggioramento nelle settimane tese a parità di alimentazione. Sintomo che ha cambiato marcia dopo un evento preciso della vita, che il paziente sa e non ha mai collegato. Respiro alto e corto, tessuti che rimbalzano. E il segno che vale una domanda:</w:t>
      </w:r>
      <w:r>
        <w:t xml:space="preserve"> </w:t>
      </w:r>
      <w:r>
        <w:rPr>
          <w:b/>
          <w:bCs/>
        </w:rPr>
        <w:t xml:space="preserve">in vacanza sta meglio mangiando peggio.</w:t>
      </w:r>
    </w:p>
    <w:p>
      <w:pPr>
        <w:pStyle w:val="BodyText"/>
      </w:pPr>
      <w:r>
        <w:rPr>
          <w:b/>
          <w:bCs/>
        </w:rPr>
        <w:t xml:space="preserve">Il motore lasciato acceso al minimo tutta la notte: al mattino non è successo niente, ma il serbatoio è mezzo vuoto.</w:t>
      </w:r>
    </w:p>
    <w:bookmarkEnd w:id="27"/>
    <w:bookmarkStart w:id="28" w:name="la-memoria-dellinfezione"/>
    <w:p>
      <w:pPr>
        <w:pStyle w:val="Heading3"/>
      </w:pPr>
      <w:r>
        <w:t xml:space="preserve">4. La memoria dell’infezione</w:t>
      </w:r>
    </w:p>
    <w:p>
      <w:pPr>
        <w:pStyle w:val="FirstParagraph"/>
      </w:pPr>
      <w:r>
        <w:rPr>
          <w:b/>
          <w:bCs/>
        </w:rPr>
        <w:t xml:space="preserve">La sequenza.</w:t>
      </w:r>
    </w:p>
    <w:p>
      <w:pPr>
        <w:pStyle w:val="Compact"/>
        <w:numPr>
          <w:ilvl w:val="0"/>
          <w:numId w:val="1017"/>
        </w:numPr>
      </w:pPr>
      <w:r>
        <w:t xml:space="preserve">Una gastroenterite acuta — batterica, o più spesso parassitaria — infiamma la mucosa.</w:t>
      </w:r>
    </w:p>
    <w:p>
      <w:pPr>
        <w:pStyle w:val="Compact"/>
        <w:numPr>
          <w:ilvl w:val="0"/>
          <w:numId w:val="1017"/>
        </w:numPr>
      </w:pPr>
      <w:r>
        <w:t xml:space="preserve">L’infezione passa e i test tornano negativi. Nella mucosa resta però un’attivazione immunitaria di basso grado: più mastociti, e più mastociti</w:t>
      </w:r>
      <w:r>
        <w:t xml:space="preserve"> </w:t>
      </w:r>
      <w:r>
        <w:rPr>
          <w:b/>
          <w:bCs/>
        </w:rPr>
        <w:t xml:space="preserve">vicini alle fibre nervose</w:t>
      </w:r>
      <w:r>
        <w:t xml:space="preserve">.</w:t>
      </w:r>
    </w:p>
    <w:p>
      <w:pPr>
        <w:pStyle w:val="Compact"/>
        <w:numPr>
          <w:ilvl w:val="0"/>
          <w:numId w:val="1017"/>
        </w:numPr>
      </w:pPr>
      <w:r>
        <w:t xml:space="preserve">I mediatori che quelle cellule rilasciano mantengono sensibilizzate le terminazioni sensitive.</w:t>
      </w:r>
    </w:p>
    <w:p>
      <w:pPr>
        <w:pStyle w:val="Compact"/>
        <w:numPr>
          <w:ilvl w:val="0"/>
          <w:numId w:val="1017"/>
        </w:numPr>
      </w:pPr>
      <w:r>
        <w:t xml:space="preserve">Il paziente resta con dolore e urgenza in un intestino che, all’esame, è normale.</w:t>
      </w:r>
    </w:p>
    <w:p>
      <w:pPr>
        <w:pStyle w:val="BlockText"/>
      </w:pPr>
      <w:r>
        <w:rPr>
          <w:b/>
          <w:bCs/>
        </w:rPr>
        <w:t xml:space="preserve">Quanto è solido:</w:t>
      </w:r>
      <w:r>
        <w:t xml:space="preserve"> </w:t>
      </w:r>
      <w:r>
        <w:t xml:space="preserve">l’etichetta si spezza.</w:t>
      </w:r>
      <w:r>
        <w:t xml:space="preserve"> </w:t>
      </w:r>
      <w:r>
        <w:rPr>
          <w:b/>
          <w:bCs/>
        </w:rPr>
        <w:t xml:space="preserve">Che l’infezione preceda la sindrome: DIMOSTRATO</w:t>
      </w:r>
      <w:r>
        <w:t xml:space="preserve"> </w:t>
      </w:r>
      <w:r>
        <w:rPr>
          <w:i/>
          <w:iCs/>
        </w:rPr>
        <w:t xml:space="preserve">(studi sull’uomo, solidi)</w:t>
      </w:r>
      <w:r>
        <w:t xml:space="preserve"> </w:t>
      </w:r>
      <w:r>
        <w:t xml:space="preserve">— dopo un’enterite infettiva la sindrome compare nel 10,1% a dodici mesi. È un rischio 4,2 volte più alto rispetto a chi non ha avuto l’infezione. Dopo enterite da protozoi o parassiti la quota sale al 41,9% (Klem 2017, PMID 28069350).</w:t>
      </w:r>
      <w:r>
        <w:t xml:space="preserve"> </w:t>
      </w:r>
      <w:r>
        <w:rPr>
          <w:b/>
          <w:bCs/>
        </w:rPr>
        <w:t xml:space="preserve">Che siano i mastociti a produrre il dolore: PROBABILE</w:t>
      </w:r>
      <w:r>
        <w:t xml:space="preserve"> </w:t>
      </w:r>
      <w:r>
        <w:rPr>
          <w:i/>
          <w:iCs/>
        </w:rPr>
        <w:t xml:space="preserve">(razionale forte, prove parziali)</w:t>
      </w:r>
      <w:r>
        <w:t xml:space="preserve"> </w:t>
      </w:r>
      <w:r>
        <w:t xml:space="preserve">— i mastociti entro 5 micrometri dalle fibre nervose erano più del triplo che nei controlli. E</w:t>
      </w:r>
      <w:r>
        <w:t xml:space="preserve"> </w:t>
      </w:r>
      <w:r>
        <w:rPr>
          <w:b/>
          <w:bCs/>
        </w:rPr>
        <w:t xml:space="preserve">solo quelli vicini ai nervi</w:t>
      </w:r>
      <w:r>
        <w:t xml:space="preserve"> </w:t>
      </w:r>
      <w:r>
        <w:t xml:space="preserve">correlavano con gravità e frequenza del dolore (Barbara 2004, PMID 14988823). È un’associazione anatomica, non un nesso di causa dimostrato.</w:t>
      </w:r>
    </w:p>
    <w:p>
      <w:pPr>
        <w:pStyle w:val="FirstParagraph"/>
      </w:pPr>
      <w:r>
        <w:rPr>
          <w:b/>
          <w:bCs/>
        </w:rPr>
        <w:t xml:space="preserve">Come si vede addosso.</w:t>
      </w:r>
      <w:r>
        <w:t xml:space="preserve"> </w:t>
      </w:r>
      <w:r>
        <w:t xml:space="preserve">Data d’inizio precisa e ricordata:</w:t>
      </w:r>
      <w:r>
        <w:t xml:space="preserve"> </w:t>
      </w:r>
      <w:r>
        <w:rPr>
          <w:i/>
          <w:iCs/>
        </w:rPr>
        <w:t xml:space="preserve">«è cominciato dopo quel viaggio»</w:t>
      </w:r>
      <w:r>
        <w:t xml:space="preserve">,</w:t>
      </w:r>
      <w:r>
        <w:t xml:space="preserve"> </w:t>
      </w:r>
      <w:r>
        <w:rPr>
          <w:i/>
          <w:iCs/>
        </w:rPr>
        <w:t xml:space="preserve">«dopo quella gastroenterite»</w:t>
      </w:r>
      <w:r>
        <w:t xml:space="preserve">. Prima, niente. Spesso diarrea prevalente, e spesso un ciclo di antibiotici recente, che è a sua volta un fattore di rischio.</w:t>
      </w:r>
    </w:p>
    <w:p>
      <w:pPr>
        <w:pStyle w:val="BodyText"/>
      </w:pPr>
      <w:r>
        <w:rPr>
          <w:b/>
          <w:bCs/>
        </w:rPr>
        <w:t xml:space="preserve">Il parquet dopo l’allagamento: l’acqua se n’è andata da anni, il legno si è imbarcato e resta così.</w:t>
      </w:r>
    </w:p>
    <w:bookmarkEnd w:id="28"/>
    <w:bookmarkStart w:id="29" w:name="X5137c6bf40b9a3be9f4adf03bdeff4f47ccb252"/>
    <w:p>
      <w:pPr>
        <w:pStyle w:val="Heading3"/>
      </w:pPr>
      <w:r>
        <w:t xml:space="preserve">5. L’attenzione che diventa parte del sintomo</w:t>
      </w:r>
    </w:p>
    <w:p>
      <w:pPr>
        <w:pStyle w:val="FirstParagraph"/>
      </w:pPr>
      <w:r>
        <w:rPr>
          <w:b/>
          <w:bCs/>
        </w:rPr>
        <w:t xml:space="preserve">La sequenza.</w:t>
      </w:r>
    </w:p>
    <w:p>
      <w:pPr>
        <w:pStyle w:val="Compact"/>
        <w:numPr>
          <w:ilvl w:val="0"/>
          <w:numId w:val="1018"/>
        </w:numPr>
      </w:pPr>
      <w:r>
        <w:t xml:space="preserve">Un episodio di urgenza in un posto sbagliato produce paura.</w:t>
      </w:r>
    </w:p>
    <w:p>
      <w:pPr>
        <w:pStyle w:val="Compact"/>
        <w:numPr>
          <w:ilvl w:val="0"/>
          <w:numId w:val="1018"/>
        </w:numPr>
      </w:pPr>
      <w:r>
        <w:t xml:space="preserve">La paura porta a sorvegliare: controllo della pancia, calcolo dei bagni, verifica del mattino.</w:t>
      </w:r>
    </w:p>
    <w:p>
      <w:pPr>
        <w:pStyle w:val="Compact"/>
        <w:numPr>
          <w:ilvl w:val="0"/>
          <w:numId w:val="1018"/>
        </w:numPr>
      </w:pPr>
      <w:r>
        <w:t xml:space="preserve">La sorveglianza abbassa la soglia a cui una sensazione viscerale diventa sintomo.</w:t>
      </w:r>
    </w:p>
    <w:p>
      <w:pPr>
        <w:pStyle w:val="Compact"/>
        <w:numPr>
          <w:ilvl w:val="0"/>
          <w:numId w:val="1018"/>
        </w:numPr>
      </w:pPr>
      <w:r>
        <w:t xml:space="preserve">L’evitamento — non uscire, non mangiare, non andare — riduce la paura oggi e la aumenta domani. E l’organizzazione della giornata diventa parte del quadro.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l’ansia specifica per i sintomi intestinali è misurabile con uno strumento validato, e media il rapporto fra stato affettivo e sintomi (Labus 2007, PMID 17244851). I punteggi sono nettamente più alti che nelle persone sane: 38,8 contro 3,4 (Trieschmann 2022, PMID 35478469). E lo spostamento dell’attenzione non è più solo questionario. Una revisione sistematica trova in questi pazienti tre cose. Un</w:t>
      </w:r>
      <w:r>
        <w:t xml:space="preserve"> </w:t>
      </w:r>
      <w:r>
        <w:rPr>
          <w:b/>
          <w:bCs/>
        </w:rPr>
        <w:t xml:space="preserve">bias attentivo verso gli stimoli intestinali</w:t>
      </w:r>
      <w:r>
        <w:t xml:space="preserve">. Una vigilanza aumentata verso i segnali di minaccia. E un’attività alterata in insula, cingolo anteriore e amigdala (Akbari 2025, PMID 40048890). Misura che l’attenzione è</w:t>
      </w:r>
      <w:r>
        <w:t xml:space="preserve"> </w:t>
      </w:r>
      <w:r>
        <w:rPr>
          <w:b/>
          <w:bCs/>
        </w:rPr>
        <w:t xml:space="preserve">spostata</w:t>
      </w:r>
      <w:r>
        <w:t xml:space="preserve">, non che spostarla cambi il sintomo: che sia causa e non conseguenza resta non dimostrato, e lo dicono gli autori stessi.</w:t>
      </w:r>
    </w:p>
    <w:p>
      <w:pPr>
        <w:pStyle w:val="BlockText"/>
      </w:pPr>
      <w:r>
        <w:rPr>
          <w:b/>
          <w:bCs/>
        </w:rPr>
        <w:t xml:space="preserve">Attenzione.</w:t>
      </w:r>
      <w:r>
        <w:t xml:space="preserve"> </w:t>
      </w:r>
      <w:r>
        <w:t xml:space="preserve">È il meccanismo che il paziente ha sentito chiamare</w:t>
      </w:r>
      <w:r>
        <w:t xml:space="preserve"> </w:t>
      </w:r>
      <w:r>
        <w:rPr>
          <w:i/>
          <w:iCs/>
        </w:rPr>
        <w:t xml:space="preserve">«è ansia»</w:t>
      </w:r>
      <w:r>
        <w:t xml:space="preserve">, la frase che lo ha fatto smettere di cercare. Non è la stessa cosa. Ansia generale e ansia specifica per i sintomi intestinali sono costrutti diversi e si misurano separatamente. Il secondo riguarda come una persona sorveglia il proprio corpo, ed è quello che stai descrivendo. Dirlo in questi termini è ciò che cambia la conversazione.</w:t>
      </w:r>
    </w:p>
    <w:p>
      <w:pPr>
        <w:pStyle w:val="FirstParagraph"/>
      </w:pPr>
      <w:r>
        <w:rPr>
          <w:b/>
          <w:bCs/>
        </w:rPr>
        <w:t xml:space="preserve">Come si vede addosso.</w:t>
      </w:r>
      <w:r>
        <w:t xml:space="preserve"> </w:t>
      </w:r>
      <w:r>
        <w:t xml:space="preserve">Sa dove sono i bagni, non esce prima del</w:t>
      </w:r>
      <w:r>
        <w:t xml:space="preserve"> </w:t>
      </w:r>
      <w:r>
        <w:t xml:space="preserve">“verdetto”</w:t>
      </w:r>
      <w:r>
        <w:t xml:space="preserve"> </w:t>
      </w:r>
      <w:r>
        <w:t xml:space="preserve">del mattino, ha una lista di cibi eliminati che nessun test giustifica, controlla la pancia allo specchio. E non ne parla con nessuno.</w:t>
      </w:r>
    </w:p>
    <w:p>
      <w:pPr>
        <w:pStyle w:val="BodyText"/>
      </w:pPr>
      <w:r>
        <w:rPr>
          <w:b/>
          <w:bCs/>
        </w:rPr>
        <w:t xml:space="preserve">La spia sul cruscotto che guardi ogni dieci secondi: guardarla non consuma benzina, ma non ti lascia guidare.</w:t>
      </w:r>
    </w:p>
    <w:bookmarkEnd w:id="29"/>
    <w:bookmarkStart w:id="30" w:name="Xb7738ffc907edb1e509770a8909098c700c012d"/>
    <w:p>
      <w:pPr>
        <w:pStyle w:val="Heading3"/>
      </w:pPr>
      <w:r>
        <w:t xml:space="preserve">6. Il pavimento che si chiude quando dovrebbe aprirsi</w:t>
      </w:r>
    </w:p>
    <w:p>
      <w:pPr>
        <w:pStyle w:val="FirstParagraph"/>
      </w:pPr>
      <w:r>
        <w:rPr>
          <w:b/>
          <w:bCs/>
        </w:rPr>
        <w:t xml:space="preserve">La sequenza.</w:t>
      </w:r>
    </w:p>
    <w:p>
      <w:pPr>
        <w:pStyle w:val="Compact"/>
        <w:numPr>
          <w:ilvl w:val="0"/>
          <w:numId w:val="1019"/>
        </w:numPr>
      </w:pPr>
      <w:r>
        <w:t xml:space="preserve">La pressione arriva dall’alto: il contenitore spinge, il paziente spinge.</w:t>
      </w:r>
    </w:p>
    <w:p>
      <w:pPr>
        <w:pStyle w:val="Compact"/>
        <w:numPr>
          <w:ilvl w:val="0"/>
          <w:numId w:val="1019"/>
        </w:numPr>
      </w:pPr>
      <w:r>
        <w:t xml:space="preserve">Nel momento in cui il piano perineale dovrebbe rilasciarsi, si contrae.</w:t>
      </w:r>
    </w:p>
    <w:p>
      <w:pPr>
        <w:pStyle w:val="Compact"/>
        <w:numPr>
          <w:ilvl w:val="0"/>
          <w:numId w:val="1019"/>
        </w:numPr>
      </w:pPr>
      <w:r>
        <w:t xml:space="preserve">La spinta non trova uscita, e lo sforzo aumenta invece di ridursi.</w:t>
      </w:r>
    </w:p>
    <w:p>
      <w:pPr>
        <w:pStyle w:val="Compact"/>
        <w:numPr>
          <w:ilvl w:val="0"/>
          <w:numId w:val="1019"/>
        </w:numPr>
      </w:pPr>
      <w:r>
        <w:t xml:space="preserve">L’evacuazione resta parziale, e la pressione torna sul contenitore.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la dissinergia del pavimento pelvico sia più frequente in questi pazienti. Alla manometria si trova nel 41% dei pazienti contro il 5% dei controlli, in tutti i sottogruppi di alvo (Mulak 2010, PMID 20411267); studio piccolo, un solo centro.</w:t>
      </w:r>
      <w:r>
        <w:t xml:space="preserve"> </w:t>
      </w:r>
      <w:r>
        <w:rPr>
          <w:b/>
          <w:bCs/>
        </w:rPr>
        <w:t xml:space="preserve">IPOTESI</w:t>
      </w:r>
      <w:r>
        <w:t xml:space="preserve"> </w:t>
      </w:r>
      <w:r>
        <w:rPr>
          <w:i/>
          <w:iCs/>
        </w:rPr>
        <w:t xml:space="preserve">(meccanismo coerente, nessuno studio)</w:t>
      </w:r>
      <w:r>
        <w:t xml:space="preserve"> </w:t>
      </w:r>
      <w:r>
        <w:t xml:space="preserve">che una mano dall’esterno lo sposti.</w:t>
      </w:r>
      <w:r>
        <w:t xml:space="preserve"> </w:t>
      </w:r>
      <w:r>
        <w:rPr>
          <w:b/>
          <w:bCs/>
        </w:rPr>
        <w:t xml:space="preserve">RAGIONAMENTO</w:t>
      </w:r>
      <w:r>
        <w:t xml:space="preserve"> </w:t>
      </w:r>
      <w:r>
        <w:rPr>
          <w:i/>
          <w:iCs/>
        </w:rPr>
        <w:t xml:space="preserve">(cornice clinica, non una prova)</w:t>
      </w:r>
      <w:r>
        <w:t xml:space="preserve"> </w:t>
      </w:r>
      <w:r>
        <w:t xml:space="preserve">il riconoscimento e il rinvio.</w:t>
      </w:r>
    </w:p>
    <w:p>
      <w:pPr>
        <w:pStyle w:val="FirstParagraph"/>
      </w:pPr>
      <w:r>
        <w:rPr>
          <w:b/>
          <w:bCs/>
        </w:rPr>
        <w:t xml:space="preserve">Come si vede addosso.</w:t>
      </w:r>
      <w:r>
        <w:t xml:space="preserve"> </w:t>
      </w:r>
      <w:r>
        <w:t xml:space="preserve">Quanto resta seduto, se spinge e quanto, se resta la sensazione di non aver finito, se trattiene il respiro nello sforzo.</w:t>
      </w:r>
      <w:r>
        <w:t xml:space="preserve"> </w:t>
      </w:r>
      <w:r>
        <w:rPr>
          <w:b/>
          <w:bCs/>
        </w:rPr>
        <w:t xml:space="preserve">Attenzione:</w:t>
      </w:r>
      <w:r>
        <w:t xml:space="preserve"> </w:t>
      </w:r>
      <w:r>
        <w:t xml:space="preserve">«evacuazione incompleta» è anche un segno della soglia abbassata. Separa il ponzamento, non la sensazione.</w:t>
      </w:r>
    </w:p>
    <w:p>
      <w:pPr>
        <w:pStyle w:val="BodyText"/>
      </w:pPr>
      <w:r>
        <w:rPr>
          <w:b/>
          <w:bCs/>
        </w:rPr>
        <w:t xml:space="preserve">La porta che si apre verso l’interno: più forza metti nella spinta, più la tieni chiusa.</w:t>
      </w:r>
    </w:p>
    <w:p>
      <w:pPr>
        <w:pStyle w:val="BodyText"/>
      </w:pPr>
      <w:r>
        <w:rPr>
          <w:b/>
          <w:bCs/>
        </w:rPr>
        <w:t xml:space="preserve">Le tre cose da ricordare, più una</w:t>
      </w:r>
    </w:p>
    <w:p>
      <w:pPr>
        <w:pStyle w:val="Compact"/>
        <w:numPr>
          <w:ilvl w:val="0"/>
          <w:numId w:val="1020"/>
        </w:numPr>
      </w:pPr>
      <w:r>
        <w:t xml:space="preserve">I due meccanismi con le prove migliori sono la soglia abbassata e il contenitore che spinge al contrario. Il secondo è quello che tocchi.</w:t>
      </w:r>
    </w:p>
    <w:p>
      <w:pPr>
        <w:pStyle w:val="Compact"/>
        <w:numPr>
          <w:ilvl w:val="0"/>
          <w:numId w:val="1020"/>
        </w:numPr>
      </w:pPr>
      <w:r>
        <w:t xml:space="preserve">La soglia abbassata non si legge dai sintomi: si trova con un test, o non si trova.</w:t>
      </w:r>
    </w:p>
    <w:p>
      <w:pPr>
        <w:pStyle w:val="Compact"/>
        <w:numPr>
          <w:ilvl w:val="0"/>
          <w:numId w:val="1020"/>
        </w:numPr>
      </w:pPr>
      <w:r>
        <w:t xml:space="preserve">Lo stress qui amplifica la percezione, non genera gli episodi. L’esito atteso cambia di conseguenza. E il paziente che ponza ha un sesto meccanismo tutto suo, che nessuno gli ha cercato.</w:t>
      </w:r>
    </w:p>
    <w:p>
      <w:pPr>
        <w:pStyle w:val="Compact"/>
        <w:numPr>
          <w:ilvl w:val="0"/>
          <w:numId w:val="1020"/>
        </w:numPr>
      </w:pPr>
      <w:r>
        <w:rPr>
          <w:b/>
          <w:bCs/>
        </w:rPr>
        <w:t xml:space="preserve">Perché ci sei tu.</w:t>
      </w:r>
      <w:r>
        <w:t xml:space="preserve"> </w:t>
      </w:r>
      <w:r>
        <w:t xml:space="preserve">In uno studio crossover con placebo su 31 pazienti refrattari, dopo osteopatia viscerale la soglia rettale è</w:t>
      </w:r>
      <w:r>
        <w:t xml:space="preserve"> </w:t>
      </w:r>
      <w:r>
        <w:rPr>
          <w:b/>
          <w:bCs/>
        </w:rPr>
        <w:t xml:space="preserve">salita</w:t>
      </w:r>
      <w:r>
        <w:t xml:space="preserve"> </w:t>
      </w:r>
      <w:r>
        <w:t xml:space="preserve">su tre misure, e dopo le manipolazioni placebo no. Questo ti autorizza a dire che il meccanismo cardine è stato misurato una volta e si è mosso. Non ti autorizza a prometterlo: 31 pazienti, un centro, uno studio solo, e nessun confronto diretto fra i bracci.</w:t>
      </w:r>
    </w:p>
    <w:p>
      <w:r>
        <w:pict>
          <v:rect style="width:0;height:1.5pt" o:hralign="center" o:hrstd="t" o:hr="t"/>
        </w:pict>
      </w:r>
    </w:p>
    <w:bookmarkEnd w:id="30"/>
    <w:bookmarkEnd w:id="31"/>
    <w:bookmarkStart w:id="32"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la lettera descrive le feci; il pattern che ti serve descrive</w:t>
      </w:r>
      <w:r>
        <w:t xml:space="preserve"> </w:t>
      </w:r>
      <w:r>
        <w:rPr>
          <w:b/>
          <w:bCs/>
        </w:rPr>
        <w:t xml:space="preserve">chi comanda</w:t>
      </w:r>
      <w:r>
        <w:t xml:space="preserve">, e su uno dei sette non ci sei.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più probabile</w:t>
            </w:r>
          </w:p>
        </w:tc>
        <w:tc>
          <w:tcPr/>
          <w:p>
            <w:pPr>
              <w:pStyle w:val="Compact"/>
            </w:pPr>
            <w:r>
              <w:t xml:space="preserve">Quanto puoi fare</w:t>
            </w:r>
          </w:p>
        </w:tc>
      </w:tr>
      <w:tr>
        <w:tc>
          <w:tcPr/>
          <w:p>
            <w:pPr>
              <w:pStyle w:val="Compact"/>
            </w:pPr>
            <w:r>
              <w:t xml:space="preserve">Distensione visibile</w:t>
            </w:r>
          </w:p>
        </w:tc>
        <w:tc>
          <w:tcPr/>
          <w:p>
            <w:pPr>
              <w:pStyle w:val="Compact"/>
            </w:pPr>
            <w:r>
              <w:t xml:space="preserve">Piatta al mattino, gonfia la sera</w:t>
            </w:r>
          </w:p>
        </w:tc>
        <w:tc>
          <w:tcPr/>
          <w:p>
            <w:pPr>
              <w:pStyle w:val="Compact"/>
            </w:pPr>
            <w:r>
              <w:t xml:space="preserve">Contenitore al contrario</w:t>
            </w:r>
          </w:p>
        </w:tc>
        <w:tc>
          <w:tcPr/>
          <w:p>
            <w:pPr>
              <w:pStyle w:val="Compact"/>
            </w:pPr>
            <w:r>
              <w:t xml:space="preserve">Molto</w:t>
            </w:r>
          </w:p>
        </w:tc>
      </w:tr>
      <w:tr>
        <w:tc>
          <w:tcPr/>
          <w:p>
            <w:pPr>
              <w:pStyle w:val="Compact"/>
            </w:pPr>
            <w:r>
              <w:t xml:space="preserve">Dolore di parete</w:t>
            </w:r>
          </w:p>
        </w:tc>
        <w:tc>
          <w:tcPr/>
          <w:p>
            <w:pPr>
              <w:pStyle w:val="Compact"/>
            </w:pPr>
            <w:r>
              <w:t xml:space="preserve">Punto fisso, Carnett positivo</w:t>
            </w:r>
          </w:p>
        </w:tc>
        <w:tc>
          <w:tcPr/>
          <w:p>
            <w:pPr>
              <w:pStyle w:val="Compact"/>
            </w:pPr>
            <w:r>
              <w:t xml:space="preserve">Nervo cutaneo anteriore</w:t>
            </w:r>
          </w:p>
        </w:tc>
        <w:tc>
          <w:tcPr/>
          <w:p>
            <w:pPr>
              <w:pStyle w:val="Compact"/>
            </w:pPr>
            <w:r>
              <w:t xml:space="preserve">Molto</w:t>
            </w:r>
          </w:p>
        </w:tc>
      </w:tr>
      <w:tr>
        <w:tc>
          <w:tcPr/>
          <w:p>
            <w:pPr>
              <w:pStyle w:val="Compact"/>
            </w:pPr>
            <w:r>
              <w:t xml:space="preserve">Ponzamento, svuotamento parziale</w:t>
            </w:r>
          </w:p>
        </w:tc>
        <w:tc>
          <w:tcPr/>
          <w:p>
            <w:pPr>
              <w:pStyle w:val="Compact"/>
            </w:pPr>
            <w:r>
              <w:t xml:space="preserve">Spinge, resta seduto a lungo</w:t>
            </w:r>
          </w:p>
        </w:tc>
        <w:tc>
          <w:tcPr/>
          <w:p>
            <w:pPr>
              <w:pStyle w:val="Compact"/>
            </w:pPr>
            <w:r>
              <w:t xml:space="preserve">Pavimento che non si apre</w:t>
            </w:r>
          </w:p>
        </w:tc>
        <w:tc>
          <w:tcPr/>
          <w:p>
            <w:pPr>
              <w:pStyle w:val="Compact"/>
            </w:pPr>
            <w:r>
              <w:t xml:space="preserve">Abbastanza, e una parte si manda</w:t>
            </w:r>
          </w:p>
        </w:tc>
      </w:tr>
      <w:tr>
        <w:tc>
          <w:tcPr/>
          <w:p>
            <w:pPr>
              <w:pStyle w:val="Compact"/>
            </w:pPr>
            <w:r>
              <w:t xml:space="preserve">Urgenza dominante</w:t>
            </w:r>
          </w:p>
        </w:tc>
        <w:tc>
          <w:tcPr/>
          <w:p>
            <w:pPr>
              <w:pStyle w:val="Compact"/>
            </w:pPr>
            <w:r>
              <w:t xml:space="preserve">Poco preavviso, mappa dei bagni</w:t>
            </w:r>
          </w:p>
        </w:tc>
        <w:tc>
          <w:tcPr/>
          <w:p>
            <w:pPr>
              <w:pStyle w:val="Compact"/>
            </w:pPr>
            <w:r>
              <w:t xml:space="preserve">Soglia abbassata</w:t>
            </w:r>
          </w:p>
        </w:tc>
        <w:tc>
          <w:tcPr/>
          <w:p>
            <w:pPr>
              <w:pStyle w:val="Compact"/>
            </w:pPr>
            <w:r>
              <w:t xml:space="preserve">Abbastanza</w:t>
            </w:r>
          </w:p>
        </w:tc>
      </w:tr>
      <w:tr>
        <w:tc>
          <w:tcPr/>
          <w:p>
            <w:pPr>
              <w:pStyle w:val="Compact"/>
            </w:pPr>
            <w:r>
              <w:t xml:space="preserve">Legato allo stato di attivazione</w:t>
            </w:r>
          </w:p>
        </w:tc>
        <w:tc>
          <w:tcPr/>
          <w:p>
            <w:pPr>
              <w:pStyle w:val="Compact"/>
            </w:pPr>
            <w:r>
              <w:t xml:space="preserve">Meglio in vacanza, nessuna regola</w:t>
            </w:r>
          </w:p>
        </w:tc>
        <w:tc>
          <w:tcPr/>
          <w:p>
            <w:pPr>
              <w:pStyle w:val="Compact"/>
            </w:pPr>
            <w:r>
              <w:t xml:space="preserve">Comando che non stacca</w:t>
            </w:r>
          </w:p>
        </w:tc>
        <w:tc>
          <w:tcPr/>
          <w:p>
            <w:pPr>
              <w:pStyle w:val="Compact"/>
            </w:pPr>
            <w:r>
              <w:t xml:space="preserve">Abbastanza</w:t>
            </w:r>
          </w:p>
        </w:tc>
      </w:tr>
      <w:tr>
        <w:tc>
          <w:tcPr/>
          <w:p>
            <w:pPr>
              <w:pStyle w:val="Compact"/>
            </w:pPr>
            <w:r>
              <w:t xml:space="preserve">Post-infettivo</w:t>
            </w:r>
          </w:p>
        </w:tc>
        <w:tc>
          <w:tcPr/>
          <w:p>
            <w:pPr>
              <w:pStyle w:val="Compact"/>
            </w:pPr>
            <w:r>
              <w:t xml:space="preserve">Data d’inizio precisa</w:t>
            </w:r>
          </w:p>
        </w:tc>
        <w:tc>
          <w:tcPr/>
          <w:p>
            <w:pPr>
              <w:pStyle w:val="Compact"/>
            </w:pPr>
            <w:r>
              <w:t xml:space="preserve">Memoria dell’infezione</w:t>
            </w:r>
          </w:p>
        </w:tc>
        <w:tc>
          <w:tcPr/>
          <w:p>
            <w:pPr>
              <w:pStyle w:val="Compact"/>
            </w:pPr>
            <w:r>
              <w:t xml:space="preserve">Poco</w:t>
            </w:r>
          </w:p>
        </w:tc>
      </w:tr>
      <w:tr>
        <w:tc>
          <w:tcPr/>
          <w:p>
            <w:pPr>
              <w:pStyle w:val="Compact"/>
            </w:pPr>
            <w:r>
              <w:t xml:space="preserve">Malassorbimento biliare mascherato</w:t>
            </w:r>
          </w:p>
        </w:tc>
        <w:tc>
          <w:tcPr/>
          <w:p>
            <w:pPr>
              <w:pStyle w:val="Compact"/>
            </w:pPr>
            <w:r>
              <w:t xml:space="preserve">Diarrea acquosa dopo colecistectomia</w:t>
            </w:r>
          </w:p>
        </w:tc>
        <w:tc>
          <w:tcPr/>
          <w:p>
            <w:pPr>
              <w:pStyle w:val="Compact"/>
            </w:pPr>
            <w:r>
              <w:t xml:space="preserve">Fuori dal nostro campo</w:t>
            </w:r>
          </w:p>
        </w:tc>
        <w:tc>
          <w:tcPr/>
          <w:p>
            <w:pPr>
              <w:pStyle w:val="Compact"/>
            </w:pPr>
            <w:r>
              <w:t xml:space="preserve">Niente: si manda</w:t>
            </w:r>
          </w:p>
        </w:tc>
      </w:tr>
    </w:tbl>
    <w:p>
      <w:pPr>
        <w:pStyle w:val="BodyText"/>
      </w:pPr>
      <w:r>
        <w:rPr>
          <w:b/>
          <w:bCs/>
        </w:rPr>
        <w:t xml:space="preserve">La chiave che le lettere non danno.</w:t>
      </w:r>
      <w:r>
        <w:t xml:space="preserve"> </w:t>
      </w:r>
      <w:r>
        <w:t xml:space="preserve">I pattern si dividono per</w:t>
      </w:r>
      <w:r>
        <w:t xml:space="preserve"> </w:t>
      </w:r>
      <w:r>
        <w:rPr>
          <w:b/>
          <w:bCs/>
        </w:rPr>
        <w:t xml:space="preserve">tipo di dolore</w:t>
      </w:r>
      <w:r>
        <w:t xml:space="preserve">, e la divisione decide dove metti le mani. Il dolore di parete è</w:t>
      </w:r>
      <w:r>
        <w:t xml:space="preserve"> </w:t>
      </w:r>
      <w:r>
        <w:rPr>
          <w:b/>
          <w:bCs/>
        </w:rPr>
        <w:t xml:space="preserve">nocicettivo somatico</w:t>
      </w:r>
      <w:r>
        <w:t xml:space="preserve">: è l’unico sottotipo in cui il tessuto sotto le tue mani è la sorgente. Il post-infettivo è una sensibilizzazione periferica che vira al nociplastico: la sorgente c’è, ma non la tocchi. Urgenza dominante e legato all’attivazione sono</w:t>
      </w:r>
      <w:r>
        <w:t xml:space="preserve"> </w:t>
      </w:r>
      <w:r>
        <w:rPr>
          <w:b/>
          <w:bCs/>
        </w:rPr>
        <w:t xml:space="preserve">nociplastici</w:t>
      </w:r>
      <w:r>
        <w:t xml:space="preserve">: il bersaglio è il guadagno, non il tessuto.</w:t>
      </w:r>
    </w:p>
    <w:p>
      <w:pPr>
        <w:pStyle w:val="BodyText"/>
      </w:pPr>
      <w:r>
        <w:rPr>
          <w:b/>
          <w:bCs/>
        </w:rPr>
        <w:t xml:space="preserve">Distensione visibile.</w:t>
      </w:r>
      <w:r>
        <w:t xml:space="preserve"> </w:t>
      </w:r>
      <w:r>
        <w:t xml:space="preserve">È il sottotipo col razionale più forte, perché il guasto è muscolare e scheletrico. Una domanda lo riconosce:</w:t>
      </w:r>
      <w:r>
        <w:t xml:space="preserve"> </w:t>
      </w:r>
      <w:r>
        <w:rPr>
          <w:i/>
          <w:iCs/>
        </w:rPr>
        <w:t xml:space="preserve">«la mattina la pancia com’è?»</w:t>
      </w:r>
      <w:r>
        <w:t xml:space="preserve">. Se la risposta è</w:t>
      </w:r>
      <w:r>
        <w:t xml:space="preserve"> </w:t>
      </w:r>
      <w:r>
        <w:rPr>
          <w:i/>
          <w:iCs/>
        </w:rPr>
        <w:t xml:space="preserve">«piatta»</w:t>
      </w:r>
      <w:r>
        <w:t xml:space="preserve">, il problema è il contenitore, non il gas.</w:t>
      </w:r>
    </w:p>
    <w:p>
      <w:pPr>
        <w:pStyle w:val="BodyText"/>
      </w:pPr>
      <w:r>
        <w:rPr>
          <w:b/>
          <w:bCs/>
        </w:rPr>
        <w:t xml:space="preserve">Dolore di parete.</w:t>
      </w:r>
      <w:r>
        <w:t xml:space="preserve"> </w:t>
      </w:r>
      <w:r>
        <w:t xml:space="preserve">Fisso, superficiale, in un punto che il paziente indica con un dito, e</w:t>
      </w:r>
      <w:r>
        <w:t xml:space="preserve"> </w:t>
      </w:r>
      <w:r>
        <w:rPr>
          <w:b/>
          <w:bCs/>
        </w:rPr>
        <w:t xml:space="preserve">aumenta quando contrae</w:t>
      </w:r>
      <w:r>
        <w:t xml:space="preserve">. È il pattern in cui hai di più da fare e in cui è più facile confondersi.</w:t>
      </w:r>
      <w:r>
        <w:t xml:space="preserve"> </w:t>
      </w:r>
      <w:r>
        <w:rPr>
          <w:b/>
          <w:bCs/>
        </w:rPr>
        <w:t xml:space="preserve">Non è un aut-aut:</w:t>
      </w:r>
      <w:r>
        <w:t xml:space="preserve"> </w:t>
      </w:r>
      <w:r>
        <w:t xml:space="preserve">un Carnett positivo identifica uno strato trattabile, non esclude la sindrome. Le due cose convivono spesso, e la parete è la prima che cede: la spegni, il paziente migliora molto, e sotto resta il resto. Poi si rivaluta da capo, non si archivia.</w:t>
      </w:r>
    </w:p>
    <w:p>
      <w:pPr>
        <w:pStyle w:val="BodyText"/>
      </w:pPr>
      <w:r>
        <w:t xml:space="preserve">Quanto è frequente, con il numero giusto. Prendi i pazienti seguiti in medicina generale con un’etichetta di dolore addominale funzionale. Lì la prevalenza del dolore di parete è del</w:t>
      </w:r>
      <w:r>
        <w:t xml:space="preserve"> </w:t>
      </w:r>
      <w:r>
        <w:rPr>
          <w:b/>
          <w:bCs/>
        </w:rPr>
        <w:t xml:space="preserve">3,6%</w:t>
      </w:r>
      <w:r>
        <w:t xml:space="preserve"> </w:t>
      </w:r>
      <w:r>
        <w:t xml:space="preserve">(intervallo 1,7-7,6), non «metà dei pazienti» (van Assen 2013, PMID 24204070; disegno in Appendice B).</w:t>
      </w:r>
      <w:r>
        <w:t xml:space="preserve"> </w:t>
      </w:r>
      <w:r>
        <w:rPr>
          <w:b/>
          <w:bCs/>
        </w:rPr>
        <w:t xml:space="preserve">Per te:</w:t>
      </w:r>
      <w:r>
        <w:t xml:space="preserve"> </w:t>
      </w:r>
      <w:r>
        <w:t xml:space="preserve">tre o quattro su cento è poco, e il test va fatto lo stesso a tutti. Costa trenta secondi, e quando è positivo il guadagno è il più grande del documento. Non aspettartelo: cercalo.</w:t>
      </w:r>
    </w:p>
    <w:p>
      <w:pPr>
        <w:pStyle w:val="BodyText"/>
      </w:pPr>
      <w:r>
        <w:rPr>
          <w:b/>
          <w:bCs/>
        </w:rPr>
        <w:t xml:space="preserve">Ponzamento, svuotamento parziale.</w:t>
      </w:r>
      <w:r>
        <w:t xml:space="preserve"> </w:t>
      </w:r>
      <w:r>
        <w:t xml:space="preserve">Comanda il pavimento pelvico, l’altro muscolo scheletrico di questa fisiopatologia. Lavori su ciò che gli sta sopra e attorno. Il riaddestramento anorettale non è atto osteopatico, e una parte di questi pazienti va rinviata.</w:t>
      </w:r>
    </w:p>
    <w:p>
      <w:pPr>
        <w:pStyle w:val="BodyText"/>
      </w:pPr>
      <w:r>
        <w:rPr>
          <w:b/>
          <w:bCs/>
        </w:rPr>
        <w:t xml:space="preserve">Urgenza dominante.</w:t>
      </w:r>
      <w:r>
        <w:t xml:space="preserve"> </w:t>
      </w:r>
      <w:r>
        <w:t xml:space="preserve">Il bersaglio non è il colon: è la soglia. Il lavoro che ha senso agisce sullo stato in cui la soglia viene letta, con verifica su un marker fuori dal piano trattato.</w:t>
      </w:r>
      <w:r>
        <w:t xml:space="preserve"> </w:t>
      </w:r>
      <w:r>
        <w:rPr>
          <w:b/>
          <w:bCs/>
        </w:rPr>
        <w:t xml:space="preserve">Chiedi dell’incontinenza:</w:t>
      </w:r>
      <w:r>
        <w:t xml:space="preserve"> </w:t>
      </w:r>
      <w:r>
        <w:t xml:space="preserve">in una parte di questi pazienti la mappa dei bagni esiste perché un incidente c’è già stato.</w:t>
      </w:r>
    </w:p>
    <w:p>
      <w:pPr>
        <w:pStyle w:val="BodyText"/>
      </w:pPr>
      <w:r>
        <w:rPr>
          <w:b/>
          <w:bCs/>
        </w:rPr>
        <w:t xml:space="preserve">Legato allo stato di attivazione.</w:t>
      </w:r>
      <w:r>
        <w:t xml:space="preserve"> </w:t>
      </w:r>
      <w:r>
        <w:t xml:space="preserve">Sintomo agganciato a un evento di vita, nessuna regola alimentare che regga, miglioramento in vacanza.</w:t>
      </w:r>
      <w:r>
        <w:t xml:space="preserve"> </w:t>
      </w:r>
      <w:r>
        <w:rPr>
          <w:b/>
          <w:bCs/>
        </w:rPr>
        <w:t xml:space="preserve">Non è un capolinea: è l’indicazione più chiara che esista per la leva che sull’attivazione agisce</w:t>
      </w:r>
      <w:r>
        <w:t xml:space="preserve"> </w:t>
      </w:r>
      <w:r>
        <w:t xml:space="preserve">— contatto lento, ritmo del respiro, tempo dedicato. L’etichetta e i tempi reali di quella leva stanno in «Perché le mani possono cambiare qualcosa». Attenzione a cosa vuol dire «chiara»:</w:t>
      </w:r>
      <w:r>
        <w:t xml:space="preserve"> </w:t>
      </w:r>
      <w:r>
        <w:rPr>
          <w:b/>
          <w:bCs/>
        </w:rPr>
        <w:t xml:space="preserve">il bersaglio è riconoscibile, non la leva dimostrata</w:t>
      </w:r>
      <w:r>
        <w:t xml:space="preserve">. Sulla forza della leva decide «Perché le mani possono cambiare qualcosa», che classifica IPOTESI la parte manuale e DIMOSTRATO, con salto di intervento, quella relazionale. Le due colonne della tabella misurano cose diverse. Sapere qual è la porta non vuol dire avere la chiave.</w:t>
      </w:r>
    </w:p>
    <w:p>
      <w:pPr>
        <w:pStyle w:val="BodyText"/>
      </w:pPr>
      <w:r>
        <w:rPr>
          <w:b/>
          <w:bCs/>
        </w:rPr>
        <w:t xml:space="preserve">Post-infettivo.</w:t>
      </w:r>
      <w:r>
        <w:t xml:space="preserve"> </w:t>
      </w:r>
      <w:r>
        <w:t xml:space="preserve">Lavori sul contenitore e sull’attivazione, e dici prima che la componente immunitaria non la tocchi.</w:t>
      </w:r>
    </w:p>
    <w:p>
      <w:pPr>
        <w:pStyle w:val="BodyText"/>
      </w:pPr>
      <w:r>
        <w:rPr>
          <w:b/>
          <w:bCs/>
        </w:rPr>
        <w:t xml:space="preserve">Malassorbimento biliare mascherato.</w:t>
      </w:r>
      <w:r>
        <w:t xml:space="preserve"> </w:t>
      </w:r>
      <w:r>
        <w:t xml:space="preserve">Diarrea acquosa sotto un’etichetta IBS-D, mai indagata. Qui non hai niente da offrire, e mandarlo è l’atto clinico corretto. Ma prima devi saperlo sospettare, e «diarrea acquosa» da sola descrive metà degli IBS-D.</w:t>
      </w:r>
    </w:p>
    <w:p>
      <w:pPr>
        <w:pStyle w:val="BodyText"/>
      </w:pPr>
      <w:r>
        <w:rPr>
          <w:b/>
          <w:bCs/>
        </w:rPr>
        <w:t xml:space="preserve">I segni che lo separano sono anamnestici, e sono quattro domande.</w:t>
      </w:r>
    </w:p>
    <w:p>
      <w:pPr>
        <w:pStyle w:val="Compact"/>
        <w:numPr>
          <w:ilvl w:val="0"/>
          <w:numId w:val="1021"/>
        </w:numPr>
      </w:pPr>
      <w:r>
        <w:t xml:space="preserve">Colecistectomia?</w:t>
      </w:r>
    </w:p>
    <w:p>
      <w:pPr>
        <w:pStyle w:val="Compact"/>
        <w:numPr>
          <w:ilvl w:val="0"/>
          <w:numId w:val="1021"/>
        </w:numPr>
      </w:pPr>
      <w:r>
        <w:t xml:space="preserve">Resezione ileale o Crohn ileale?</w:t>
      </w:r>
    </w:p>
    <w:p>
      <w:pPr>
        <w:pStyle w:val="Compact"/>
        <w:numPr>
          <w:ilvl w:val="0"/>
          <w:numId w:val="1021"/>
        </w:numPr>
      </w:pPr>
      <w:r>
        <w:t xml:space="preserve">Emicolectomia destra?</w:t>
      </w:r>
    </w:p>
    <w:p>
      <w:pPr>
        <w:pStyle w:val="Compact"/>
        <w:numPr>
          <w:ilvl w:val="0"/>
          <w:numId w:val="1021"/>
        </w:numPr>
      </w:pPr>
      <w:r>
        <w:t xml:space="preserve">Radioterapia pelvica o addominale?</w:t>
      </w:r>
    </w:p>
    <w:p>
      <w:pPr>
        <w:pStyle w:val="FirstParagraph"/>
      </w:pPr>
      <w:r>
        <w:t xml:space="preserve">Il profilo tipico completa il quadro: diarrea acquosa senza dolore prevalente, urgenza al mattino e dopo i pasti, nessuna risposta alle diete già provate. Il 32% degli IBS-D ha un malassorbimento biliare di grado moderato, e 8 su 10 rispondono al farmaco che lega gli acidi biliari (Wedlake 2009, PMID 19570102). Cosa scrivi al curante:</w:t>
      </w:r>
      <w:r>
        <w:t xml:space="preserve"> </w:t>
      </w:r>
      <w:r>
        <w:rPr>
          <w:i/>
          <w:iCs/>
        </w:rPr>
        <w:t xml:space="preserve">«il quadro merita di escludere un malassorbimento degli acidi biliari»</w:t>
      </w:r>
      <w:r>
        <w:t xml:space="preserve">, con le risposte a quelle quattro domande.</w:t>
      </w:r>
    </w:p>
    <w:p>
      <w:pPr>
        <w:pStyle w:val="BodyText"/>
      </w:pPr>
      <w:r>
        <w:rPr>
          <w:b/>
          <w:bCs/>
        </w:rPr>
        <w:t xml:space="preserve">Condizioni spesso associate.</w:t>
      </w:r>
      <w:r>
        <w:t xml:space="preserve"> </w:t>
      </w:r>
      <w:r>
        <w:t xml:space="preserve">Se il paziente ha anche difficoltà a evacuare con sforzo, vedi la Bibbia della</w:t>
      </w:r>
      <w:r>
        <w:t xml:space="preserve"> </w:t>
      </w:r>
      <w:r>
        <w:rPr>
          <w:b/>
          <w:bCs/>
        </w:rPr>
        <w:t xml:space="preserve">stitichezza</w:t>
      </w:r>
      <w:r>
        <w:t xml:space="preserve">. Se ha pienezza dopo il pasto e sazietà precoce, vedi la Bibbia dei</w:t>
      </w:r>
      <w:r>
        <w:t xml:space="preserve"> </w:t>
      </w:r>
      <w:r>
        <w:rPr>
          <w:b/>
          <w:bCs/>
        </w:rPr>
        <w:t xml:space="preserve">problemi digestivi</w:t>
      </w:r>
      <w:r>
        <w:t xml:space="preserve">. I quadri condividono il contenitore addomino-toracico e la mappa segmentaria dorso-lombare e sacrale.</w:t>
      </w:r>
      <w:r>
        <w:t xml:space="preserve"> </w:t>
      </w:r>
      <w:r>
        <w:rPr>
          <w:b/>
          <w:bCs/>
        </w:rPr>
        <w:t xml:space="preserve">E c’è una terna che non è un rimando interno:</w:t>
      </w:r>
      <w:r>
        <w:t xml:space="preserve"> </w:t>
      </w:r>
      <w:r>
        <w:t xml:space="preserve">dolore attorno al ciclo, mestruazioni molto dolorose, dolore ai rapporti. Lì il rinvio è al curante, non a un’altra Bibbia — vedi «Che cos’è davvero», voce endometriosi.</w:t>
      </w:r>
    </w:p>
    <w:p>
      <w:pPr>
        <w:pStyle w:val="BodyText"/>
      </w:pPr>
      <w:r>
        <w:rPr>
          <w:b/>
          <w:bCs/>
        </w:rPr>
        <w:t xml:space="preserve">Le tre cose da ricordare, più una</w:t>
      </w:r>
    </w:p>
    <w:p>
      <w:pPr>
        <w:pStyle w:val="Compact"/>
        <w:numPr>
          <w:ilvl w:val="0"/>
          <w:numId w:val="1022"/>
        </w:numPr>
      </w:pPr>
      <w:r>
        <w:t xml:space="preserve">Una domanda separa il sottotipo con le prove migliori:</w:t>
      </w:r>
      <w:r>
        <w:t xml:space="preserve"> </w:t>
      </w:r>
      <w:r>
        <w:rPr>
          <w:i/>
          <w:iCs/>
        </w:rPr>
        <w:t xml:space="preserve">«la mattina la pancia com’è?»</w:t>
      </w:r>
      <w:r>
        <w:t xml:space="preserve">.</w:t>
      </w:r>
    </w:p>
    <w:p>
      <w:pPr>
        <w:pStyle w:val="Compact"/>
        <w:numPr>
          <w:ilvl w:val="0"/>
          <w:numId w:val="1022"/>
        </w:numPr>
      </w:pPr>
      <w:r>
        <w:t xml:space="preserve">Il dolore che aumenta contraendo non viene dall’intestino. Cambia il bersaglio e cambia la spiegazione.</w:t>
      </w:r>
    </w:p>
    <w:p>
      <w:pPr>
        <w:pStyle w:val="Compact"/>
        <w:numPr>
          <w:ilvl w:val="0"/>
          <w:numId w:val="1022"/>
        </w:numPr>
      </w:pPr>
      <w:r>
        <w:t xml:space="preserve">Un sottotipo si manda, e riconoscerlo si fa con quattro domande di anamnesi, non con un esame.</w:t>
      </w:r>
    </w:p>
    <w:p>
      <w:pPr>
        <w:pStyle w:val="Compact"/>
        <w:numPr>
          <w:ilvl w:val="0"/>
          <w:numId w:val="1022"/>
        </w:numPr>
      </w:pPr>
      <w:r>
        <w:rPr>
          <w:b/>
          <w:bCs/>
        </w:rPr>
        <w:t xml:space="preserve">Perché ci sei tu.</w:t>
      </w:r>
      <w:r>
        <w:t xml:space="preserve"> </w:t>
      </w:r>
      <w:r>
        <w:t xml:space="preserve">Su quel sottotipo non ci sei, e la quota non è piccola. È un terzo dei pazienti etichettati come colon irritabile con diarrea, e otto su dieci rispondono a un farmaco mirato. Questo ti autorizza a riconoscerlo e a scriverlo al curante. Non ti autorizza a trattarlo, né a tenerlo in carico mentre aspetti.</w:t>
      </w:r>
    </w:p>
    <w:p>
      <w:r>
        <w:pict>
          <v:rect style="width:0;height:1.5pt" o:hralign="center" o:hrstd="t" o:hr="t"/>
        </w:pict>
      </w:r>
    </w:p>
    <w:bookmarkEnd w:id="32"/>
    <w:bookmarkStart w:id="38"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sindrome tre modelli portano prove, con forza molto diversa fra loro; uno porta razionale; uno dice soprattutto cosa non è tuo.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FirstParagraph"/>
      </w:pPr>
      <w:r>
        <w:t xml:space="preserve">Gli attori di ogni modello sono descritti in «Le strutture in gioco»: qui si nominano soltanto. I segnali elencati qui sotto sono scelti perché</w:t>
      </w:r>
      <w:r>
        <w:t xml:space="preserve"> </w:t>
      </w:r>
      <w:r>
        <w:rPr>
          <w:b/>
          <w:bCs/>
        </w:rPr>
        <w:t xml:space="preserve">variano fra pazienti con la stessa sindrome</w:t>
      </w:r>
      <w:r>
        <w:t xml:space="preserve">. Il legame coi pasti non compare fra i segnali di dominanza, e la ragione è di frequenza e non di definizione. Lo riferisce la grande maggioranza di questi pazienti, quindi non separa un sottogruppo dall’altro. (La definizione è un’altra cosa, ed è una sola: sta in «Che cos’è davvero».)</w:t>
      </w:r>
    </w:p>
    <w:bookmarkStart w:id="33" w:name="biomeccanico-strutturale"/>
    <w:p>
      <w:pPr>
        <w:pStyle w:val="Heading3"/>
      </w:pPr>
      <w:r>
        <w:t xml:space="preserve">Biomeccanico-Strutturale</w:t>
      </w:r>
    </w:p>
    <w:p>
      <w:pPr>
        <w:pStyle w:val="FirstParagraph"/>
      </w:pPr>
      <w:r>
        <w:rPr>
          <w:b/>
          <w:bCs/>
        </w:rPr>
        <w:t xml:space="preserve">Cosa governa qui.</w:t>
      </w:r>
      <w:r>
        <w:t xml:space="preserve"> </w:t>
      </w:r>
      <w:r>
        <w:t xml:space="preserve">Il contenitore — diaframma, parete addominale, giunzione dorso-lombare, sacro, pavimento pelvico — e la meccanica del dolore di parete.</w:t>
      </w:r>
    </w:p>
    <w:p>
      <w:pPr>
        <w:pStyle w:val="BlockText"/>
      </w:pPr>
      <w:r>
        <w:rPr>
          <w:b/>
          <w:bCs/>
        </w:rPr>
        <w:t xml:space="preserve">Attenzione — dove finisce il viscerale.</w:t>
      </w:r>
      <w:r>
        <w:t xml:space="preserve"> </w:t>
      </w:r>
      <w:r>
        <w:t xml:space="preserve">I modelli sono cinque, e</w:t>
      </w:r>
      <w:r>
        <w:t xml:space="preserve"> </w:t>
      </w:r>
      <w:r>
        <w:rPr>
          <w:b/>
          <w:bCs/>
        </w:rPr>
        <w:t xml:space="preserve">il viscerale non è uno di loro</w:t>
      </w:r>
      <w:r>
        <w:t xml:space="preserve">. La meccanica dell’organo e del suo contenitore vive nel</w:t>
      </w:r>
      <w:r>
        <w:t xml:space="preserve"> </w:t>
      </w:r>
      <w:r>
        <w:rPr>
          <w:b/>
          <w:bCs/>
        </w:rPr>
        <w:t xml:space="preserve">Biomeccanico</w:t>
      </w:r>
      <w:r>
        <w:t xml:space="preserve">; il riflesso viscero-somatico e la soglia vivono nel</w:t>
      </w:r>
      <w:r>
        <w:t xml:space="preserve"> </w:t>
      </w:r>
      <w:r>
        <w:rPr>
          <w:b/>
          <w:bCs/>
        </w:rPr>
        <w:t xml:space="preserve">Neurologico</w:t>
      </w:r>
      <w:r>
        <w:t xml:space="preserve">. Se ti sembra di aver bisogno di un sesto modello, quello che ti serve è già in uno dei due.</w:t>
      </w:r>
    </w:p>
    <w:p>
      <w:pPr>
        <w:pStyle w:val="FirstParagraph"/>
      </w:pPr>
      <w:r>
        <w:rPr>
          <w:b/>
          <w:bCs/>
        </w:rPr>
        <w:t xml:space="preserve">Gli attori.</w:t>
      </w:r>
      <w:r>
        <w:t xml:space="preserve"> </w:t>
      </w:r>
      <w:r>
        <w:t xml:space="preserve">Diaframma, obliquo interno, retto, nervi cutanei anteriori, T12-L1, complesso lombo-sacrale, pavimento pelvico.</w:t>
      </w:r>
    </w:p>
    <w:p>
      <w:pPr>
        <w:pStyle w:val="BodyText"/>
      </w:pPr>
      <w:r>
        <w:rPr>
          <w:b/>
          <w:bCs/>
        </w:rPr>
        <w:t xml:space="preserve">I segnali che ti dicono che pesa in questo paziente.</w:t>
      </w:r>
      <w:r>
        <w:t xml:space="preserve"> </w:t>
      </w:r>
      <w:r>
        <w:t xml:space="preserve">Circonferenza addominale che cresce nella giornata e si azzera di notte. Coste basse che si allargano in espirazione. Dolore che aumenta contraendo la parete. Ponzamento e svuotamento parziale. Cicatrici addominali — cesareo, appendicectomia, laparoscopia — con tessuto che non scorre.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 comportamento muscolare del contenitore e sulla sua correggibilità, nei pazienti con distensione visibile (Barba 2015, PMID 25500424; Barba 2024, PMID 38467383).</w:t>
      </w:r>
      <w:r>
        <w:t xml:space="preserve"> </w:t>
      </w:r>
      <w:r>
        <w:rPr>
          <w:b/>
          <w:bCs/>
        </w:rPr>
        <w:t xml:space="preserve">PROBABILE</w:t>
      </w:r>
      <w:r>
        <w:t xml:space="preserve"> </w:t>
      </w:r>
      <w:r>
        <w:rPr>
          <w:i/>
          <w:iCs/>
        </w:rPr>
        <w:t xml:space="preserve">(razionale forte, prove parziali)</w:t>
      </w:r>
      <w:r>
        <w:t xml:space="preserve"> </w:t>
      </w:r>
      <w:r>
        <w:t xml:space="preserve">che la dissinergia del pavimento pelvico sia più frequente in questi pazienti (Mulak 2010, PMID 20411267).</w:t>
      </w:r>
      <w:r>
        <w:t xml:space="preserve"> </w:t>
      </w:r>
      <w:r>
        <w:rPr>
          <w:b/>
          <w:bCs/>
        </w:rPr>
        <w:t xml:space="preserve">IPOTESI</w:t>
      </w:r>
      <w:r>
        <w:t xml:space="preserve"> </w:t>
      </w:r>
      <w:r>
        <w:rPr>
          <w:i/>
          <w:iCs/>
        </w:rPr>
        <w:t xml:space="preserve">(meccanismo coerente, nessuno studio)</w:t>
      </w:r>
      <w:r>
        <w:t xml:space="preserve"> </w:t>
      </w:r>
      <w:r>
        <w:t xml:space="preserve">che la mano dell’osteopata produca quelle correzioni: i salti sono di erogatore, di strumento e di popolazione.</w:t>
      </w:r>
    </w:p>
    <w:bookmarkEnd w:id="33"/>
    <w:bookmarkStart w:id="34" w:name="respiratorio-circolatorio"/>
    <w:p>
      <w:pPr>
        <w:pStyle w:val="Heading3"/>
      </w:pPr>
      <w:r>
        <w:t xml:space="preserve">Respiratorio-Circolatorio</w:t>
      </w:r>
    </w:p>
    <w:p>
      <w:pPr>
        <w:pStyle w:val="FirstParagraph"/>
      </w:pPr>
      <w:r>
        <w:rPr>
          <w:b/>
          <w:bCs/>
        </w:rPr>
        <w:t xml:space="preserve">Cosa governa qui.</w:t>
      </w:r>
      <w:r>
        <w:t xml:space="preserve"> </w:t>
      </w:r>
      <w:r>
        <w:t xml:space="preserve">L’accomodazione pressoria: come l’aumento di volume dentro l’addome viene distribuito, e con che ritmo il contenitore si apre e si chiude.</w:t>
      </w:r>
    </w:p>
    <w:p>
      <w:pPr>
        <w:pStyle w:val="BodyText"/>
      </w:pPr>
      <w:r>
        <w:rPr>
          <w:b/>
          <w:bCs/>
        </w:rPr>
        <w:t xml:space="preserve">Gli attori.</w:t>
      </w:r>
      <w:r>
        <w:t xml:space="preserve"> </w:t>
      </w:r>
      <w:r>
        <w:t xml:space="preserve">Diaframma, pilastri, coste basse, intercostali.</w:t>
      </w:r>
    </w:p>
    <w:p>
      <w:pPr>
        <w:pStyle w:val="BodyText"/>
      </w:pPr>
      <w:r>
        <w:rPr>
          <w:b/>
          <w:bCs/>
        </w:rPr>
        <w:t xml:space="preserve">I segnali.</w:t>
      </w:r>
      <w:r>
        <w:t xml:space="preserve"> </w:t>
      </w:r>
      <w:r>
        <w:t xml:space="preserve">Respiro apicale a riposo. Escursione delle coste basse scarsa o asimmetrica. Torace che si allarga in avanti mentre la pancia cresce, dopo il pasto.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l’accomodazione pressoria sia invertita in questi pazienti. Le fonti sono due (Villoria 2011, PMID 21540894; Barba 2015, PMID 25500424 — il meccanismo è descritto in «Cosa si rompe», guasto 2).</w:t>
      </w:r>
      <w:r>
        <w:t xml:space="preserve"> </w:t>
      </w:r>
      <w:r>
        <w:rPr>
          <w:b/>
          <w:bCs/>
        </w:rPr>
        <w:t xml:space="preserve">La metà circolatoria di questo modello non ha un ruolo documentato in questa condizione.</w:t>
      </w:r>
      <w:r>
        <w:t xml:space="preserve"> </w:t>
      </w:r>
      <w:r>
        <w:t xml:space="preserve">Nessuna stasi venosa o linfatica è stata misurata qui, e il documento non le attribuisce niente.</w:t>
      </w:r>
    </w:p>
    <w:bookmarkEnd w:id="34"/>
    <w:bookmarkStart w:id="35" w:name="neurologico"/>
    <w:p>
      <w:pPr>
        <w:pStyle w:val="Heading3"/>
      </w:pPr>
      <w:r>
        <w:t xml:space="preserve">Neurologico</w:t>
      </w:r>
    </w:p>
    <w:p>
      <w:pPr>
        <w:pStyle w:val="FirstParagraph"/>
      </w:pPr>
      <w:r>
        <w:rPr>
          <w:b/>
          <w:bCs/>
        </w:rPr>
        <w:t xml:space="preserve">Cosa governa qui.</w:t>
      </w:r>
      <w:r>
        <w:t xml:space="preserve"> </w:t>
      </w:r>
      <w:r>
        <w:t xml:space="preserve">Due cose, e la seconda mancava. La prima: la soglia con il filtro e la mappa afferente del colon distale. La seconda:</w:t>
      </w:r>
      <w:r>
        <w:t xml:space="preserve"> </w:t>
      </w:r>
      <w:r>
        <w:rPr>
          <w:b/>
          <w:bCs/>
        </w:rPr>
        <w:t xml:space="preserve">l’assetto autonomico</w:t>
      </w:r>
      <w:r>
        <w:t xml:space="preserve">, cioè la bilancia fra i due rami e lo stato in cui quel filtro lavora. È il piano che il ragionamento sul sistema dominante mette in cima alla gerarchia, e appartiene qui.</w:t>
      </w:r>
    </w:p>
    <w:p>
      <w:pPr>
        <w:pStyle w:val="BodyText"/>
      </w:pPr>
      <w:r>
        <w:rPr>
          <w:b/>
          <w:bCs/>
        </w:rPr>
        <w:t xml:space="preserve">Gli attori.</w:t>
      </w:r>
      <w:r>
        <w:t xml:space="preserve"> </w:t>
      </w:r>
      <w:r>
        <w:t xml:space="preserve">Afferenti pelvici S2-S4, afferenti splancnici lombari, corno dorsale, mastociti vicini alle fibre nervose; uscita simpatica dorso-lombare e tono vagale.</w:t>
      </w:r>
    </w:p>
    <w:p>
      <w:pPr>
        <w:pStyle w:val="BodyText"/>
      </w:pPr>
      <w:r>
        <w:rPr>
          <w:b/>
          <w:bCs/>
        </w:rPr>
        <w:t xml:space="preserve">I segnali che ti dicono che pesa in questo paziente.</w:t>
      </w:r>
      <w:r>
        <w:t xml:space="preserve"> </w:t>
      </w:r>
      <w:r>
        <w:t xml:space="preserve">Il sintomo</w:t>
      </w:r>
      <w:r>
        <w:t xml:space="preserve"> </w:t>
      </w:r>
      <w:r>
        <w:rPr>
          <w:b/>
          <w:bCs/>
        </w:rPr>
        <w:t xml:space="preserve">non segue</w:t>
      </w:r>
      <w:r>
        <w:t xml:space="preserve"> </w:t>
      </w:r>
      <w:r>
        <w:t xml:space="preserve">quello che mangia: è l’assenza del legame coi pasti a discriminare. Dolore sproporzionato agli accertamenti. Urgenza con preavviso quasi nullo. Sensibilità aumentata anche fuori dall’addome. E i segnali dell’assetto: frequenza respiratoria alta</w:t>
      </w:r>
      <w:r>
        <w:t xml:space="preserve"> </w:t>
      </w:r>
      <w:r>
        <w:rPr>
          <w:b/>
          <w:bCs/>
        </w:rPr>
        <w:t xml:space="preserve">rispetto al basale dello stesso paziente</w:t>
      </w:r>
      <w:r>
        <w:t xml:space="preserve">, contata su 60 secondi senza avvisarlo; miglioramento in vacanza; tessuti che rimbalzano.</w:t>
      </w:r>
    </w:p>
    <w:p>
      <w:pPr>
        <w:pStyle w:val="BlockText"/>
      </w:pPr>
      <w:r>
        <w:rPr>
          <w:b/>
          <w:bCs/>
        </w:rPr>
        <w:t xml:space="preserve">Quanto è solido:</w:t>
      </w:r>
      <w:r>
        <w:t xml:space="preserve"> </w:t>
      </w:r>
      <w:r>
        <w:t xml:space="preserve">l’etichetta si spezza in tre.</w:t>
      </w:r>
      <w:r>
        <w:t xml:space="preserve"> </w:t>
      </w:r>
      <w:r>
        <w:rPr>
          <w:b/>
          <w:bCs/>
        </w:rPr>
        <w:t xml:space="preserve">Soglia abbassata in una parte dei pazienti: DIMOSTRATO</w:t>
      </w:r>
      <w:r>
        <w:t xml:space="preserve"> </w:t>
      </w:r>
      <w:r>
        <w:rPr>
          <w:i/>
          <w:iCs/>
        </w:rPr>
        <w:t xml:space="preserve">(studi sull’uomo, solidi)</w:t>
      </w:r>
      <w:r>
        <w:t xml:space="preserve"> </w:t>
      </w:r>
      <w:r>
        <w:t xml:space="preserve">— Simrén 2019, PMID 31022401.</w:t>
      </w:r>
      <w:r>
        <w:t xml:space="preserve"> </w:t>
      </w:r>
      <w:r>
        <w:rPr>
          <w:b/>
          <w:bCs/>
        </w:rPr>
        <w:t xml:space="preserve">Assetto autonomico alterato: DIMOSTRATO</w:t>
      </w:r>
      <w:r>
        <w:t xml:space="preserve"> </w:t>
      </w:r>
      <w:r>
        <w:rPr>
          <w:i/>
          <w:iCs/>
        </w:rPr>
        <w:t xml:space="preserve">(studi sull’uomo, solidi)</w:t>
      </w:r>
      <w:r>
        <w:t xml:space="preserve">, con effetti piccoli e rischio di distorsione dichiarato (Liu 2013, PMID 23927739; Sadowski 2020, PMID 33346998).</w:t>
      </w:r>
      <w:r>
        <w:t xml:space="preserve"> </w:t>
      </w:r>
      <w:r>
        <w:rPr>
          <w:b/>
          <w:bCs/>
        </w:rPr>
        <w:t xml:space="preserve">IPOTESI</w:t>
      </w:r>
      <w:r>
        <w:t xml:space="preserve"> </w:t>
      </w:r>
      <w:r>
        <w:rPr>
          <w:i/>
          <w:iCs/>
        </w:rPr>
        <w:t xml:space="preserve">(meccanismo coerente, nessuno studio)</w:t>
      </w:r>
      <w:r>
        <w:t xml:space="preserve"> </w:t>
      </w:r>
      <w:r>
        <w:t xml:space="preserve">che una mano lo sposti in</w:t>
      </w:r>
      <w:r>
        <w:t xml:space="preserve"> </w:t>
      </w:r>
      <w:r>
        <w:rPr>
          <w:b/>
          <w:bCs/>
        </w:rPr>
        <w:t xml:space="preserve">loro</w:t>
      </w:r>
      <w:r>
        <w:t xml:space="preserve">. Sul distretto che tratti le misure disponibili non concordano fra loro, e il riquadro in «Cosa dice la scienza» le riporta tutte e due. Che il respiro lento alzi gli indici vagali è</w:t>
      </w:r>
      <w:r>
        <w:t xml:space="preserve"> </w:t>
      </w:r>
      <w:r>
        <w:rPr>
          <w:b/>
          <w:bCs/>
        </w:rPr>
        <w:t xml:space="preserve">DIMOSTRATO</w:t>
      </w:r>
      <w:r>
        <w:t xml:space="preserve"> </w:t>
      </w:r>
      <w:r>
        <w:rPr>
          <w:i/>
          <w:iCs/>
        </w:rPr>
        <w:t xml:space="preserve">(studi sull’uomo, solidi)</w:t>
      </w:r>
      <w:r>
        <w:t xml:space="preserve"> </w:t>
      </w:r>
      <w:r>
        <w:t xml:space="preserve">(Laborde 2022, PMID 35623448), con salto di</w:t>
      </w:r>
      <w:r>
        <w:t xml:space="preserve"> </w:t>
      </w:r>
      <w:r>
        <w:rPr>
          <w:b/>
          <w:bCs/>
        </w:rPr>
        <w:t xml:space="preserve">popolazione</w:t>
      </w:r>
      <w:r>
        <w:t xml:space="preserve">.</w:t>
      </w:r>
      <w:r>
        <w:t xml:space="preserve"> </w:t>
      </w:r>
      <w:r>
        <w:rPr>
          <w:b/>
          <w:bCs/>
        </w:rPr>
        <w:t xml:space="preserve">Che alzare l’attività vagale in questi pazienti si accompagni a una soglia rettale più alta: PROBABILE</w:t>
      </w:r>
      <w:r>
        <w:t xml:space="preserve"> </w:t>
      </w:r>
      <w:r>
        <w:rPr>
          <w:i/>
          <w:iCs/>
        </w:rPr>
        <w:t xml:space="preserve">(razionale forte, prove parziali)</w:t>
      </w:r>
      <w:r>
        <w:t xml:space="preserve">. Sono due studi randomizzati dello stesso gruppo, uno con il respiro lento e uno con la stimolazione elettrica dell’orecchio (Liu 2022, PMID 36408402; Liu 2024, PMID 39689011).</w:t>
      </w:r>
      <w:r>
        <w:t xml:space="preserve"> </w:t>
      </w:r>
      <w:r>
        <w:rPr>
          <w:i/>
          <w:iCs/>
        </w:rPr>
        <w:t xml:space="preserve">Misurato con un esercizio respiratorio e con una stimolazione elettrica dell’orecchio, nella sola forma con stitichezza, non con una mano e non in tutti i sottotipi.</w:t>
      </w:r>
      <w:r>
        <w:t xml:space="preserve"> </w:t>
      </w:r>
      <w:r>
        <w:rPr>
          <w:b/>
          <w:bCs/>
        </w:rPr>
        <w:t xml:space="preserve">Che un trattamento manuale sposti la soglia: PROBABILE</w:t>
      </w:r>
      <w:r>
        <w:t xml:space="preserve"> </w:t>
      </w:r>
      <w:r>
        <w:rPr>
          <w:i/>
          <w:iCs/>
        </w:rPr>
        <w:t xml:space="preserve">(razionale forte, prove parziali)</w:t>
      </w:r>
      <w:r>
        <w:t xml:space="preserve">. È un solo studio (Attali 2013, PMID 23981319), con il limite metodologico dichiarato in «Cosa dice la scienza».</w:t>
      </w:r>
    </w:p>
    <w:bookmarkEnd w:id="35"/>
    <w:bookmarkStart w:id="36" w:name="metabolico-energetico"/>
    <w:p>
      <w:pPr>
        <w:pStyle w:val="Heading3"/>
      </w:pPr>
      <w:r>
        <w:t xml:space="preserve">Metabolico-Energetico</w:t>
      </w:r>
    </w:p>
    <w:p>
      <w:pPr>
        <w:pStyle w:val="FirstParagraph"/>
      </w:pPr>
      <w:r>
        <w:rPr>
          <w:b/>
          <w:bCs/>
        </w:rPr>
        <w:t xml:space="preserve">Cosa governa qui.</w:t>
      </w:r>
      <w:r>
        <w:t xml:space="preserve"> </w:t>
      </w:r>
      <w:r>
        <w:t xml:space="preserve">Il carico: cosa mangia, quanto si muove, quanto dorme. E i farmaci e le sostanze che mimano il quadro.</w:t>
      </w:r>
    </w:p>
    <w:p>
      <w:pPr>
        <w:pStyle w:val="BodyText"/>
      </w:pPr>
      <w:r>
        <w:rPr>
          <w:b/>
          <w:bCs/>
        </w:rPr>
        <w:t xml:space="preserve">Gli attori.</w:t>
      </w:r>
      <w:r>
        <w:t xml:space="preserve"> </w:t>
      </w:r>
      <w:r>
        <w:t xml:space="preserve">Dieta, attività fisica settimanale, sonno. E l’attivazione immunitaria di basso grado che resta nella mucosa dopo un’enterite:</w:t>
      </w:r>
      <w:r>
        <w:t xml:space="preserve"> </w:t>
      </w:r>
      <w:r>
        <w:rPr>
          <w:b/>
          <w:bCs/>
        </w:rPr>
        <w:t xml:space="preserve">il meccanismo post-infettivo abita qui</w:t>
      </w:r>
      <w:r>
        <w:t xml:space="preserve">, con rimando al Neurologico per la sensibilizzazione che ne consegue. Su di esso nessuna leva manuale è stata studiata nell’uomo. (I farmaci che mimano il quadro sono triage, e stanno al Passo 0.)</w:t>
      </w:r>
    </w:p>
    <w:p>
      <w:pPr>
        <w:pStyle w:val="BodyText"/>
      </w:pPr>
      <w:r>
        <w:rPr>
          <w:b/>
          <w:bCs/>
        </w:rPr>
        <w:t xml:space="preserve">I segnali che ti dicono che pesa in questo paziente.</w:t>
      </w:r>
      <w:r>
        <w:t xml:space="preserve"> </w:t>
      </w:r>
      <w:r>
        <w:t xml:space="preserve">Sedentarietà dichiarata. Dieta ristretta senza un test che la giustifichi. Lista di integratori che il paziente gestisce da solo. Data d’inizio precisa dopo una gastroenterite.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l’intervento dietetico cambi i sintomi (Cuffe 2025, PMID 40258374).</w:t>
      </w:r>
      <w:r>
        <w:t xml:space="preserve"> </w:t>
      </w:r>
      <w:r>
        <w:rPr>
          <w:b/>
          <w:bCs/>
        </w:rPr>
        <w:t xml:space="preserve">PROBABILE</w:t>
      </w:r>
      <w:r>
        <w:t xml:space="preserve"> </w:t>
      </w:r>
      <w:r>
        <w:rPr>
          <w:i/>
          <w:iCs/>
        </w:rPr>
        <w:t xml:space="preserve">(razionale forte, prove parziali)</w:t>
      </w:r>
      <w:r>
        <w:t xml:space="preserve"> </w:t>
      </w:r>
      <w:r>
        <w:t xml:space="preserve">che l’attività fisica li cambi. È un solo studio non in cieco (Johannesson 2011, PMID 21206488), e vedi il rovescio Cochrane in «Cosa può fare il paziente da solo».</w:t>
      </w:r>
      <w:r>
        <w:t xml:space="preserve"> </w:t>
      </w:r>
      <w:r>
        <w:rPr>
          <w:b/>
          <w:bCs/>
        </w:rPr>
        <w:t xml:space="preserve">Il perimetro è però quello del modello: si valuta, si nomina, si rinvia.</w:t>
      </w:r>
      <w:r>
        <w:t xml:space="preserve"> </w:t>
      </w:r>
      <w:r>
        <w:t xml:space="preserve">La dieta a basso contenuto di zuccheri fermentabili è un percorso condotto da un dietista, con una reintroduzione programmata, e non è atto osteopatico.</w:t>
      </w:r>
    </w:p>
    <w:bookmarkEnd w:id="36"/>
    <w:bookmarkStart w:id="37"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Ansia specifica per i sintomi intestinali, evitamento, aspettativa, relazione in stanza.</w:t>
      </w:r>
    </w:p>
    <w:p>
      <w:pPr>
        <w:pStyle w:val="BodyText"/>
      </w:pPr>
      <w:r>
        <w:rPr>
          <w:b/>
          <w:bCs/>
        </w:rPr>
        <w:t xml:space="preserve">Gli attori.</w:t>
      </w:r>
      <w:r>
        <w:t xml:space="preserve"> </w:t>
      </w:r>
      <w:r>
        <w:t xml:space="preserve">Sorveglianza del corpo, restrizione alimentare non giustificata, isolamento sociale, storia di risposte liquidatorie.</w:t>
      </w:r>
    </w:p>
    <w:p>
      <w:pPr>
        <w:pStyle w:val="BodyText"/>
      </w:pPr>
      <w:r>
        <w:rPr>
          <w:b/>
          <w:bCs/>
        </w:rPr>
        <w:t xml:space="preserve">I segnali che ti dicono che pesa in questo paziente.</w:t>
      </w:r>
      <w:r>
        <w:t xml:space="preserve"> </w:t>
      </w:r>
      <w:r>
        <w:t xml:space="preserve">Organizza la giornata attorno ai bagni, ha rinunciato a inviti e viaggi, controlla la pancia, non ne parla con nessuno.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le terapie psicologiche strutturate cambino i sintomi (Black 2020, PMID 32276950). Il salto è di</w:t>
      </w:r>
      <w:r>
        <w:t xml:space="preserve"> </w:t>
      </w:r>
      <w:r>
        <w:rPr>
          <w:b/>
          <w:bCs/>
        </w:rPr>
        <w:t xml:space="preserve">erogatore</w:t>
      </w:r>
      <w:r>
        <w:t xml:space="preserve">: negli studi il programma lo erogano psicologi formati.</w:t>
      </w:r>
      <w:r>
        <w:t xml:space="preserve"> </w:t>
      </w:r>
      <w:r>
        <w:rPr>
          <w:b/>
          <w:bCs/>
        </w:rPr>
        <w:t xml:space="preserve">DIMOSTRATO</w:t>
      </w:r>
      <w:r>
        <w:t xml:space="preserve"> </w:t>
      </w:r>
      <w:r>
        <w:rPr>
          <w:i/>
          <w:iCs/>
        </w:rPr>
        <w:t xml:space="preserve">(studi sull’uomo, solidi)</w:t>
      </w:r>
      <w:r>
        <w:t xml:space="preserve"> </w:t>
      </w:r>
      <w:r>
        <w:t xml:space="preserve">che il modo di stare in stanza pesi. Le fonti sono due (Kaptchuk 2008, PMID 18390493; e la risposta al placebo nei trial farmacologici, Barberio 2022, PMID 34425274 — i numeri in «Cosa dice la scienza»). Salto di</w:t>
      </w:r>
      <w:r>
        <w:t xml:space="preserve"> </w:t>
      </w:r>
      <w:r>
        <w:rPr>
          <w:b/>
          <w:bCs/>
        </w:rPr>
        <w:t xml:space="preserve">intervento</w:t>
      </w:r>
      <w:r>
        <w:t xml:space="preserve">: il primo dato è misurato su una finta agopuntura, non su un trattamento manuale.</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lockText"/>
      </w:pPr>
      <w:r>
        <w:rPr>
          <w:b/>
          <w:bCs/>
        </w:rPr>
        <w:t xml:space="preserve">Cosa cambia per te.</w:t>
      </w:r>
      <w:r>
        <w:t xml:space="preserve"> </w:t>
      </w:r>
      <w:r>
        <w:t xml:space="preserve">Più modelli positivi insieme sono la norma, non l’eccezione. Un modello senza leva</w:t>
      </w:r>
      <w:r>
        <w:t xml:space="preserve"> </w:t>
      </w:r>
      <w:r>
        <w:rPr>
          <w:b/>
          <w:bCs/>
        </w:rPr>
        <w:t xml:space="preserve">fissa l’aspettativa e non diventa il bersaglio</w:t>
      </w:r>
      <w:r>
        <w:t xml:space="preserve">. Conta nel bilancio, non nella lista della spesa. Fra quelli con una leva decide la regola di arbitrato, che sta in «Come ragiono davanti a questo paziente». Lì sta anche la riserva sui segnali palpatori elencati qui sopra, che orientano e non decidono.</w:t>
      </w:r>
    </w:p>
    <w:p>
      <w:pPr>
        <w:pStyle w:val="FirstParagraph"/>
      </w:pPr>
      <w:r>
        <w:rPr>
          <w:b/>
          <w:bCs/>
        </w:rPr>
        <w:t xml:space="preserve">Le tre cose da ricordare, più una</w:t>
      </w:r>
    </w:p>
    <w:p>
      <w:pPr>
        <w:pStyle w:val="Compact"/>
        <w:numPr>
          <w:ilvl w:val="0"/>
          <w:numId w:val="1023"/>
        </w:numPr>
      </w:pPr>
      <w:r>
        <w:t xml:space="preserve">I tre modelli che portano prove qui sono il Biomeccanico, il Neurologico e il Comportamentale, con forza molto diversa. L’ultimo riguarda anche come stai in stanza.</w:t>
      </w:r>
    </w:p>
    <w:p>
      <w:pPr>
        <w:pStyle w:val="Compact"/>
        <w:numPr>
          <w:ilvl w:val="0"/>
          <w:numId w:val="1023"/>
        </w:numPr>
      </w:pPr>
      <w:r>
        <w:t xml:space="preserve">Il legame coi pasti non separa nessuno perché ce l’hanno quasi tutti. Il segnale che separa è la sua</w:t>
      </w:r>
      <w:r>
        <w:t xml:space="preserve"> </w:t>
      </w:r>
      <w:r>
        <w:rPr>
          <w:b/>
          <w:bCs/>
        </w:rPr>
        <w:t xml:space="preserve">assenza</w:t>
      </w:r>
      <w:r>
        <w:t xml:space="preserve">.</w:t>
      </w:r>
    </w:p>
    <w:p>
      <w:pPr>
        <w:pStyle w:val="Compact"/>
        <w:numPr>
          <w:ilvl w:val="0"/>
          <w:numId w:val="1023"/>
        </w:numPr>
      </w:pPr>
      <w:r>
        <w:t xml:space="preserve">Il modello Metabolico-Energetico si valuta e si rinvia. Non si lavora con le mani.</w:t>
      </w:r>
    </w:p>
    <w:p>
      <w:pPr>
        <w:pStyle w:val="Compact"/>
        <w:numPr>
          <w:ilvl w:val="0"/>
          <w:numId w:val="1023"/>
        </w:numPr>
      </w:pPr>
      <w:r>
        <w:rPr>
          <w:b/>
          <w:bCs/>
        </w:rPr>
        <w:t xml:space="preserve">Perché ci sei tu.</w:t>
      </w:r>
      <w:r>
        <w:t xml:space="preserve"> </w:t>
      </w:r>
      <w:r>
        <w:t xml:space="preserve">Su 407 pazienti studiati con transito, palloncino rettale e scale psicologiche, il 18% non aveva</w:t>
      </w:r>
      <w:r>
        <w:t xml:space="preserve"> </w:t>
      </w:r>
      <w:r>
        <w:rPr>
          <w:b/>
          <w:bCs/>
        </w:rPr>
        <w:t xml:space="preserve">nessuna</w:t>
      </w:r>
      <w:r>
        <w:t xml:space="preserve"> </w:t>
      </w:r>
      <w:r>
        <w:t xml:space="preserve">delle alterazioni misurabili. Ma quelle tre misure non guardano né il contenitore né la parete, cioè le due cose che questa Bibbia esiste per farti guardare. Questo ti autorizza a essere il primo a cercare dove non ha cercato nessuno. Non ti autorizza a presumere che un piano da trattare ci sia sempre.</w:t>
      </w:r>
    </w:p>
    <w:p>
      <w:r>
        <w:pict>
          <v:rect style="width:0;height:1.5pt" o:hralign="center" o:hrstd="t" o:hr="t"/>
        </w:pict>
      </w:r>
    </w:p>
    <w:bookmarkEnd w:id="37"/>
    <w:bookmarkEnd w:id="38"/>
    <w:bookmarkStart w:id="45"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decidi in tre mosse — prima se il dolore è del contenitore o del contenuto, poi quale piano sta consumando più capacità di adattamento, poi quale fra i piani co-positivi ha una leva.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Quello che segue è il modo in cui si decide su cosa agire per primo, non un meccanismo dimostrato.</w:t>
      </w:r>
    </w:p>
    <w:bookmarkStart w:id="39" w:name="la-punta-e-il-sommerso"/>
    <w:p>
      <w:pPr>
        <w:pStyle w:val="Heading3"/>
      </w:pPr>
      <w:r>
        <w:t xml:space="preserve">La punta e il sommerso</w:t>
      </w:r>
    </w:p>
    <w:p>
      <w:pPr>
        <w:pStyle w:val="FirstParagraph"/>
      </w:pPr>
      <w:r>
        <w:t xml:space="preserve">Il paziente porta la punta: dolore, urgenza, gonfiore. Finché il sommerso resta, la punta ritorna a ogni occasione.</w:t>
      </w:r>
    </w:p>
    <w:p>
      <w:pPr>
        <w:pStyle w:val="BodyText"/>
      </w:pPr>
      <w:r>
        <w:rPr>
          <w:b/>
          <w:bCs/>
        </w:rPr>
        <w:t xml:space="preserve">Nel sommerso ci sono due cose diverse.</w:t>
      </w:r>
      <w:r>
        <w:t xml:space="preserve"> </w:t>
      </w:r>
      <w:r>
        <w:t xml:space="preserve">I</w:t>
      </w:r>
      <w:r>
        <w:t xml:space="preserve"> </w:t>
      </w:r>
      <w:r>
        <w:rPr>
          <w:b/>
          <w:bCs/>
        </w:rPr>
        <w:t xml:space="preserve">compensi</w:t>
      </w:r>
      <w:r>
        <w:t xml:space="preserve"> </w:t>
      </w:r>
      <w:r>
        <w:t xml:space="preserve">— torace che si allarga in avanti, respiro alto, ponzamento — costano e reggono finché possono, e non sono il bersaglio. Il</w:t>
      </w:r>
      <w:r>
        <w:t xml:space="preserve"> </w:t>
      </w:r>
      <w:r>
        <w:rPr>
          <w:b/>
          <w:bCs/>
        </w:rPr>
        <w:t xml:space="preserve">comando</w:t>
      </w:r>
      <w:r>
        <w:t xml:space="preserve"> </w:t>
      </w:r>
      <w:r>
        <w:t xml:space="preserve">che li rende necessari è lo stato in cui il sistema legge i segnali. Trattare un compenso lo restituisce uguale la settimana dopo, perché chi lo chiedeva non è cambiato.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FirstParagraph"/>
      </w:pPr>
      <w:r>
        <w:rPr>
          <w:b/>
          <w:bCs/>
        </w:rPr>
        <w:t xml:space="preserve">Due pazienti che dicono la stessa identica frase, un terzo che ne dice un’altra, e un quarto su cui niente di tutto questo si applica.</w:t>
      </w:r>
    </w:p>
    <w:p>
      <w:pPr>
        <w:pStyle w:val="BodyText"/>
      </w:pPr>
      <w:r>
        <w:rPr>
          <w:b/>
          <w:bCs/>
        </w:rPr>
        <w:t xml:space="preserve">Marco, 47 anni: «sono gonfio».</w:t>
      </w:r>
      <w:r>
        <w:t xml:space="preserve"> </w:t>
      </w:r>
      <w:r>
        <w:t xml:space="preserve">Piatto la mattina, dilatato la sera anche senza aver mangiato niente di diverso. Il metro conferma: dopo il pasto la circonferenza cresce. Coste basse che si allargano in espirazione.</w:t>
      </w:r>
      <w:r>
        <w:t xml:space="preserve"> </w:t>
      </w:r>
      <w:r>
        <w:rPr>
          <w:b/>
          <w:bCs/>
        </w:rPr>
        <w:t xml:space="preserve">Cosa fai:</w:t>
      </w:r>
      <w:r>
        <w:t xml:space="preserve"> </w:t>
      </w:r>
      <w:r>
        <w:t xml:space="preserve">lavori sul contenitore e misuri il delta di circonferenza fra digiuno e post-pasto. È la</w:t>
      </w:r>
      <w:r>
        <w:t xml:space="preserve"> </w:t>
      </w:r>
      <w:r>
        <w:rPr>
          <w:b/>
          <w:bCs/>
        </w:rPr>
        <w:t xml:space="preserve">misura d’effetto più facile del documento, non la verifica</w:t>
      </w:r>
      <w:r>
        <w:t xml:space="preserve">, perché appartiene al piano che hai trattato. La verifica arriva dopo, rivalutando i piani non toccati: soglia sul sito remoto e segnali di attivazione.</w:t>
      </w:r>
    </w:p>
    <w:p>
      <w:pPr>
        <w:pStyle w:val="BodyText"/>
      </w:pPr>
      <w:r>
        <w:rPr>
          <w:b/>
          <w:bCs/>
        </w:rPr>
        <w:t xml:space="preserve">Chiara, 34 anni: «sono gonfia».</w:t>
      </w:r>
      <w:r>
        <w:t xml:space="preserve"> </w:t>
      </w:r>
      <w:r>
        <w:t xml:space="preserve">Stessa frase, quadro opposto: il metro non conferma niente. Urgenza con due minuti di preavviso, una gastroenterite in viaggio due anni fa, peggioramento dopo un cambio di lavoro, respiro corto.</w:t>
      </w:r>
      <w:r>
        <w:t xml:space="preserve"> </w:t>
      </w:r>
      <w:r>
        <w:rPr>
          <w:b/>
          <w:bCs/>
        </w:rPr>
        <w:t xml:space="preserve">Due piani positivi insieme</w:t>
      </w:r>
      <w:r>
        <w:t xml:space="preserve"> </w:t>
      </w:r>
      <w:r>
        <w:t xml:space="preserve">— memoria dell’infezione e stato di attivazione.</w:t>
      </w:r>
      <w:r>
        <w:t xml:space="preserve"> </w:t>
      </w:r>
      <w:r>
        <w:rPr>
          <w:b/>
          <w:bCs/>
        </w:rPr>
        <w:t xml:space="preserve">Cosa fai:</w:t>
      </w:r>
      <w:r>
        <w:t xml:space="preserve"> </w:t>
      </w:r>
      <w:r>
        <w:t xml:space="preserve">il post-infettivo fissa il</w:t>
      </w:r>
      <w:r>
        <w:t xml:space="preserve"> </w:t>
      </w:r>
      <w:r>
        <w:rPr>
          <w:b/>
          <w:bCs/>
        </w:rPr>
        <w:t xml:space="preserve">tetto</w:t>
      </w:r>
      <w:r>
        <w:t xml:space="preserve"> </w:t>
      </w:r>
      <w:r>
        <w:t xml:space="preserve">dell’aspettativa e non diventa il bersaglio, perché lì non hai leva. Il bersaglio è l’attivazione. Verifichi fuori dal piano toccato, e le spieghi che la sorveglianza abbassa la soglia.</w:t>
      </w:r>
    </w:p>
    <w:p>
      <w:pPr>
        <w:pStyle w:val="BlockText"/>
      </w:pPr>
      <w:r>
        <w:rPr>
          <w:b/>
          <w:bCs/>
        </w:rPr>
        <w:t xml:space="preserve">Cosa cambia per te — la regola di arbitrato.</w:t>
      </w:r>
      <w:r>
        <w:t xml:space="preserve"> </w:t>
      </w:r>
      <w:r>
        <w:t xml:space="preserve">Un piano su cui non hai leva</w:t>
      </w:r>
      <w:r>
        <w:t xml:space="preserve"> </w:t>
      </w:r>
      <w:r>
        <w:rPr>
          <w:b/>
          <w:bCs/>
        </w:rPr>
        <w:t xml:space="preserve">non diventa mai il bersaglio</w:t>
      </w:r>
      <w:r>
        <w:t xml:space="preserve">: fissa l’aspettativa, e va detto prima del ciclo. Fra i piani con una leva, il bersaglio è quello</w:t>
      </w:r>
      <w:r>
        <w:t xml:space="preserve"> </w:t>
      </w:r>
      <w:r>
        <w:rPr>
          <w:b/>
          <w:bCs/>
        </w:rPr>
        <w:t xml:space="preserve">più a monte</w:t>
      </w:r>
      <w:r>
        <w:t xml:space="preserve">. Se i piani a valle non cedono, l’ipotesi si</w:t>
      </w:r>
      <w:r>
        <w:t xml:space="preserve"> </w:t>
      </w:r>
      <w:r>
        <w:rPr>
          <w:b/>
          <w:bCs/>
        </w:rPr>
        <w:t xml:space="preserve">indebolisce</w:t>
      </w:r>
      <w:r>
        <w:t xml:space="preserve"> </w:t>
      </w:r>
      <w:r>
        <w:t xml:space="preserve">e si riapre l’arbitrato, non la tecnica. Per smentirla serve un marker non trattato che si muova al contrario, oppure sei settimane con il reperto fermo.</w:t>
      </w:r>
    </w:p>
    <w:p>
      <w:pPr>
        <w:pStyle w:val="FirstParagraph"/>
      </w:pPr>
      <w:r>
        <w:rPr>
          <w:b/>
          <w:bCs/>
        </w:rPr>
        <w:t xml:space="preserve">Elena, 52 anni, dolore fisso.</w:t>
      </w:r>
      <w:r>
        <w:t xml:space="preserve"> </w:t>
      </w:r>
      <w:r>
        <w:t xml:space="preserve">Indica sempre lo stesso punto a destra dell’ombelico, e il dolore</w:t>
      </w:r>
      <w:r>
        <w:t xml:space="preserve"> </w:t>
      </w:r>
      <w:r>
        <w:rPr>
          <w:b/>
          <w:bCs/>
        </w:rPr>
        <w:t xml:space="preserve">aumenta</w:t>
      </w:r>
      <w:r>
        <w:t xml:space="preserve"> </w:t>
      </w:r>
      <w:r>
        <w:t xml:space="preserve">quando contrae l’addome. Due cicatrici da laparoscopia.</w:t>
      </w:r>
      <w:r>
        <w:t xml:space="preserve"> </w:t>
      </w:r>
      <w:r>
        <w:rPr>
          <w:b/>
          <w:bCs/>
        </w:rPr>
        <w:t xml:space="preserve">Cosa fai:</w:t>
      </w:r>
      <w:r>
        <w:t xml:space="preserve"> </w:t>
      </w:r>
      <w:r>
        <w:t xml:space="preserve">cambi bersaglio. Lavori su parete e cicatrici, scegli prima un marker remoto, e scrivi al curante che il test di parete è positivo. Se il quadro è conclamato esiste un percorso di infiltrazione, che non è tuo.</w:t>
      </w:r>
      <w:r>
        <w:t xml:space="preserve"> </w:t>
      </w:r>
      <w:r>
        <w:rPr>
          <w:b/>
          <w:bCs/>
        </w:rPr>
        <w:t xml:space="preserve">E non chiudi il caso quando la parete si spegne:</w:t>
      </w:r>
      <w:r>
        <w:t xml:space="preserve"> </w:t>
      </w:r>
      <w:r>
        <w:t xml:space="preserve">è uno strato, non un’alternativa alla sindrome.</w:t>
      </w:r>
    </w:p>
    <w:p>
      <w:pPr>
        <w:pStyle w:val="BodyText"/>
      </w:pPr>
      <w:r>
        <w:rPr>
          <w:b/>
          <w:bCs/>
        </w:rPr>
        <w:t xml:space="preserve">Giuseppe, 66 anni: «ce l’ho da sempre».</w:t>
      </w:r>
      <w:r>
        <w:t xml:space="preserve"> </w:t>
      </w:r>
      <w:r>
        <w:t xml:space="preserve">Etichetta da vent’anni, e da due mesi va di corpo più spesso e più molle.</w:t>
      </w:r>
      <w:r>
        <w:t xml:space="preserve"> </w:t>
      </w:r>
      <w:r>
        <w:rPr>
          <w:b/>
          <w:bCs/>
        </w:rPr>
        <w:t xml:space="preserve">Cosa fai:</w:t>
      </w:r>
      <w:r>
        <w:t xml:space="preserve"> </w:t>
      </w:r>
      <w:r>
        <w:t xml:space="preserve">niente gerarchia e niente marker. Dai 60 in su un alvo più molle o più frequente da oltre sei settimane è un criterio di invio: si scrive al curante e il ciclo non si apre. È il caso in cui il ragionamento di questo capitolo non si applica, ed è quello che ti fa sbagliare.</w:t>
      </w:r>
    </w:p>
    <w:bookmarkEnd w:id="39"/>
    <w:bookmarkStart w:id="40" w:name="perché-si-indaga-dallalto"/>
    <w:p>
      <w:pPr>
        <w:pStyle w:val="Heading3"/>
      </w:pPr>
      <w:r>
        <w:t xml:space="preserve">Perché si indaga dall’alto</w:t>
      </w:r>
    </w:p>
    <w:p>
      <w:pPr>
        <w:pStyle w:val="FirstParagraph"/>
      </w:pPr>
      <w:r>
        <w:t xml:space="preserve">In un sistema in allarme il guadagno locale</w:t>
      </w:r>
      <w:r>
        <w:t xml:space="preserve"> </w:t>
      </w:r>
      <w:r>
        <w:rPr>
          <w:b/>
          <w:bCs/>
        </w:rPr>
        <w:t xml:space="preserve">si ottiene lo stesso, ma non si mantiene</w:t>
      </w:r>
      <w:r>
        <w:t xml:space="preserve">: torna indietro finché lo stato resta alto. Per questo si guarda prima l’attivazione, poi il contenitore, poi la meccanica. L’allarme è a sua volta un bersaglio raggiungibile con le mani, con l’etichetta IPOTESI che gli dà «Perché le mani possono cambiare qualcosa».</w:t>
      </w:r>
    </w:p>
    <w:p>
      <w:pPr>
        <w:pStyle w:val="BodyText"/>
      </w:pPr>
      <w:r>
        <w:rPr>
          <w:b/>
          <w:bCs/>
        </w:rPr>
        <w:t xml:space="preserve">“Dall’alto”</w:t>
      </w:r>
      <w:r>
        <w:rPr>
          <w:b/>
          <w:bCs/>
        </w:rPr>
        <w:t xml:space="preserve"> </w:t>
      </w:r>
      <w:r>
        <w:rPr>
          <w:b/>
          <w:bCs/>
        </w:rPr>
        <w:t xml:space="preserve">è una gerarchia funzionale, non una coordinata anatomica.</w:t>
      </w:r>
      <w:r>
        <w:t xml:space="preserve"> </w:t>
      </w:r>
      <w:r>
        <w:t xml:space="preserve">Su questa condizione non ti manda al collo. Ti manda a guardare il livello di attivazione prima del diaframma, e il diaframma prima del sacro.</w:t>
      </w:r>
    </w:p>
    <w:p>
      <w:pPr>
        <w:pStyle w:val="BodyText"/>
      </w:pPr>
      <w:r>
        <w:rPr>
          <w:b/>
          <w:bCs/>
        </w:rPr>
        <w:t xml:space="preserve">E qui manca, di proposito, un pezzo del metodo.</w:t>
      </w:r>
      <w:r>
        <w:t xml:space="preserve"> </w:t>
      </w:r>
      <w:r>
        <w:t xml:space="preserve">Altrove il metodo distingue il punto che</w:t>
      </w:r>
      <w:r>
        <w:t xml:space="preserve"> </w:t>
      </w:r>
      <w:r>
        <w:rPr>
          <w:i/>
          <w:iCs/>
        </w:rPr>
        <w:t xml:space="preserve">coordina</w:t>
      </w:r>
      <w:r>
        <w:t xml:space="preserve"> </w:t>
      </w:r>
      <w:r>
        <w:t xml:space="preserve">il pattern dal punto che</w:t>
      </w:r>
      <w:r>
        <w:t xml:space="preserve"> </w:t>
      </w:r>
      <w:r>
        <w:rPr>
          <w:i/>
          <w:iCs/>
        </w:rPr>
        <w:t xml:space="preserve">fa male</w:t>
      </w:r>
      <w:r>
        <w:t xml:space="preserve">, e ti manda a trattare lontano dal sintomo.</w:t>
      </w:r>
      <w:r>
        <w:t xml:space="preserve"> </w:t>
      </w:r>
      <w:r>
        <w:rPr>
          <w:b/>
          <w:bCs/>
        </w:rPr>
        <w:t xml:space="preserve">Qui quella distinzione si toglie, non si attenua.</w:t>
      </w:r>
      <w:r>
        <w:t xml:space="preserve"> </w:t>
      </w:r>
      <w:r>
        <w:t xml:space="preserve">Vale la clausola nociplastica in apertura di «Cosa si rompe», e le due leve con le prove migliori — contenitore e parete — si applicano proprio dove il paziente sente.</w:t>
      </w:r>
    </w:p>
    <w:bookmarkEnd w:id="40"/>
    <w:bookmarkStart w:id="41" w:name="X5df2157217a6fa0101aa0abbd31d6d07d2da67f"/>
    <w:p>
      <w:pPr>
        <w:pStyle w:val="Heading3"/>
      </w:pPr>
      <w:r>
        <w:t xml:space="preserve">Il test che smista, prima di tutto il resto</w:t>
      </w:r>
    </w:p>
    <w:p>
      <w:pPr>
        <w:pStyle w:val="FirstParagraph"/>
      </w:pPr>
      <w:r>
        <w:t xml:space="preserve">Il</w:t>
      </w:r>
      <w:r>
        <w:t xml:space="preserve"> </w:t>
      </w:r>
      <w:r>
        <w:rPr>
          <w:b/>
          <w:bCs/>
        </w:rPr>
        <w:t xml:space="preserve">test di Carnett</w:t>
      </w:r>
      <w:r>
        <w:t xml:space="preserve"> </w:t>
      </w:r>
      <w:r>
        <w:t xml:space="preserve">costa trenta secondi: si ripalpa il punto più dolente mentre il paziente contrae la parete. L’esecuzione sta nella Procedura.</w:t>
      </w:r>
    </w:p>
    <w:p>
      <w:pPr>
        <w:pStyle w:val="Compact"/>
        <w:numPr>
          <w:ilvl w:val="0"/>
          <w:numId w:val="1024"/>
        </w:numPr>
      </w:pPr>
      <w:r>
        <w:t xml:space="preserve">Il dolore</w:t>
      </w:r>
      <w:r>
        <w:t xml:space="preserve"> </w:t>
      </w:r>
      <w:r>
        <w:rPr>
          <w:b/>
          <w:bCs/>
        </w:rPr>
        <w:t xml:space="preserve">diminuisce</w:t>
      </w:r>
      <w:r>
        <w:t xml:space="preserve"> </w:t>
      </w:r>
      <w:r>
        <w:t xml:space="preserve">→ rende più probabile un’origine intra-addominale: la parete contratta fa da schermo.</w:t>
      </w:r>
    </w:p>
    <w:p>
      <w:pPr>
        <w:pStyle w:val="Compact"/>
        <w:numPr>
          <w:ilvl w:val="0"/>
          <w:numId w:val="1024"/>
        </w:numPr>
      </w:pPr>
      <w:r>
        <w:t xml:space="preserve">Il dolore</w:t>
      </w:r>
      <w:r>
        <w:t xml:space="preserve"> </w:t>
      </w:r>
      <w:r>
        <w:rPr>
          <w:b/>
          <w:bCs/>
        </w:rPr>
        <w:t xml:space="preserve">resta uguale o aumenta</w:t>
      </w:r>
      <w:r>
        <w:t xml:space="preserve"> </w:t>
      </w:r>
      <w:r>
        <w:t xml:space="preserve">→ rende più probabile un’origine di parete.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Il test positivo sposta la probabilità con un rapporto di verosimiglianza di 2,62 per il dolore di parete e di 2,91 per il dolore psicogeno (Takada 2011, PMID 21297322). Tradotto:</w:t>
      </w:r>
      <w:r>
        <w:t xml:space="preserve"> </w:t>
      </w:r>
      <w:r>
        <w:rPr>
          <w:b/>
          <w:bCs/>
        </w:rPr>
        <w:t xml:space="preserve">separa la parete da una causa dentro l’addome, non la separa dall’attivazione</w:t>
      </w:r>
      <w:r>
        <w:t xml:space="preserve">, e 2,6 sposta la probabilità senza decidere.</w:t>
      </w:r>
    </w:p>
    <w:p>
      <w:pPr>
        <w:pStyle w:val="FirstParagraph"/>
      </w:pPr>
      <w:r>
        <w:t xml:space="preserve">Non è un marker di cambiamento: orienta il bersaglio e non chiude nessun caso. Esiste anche un questionario che separa il dolore di parete dalla sindrome. Arriva a 94% di sensibilità e 92% di specificità, con soglia 10 su 18 (van Assen 2012, PMID 23914291). Misura la distinzione fra due popolazioni, non l’esclusività dei due quadri nella stessa persona.</w:t>
      </w:r>
    </w:p>
    <w:bookmarkEnd w:id="41"/>
    <w:bookmarkStart w:id="42" w:name="la-prova-della-chiave-di-volta"/>
    <w:p>
      <w:pPr>
        <w:pStyle w:val="Heading3"/>
      </w:pPr>
      <w:r>
        <w:t xml:space="preserve">La prova della chiave di volta</w:t>
      </w:r>
    </w:p>
    <w:p>
      <w:pPr>
        <w:pStyle w:val="FirstParagraph"/>
      </w:pPr>
      <w:r>
        <w:t xml:space="preserve">Tratti in prova il piano che sospetti dominante e rivaluti gli altri. Se cedono anche loro, hai trovato la chiave.</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funziona a cinque condizioni.</w:t>
      </w:r>
    </w:p>
    <w:p>
      <w:pPr>
        <w:pStyle w:val="Compact"/>
        <w:numPr>
          <w:ilvl w:val="0"/>
          <w:numId w:val="1025"/>
        </w:numPr>
      </w:pPr>
      <w:r>
        <w:t xml:space="preserve">Si misura in meno di un minuto, con lo stesso metodo prima e dopo.</w:t>
      </w:r>
    </w:p>
    <w:p>
      <w:pPr>
        <w:pStyle w:val="Compact"/>
        <w:numPr>
          <w:ilvl w:val="0"/>
          <w:numId w:val="1025"/>
        </w:numPr>
      </w:pPr>
      <w:r>
        <w:t xml:space="preserve">Si sceglie</w:t>
      </w:r>
      <w:r>
        <w:t xml:space="preserve"> </w:t>
      </w:r>
      <w:r>
        <w:rPr>
          <w:b/>
          <w:bCs/>
        </w:rPr>
        <w:t xml:space="preserve">prima</w:t>
      </w:r>
      <w:r>
        <w:t xml:space="preserve"> </w:t>
      </w:r>
      <w:r>
        <w:t xml:space="preserve">di trattare, e non si cambia dopo.</w:t>
      </w:r>
    </w:p>
    <w:p>
      <w:pPr>
        <w:pStyle w:val="Compact"/>
        <w:numPr>
          <w:ilvl w:val="0"/>
          <w:numId w:val="1025"/>
        </w:numPr>
      </w:pPr>
      <w:r>
        <w:rPr>
          <w:b/>
          <w:bCs/>
        </w:rPr>
        <w:t xml:space="preserve">Appartiene a un piano che non hai trattato.</w:t>
      </w:r>
    </w:p>
    <w:p>
      <w:pPr>
        <w:pStyle w:val="Compact"/>
        <w:numPr>
          <w:ilvl w:val="0"/>
          <w:numId w:val="1025"/>
        </w:numPr>
      </w:pPr>
      <w:r>
        <w:t xml:space="preserve">Ha una soglia dichiarata.</w:t>
      </w:r>
    </w:p>
    <w:p>
      <w:pPr>
        <w:pStyle w:val="Compact"/>
        <w:numPr>
          <w:ilvl w:val="0"/>
          <w:numId w:val="1025"/>
        </w:numPr>
      </w:pPr>
      <w:r>
        <w:t xml:space="preserve">Nelle pazienti in età fertile,</w:t>
      </w:r>
      <w:r>
        <w:t xml:space="preserve"> </w:t>
      </w:r>
      <w:r>
        <w:rPr>
          <w:b/>
          <w:bCs/>
        </w:rPr>
        <w:t xml:space="preserve">si annota la fase del ciclo al basale e si rimisura nella stessa fase</w:t>
      </w:r>
      <w:r>
        <w:t xml:space="preserve">. Altrimenti una revisione a sei settimane legge il calendario ormonale e lo chiama effetto del trattamento.</w:t>
      </w:r>
    </w:p>
    <w:p>
      <w:pPr>
        <w:pStyle w:val="FirstParagraph"/>
      </w:pPr>
      <w:r>
        <w:t xml:space="preserve">Le due cose non sono la stessa. Se cala la circonferenza, hai misurato il tuo gesto. Se sale la soglia sul sito remoto, hai misurato il sistema. Chiamare la prima una conferma sistemica è l’errore più comune di tutti. È la differenza fra aver abbassato il fuoco e la pentola che ha smesso di bollire.</w:t>
      </w:r>
    </w:p>
    <w:p>
      <w:pPr>
        <w:pStyle w:val="BodyText"/>
      </w:pPr>
      <w:r>
        <w:rPr>
          <w:b/>
          <w:bCs/>
        </w:rPr>
        <w:t xml:space="preserve">1. Delta di circonferenza fra digiuno e dopo il pasto — misura d’effetto, si rivaluta a settimane.</w:t>
      </w:r>
      <w:r>
        <w:t xml:space="preserve"> </w:t>
      </w:r>
      <w:r>
        <w:t xml:space="preserve">Una misura a digiuno, una quando il paziente dichiara che la pancia c’è.</w:t>
      </w:r>
      <w:r>
        <w:t xml:space="preserve"> </w:t>
      </w:r>
      <w:r>
        <w:rPr>
          <w:b/>
          <w:bCs/>
        </w:rPr>
        <w:t xml:space="preserve">Deve muoversi il delta, non la circonferenza a riposo.</w:t>
      </w:r>
      <w:r>
        <w:t xml:space="preserve"> </w:t>
      </w:r>
      <w:r>
        <w:t xml:space="preserve">Soglia</w:t>
      </w:r>
      <w:r>
        <w:t xml:space="preserve"> </w:t>
      </w:r>
      <w:r>
        <w:rPr>
          <w:b/>
          <w:bCs/>
        </w:rPr>
        <w:t xml:space="preserve">25 mm</w:t>
      </w:r>
      <w:r>
        <w:t xml:space="preserve"> </w:t>
      </w:r>
      <w:r>
        <w:t xml:space="preserve">sul delta. È la riduzione media prodotta dal riaddestramento negli studi di Barba (25 ± 3 mm, PMID 25500424), misurata durante un episodio provocato con un pasto di prova. Non è un cambiamento minimo rilevabile pubblicato per l’uso in stanza. Il riflesso si esprime</w:t>
      </w:r>
      <w:r>
        <w:t xml:space="preserve"> </w:t>
      </w:r>
      <w:r>
        <w:rPr>
          <w:b/>
          <w:bCs/>
        </w:rPr>
        <w:t xml:space="preserve">dopo il pasto</w:t>
      </w:r>
      <w:r>
        <w:t xml:space="preserve">, e a digiuno il contenitore lavora normalmente anche in chi ha il guasto. Se la circonferenza a riposo si muove di 25 mm in una seduta, la spiegazione più probabile è l’errore di misura. Negli studi la correzione del contenitore è arrivata da tre sessioni più esercizi a casa: fine seduta è troppo presto per rimisurarla.</w:t>
      </w:r>
    </w:p>
    <w:p>
      <w:pPr>
        <w:pStyle w:val="BodyText"/>
      </w:pPr>
      <w:r>
        <w:rPr>
          <w:b/>
          <w:bCs/>
        </w:rPr>
        <w:t xml:space="preserve">2. Escursione delle coste basse — effetto immediato.</w:t>
      </w:r>
      <w:r>
        <w:t xml:space="preserve"> </w:t>
      </w:r>
      <w:r>
        <w:t xml:space="preserve">Differenza di circonferenza alla decima costa fra fine inspirazione e fine espirazione.</w:t>
      </w:r>
      <w:r>
        <w:t xml:space="preserve"> </w:t>
      </w:r>
      <w:r>
        <w:rPr>
          <w:b/>
          <w:bCs/>
        </w:rPr>
        <w:t xml:space="preserve">Soglia: 1 cm</w:t>
      </w:r>
      <w:r>
        <w:t xml:space="preserve">, ed è l’errore tipico del metro a nastro raddoppiato. Non esiste un valore normale pubblicato: serve a confrontare il paziente</w:t>
      </w:r>
      <w:r>
        <w:t xml:space="preserve"> </w:t>
      </w:r>
      <w:r>
        <w:rPr>
          <w:b/>
          <w:bCs/>
        </w:rPr>
        <w:t xml:space="preserve">con sé stesso</w:t>
      </w:r>
      <w:r>
        <w:t xml:space="preserve">, non a dire se è alterato.</w:t>
      </w:r>
    </w:p>
    <w:p>
      <w:pPr>
        <w:pStyle w:val="BodyText"/>
      </w:pPr>
      <w:r>
        <w:rPr>
          <w:b/>
          <w:bCs/>
        </w:rPr>
        <w:t xml:space="preserve">3. Soglia dolorosa alla pressione su un sito remoto — la prova della chiave di volta.</w:t>
      </w:r>
      <w:r>
        <w:t xml:space="preserve"> </w:t>
      </w:r>
      <w:r>
        <w:t xml:space="preserve">Con un algometro, su un sito lontano dall’addome.</w:t>
      </w:r>
      <w:r>
        <w:t xml:space="preserve"> </w:t>
      </w:r>
      <w:r>
        <w:rPr>
          <w:b/>
          <w:bCs/>
        </w:rPr>
        <w:t xml:space="preserve">Soglia: +20%</w:t>
      </w:r>
      <w:r>
        <w:t xml:space="preserve">, ed è l’errore tipico dell’algometria raddoppiato, non un valore pubblicato per questa condizione. Appartiene a un piano che non hai toccato: se sale, hai spostato lo stato in cui il sistema legge i segnali.</w:t>
      </w:r>
      <w:r>
        <w:t xml:space="preserve"> </w:t>
      </w:r>
      <w:r>
        <w:rPr>
          <w:b/>
          <w:bCs/>
        </w:rPr>
        <w:t xml:space="preserve">Misurata prima di trattare</w:t>
      </w:r>
      <w:r>
        <w:t xml:space="preserve"> </w:t>
      </w:r>
      <w:r>
        <w:t xml:space="preserve">è anche un indizio d’ingresso. Una soglia bassa lontano dall’addome suggerisce che la via alterata è quella generale, in una parte di questi pazienti e non in tutti.</w:t>
      </w:r>
      <w:r>
        <w:t xml:space="preserve"> </w:t>
      </w:r>
      <w:r>
        <w:rPr>
          <w:b/>
          <w:bCs/>
        </w:rPr>
        <w:t xml:space="preserve">Quando un algometro non c’è</w:t>
      </w:r>
      <w:r>
        <w:t xml:space="preserve">, la misura sostitutiva sullo stesso piano è il</w:t>
      </w:r>
      <w:r>
        <w:t xml:space="preserve"> </w:t>
      </w:r>
      <w:r>
        <w:rPr>
          <w:b/>
          <w:bCs/>
        </w:rPr>
        <w:t xml:space="preserve">margine di preavviso dell’urgenza</w:t>
      </w:r>
      <w:r>
        <w:t xml:space="preserve">. Si contano i minuti fra primo segnale e necessità di andare, sull’episodio più recente, con la stessa domanda ogni volta. Ci si aspetta che si allunghi, ed è il corrispettivo clinico delle soglie rettali che si sono mosse in Attali.</w:t>
      </w:r>
    </w:p>
    <w:p>
      <w:pPr>
        <w:pStyle w:val="BlockText"/>
      </w:pPr>
      <w:r>
        <w:rPr>
          <w:b/>
          <w:bCs/>
        </w:rPr>
        <w:t xml:space="preserve">Attenzione — il marker remoto fermo è l’esito più frequente, non l’eccezione.</w:t>
      </w:r>
      <w:r>
        <w:t xml:space="preserve"> </w:t>
      </w:r>
      <w:r>
        <w:t xml:space="preserve">Sull’effetto ipoalgesico immediato della terapia manuale sulla soglia dolorosa alla pressione, la revisione più recente conclude che le prove non bastano. Su 22 studi randomizzati non trova</w:t>
      </w:r>
      <w:r>
        <w:t xml:space="preserve"> </w:t>
      </w:r>
      <w:r>
        <w:rPr>
          <w:b/>
          <w:bCs/>
        </w:rPr>
        <w:t xml:space="preserve">nessun effetto immediato significativo</w:t>
      </w:r>
      <w:r>
        <w:t xml:space="preserve"> </w:t>
      </w:r>
      <w:r>
        <w:t xml:space="preserve">nei pazienti con dolore cronico. Vale per la soglia locale, per quella remota segmentaria e per quella remota non segmentaria, con certezza bassa. Nei soggetti senza dolore trova un effetto piccolo sulla soglia remota non segmentaria (0,26, intervallo da 0,01 a 0,51).</w:t>
      </w:r>
      <w:r>
        <w:t xml:space="preserve"> </w:t>
      </w:r>
      <w:r>
        <w:rPr>
          <w:b/>
          <w:bCs/>
        </w:rPr>
        <w:t xml:space="preserve">Gli autori stessi non lo considerano di dimensione rilevante</w:t>
      </w:r>
      <w:r>
        <w:t xml:space="preserve"> </w:t>
      </w:r>
      <w:r>
        <w:t xml:space="preserve">(Jung,</w:t>
      </w:r>
      <w:r>
        <w:t xml:space="preserve"> </w:t>
      </w:r>
      <w:r>
        <w:rPr>
          <w:i/>
          <w:iCs/>
        </w:rPr>
        <w:t xml:space="preserve">Phys Ther</w:t>
      </w:r>
      <w:r>
        <w:t xml:space="preserve"> </w:t>
      </w:r>
      <w:r>
        <w:t xml:space="preserve">2023 — PMID 37172128).</w:t>
      </w:r>
      <w:r>
        <w:t xml:space="preserve"> </w:t>
      </w:r>
      <w:r>
        <w:rPr>
          <w:i/>
          <w:iCs/>
        </w:rPr>
        <w:t xml:space="preserve">Misurato su dolore muscolo-scheletrico cronico e su soggetti senza dolore, con manipolazione e mobilizzazione spinale, non su questi pazienti e non su un lavoro addominale: i salti sono di popolazione, di distretto e di tecnica.</w:t>
      </w:r>
      <w:r>
        <w:t xml:space="preserve"> </w:t>
      </w:r>
      <w:r>
        <w:t xml:space="preserve">E chiude il cerchio:</w:t>
      </w:r>
      <w:r>
        <w:t xml:space="preserve"> </w:t>
      </w:r>
      <w:r>
        <w:rPr>
          <w:b/>
          <w:bCs/>
        </w:rPr>
        <w:t xml:space="preserve">il marker 3 è una soglia remota non segmentaria, cioè precisamente quella che questa revisione non ha visto muoversi.</w:t>
      </w:r>
      <w:r>
        <w:t xml:space="preserve"> </w:t>
      </w:r>
      <w:r>
        <w:t xml:space="preserve">C’è poi una seconda ragione. La sensibilizzazione centrale si trova nel 57% dei pazienti. Ma la sua associazione con la gravità dei sintomi è</w:t>
      </w:r>
      <w:r>
        <w:t xml:space="preserve"> </w:t>
      </w:r>
      <w:r>
        <w:rPr>
          <w:b/>
          <w:bCs/>
        </w:rPr>
        <w:t xml:space="preserve">più debole</w:t>
      </w:r>
      <w:r>
        <w:t xml:space="preserve"> </w:t>
      </w:r>
      <w:r>
        <w:t xml:space="preserve">che nei dolori cronici e nelle malattie infiammatorie intestinali (Midenfjord 2021, PMID 33860970). Quando il marker resta fermo e il paziente sta meglio, in cartella si scrivono tre cose. Che l’ipotesi sistemica</w:t>
      </w:r>
      <w:r>
        <w:t xml:space="preserve"> </w:t>
      </w:r>
      <w:r>
        <w:rPr>
          <w:b/>
          <w:bCs/>
        </w:rPr>
        <w:t xml:space="preserve">non è confermata</w:t>
      </w:r>
      <w:r>
        <w:t xml:space="preserve">. Quale misura d’effetto si è mossa. E quale piano rivaluterai. Un marker fermo non smentisce e non conferma: toglie una spiegazione dal tavolo.</w:t>
      </w:r>
    </w:p>
    <w:bookmarkEnd w:id="42"/>
    <w:bookmarkStart w:id="43" w:name="la-road-map"/>
    <w:p>
      <w:pPr>
        <w:pStyle w:val="Heading3"/>
      </w:pPr>
      <w:r>
        <w:t xml:space="preserve">La Road Map</w:t>
      </w:r>
    </w:p>
    <w:p>
      <w:pPr>
        <w:pStyle w:val="FirstParagraph"/>
      </w:pPr>
      <w:r>
        <w:rPr>
          <w:b/>
          <w:bCs/>
        </w:rPr>
        <w:t xml:space="preserve">Passo 0 — I mimi.</w:t>
      </w:r>
      <w:r>
        <w:t xml:space="preserve"> </w:t>
      </w:r>
      <w:r>
        <w:t xml:space="preserve">Prima del ragionamento clinico, cerca ciò che riproduce il quadro dall’esterno: lassativi osmotici in eccesso, magnesio, metformina, un ciclo di antibiotici recente, sostituti dello zucchero. E poi le due classi che i tuoi pazienti prendono più di chiunque altro, perché arrivano da te per il dolore muscolo-scheletrico. I</w:t>
      </w:r>
      <w:r>
        <w:t xml:space="preserve"> </w:t>
      </w:r>
      <w:r>
        <w:rPr>
          <w:b/>
          <w:bCs/>
        </w:rPr>
        <w:t xml:space="preserve">FANS</w:t>
      </w:r>
      <w:r>
        <w:t xml:space="preserve">: la loro enteropatia dà dolore addominale, diarrea e anemia da carenza di ferro. E gli</w:t>
      </w:r>
      <w:r>
        <w:t xml:space="preserve"> </w:t>
      </w:r>
      <w:r>
        <w:rPr>
          <w:b/>
          <w:bCs/>
        </w:rPr>
        <w:t xml:space="preserve">oppioidi</w:t>
      </w:r>
      <w:r>
        <w:t xml:space="preserve">, che danno stitichezza — e la stitichezza con fecaloma si presenta</w:t>
      </w:r>
      <w:r>
        <w:t xml:space="preserve"> </w:t>
      </w:r>
      <w:r>
        <w:rPr>
          <w:b/>
          <w:bCs/>
        </w:rPr>
        <w:t xml:space="preserve">come diarrea</w:t>
      </w:r>
      <w:r>
        <w:t xml:space="preserve"> </w:t>
      </w:r>
      <w:r>
        <w:t xml:space="preserve">da sovrariempimento, viene trattata come diarrea, e peggiora. Da cui la regola:</w:t>
      </w:r>
      <w:r>
        <w:t xml:space="preserve"> </w:t>
      </w:r>
      <w:r>
        <w:rPr>
          <w:b/>
          <w:bCs/>
        </w:rPr>
        <w:t xml:space="preserve">una diarrea nuova nell’anziano o in chi prende oppioidi va inquadrata prima di essere chiamata diarrea</w:t>
      </w:r>
      <w:r>
        <w:t xml:space="preserve">, e quell’accertamento non è nostro. Tutto il Passo 0 si segnala al prescrittore per iscritto, non si commenta e non si tocca. Non è un passo di ragionamento: è un filtro.</w:t>
      </w:r>
    </w:p>
    <w:p>
      <w:pPr>
        <w:pStyle w:val="Compact"/>
        <w:numPr>
          <w:ilvl w:val="0"/>
          <w:numId w:val="1026"/>
        </w:numPr>
      </w:pPr>
      <w:r>
        <w:rPr>
          <w:b/>
          <w:bCs/>
        </w:rPr>
        <w:t xml:space="preserve">Bandiere rosse.</w:t>
      </w:r>
      <w:r>
        <w:t xml:space="preserve"> </w:t>
      </w:r>
      <w:r>
        <w:t xml:space="preserve">Anche una sola ferma tutto. Vedi «Dove finisce il nostro campo». Dopo i 50 anni, una domanda in più:</w:t>
      </w:r>
      <w:r>
        <w:t xml:space="preserve"> </w:t>
      </w:r>
      <w:r>
        <w:rPr>
          <w:i/>
          <w:iCs/>
        </w:rPr>
        <w:t xml:space="preserve">«hai fatto il test delle feci che ti manda la ASL?»</w:t>
      </w:r>
      <w:r>
        <w:t xml:space="preserve">.</w:t>
      </w:r>
    </w:p>
    <w:p>
      <w:pPr>
        <w:pStyle w:val="Compact"/>
        <w:numPr>
          <w:ilvl w:val="0"/>
          <w:numId w:val="1026"/>
        </w:numPr>
      </w:pPr>
      <w:r>
        <w:rPr>
          <w:b/>
          <w:bCs/>
        </w:rPr>
        <w:t xml:space="preserve">C’è una data d’inizio precisa?</w:t>
      </w:r>
      <w:r>
        <w:t xml:space="preserve"> </w:t>
      </w:r>
      <w:r>
        <w:t xml:space="preserve">Una gastroenterite, un viaggio, un ricovero. Questo passo</w:t>
      </w:r>
      <w:r>
        <w:t xml:space="preserve"> </w:t>
      </w:r>
      <w:r>
        <w:rPr>
          <w:b/>
          <w:bCs/>
        </w:rPr>
        <w:t xml:space="preserve">non decide il bersaglio: calibra l’aspettativa</w:t>
      </w:r>
      <w:r>
        <w:t xml:space="preserve">, perché sul piano post-infettivo non hai leva. Va chiesto presto proprio per questo. Qui stanno anche le quattro domande che separano il sottotipo che si manda — colecistectomia, resezione ileale o Crohn ileale, emicolectomia destra, radioterapia pelvica: vedi «Non è una condizione sola».</w:t>
      </w:r>
    </w:p>
    <w:p>
      <w:pPr>
        <w:pStyle w:val="Compact"/>
        <w:numPr>
          <w:ilvl w:val="0"/>
          <w:numId w:val="1026"/>
        </w:numPr>
      </w:pPr>
      <w:r>
        <w:rPr>
          <w:b/>
          <w:bCs/>
        </w:rPr>
        <w:t xml:space="preserve">Il dolore è del contenitore o del contenuto?</w:t>
      </w:r>
      <w:r>
        <w:t xml:space="preserve"> </w:t>
      </w:r>
      <w:r>
        <w:t xml:space="preserve">Test di Carnett. Orienta dove metti le mani, e viene prima delle domande sulla gerarchia perché cambia il bersaglio, non l’ordine.</w:t>
      </w:r>
    </w:p>
    <w:p>
      <w:pPr>
        <w:pStyle w:val="Compact"/>
        <w:numPr>
          <w:ilvl w:val="0"/>
          <w:numId w:val="1026"/>
        </w:numPr>
      </w:pPr>
      <w:r>
        <w:rPr>
          <w:b/>
          <w:bCs/>
        </w:rPr>
        <w:t xml:space="preserve">Qual è il livello di attivazione?</w:t>
      </w:r>
      <w:r>
        <w:t xml:space="preserve"> </w:t>
      </w:r>
      <w:r>
        <w:t xml:space="preserve">Frequenza respiratoria rispetto al basale, qualità del tessuto, evento di vita, miglioramento in vacanza.</w:t>
      </w:r>
    </w:p>
    <w:p>
      <w:pPr>
        <w:pStyle w:val="Compact"/>
        <w:numPr>
          <w:ilvl w:val="0"/>
          <w:numId w:val="1026"/>
        </w:numPr>
      </w:pPr>
      <w:r>
        <w:rPr>
          <w:b/>
          <w:bCs/>
        </w:rPr>
        <w:t xml:space="preserve">Il contenitore lavora al contrario?</w:t>
      </w:r>
      <w:r>
        <w:t xml:space="preserve"> </w:t>
      </w:r>
      <w:r>
        <w:t xml:space="preserve">Domanda del mattino, escursione delle coste basse, delta di circonferenza dopo il pasto.</w:t>
      </w:r>
    </w:p>
    <w:p>
      <w:pPr>
        <w:pStyle w:val="Compact"/>
        <w:numPr>
          <w:ilvl w:val="0"/>
          <w:numId w:val="1026"/>
        </w:numPr>
      </w:pPr>
      <w:r>
        <w:rPr>
          <w:b/>
          <w:bCs/>
        </w:rPr>
        <w:t xml:space="preserve">C’è un piano meccanico che limita, sopra o sotto?</w:t>
      </w:r>
      <w:r>
        <w:t xml:space="preserve"> </w:t>
      </w:r>
      <w:r>
        <w:t xml:space="preserve">Giunzione dorso-lombare, sacro, cicatrici che non scorrono; e il pavimento pelvico, con le domande sul ponzamento.</w:t>
      </w:r>
    </w:p>
    <w:p>
      <w:pPr>
        <w:pStyle w:val="Compact"/>
        <w:numPr>
          <w:ilvl w:val="0"/>
          <w:numId w:val="1026"/>
        </w:numPr>
      </w:pPr>
      <w:r>
        <w:rPr>
          <w:b/>
          <w:bCs/>
        </w:rPr>
        <w:t xml:space="preserve">Cosa resta metabolico, e cosa resta comportamentale?</w:t>
      </w:r>
      <w:r>
        <w:t xml:space="preserve"> </w:t>
      </w:r>
      <w:r>
        <w:t xml:space="preserve">Attività fisica, dieta ristretta senza test, sonno: si valuta, si nomina, si rinvia. Sorveglianza ed evitamento no: lì il bersaglio è tuo — nominare l’evitamento, spiegare il meccanismo, restituire una misura — e si rinvia il solo programma strutturato. Vedi «Perché le mani possono cambiare qualcosa», meccanismo 5.</w:t>
      </w:r>
    </w:p>
    <w:p>
      <w:pPr>
        <w:pStyle w:val="FirstParagraph"/>
      </w:pPr>
      <w:r>
        <w:t xml:space="preserve">L’ordine dei passi 4-6 è una gerarchia funzionale. I passi 2 e 3 stanno prima per criteri dichiarati: il primo fissa l’aspettativa, il secondo il bersaglio. Con più piani positivi insieme vale la regola di arbitrato scritta sopra.</w:t>
      </w:r>
    </w:p>
    <w:p>
      <w:pPr>
        <w:pStyle w:val="BodyText"/>
      </w:pPr>
      <w:r>
        <w:rPr>
          <w:b/>
          <w:bCs/>
        </w:rPr>
        <w:t xml:space="preserve">Nota sui criteri palpatori.</w:t>
      </w:r>
      <w:r>
        <w:t xml:space="preserve"> </w:t>
      </w:r>
      <w:r>
        <w:t xml:space="preserve">«Qualità del tessuto» e «tessuti che rimbalzano»</w:t>
      </w:r>
      <w:r>
        <w:t xml:space="preserve"> </w:t>
      </w:r>
      <w:r>
        <w:rPr>
          <w:b/>
          <w:bCs/>
        </w:rPr>
        <w:t xml:space="preserve">non hanno dati di affidabilità fra operatori</w:t>
      </w:r>
      <w:r>
        <w:t xml:space="preserve">. La sola revisione sistematica che ha valutato le tecniche diagnostiche dell’osteopatia viscerale conclude che non sono affidabili (Guillaud 2018, PMID 29452579). Orientano, non decidono. Chi decide è il marker.</w:t>
      </w:r>
    </w:p>
    <w:bookmarkEnd w:id="43"/>
    <w:bookmarkStart w:id="44" w:name="i-tre-stati-del-paziente"/>
    <w:p>
      <w:pPr>
        <w:pStyle w:val="Heading3"/>
      </w:pPr>
      <w:r>
        <w:t xml:space="preserve">I tre stati del paziente</w:t>
      </w:r>
    </w:p>
    <w:p>
      <w:pPr>
        <w:pStyle w:val="Compact"/>
        <w:numPr>
          <w:ilvl w:val="0"/>
          <w:numId w:val="1027"/>
        </w:numPr>
      </w:pPr>
      <w:r>
        <w:rPr>
          <w:b/>
          <w:bCs/>
        </w:rPr>
        <w:t xml:space="preserve">In difesa</w:t>
      </w:r>
      <w:r>
        <w:t xml:space="preserve"> </w:t>
      </w:r>
      <w:r>
        <w:t xml:space="preserve">— addome che si contrae appena appoggi le mani: tocco lento, annuncia ogni contatto.</w:t>
      </w:r>
      <w:r>
        <w:t xml:space="preserve"> </w:t>
      </w:r>
      <w:r>
        <w:rPr>
          <w:b/>
          <w:bCs/>
        </w:rPr>
        <w:t xml:space="preserve">Qui l’addome è una zona esposta, e lui lo sa.</w:t>
      </w:r>
    </w:p>
    <w:p>
      <w:pPr>
        <w:pStyle w:val="Compact"/>
        <w:numPr>
          <w:ilvl w:val="0"/>
          <w:numId w:val="1027"/>
        </w:numPr>
      </w:pPr>
      <w:r>
        <w:rPr>
          <w:b/>
          <w:bCs/>
        </w:rPr>
        <w:t xml:space="preserve">Emotivo</w:t>
      </w:r>
      <w:r>
        <w:t xml:space="preserve"> </w:t>
      </w:r>
      <w:r>
        <w:t xml:space="preserve">— si commuove sulle rinunce: ha bisogno di essere capito.</w:t>
      </w:r>
    </w:p>
    <w:p>
      <w:pPr>
        <w:pStyle w:val="Compact"/>
        <w:numPr>
          <w:ilvl w:val="0"/>
          <w:numId w:val="1027"/>
        </w:numPr>
      </w:pPr>
      <w:r>
        <w:rPr>
          <w:b/>
          <w:bCs/>
        </w:rPr>
        <w:t xml:space="preserve">Razionale</w:t>
      </w:r>
      <w:r>
        <w:t xml:space="preserve"> </w:t>
      </w:r>
      <w:r>
        <w:t xml:space="preserve">— porta i referti: mostragli le misure prima e dopo.</w:t>
      </w:r>
    </w:p>
    <w:p>
      <w:pPr>
        <w:pStyle w:val="FirstParagraph"/>
      </w:pPr>
      <w:r>
        <w:t xml:space="preserve">Lo stato dice</w:t>
      </w:r>
      <w:r>
        <w:t xml:space="preserve"> </w:t>
      </w:r>
      <w:r>
        <w:rPr>
          <w:b/>
          <w:bCs/>
        </w:rPr>
        <w:t xml:space="preserve">come parlargli</w:t>
      </w:r>
      <w:r>
        <w:t xml:space="preserve">, non chi comanda.</w:t>
      </w:r>
    </w:p>
    <w:p>
      <w:pPr>
        <w:pStyle w:val="BodyText"/>
      </w:pPr>
      <w:r>
        <w:rPr>
          <w:b/>
          <w:bCs/>
        </w:rPr>
        <w:t xml:space="preserve">Le tre cose da ricordare, più una</w:t>
      </w:r>
    </w:p>
    <w:p>
      <w:pPr>
        <w:pStyle w:val="Compact"/>
        <w:numPr>
          <w:ilvl w:val="0"/>
          <w:numId w:val="1028"/>
        </w:numPr>
      </w:pPr>
      <w:r>
        <w:t xml:space="preserve">Prima il test che smista, poi la gerarchia: Carnett costa trenta secondi e orienta il bersaglio.</w:t>
      </w:r>
    </w:p>
    <w:p>
      <w:pPr>
        <w:pStyle w:val="Compact"/>
        <w:numPr>
          <w:ilvl w:val="0"/>
          <w:numId w:val="1028"/>
        </w:numPr>
      </w:pPr>
      <w:r>
        <w:t xml:space="preserve">Due misure raccontano il tuo gesto, due raccontano il sistema. Non scambiarle, e aspettati che quelle del sistema restino ferme più spesso di quanto ti piacerebbe.</w:t>
      </w:r>
    </w:p>
    <w:p>
      <w:pPr>
        <w:pStyle w:val="Compact"/>
        <w:numPr>
          <w:ilvl w:val="0"/>
          <w:numId w:val="1028"/>
        </w:numPr>
      </w:pPr>
      <w:r>
        <w:t xml:space="preserve">Il paziente il cui sintomo è agganciato allo stato di attivazione è quello in cui hai</w:t>
      </w:r>
      <w:r>
        <w:t xml:space="preserve"> </w:t>
      </w:r>
      <w:r>
        <w:rPr>
          <w:b/>
          <w:bCs/>
        </w:rPr>
        <w:t xml:space="preserve">più</w:t>
      </w:r>
      <w:r>
        <w:t xml:space="preserve"> </w:t>
      </w:r>
      <w:r>
        <w:t xml:space="preserve">da fare, non meno.</w:t>
      </w:r>
    </w:p>
    <w:p>
      <w:pPr>
        <w:pStyle w:val="Compact"/>
        <w:numPr>
          <w:ilvl w:val="0"/>
          <w:numId w:val="1028"/>
        </w:numPr>
      </w:pPr>
      <w:r>
        <w:rPr>
          <w:b/>
          <w:bCs/>
        </w:rPr>
        <w:t xml:space="preserve">Perché ci sei tu.</w:t>
      </w:r>
      <w:r>
        <w:t xml:space="preserve"> </w:t>
      </w:r>
      <w:r>
        <w:t xml:space="preserve">Su 92 pazienti nessun sintomo permetteva di prevedere</w:t>
      </w:r>
      <w:r>
        <w:t xml:space="preserve"> </w:t>
      </w:r>
      <w:r>
        <w:rPr>
          <w:b/>
          <w:bCs/>
        </w:rPr>
        <w:t xml:space="preserve">con accuratezza</w:t>
      </w:r>
      <w:r>
        <w:t xml:space="preserve"> </w:t>
      </w:r>
      <w:r>
        <w:t xml:space="preserve">chi avesse la soglia abbassata. Il dolore severo era più frequente negli ipersensibili (88% contro 67%), ma non abbastanza da decidere sul singolo. Questo ti autorizza a decidere con un test tuo e con un marker, invece che con il racconto. Non ti autorizza a dedurre il meccanismo dai sintomi: su questa condizione quella deduzione è stata misurata e non funziona.</w:t>
      </w:r>
    </w:p>
    <w:p>
      <w:r>
        <w:pict>
          <v:rect style="width:0;height:1.5pt" o:hralign="center" o:hrstd="t" o:hr="t"/>
        </w:pict>
      </w:r>
    </w:p>
    <w:bookmarkEnd w:id="44"/>
    <w:bookmarkEnd w:id="45"/>
    <w:bookmarkStart w:id="50"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il tuo mandato nasce da un reperto e da un marker che si muove, e nessun reperto scavalca una bandiera rossa.</w:t>
      </w:r>
    </w:p>
    <w:bookmarkStart w:id="46" w:name="le-bandiere-rosse"/>
    <w:p>
      <w:pPr>
        <w:pStyle w:val="Heading3"/>
      </w:pPr>
      <w:r>
        <w:t xml:space="preserve">Le bandiere rosse</w:t>
      </w:r>
    </w:p>
    <w:p>
      <w:pPr>
        <w:pStyle w:val="FirstParagraph"/>
      </w:pPr>
      <w:r>
        <w:t xml:space="preserve">Sono prese da dove le linee guida indicano l’accertamento specialistico. Per il sospetto tumore del colon-retto e dell’ovaio, NICE NG12. Per l’inquadramento, NICE CG61. Per gli esami di primo livello, le linee guida americana (Lacy 2021, PMID 33315591) e britannica (Vasant 2021, PMID 33903147).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 dell’invio</w:t>
            </w:r>
          </w:p>
        </w:tc>
      </w:tr>
      <w:tr>
        <w:tc>
          <w:tcPr/>
          <w:p>
            <w:pPr>
              <w:pStyle w:val="Compact"/>
            </w:pPr>
            <w:r>
              <w:t xml:space="preserve">Addome acuto: dolore severo diverso dal solito</w:t>
            </w:r>
          </w:p>
        </w:tc>
        <w:tc>
          <w:tcPr/>
          <w:p>
            <w:pPr>
              <w:pStyle w:val="Compact"/>
            </w:pPr>
            <w:r>
              <w:rPr>
                <w:b/>
                <w:bCs/>
              </w:rPr>
              <w:t xml:space="preserve">Pronto soccorso</w:t>
            </w:r>
          </w:p>
        </w:tc>
        <w:tc>
          <w:tcPr/>
          <w:p>
            <w:pPr>
              <w:pStyle w:val="Compact"/>
            </w:pPr>
            <w:r>
              <w:rPr>
                <w:b/>
                <w:bCs/>
              </w:rPr>
              <w:t xml:space="preserve">Stesso giorno — non si palpa</w:t>
            </w:r>
          </w:p>
        </w:tc>
      </w:tr>
      <w:tr>
        <w:tc>
          <w:tcPr/>
          <w:p>
            <w:pPr>
              <w:pStyle w:val="Compact"/>
            </w:pPr>
            <w:r>
              <w:t xml:space="preserve">Sangue nelle feci</w:t>
            </w:r>
          </w:p>
        </w:tc>
        <w:tc>
          <w:tcPr/>
          <w:p>
            <w:pPr>
              <w:pStyle w:val="Compact"/>
            </w:pPr>
            <w:r>
              <w:t xml:space="preserve">Medico curante</w:t>
            </w:r>
          </w:p>
        </w:tc>
        <w:tc>
          <w:tcPr/>
          <w:p>
            <w:pPr>
              <w:pStyle w:val="Compact"/>
            </w:pPr>
            <w:r>
              <w:t xml:space="preserve">Invio, non attendere</w:t>
            </w:r>
          </w:p>
        </w:tc>
      </w:tr>
      <w:tr>
        <w:tc>
          <w:tcPr/>
          <w:p>
            <w:pPr>
              <w:pStyle w:val="Compact"/>
            </w:pPr>
            <w:r>
              <w:t xml:space="preserve">Anemia da carenza di ferro</w:t>
            </w:r>
          </w:p>
        </w:tc>
        <w:tc>
          <w:tcPr/>
          <w:p>
            <w:pPr>
              <w:pStyle w:val="Compact"/>
            </w:pPr>
            <w:r>
              <w:t xml:space="preserve">Medico curante</w:t>
            </w:r>
          </w:p>
        </w:tc>
        <w:tc>
          <w:tcPr/>
          <w:p>
            <w:pPr>
              <w:pStyle w:val="Compact"/>
            </w:pPr>
            <w:r>
              <w:t xml:space="preserve">Invio, non attendere</w:t>
            </w:r>
          </w:p>
        </w:tc>
      </w:tr>
      <w:tr>
        <w:tc>
          <w:tcPr/>
          <w:p>
            <w:pPr>
              <w:pStyle w:val="Compact"/>
            </w:pPr>
            <w:r>
              <w:t xml:space="preserve">Calo ponderale involontario con dolore, dai 40 anni</w:t>
            </w:r>
          </w:p>
        </w:tc>
        <w:tc>
          <w:tcPr/>
          <w:p>
            <w:pPr>
              <w:pStyle w:val="Compact"/>
            </w:pPr>
            <w:r>
              <w:t xml:space="preserve">Medico curante</w:t>
            </w:r>
          </w:p>
        </w:tc>
        <w:tc>
          <w:tcPr/>
          <w:p>
            <w:pPr>
              <w:pStyle w:val="Compact"/>
            </w:pPr>
            <w:r>
              <w:t xml:space="preserve">Invio, non attendere</w:t>
            </w:r>
          </w:p>
        </w:tc>
      </w:tr>
      <w:tr>
        <w:tc>
          <w:tcPr/>
          <w:p>
            <w:pPr>
              <w:pStyle w:val="Compact"/>
            </w:pPr>
            <w:r>
              <w:t xml:space="preserve">Massa addominale o rettale</w:t>
            </w:r>
          </w:p>
        </w:tc>
        <w:tc>
          <w:tcPr/>
          <w:p>
            <w:pPr>
              <w:pStyle w:val="Compact"/>
            </w:pPr>
            <w:r>
              <w:t xml:space="preserve">Medico curante</w:t>
            </w:r>
          </w:p>
        </w:tc>
        <w:tc>
          <w:tcPr/>
          <w:p>
            <w:pPr>
              <w:pStyle w:val="Compact"/>
            </w:pPr>
            <w:r>
              <w:t xml:space="preserve">Urgente</w:t>
            </w:r>
          </w:p>
        </w:tc>
      </w:tr>
      <w:tr>
        <w:tc>
          <w:tcPr/>
          <w:p>
            <w:pPr>
              <w:pStyle w:val="Compact"/>
            </w:pPr>
            <w:r>
              <w:t xml:space="preserve">Diarrea notturna, febbre</w:t>
            </w:r>
          </w:p>
        </w:tc>
        <w:tc>
          <w:tcPr/>
          <w:p>
            <w:pPr>
              <w:pStyle w:val="Compact"/>
            </w:pPr>
            <w:r>
              <w:t xml:space="preserve">Medico curante</w:t>
            </w:r>
          </w:p>
        </w:tc>
        <w:tc>
          <w:tcPr/>
          <w:p>
            <w:pPr>
              <w:pStyle w:val="Compact"/>
            </w:pPr>
            <w:r>
              <w:t xml:space="preserve">Invio, non attendere</w:t>
            </w:r>
          </w:p>
        </w:tc>
      </w:tr>
      <w:tr>
        <w:tc>
          <w:tcPr/>
          <w:p>
            <w:pPr>
              <w:pStyle w:val="Compact"/>
            </w:pPr>
            <w:r>
              <w:t xml:space="preserve">Esordio dopo i 50 anni</w:t>
            </w:r>
          </w:p>
        </w:tc>
        <w:tc>
          <w:tcPr/>
          <w:p>
            <w:pPr>
              <w:pStyle w:val="Compact"/>
            </w:pPr>
            <w:r>
              <w:t xml:space="preserve">Medico curante</w:t>
            </w:r>
          </w:p>
        </w:tc>
        <w:tc>
          <w:tcPr/>
          <w:p>
            <w:pPr>
              <w:pStyle w:val="Compact"/>
            </w:pPr>
            <w:r>
              <w:t xml:space="preserve">Invio, non attendere</w:t>
            </w:r>
          </w:p>
        </w:tc>
      </w:tr>
      <w:tr>
        <w:tc>
          <w:tcPr/>
          <w:p>
            <w:pPr>
              <w:pStyle w:val="Compact"/>
            </w:pPr>
            <w:r>
              <w:rPr>
                <w:b/>
                <w:bCs/>
              </w:rPr>
              <w:t xml:space="preserve">Alvo più molle o frequente, 6 settimane, 60+</w:t>
            </w:r>
          </w:p>
        </w:tc>
        <w:tc>
          <w:tcPr/>
          <w:p>
            <w:pPr>
              <w:pStyle w:val="Compact"/>
            </w:pPr>
            <w:r>
              <w:t xml:space="preserve">Medico curante</w:t>
            </w:r>
          </w:p>
        </w:tc>
        <w:tc>
          <w:tcPr/>
          <w:p>
            <w:pPr>
              <w:pStyle w:val="Compact"/>
            </w:pPr>
            <w:r>
              <w:t xml:space="preserve">Invio, non attendere</w:t>
            </w:r>
          </w:p>
        </w:tc>
      </w:tr>
      <w:tr>
        <w:tc>
          <w:tcPr/>
          <w:p>
            <w:pPr>
              <w:pStyle w:val="Compact"/>
            </w:pPr>
            <w:r>
              <w:t xml:space="preserve">Gonfiore persistente, donna 50+</w:t>
            </w:r>
          </w:p>
        </w:tc>
        <w:tc>
          <w:tcPr/>
          <w:p>
            <w:pPr>
              <w:pStyle w:val="Compact"/>
            </w:pPr>
            <w:r>
              <w:t xml:space="preserve">Medico curante</w:t>
            </w:r>
          </w:p>
        </w:tc>
        <w:tc>
          <w:tcPr/>
          <w:p>
            <w:pPr>
              <w:pStyle w:val="Compact"/>
            </w:pPr>
            <w:r>
              <w:t xml:space="preserve">Invio, non attendere</w:t>
            </w:r>
          </w:p>
        </w:tc>
      </w:tr>
      <w:tr>
        <w:tc>
          <w:tcPr/>
          <w:p>
            <w:pPr>
              <w:pStyle w:val="Compact"/>
            </w:pPr>
            <w:r>
              <w:t xml:space="preserve">Familiarità per tumore o malattia intestinale</w:t>
            </w:r>
          </w:p>
        </w:tc>
        <w:tc>
          <w:tcPr/>
          <w:p>
            <w:pPr>
              <w:pStyle w:val="Compact"/>
            </w:pPr>
            <w:r>
              <w:t xml:space="preserve">Medico curante</w:t>
            </w:r>
          </w:p>
        </w:tc>
        <w:tc>
          <w:tcPr/>
          <w:p>
            <w:pPr>
              <w:pStyle w:val="Compact"/>
            </w:pPr>
            <w:r>
              <w:t xml:space="preserve">Invio</w:t>
            </w:r>
          </w:p>
        </w:tc>
      </w:tr>
    </w:tbl>
    <w:p>
      <w:pPr>
        <w:pStyle w:val="BodyText"/>
      </w:pPr>
      <w:r>
        <w:rPr>
          <w:b/>
          <w:bCs/>
        </w:rPr>
        <w:t xml:space="preserve">Come si leggono otto righe della tabella, per esteso.</w:t>
      </w:r>
      <w:r>
        <w:t xml:space="preserve"> </w:t>
      </w:r>
      <w:r>
        <w:t xml:space="preserve">La cella richiama il criterio; il criterio intero è qui.</w:t>
      </w:r>
    </w:p>
    <w:p>
      <w:pPr>
        <w:numPr>
          <w:ilvl w:val="0"/>
          <w:numId w:val="1029"/>
        </w:numPr>
      </w:pPr>
      <w:r>
        <w:rPr>
          <w:b/>
          <w:bCs/>
        </w:rPr>
        <w:t xml:space="preserve">Addome acuto.</w:t>
      </w:r>
      <w:r>
        <w:t xml:space="preserve"> </w:t>
      </w:r>
      <w:r>
        <w:t xml:space="preserve">Dolore acuto e severo</w:t>
      </w:r>
      <w:r>
        <w:t xml:space="preserve"> </w:t>
      </w:r>
      <w:r>
        <w:rPr>
          <w:b/>
          <w:bCs/>
        </w:rPr>
        <w:t xml:space="preserve">diverso da quello solito</w:t>
      </w:r>
      <w:r>
        <w:t xml:space="preserve">, con addome contratto o dolente al rilascio, vomito, febbre alta o lipotimia. Appendicite, diverticolite, occlusione, torsione ovarica e gravidanza ectopica capitano anche a chi ha in cartella un’etichetta di colon irritabile, e arrivano raccontate come</w:t>
      </w:r>
      <w:r>
        <w:t xml:space="preserve"> </w:t>
      </w:r>
      <w:r>
        <w:rPr>
          <w:i/>
          <w:iCs/>
        </w:rPr>
        <w:t xml:space="preserve">«una crisi più forte del solito»</w:t>
      </w:r>
      <w:r>
        <w:t xml:space="preserve">. È l’unica situazione in cui palpare e premere sull’addome fa danno nella stessa ora. Ed è l’unica riga che</w:t>
      </w:r>
      <w:r>
        <w:t xml:space="preserve"> </w:t>
      </w:r>
      <w:r>
        <w:rPr>
          <w:b/>
          <w:bCs/>
        </w:rPr>
        <w:t xml:space="preserve">non passa dal curante</w:t>
      </w:r>
      <w:r>
        <w:t xml:space="preserve">: pronto soccorso, lo stesso giorno.</w:t>
      </w:r>
    </w:p>
    <w:p>
      <w:pPr>
        <w:numPr>
          <w:ilvl w:val="0"/>
          <w:numId w:val="1029"/>
        </w:numPr>
      </w:pPr>
      <w:r>
        <w:rPr>
          <w:b/>
          <w:bCs/>
        </w:rPr>
        <w:t xml:space="preserve">Sangue nelle feci.</w:t>
      </w:r>
      <w:r>
        <w:t xml:space="preserve"> </w:t>
      </w:r>
      <w:r>
        <w:t xml:space="preserve">Qualunque sanguinamento rettale riferito, anche attribuito a emorroidi note —</w:t>
      </w:r>
      <w:r>
        <w:t xml:space="preserve"> </w:t>
      </w:r>
      <w:r>
        <w:rPr>
          <w:b/>
          <w:bCs/>
        </w:rPr>
        <w:t xml:space="preserve">e anche in un paziente anticoagulato: l’anticoagulante non spiega il sanguinamento, lo rende più visibile.</w:t>
      </w:r>
      <w:r>
        <w:t xml:space="preserve"> </w:t>
      </w:r>
      <w:r>
        <w:t xml:space="preserve">Sotto i 50 anni le linee guida lo associano a dolore addominale o calo di peso non spiegati; dai 50 in su basta da solo.</w:t>
      </w:r>
    </w:p>
    <w:p>
      <w:pPr>
        <w:numPr>
          <w:ilvl w:val="0"/>
          <w:numId w:val="1029"/>
        </w:numPr>
      </w:pPr>
      <w:r>
        <w:rPr>
          <w:b/>
          <w:bCs/>
        </w:rPr>
        <w:t xml:space="preserve">Anemia da carenza di ferro.</w:t>
      </w:r>
      <w:r>
        <w:t xml:space="preserve"> </w:t>
      </w:r>
      <w:r>
        <w:t xml:space="preserve">A qualunque età; dai 60 anni in su, anemia anche senza carenza di ferro.</w:t>
      </w:r>
    </w:p>
    <w:p>
      <w:pPr>
        <w:numPr>
          <w:ilvl w:val="0"/>
          <w:numId w:val="1029"/>
        </w:numPr>
      </w:pPr>
      <w:r>
        <w:rPr>
          <w:b/>
          <w:bCs/>
        </w:rPr>
        <w:t xml:space="preserve">Calo di peso non voluto con dolore.</w:t>
      </w:r>
      <w:r>
        <w:t xml:space="preserve"> </w:t>
      </w:r>
      <w:r>
        <w:t xml:space="preserve">Dai 40 anni in su insieme a dolore addominale; dai 50 in su anche da solo.</w:t>
      </w:r>
    </w:p>
    <w:p>
      <w:pPr>
        <w:numPr>
          <w:ilvl w:val="0"/>
          <w:numId w:val="1029"/>
        </w:numPr>
      </w:pPr>
      <w:r>
        <w:rPr>
          <w:b/>
          <w:bCs/>
        </w:rPr>
        <w:t xml:space="preserve">Massa addominale o rettale.</w:t>
      </w:r>
      <w:r>
        <w:t xml:space="preserve"> </w:t>
      </w:r>
      <w:r>
        <w:t xml:space="preserve">Massa addominale palpabile, massa rettale o anale, ulcerazione anale non spiegate. È l’unica riga «Urgente» del gruppo oncologico: massa rettale e anale non passano da esami preliminari.</w:t>
      </w:r>
    </w:p>
    <w:p>
      <w:pPr>
        <w:numPr>
          <w:ilvl w:val="0"/>
          <w:numId w:val="1029"/>
        </w:numPr>
      </w:pPr>
      <w:r>
        <w:rPr>
          <w:b/>
          <w:bCs/>
        </w:rPr>
        <w:t xml:space="preserve">Esordio dopo i 50 anni.</w:t>
      </w:r>
      <w:r>
        <w:t xml:space="preserve"> </w:t>
      </w:r>
      <w:r>
        <w:t xml:space="preserve">Un quadro che somiglia alla sindrome e compare per la prima volta dopo i 50 non è tipico: la linea guida scrive che questa sindrome raramente esordisce a quell’età.</w:t>
      </w:r>
    </w:p>
    <w:p>
      <w:pPr>
        <w:numPr>
          <w:ilvl w:val="0"/>
          <w:numId w:val="1029"/>
        </w:numPr>
      </w:pPr>
      <w:r>
        <w:rPr>
          <w:b/>
          <w:bCs/>
        </w:rPr>
        <w:t xml:space="preserve">Alvo più molle o più frequente da oltre 6 settimane, dai 60 anni in su.</w:t>
      </w:r>
      <w:r>
        <w:t xml:space="preserve"> </w:t>
      </w:r>
      <w:r>
        <w:t xml:space="preserve">Copre il caso che l’esordio non copre: il paziente di 66 anni con l’etichetta da vent’anni che da due mesi va di corpo più spesso e più molle. Non ha un esordio, ha un cambio di alvo — ed è il profilo con cui si presenta il tumore del colon destro. Sotto i 60 anni cambiare alvo è tipico e non fa decadere niente;</w:t>
      </w:r>
      <w:r>
        <w:t xml:space="preserve"> </w:t>
      </w:r>
      <w:r>
        <w:rPr>
          <w:b/>
          <w:bCs/>
        </w:rPr>
        <w:t xml:space="preserve">dai 60 in su è un criterio di invio</w:t>
      </w:r>
      <w:r>
        <w:t xml:space="preserve"> </w:t>
      </w:r>
      <w:r>
        <w:t xml:space="preserve">(NICE CG61, NG12), anche senza anemia.</w:t>
      </w:r>
    </w:p>
    <w:p>
      <w:pPr>
        <w:numPr>
          <w:ilvl w:val="0"/>
          <w:numId w:val="1029"/>
        </w:numPr>
      </w:pPr>
      <w:r>
        <w:rPr>
          <w:b/>
          <w:bCs/>
        </w:rPr>
        <w:t xml:space="preserve">Gonfiore persistente, donna 50+.</w:t>
      </w:r>
      <w:r>
        <w:t xml:space="preserve"> </w:t>
      </w:r>
      <w:r>
        <w:t xml:space="preserve">Distensione addominale persistente, pienezza precoce, dolore pelvico o addominale, urgenza urinaria — in modo persistente o frequente, in particolare più di 12 volte al mese. È la costellazione che le linee guida indicano per l’accertamento del tumore ovarico, ed è la stessa che paziente e a volte medico leggono come colon irritabile.</w:t>
      </w:r>
    </w:p>
    <w:p>
      <w:pPr>
        <w:pStyle w:val="FirstParagraph"/>
      </w:pPr>
      <w:r>
        <w:t xml:space="preserve">Le bandiere rosse restano attive per tutta la presa in carico, non solo alla prima visita. E una di esse non passa dal curante: va al pronto soccorso, lo stesso giorno.</w:t>
      </w:r>
    </w:p>
    <w:bookmarkEnd w:id="46"/>
    <w:bookmarkStart w:id="47" w:name="X8a45cb57d60ab7f3bfcd15a48a80fd288c8db58"/>
    <w:p>
      <w:pPr>
        <w:pStyle w:val="Heading3"/>
      </w:pPr>
      <w:r>
        <w:t xml:space="preserve">Il cancello d’ingresso — un triage a tre uscite</w:t>
      </w:r>
    </w:p>
    <w:p>
      <w:pPr>
        <w:pStyle w:val="FirstParagraph"/>
      </w:pPr>
      <w:r>
        <w:t xml:space="preserve">Il cancello non dice se puoi trattare: dice</w:t>
      </w:r>
      <w:r>
        <w:t xml:space="preserve"> </w:t>
      </w:r>
      <w:r>
        <w:rPr>
          <w:b/>
          <w:bCs/>
        </w:rPr>
        <w:t xml:space="preserve">quale delle tre situazioni hai davanti</w:t>
      </w:r>
      <w:r>
        <w:t xml:space="preserve">.</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scrivi in cartella. Per esempio: una zona che si muove meno, un tessuto che risponde diversamente, una funzione che non si esprime. Non è la diagnosi del paziente: è il bersaglio del tuo lavoro.</w:t>
      </w:r>
    </w:p>
    <w:p>
      <w:pPr>
        <w:pStyle w:val="FirstParagraph"/>
      </w:pPr>
      <w:r>
        <w:t xml:space="preserve">(Il</w:t>
      </w:r>
      <w:r>
        <w:t xml:space="preserve"> </w:t>
      </w:r>
      <w:r>
        <w:rPr>
          <w:b/>
          <w:bCs/>
        </w:rPr>
        <w:t xml:space="preserve">marker</w:t>
      </w:r>
      <w:r>
        <w:t xml:space="preserve"> </w:t>
      </w:r>
      <w:r>
        <w:t xml:space="preserve">è definito in «Come ragiono davanti a questo paziente»: un segno misurabile scelto prima di trattare e rimisurato dopo.)</w:t>
      </w:r>
    </w:p>
    <w:p>
      <w:pPr>
        <w:pStyle w:val="BodyText"/>
      </w:pPr>
      <w:r>
        <w:rPr>
          <w:b/>
          <w:bCs/>
        </w:rPr>
        <w:t xml:space="preserve">Il tuo mandato non nasce dalla diagnosi medica.</w:t>
      </w:r>
      <w:r>
        <w:t xml:space="preserve"> </w:t>
      </w:r>
      <w:r>
        <w:t xml:space="preserve">Nasce da un reperto disfunzionale documentato e da un marker che si muove quando lo tratti.</w:t>
      </w:r>
      <w:r>
        <w:t xml:space="preserve"> </w:t>
      </w:r>
      <w:r>
        <w:rPr>
          <w:b/>
          <w:bCs/>
        </w:rPr>
        <w:t xml:space="preserve">Senza quelli non hai un motivo per lavorare nemmeno con la diagnosi in mano.</w:t>
      </w:r>
    </w:p>
    <w:p>
      <w:pPr>
        <w:pStyle w:val="BodyText"/>
      </w:pPr>
      <w:r>
        <w:t xml:space="preserve">C’è però il contrappeso. Un reperto positivo giustifica il tuo lavoro, non sostituisce l’inquadramento medico: significa che hai</w:t>
      </w:r>
      <w:r>
        <w:t xml:space="preserve"> </w:t>
      </w:r>
      <w:r>
        <w:rPr>
          <w:b/>
          <w:bCs/>
        </w:rPr>
        <w:t xml:space="preserve">qualcosa da trattare</w:t>
      </w:r>
      <w:r>
        <w:t xml:space="preserve">, non che</w:t>
      </w:r>
      <w:r>
        <w:t xml:space="preserve"> </w:t>
      </w:r>
      <w:r>
        <w:rPr>
          <w:b/>
          <w:bCs/>
        </w:rPr>
        <w:t xml:space="preserve">sai cosa ha il paziente</w:t>
      </w:r>
      <w:r>
        <w:t xml:space="preserve">. Le due cose vanno dette al paziente come conviventi. Il profilo professionale colloca il nostro lavoro</w:t>
      </w:r>
      <w:r>
        <w:t xml:space="preserve"> </w:t>
      </w:r>
      <w:r>
        <w:rPr>
          <w:i/>
          <w:iCs/>
        </w:rPr>
        <w:t xml:space="preserve">in riferimento alla diagnosi di competenza medica</w:t>
      </w:r>
      <w:r>
        <w:t xml:space="preserve"> </w:t>
      </w:r>
      <w:r>
        <w:t xml:space="preserve">(DPR 131/2021). Il reperto dice cosa tratti, la diagnosi resta di chi la fa, e il canale che la cerca resta aperto per tutto il ciclo.</w:t>
      </w:r>
    </w:p>
    <w:p>
      <w:pPr>
        <w:pStyle w:val="BodyText"/>
      </w:pPr>
      <w:r>
        <w:rPr>
          <w:b/>
          <w:bCs/>
        </w:rPr>
        <w:t xml:space="preserve">ROSSO — Stop.</w:t>
      </w:r>
      <w:r>
        <w:t xml:space="preserve"> </w:t>
      </w:r>
      <w:r>
        <w:t xml:space="preserve">Anche una sola bandiera rossa. Non si apre un ciclo e non si rimanda alla prossima seduta. Il paziente esce con un’indicazione medica</w:t>
      </w:r>
      <w:r>
        <w:t xml:space="preserve"> </w:t>
      </w:r>
      <w:r>
        <w:rPr>
          <w:b/>
          <w:bCs/>
        </w:rPr>
        <w:t xml:space="preserve">esplicita e scritta</w:t>
      </w:r>
      <w:r>
        <w:t xml:space="preserve">, e con i tempi dichiarati. Tre cose in più, e nessuna è negoziabile.</w:t>
      </w:r>
    </w:p>
    <w:p>
      <w:pPr>
        <w:pStyle w:val="Compact"/>
        <w:numPr>
          <w:ilvl w:val="0"/>
          <w:numId w:val="1030"/>
        </w:numPr>
      </w:pPr>
      <w:r>
        <w:rPr>
          <w:b/>
          <w:bCs/>
        </w:rPr>
        <w:t xml:space="preserve">Comunicazione scritta al curante lo stesso giorno</w:t>
      </w:r>
      <w:r>
        <w:t xml:space="preserve">, con la bandiera e la data, anche se il paziente dice che ci andrà. Il ROSSO non può avere un canale più debole del GIALLO.</w:t>
      </w:r>
    </w:p>
    <w:p>
      <w:pPr>
        <w:pStyle w:val="Compact"/>
        <w:numPr>
          <w:ilvl w:val="0"/>
          <w:numId w:val="1030"/>
        </w:numPr>
      </w:pPr>
      <w:r>
        <w:rPr>
          <w:b/>
          <w:bCs/>
        </w:rPr>
        <w:t xml:space="preserve">Alla seduta successiva si chiede e si annota se l’accertamento è stato eseguito.</w:t>
      </w:r>
      <w:r>
        <w:t xml:space="preserve"> </w:t>
      </w:r>
      <w:r>
        <w:t xml:space="preserve">Se non lo è, non si prosegue su nessun bersaglio e la comunicazione si ripete. Lo scenario è reale: esce con il foglio, non ci va, e continua a venire per la lombalgia.</w:t>
      </w:r>
    </w:p>
    <w:p>
      <w:pPr>
        <w:pStyle w:val="Compact"/>
        <w:numPr>
          <w:ilvl w:val="0"/>
          <w:numId w:val="1030"/>
        </w:numPr>
      </w:pPr>
      <w:r>
        <w:rPr>
          <w:b/>
          <w:bCs/>
        </w:rPr>
        <w:t xml:space="preserve">L’addome resta fuori.</w:t>
      </w:r>
      <w:r>
        <w:t xml:space="preserve"> </w:t>
      </w:r>
      <w:r>
        <w:t xml:space="preserve">Si tratta solo una disfunzione muscolo-scheletrica</w:t>
      </w:r>
      <w:r>
        <w:t xml:space="preserve"> </w:t>
      </w:r>
      <w:r>
        <w:rPr>
          <w:b/>
          <w:bCs/>
        </w:rPr>
        <w:t xml:space="preserve">lontana dal quadrante sintomatico</w:t>
      </w:r>
      <w:r>
        <w:t xml:space="preserve">: rachide, cingoli, arti. Diaframma e parete non sono autonomi da un sintomo addominale non inquadrato, per quanto siano muscoli scheletrici.</w:t>
      </w:r>
    </w:p>
    <w:p>
      <w:pPr>
        <w:pStyle w:val="FirstParagraph"/>
      </w:pPr>
      <w:r>
        <w:t xml:space="preserve">In cartella si dichiara che il sintomo intestinale è in attesa di inquadramento e</w:t>
      </w:r>
      <w:r>
        <w:t xml:space="preserve"> </w:t>
      </w:r>
      <w:r>
        <w:rPr>
          <w:b/>
          <w:bCs/>
        </w:rPr>
        <w:t xml:space="preserve">non è il bersaglio</w:t>
      </w:r>
      <w:r>
        <w:t xml:space="preserve">. Nessuna eccezione, e nessun reperto positivo scavalca questa uscita.</w:t>
      </w:r>
    </w:p>
    <w:p>
      <w:pPr>
        <w:pStyle w:val="BodyText"/>
      </w:pPr>
      <w:r>
        <w:rPr>
          <w:b/>
          <w:bCs/>
        </w:rPr>
        <w:t xml:space="preserve">GIALLO — Si lavora, in parallelo.</w:t>
      </w:r>
      <w:r>
        <w:t xml:space="preserve"> </w:t>
      </w:r>
      <w:r>
        <w:t xml:space="preserve">Nessuna bandiera rossa, inquadramento assente o incompleto.</w:t>
      </w:r>
      <w:r>
        <w:t xml:space="preserve"> </w:t>
      </w:r>
      <w:r>
        <w:rPr>
          <w:b/>
          <w:bCs/>
        </w:rPr>
        <w:t xml:space="preserve">È la situazione più frequente, e non è un motivo per rimandare il paziente fuori.</w:t>
      </w:r>
      <w:r>
        <w:t xml:space="preserve"> </w:t>
      </w:r>
      <w:r>
        <w:t xml:space="preserve">Il GIALLO tipico qui è chi ha fatto la colonscopia ma non ha mai avuto una calprotectina con la diarrea in corso, oppure ha una diagnosi verbale senza percorso documentato. Si lavora a cinque condizioni, tutte verificabili.</w:t>
      </w:r>
    </w:p>
    <w:p>
      <w:pPr>
        <w:pStyle w:val="Compact"/>
        <w:numPr>
          <w:ilvl w:val="0"/>
          <w:numId w:val="1031"/>
        </w:numPr>
      </w:pPr>
      <w:r>
        <w:rPr>
          <w:b/>
          <w:bCs/>
        </w:rPr>
        <w:t xml:space="preserve">Un reperto tuo, positivo e scritto in cartella.</w:t>
      </w:r>
      <w:r>
        <w:t xml:space="preserve"> </w:t>
      </w:r>
      <w:r>
        <w:t xml:space="preserve">Non «il paziente ha il colon irritabile», ma il reperto meccanico che giustifica la manovra.</w:t>
      </w:r>
    </w:p>
    <w:p>
      <w:pPr>
        <w:pStyle w:val="Compact"/>
        <w:numPr>
          <w:ilvl w:val="0"/>
          <w:numId w:val="1031"/>
        </w:numPr>
      </w:pPr>
      <w:r>
        <w:rPr>
          <w:b/>
          <w:bCs/>
        </w:rPr>
        <w:t xml:space="preserve">Il paziente sa cosa tratti e cosa no:</w:t>
      </w:r>
      <w:r>
        <w:t xml:space="preserve"> </w:t>
      </w:r>
      <w:r>
        <w:rPr>
          <w:i/>
          <w:iCs/>
        </w:rPr>
        <w:t xml:space="preserve">«io lavoro sulla componente meccanica che ho trovato. I sintomi intestinali vanno comunque inquadrati dal tuo medico, e nel frattempo io non aspetto.»</w:t>
      </w:r>
    </w:p>
    <w:p>
      <w:pPr>
        <w:pStyle w:val="Compact"/>
        <w:numPr>
          <w:ilvl w:val="0"/>
          <w:numId w:val="1031"/>
        </w:numPr>
      </w:pPr>
      <w:r>
        <w:rPr>
          <w:b/>
          <w:bCs/>
        </w:rPr>
        <w:t xml:space="preserve">Canale medico attivato senza interrompere il lavoro:</w:t>
      </w:r>
      <w:r>
        <w:t xml:space="preserve"> </w:t>
      </w:r>
      <w:r>
        <w:t xml:space="preserve">comunicazione</w:t>
      </w:r>
      <w:r>
        <w:t xml:space="preserve"> </w:t>
      </w:r>
      <w:r>
        <w:rPr>
          <w:b/>
          <w:bCs/>
        </w:rPr>
        <w:t xml:space="preserve">scritta</w:t>
      </w:r>
      <w:r>
        <w:t xml:space="preserve"> </w:t>
      </w:r>
      <w:r>
        <w:t xml:space="preserve">al curante, non un rinvio del paziente.</w:t>
      </w:r>
    </w:p>
    <w:p>
      <w:pPr>
        <w:pStyle w:val="Compact"/>
        <w:numPr>
          <w:ilvl w:val="0"/>
          <w:numId w:val="1031"/>
        </w:numPr>
      </w:pPr>
      <w:r>
        <w:rPr>
          <w:b/>
          <w:bCs/>
        </w:rPr>
        <w:t xml:space="preserve">Tempo definito</w:t>
      </w:r>
      <w:r>
        <w:t xml:space="preserve">, contato in settimane di calendario e non in numero di sedute. La revisione è programmata alla data fissata, e</w:t>
      </w:r>
      <w:r>
        <w:t xml:space="preserve"> </w:t>
      </w:r>
      <w:r>
        <w:rPr>
          <w:b/>
          <w:bCs/>
        </w:rPr>
        <w:t xml:space="preserve">comunque non oltre sei settimane</w:t>
      </w:r>
      <w:r>
        <w:t xml:space="preserve">: le stesse che dici al paziente. Non è una dose di trattamento: è la durata massima di una finestra tenuta aperta senza inquadramento completo.</w:t>
      </w:r>
    </w:p>
    <w:p>
      <w:pPr>
        <w:pStyle w:val="Compact"/>
        <w:numPr>
          <w:ilvl w:val="0"/>
          <w:numId w:val="1031"/>
        </w:numPr>
      </w:pPr>
      <w:r>
        <w:rPr>
          <w:b/>
          <w:bCs/>
        </w:rPr>
        <w:t xml:space="preserve">Finché la diarrea non ha una calprotectina, la pressione addominale profonda aspetta il referto.</w:t>
      </w:r>
      <w:r>
        <w:t xml:space="preserve"> </w:t>
      </w:r>
      <w:r>
        <w:t xml:space="preserve">Il contenitore si raggiunge dall’esterno: coste basse, giunzione dorso-lombare, sacro. Vale anche per la colonscopia «normale» senza biopsie in un paziente con diarrea.</w:t>
      </w:r>
    </w:p>
    <w:p>
      <w:pPr>
        <w:pStyle w:val="FirstParagraph"/>
      </w:pPr>
      <w:r>
        <w:rPr>
          <w:b/>
          <w:bCs/>
        </w:rPr>
        <w:t xml:space="preserve">Se il tempo scade e il marker non si è mosso</w:t>
      </w:r>
      <w:r>
        <w:t xml:space="preserve">, non è una rinuncia: è un’informazione. Il tuo reperto non era il piano che comandava, e la spinta sul canale medico da parallela diventa prioritaria.</w:t>
      </w:r>
    </w:p>
    <w:p>
      <w:pPr>
        <w:pStyle w:val="BodyText"/>
      </w:pPr>
      <w:r>
        <w:rPr>
          <w:b/>
          <w:bCs/>
        </w:rPr>
        <w:t xml:space="preserve">VERDE — Si procede.</w:t>
      </w:r>
      <w:r>
        <w:t xml:space="preserve"> </w:t>
      </w:r>
      <w:r>
        <w:t xml:space="preserve">Nessuna bandiera rossa, e una fra queste tre condizioni.</w:t>
      </w:r>
    </w:p>
    <w:p>
      <w:pPr>
        <w:pStyle w:val="Compact"/>
        <w:numPr>
          <w:ilvl w:val="0"/>
          <w:numId w:val="1032"/>
        </w:numPr>
      </w:pPr>
      <w:r>
        <w:t xml:space="preserve">Una valutazione specialistica documentata in cui la sindrome è stata formulata come diagnosi.</w:t>
      </w:r>
    </w:p>
    <w:p>
      <w:pPr>
        <w:pStyle w:val="Compact"/>
        <w:numPr>
          <w:ilvl w:val="0"/>
          <w:numId w:val="1032"/>
        </w:numPr>
      </w:pPr>
      <w:r>
        <w:t xml:space="preserve">Un percorso gastroenterologico già in corso.</w:t>
      </w:r>
    </w:p>
    <w:p>
      <w:pPr>
        <w:pStyle w:val="Compact"/>
        <w:numPr>
          <w:ilvl w:val="0"/>
          <w:numId w:val="1032"/>
        </w:numPr>
      </w:pPr>
      <w:r>
        <w:t xml:space="preserve">Esami di primo livello eseguiti e coerenti. Cioè: emocromo, indici di flogosi, sierologia per la celiachia in chi ha diarrea, calprotectina fecale in chi ha diarrea, e biopsie se è stata fatta una colonscopia con diarrea in corso.</w:t>
      </w:r>
    </w:p>
    <w:p>
      <w:pPr>
        <w:pStyle w:val="FirstParagraph"/>
      </w:pPr>
      <w:r>
        <w:t xml:space="preserve">Il ciclo si apre secondo Procedura.</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rispetto all’ultima valutazione medica, e il quadro torna al triage dall’inizio. La distinzione è fine e va tenuta, con la clausola d’età.</w:t>
      </w:r>
      <w:r>
        <w:t xml:space="preserve"> </w:t>
      </w:r>
      <w:r>
        <w:rPr>
          <w:b/>
          <w:bCs/>
        </w:rPr>
        <w:t xml:space="preserve">Sotto i 60 anni</w:t>
      </w:r>
      <w:r>
        <w:t xml:space="preserve"> </w:t>
      </w:r>
      <w:r>
        <w:t xml:space="preserve">cambiare alvo è tipico e non fa decadere niente.</w:t>
      </w:r>
      <w:r>
        <w:t xml:space="preserve"> </w:t>
      </w:r>
      <w:r>
        <w:rPr>
          <w:b/>
          <w:bCs/>
        </w:rPr>
        <w:t xml:space="preserve">Dai 60 in su</w:t>
      </w:r>
      <w:r>
        <w:t xml:space="preserve">, un alvo più molle o più frequente da oltre sei settimane fa decadere tutto. Cambiare</w:t>
      </w:r>
      <w:r>
        <w:t xml:space="preserve"> </w:t>
      </w:r>
      <w:r>
        <w:rPr>
          <w:b/>
          <w:bCs/>
        </w:rPr>
        <w:t xml:space="preserve">carattere del dolore</w:t>
      </w:r>
      <w:r>
        <w:t xml:space="preserve"> </w:t>
      </w:r>
      <w:r>
        <w:t xml:space="preserve">— da crampiforme a continuo, da mobile a fisso — fa decadere tutto a qualunque età.</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 Nel ROSSO: indicazione medica e comunicazione al curante. Nel GIALLO: reperto in cartella e comunicazione al curante. In entrambi: revisione programmata. Quello che non è scritto non esiste.</w:t>
      </w:r>
    </w:p>
    <w:p>
      <w:pPr>
        <w:pStyle w:val="BodyText"/>
      </w:pPr>
      <w:r>
        <w:rPr>
          <w:b/>
          <w:bCs/>
        </w:rPr>
        <w:t xml:space="preserve">Perché tre uscite e non un cancello che apre o chiude.</w:t>
      </w:r>
      <w:r>
        <w:t xml:space="preserve"> </w:t>
      </w:r>
      <w:r>
        <w:t xml:space="preserve">Il cancello binario dichiarava un requisito — l’inquadramento completo — e nella pratica veniva aggirato.</w:t>
      </w:r>
      <w:r>
        <w:t xml:space="preserve"> </w:t>
      </w:r>
      <w:r>
        <w:rPr>
          <w:b/>
          <w:bCs/>
        </w:rPr>
        <w:t xml:space="preserve">Una regola scritta e disattesa vale meno di nessuna regola</w:t>
      </w:r>
      <w:r>
        <w:t xml:space="preserve">, perché fa credere che un controllo esista. Il triage dichiara invece cosa fai davvero in ciascuna situazione, e tiene il ROSSO rigido. Mette poi per iscritto ciò che rende difendibile il GIALLO: il reperto tuo, il marker, il canale medico attivato, il tempo definito. Non è un allentamento: dove prima non c’era nessuna condizione, adesso ce ne sono cinque.</w:t>
      </w:r>
    </w:p>
    <w:bookmarkEnd w:id="47"/>
    <w:bookmarkStart w:id="48" w:name="X5ac40c5b49b381f25386d880c1ce462e8995bb5"/>
    <w:p>
      <w:pPr>
        <w:pStyle w:val="Heading3"/>
      </w:pPr>
      <w:r>
        <w:t xml:space="preserve">Cosa fanno i farmaci che prende, e perché non li commenti</w:t>
      </w:r>
    </w:p>
    <w:p>
      <w:pPr>
        <w:pStyle w:val="FirstParagraph"/>
      </w:pPr>
      <w:r>
        <w:t xml:space="preserve">Gli antispastici agiscono sulla muscolatura liscia e sul crampo. Il simeticone rompe le bolle di gas senza cambiarne la quantità. La loperamide rallenta il transito, il macrogol trattiene acqua nel lume.</w:t>
      </w:r>
      <w:r>
        <w:t xml:space="preserve"> </w:t>
      </w:r>
      <w:r>
        <w:rPr>
          <w:b/>
          <w:bCs/>
        </w:rPr>
        <w:t xml:space="preserve">L’antidepressivo a basso dosaggio non è per l’umore</w:t>
      </w:r>
      <w:r>
        <w:t xml:space="preserve">: agisce sulla sensibilità viscerale.</w:t>
      </w:r>
    </w:p>
    <w:p>
      <w:pPr>
        <w:pStyle w:val="BodyText"/>
      </w:pPr>
      <w:r>
        <w:t xml:space="preserve">Nel più grande studio su questa classe di farmaci l’antidepressivo a basso dosaggio ha battuto il placebo di 27 punti sul punteggio di gravità IBS-SSS (Francis 1997, PMID 9146781).</w:t>
      </w:r>
      <w:r>
        <w:t xml:space="preserve"> </w:t>
      </w:r>
      <w:r>
        <w:rPr>
          <w:b/>
          <w:bCs/>
        </w:rPr>
        <w:t xml:space="preserve">E ha quasi raddoppiato la probabilità di sollievo globale riferito dal paziente</w:t>
      </w:r>
      <w:r>
        <w:t xml:space="preserve">:</w:t>
      </w:r>
      <w:r>
        <w:t xml:space="preserve"> </w:t>
      </w:r>
      <w:r>
        <w:rPr>
          <w:i/>
          <w:iCs/>
        </w:rPr>
        <w:t xml:space="preserve">odds ratio</w:t>
      </w:r>
      <w:r>
        <w:t xml:space="preserve"> </w:t>
      </w:r>
      <w:r>
        <w:t xml:space="preserve">1,78, con intervallo da 1,19 a 2,66. È l’esito su cui quello studio ha fondato la propria conclusione (Ford 2023, PMID 37858323; disegno in Appendice B).</w:t>
      </w:r>
    </w:p>
    <w:p>
      <w:pPr>
        <w:pStyle w:val="BodyText"/>
      </w:pPr>
      <w:r>
        <w:rPr>
          <w:b/>
          <w:bCs/>
        </w:rPr>
        <w:t xml:space="preserve">Per te:</w:t>
      </w:r>
      <w:r>
        <w:t xml:space="preserve"> </w:t>
      </w:r>
      <w:r>
        <w:t xml:space="preserve">quel farmaco funziona sull’esito che interessa al paziente, e non è un termine di paragone per il tuo lavoro. I 27 punti sono una differenza fra medie di gruppo, su una scala che arriva a 500. Confrontarli con la soglia individuale di 50 è un uso scorretto del numero, ed è il modo più rapido di far credere a qualcuno che la sua terapia «fa poco». Il numero ti serve invece a restituire dignità a una prescrizione vissuta come un’accusa. Suona così:</w:t>
      </w:r>
      <w:r>
        <w:t xml:space="preserve"> </w:t>
      </w:r>
      <w:r>
        <w:rPr>
          <w:i/>
          <w:iCs/>
        </w:rPr>
        <w:t xml:space="preserve">«a basso dosaggio quel farmaco si usa anche per abbassare la sensibilità dell’intestino — chiedi al tuo medico perché l’ha scelto per te».</w:t>
      </w:r>
      <w:r>
        <w:t xml:space="preserve"> </w:t>
      </w:r>
      <w:r>
        <w:t xml:space="preserve">Nessuna valutazione, nessun suggerimento di modifica: decide il prescrittore.</w:t>
      </w:r>
    </w:p>
    <w:bookmarkEnd w:id="48"/>
    <w:bookmarkStart w:id="49" w:name="il-perimetro-su-questa-condizione"/>
    <w:p>
      <w:pPr>
        <w:pStyle w:val="Heading3"/>
      </w:pPr>
      <w:r>
        <w:t xml:space="preserve">Il perimetro, su questa condizione</w:t>
      </w:r>
    </w:p>
    <w:p>
      <w:pPr>
        <w:pStyle w:val="FirstParagraph"/>
      </w:pPr>
      <w:r>
        <w:rPr>
          <w:b/>
          <w:bCs/>
        </w:rPr>
        <w:t xml:space="preserve">Cosa dichiari nel consenso qui, e che in un’altra Bibbia non scriveresti.</w:t>
      </w:r>
    </w:p>
    <w:p>
      <w:pPr>
        <w:pStyle w:val="Compact"/>
        <w:numPr>
          <w:ilvl w:val="0"/>
          <w:numId w:val="1033"/>
        </w:numPr>
      </w:pPr>
      <w:r>
        <w:t xml:space="preserve">Che l’oggetto del trattamento è la</w:t>
      </w:r>
      <w:r>
        <w:t xml:space="preserve"> </w:t>
      </w:r>
      <w:r>
        <w:rPr>
          <w:b/>
          <w:bCs/>
        </w:rPr>
        <w:t xml:space="preserve">disfunzione somatica</w:t>
      </w:r>
      <w:r>
        <w:t xml:space="preserve"> </w:t>
      </w:r>
      <w:r>
        <w:t xml:space="preserve">trovata — parete, diaframma, cerniere — e non la cura della sindrome.</w:t>
      </w:r>
    </w:p>
    <w:p>
      <w:pPr>
        <w:pStyle w:val="Compact"/>
        <w:numPr>
          <w:ilvl w:val="0"/>
          <w:numId w:val="1033"/>
        </w:numPr>
      </w:pPr>
      <w:r>
        <w:t xml:space="preserve">Che l’evidenza di terapia manuale qui riguarda</w:t>
      </w:r>
      <w:r>
        <w:t xml:space="preserve"> </w:t>
      </w:r>
      <w:r>
        <w:rPr>
          <w:b/>
          <w:bCs/>
        </w:rPr>
        <w:t xml:space="preserve">il dolore addominale e non il punteggio globale</w:t>
      </w:r>
      <w:r>
        <w:t xml:space="preserve">, è di qualità giudicata bassa ed è documentata a breve termine.</w:t>
      </w:r>
    </w:p>
    <w:p>
      <w:pPr>
        <w:pStyle w:val="Compact"/>
        <w:numPr>
          <w:ilvl w:val="0"/>
          <w:numId w:val="1033"/>
        </w:numPr>
      </w:pPr>
      <w:r>
        <w:t xml:space="preserve">Che il trattamento si affianca al percorso gastroenterologico e alla terapia prescritta senza sostituirli, e che l’inquadramento decade se cambiano carattere, sede o intensità del dolore.</w:t>
      </w:r>
    </w:p>
    <w:p>
      <w:pPr>
        <w:pStyle w:val="Compact"/>
        <w:numPr>
          <w:ilvl w:val="0"/>
          <w:numId w:val="1033"/>
        </w:numPr>
      </w:pPr>
      <w:r>
        <w:t xml:space="preserve">Che una quota del miglioramento appartiene alla fluttuazione naturale della condizione, in cui il placebo muove il dolore in 35-40 pazienti su 100.</w:t>
      </w:r>
    </w:p>
    <w:p>
      <w:pPr>
        <w:pStyle w:val="FirstParagraph"/>
      </w:pPr>
      <w:r>
        <w:rPr>
          <w:b/>
          <w:bCs/>
        </w:rPr>
        <w:t xml:space="preserve">Il confine di atto, dove questa condizione lo mette alla prova.</w:t>
      </w:r>
    </w:p>
    <w:p>
      <w:pPr>
        <w:pStyle w:val="Compact"/>
        <w:numPr>
          <w:ilvl w:val="0"/>
          <w:numId w:val="1034"/>
        </w:numPr>
      </w:pPr>
      <w:r>
        <w:rPr>
          <w:b/>
          <w:bCs/>
        </w:rPr>
        <w:t xml:space="preserve">Nessun contatto interno.</w:t>
      </w:r>
      <w:r>
        <w:t xml:space="preserve"> </w:t>
      </w:r>
      <w:r>
        <w:t xml:space="preserve">L’esplorazione rettale e il riaddestramento anorettale non sono atto osteopatico. Il quadro normativo definisce l’osteopatia con tecniche esclusivamente manuali, non invasive ed esterne (DPR 131/2021).</w:t>
      </w:r>
    </w:p>
    <w:p>
      <w:pPr>
        <w:pStyle w:val="Compact"/>
        <w:numPr>
          <w:ilvl w:val="0"/>
          <w:numId w:val="1034"/>
        </w:numPr>
      </w:pPr>
      <w:r>
        <w:rPr>
          <w:b/>
          <w:bCs/>
        </w:rPr>
        <w:t xml:space="preserve">Nessuna prescrizione dietetica.</w:t>
      </w:r>
      <w:r>
        <w:t xml:space="preserve"> </w:t>
      </w:r>
      <w:r>
        <w:t xml:space="preserve">Segnalare che una dieta molto ristretta merita una valutazione è nostro; costruire uno schema di eliminazione e reintroduzione non lo è.</w:t>
      </w:r>
    </w:p>
    <w:p>
      <w:pPr>
        <w:pStyle w:val="Compact"/>
        <w:numPr>
          <w:ilvl w:val="0"/>
          <w:numId w:val="1034"/>
        </w:numPr>
      </w:pPr>
      <w:r>
        <w:rPr>
          <w:b/>
          <w:bCs/>
        </w:rPr>
        <w:t xml:space="preserve">Nessuna lettura di referto.</w:t>
      </w:r>
      <w:r>
        <w:t xml:space="preserve"> </w:t>
      </w:r>
      <w:r>
        <w:t xml:space="preserve">Non si dice se una calprotectina è normale, non si interpreta un breath test, non si commenta un’ecografia.</w:t>
      </w:r>
    </w:p>
    <w:p>
      <w:pPr>
        <w:pStyle w:val="Compact"/>
        <w:numPr>
          <w:ilvl w:val="0"/>
          <w:numId w:val="1034"/>
        </w:numPr>
      </w:pPr>
      <w:r>
        <w:rPr>
          <w:b/>
          <w:bCs/>
        </w:rPr>
        <w:t xml:space="preserve">Nessuna affermazione che sconfini nella diagnosi.</w:t>
      </w:r>
      <w:r>
        <w:t xml:space="preserve"> </w:t>
      </w:r>
      <w:r>
        <w:rPr>
          <w:i/>
          <w:iCs/>
        </w:rPr>
        <w:t xml:space="preserve">«Hai una sovracrescita batterica»</w:t>
      </w:r>
      <w:r>
        <w:t xml:space="preserve">,</w:t>
      </w:r>
      <w:r>
        <w:t xml:space="preserve"> </w:t>
      </w:r>
      <w:r>
        <w:rPr>
          <w:i/>
          <w:iCs/>
        </w:rPr>
        <w:t xml:space="preserve">«questo è un colon spastico»</w:t>
      </w:r>
      <w:r>
        <w:t xml:space="preserve">,</w:t>
      </w:r>
      <w:r>
        <w:t xml:space="preserve"> </w:t>
      </w:r>
      <w:r>
        <w:rPr>
          <w:i/>
          <w:iCs/>
        </w:rPr>
        <w:t xml:space="preserve">«non è niente»</w:t>
      </w:r>
      <w:r>
        <w:t xml:space="preserve"> </w:t>
      </w:r>
      <w:r>
        <w:t xml:space="preserve">sono tutte e tre fuori.</w:t>
      </w:r>
    </w:p>
    <w:p>
      <w:pPr>
        <w:pStyle w:val="FirstParagraph"/>
      </w:pPr>
      <w:r>
        <w:rPr>
          <w:b/>
          <w:bCs/>
        </w:rPr>
        <w:t xml:space="preserve">Il rapporto con il prescrittore.</w:t>
      </w:r>
      <w:r>
        <w:t xml:space="preserve"> </w:t>
      </w:r>
      <w:r>
        <w:t xml:space="preserve">La comunicazione scritta contiene tre cose e nient’altro: il reperto trovato, il marker scelto con la sua soglia, la data della revisione. Un test di parete positivo si scrive con quelle parole: è un’informazione che cambia il percorso del paziente e che il medico non ha.</w:t>
      </w:r>
    </w:p>
    <w:p>
      <w:pPr>
        <w:pStyle w:val="BodyText"/>
      </w:pPr>
      <w:r>
        <w:rPr>
          <w:b/>
          <w:bCs/>
        </w:rPr>
        <w:t xml:space="preserve">Se sbagli campo</w:t>
      </w:r>
      <w:r>
        <w:t xml:space="preserve"> </w:t>
      </w:r>
      <w:r>
        <w:t xml:space="preserve">trattieni per settimane un paziente che aveva bisogno di un accertamento. Si evita scrivendo, non ricordando.</w:t>
      </w:r>
    </w:p>
    <w:p>
      <w:pPr>
        <w:pStyle w:val="BodyText"/>
      </w:pPr>
      <w:r>
        <w:rPr>
          <w:b/>
          <w:bCs/>
        </w:rPr>
        <w:t xml:space="preserve">Le tre cose da ricordare, più una</w:t>
      </w:r>
    </w:p>
    <w:p>
      <w:pPr>
        <w:pStyle w:val="Compact"/>
        <w:numPr>
          <w:ilvl w:val="0"/>
          <w:numId w:val="1035"/>
        </w:numPr>
      </w:pPr>
      <w:r>
        <w:t xml:space="preserve">Sotto i 60 anni cambiare alvo è tipico della sindrome; dai 60 in su, se dura sei settimane, è un invio. Cambiare carattere del dolore fa ripartire il triage a ogni età.</w:t>
      </w:r>
    </w:p>
    <w:p>
      <w:pPr>
        <w:pStyle w:val="Compact"/>
        <w:numPr>
          <w:ilvl w:val="0"/>
          <w:numId w:val="1035"/>
        </w:numPr>
      </w:pPr>
      <w:r>
        <w:t xml:space="preserve">Il GIALLO si regge su cinque cose scritte, e il tempo si conta in settimane di calendario, massimo sei.</w:t>
      </w:r>
    </w:p>
    <w:p>
      <w:pPr>
        <w:pStyle w:val="Compact"/>
        <w:numPr>
          <w:ilvl w:val="0"/>
          <w:numId w:val="1035"/>
        </w:numPr>
      </w:pPr>
      <w:r>
        <w:t xml:space="preserve">Nel consenso, qui, si dichiara che l’evidenza riguarda il dolore e non il punteggio globale.</w:t>
      </w:r>
    </w:p>
    <w:p>
      <w:pPr>
        <w:pStyle w:val="Compact"/>
        <w:numPr>
          <w:ilvl w:val="0"/>
          <w:numId w:val="1035"/>
        </w:numPr>
      </w:pPr>
      <w:r>
        <w:rPr>
          <w:b/>
          <w:bCs/>
        </w:rPr>
        <w:t xml:space="preserve">Perché ci sei tu.</w:t>
      </w:r>
      <w:r>
        <w:t xml:space="preserve"> </w:t>
      </w:r>
      <w:r>
        <w:t xml:space="preserve">La linea guida che i medici usano dichiara che questa sindrome</w:t>
      </w:r>
      <w:r>
        <w:t xml:space="preserve"> </w:t>
      </w:r>
      <w:r>
        <w:rPr>
          <w:b/>
          <w:bCs/>
        </w:rPr>
        <w:t xml:space="preserve">raramente esordisce dopo i 50 anni</w:t>
      </w:r>
      <w:r>
        <w:t xml:space="preserve">. E indica accertamenti per il tumore ovarico nelle donne di quell’età con gonfiore persistente. Questo ti autorizza a fare la domanda che spesso nessuno ha fatto:</w:t>
      </w:r>
      <w:r>
        <w:t xml:space="preserve"> </w:t>
      </w:r>
      <w:r>
        <w:rPr>
          <w:i/>
          <w:iCs/>
        </w:rPr>
        <w:t xml:space="preserve">«da quanti anni ce l’hai?»</w:t>
      </w:r>
      <w:r>
        <w:t xml:space="preserve">. Non ti autorizza a rassicurare: serve a mandare indietro, non a tenere.</w:t>
      </w:r>
    </w:p>
    <w:p>
      <w:r>
        <w:pict>
          <v:rect style="width:0;height:1.5pt" o:hralign="center" o:hrstd="t" o:hr="t"/>
        </w:pict>
      </w:r>
    </w:p>
    <w:bookmarkEnd w:id="49"/>
    <w:bookmarkEnd w:id="50"/>
    <w:bookmarkStart w:id="56"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sindrome il pacchetto manuale è stato misurato, il dolore addominale si muove e il punteggio globale no.</w:t>
      </w:r>
    </w:p>
    <w:bookmarkStart w:id="51" w:name="le-due-ancore"/>
    <w:p>
      <w:pPr>
        <w:pStyle w:val="Heading3"/>
      </w:pPr>
      <w:r>
        <w:t xml:space="preserve">Le due ancore</w:t>
      </w:r>
    </w:p>
    <w:p>
      <w:pPr>
        <w:pStyle w:val="FirstParagraph"/>
      </w:pPr>
      <w:r>
        <w:rPr>
          <w:b/>
          <w:bCs/>
        </w:rPr>
        <w:t xml:space="preserve">L’ancora clinica è Marc Bouchoucha</w:t>
      </w:r>
      <w:r>
        <w:t xml:space="preserve">, gastroenterologia dell’Ospedale Avicenne di Bobigny. Con Attali e Benamouzig ha fatto la cosa che quasi nessuno fa sulle terapie manuali viscerali: uno studio randomizzato</w:t>
      </w:r>
      <w:r>
        <w:t xml:space="preserve"> </w:t>
      </w:r>
      <w:r>
        <w:rPr>
          <w:b/>
          <w:bCs/>
        </w:rPr>
        <w:t xml:space="preserve">crossover controllato con placebo</w:t>
      </w:r>
      <w:r>
        <w:t xml:space="preserve"> </w:t>
      </w:r>
      <w:r>
        <w:t xml:space="preserve">su 31 pazienti refrattari. Ha misurato anche la</w:t>
      </w:r>
      <w:r>
        <w:t xml:space="preserve"> </w:t>
      </w:r>
      <w:r>
        <w:rPr>
          <w:b/>
          <w:bCs/>
        </w:rPr>
        <w:t xml:space="preserve">soglia rettale con un palloncino</w:t>
      </w:r>
      <w:r>
        <w:t xml:space="preserve"> </w:t>
      </w:r>
      <w:r>
        <w:t xml:space="preserve">prima e dopo, con rivalutazione a un anno.</w:t>
      </w:r>
    </w:p>
    <w:p>
      <w:pPr>
        <w:pStyle w:val="BodyText"/>
      </w:pPr>
      <w:r>
        <w:rPr>
          <w:b/>
          <w:bCs/>
        </w:rPr>
        <w:t xml:space="preserve">Limiti dichiarati.</w:t>
      </w:r>
      <w:r>
        <w:t xml:space="preserve"> </w:t>
      </w:r>
      <w:r>
        <w:t xml:space="preserve">Sono 31 pazienti, un solo centro, e pazienti</w:t>
      </w:r>
      <w:r>
        <w:t xml:space="preserve"> </w:t>
      </w:r>
      <w:r>
        <w:rPr>
          <w:b/>
          <w:bCs/>
        </w:rPr>
        <w:t xml:space="preserve">refrattari</w:t>
      </w:r>
      <w:r>
        <w:t xml:space="preserve">, cioè un estremo della popolazione e non chi arriva dal medico di base. È un gastroenterologo che ha studiato l’osteopatia, non un terapista manuale. E il limite più importante è un altro: lo studio riporta il cambiamento</w:t>
      </w:r>
      <w:r>
        <w:t xml:space="preserve"> </w:t>
      </w:r>
      <w:r>
        <w:rPr>
          <w:b/>
          <w:bCs/>
        </w:rPr>
        <w:t xml:space="preserve">dentro</w:t>
      </w:r>
      <w:r>
        <w:t xml:space="preserve"> </w:t>
      </w:r>
      <w:r>
        <w:t xml:space="preserve">ciascun braccio, non un confronto</w:t>
      </w:r>
      <w:r>
        <w:t xml:space="preserve"> </w:t>
      </w:r>
      <w:r>
        <w:rPr>
          <w:b/>
          <w:bCs/>
        </w:rPr>
        <w:t xml:space="preserve">fra</w:t>
      </w:r>
      <w:r>
        <w:t xml:space="preserve"> </w:t>
      </w:r>
      <w:r>
        <w:t xml:space="preserve">i due bracci. La differenza fra «significativo» e «non significativo» non è un confronto significativo. In tredici anni nessuno ha replicato quel dato.</w:t>
      </w:r>
    </w:p>
    <w:p>
      <w:pPr>
        <w:pStyle w:val="BodyText"/>
      </w:pPr>
      <w:r>
        <w:rPr>
          <w:b/>
          <w:bCs/>
        </w:rPr>
        <w:t xml:space="preserve">L’ancora fisiologica è Fernando Azpiroz</w:t>
      </w:r>
      <w:r>
        <w:t xml:space="preserve">, Vall d’Hebron di Barcellona, con Barba e Accarino. Ha filmato con la tomografia e registrato con l’elettromiografia cosa fanno i muscoli durante un episodio reale di pancia gonfia. Ha chiamato quel comportamento dissinergia addomino-frenica. Poi ha dimostrato, con studi randomizzati controllati con placebo, che insegnando al paziente a correggerlo il sintomo cala. È l’ancora che mette un muscolo scheletrico dentro la fisiopatologia — ed è anche lui un gastroenterologo.</w:t>
      </w:r>
    </w:p>
    <w:p>
      <w:pPr>
        <w:pStyle w:val="BodyText"/>
      </w:pPr>
      <w:r>
        <w:t xml:space="preserve">Le ancore sono due perché le funzioni sono separate: una regge la prova clinica, l’altra il razionale.</w:t>
      </w:r>
    </w:p>
    <w:bookmarkEnd w:id="51"/>
    <w:bookmarkStart w:id="52" w:name="gli-studi-cardine"/>
    <w:p>
      <w:pPr>
        <w:pStyle w:val="Heading3"/>
      </w:pPr>
      <w:r>
        <w:t xml:space="preserve">Gli studi cardine</w:t>
      </w:r>
    </w:p>
    <w:p>
      <w:pPr>
        <w:pStyle w:val="FirstParagraph"/>
      </w:pPr>
      <w:r>
        <w:t xml:space="preserve">Quattordici righe.</w:t>
      </w:r>
      <w:r>
        <w:t xml:space="preserve"> </w:t>
      </w:r>
      <w:r>
        <w:rPr>
          <w:b/>
          <w:bCs/>
        </w:rPr>
        <w:t xml:space="preserve">Otto portano un risultato negativo o restrittivo</w:t>
      </w:r>
      <w:r>
        <w:t xml:space="preserve"> </w:t>
      </w:r>
      <w:r>
        <w:t xml:space="preserve">sul confronto che riguarda la nostra leva, e nessuna di quelle otto è stata tolta per far spazio.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Buffone 2023 (37685480)</w:t>
            </w:r>
          </w:p>
        </w:tc>
        <w:tc>
          <w:tcPr/>
          <w:p>
            <w:pPr>
              <w:pStyle w:val="Compact"/>
            </w:pPr>
            <w:r>
              <w:t xml:space="preserve">5 studi randomizzati, OMT vs finto o nulla</w:t>
            </w:r>
          </w:p>
        </w:tc>
        <w:tc>
          <w:tcPr/>
          <w:p>
            <w:pPr>
              <w:pStyle w:val="Compact"/>
            </w:pPr>
            <w:r>
              <w:t xml:space="preserve">Dichiarare il dolore come bersaglio, mai il quadro</w:t>
            </w:r>
          </w:p>
        </w:tc>
      </w:tr>
      <w:tr>
        <w:tc>
          <w:tcPr/>
          <w:p>
            <w:pPr>
              <w:pStyle w:val="Compact"/>
            </w:pPr>
            <w:r>
              <w:t xml:space="preserve">Attali 2013 (23981319)</w:t>
            </w:r>
          </w:p>
        </w:tc>
        <w:tc>
          <w:tcPr/>
          <w:p>
            <w:pPr>
              <w:pStyle w:val="Compact"/>
            </w:pPr>
            <w:r>
              <w:t xml:space="preserve">31 pazienti, crossover con placebo</w:t>
            </w:r>
          </w:p>
        </w:tc>
        <w:tc>
          <w:tcPr/>
          <w:p>
            <w:pPr>
              <w:pStyle w:val="Compact"/>
            </w:pPr>
            <w:r>
              <w:t xml:space="preserve">Dire che la soglia si è mossa</w:t>
            </w:r>
          </w:p>
        </w:tc>
      </w:tr>
      <w:tr>
        <w:tc>
          <w:tcPr/>
          <w:p>
            <w:pPr>
              <w:pStyle w:val="Compact"/>
            </w:pPr>
            <w:r>
              <w:t xml:space="preserve">Florance 2012 (22546751)</w:t>
            </w:r>
          </w:p>
        </w:tc>
        <w:tc>
          <w:tcPr/>
          <w:p>
            <w:pPr>
              <w:pStyle w:val="Compact"/>
            </w:pPr>
            <w:r>
              <w:t xml:space="preserve">30 pazienti, osteopatia vs finta</w:t>
            </w:r>
          </w:p>
        </w:tc>
        <w:tc>
          <w:tcPr/>
          <w:p>
            <w:pPr>
              <w:pStyle w:val="Compact"/>
            </w:pPr>
            <w:r>
              <w:t xml:space="preserve">Aspettarti un effetto breve</w:t>
            </w:r>
          </w:p>
        </w:tc>
      </w:tr>
      <w:tr>
        <w:tc>
          <w:tcPr/>
          <w:p>
            <w:pPr>
              <w:pStyle w:val="Compact"/>
            </w:pPr>
            <w:r>
              <w:t xml:space="preserve">Hundscheid 2007 (17716344)</w:t>
            </w:r>
          </w:p>
        </w:tc>
        <w:tc>
          <w:tcPr/>
          <w:p>
            <w:pPr>
              <w:pStyle w:val="Compact"/>
            </w:pPr>
            <w:r>
              <w:t xml:space="preserve">39 pazienti, senza finto trattamento</w:t>
            </w:r>
          </w:p>
        </w:tc>
        <w:tc>
          <w:tcPr/>
          <w:p>
            <w:pPr>
              <w:pStyle w:val="Compact"/>
            </w:pPr>
            <w:r>
              <w:t xml:space="preserve">Contare poco su questo risultato</w:t>
            </w:r>
          </w:p>
        </w:tc>
      </w:tr>
      <w:tr>
        <w:tc>
          <w:tcPr/>
          <w:p>
            <w:pPr>
              <w:pStyle w:val="Compact"/>
            </w:pPr>
            <w:r>
              <w:t xml:space="preserve">Bu 2020 (32951752)</w:t>
            </w:r>
          </w:p>
        </w:tc>
        <w:tc>
          <w:tcPr/>
          <w:p>
            <w:pPr>
              <w:pStyle w:val="Compact"/>
            </w:pPr>
            <w:r>
              <w:t xml:space="preserve">8 studi cinesi, 545 pazienti, tuina</w:t>
            </w:r>
          </w:p>
        </w:tc>
        <w:tc>
          <w:tcPr/>
          <w:p>
            <w:pPr>
              <w:pStyle w:val="Compact"/>
            </w:pPr>
            <w:r>
              <w:t xml:space="preserve">Non dire che nessuno ha misurato</w:t>
            </w:r>
          </w:p>
        </w:tc>
      </w:tr>
      <w:tr>
        <w:tc>
          <w:tcPr/>
          <w:p>
            <w:pPr>
              <w:pStyle w:val="Compact"/>
            </w:pPr>
            <w:r>
              <w:t xml:space="preserve">Barba 2024 (38467383)</w:t>
            </w:r>
          </w:p>
        </w:tc>
        <w:tc>
          <w:tcPr/>
          <w:p>
            <w:pPr>
              <w:pStyle w:val="Compact"/>
            </w:pPr>
            <w:r>
              <w:t xml:space="preserve">42 pazienti, riaddestramento vs placebo</w:t>
            </w:r>
          </w:p>
        </w:tc>
        <w:tc>
          <w:tcPr/>
          <w:p>
            <w:pPr>
              <w:pStyle w:val="Compact"/>
            </w:pPr>
            <w:r>
              <w:t xml:space="preserve">Lavorare sul contenitore</w:t>
            </w:r>
          </w:p>
        </w:tc>
      </w:tr>
      <w:tr>
        <w:tc>
          <w:tcPr/>
          <w:p>
            <w:pPr>
              <w:pStyle w:val="Compact"/>
            </w:pPr>
            <w:r>
              <w:t xml:space="preserve">Barba 2015 (25500424)</w:t>
            </w:r>
          </w:p>
        </w:tc>
        <w:tc>
          <w:tcPr/>
          <w:p>
            <w:pPr>
              <w:pStyle w:val="Compact"/>
            </w:pPr>
            <w:r>
              <w:t xml:space="preserve">45 pazienti, tomografia ed elettromiografia</w:t>
            </w:r>
          </w:p>
        </w:tc>
        <w:tc>
          <w:tcPr/>
          <w:p>
            <w:pPr>
              <w:pStyle w:val="Compact"/>
            </w:pPr>
            <w:r>
              <w:t xml:space="preserve">Nominare i muscoli giusti</w:t>
            </w:r>
          </w:p>
        </w:tc>
      </w:tr>
      <w:tr>
        <w:tc>
          <w:tcPr/>
          <w:p>
            <w:pPr>
              <w:pStyle w:val="Compact"/>
            </w:pPr>
            <w:r>
              <w:t xml:space="preserve">Simrén 2019 (31022401)</w:t>
            </w:r>
          </w:p>
        </w:tc>
        <w:tc>
          <w:tcPr/>
          <w:p>
            <w:pPr>
              <w:pStyle w:val="Compact"/>
            </w:pPr>
            <w:r>
              <w:t xml:space="preserve">407 pazienti, palloncino e transito</w:t>
            </w:r>
          </w:p>
        </w:tc>
        <w:tc>
          <w:tcPr/>
          <w:p>
            <w:pPr>
              <w:pStyle w:val="Compact"/>
            </w:pPr>
            <w:r>
              <w:t xml:space="preserve">Non presumere un piano da trattare</w:t>
            </w:r>
          </w:p>
        </w:tc>
      </w:tr>
      <w:tr>
        <w:tc>
          <w:tcPr/>
          <w:p>
            <w:pPr>
              <w:pStyle w:val="Compact"/>
            </w:pPr>
            <w:r>
              <w:t xml:space="preserve">Kuiken 2005 (16011674)</w:t>
            </w:r>
          </w:p>
        </w:tc>
        <w:tc>
          <w:tcPr/>
          <w:p>
            <w:pPr>
              <w:pStyle w:val="Compact"/>
            </w:pPr>
            <w:r>
              <w:t xml:space="preserve">92 pazienti, sintomi e soglia</w:t>
            </w:r>
          </w:p>
        </w:tc>
        <w:tc>
          <w:tcPr/>
          <w:p>
            <w:pPr>
              <w:pStyle w:val="Compact"/>
            </w:pPr>
            <w:r>
              <w:t xml:space="preserve">Usare un test, non il racconto</w:t>
            </w:r>
          </w:p>
        </w:tc>
      </w:tr>
      <w:tr>
        <w:tc>
          <w:tcPr/>
          <w:p>
            <w:pPr>
              <w:pStyle w:val="Compact"/>
            </w:pPr>
            <w:r>
              <w:t xml:space="preserve">Kaptchuk 2008 (18390493)</w:t>
            </w:r>
          </w:p>
        </w:tc>
        <w:tc>
          <w:tcPr/>
          <w:p>
            <w:pPr>
              <w:pStyle w:val="Compact"/>
            </w:pPr>
            <w:r>
              <w:t xml:space="preserve">262 pazienti, tre livelli di relazione</w:t>
            </w:r>
          </w:p>
        </w:tc>
        <w:tc>
          <w:tcPr/>
          <w:p>
            <w:pPr>
              <w:pStyle w:val="Compact"/>
            </w:pPr>
            <w:r>
              <w:t xml:space="preserve">Curare come stai in stanza</w:t>
            </w:r>
          </w:p>
        </w:tc>
      </w:tr>
      <w:tr>
        <w:tc>
          <w:tcPr/>
          <w:p>
            <w:pPr>
              <w:pStyle w:val="Compact"/>
            </w:pPr>
            <w:r>
              <w:t xml:space="preserve">Johannesson 2011 (21206488)</w:t>
            </w:r>
          </w:p>
        </w:tc>
        <w:tc>
          <w:tcPr/>
          <w:p>
            <w:pPr>
              <w:pStyle w:val="Compact"/>
            </w:pPr>
            <w:r>
              <w:t xml:space="preserve">102 pazienti, attività fisica</w:t>
            </w:r>
          </w:p>
        </w:tc>
        <w:tc>
          <w:tcPr/>
          <w:p>
            <w:pPr>
              <w:pStyle w:val="Compact"/>
            </w:pPr>
            <w:r>
              <w:t xml:space="preserve">Insegnare e monitorare il movimento</w:t>
            </w:r>
          </w:p>
        </w:tc>
      </w:tr>
      <w:tr>
        <w:tc>
          <w:tcPr/>
          <w:p>
            <w:pPr>
              <w:pStyle w:val="Compact"/>
            </w:pPr>
            <w:r>
              <w:t xml:space="preserve">Saab 2025 (40358469)</w:t>
            </w:r>
          </w:p>
        </w:tc>
        <w:tc>
          <w:tcPr/>
          <w:p>
            <w:pPr>
              <w:pStyle w:val="Compact"/>
            </w:pPr>
            <w:r>
              <w:t xml:space="preserve">11 studi, 535 pazienti, yoga</w:t>
            </w:r>
          </w:p>
        </w:tc>
        <w:tc>
          <w:tcPr/>
          <w:p>
            <w:pPr>
              <w:pStyle w:val="Compact"/>
            </w:pPr>
            <w:r>
              <w:t xml:space="preserve">Non proporre lo yoga come cura</w:t>
            </w:r>
          </w:p>
        </w:tc>
      </w:tr>
      <w:tr>
        <w:tc>
          <w:tcPr/>
          <w:p>
            <w:pPr>
              <w:pStyle w:val="Compact"/>
            </w:pPr>
            <w:r>
              <w:t xml:space="preserve">Guillaud 2018 (29452579)</w:t>
            </w:r>
          </w:p>
        </w:tc>
        <w:tc>
          <w:tcPr/>
          <w:p>
            <w:pPr>
              <w:pStyle w:val="Compact"/>
            </w:pPr>
            <w:r>
              <w:t xml:space="preserve">8 studi di affidabilità, 6 di efficacia</w:t>
            </w:r>
          </w:p>
        </w:tc>
        <w:tc>
          <w:tcPr/>
          <w:p>
            <w:pPr>
              <w:pStyle w:val="Compact"/>
            </w:pPr>
            <w:r>
              <w:t xml:space="preserve">Non fidarti della palpazione viscerale per decidere</w:t>
            </w:r>
          </w:p>
        </w:tc>
      </w:tr>
      <w:tr>
        <w:tc>
          <w:tcPr/>
          <w:p>
            <w:pPr>
              <w:pStyle w:val="Compact"/>
            </w:pPr>
            <w:r>
              <w:t xml:space="preserve">Nunan 2022 (35766861)</w:t>
            </w:r>
          </w:p>
        </w:tc>
        <w:tc>
          <w:tcPr/>
          <w:p>
            <w:pPr>
              <w:pStyle w:val="Compact"/>
            </w:pPr>
            <w:r>
              <w:t xml:space="preserve">Cochrane, 11 studi, 622 pazienti</w:t>
            </w:r>
          </w:p>
        </w:tc>
        <w:tc>
          <w:tcPr/>
          <w:p>
            <w:pPr>
              <w:pStyle w:val="Compact"/>
            </w:pPr>
            <w:r>
              <w:t xml:space="preserve">Non promettere il dolore con il movimento</w:t>
            </w:r>
          </w:p>
        </w:tc>
      </w:tr>
    </w:tbl>
    <w:bookmarkEnd w:id="52"/>
    <w:bookmarkStart w:id="53" w:name="i-tre-cerchi"/>
    <w:p>
      <w:pPr>
        <w:pStyle w:val="Heading3"/>
      </w:pPr>
      <w:r>
        <w:t xml:space="preserve">I tre cerchi</w:t>
      </w:r>
    </w:p>
    <w:p>
      <w:pPr>
        <w:pStyle w:val="FirstParagraph"/>
      </w:pPr>
      <w:r>
        <w:rPr>
          <w:b/>
          <w:bCs/>
        </w:rPr>
        <w:t xml:space="preserve">Cerchio 1 — l’evidenza specifica.</w:t>
      </w:r>
      <w:r>
        <w:t xml:space="preserve"> </w:t>
      </w:r>
      <w:r>
        <w:t xml:space="preserve">La meta-analisi più recente ha trovato cinque studi randomizzati di osteopatia su questa sindrome. Il confronto messo insieme non è solo contro un finto trattamento: è contro</w:t>
      </w:r>
      <w:r>
        <w:t xml:space="preserve"> </w:t>
      </w:r>
      <w:r>
        <w:rPr>
          <w:b/>
          <w:bCs/>
        </w:rPr>
        <w:t xml:space="preserve">finto trattamento o nessun intervento</w:t>
      </w:r>
      <w:r>
        <w:t xml:space="preserve">, e i due non pesano uguale.</w:t>
      </w:r>
    </w:p>
    <w:p>
      <w:pPr>
        <w:pStyle w:val="BodyText"/>
      </w:pPr>
      <w:r>
        <w:t xml:space="preserve">Il risultato, esito per esito.</w:t>
      </w:r>
      <w:r>
        <w:t xml:space="preserve"> </w:t>
      </w:r>
      <w:r>
        <w:rPr>
          <w:b/>
          <w:bCs/>
        </w:rPr>
        <w:t xml:space="preserve">Il dolore addominale migliora</w:t>
      </w:r>
      <w:r>
        <w:t xml:space="preserve">: dimensione dell’effetto −1,14, intervallo da −1,66 a −0,62.</w:t>
      </w:r>
      <w:r>
        <w:t xml:space="preserve"> </w:t>
      </w:r>
      <w:r>
        <w:rPr>
          <w:b/>
          <w:bCs/>
        </w:rPr>
        <w:t xml:space="preserve">La stitichezza migliora</w:t>
      </w:r>
      <w:r>
        <w:t xml:space="preserve">: −0,66, da −1,12 a −0,20.</w:t>
      </w:r>
      <w:r>
        <w:t xml:space="preserve"> </w:t>
      </w:r>
      <w:r>
        <w:rPr>
          <w:b/>
          <w:bCs/>
        </w:rPr>
        <w:t xml:space="preserve">Il punteggio globale dei sintomi no</w:t>
      </w:r>
      <w:r>
        <w:t xml:space="preserve">: −0,34, da −0,83 a 0,16.</w:t>
      </w:r>
      <w:r>
        <w:t xml:space="preserve"> </w:t>
      </w:r>
      <w:r>
        <w:rPr>
          <w:b/>
          <w:bCs/>
        </w:rPr>
        <w:t xml:space="preserve">La diarrea no</w:t>
      </w:r>
      <w:r>
        <w:t xml:space="preserve">: −1,20, da −2,84 a 0,43. La qualità delle prove è giudicata bassa, e molto bassa per la diarrea.</w:t>
      </w:r>
      <w:r>
        <w:t xml:space="preserve"> </w:t>
      </w:r>
      <w:r>
        <w:t xml:space="preserve">&gt;</w:t>
      </w:r>
      <w:r>
        <w:t xml:space="preserve"> </w:t>
      </w:r>
      <w:r>
        <w:rPr>
          <w:b/>
          <w:bCs/>
        </w:rPr>
        <w:t xml:space="preserve">Cosa cambia per te — come si leggono questi numeri.</w:t>
      </w:r>
      <w:r>
        <w:t xml:space="preserve"> </w:t>
      </w:r>
      <w:r>
        <w:t xml:space="preserve">Il segno negativo vuol dire miglioramento.</w:t>
      </w:r>
      <w:r>
        <w:t xml:space="preserve"> </w:t>
      </w:r>
      <w:r>
        <w:rPr>
          <w:b/>
          <w:bCs/>
        </w:rPr>
        <w:t xml:space="preserve">Se l’intervallo comprende lo zero, la differenza non è distinguibile da zero</w:t>
      </w:r>
      <w:r>
        <w:t xml:space="preserve">: ecco perché −0,66 conta e −0,34 no. Non sono stati segnalati effetti avversi importanti. Ma i pazienti randomizzati in tutto sono circa 200: un numero che non permette di escludere un evento più raro di circa 1 su 70. E in una parte degli studi la rilevazione degli eventi avversi era incompleta o assente.</w:t>
      </w:r>
      <w:r>
        <w:t xml:space="preserve"> </w:t>
      </w:r>
      <w:r>
        <w:rPr>
          <w:b/>
          <w:bCs/>
        </w:rPr>
        <w:t xml:space="preserve">Per te:</w:t>
      </w:r>
      <w:r>
        <w:t xml:space="preserve"> </w:t>
      </w:r>
      <w:r>
        <w:t xml:space="preserve">hai un bersaglio solo da dichiarare, ed è il dolore addominale.</w:t>
      </w:r>
      <w:r>
        <w:t xml:space="preserve"> </w:t>
      </w:r>
      <w:r>
        <w:rPr>
          <w:i/>
          <w:iCs/>
        </w:rPr>
        <w:t xml:space="preserve">«Miglioriamo il colon irritabile»</w:t>
      </w:r>
      <w:r>
        <w:t xml:space="preserve"> </w:t>
      </w:r>
      <w:r>
        <w:t xml:space="preserve">promette l’esito che quella meta-analisi ha misurato e non ha trovato.</w:t>
      </w:r>
      <w:r>
        <w:t xml:space="preserve"> </w:t>
      </w:r>
      <w:r>
        <w:rPr>
          <w:i/>
          <w:iCs/>
        </w:rPr>
        <w:t xml:space="preserve">«Lavoriamo sul dolore, e il resto lo misuriamo»</w:t>
      </w:r>
      <w:r>
        <w:t xml:space="preserve"> </w:t>
      </w:r>
      <w:r>
        <w:t xml:space="preserve">dice quello che i dati sostengono.</w:t>
      </w:r>
      <w:r>
        <w:t xml:space="preserve"> </w:t>
      </w:r>
      <w:r>
        <w:t xml:space="preserve">(Buffone 2023 — PMID 37685480; disegno in Appendice B)</w:t>
      </w:r>
    </w:p>
    <w:p>
      <w:pPr>
        <w:pStyle w:val="BodyText"/>
      </w:pPr>
      <w:r>
        <w:t xml:space="preserve">Dentro quel cerchio, due studi vanno letti a parte, oltre ad Attali già descritto sopra.</w:t>
      </w:r>
    </w:p>
    <w:p>
      <w:pPr>
        <w:pStyle w:val="BodyText"/>
      </w:pPr>
      <w:r>
        <w:rPr>
          <w:b/>
          <w:bCs/>
        </w:rPr>
        <w:t xml:space="preserve">Florance 2012</w:t>
      </w:r>
      <w:r>
        <w:t xml:space="preserve"> </w:t>
      </w:r>
      <w:r>
        <w:t xml:space="preserve">regge il limite. A sette giorni la differenza c’era ed era netta (−32,2 contro −9,0),</w:t>
      </w:r>
      <w:r>
        <w:t xml:space="preserve"> </w:t>
      </w:r>
      <w:r>
        <w:rPr>
          <w:b/>
          <w:bCs/>
        </w:rPr>
        <w:t xml:space="preserve">a ventotto giorni era sparita</w:t>
      </w:r>
      <w:r>
        <w:t xml:space="preserve">. Frequenza e consistenza delle feci non sono cambiate (PMID 22546751; disegno in Appendice B).</w:t>
      </w:r>
    </w:p>
    <w:p>
      <w:pPr>
        <w:pStyle w:val="BodyText"/>
      </w:pPr>
      <w:r>
        <w:rPr>
          <w:b/>
          <w:bCs/>
        </w:rPr>
        <w:t xml:space="preserve">Hundscheid 2007</w:t>
      </w:r>
      <w:r>
        <w:t xml:space="preserve"> </w:t>
      </w:r>
      <w:r>
        <w:t xml:space="preserve">va citato con cautela. È</w:t>
      </w:r>
      <w:r>
        <w:t xml:space="preserve"> </w:t>
      </w:r>
      <w:r>
        <w:rPr>
          <w:b/>
          <w:bCs/>
        </w:rPr>
        <w:t xml:space="preserve">senza finto trattamento</w:t>
      </w:r>
      <w:r>
        <w:t xml:space="preserve">, con 68% di miglioramento netto contro 18%. Senza braccio simulato quella differenza contiene attenzione, tempo e aspettativa insieme all’effetto del gesto (PMID 17716344; disegno in Appendice B).</w:t>
      </w:r>
    </w:p>
    <w:p>
      <w:pPr>
        <w:pStyle w:val="BodyText"/>
      </w:pPr>
      <w:r>
        <w:rPr>
          <w:b/>
          <w:bCs/>
        </w:rPr>
        <w:t xml:space="preserve">Cerchio 2 — l’evidenza trasversale sul meccanismo.</w:t>
      </w:r>
    </w:p>
    <w:p>
      <w:pPr>
        <w:pStyle w:val="Compact"/>
        <w:numPr>
          <w:ilvl w:val="0"/>
          <w:numId w:val="1036"/>
        </w:numPr>
      </w:pPr>
      <w:r>
        <w:rPr>
          <w:b/>
          <w:bCs/>
        </w:rPr>
        <w:t xml:space="preserve">Il contenitore muscolare si corregge.</w:t>
      </w:r>
      <w:r>
        <w:t xml:space="preserve"> </w:t>
      </w:r>
      <w:r>
        <w:t xml:space="preserve">Chi imparava a mobilizzare il diaframma ha ridotto del 66% il punteggio di distensione, il placebo no.</w:t>
      </w:r>
      <w:r>
        <w:t xml:space="preserve"> </w:t>
      </w:r>
      <w:r>
        <w:rPr>
          <w:i/>
          <w:iCs/>
        </w:rPr>
        <w:t xml:space="preserve">Salto di erogatore e di strumento: la correzione arriva da un segnale visivo restituito con cinture di pletismografia, non da una mano.</w:t>
      </w:r>
      <w:r>
        <w:t xml:space="preserve"> </w:t>
      </w:r>
      <w:r>
        <w:t xml:space="preserve">(Barba 2024 — PMID 38467383; disegno in Appendice B)</w:t>
      </w:r>
    </w:p>
    <w:p>
      <w:pPr>
        <w:pStyle w:val="Compact"/>
        <w:numPr>
          <w:ilvl w:val="0"/>
          <w:numId w:val="1036"/>
        </w:numPr>
      </w:pPr>
      <w:r>
        <w:rPr>
          <w:b/>
          <w:bCs/>
        </w:rPr>
        <w:t xml:space="preserve">La relazione terapeutica pesa, e pesa molto.</w:t>
      </w:r>
      <w:r>
        <w:t xml:space="preserve"> </w:t>
      </w:r>
      <w:r>
        <w:t xml:space="preserve">Sollievo adeguato nel 28% in lista d’attesa, 44% col solo rituale terapeutico, 62% con relazione curata.</w:t>
      </w:r>
      <w:r>
        <w:t xml:space="preserve"> </w:t>
      </w:r>
      <w:r>
        <w:rPr>
          <w:i/>
          <w:iCs/>
        </w:rPr>
        <w:t xml:space="preserve">Salto di intervento: misurato con una finta agopuntura su questi stessi pazienti, non con un trattamento manuale.</w:t>
      </w:r>
      <w:r>
        <w:t xml:space="preserve"> </w:t>
      </w:r>
      <w:r>
        <w:t xml:space="preserve">(Kaptchuk 2008 — PMID 18390493; disegno in Appendice B)</w:t>
      </w:r>
    </w:p>
    <w:p>
      <w:pPr>
        <w:pStyle w:val="Compact"/>
        <w:numPr>
          <w:ilvl w:val="0"/>
          <w:numId w:val="1036"/>
        </w:numPr>
      </w:pPr>
      <w:r>
        <w:rPr>
          <w:b/>
          <w:bCs/>
        </w:rPr>
        <w:t xml:space="preserve">Il respiro lento sposta gli indici vagali.</w:t>
      </w:r>
      <w:r>
        <w:t xml:space="preserve"> </w:t>
      </w:r>
      <w:r>
        <w:rPr>
          <w:i/>
          <w:iCs/>
        </w:rPr>
        <w:t xml:space="preserve">Il salto è di popolazione: misurato su volontari e popolazioni generali, non su pazienti con questa sindrome.</w:t>
      </w:r>
      <w:r>
        <w:t xml:space="preserve"> </w:t>
      </w:r>
      <w:r>
        <w:t xml:space="preserve">(Laborde 2022 — PMID 35623448; disegno in Appendice B)</w:t>
      </w:r>
    </w:p>
    <w:p>
      <w:pPr>
        <w:pStyle w:val="Compact"/>
        <w:numPr>
          <w:ilvl w:val="0"/>
          <w:numId w:val="1036"/>
        </w:numPr>
      </w:pPr>
      <w:r>
        <w:rPr>
          <w:b/>
          <w:bCs/>
        </w:rPr>
        <w:t xml:space="preserve">E quando l’attività vagale si alza davvero, in questi pazienti, la soglia rettale sale con lei.</w:t>
      </w:r>
      <w:r>
        <w:t xml:space="preserve"> </w:t>
      </w:r>
      <w:r>
        <w:t xml:space="preserve">Sintomi e qualità di vita migliori (p&lt;0,001),</w:t>
      </w:r>
      <w:r>
        <w:t xml:space="preserve"> </w:t>
      </w:r>
      <w:r>
        <w:rPr>
          <w:b/>
          <w:bCs/>
        </w:rPr>
        <w:t xml:space="preserve">volume soglia più alto per la prima sensazione (p=0,033) e per lo stimolo a evacuare (p=0,022)</w:t>
      </w:r>
      <w:r>
        <w:t xml:space="preserve">, attività vagale aumentata (p&lt;0,001).</w:t>
      </w:r>
      <w:r>
        <w:t xml:space="preserve"> </w:t>
      </w:r>
      <w:r>
        <w:rPr>
          <w:i/>
          <w:iCs/>
        </w:rPr>
        <w:t xml:space="preserve">Misurato con una stimolazione elettrica dell’orecchio e nella sola forma con stitichezza, non con una mano.</w:t>
      </w:r>
      <w:r>
        <w:t xml:space="preserve"> </w:t>
      </w:r>
      <w:r>
        <w:t xml:space="preserve">(Liu 2024 — PMID 39689011; disegno in Appendice B)</w:t>
      </w:r>
    </w:p>
    <w:p>
      <w:pPr>
        <w:pStyle w:val="Compact"/>
        <w:numPr>
          <w:ilvl w:val="0"/>
          <w:numId w:val="1036"/>
        </w:numPr>
      </w:pPr>
      <w:r>
        <w:rPr>
          <w:b/>
          <w:bCs/>
        </w:rPr>
        <w:t xml:space="preserve">Va letto insieme al suo gemello, e con il limite che condividono.</w:t>
      </w:r>
      <w:r>
        <w:t xml:space="preserve"> </w:t>
      </w:r>
      <w:r>
        <w:t xml:space="preserve">Lo studio sul respiro lento (Liu 2022, PMID 36408402) e questo vengono dallo</w:t>
      </w:r>
      <w:r>
        <w:t xml:space="preserve"> </w:t>
      </w:r>
      <w:r>
        <w:rPr>
          <w:b/>
          <w:bCs/>
        </w:rPr>
        <w:t xml:space="preserve">stesso gruppo, stesso centro, stesso sottotipo</w:t>
      </w:r>
      <w:r>
        <w:t xml:space="preserve">, con 85 e 40 pazienti. Non sono due conferme indipendenti: sono due misure dello stesso laboratorio.</w:t>
      </w:r>
    </w:p>
    <w:p>
      <w:pPr>
        <w:pStyle w:val="Compact"/>
        <w:numPr>
          <w:ilvl w:val="0"/>
          <w:numId w:val="1036"/>
        </w:numPr>
      </w:pPr>
      <w:r>
        <w:rPr>
          <w:b/>
          <w:bCs/>
        </w:rPr>
        <w:t xml:space="preserve">Il contesto funziona anche quando lo dichiari.</w:t>
      </w:r>
      <w:r>
        <w:t xml:space="preserve"> </w:t>
      </w:r>
      <w:r>
        <w:t xml:space="preserve">Il placebo</w:t>
      </w:r>
      <w:r>
        <w:t xml:space="preserve"> </w:t>
      </w:r>
      <w:r>
        <w:rPr>
          <w:b/>
          <w:bCs/>
        </w:rPr>
        <w:t xml:space="preserve">dichiarato come placebo</w:t>
      </w:r>
      <w:r>
        <w:t xml:space="preserve"> </w:t>
      </w:r>
      <w:r>
        <w:t xml:space="preserve">ha migliorato il punteggio di gravità di 90,6 punti, contro i 52,3 del braccio senza pillola (p=0,038, d=0,43). E non si è distinto dal placebo in doppio cieco (100,3 contro 90,6, p=0,485).</w:t>
      </w:r>
      <w:r>
        <w:t xml:space="preserve"> </w:t>
      </w:r>
      <w:r>
        <w:rPr>
          <w:i/>
          <w:iCs/>
        </w:rPr>
        <w:t xml:space="preserve">Misurato con una pillola inerte su questi stessi pazienti, non con un trattamento manuale: il salto è di intervento, non di popolazione.</w:t>
      </w:r>
      <w:r>
        <w:t xml:space="preserve"> </w:t>
      </w:r>
      <w:r>
        <w:t xml:space="preserve">(Lembo 2021 — PMID 33605656; disegno in Appendice B)</w:t>
      </w:r>
    </w:p>
    <w:p>
      <w:pPr>
        <w:pStyle w:val="Compact"/>
        <w:numPr>
          <w:ilvl w:val="0"/>
          <w:numId w:val="1036"/>
        </w:numPr>
      </w:pPr>
      <w:r>
        <w:rPr>
          <w:b/>
          <w:bCs/>
        </w:rPr>
        <w:t xml:space="preserve">Il trattamento manuale osteopatico e gli indici psicofisiologici.</w:t>
      </w:r>
      <w:r>
        <w:t xml:space="preserve"> </w:t>
      </w:r>
      <w:r>
        <w:t xml:space="preserve">Gli interventi osteopatici riducono la depressione: g = −0,47, e g = −0,61 nelle popolazioni con dolore. E</w:t>
      </w:r>
      <w:r>
        <w:t xml:space="preserve"> </w:t>
      </w:r>
      <w:r>
        <w:rPr>
          <w:b/>
          <w:bCs/>
        </w:rPr>
        <w:t xml:space="preserve">aumentano</w:t>
      </w:r>
      <w:r>
        <w:t xml:space="preserve"> </w:t>
      </w:r>
      <w:r>
        <w:t xml:space="preserve">la conduttanza cutanea: g = +0,67, intervallo da</w:t>
      </w:r>
      <w:r>
        <w:t xml:space="preserve"> </w:t>
      </w:r>
      <w:r>
        <w:rPr>
          <w:b/>
          <w:bCs/>
        </w:rPr>
        <w:t xml:space="preserve">0,00</w:t>
      </w:r>
      <w:r>
        <w:t xml:space="preserve"> </w:t>
      </w:r>
      <w:r>
        <w:t xml:space="preserve">a 1,34, p = 0,05, cioè un risultato al limite e non distinguibile da zero.</w:t>
      </w:r>
      <w:r>
        <w:t xml:space="preserve"> </w:t>
      </w:r>
      <w:r>
        <w:rPr>
          <w:i/>
          <w:iCs/>
        </w:rPr>
        <w:t xml:space="preserve">Il salto è di popolazione e di bersaglio: misurato su popolazioni generali e con dolore, non su questa sindrome.</w:t>
      </w:r>
      <w:r>
        <w:t xml:space="preserve"> </w:t>
      </w:r>
      <w:r>
        <w:t xml:space="preserve">(Gordon 2025 — PMID 39920074; disegno in Appendice B)</w:t>
      </w:r>
    </w:p>
    <w:p>
      <w:pPr>
        <w:pStyle w:val="BlockText"/>
      </w:pPr>
      <w:r>
        <w:rPr>
          <w:b/>
          <w:bCs/>
        </w:rPr>
        <w:t xml:space="preserve">Attenzione.</w:t>
      </w:r>
      <w:r>
        <w:t xml:space="preserve"> </w:t>
      </w:r>
      <w:r>
        <w:t xml:space="preserve">Quel dato circola come prova contraria alla leva sull’attivazione, e non lo è, per due ragioni. La prima sta nel numero: l’intervallo tocca lo zero. La seconda è di meccanismo. La conduttanza cutanea è un indice</w:t>
      </w:r>
      <w:r>
        <w:t xml:space="preserve"> </w:t>
      </w:r>
      <w:r>
        <w:rPr>
          <w:b/>
          <w:bCs/>
        </w:rPr>
        <w:t xml:space="preserve">fasico della risposta allo stimolo</w:t>
      </w:r>
      <w:r>
        <w:t xml:space="preserve">, non del livello</w:t>
      </w:r>
      <w:r>
        <w:t xml:space="preserve"> </w:t>
      </w:r>
      <w:r>
        <w:rPr>
          <w:b/>
          <w:bCs/>
        </w:rPr>
        <w:t xml:space="preserve">tonico</w:t>
      </w:r>
      <w:r>
        <w:t xml:space="preserve">. Nella terapia manuale il suo aumento accompagnerebbe l’ipoalgesia invece di escluderla —</w:t>
      </w:r>
      <w:r>
        <w:t xml:space="preserve"> </w:t>
      </w:r>
      <w:r>
        <w:rPr>
          <w:i/>
          <w:iCs/>
        </w:rPr>
        <w:t xml:space="preserve">quanto è solido:</w:t>
      </w:r>
      <w:r>
        <w:t xml:space="preserve"> </w:t>
      </w:r>
      <w:r>
        <w:rPr>
          <w:b/>
          <w:bCs/>
        </w:rPr>
        <w:t xml:space="preserve">IPOTESI</w:t>
      </w:r>
      <w:r>
        <w:t xml:space="preserve"> </w:t>
      </w:r>
      <w:r>
        <w:rPr>
          <w:i/>
          <w:iCs/>
        </w:rPr>
        <w:t xml:space="preserve">(meccanismo coerente, nessuno studio)</w:t>
      </w:r>
      <w:r>
        <w:t xml:space="preserve">.</w:t>
      </w:r>
      <w:r>
        <w:t xml:space="preserve"> </w:t>
      </w:r>
      <w:r>
        <w:t xml:space="preserve">E la formulazione corretta dell’assenza non è «nessuno ha misurato»: è che</w:t>
      </w:r>
      <w:r>
        <w:t xml:space="preserve"> </w:t>
      </w:r>
      <w:r>
        <w:rPr>
          <w:b/>
          <w:bCs/>
        </w:rPr>
        <w:t xml:space="preserve">le misure disponibili non concordano fra loro</w:t>
      </w:r>
      <w:r>
        <w:t xml:space="preserve">. Su questi pazienti, dopo un trattamento manuale, nessuno ha misurato lo stato tonico — vero. Ma</w:t>
      </w:r>
      <w:r>
        <w:t xml:space="preserve"> </w:t>
      </w:r>
      <w:r>
        <w:rPr>
          <w:b/>
          <w:bCs/>
        </w:rPr>
        <w:t xml:space="preserve">sul distretto che questa Bibbia tratta</w:t>
      </w:r>
      <w:r>
        <w:t xml:space="preserve"> </w:t>
      </w:r>
      <w:r>
        <w:t xml:space="preserve">la misura è stata fatta, ed è stata fatta due volte con esiti diversi. Una revisione con meta-analisi di 20 studi e 863 partecipanti ha guardato la mobilizzazione e la manipolazione del rachide dorsale.</w:t>
      </w:r>
      <w:r>
        <w:t xml:space="preserve"> </w:t>
      </w:r>
      <w:r>
        <w:rPr>
          <w:b/>
          <w:bCs/>
        </w:rPr>
        <w:t xml:space="preserve">Non trova nessun effetto significativo</w:t>
      </w:r>
      <w:r>
        <w:t xml:space="preserve"> </w:t>
      </w:r>
      <w:r>
        <w:t xml:space="preserve">sui marcatori del sistema autonomico, e dichiara</w:t>
      </w:r>
      <w:r>
        <w:t xml:space="preserve"> </w:t>
      </w:r>
      <w:r>
        <w:rPr>
          <w:b/>
          <w:bCs/>
        </w:rPr>
        <w:t xml:space="preserve">ambigua la direzione</w:t>
      </w:r>
      <w:r>
        <w:t xml:space="preserve"> </w:t>
      </w:r>
      <w:r>
        <w:t xml:space="preserve">dei cambiamenti (Hansen,</w:t>
      </w:r>
      <w:r>
        <w:t xml:space="preserve"> </w:t>
      </w:r>
      <w:r>
        <w:rPr>
          <w:i/>
          <w:iCs/>
        </w:rPr>
        <w:t xml:space="preserve">J Man Manip Ther</w:t>
      </w:r>
      <w:r>
        <w:t xml:space="preserve"> </w:t>
      </w:r>
      <w:r>
        <w:t xml:space="preserve">2025 — PMID 40232939). Uno studio randomizzato controllato con finto trattamento, in crossover su 23 atleti, trova invece il contrario. Dopo trattamento osteopatico la variabilità cardiaca era</w:t>
      </w:r>
      <w:r>
        <w:t xml:space="preserve"> </w:t>
      </w:r>
      <w:r>
        <w:rPr>
          <w:b/>
          <w:bCs/>
        </w:rPr>
        <w:t xml:space="preserve">aumentata</w:t>
      </w:r>
      <w:r>
        <w:t xml:space="preserve"> </w:t>
      </w:r>
      <w:r>
        <w:t xml:space="preserve">e la pressione media ridotta (Carnevali,</w:t>
      </w:r>
      <w:r>
        <w:t xml:space="preserve"> </w:t>
      </w:r>
      <w:r>
        <w:rPr>
          <w:i/>
          <w:iCs/>
        </w:rPr>
        <w:t xml:space="preserve">J Manipulative Physiol Ther</w:t>
      </w:r>
      <w:r>
        <w:t xml:space="preserve"> </w:t>
      </w:r>
      <w:r>
        <w:t xml:space="preserve">2021 — PMID 33436300).</w:t>
      </w:r>
      <w:r>
        <w:t xml:space="preserve"> </w:t>
      </w:r>
      <w:r>
        <w:rPr>
          <w:i/>
          <w:iCs/>
        </w:rPr>
        <w:t xml:space="preserve">Misurato sul rachide dorsale in soggetti sintomatici e asintomatici e su atleti sani, non su pazienti con questa sindrome: il salto è di popolazione. Il distretto invece è lo stesso che qui si tratta, e quella coincidenza rende il dato negativo più pertinente, non meno.</w:t>
      </w:r>
    </w:p>
    <w:p>
      <w:pPr>
        <w:pStyle w:val="FirstParagraph"/>
      </w:pPr>
      <w:r>
        <w:rPr>
          <w:b/>
          <w:bCs/>
        </w:rPr>
        <w:t xml:space="preserve">Cerchio 3 — la fisiologia.</w:t>
      </w:r>
      <w:r>
        <w:t xml:space="preserve"> </w:t>
      </w:r>
      <w:r>
        <w:t xml:space="preserve">Le vie afferenti del colon distale, la meccanica dell’accomodazione addominale, la risposta ormonale allo stress in questi pazienti (Kano, PMID 28963545), la relazione fra mastociti e fibre nervose (Barbara, PMID 14988823). Regge il</w:t>
      </w:r>
      <w:r>
        <w:t xml:space="preserve"> </w:t>
      </w:r>
      <w:r>
        <w:rPr>
          <w:b/>
          <w:bCs/>
        </w:rPr>
        <w:t xml:space="preserve">razionale</w:t>
      </w:r>
      <w:r>
        <w:t xml:space="preserve">, mai l’efficacia.</w:t>
      </w:r>
    </w:p>
    <w:bookmarkEnd w:id="53"/>
    <w:bookmarkStart w:id="54"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37"/>
        </w:numPr>
      </w:pPr>
      <w:r>
        <w:t xml:space="preserve">Che il dolore addominale migliora con il trattamento osteopatico più che con un finto trattamento o nessun intervento, con prove di qualità bassa.</w:t>
      </w:r>
    </w:p>
    <w:p>
      <w:pPr>
        <w:pStyle w:val="Compact"/>
        <w:numPr>
          <w:ilvl w:val="0"/>
          <w:numId w:val="1037"/>
        </w:numPr>
      </w:pPr>
      <w:r>
        <w:t xml:space="preserve">Che in uno studio la soglia rettale è salita dopo osteopatia viscerale e non dopo placebo.</w:t>
      </w:r>
    </w:p>
    <w:p>
      <w:pPr>
        <w:pStyle w:val="Compact"/>
        <w:numPr>
          <w:ilvl w:val="0"/>
          <w:numId w:val="1037"/>
        </w:numPr>
      </w:pPr>
      <w:r>
        <w:t xml:space="preserve">Che il comportamento di diaframma e parete durante la distensione è alterato, misurato e correggibile.</w:t>
      </w:r>
    </w:p>
    <w:p>
      <w:pPr>
        <w:pStyle w:val="Compact"/>
        <w:numPr>
          <w:ilvl w:val="0"/>
          <w:numId w:val="1037"/>
        </w:numPr>
      </w:pPr>
      <w:r>
        <w:t xml:space="preserve">Che l’assetto autonomico di questi pazienti è diverso da quello dei sani, con effetti piccoli.</w:t>
      </w:r>
    </w:p>
    <w:p>
      <w:pPr>
        <w:pStyle w:val="Compact"/>
        <w:numPr>
          <w:ilvl w:val="0"/>
          <w:numId w:val="1037"/>
        </w:numPr>
      </w:pPr>
      <w:r>
        <w:t xml:space="preserve">Che il modo in cui si sta in stanza cambia l’esito in modo misurabile.</w:t>
      </w:r>
    </w:p>
    <w:p>
      <w:pPr>
        <w:pStyle w:val="Compact"/>
        <w:numPr>
          <w:ilvl w:val="0"/>
          <w:numId w:val="1037"/>
        </w:numPr>
      </w:pPr>
      <w:r>
        <w:t xml:space="preserve">Che negli studi</w:t>
      </w:r>
      <w:r>
        <w:t xml:space="preserve"> </w:t>
      </w:r>
      <w:r>
        <w:rPr>
          <w:b/>
          <w:bCs/>
        </w:rPr>
        <w:t xml:space="preserve">non sono stati segnalati</w:t>
      </w:r>
      <w:r>
        <w:t xml:space="preserve"> </w:t>
      </w:r>
      <w:r>
        <w:t xml:space="preserve">effetti avversi importanti — su circa 200 pazienti in tutto, un numero che non esclude un evento più raro.</w:t>
      </w:r>
    </w:p>
    <w:p>
      <w:pPr>
        <w:pStyle w:val="FirstParagraph"/>
      </w:pPr>
      <w:r>
        <w:rPr>
          <w:b/>
          <w:bCs/>
        </w:rPr>
        <w:t xml:space="preserve">Non possiamo dire</w:t>
      </w:r>
    </w:p>
    <w:p>
      <w:pPr>
        <w:pStyle w:val="Compact"/>
        <w:numPr>
          <w:ilvl w:val="0"/>
          <w:numId w:val="1038"/>
        </w:numPr>
      </w:pPr>
      <w:r>
        <w:t xml:space="preserve">Che il trattamento osteopatico migliori il punteggio globale dei sintomi: quella misura è stata fatta e non ha mostrato differenza.</w:t>
      </w:r>
    </w:p>
    <w:p>
      <w:pPr>
        <w:pStyle w:val="Compact"/>
        <w:numPr>
          <w:ilvl w:val="0"/>
          <w:numId w:val="1038"/>
        </w:numPr>
      </w:pPr>
      <w:r>
        <w:t xml:space="preserve">Che l’effetto duri: nell’unico studio con finto trattamento e controllo a un mese la differenza era sparita.</w:t>
      </w:r>
    </w:p>
    <w:p>
      <w:pPr>
        <w:pStyle w:val="Compact"/>
        <w:numPr>
          <w:ilvl w:val="0"/>
          <w:numId w:val="1038"/>
        </w:numPr>
      </w:pPr>
      <w:r>
        <w:t xml:space="preserve">Che migliori la diarrea o la forma delle feci.</w:t>
      </w:r>
    </w:p>
    <w:p>
      <w:pPr>
        <w:pStyle w:val="Compact"/>
        <w:numPr>
          <w:ilvl w:val="0"/>
          <w:numId w:val="1038"/>
        </w:numPr>
      </w:pPr>
      <w:r>
        <w:t xml:space="preserve">Che la nostra mano corregga la dissinergia addomino-frenica: la correzione documentata arriva da un riaddestramento con segnale visivo.</w:t>
      </w:r>
    </w:p>
    <w:p>
      <w:pPr>
        <w:pStyle w:val="Compact"/>
        <w:numPr>
          <w:ilvl w:val="0"/>
          <w:numId w:val="1038"/>
        </w:numPr>
      </w:pPr>
      <w:r>
        <w:t xml:space="preserve">Che la nostra palpazione viscerale sia affidabile. La sola revisione che l’ha valutata dice di no, e lo studio meno distorto che ha incluso non mostra differenza sull’esito principale (Guillaud 2018 — PMID 29452579).</w:t>
      </w:r>
    </w:p>
    <w:p>
      <w:pPr>
        <w:pStyle w:val="Compact"/>
        <w:numPr>
          <w:ilvl w:val="0"/>
          <w:numId w:val="1038"/>
        </w:numPr>
      </w:pPr>
      <w:r>
        <w:t xml:space="preserve">Che il nostro tocco sposti il tono vagale di questi pazienti. Su di loro nessuno l’ha misurato, e sul distretto che trattiamo</w:t>
      </w:r>
      <w:r>
        <w:t xml:space="preserve"> </w:t>
      </w:r>
      <w:r>
        <w:rPr>
          <w:b/>
          <w:bCs/>
        </w:rPr>
        <w:t xml:space="preserve">le misure disponibili non concordano fra loro</w:t>
      </w:r>
      <w:r>
        <w:t xml:space="preserve"> </w:t>
      </w:r>
      <w:r>
        <w:t xml:space="preserve">(Hansen 2025 — PMID 40232939; Carnevali 2021 — PMID 33436300).</w:t>
      </w:r>
    </w:p>
    <w:p>
      <w:pPr>
        <w:pStyle w:val="Compact"/>
        <w:numPr>
          <w:ilvl w:val="0"/>
          <w:numId w:val="1038"/>
        </w:numPr>
      </w:pPr>
      <w:r>
        <w:t xml:space="preserve">Che un miglioramento a braccio singolo sia una prova. Uno studio a tre bracci su 262 di questi pazienti lo mostra.</w:t>
      </w:r>
      <w:r>
        <w:t xml:space="preserve"> </w:t>
      </w:r>
      <w:r>
        <w:rPr>
          <w:b/>
          <w:bCs/>
        </w:rPr>
        <w:t xml:space="preserve">Nel braccio senza pillola, con la sola qualità dell’interazione, il punteggio si è mosso di 52,3 punti: sopra la soglia di 50 che la scala riconosce come miglioramento</w:t>
      </w:r>
      <w:r>
        <w:t xml:space="preserve"> </w:t>
      </w:r>
      <w:r>
        <w:t xml:space="preserve">(Lembo 2021 — PMID 33605656).</w:t>
      </w:r>
    </w:p>
    <w:p>
      <w:pPr>
        <w:pStyle w:val="Compact"/>
        <w:numPr>
          <w:ilvl w:val="0"/>
          <w:numId w:val="1038"/>
        </w:numPr>
      </w:pPr>
      <w:r>
        <w:t xml:space="preserve">Che il biofeedback, in generale, controlli i sintomi di questa sindrome:</w:t>
      </w:r>
      <w:r>
        <w:t xml:space="preserve"> </w:t>
      </w:r>
      <w:r>
        <w:rPr>
          <w:b/>
          <w:bCs/>
        </w:rPr>
        <w:t xml:space="preserve">non ci sono prove sufficienti</w:t>
      </w:r>
      <w:r>
        <w:t xml:space="preserve">. Sono 8 studi randomizzati e 300 partecipanti, su biofeedback termico, di variabilità cardiaca, elettrocutaneo e rettosigmoideo. Tutti a rischio di distorsione alto o non chiaro (Goldenberg,</w:t>
      </w:r>
      <w:r>
        <w:t xml:space="preserve"> </w:t>
      </w:r>
      <w:r>
        <w:rPr>
          <w:i/>
          <w:iCs/>
        </w:rPr>
        <w:t xml:space="preserve">Cochrane Database Syst Rev</w:t>
      </w:r>
      <w:r>
        <w:t xml:space="preserve"> </w:t>
      </w:r>
      <w:r>
        <w:t xml:space="preserve">2019 — PMID 31713856).</w:t>
      </w:r>
    </w:p>
    <w:p>
      <w:pPr>
        <w:pStyle w:val="Compact"/>
        <w:numPr>
          <w:ilvl w:val="0"/>
          <w:numId w:val="1038"/>
        </w:numPr>
      </w:pPr>
      <w:r>
        <w:t xml:space="preserve">Che lo yoga funzioni: la meta-analisi più specifica non ha trovato differenza, con eterogeneità considerevole e alto rischio di distorsione (Saab 2025, PMID 40358469). Le revisioni più larghe, che lo mettono insieme al resto dell’attività fisica, sono positive con certezza molto bassa.</w:t>
      </w:r>
      <w:r>
        <w:t xml:space="preserve"> </w:t>
      </w:r>
      <w:r>
        <w:rPr>
          <w:b/>
          <w:bCs/>
        </w:rPr>
        <w:t xml:space="preserve">Non è dimostrato che funzioni, e non è dimostrato che non funzioni.</w:t>
      </w:r>
    </w:p>
    <w:p>
      <w:pPr>
        <w:pStyle w:val="Compact"/>
        <w:numPr>
          <w:ilvl w:val="0"/>
          <w:numId w:val="1038"/>
        </w:numPr>
      </w:pPr>
      <w:r>
        <w:t xml:space="preserve">Che di studi di terapia manuale non ce ne siano: ce ne sono, anche fuori dall’osteopatia.</w:t>
      </w:r>
    </w:p>
    <w:bookmarkEnd w:id="54"/>
    <w:bookmarkStart w:id="55" w:name="quando-la-scienza-tace"/>
    <w:p>
      <w:pPr>
        <w:pStyle w:val="Heading3"/>
      </w:pPr>
      <w:r>
        <w:t xml:space="preserve">Quando la scienza tace</w:t>
      </w:r>
    </w:p>
    <w:p>
      <w:pPr>
        <w:pStyle w:val="FirstParagraph"/>
      </w:pPr>
      <w:r>
        <w:rPr>
          <w:b/>
          <w:bCs/>
        </w:rPr>
        <w:t xml:space="preserve">1. Assenza di prove non è prova di assenza.</w:t>
      </w:r>
      <w:r>
        <w:t xml:space="preserve"> </w:t>
      </w:r>
      <w:r>
        <w:t xml:space="preserve">Che nessuno abbia misurato una cosa dice che nessuno l’ha misurata, non che non funziona.</w:t>
      </w:r>
    </w:p>
    <w:p>
      <w:pPr>
        <w:pStyle w:val="BodyText"/>
      </w:pPr>
      <w:r>
        <w:rPr>
          <w:b/>
          <w:bCs/>
        </w:rPr>
        <w:t xml:space="preserve">2. Perché quella letteratura non esiste — e qui la risposta è più stretta del solito.</w:t>
      </w:r>
      <w:r>
        <w:t xml:space="preserve"> </w:t>
      </w:r>
      <w:r>
        <w:t xml:space="preserve">Non è vero che gli studi manchino. Ci sono cinque studi randomizzati di osteopatia, due con finto trattamento. Ci sono poi otto studi randomizzati cinesi con il massaggio. Il gesto da solo non mostra un vantaggio sulle cure abituali nella forma con diarrea (rischio relativo 1,23, da 0,94 a 1,60). Il gesto aggiunto alle cure abituali sì (1,29, da 1,08 a 1,54). Il rischio di distorsione è non chiaro (Bu 2020, PMID 32951752). Ci sono poi una revisione su terapie manuali di ogni tipo (PMID 39880320) e uno studio randomizzato con finta agopressione (PMID 39875940).</w:t>
      </w:r>
    </w:p>
    <w:p>
      <w:pPr>
        <w:pStyle w:val="BodyText"/>
      </w:pPr>
      <w:r>
        <w:t xml:space="preserve">Quello che manca è più preciso di «gli studi». Mancano quattro cose.</w:t>
      </w:r>
    </w:p>
    <w:p>
      <w:pPr>
        <w:pStyle w:val="Compact"/>
        <w:numPr>
          <w:ilvl w:val="0"/>
          <w:numId w:val="1039"/>
        </w:numPr>
      </w:pPr>
      <w:r>
        <w:rPr>
          <w:b/>
          <w:bCs/>
        </w:rPr>
        <w:t xml:space="preserve">Campioni adeguati:</w:t>
      </w:r>
      <w:r>
        <w:t xml:space="preserve"> </w:t>
      </w:r>
      <w:r>
        <w:t xml:space="preserve">il più grande studio di osteopatia qui ha 39 pazienti.</w:t>
      </w:r>
    </w:p>
    <w:p>
      <w:pPr>
        <w:pStyle w:val="Compact"/>
        <w:numPr>
          <w:ilvl w:val="0"/>
          <w:numId w:val="1039"/>
        </w:numPr>
      </w:pPr>
      <w:r>
        <w:rPr>
          <w:b/>
          <w:bCs/>
        </w:rPr>
        <w:t xml:space="preserve">Una durata:</w:t>
      </w:r>
      <w:r>
        <w:t xml:space="preserve"> </w:t>
      </w:r>
      <w:r>
        <w:t xml:space="preserve">l’unico controllo a un mese con finto trattamento ha visto sparire la differenza.</w:t>
      </w:r>
    </w:p>
    <w:p>
      <w:pPr>
        <w:pStyle w:val="Compact"/>
        <w:numPr>
          <w:ilvl w:val="0"/>
          <w:numId w:val="1039"/>
        </w:numPr>
      </w:pPr>
      <w:r>
        <w:rPr>
          <w:b/>
          <w:bCs/>
        </w:rPr>
        <w:t xml:space="preserve">La misura del meccanismo insieme all’esito, dopo il nostro gesto.</w:t>
      </w:r>
      <w:r>
        <w:t xml:space="preserve"> </w:t>
      </w:r>
      <w:r>
        <w:t xml:space="preserve">La soglia rettale, insieme al punteggio dei sintomi, è stata misurata in disegni randomizzati su questi pazienti. È stata misurata con il respiro lento e con la stimolazione elettrica dell’orecchio, e in tutti e due i casi si è mossa (PMID 36408402; PMID 39689011). Dopo un trattamento manuale l’ha misurata un gruppo solo, su 31 persone, senza confronto diretto fra i bracci.</w:t>
      </w:r>
      <w:r>
        <w:t xml:space="preserve"> </w:t>
      </w:r>
      <w:r>
        <w:rPr>
          <w:b/>
          <w:bCs/>
        </w:rPr>
        <w:t xml:space="preserve">Il buco non è la misura: è la misura accanto alla nostra mano.</w:t>
      </w:r>
    </w:p>
    <w:p>
      <w:pPr>
        <w:pStyle w:val="Compact"/>
        <w:numPr>
          <w:ilvl w:val="0"/>
          <w:numId w:val="1039"/>
        </w:numPr>
      </w:pPr>
      <w:r>
        <w:rPr>
          <w:b/>
          <w:bCs/>
        </w:rPr>
        <w:t xml:space="preserve">L’affidabilità di quello che palpiamo per decidere</w:t>
      </w:r>
      <w:r>
        <w:t xml:space="preserve">, valutata e non retta (Guillaud 2018, PMID 29452579). È la più scomoda, ed è il motivo per cui qui a decidere è un marker e non una mano.</w:t>
      </w:r>
    </w:p>
    <w:p>
      <w:pPr>
        <w:pStyle w:val="FirstParagraph"/>
      </w:pPr>
      <w:r>
        <w:rPr>
          <w:b/>
          <w:bCs/>
        </w:rPr>
        <w:t xml:space="preserve">3. Su cosa ti basi allora</w:t>
      </w:r>
      <w:r>
        <w:t xml:space="preserve">, in ordine di forza. Sul</w:t>
      </w:r>
      <w:r>
        <w:t xml:space="preserve"> </w:t>
      </w:r>
      <w:r>
        <w:rPr>
          <w:b/>
          <w:bCs/>
        </w:rPr>
        <w:t xml:space="preserve">meccanismo fisiologico</w:t>
      </w:r>
      <w:r>
        <w:t xml:space="preserve"> </w:t>
      </w:r>
      <w:r>
        <w:t xml:space="preserve">documentato: contenitore, assetto autonomico, soglia misurata. Sul</w:t>
      </w:r>
      <w:r>
        <w:t xml:space="preserve"> </w:t>
      </w:r>
      <w:r>
        <w:rPr>
          <w:b/>
          <w:bCs/>
        </w:rPr>
        <w:t xml:space="preserve">ragionamento clinico</w:t>
      </w:r>
      <w:r>
        <w:t xml:space="preserve">, dichiarato come tale e non come prova. Sulla</w:t>
      </w:r>
      <w:r>
        <w:t xml:space="preserve"> </w:t>
      </w:r>
      <w:r>
        <w:rPr>
          <w:b/>
          <w:bCs/>
        </w:rPr>
        <w:t xml:space="preserve">verifica su questo paziente</w:t>
      </w:r>
      <w:r>
        <w:t xml:space="preserve">: un marker scelto</w:t>
      </w:r>
      <w:r>
        <w:t xml:space="preserve"> </w:t>
      </w:r>
      <w:r>
        <w:rPr>
          <w:b/>
          <w:bCs/>
        </w:rPr>
        <w:t xml:space="preserve">prima</w:t>
      </w:r>
      <w:r>
        <w:t xml:space="preserve">, con soglia dichiarata, misurato prima e dopo.</w:t>
      </w:r>
    </w:p>
    <w:p>
      <w:pPr>
        <w:pStyle w:val="BodyText"/>
      </w:pPr>
      <w:r>
        <w:rPr>
          <w:b/>
          <w:bCs/>
        </w:rPr>
        <w:t xml:space="preserve">4. Cosa separa questo dal pensiero magico.</w:t>
      </w:r>
      <w:r>
        <w:t xml:space="preserve"> </w:t>
      </w:r>
      <w:r>
        <w:t xml:space="preserve">La verifica, e nient’altro: il marker si sceglie</w:t>
      </w:r>
      <w:r>
        <w:t xml:space="preserve"> </w:t>
      </w:r>
      <w:r>
        <w:rPr>
          <w:b/>
          <w:bCs/>
        </w:rPr>
        <w:t xml:space="preserve">prima</w:t>
      </w:r>
      <w:r>
        <w:t xml:space="preserve"> </w:t>
      </w:r>
      <w:r>
        <w:t xml:space="preserve">e se ne accetta il verdetto. Vale doppio qui, dove il placebo muove il dolore in 35-40 pazienti su 100 (Barberio 2022, PMID 34425274).</w:t>
      </w:r>
    </w:p>
    <w:p>
      <w:pPr>
        <w:pStyle w:val="BodyText"/>
      </w:pPr>
      <w:r>
        <w:rPr>
          <w:b/>
          <w:bCs/>
        </w:rPr>
        <w:t xml:space="preserve">5. Cosa questo non autorizza.</w:t>
      </w:r>
      <w:r>
        <w:t xml:space="preserve"> </w:t>
      </w:r>
      <w:r>
        <w:t xml:space="preserve">Non a promettere un esito. Non a scrivere DIMOSTRATO dove c’è IPOTESI. Non a dire «gli studi lo confermano» quando ne confermano una parte e su un’altra hanno detto di no.</w:t>
      </w:r>
    </w:p>
    <w:p>
      <w:pPr>
        <w:pStyle w:val="BodyText"/>
      </w:pPr>
      <w:r>
        <w:rPr>
          <w:b/>
          <w:bCs/>
        </w:rPr>
        <w:t xml:space="preserve">Le tre cose da ricordare, più una</w:t>
      </w:r>
    </w:p>
    <w:p>
      <w:pPr>
        <w:pStyle w:val="Compact"/>
        <w:numPr>
          <w:ilvl w:val="0"/>
          <w:numId w:val="1040"/>
        </w:numPr>
      </w:pPr>
      <w:r>
        <w:t xml:space="preserve">Il dolore addominale è il solo esito che regge il confronto con un finto trattamento. È quello che si dichiara come bersaglio.</w:t>
      </w:r>
    </w:p>
    <w:p>
      <w:pPr>
        <w:pStyle w:val="Compact"/>
        <w:numPr>
          <w:ilvl w:val="0"/>
          <w:numId w:val="1040"/>
        </w:numPr>
      </w:pPr>
      <w:r>
        <w:t xml:space="preserve">L’effetto documentato è a breve termine, e la differenza a un mese era sparita: la durata è il buco vero.</w:t>
      </w:r>
    </w:p>
    <w:p>
      <w:pPr>
        <w:pStyle w:val="Compact"/>
        <w:numPr>
          <w:ilvl w:val="0"/>
          <w:numId w:val="1040"/>
        </w:numPr>
      </w:pPr>
      <w:r>
        <w:t xml:space="preserve">Non dire mai che su questa sindrome non esistono studi di terapia manuale. Esistono, e una parte non è a nostro favore.</w:t>
      </w:r>
    </w:p>
    <w:p>
      <w:pPr>
        <w:pStyle w:val="Compact"/>
        <w:numPr>
          <w:ilvl w:val="0"/>
          <w:numId w:val="1040"/>
        </w:numPr>
      </w:pPr>
      <w:r>
        <w:rPr>
          <w:b/>
          <w:bCs/>
        </w:rPr>
        <w:t xml:space="preserve">Perché ci sei tu.</w:t>
      </w:r>
      <w:r>
        <w:t xml:space="preserve"> </w:t>
      </w:r>
      <w:r>
        <w:t xml:space="preserve">Nella meta-analisi il dolore addominale si sposta con una dimensione dell’effetto di −1,14 e il punteggio globale con −0,34, che non è distinguibile da zero. Questo ti autorizza a dichiarare un bersaglio preciso. Non ti autorizza a dire «funziona sul colon irritabile»: è l’unica frase di questo capitolo che i dati smentiscono direttamente.</w:t>
      </w:r>
    </w:p>
    <w:p>
      <w:r>
        <w:pict>
          <v:rect style="width:0;height:1.5pt" o:hralign="center" o:hrstd="t" o:hr="t"/>
        </w:pict>
      </w:r>
    </w:p>
    <w:bookmarkEnd w:id="55"/>
    <w:bookmarkEnd w:id="56"/>
    <w:bookmarkStart w:id="66"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su sei meccanismi le mani hanno una leva su cinque, con etichette molto diverse fra loro — sul sesto no, e va detto per primo; e un settimo bersaglio, il dolore di parete, sta fuori dai sei.</w:t>
      </w:r>
    </w:p>
    <w:bookmarkStart w:id="57" w:name="X7b24e6ae9a1bd1d2ae9eefaef88af03186ef945"/>
    <w:p>
      <w:pPr>
        <w:pStyle w:val="Heading3"/>
      </w:pPr>
      <w:r>
        <w:t xml:space="preserve">Cosa non possono fare le mani, detto per primo</w:t>
      </w:r>
    </w:p>
    <w:p>
      <w:pPr>
        <w:pStyle w:val="FirstParagraph"/>
      </w:pPr>
      <w:r>
        <w:t xml:space="preserve">Non toccano l’attivazione immunitaria della mucosa dopo un’infezione. Non cambiano il malassorbimento degli acidi biliari. Non modificano il transito del colon: nello studio con il palloncino non si è mosso. E non producono l’effetto durevole: l’unica misura a un mese con un finto trattamento ha visto la differenza sparire.</w:t>
      </w:r>
    </w:p>
    <w:bookmarkEnd w:id="57"/>
    <w:bookmarkStart w:id="58" w:name="meccanismo-1-la-soglia-abbassata"/>
    <w:p>
      <w:pPr>
        <w:pStyle w:val="Heading3"/>
      </w:pPr>
      <w:r>
        <w:t xml:space="preserve">Meccanismo 1 — la soglia abbassata</w:t>
      </w:r>
    </w:p>
    <w:p>
      <w:pPr>
        <w:pStyle w:val="FirstParagraph"/>
      </w:pPr>
      <w:r>
        <w:rPr>
          <w:b/>
          <w:bCs/>
        </w:rPr>
        <w:t xml:space="preserve">Su cosa può agire una mano.</w:t>
      </w:r>
      <w:r>
        <w:t xml:space="preserve"> </w:t>
      </w:r>
      <w:r>
        <w:t xml:space="preserve">Non sulla parete del colon. Sullo</w:t>
      </w:r>
      <w:r>
        <w:t xml:space="preserve"> </w:t>
      </w:r>
      <w:r>
        <w:rPr>
          <w:b/>
          <w:bCs/>
        </w:rPr>
        <w:t xml:space="preserve">stato in cui quel segnale viene letto</w:t>
      </w:r>
      <w:r>
        <w:t xml:space="preserve"> </w:t>
      </w:r>
      <w:r>
        <w:t xml:space="preserve">— e qui la precisione conta.</w:t>
      </w:r>
      <w:r>
        <w:t xml:space="preserve"> </w:t>
      </w:r>
      <w:r>
        <w:rPr>
          <w:b/>
          <w:bCs/>
        </w:rPr>
        <w:t xml:space="preserve">Lo studio che regge l’etichetta ha erogato un trattamento manuale viscerale</w:t>
      </w:r>
      <w:r>
        <w:t xml:space="preserve">, non un protocollo di contatto lento e relazione. Il contatto lento, il ritmo del respiro, il tempo dedicato e il modo in cui annunci ogni contatto restano leve legittime. Ma la loro prova è un’altra, e sta al meccanismo 5.</w:t>
      </w:r>
    </w:p>
    <w:p>
      <w:pPr>
        <w:pStyle w:val="BodyText"/>
      </w:pPr>
      <w:r>
        <w:rPr>
          <w:b/>
          <w:bCs/>
        </w:rPr>
        <w:t xml:space="preserve">E il contatto lento, finalmente, ha una fonte sua.</w:t>
      </w:r>
      <w:r>
        <w:t xml:space="preserve"> </w:t>
      </w:r>
      <w:r>
        <w:t xml:space="preserve">La variabilità cardiaca (SDNN) è aumentata solo con lo sfioramento alla velocità ottimale per le fibre C-tattili, non con la vibrazione. E l’aumento andava di pari passo con la piacevolezza riferita.</w:t>
      </w:r>
      <w:r>
        <w:t xml:space="preserve"> </w:t>
      </w:r>
      <w:r>
        <w:rPr>
          <w:b/>
          <w:bCs/>
        </w:rPr>
        <w:t xml:space="preserve">Sulle altre misure — cortisolo, umore, consapevolezza interocettiva — nessun effetto</w:t>
      </w:r>
      <w:r>
        <w:t xml:space="preserve"> </w:t>
      </w:r>
      <w:r>
        <w:t xml:space="preserve">(Triscoli,</w:t>
      </w:r>
      <w:r>
        <w:t xml:space="preserve"> </w:t>
      </w:r>
      <w:r>
        <w:rPr>
          <w:i/>
          <w:iCs/>
        </w:rPr>
        <w:t xml:space="preserve">Biol Psychol</w:t>
      </w:r>
      <w:r>
        <w:t xml:space="preserve"> </w:t>
      </w:r>
      <w:r>
        <w:t xml:space="preserve">2017 — PMID 28723347).</w:t>
      </w:r>
      <w:r>
        <w:t xml:space="preserve"> </w:t>
      </w:r>
      <w:r>
        <w:rPr>
          <w:i/>
          <w:iCs/>
        </w:rPr>
        <w:t xml:space="preserve">Misurato su volontari sani, sull’avambraccio, con trentacinque minuti continui di spazzolamento e su un indice di variabilità globale che non è un indice vagale: i salti sono di popolazione, di dose e di bersaglio.</w:t>
      </w:r>
      <w:r>
        <w:t xml:space="preserve"> </w:t>
      </w:r>
      <w:r>
        <w:t xml:space="preserve">Serve a dare una fonte a una leva che finora era nuda, non ad alzarne l’etichetta: resta</w:t>
      </w:r>
      <w:r>
        <w:t xml:space="preserve"> </w:t>
      </w:r>
      <w:r>
        <w:rPr>
          <w:b/>
          <w:bCs/>
        </w:rPr>
        <w:t xml:space="preserve">IPOTESI</w:t>
      </w:r>
      <w:r>
        <w:t xml:space="preserve"> </w:t>
      </w:r>
      <w:r>
        <w:rPr>
          <w:i/>
          <w:iCs/>
        </w:rPr>
        <w:t xml:space="preserve">(meccanismo coerente, nessuno studio)</w:t>
      </w:r>
      <w:r>
        <w:t xml:space="preserve">.</w:t>
      </w:r>
    </w:p>
    <w:p>
      <w:pPr>
        <w:pStyle w:val="BodyText"/>
      </w:pPr>
      <w:r>
        <w:rPr>
          <w:b/>
          <w:bCs/>
        </w:rPr>
        <w:t xml:space="preserve">Che effetto ci si aspetta.</w:t>
      </w:r>
      <w:r>
        <w:t xml:space="preserve"> </w:t>
      </w:r>
      <w:r>
        <w:t xml:space="preserve">Non «meno gas». Una</w:t>
      </w:r>
      <w:r>
        <w:t xml:space="preserve"> </w:t>
      </w:r>
      <w:r>
        <w:rPr>
          <w:b/>
          <w:bCs/>
        </w:rPr>
        <w:t xml:space="preserve">soglia più alta</w:t>
      </w:r>
      <w:r>
        <w:t xml:space="preserve">: lo stesso volume che prima arrivava come fastidio arriva come sensazione.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La soglia rettale è salita dopo osteopatia viscerale e non dopo placebo, in uno studio crossover su 31 pazienti refrattari (Attali 2013, PMID 23981319). È l’unico studio che ha misurato questa cosa, e il confronto pubblicato è</w:t>
      </w:r>
      <w:r>
        <w:t xml:space="preserve"> </w:t>
      </w:r>
      <w:r>
        <w:rPr>
          <w:b/>
          <w:bCs/>
        </w:rPr>
        <w:t xml:space="preserve">dentro</w:t>
      </w:r>
      <w:r>
        <w:t xml:space="preserve"> </w:t>
      </w:r>
      <w:r>
        <w:t xml:space="preserve">ciascun braccio, non fra i due bracci. Senza quel limite scritto accanto, l’etichetta corretta sarebbe IPOTESI.</w:t>
      </w:r>
    </w:p>
    <w:p>
      <w:pPr>
        <w:pStyle w:val="FirstParagraph"/>
      </w:pPr>
      <w:r>
        <w:rPr>
          <w:b/>
          <w:bCs/>
        </w:rPr>
        <w:t xml:space="preserve">In quanto tempo si vedrebbe.</w:t>
      </w:r>
      <w:r>
        <w:t xml:space="preserve"> </w:t>
      </w:r>
      <w:r>
        <w:t xml:space="preserve">Un effetto di stato dentro la seduta, sul marker remoto. Lo spostamento della soglia nella vita quotidiana in settimane: nello studio le sedute erano ripetute nell’arco di alcune settimane.</w:t>
      </w:r>
    </w:p>
    <w:bookmarkEnd w:id="58"/>
    <w:bookmarkStart w:id="59" w:name="X1b524dab5bb08b8b98ec66d2992f6f72a9494f6"/>
    <w:p>
      <w:pPr>
        <w:pStyle w:val="Heading3"/>
      </w:pPr>
      <w:r>
        <w:t xml:space="preserve">Meccanismo 2 — il contenitore che spinge nel verso sbagliato</w:t>
      </w:r>
    </w:p>
    <w:p>
      <w:pPr>
        <w:pStyle w:val="FirstParagraph"/>
      </w:pPr>
      <w:r>
        <w:rPr>
          <w:b/>
          <w:bCs/>
        </w:rPr>
        <w:t xml:space="preserve">Su cosa può agire una mano.</w:t>
      </w:r>
      <w:r>
        <w:t xml:space="preserve"> </w:t>
      </w:r>
      <w:r>
        <w:t xml:space="preserve">Sul diaframma, sulle sue inserzioni costali e sui pilastri. Sulla parete addominale e sull’obliquo interno. Sulla giunzione dorso-lombare che li tiene insieme.</w:t>
      </w:r>
    </w:p>
    <w:p>
      <w:pPr>
        <w:pStyle w:val="BodyText"/>
      </w:pPr>
      <w:r>
        <w:rPr>
          <w:b/>
          <w:bCs/>
        </w:rPr>
        <w:t xml:space="preserve">Che effetto ci si aspetta.</w:t>
      </w:r>
      <w:r>
        <w:t xml:space="preserve"> </w:t>
      </w:r>
      <w:r>
        <w:t xml:space="preserve">Che a parità di volume interno la parete assorba invece di sporgere. Il bersaglio è la</w:t>
      </w:r>
      <w:r>
        <w:t xml:space="preserve"> </w:t>
      </w:r>
      <w:r>
        <w:rPr>
          <w:b/>
          <w:bCs/>
        </w:rPr>
        <w:t xml:space="preserve">risposta</w:t>
      </w:r>
      <w:r>
        <w:t xml:space="preserve"> </w:t>
      </w:r>
      <w:r>
        <w:t xml:space="preserve">del contenitore all’aumento di contenuto, non l’assetto a riposo. Si misura con il delta di circonferenza fra digiuno e post-pasto, e con l’escursione delle coste basse.</w:t>
      </w:r>
    </w:p>
    <w:p>
      <w:pPr>
        <w:pStyle w:val="BlockText"/>
      </w:pPr>
      <w:r>
        <w:rPr>
          <w:b/>
          <w:bCs/>
        </w:rPr>
        <w:t xml:space="preserve">Quanto è solido:</w:t>
      </w:r>
      <w:r>
        <w:t xml:space="preserve"> </w:t>
      </w:r>
      <w:r>
        <w:t xml:space="preserve">l’etichetta si spezza.</w:t>
      </w:r>
      <w:r>
        <w:t xml:space="preserve"> </w:t>
      </w:r>
      <w:r>
        <w:rPr>
          <w:b/>
          <w:bCs/>
        </w:rPr>
        <w:t xml:space="preserve">Che il bersaglio esista e sia correggibile: DIMOSTRATO</w:t>
      </w:r>
      <w:r>
        <w:t xml:space="preserve"> </w:t>
      </w:r>
      <w:r>
        <w:rPr>
          <w:i/>
          <w:iCs/>
        </w:rPr>
        <w:t xml:space="preserve">(studi sull’uomo, solidi)</w:t>
      </w:r>
      <w:r>
        <w:t xml:space="preserve"> </w:t>
      </w:r>
      <w:r>
        <w:t xml:space="preserve">— Barba 2015 (PMID 25500424) e Barba 2024 (PMID 38467383).</w:t>
      </w:r>
      <w:r>
        <w:t xml:space="preserve"> </w:t>
      </w:r>
      <w:r>
        <w:rPr>
          <w:b/>
          <w:bCs/>
        </w:rPr>
        <w:t xml:space="preserve">Che sia la nostra mano a produrre la correzione: IPOTESI</w:t>
      </w:r>
      <w:r>
        <w:t xml:space="preserve"> </w:t>
      </w:r>
      <w:r>
        <w:rPr>
          <w:i/>
          <w:iCs/>
        </w:rPr>
        <w:t xml:space="preserve">(meccanismo coerente, nessuno studio)</w:t>
      </w:r>
      <w:r>
        <w:t xml:space="preserve"> </w:t>
      </w:r>
      <w:r>
        <w:t xml:space="preserve">— negli studi la correzione arriva da un riaddestramento con segnale visivo. Il salto è di erogatore e di strumento.</w:t>
      </w:r>
    </w:p>
    <w:p>
      <w:pPr>
        <w:pStyle w:val="FirstParagraph"/>
      </w:pPr>
      <w:r>
        <w:rPr>
          <w:b/>
          <w:bCs/>
        </w:rPr>
        <w:t xml:space="preserve">In quanto tempo si vedrebbe.</w:t>
      </w:r>
      <w:r>
        <w:t xml:space="preserve"> </w:t>
      </w:r>
      <w:r>
        <w:t xml:space="preserve">Non dentro la seduta, e va detto contro il proprio interesse. La dissinergia addomino-frenica è un riflesso post-prandiale, e correggerla è</w:t>
      </w:r>
      <w:r>
        <w:t xml:space="preserve"> </w:t>
      </w:r>
      <w:r>
        <w:rPr>
          <w:b/>
          <w:bCs/>
        </w:rPr>
        <w:t xml:space="preserve">apprendimento motorio su più sessioni</w:t>
      </w:r>
      <w:r>
        <w:t xml:space="preserve">: negli studi, alcune settimane con esercizi ripetuti a casa. Vale come per la retromarcia in un posto stretto: non la impari alla prima, la impari ripetendola. Una circonferenza a riposo che si muove di 25 mm in una seduta si spiega meglio con l’errore di misura.</w:t>
      </w:r>
    </w:p>
    <w:bookmarkEnd w:id="59"/>
    <w:bookmarkStart w:id="60" w:name="Xf4c4a3af959837c4117ed4c4fe390503386567e"/>
    <w:p>
      <w:pPr>
        <w:pStyle w:val="Heading3"/>
      </w:pPr>
      <w:r>
        <w:t xml:space="preserve">Meccanismo 3 — il comando che non stacca mai</w:t>
      </w:r>
    </w:p>
    <w:p>
      <w:pPr>
        <w:pStyle w:val="FirstParagraph"/>
      </w:pPr>
      <w:r>
        <w:rPr>
          <w:b/>
          <w:bCs/>
        </w:rPr>
        <w:t xml:space="preserve">Su cosa può agire una mano.</w:t>
      </w:r>
      <w:r>
        <w:t xml:space="preserve"> </w:t>
      </w:r>
      <w:r>
        <w:t xml:space="preserve">Sul ritmo del respiro, sulle coste basse, sul sacro e sul rachide dorso-lombare. Non perché da lì «esca il simpatico», ma perché lì</w:t>
      </w:r>
      <w:r>
        <w:t xml:space="preserve"> </w:t>
      </w:r>
      <w:r>
        <w:rPr>
          <w:b/>
          <w:bCs/>
        </w:rPr>
        <w:t xml:space="preserve">entrano gli afferenti del colon distale insieme a quelli della parete</w:t>
      </w:r>
      <w:r>
        <w:t xml:space="preserve">. Ed è nel corno dorsale che si gioca il guadagno del segnale.</w:t>
      </w:r>
    </w:p>
    <w:p>
      <w:pPr>
        <w:pStyle w:val="BodyText"/>
      </w:pPr>
      <w:r>
        <w:rPr>
          <w:b/>
          <w:bCs/>
        </w:rPr>
        <w:t xml:space="preserve">Che effetto ci si aspetta.</w:t>
      </w:r>
      <w:r>
        <w:t xml:space="preserve"> </w:t>
      </w:r>
      <w:r>
        <w:t xml:space="preserve">Un livello di attivazione più basso e, di conseguenza,</w:t>
      </w:r>
      <w:r>
        <w:t xml:space="preserve"> </w:t>
      </w:r>
      <w:r>
        <w:rPr>
          <w:b/>
          <w:bCs/>
        </w:rPr>
        <w:t xml:space="preserve">dolore più basso a parità di numero di episodi</w:t>
      </w:r>
      <w:r>
        <w:t xml:space="preserve">. È l’esito atteso, e va scritto prima di iniziare.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Che l’assetto autonomico di questi pazienti sia alterato è dimostrato; che una mano lo sposti in</w:t>
      </w:r>
      <w:r>
        <w:t xml:space="preserve"> </w:t>
      </w:r>
      <w:r>
        <w:rPr>
          <w:b/>
          <w:bCs/>
        </w:rPr>
        <w:t xml:space="preserve">loro</w:t>
      </w:r>
      <w:r>
        <w:t xml:space="preserve"> </w:t>
      </w:r>
      <w:r>
        <w:t xml:space="preserve">non è stato misurato.</w:t>
      </w:r>
      <w:r>
        <w:t xml:space="preserve"> </w:t>
      </w:r>
      <w:r>
        <w:rPr>
          <w:b/>
          <w:bCs/>
        </w:rPr>
        <w:t xml:space="preserve">Cambia però il motivo per cui è IPOTESI, e diventa difendibile.</w:t>
      </w:r>
      <w:r>
        <w:t xml:space="preserve"> </w:t>
      </w:r>
      <w:r>
        <w:t xml:space="preserve">Sul rachide dorsale — il distretto che qui si tratta — la misura è stata fatta. E</w:t>
      </w:r>
      <w:r>
        <w:t xml:space="preserve"> </w:t>
      </w:r>
      <w:r>
        <w:rPr>
          <w:b/>
          <w:bCs/>
        </w:rPr>
        <w:t xml:space="preserve">le misure disponibili non concordano fra loro</w:t>
      </w:r>
      <w:r>
        <w:t xml:space="preserve"> </w:t>
      </w:r>
      <w:r>
        <w:t xml:space="preserve">(Hansen 2025, PMID 40232939; Carnevali 2021, PMID 33436300 — il riquadro</w:t>
      </w:r>
      <w:r>
        <w:t xml:space="preserve"> </w:t>
      </w:r>
      <w:r>
        <w:rPr>
          <w:rStyle w:val="VerbatimChar"/>
        </w:rPr>
        <w:t xml:space="preserve">Attenzione</w:t>
      </w:r>
      <w:r>
        <w:t xml:space="preserve"> </w:t>
      </w:r>
      <w:r>
        <w:t xml:space="preserve">in «Cosa dice la scienza» le riporta tutte e due).</w:t>
      </w:r>
      <w:r>
        <w:t xml:space="preserve"> </w:t>
      </w:r>
      <w:r>
        <w:rPr>
          <w:i/>
          <w:iCs/>
        </w:rPr>
        <w:t xml:space="preserve">Il salto è di popolazione; il distretto è lo stesso, e quella coincidenza rende il dato negativo più pertinente, non meno.</w:t>
      </w:r>
      <w:r>
        <w:t xml:space="preserve"> </w:t>
      </w:r>
      <w:r>
        <w:rPr>
          <w:b/>
          <w:bCs/>
        </w:rPr>
        <w:t xml:space="preserve">Che alzare l’attività vagale in questi pazienti si accompagni a una soglia più alta: PROBABILE</w:t>
      </w:r>
      <w:r>
        <w:t xml:space="preserve"> </w:t>
      </w:r>
      <w:r>
        <w:rPr>
          <w:i/>
          <w:iCs/>
        </w:rPr>
        <w:t xml:space="preserve">(razionale forte, prove parziali)</w:t>
      </w:r>
      <w:r>
        <w:t xml:space="preserve">. Sono due studi randomizzati, uno con il respiro lento e uno con la stimolazione elettrica dell’orecchio (Liu 2022, PMID 36408402; Liu 2024, PMID 39689011).</w:t>
      </w:r>
      <w:r>
        <w:t xml:space="preserve"> </w:t>
      </w:r>
      <w:r>
        <w:rPr>
          <w:i/>
          <w:iCs/>
        </w:rPr>
        <w:t xml:space="preserve">Stesso gruppo, stesso centro, stesso sottotipo: non sono due conferme indipendenti. E nessuno dei due usa una mano.</w:t>
      </w:r>
      <w:r>
        <w:t xml:space="preserve"> </w:t>
      </w:r>
      <w:r>
        <w:t xml:space="preserve">È il bersaglio che diventa legittimo, non la leva. Sul dato della conduttanza cutanea che circola come prova contraria, vedi il riquadro in «Cosa dice la scienza».</w:t>
      </w:r>
    </w:p>
    <w:p>
      <w:pPr>
        <w:pStyle w:val="FirstParagraph"/>
      </w:pPr>
      <w:r>
        <w:rPr>
          <w:b/>
          <w:bCs/>
        </w:rPr>
        <w:t xml:space="preserve">In quanto tempo si vedrebbe.</w:t>
      </w:r>
      <w:r>
        <w:t xml:space="preserve"> </w:t>
      </w:r>
      <w:r>
        <w:t xml:space="preserve">Un effetto di stato dentro la seduta. Uno spostamento della soglia in settimane.</w:t>
      </w:r>
    </w:p>
    <w:bookmarkEnd w:id="60"/>
    <w:bookmarkStart w:id="61" w:name="meccanismo-4-la-memoria-dellinfezione"/>
    <w:p>
      <w:pPr>
        <w:pStyle w:val="Heading3"/>
      </w:pPr>
      <w:r>
        <w:t xml:space="preserve">Meccanismo 4 — la memoria dell’infezione</w:t>
      </w:r>
    </w:p>
    <w:p>
      <w:pPr>
        <w:pStyle w:val="FirstParagraph"/>
      </w:pPr>
      <w:r>
        <w:rPr>
          <w:b/>
          <w:bCs/>
        </w:rPr>
        <w:t xml:space="preserve">Su cosa può agire una mano.</w:t>
      </w:r>
      <w:r>
        <w:t xml:space="preserve"> </w:t>
      </w:r>
      <w:r>
        <w:t xml:space="preserve">Su niente di questo meccanismo.</w:t>
      </w:r>
    </w:p>
    <w:p>
      <w:pPr>
        <w:pStyle w:val="BodyText"/>
      </w:pPr>
      <w:r>
        <w:rPr>
          <w:b/>
          <w:bCs/>
        </w:rPr>
        <w:t xml:space="preserve">Cosa fai comunque.</w:t>
      </w:r>
      <w:r>
        <w:t xml:space="preserve"> </w:t>
      </w:r>
      <w:r>
        <w:t xml:space="preserve">Lavori sugli altri piani e glielo dici:</w:t>
      </w:r>
      <w:r>
        <w:t xml:space="preserve"> </w:t>
      </w:r>
      <w:r>
        <w:rPr>
          <w:i/>
          <w:iCs/>
        </w:rPr>
        <w:t xml:space="preserve">«la componente rimasta dopo l’infezione non la tocco; lavoro su come il tuo corpo la gestisce».</w:t>
      </w:r>
      <w:r>
        <w:t xml:space="preserve"> </w:t>
      </w:r>
      <w:r>
        <w:t xml:space="preserve">Il limite si dichiara prima del ciclo, non alla terza seduta.</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 e qui manca anche il meccanismo: nessuna via manuale sull’attivazione immunitaria della mucosa è stata proposta né misurata nell’uomo. È il solo dei sei su cui non hai niente, e per questo va nominato per primo: fissa il tetto dell’aspettativa, non il bersaglio.</w:t>
      </w:r>
    </w:p>
    <w:bookmarkEnd w:id="61"/>
    <w:bookmarkStart w:id="62" w:name="Xf59c7250b39936b89d2b4d15d3de9bf1329cd6d"/>
    <w:p>
      <w:pPr>
        <w:pStyle w:val="Heading3"/>
      </w:pPr>
      <w:r>
        <w:t xml:space="preserve">Meccanismo 5 — l’attenzione che diventa parte del sintomo</w:t>
      </w:r>
    </w:p>
    <w:p>
      <w:pPr>
        <w:pStyle w:val="FirstParagraph"/>
      </w:pPr>
      <w:r>
        <w:rPr>
          <w:b/>
          <w:bCs/>
        </w:rPr>
        <w:t xml:space="preserve">Su cosa può agire una mano.</w:t>
      </w:r>
      <w:r>
        <w:t xml:space="preserve"> </w:t>
      </w:r>
      <w:r>
        <w:t xml:space="preserve">Qui la leva non è solo manuale: è</w:t>
      </w:r>
      <w:r>
        <w:t xml:space="preserve"> </w:t>
      </w:r>
      <w:r>
        <w:rPr>
          <w:b/>
          <w:bCs/>
        </w:rPr>
        <w:t xml:space="preserve">quello che dici mentre le mani lavorano</w:t>
      </w:r>
      <w:r>
        <w:t xml:space="preserve">. La spiegazione del meccanismo, la restituzione di una misura che cambia sotto i suoi occhi, e il permesso esplicito di smettere di sorvegliare. C’è un’eccezione, e va detta ad alta voce. Sangue, calo di peso, dolore che cambia carattere o che sveglia di notte si riferiscono subito, e non rientrano in ciò che ha smesso di controllare.</w:t>
      </w:r>
    </w:p>
    <w:p>
      <w:pPr>
        <w:pStyle w:val="BodyText"/>
      </w:pPr>
      <w:r>
        <w:rPr>
          <w:b/>
          <w:bCs/>
        </w:rPr>
        <w:t xml:space="preserve">Che effetto ci si aspetta.</w:t>
      </w:r>
      <w:r>
        <w:t xml:space="preserve"> </w:t>
      </w:r>
      <w:r>
        <w:t xml:space="preserve">Meno controlli, meno evitamento, una soglia che si alza perché nessuno la fissa più.</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il contesto e la relazione cambino l’esito su questi pazienti. Le fonti sono due (Kaptchuk 2008, PMID 18390493; e la dimensione della risposta al placebo nei trial farmacologici, Barberio 2022, PMID 34425274). Il salto è di</w:t>
      </w:r>
      <w:r>
        <w:t xml:space="preserve"> </w:t>
      </w:r>
      <w:r>
        <w:rPr>
          <w:b/>
          <w:bCs/>
        </w:rPr>
        <w:t xml:space="preserve">intervento</w:t>
      </w:r>
      <w:r>
        <w:t xml:space="preserve">: il primo dato è misurato con una finta agopuntura, non con un trattamento manuale.</w:t>
      </w:r>
      <w:r>
        <w:t xml:space="preserve"> </w:t>
      </w:r>
      <w:r>
        <w:rPr>
          <w:b/>
          <w:bCs/>
        </w:rPr>
        <w:t xml:space="preserve">DIMOSTRATO</w:t>
      </w:r>
      <w:r>
        <w:t xml:space="preserve"> </w:t>
      </w:r>
      <w:r>
        <w:rPr>
          <w:i/>
          <w:iCs/>
        </w:rPr>
        <w:t xml:space="preserve">(studi sull’uomo, solidi)</w:t>
      </w:r>
      <w:r>
        <w:t xml:space="preserve"> </w:t>
      </w:r>
      <w:r>
        <w:t xml:space="preserve">che i programmi psicologici strutturati funzionino, con salto di</w:t>
      </w:r>
      <w:r>
        <w:t xml:space="preserve"> </w:t>
      </w:r>
      <w:r>
        <w:rPr>
          <w:b/>
          <w:bCs/>
        </w:rPr>
        <w:t xml:space="preserve">erogatore</w:t>
      </w:r>
      <w:r>
        <w:t xml:space="preserve"> </w:t>
      </w:r>
      <w:r>
        <w:t xml:space="preserve">(Black 2020, PMID 32276950).</w:t>
      </w:r>
    </w:p>
    <w:p>
      <w:pPr>
        <w:pStyle w:val="FirstParagraph"/>
      </w:pPr>
      <w:r>
        <w:rPr>
          <w:b/>
          <w:bCs/>
        </w:rPr>
        <w:t xml:space="preserve">In quanto tempo si vedrebbe.</w:t>
      </w:r>
      <w:r>
        <w:t xml:space="preserve"> </w:t>
      </w:r>
      <w:r>
        <w:t xml:space="preserve">I due componenti hanno orizzonti diversi. L’effetto di contesto si vede</w:t>
      </w:r>
      <w:r>
        <w:t xml:space="preserve"> </w:t>
      </w:r>
      <w:r>
        <w:rPr>
          <w:b/>
          <w:bCs/>
        </w:rPr>
        <w:t xml:space="preserve">dentro l’incontro</w:t>
      </w:r>
      <w:r>
        <w:t xml:space="preserve">. La riduzione della sorveglianza corre su</w:t>
      </w:r>
      <w:r>
        <w:t xml:space="preserve"> </w:t>
      </w:r>
      <w:r>
        <w:rPr>
          <w:b/>
          <w:bCs/>
        </w:rPr>
        <w:t xml:space="preserve">settimane</w:t>
      </w:r>
      <w:r>
        <w:t xml:space="preserve">, e qui l’ansia specifica per i sintomi si abbassa</w:t>
      </w:r>
      <w:r>
        <w:t xml:space="preserve"> </w:t>
      </w:r>
      <w:r>
        <w:rPr>
          <w:b/>
          <w:bCs/>
        </w:rPr>
        <w:t xml:space="preserve">prima</w:t>
      </w:r>
      <w:r>
        <w:t xml:space="preserve"> </w:t>
      </w:r>
      <w:r>
        <w:t xml:space="preserve">dei sintomi (Ljótsson 2013, PMID 23750460). Se alla quarta settimana il paziente controlla ancora la pancia allo specchio, quella leva non ha preso.</w:t>
      </w:r>
    </w:p>
    <w:bookmarkEnd w:id="62"/>
    <w:bookmarkStart w:id="63" w:name="Xe23150c92391dfa0c0f07278429d645b54d98e8"/>
    <w:p>
      <w:pPr>
        <w:pStyle w:val="Heading3"/>
      </w:pPr>
      <w:r>
        <w:t xml:space="preserve">Meccanismo 6 — il pavimento che si chiude quando dovrebbe aprirsi</w:t>
      </w:r>
    </w:p>
    <w:p>
      <w:pPr>
        <w:pStyle w:val="FirstParagraph"/>
      </w:pPr>
      <w:r>
        <w:rPr>
          <w:b/>
          <w:bCs/>
        </w:rPr>
        <w:t xml:space="preserve">Su cosa può agire una mano.</w:t>
      </w:r>
      <w:r>
        <w:t xml:space="preserve"> </w:t>
      </w:r>
      <w:r>
        <w:t xml:space="preserve">Dall’esterno: sacro, bacino, anche, e il contenitore che manda giù la pressione. Non dall’interno: esplorazione rettale e riaddestramento anorettale non sono atto osteopatico.</w:t>
      </w:r>
      <w:r>
        <w:t xml:space="preserve"> </w:t>
      </w:r>
      <w:r>
        <w:rPr>
          <w:b/>
          <w:bCs/>
        </w:rPr>
        <w:t xml:space="preserve">Che effetto ci si aspetta:</w:t>
      </w:r>
      <w:r>
        <w:t xml:space="preserve"> </w:t>
      </w:r>
      <w:r>
        <w:t xml:space="preserve">meno ricorso alla spinta e meno svuotamento parziale, chiesti con la stessa domanda ogni volta.</w:t>
      </w:r>
      <w:r>
        <w:t xml:space="preserve"> </w:t>
      </w:r>
      <w:r>
        <w:rPr>
          <w:b/>
          <w:bCs/>
        </w:rPr>
        <w:t xml:space="preserve">In quanto tempo:</w:t>
      </w:r>
      <w:r>
        <w:t xml:space="preserve"> </w:t>
      </w:r>
      <w:r>
        <w:t xml:space="preserve">è un guadagno di ripetizione, non di seduta.</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che una mano dall’esterno sposti quel comportamento.</w:t>
      </w:r>
      <w:r>
        <w:t xml:space="preserve"> </w:t>
      </w:r>
      <w:r>
        <w:rPr>
          <w:b/>
          <w:bCs/>
        </w:rPr>
        <w:t xml:space="preserve">PROBABILE</w:t>
      </w:r>
      <w:r>
        <w:t xml:space="preserve"> </w:t>
      </w:r>
      <w:r>
        <w:rPr>
          <w:i/>
          <w:iCs/>
        </w:rPr>
        <w:t xml:space="preserve">(razionale forte, prove parziali)</w:t>
      </w:r>
      <w:r>
        <w:t xml:space="preserve"> </w:t>
      </w:r>
      <w:r>
        <w:t xml:space="preserve">che il comportamento esista e sia più frequente in questi pazienti (Mulak 2010, PMID 20411267). Una parte di questi pazienti va rinviata alla riabilitazione anorettale, e riconoscerlo è l’atto che ti compete.</w:t>
      </w:r>
    </w:p>
    <w:bookmarkEnd w:id="63"/>
    <w:bookmarkStart w:id="64" w:name="fuori-dai-sei-il-dolore-di-parete"/>
    <w:p>
      <w:pPr>
        <w:pStyle w:val="Heading3"/>
      </w:pPr>
      <w:r>
        <w:t xml:space="preserve">Fuori dai sei — il dolore di parete</w:t>
      </w:r>
    </w:p>
    <w:p>
      <w:pPr>
        <w:pStyle w:val="FirstParagraph"/>
      </w:pPr>
      <w:r>
        <w:rPr>
          <w:b/>
          <w:bCs/>
        </w:rPr>
        <w:t xml:space="preserve">Su cosa può agire una mano.</w:t>
      </w:r>
      <w:r>
        <w:t xml:space="preserve"> </w:t>
      </w:r>
      <w:r>
        <w:t xml:space="preserve">Sulla parete e sulle cicatrici che non scorrono. È l’unico quadro del documento in cui il tessuto sotto le tue mani è la sorgente:</w:t>
      </w:r>
      <w:r>
        <w:t xml:space="preserve"> </w:t>
      </w:r>
      <w:r>
        <w:rPr>
          <w:b/>
          <w:bCs/>
        </w:rPr>
        <w:t xml:space="preserve">nocicettivo somatico</w:t>
      </w:r>
      <w:r>
        <w:t xml:space="preserve">, non nociplastico.</w:t>
      </w:r>
    </w:p>
    <w:p>
      <w:pPr>
        <w:pStyle w:val="BodyText"/>
      </w:pPr>
      <w:r>
        <w:rPr>
          <w:b/>
          <w:bCs/>
        </w:rPr>
        <w:t xml:space="preserve">Che effetto ci si aspetta.</w:t>
      </w:r>
      <w:r>
        <w:t xml:space="preserve"> </w:t>
      </w:r>
      <w:r>
        <w:t xml:space="preserve">Che il punto fisso si spenga. E il caso</w:t>
      </w:r>
      <w:r>
        <w:t xml:space="preserve"> </w:t>
      </w:r>
      <w:r>
        <w:rPr>
          <w:b/>
          <w:bCs/>
        </w:rPr>
        <w:t xml:space="preserve">non si chiude</w:t>
      </w:r>
      <w:r>
        <w:t xml:space="preserve">: è uno strato, non un’alternativa alla sindrome, e sotto si rivaluta da capo.</w:t>
      </w:r>
    </w:p>
    <w:p>
      <w:pPr>
        <w:pStyle w:val="BodyText"/>
      </w:pPr>
      <w:r>
        <w:rPr>
          <w:b/>
          <w:bCs/>
        </w:rPr>
        <w:t xml:space="preserve">In quanto tempo si vedrebbe.</w:t>
      </w:r>
      <w:r>
        <w:t xml:space="preserve"> </w:t>
      </w:r>
      <w:r>
        <w:t xml:space="preserve">Il punto è ripalpabile nella stessa seduta. Ma Carnett orienta il bersaglio e non è un marker di cambiamento: il marker resta fuori dal piano trattato.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che una mano spenga quel punto. Non esiste nessuno studio di terapia manuale sul dolore di parete, e l’unico percorso confermativo che esiste — l’infiltrazione — non è nostro.</w:t>
      </w:r>
    </w:p>
    <w:bookmarkEnd w:id="64"/>
    <w:bookmarkStart w:id="65" w:name="X313a9305afc17cefd332a43187892ca69ddea55"/>
    <w:p>
      <w:pPr>
        <w:pStyle w:val="Heading3"/>
      </w:pPr>
      <w:r>
        <w:t xml:space="preserve">Cosa fa l’osteopata che il resto del percorso non fa</w:t>
      </w:r>
    </w:p>
    <w:p>
      <w:pPr>
        <w:pStyle w:val="FirstParagraph"/>
      </w:pPr>
      <w:r>
        <w:t xml:space="preserve">Tre cose, e sono tre meccanismi, non tre virtù. Per esteso in «Chi ti trova davanti», sezione «Cosa nessuno ha guardato».</w:t>
      </w:r>
    </w:p>
    <w:p>
      <w:pPr>
        <w:pStyle w:val="Compact"/>
        <w:numPr>
          <w:ilvl w:val="0"/>
          <w:numId w:val="1041"/>
        </w:numPr>
      </w:pPr>
      <w:r>
        <w:rPr>
          <w:b/>
          <w:bCs/>
        </w:rPr>
        <w:t xml:space="preserve">Guarda il contenitore.</w:t>
      </w:r>
    </w:p>
    <w:p>
      <w:pPr>
        <w:pStyle w:val="Compact"/>
        <w:numPr>
          <w:ilvl w:val="0"/>
          <w:numId w:val="1041"/>
        </w:numPr>
      </w:pPr>
      <w:r>
        <w:rPr>
          <w:b/>
          <w:bCs/>
        </w:rPr>
        <w:t xml:space="preserve">Cerca il dolore di parete, e il pavimento che non si apre.</w:t>
      </w:r>
    </w:p>
    <w:p>
      <w:pPr>
        <w:pStyle w:val="Compact"/>
        <w:numPr>
          <w:ilvl w:val="0"/>
          <w:numId w:val="1041"/>
        </w:numPr>
      </w:pPr>
      <w:r>
        <w:rPr>
          <w:b/>
          <w:bCs/>
        </w:rPr>
        <w:t xml:space="preserve">Tratta il livello di attivazione come bersaglio e non come contesto.</w:t>
      </w:r>
    </w:p>
    <w:p>
      <w:pPr>
        <w:pStyle w:val="FirstParagraph"/>
      </w:pPr>
      <w:r>
        <w:rPr>
          <w:b/>
          <w:bCs/>
        </w:rPr>
        <w:t xml:space="preserve">Il come si fa non è qui. Sta nella Procedura del colon irritabile: due pagine, tecniche, dosi e piano delle sedute.</w:t>
      </w:r>
    </w:p>
    <w:p>
      <w:pPr>
        <w:pStyle w:val="BodyText"/>
      </w:pPr>
      <w:r>
        <w:rPr>
          <w:b/>
          <w:bCs/>
        </w:rPr>
        <w:t xml:space="preserve">Le tre cose da ricordare, più una</w:t>
      </w:r>
    </w:p>
    <w:p>
      <w:pPr>
        <w:pStyle w:val="Compact"/>
        <w:numPr>
          <w:ilvl w:val="0"/>
          <w:numId w:val="1042"/>
        </w:numPr>
      </w:pPr>
      <w:r>
        <w:t xml:space="preserve">Su un meccanismo su sei non hai nessuna leva, e su altri due ce l’hai solo come IPOTESI. Dirlo prima del ciclo è la cosa che rende credibile il resto.</w:t>
      </w:r>
    </w:p>
    <w:p>
      <w:pPr>
        <w:pStyle w:val="Compact"/>
        <w:numPr>
          <w:ilvl w:val="0"/>
          <w:numId w:val="1042"/>
        </w:numPr>
      </w:pPr>
      <w:r>
        <w:t xml:space="preserve">La leva sul contenitore è quella col razionale migliore, e la sua verifica è un metro a nastro.</w:t>
      </w:r>
    </w:p>
    <w:p>
      <w:pPr>
        <w:pStyle w:val="Compact"/>
        <w:numPr>
          <w:ilvl w:val="0"/>
          <w:numId w:val="1042"/>
        </w:numPr>
      </w:pPr>
      <w:r>
        <w:t xml:space="preserve">Quello che dici mentre le mani lavorano non è cornice: su questa condizione è misurato.</w:t>
      </w:r>
    </w:p>
    <w:p>
      <w:pPr>
        <w:pStyle w:val="Compact"/>
        <w:numPr>
          <w:ilvl w:val="0"/>
          <w:numId w:val="1042"/>
        </w:numPr>
      </w:pPr>
      <w:r>
        <w:rPr>
          <w:b/>
          <w:bCs/>
        </w:rPr>
        <w:t xml:space="preserve">Perché ci sei tu.</w:t>
      </w:r>
      <w:r>
        <w:t xml:space="preserve"> </w:t>
      </w:r>
      <w:r>
        <w:t xml:space="preserve">Su 262 pazienti il sollievo adeguato è passato dal 28% in lista d’attesa al 44% col solo rituale terapeutico al 62% con la relazione curata. Questo ti autorizza a considerare il tuo modo di stare in stanza parte del trattamento. Non ti autorizza a chiamare effetto della tecnica quello che è effetto della relazione: quello studio le ha separate apposta.</w:t>
      </w:r>
    </w:p>
    <w:p>
      <w:r>
        <w:pict>
          <v:rect style="width:0;height:1.5pt" o:hralign="center" o:hrstd="t" o:hr="t"/>
        </w:pict>
      </w:r>
    </w:p>
    <w:bookmarkEnd w:id="65"/>
    <w:bookmarkEnd w:id="66"/>
    <w:bookmarkStart w:id="71"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le leve con le prove migliori non sono le tue mani, ed è giusto che occupino lo spazio che meritano.</w:t>
      </w:r>
    </w:p>
    <w:p>
      <w:pPr>
        <w:pStyle w:val="FirstParagraph"/>
      </w:pPr>
      <w:r>
        <w:t xml:space="preserve">Sono tre, con le loro prove: il controllo del contenitore (due studi randomizzati con placebo), l’educazione strutturata (41 studi), l’attività fisica (uno studio con controllo a cinque anni). Nessuna è tua da erogare per intero.</w:t>
      </w:r>
      <w:r>
        <w:t xml:space="preserve"> </w:t>
      </w:r>
      <w:r>
        <w:rPr>
          <w:b/>
          <w:bCs/>
        </w:rPr>
        <w:t xml:space="preserve">Come e quando consegnarle sta nella Procedura.</w:t>
      </w:r>
    </w:p>
    <w:bookmarkStart w:id="67" w:name="Xee7dc1b060b75389905188c86b88b2289ecb6a2"/>
    <w:p>
      <w:pPr>
        <w:pStyle w:val="Heading3"/>
      </w:pPr>
      <w:r>
        <w:t xml:space="preserve">1. Il controllo del contenitore addomino-toracico</w:t>
      </w:r>
    </w:p>
    <w:p>
      <w:pPr>
        <w:pStyle w:val="FirstParagraph"/>
      </w:pPr>
      <w:r>
        <w:rPr>
          <w:b/>
          <w:bCs/>
        </w:rPr>
        <w:t xml:space="preserve">Cos’è.</w:t>
      </w:r>
      <w:r>
        <w:t xml:space="preserve"> </w:t>
      </w:r>
      <w:r>
        <w:t xml:space="preserve">Fare con diaframma e parete il contrario di quello che il corpo fa durante un episodio: rilassare il diaframma, ingaggiare la parete.</w:t>
      </w:r>
    </w:p>
    <w:p>
      <w:pPr>
        <w:pStyle w:val="BodyText"/>
      </w:pPr>
      <w:r>
        <w:rPr>
          <w:b/>
          <w:bCs/>
        </w:rPr>
        <w:t xml:space="preserve">Su quale meccanismo agisce.</w:t>
      </w:r>
      <w:r>
        <w:t xml:space="preserve"> </w:t>
      </w:r>
      <w:r>
        <w:t xml:space="preserve">Sul secondo, «il contenitore che spinge nel verso sbagliato». È il collegamento più diretto del documento.</w:t>
      </w:r>
    </w:p>
    <w:p>
      <w:pPr>
        <w:pStyle w:val="BodyText"/>
      </w:pPr>
      <w:r>
        <w:rPr>
          <w:b/>
          <w:bCs/>
        </w:rPr>
        <w:t xml:space="preserve">Cosa hanno misurato gli studi.</w:t>
      </w:r>
      <w:r>
        <w:t xml:space="preserve"> </w:t>
      </w:r>
      <w:r>
        <w:t xml:space="preserve">Nel gruppo con segnale visivo</w:t>
      </w:r>
      <w:r>
        <w:t xml:space="preserve"> </w:t>
      </w:r>
      <w:r>
        <w:rPr>
          <w:b/>
          <w:bCs/>
        </w:rPr>
        <w:t xml:space="preserve">l’aumento di circonferenza dopo il pasto si annullava</w:t>
      </w:r>
      <w:r>
        <w:t xml:space="preserve">, e il punteggio di distensione è sceso del 66%. Il gruppo placebo, con capsula e nessun segnale, no. Nello studio precedente, stesso disegno, la riduzione era del 56% contro il 13%. In entrambi le sessioni erano tre,</w:t>
      </w:r>
      <w:r>
        <w:t xml:space="preserve"> </w:t>
      </w:r>
      <w:r>
        <w:rPr>
          <w:b/>
          <w:bCs/>
        </w:rPr>
        <w:t xml:space="preserve">con esercizi ripetuti a casa tre volte al giorno per tutto il periodo</w:t>
      </w:r>
      <w:r>
        <w:t xml:space="preserve">. Il placebo prendeva la capsula con la stessa frequenza, ed è ciò che rende pulito il confronto. (Disegni e numerosità in Appendice B.)</w:t>
      </w:r>
    </w:p>
    <w:p>
      <w:pPr>
        <w:pStyle w:val="BlockText"/>
      </w:pPr>
      <w:r>
        <w:rPr>
          <w:b/>
          <w:bCs/>
        </w:rPr>
        <w:t xml:space="preserve">Quanto è solido:</w:t>
      </w:r>
      <w:r>
        <w:t xml:space="preserve"> </w:t>
      </w:r>
      <w:r>
        <w:t xml:space="preserve">l’etichetta si spezza.</w:t>
      </w:r>
      <w:r>
        <w:t xml:space="preserve"> </w:t>
      </w:r>
      <w:r>
        <w:rPr>
          <w:b/>
          <w:bCs/>
        </w:rPr>
        <w:t xml:space="preserve">Sull’esito distensione: DIMOSTRATO</w:t>
      </w:r>
      <w:r>
        <w:t xml:space="preserve"> </w:t>
      </w:r>
      <w:r>
        <w:rPr>
          <w:i/>
          <w:iCs/>
        </w:rPr>
        <w:t xml:space="preserve">(studi sull’uomo, solidi)</w:t>
      </w:r>
      <w:r>
        <w:t xml:space="preserve"> </w:t>
      </w:r>
      <w:r>
        <w:t xml:space="preserve">— Barba,</w:t>
      </w:r>
      <w:r>
        <w:t xml:space="preserve"> </w:t>
      </w:r>
      <w:r>
        <w:rPr>
          <w:i/>
          <w:iCs/>
        </w:rPr>
        <w:t xml:space="preserve">Gastroenterology</w:t>
      </w:r>
      <w:r>
        <w:t xml:space="preserve"> </w:t>
      </w:r>
      <w:r>
        <w:t xml:space="preserve">2024 (PMID 38467383); Barba,</w:t>
      </w:r>
      <w:r>
        <w:t xml:space="preserve"> </w:t>
      </w:r>
      <w:r>
        <w:rPr>
          <w:i/>
          <w:iCs/>
        </w:rPr>
        <w:t xml:space="preserve">Clin Gastroenterol Hepatol</w:t>
      </w:r>
      <w:r>
        <w:t xml:space="preserve"> </w:t>
      </w:r>
      <w:r>
        <w:t xml:space="preserve">2017 (PMID 28705783).</w:t>
      </w:r>
      <w:r>
        <w:t xml:space="preserve"> </w:t>
      </w:r>
      <w:r>
        <w:rPr>
          <w:b/>
          <w:bCs/>
        </w:rPr>
        <w:t xml:space="preserve">Sulla versione che puoi insegnare tu: IPOTESI</w:t>
      </w:r>
      <w:r>
        <w:t xml:space="preserve"> </w:t>
      </w:r>
      <w:r>
        <w:rPr>
          <w:i/>
          <w:iCs/>
        </w:rPr>
        <w:t xml:space="preserve">(meccanismo coerente, nessuno studio)</w:t>
      </w:r>
      <w:r>
        <w:t xml:space="preserve"> </w:t>
      </w:r>
      <w:r>
        <w:t xml:space="preserve">— negli studi il paziente vede il proprio segnale muscolare su uno schermo. Il salto è di</w:t>
      </w:r>
      <w:r>
        <w:t xml:space="preserve"> </w:t>
      </w:r>
      <w:r>
        <w:rPr>
          <w:b/>
          <w:bCs/>
        </w:rPr>
        <w:t xml:space="preserve">strumento</w:t>
      </w:r>
      <w:r>
        <w:t xml:space="preserve">.</w:t>
      </w:r>
    </w:p>
    <w:p>
      <w:pPr>
        <w:pStyle w:val="FirstParagraph"/>
      </w:pPr>
      <w:r>
        <w:rPr>
          <w:b/>
          <w:bCs/>
        </w:rPr>
        <w:t xml:space="preserve">Cosa non fa.</w:t>
      </w:r>
      <w:r>
        <w:t xml:space="preserve"> </w:t>
      </w:r>
      <w:r>
        <w:t xml:space="preserve">Non agisce sul dolore in quanto tale, e non è stato studiato in chi non ha distensione visibile. Cosa succeda quando il paziente smette non lo sappiamo. E quello che i pazienti hanno fatto non erano tre sedute: erano tre sedute più ottantaquattro ripetizioni a casa.</w:t>
      </w:r>
    </w:p>
    <w:p>
      <w:pPr>
        <w:pStyle w:val="BodyText"/>
      </w:pPr>
      <w:r>
        <w:rPr>
          <w:b/>
          <w:bCs/>
        </w:rPr>
        <w:t xml:space="preserve">E la parola «biofeedback» va maneggiata.</w:t>
      </w:r>
      <w:r>
        <w:t xml:space="preserve"> </w:t>
      </w:r>
      <w:r>
        <w:t xml:space="preserve">Una revisione Cochrane dedicata al biofeedback per questa sindrome conclude che</w:t>
      </w:r>
      <w:r>
        <w:t xml:space="preserve"> </w:t>
      </w:r>
      <w:r>
        <w:rPr>
          <w:b/>
          <w:bCs/>
        </w:rPr>
        <w:t xml:space="preserve">non ci sono prove sufficienti</w:t>
      </w:r>
      <w:r>
        <w:t xml:space="preserve">. Tutti gli studi inclusi sono a rischio di distorsione alto o non chiaro (Goldenberg 2019, PMID 31713856). Non smentisce Barba, e la ragione va detta.</w:t>
      </w:r>
      <w:r>
        <w:t xml:space="preserve"> </w:t>
      </w:r>
      <w:r>
        <w:rPr>
          <w:b/>
          <w:bCs/>
        </w:rPr>
        <w:t xml:space="preserve">La revisione non include il biofeedback addomino-toracico guidato dall’elettromiografia:</w:t>
      </w:r>
      <w:r>
        <w:t xml:space="preserve"> </w:t>
      </w:r>
      <w:r>
        <w:t xml:space="preserve">copre quello termico, di variabilità cardiaca, elettrocutaneo e rettosigmoideo.</w:t>
      </w:r>
      <w:r>
        <w:t xml:space="preserve"> </w:t>
      </w:r>
      <w:r>
        <w:rPr>
          <w:b/>
          <w:bCs/>
        </w:rPr>
        <w:t xml:space="preserve">E la ricerca si ferma al luglio 2019.</w:t>
      </w:r>
      <w:r>
        <w:t xml:space="preserve"> </w:t>
      </w:r>
      <w:r>
        <w:t xml:space="preserve">Sono due interventi diversi su due esiti diversi. Se non lo dici tu, la scoperta arriva da fuori.</w:t>
      </w:r>
    </w:p>
    <w:bookmarkEnd w:id="67"/>
    <w:bookmarkStart w:id="68" w:name="lattività-fisica-regolare"/>
    <w:p>
      <w:pPr>
        <w:pStyle w:val="Heading3"/>
      </w:pPr>
      <w:r>
        <w:t xml:space="preserve">2. L’attività fisica regolare</w:t>
      </w:r>
    </w:p>
    <w:p>
      <w:pPr>
        <w:pStyle w:val="FirstParagraph"/>
      </w:pPr>
      <w:r>
        <w:rPr>
          <w:b/>
          <w:bCs/>
        </w:rPr>
        <w:t xml:space="preserve">Cos’è.</w:t>
      </w:r>
      <w:r>
        <w:t xml:space="preserve"> </w:t>
      </w:r>
      <w:r>
        <w:t xml:space="preserve">Muoversi più di adesso, con attività che la persona sceglie e sostiene: camminare, bicicletta, ginnastica leggera.</w:t>
      </w:r>
    </w:p>
    <w:p>
      <w:pPr>
        <w:pStyle w:val="BodyText"/>
      </w:pPr>
      <w:r>
        <w:rPr>
          <w:b/>
          <w:bCs/>
        </w:rPr>
        <w:t xml:space="preserve">Su quale meccanismo agisce.</w:t>
      </w:r>
      <w:r>
        <w:t xml:space="preserve"> </w:t>
      </w:r>
      <w:r>
        <w:t xml:space="preserve">Sul terzo, «il comando che non stacca mai», per la via autonomica. In parte sul secondo, perché la parete lavora.</w:t>
      </w:r>
    </w:p>
    <w:p>
      <w:pPr>
        <w:pStyle w:val="BodyText"/>
      </w:pPr>
      <w:r>
        <w:rPr>
          <w:b/>
          <w:bCs/>
        </w:rPr>
        <w:t xml:space="preserve">Cosa hanno misurato gli studi.</w:t>
      </w:r>
      <w:r>
        <w:t xml:space="preserve"> </w:t>
      </w:r>
      <w:r>
        <w:t xml:space="preserve">Il gruppo istruito da un fisioterapista ad aumentare l’attività ha migliorato il punteggio di gravità di 51 punti in mediana contro 5, con meno peggioramenti che nei controlli. A 5,2 anni di distanza il punteggio era ancora più basso dell’inizio, su meno di metà del campione. (Disegni e numerosità in Appendice B.)</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C’è un solo studio randomizzato non in cieco, più un controllo a lungo termine su meno di metà del campione (Johannesson 2011, PMID 21206488; 2015, PMID 25593485). La linea guida inglese raccomanda di valutare il livello di attività e di consigliarne l’aumento a chi ne fa poca (NICE CG61).</w:t>
      </w:r>
    </w:p>
    <w:p>
      <w:pPr>
        <w:pStyle w:val="FirstParagraph"/>
      </w:pPr>
      <w:r>
        <w:rPr>
          <w:b/>
          <w:bCs/>
        </w:rPr>
        <w:t xml:space="preserve">Cosa non fa, e qui c’è il rovescio che conta.</w:t>
      </w:r>
      <w:r>
        <w:t xml:space="preserve"> </w:t>
      </w:r>
      <w:r>
        <w:t xml:space="preserve">La revisione Cochrane trova un miglioramento dei sintomi globali con</w:t>
      </w:r>
      <w:r>
        <w:t xml:space="preserve"> </w:t>
      </w:r>
      <w:r>
        <w:rPr>
          <w:b/>
          <w:bCs/>
        </w:rPr>
        <w:t xml:space="preserve">certezza molto bassa</w:t>
      </w:r>
      <w:r>
        <w:t xml:space="preserve">. Trova</w:t>
      </w:r>
      <w:r>
        <w:t xml:space="preserve"> </w:t>
      </w:r>
      <w:r>
        <w:rPr>
          <w:b/>
          <w:bCs/>
        </w:rPr>
        <w:t xml:space="preserve">nessun effetto sulla qualità di vita</w:t>
      </w:r>
      <w:r>
        <w:t xml:space="preserve"> </w:t>
      </w:r>
      <w:r>
        <w:t xml:space="preserve">e</w:t>
      </w:r>
      <w:r>
        <w:t xml:space="preserve"> </w:t>
      </w:r>
      <w:r>
        <w:rPr>
          <w:b/>
          <w:bCs/>
        </w:rPr>
        <w:t xml:space="preserve">nessun effetto sul dolore addominale</w:t>
      </w:r>
      <w:r>
        <w:t xml:space="preserve">, cioè sull’unico esito che dichiari come bersaglio. Sugli eventi avversi non conclude, perché i trial non li riportano (Nunan 2022, PMID 35766861). Il movimento ha quindi le prove migliori</w:t>
      </w:r>
      <w:r>
        <w:t xml:space="preserve"> </w:t>
      </w:r>
      <w:r>
        <w:rPr>
          <w:b/>
          <w:bCs/>
        </w:rPr>
        <w:t xml:space="preserve">sul punteggio globale, non sul dolore</w:t>
      </w:r>
      <w:r>
        <w:t xml:space="preserve">. Non cambia la forma delle feci, e non basta consigliarlo: negli studi l’aumento è arrivato da istruzioni date da un professionista.</w:t>
      </w:r>
      <w:r>
        <w:t xml:space="preserve"> </w:t>
      </w:r>
      <w:r>
        <w:t xml:space="preserve">E</w:t>
      </w:r>
      <w:r>
        <w:t xml:space="preserve"> </w:t>
      </w:r>
      <w:r>
        <w:rPr>
          <w:b/>
          <w:bCs/>
        </w:rPr>
        <w:t xml:space="preserve">l’abbandono non è casuale</w:t>
      </w:r>
      <w:r>
        <w:t xml:space="preserve">: se ne vanno i pazienti più gravi, cioè quelli che si presentano in studio.</w:t>
      </w:r>
    </w:p>
    <w:bookmarkEnd w:id="68"/>
    <w:bookmarkStart w:id="69" w:name="Xd9fd5315f80453edef03b32507da6d2d35d790d"/>
    <w:p>
      <w:pPr>
        <w:pStyle w:val="Heading3"/>
      </w:pPr>
      <w:r>
        <w:t xml:space="preserve">3. L’educazione sul funzionamento e la riduzione dell’evitamento</w:t>
      </w:r>
    </w:p>
    <w:p>
      <w:pPr>
        <w:pStyle w:val="FirstParagraph"/>
      </w:pPr>
      <w:r>
        <w:rPr>
          <w:b/>
          <w:bCs/>
        </w:rPr>
        <w:t xml:space="preserve">Cos’è.</w:t>
      </w:r>
      <w:r>
        <w:t xml:space="preserve"> </w:t>
      </w:r>
      <w:r>
        <w:t xml:space="preserve">Spiegare il meccanismo — soglia abbassata, sorveglianza che la abbassa ancora, evitamento che riduce la paura oggi e la aumenta domani, esami negativi come risultato. E, nella versione strutturata, tornare gradualmente nelle situazioni evitate invece di girarci attorno.</w:t>
      </w:r>
    </w:p>
    <w:p>
      <w:pPr>
        <w:pStyle w:val="BodyText"/>
      </w:pPr>
      <w:r>
        <w:rPr>
          <w:b/>
          <w:bCs/>
        </w:rPr>
        <w:t xml:space="preserve">Su quale meccanismo agisce.</w:t>
      </w:r>
      <w:r>
        <w:t xml:space="preserve"> </w:t>
      </w:r>
      <w:r>
        <w:t xml:space="preserve">Sul quinto, «l’attenzione che diventa parte del sintomo», e sul terzo per via dell’aspettativa.</w:t>
      </w:r>
    </w:p>
    <w:p>
      <w:pPr>
        <w:pStyle w:val="BodyText"/>
      </w:pPr>
      <w:r>
        <w:rPr>
          <w:b/>
          <w:bCs/>
        </w:rPr>
        <w:t xml:space="preserve">Cosa hanno misurato gli studi.</w:t>
      </w:r>
      <w:r>
        <w:t xml:space="preserve"> </w:t>
      </w:r>
      <w:r>
        <w:t xml:space="preserve">Le terapie psicologiche strutturate hanno ridotto la quota di pazienti ancora sintomatici a fine trattamento: cognitivo-comportamentale autosomministrata (rischio relativo 0,61), in presenza (0,62), ipnoterapia diretta all’intestino (0,67). Nessuna è superiore alle altre, e il rischio di distorsione dichiarato è alto. E c’è un dato che nessun’altra leva possiede. In uno studio di smontaggio lo stesso programma è stato erogato con e senza</w:t>
      </w:r>
      <w:r>
        <w:t xml:space="preserve"> </w:t>
      </w:r>
      <w:r>
        <w:rPr>
          <w:b/>
          <w:bCs/>
        </w:rPr>
        <w:t xml:space="preserve">esposizione sistematica</w:t>
      </w:r>
      <w:r>
        <w:t xml:space="preserve"> </w:t>
      </w:r>
      <w:r>
        <w:t xml:space="preserve">alle situazioni evitate. La differenza fra i gruppi è stata di 0,47 a fine trattamento e 0,48 a sei mesi, a favore dell’esposizione. (Disegni e numerosità in Appendice B.) È l’unico studio qui che isola un componente attivo e lo trova responsabile dell’effetto.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sull’esito, con il salto dichiarato: è di</w:t>
      </w:r>
      <w:r>
        <w:t xml:space="preserve"> </w:t>
      </w:r>
      <w:r>
        <w:rPr>
          <w:b/>
          <w:bCs/>
        </w:rPr>
        <w:t xml:space="preserve">erogatore</w:t>
      </w:r>
      <w:r>
        <w:t xml:space="preserve">. Il programma lo erogano psicologi, terapeuti formati o una piattaforma con contatto online, non osteopati. A te restano la parte educativa,</w:t>
      </w:r>
      <w:r>
        <w:t xml:space="preserve"> </w:t>
      </w:r>
      <w:r>
        <w:rPr>
          <w:b/>
          <w:bCs/>
        </w:rPr>
        <w:t xml:space="preserve">nominare l’evitamento come bersaglio</w:t>
      </w:r>
      <w:r>
        <w:t xml:space="preserve">, e il rinvio. (Black 2020, PMID 32276950; Ljótsson 2014, PMID 24584055)</w:t>
      </w:r>
    </w:p>
    <w:p>
      <w:pPr>
        <w:pStyle w:val="FirstParagraph"/>
      </w:pPr>
      <w:r>
        <w:rPr>
          <w:b/>
          <w:bCs/>
        </w:rPr>
        <w:t xml:space="preserve">Cosa non fa.</w:t>
      </w:r>
      <w:r>
        <w:t xml:space="preserve"> </w:t>
      </w:r>
      <w:r>
        <w:t xml:space="preserve">Non sostituisce un percorso psicologico, e chiamarlo «terapia cognitivo-comportamentale» sarebbe falso. Non funziona se arriva come</w:t>
      </w:r>
      <w:r>
        <w:t xml:space="preserve"> </w:t>
      </w:r>
      <w:r>
        <w:rPr>
          <w:i/>
          <w:iCs/>
        </w:rPr>
        <w:t xml:space="preserve">«è ansia»</w:t>
      </w:r>
      <w:r>
        <w:t xml:space="preserve">. E non è per tutti. In una coorte clinica consecutiva l’abbandono si concentrava nei pazienti più gravi, e gli autori concludono che il programma è adatto solo a un sottoinsieme (Ljótsson 2011, PMID 21992655).</w:t>
      </w:r>
    </w:p>
    <w:bookmarkEnd w:id="69"/>
    <w:bookmarkStart w:id="70" w:name="il-respiro-lento"/>
    <w:p>
      <w:pPr>
        <w:pStyle w:val="Heading3"/>
      </w:pPr>
      <w:r>
        <w:t xml:space="preserve">4. Il respiro lento</w:t>
      </w:r>
    </w:p>
    <w:p>
      <w:pPr>
        <w:pStyle w:val="FirstParagraph"/>
      </w:pPr>
      <w:r>
        <w:rPr>
          <w:b/>
          <w:bCs/>
        </w:rPr>
        <w:t xml:space="preserve">Cos’è.</w:t>
      </w:r>
      <w:r>
        <w:t xml:space="preserve"> </w:t>
      </w:r>
      <w:r>
        <w:t xml:space="preserve">Respirare a ritmo rallentato, fra cinque e sette atti al minuto, per pochi minuti.</w:t>
      </w:r>
      <w:r>
        <w:t xml:space="preserve"> </w:t>
      </w:r>
      <w:r>
        <w:rPr>
          <w:b/>
          <w:bCs/>
        </w:rPr>
        <w:t xml:space="preserve">Su quale meccanismo agisce:</w:t>
      </w:r>
      <w:r>
        <w:t xml:space="preserve"> </w:t>
      </w:r>
      <w:r>
        <w:t xml:space="preserve">sul terzo, «il comando che non stacca mai».</w:t>
      </w:r>
    </w:p>
    <w:p>
      <w:pPr>
        <w:pStyle w:val="BodyText"/>
      </w:pPr>
      <w:r>
        <w:rPr>
          <w:b/>
          <w:bCs/>
        </w:rPr>
        <w:t xml:space="preserve">Cosa hanno misurato gli studi.</w:t>
      </w:r>
      <w:r>
        <w:t xml:space="preserve"> </w:t>
      </w:r>
      <w:r>
        <w:t xml:space="preserve">Due letterature, e vanno tenute separate.</w:t>
      </w:r>
    </w:p>
    <w:p>
      <w:pPr>
        <w:pStyle w:val="BodyText"/>
      </w:pPr>
      <w:r>
        <w:t xml:space="preserve">Sull’</w:t>
      </w:r>
      <w:r>
        <w:rPr>
          <w:b/>
          <w:bCs/>
        </w:rPr>
        <w:t xml:space="preserve">effetto autonomico</w:t>
      </w:r>
      <w:r>
        <w:t xml:space="preserve">: gli indici vagali della variabilità cardiaca salgono durante il respiro lento, subito dopo una sessione e dopo un ciclo.</w:t>
      </w:r>
    </w:p>
    <w:p>
      <w:pPr>
        <w:pStyle w:val="BodyText"/>
      </w:pPr>
      <w:r>
        <w:t xml:space="preserve">Sui</w:t>
      </w:r>
      <w:r>
        <w:t xml:space="preserve"> </w:t>
      </w:r>
      <w:r>
        <w:rPr>
          <w:b/>
          <w:bCs/>
        </w:rPr>
        <w:t xml:space="preserve">sintomi intestinali</w:t>
      </w:r>
      <w:r>
        <w:t xml:space="preserve"> </w:t>
      </w:r>
      <w:r>
        <w:t xml:space="preserve">ci sono due studi randomizzati, e uno è su pazienti diagnosticati. Il primo ha arruolato pazienti</w:t>
      </w:r>
      <w:r>
        <w:t xml:space="preserve"> </w:t>
      </w:r>
      <w:r>
        <w:rPr>
          <w:b/>
          <w:bCs/>
        </w:rPr>
        <w:t xml:space="preserve">nella forma con stitichezza</w:t>
      </w:r>
      <w:r>
        <w:t xml:space="preserve">. Sei settimane di respiro lento e profondo — sei cicli al minuto, inspirazione 4 secondi ed espirazione 6, trenta minuti — hanno migliorato il punteggio di gravità. E hanno</w:t>
      </w:r>
      <w:r>
        <w:t xml:space="preserve"> </w:t>
      </w:r>
      <w:r>
        <w:rPr>
          <w:b/>
          <w:bCs/>
        </w:rPr>
        <w:t xml:space="preserve">alzato tre soglie rettali alla manometria</w:t>
      </w:r>
      <w:r>
        <w:t xml:space="preserve">: prima sensazione, desiderio di evacuare e volume massimo tollerato. Gli indici vagali erano più alti a tre e a sei settimane (Liu 2022 — PMID 36408402). Il secondo ha arruolato partecipanti con gonfiore funzionale, randomizzati a istruzioni scritte o a un dispositivo di biofeedback, tre volte al giorno per tre minuti. Il gonfiore è migliorato in entrambi i bracci, senza differenza (Chakraborty 2025 — PMID 41323646). È l’unica misura esistente della versione</w:t>
      </w:r>
      <w:r>
        <w:t xml:space="preserve"> </w:t>
      </w:r>
      <w:r>
        <w:rPr>
          <w:b/>
          <w:bCs/>
        </w:rPr>
        <w:t xml:space="preserve">a sole istruzioni scritte</w:t>
      </w:r>
      <w:r>
        <w:t xml:space="preserve">. (Disegni e numerosità in Appendice B.)</w:t>
      </w:r>
    </w:p>
    <w:p>
      <w:pPr>
        <w:pStyle w:val="BlockText"/>
      </w:pPr>
      <w:r>
        <w:rPr>
          <w:b/>
          <w:bCs/>
        </w:rPr>
        <w:t xml:space="preserve">Quanto è solido:</w:t>
      </w:r>
      <w:r>
        <w:t xml:space="preserve"> </w:t>
      </w:r>
      <w:r>
        <w:t xml:space="preserve">l’etichetta si spezza.</w:t>
      </w:r>
      <w:r>
        <w:t xml:space="preserve"> </w:t>
      </w:r>
      <w:r>
        <w:rPr>
          <w:b/>
          <w:bCs/>
        </w:rPr>
        <w:t xml:space="preserve">Sull’effetto autonomico: DIMOSTRATO</w:t>
      </w:r>
      <w:r>
        <w:t xml:space="preserve"> </w:t>
      </w:r>
      <w:r>
        <w:rPr>
          <w:i/>
          <w:iCs/>
        </w:rPr>
        <w:t xml:space="preserve">(studi sull’uomo, solidi)</w:t>
      </w:r>
      <w:r>
        <w:t xml:space="preserve"> </w:t>
      </w:r>
      <w:r>
        <w:t xml:space="preserve">— Laborde 2022 (PMID 35623448); You 2024 (PMID 38063977). Il salto è di</w:t>
      </w:r>
      <w:r>
        <w:t xml:space="preserve"> </w:t>
      </w:r>
      <w:r>
        <w:rPr>
          <w:b/>
          <w:bCs/>
        </w:rPr>
        <w:t xml:space="preserve">popolazione</w:t>
      </w:r>
      <w:r>
        <w:t xml:space="preserve">.</w:t>
      </w:r>
      <w:r>
        <w:t xml:space="preserve"> </w:t>
      </w:r>
      <w:r>
        <w:rPr>
          <w:b/>
          <w:bCs/>
        </w:rPr>
        <w:t xml:space="preserve">Sull’effetto sui sintomi, nella sola forma con stitichezza: PROBABILE</w:t>
      </w:r>
      <w:r>
        <w:t xml:space="preserve"> </w:t>
      </w:r>
      <w:r>
        <w:rPr>
          <w:i/>
          <w:iCs/>
        </w:rPr>
        <w:t xml:space="preserve">(razionale forte, prove parziali)</w:t>
      </w:r>
      <w:r>
        <w:t xml:space="preserve"> </w:t>
      </w:r>
      <w:r>
        <w:t xml:space="preserve">— Liu 2022 (PMID 36408402). Non DIMOSTRATO: 85 pazienti, un solo centro, e</w:t>
      </w:r>
      <w:r>
        <w:t xml:space="preserve"> </w:t>
      </w:r>
      <w:r>
        <w:rPr>
          <w:b/>
          <w:bCs/>
        </w:rPr>
        <w:t xml:space="preserve">l’abstract non descrive il braccio di controllo</w:t>
      </w:r>
      <w:r>
        <w:t xml:space="preserve">.</w:t>
      </w:r>
      <w:r>
        <w:t xml:space="preserve"> </w:t>
      </w:r>
      <w:r>
        <w:rPr>
          <w:i/>
          <w:iCs/>
        </w:rPr>
        <w:t xml:space="preserve">Misurato con un esercizio respiratorio fatto dal paziente e nella sola forma con stitichezza, non con una mano e non in tutti i sottotipi.</w:t>
      </w:r>
      <w:r>
        <w:t xml:space="preserve"> </w:t>
      </w:r>
      <w:r>
        <w:t xml:space="preserve">Lo studio sul gonfiore funzionale non alza l’etichetta: manca il braccio inattivo.</w:t>
      </w:r>
      <w:r>
        <w:t xml:space="preserve"> </w:t>
      </w:r>
      <w:r>
        <w:rPr>
          <w:b/>
          <w:bCs/>
        </w:rPr>
        <w:t xml:space="preserve">Sulla catena «vagale su → soglia su» in questi pazienti: PROBABILE</w:t>
      </w:r>
      <w:r>
        <w:t xml:space="preserve"> </w:t>
      </w:r>
      <w:r>
        <w:rPr>
          <w:i/>
          <w:iCs/>
        </w:rPr>
        <w:t xml:space="preserve">(razionale forte, prove parziali)</w:t>
      </w:r>
      <w:r>
        <w:t xml:space="preserve"> </w:t>
      </w:r>
      <w:r>
        <w:t xml:space="preserve">— Liu 2022 e Liu 2024 (PMID 39689011).</w:t>
      </w:r>
      <w:r>
        <w:t xml:space="preserve"> </w:t>
      </w:r>
      <w:r>
        <w:rPr>
          <w:i/>
          <w:iCs/>
        </w:rPr>
        <w:t xml:space="preserve">Stesso gruppo, stesso centro, stesso sottotipo, 85 e 40 pazienti: non sono due conferme indipendenti.</w:t>
      </w:r>
    </w:p>
    <w:p>
      <w:pPr>
        <w:pStyle w:val="FirstParagraph"/>
      </w:pPr>
      <w:r>
        <w:rPr>
          <w:b/>
          <w:bCs/>
        </w:rPr>
        <w:t xml:space="preserve">Cosa non fa.</w:t>
      </w:r>
      <w:r>
        <w:t xml:space="preserve"> </w:t>
      </w:r>
      <w:r>
        <w:t xml:space="preserve">Non è stato misurato sul dolore addominale di questi pazienti, e non è stato misurato fuori dalla forma con stitichezza. E va distinto dallo yoga: la risposta da dare sta in «Cosa dice la scienza».</w:t>
      </w:r>
    </w:p>
    <w:p>
      <w:pPr>
        <w:pStyle w:val="BlockText"/>
      </w:pPr>
      <w:r>
        <w:rPr>
          <w:b/>
          <w:bCs/>
        </w:rPr>
        <w:t xml:space="preserve">Attenzione.</w:t>
      </w:r>
      <w:r>
        <w:t xml:space="preserve"> </w:t>
      </w:r>
      <w:r>
        <w:t xml:space="preserve">La dieta non è in questo capitolo, ed è una scelta. Le prove ci sono: la dieta a basso contenuto di zuccheri fermentabili ha un vantaggio sui sintomi globali (Cuffe 2025, PMID 40258374). Ma non è uno strumento che il paziente può ricevere da te. È un percorso condotto da un dietista, con reintroduzione programmata, e senza quella fase produce una restrizione permanente in chi ha già tolto troppo.</w:t>
      </w:r>
    </w:p>
    <w:p>
      <w:pPr>
        <w:pStyle w:val="FirstParagraph"/>
      </w:pPr>
      <w:r>
        <w:rPr>
          <w:b/>
          <w:bCs/>
        </w:rPr>
        <w:t xml:space="preserve">Il come e il quando non sono qui. Stanno nella Procedura del colon irritabile: quale strumento a questo paziente, con quale dose e a quale seduta.</w:t>
      </w:r>
      <w:r>
        <w:t xml:space="preserve"> </w:t>
      </w:r>
      <w:r>
        <w:t xml:space="preserve">I numeri che hai appena letto sono quello che i ricercatori hanno fatto fare ai loro partecipanti, non una prescrizione.</w:t>
      </w:r>
    </w:p>
    <w:p>
      <w:pPr>
        <w:pStyle w:val="BodyText"/>
      </w:pPr>
      <w:r>
        <w:rPr>
          <w:b/>
          <w:bCs/>
        </w:rPr>
        <w:t xml:space="preserve">Le tre cose da ricordare, più una</w:t>
      </w:r>
    </w:p>
    <w:p>
      <w:pPr>
        <w:pStyle w:val="Compact"/>
        <w:numPr>
          <w:ilvl w:val="0"/>
          <w:numId w:val="1043"/>
        </w:numPr>
      </w:pPr>
      <w:r>
        <w:t xml:space="preserve">Gli strumenti con le prove migliori qui non sono le tue mani, e dirlo per primo rende credibile il resto.</w:t>
      </w:r>
    </w:p>
    <w:p>
      <w:pPr>
        <w:pStyle w:val="Compact"/>
        <w:numPr>
          <w:ilvl w:val="0"/>
          <w:numId w:val="1043"/>
        </w:numPr>
      </w:pPr>
      <w:r>
        <w:t xml:space="preserve">Il movimento ha le prove migliori sul punteggio globale,</w:t>
      </w:r>
      <w:r>
        <w:t xml:space="preserve"> </w:t>
      </w:r>
      <w:r>
        <w:rPr>
          <w:b/>
          <w:bCs/>
        </w:rPr>
        <w:t xml:space="preserve">non sul dolore addominale</w:t>
      </w:r>
      <w:r>
        <w:t xml:space="preserve">, che è l’esito che dichiari come bersaglio.</w:t>
      </w:r>
    </w:p>
    <w:p>
      <w:pPr>
        <w:pStyle w:val="Compact"/>
        <w:numPr>
          <w:ilvl w:val="0"/>
          <w:numId w:val="1043"/>
        </w:numPr>
      </w:pPr>
      <w:r>
        <w:t xml:space="preserve">Lo yoga non è dimostrato né in un senso né nell’altro. La dieta si segnala e si rinvia, mai si prescrive.</w:t>
      </w:r>
    </w:p>
    <w:p>
      <w:pPr>
        <w:pStyle w:val="Compact"/>
        <w:numPr>
          <w:ilvl w:val="0"/>
          <w:numId w:val="1043"/>
        </w:numPr>
      </w:pPr>
      <w:r>
        <w:rPr>
          <w:b/>
          <w:bCs/>
        </w:rPr>
        <w:t xml:space="preserve">Perché ci sei tu.</w:t>
      </w:r>
      <w:r>
        <w:t xml:space="preserve"> </w:t>
      </w:r>
      <w:r>
        <w:t xml:space="preserve">In uno studio randomizzato l’aumento dell’attività fisica ha spostato il punteggio di gravità di 51 punti in mediana contro 5. La scala è quella in cui 50 è la soglia del miglioramento percepito, e gli intervalli sono larghi, da guardare. Questo ti autorizza a insegnare e a monitorare quella leva. Non ti autorizza a presentarla come effetto del tuo trattamento: nello studio a darla era un fisioterapista, e il guadagno apparteneva alla ripetizione.</w:t>
      </w:r>
    </w:p>
    <w:p>
      <w:r>
        <w:pict>
          <v:rect style="width:0;height:1.5pt" o:hralign="center" o:hrstd="t" o:hr="t"/>
        </w:pict>
      </w:r>
    </w:p>
    <w:bookmarkEnd w:id="70"/>
    <w:bookmarkEnd w:id="71"/>
    <w:bookmarkStart w:id="75" w:name="capitolo-13-cosa-dire-al-paziente"/>
    <w:p>
      <w:pPr>
        <w:pStyle w:val="Heading2"/>
      </w:pPr>
      <w:r>
        <w:t xml:space="preserve">Capitolo 13 — Cosa dire al paziente</w:t>
      </w:r>
    </w:p>
    <w:p>
      <w:pPr>
        <w:pStyle w:val="BlockText"/>
      </w:pPr>
      <w:r>
        <w:rPr>
          <w:b/>
          <w:bCs/>
        </w:rPr>
        <w:t xml:space="preserve">In una riga:</w:t>
      </w:r>
      <w:r>
        <w:t xml:space="preserve"> </w:t>
      </w:r>
      <w:r>
        <w:t xml:space="preserve">hai cento parole per spostare una persona dal «ci devo convivere» al «c’è qualcosa da misurare».</w:t>
      </w:r>
    </w:p>
    <w:bookmarkStart w:id="72" w:name="lo-script"/>
    <w:p>
      <w:pPr>
        <w:pStyle w:val="Heading3"/>
      </w:pPr>
      <w:r>
        <w:t xml:space="preserve">Lo script</w:t>
      </w:r>
    </w:p>
    <w:p>
      <w:pPr>
        <w:pStyle w:val="FirstParagraph"/>
      </w:pPr>
      <w:r>
        <w:rPr>
          <w:i/>
          <w:iCs/>
        </w:rPr>
        <w:t xml:space="preserve">«I tuoi esami sono negativi, e questo è un risultato: il medico ha escluso quello che cercava. La colonscopia guarda com’è fatto il tubo, non a che volume segnala. È come un citofono col volume al massimo: chi passa per strada non è cambiato, ma tu lo senti dentro casa. Io lavoro su due cose: il muscolo che ti fa da coperchio sopra la pancia, e quanto sta in allarme il sistema che decide il volume. Non curo la sindrome: i sintomi li segue il tuo medico. Scelgo una misura oggi e la rifacciamo fra qualche settimana.»</w:t>
      </w:r>
    </w:p>
    <w:p>
      <w:pPr>
        <w:pStyle w:val="BodyText"/>
      </w:pPr>
      <w:r>
        <w:rPr>
          <w:b/>
          <w:bCs/>
        </w:rPr>
        <w:t xml:space="preserve">E una riga che esce con lui, sempre.</w:t>
      </w:r>
      <w:r>
        <w:t xml:space="preserve"> </w:t>
      </w:r>
      <w:r>
        <w:rPr>
          <w:i/>
          <w:iCs/>
        </w:rPr>
        <w:t xml:space="preserve">«Se dopo una seduta il dolore aumenta invece di calare, o compaiono febbre, vomito, sangue nelle feci o svenimento, non aspetti la prossima seduta e non chiami me: vada in pronto soccorso.»</w:t>
      </w:r>
      <w:r>
        <w:t xml:space="preserve"> </w:t>
      </w:r>
      <w:r>
        <w:rPr>
          <w:i/>
          <w:iCs/>
        </w:rPr>
        <w:t xml:space="preserve">(Fuori da questo scenario, il sangue nelle feci va al medico curante senza attendere: vedi il cancello in «Dove finisce il nostro campo».)</w:t>
      </w:r>
    </w:p>
    <w:bookmarkEnd w:id="72"/>
    <w:bookmarkStart w:id="73" w:name="le-obiezioni-e-le-risposte-oneste"/>
    <w:p>
      <w:pPr>
        <w:pStyle w:val="Heading3"/>
      </w:pPr>
      <w:r>
        <w:t xml:space="preserve">Le obiezioni, e le risposte oneste</w:t>
      </w:r>
    </w:p>
    <w:p>
      <w:pPr>
        <w:pStyle w:val="FirstParagraph"/>
      </w:pPr>
      <w:r>
        <w:rPr>
          <w:b/>
          <w:bCs/>
        </w:rPr>
        <w:t xml:space="preserve">«Cosa c’entrano le mani con il mio intestino?»</w:t>
      </w:r>
      <w:r>
        <w:t xml:space="preserve"> </w:t>
      </w:r>
      <w:r>
        <w:rPr>
          <w:i/>
          <w:iCs/>
        </w:rPr>
        <w:t xml:space="preserve">«Con l’intestino poco, con quello che gli sta intorno molto. Sopra c’è il diaframma, davanti la parete addominale: muscoli come gli altri, e in chi ha la pancia che si gonfia a vista si è visto che lavorano al contrario. Su quelli le mani arrivano.»</w:t>
      </w:r>
    </w:p>
    <w:p>
      <w:pPr>
        <w:pStyle w:val="BodyText"/>
      </w:pPr>
      <w:r>
        <w:rPr>
          <w:b/>
          <w:bCs/>
        </w:rPr>
        <w:t xml:space="preserve">«Mi hanno detto che è ansia.»</w:t>
      </w:r>
      <w:r>
        <w:t xml:space="preserve"> </w:t>
      </w:r>
      <w:r>
        <w:rPr>
          <w:i/>
          <w:iCs/>
        </w:rPr>
        <w:t xml:space="preserve">«Il collegamento fra testa e pancia esiste davvero, ed è stato misurato: nel gruppo, in media, la risposta ormonale allo stress è più marcata e l’equilibrio del sistema nervoso automatico è diverso — con prove parziali. Non è una colpa e non è immaginazione: è un sistema da riequilibrare, e passa da nervi e muscoli concreti. E se il tuo medico ti propone un percorso psicologico strutturato o l’ipnoterapia diretta all’intestino, quello è il trattamento con più studi alle spalle di tutti. Non è in alternativa a quello che faccio io. Qualunque cosa ti abbia dato il tuo medico, la continui: io non tocco le terapie e non le commento.»</w:t>
      </w:r>
    </w:p>
    <w:p>
      <w:pPr>
        <w:pStyle w:val="BodyText"/>
      </w:pPr>
      <w:r>
        <w:rPr>
          <w:b/>
          <w:bCs/>
        </w:rPr>
        <w:t xml:space="preserve">«La colonscopia è perfetta.»</w:t>
      </w:r>
      <w:r>
        <w:t xml:space="preserve"> </w:t>
      </w:r>
      <w:r>
        <w:rPr>
          <w:i/>
          <w:iCs/>
        </w:rPr>
        <w:t xml:space="preserve">«Ottimo, ed è la cosa più importante che potevi avere. Esclude le malattie che quell’esame è fatto per cercare. Il funzionamento però in colonscopia non si vede — l’esame guarda com’è fatto il tubo, non a che volume segnala. Quello è il campo su cui lavoro io. E le due cose convivono: io lavoro sulla componente meccanica che ho trovato, i sintomi restano una cosa che il tuo medico continua a seguire.»</w:t>
      </w:r>
    </w:p>
    <w:p>
      <w:pPr>
        <w:pStyle w:val="BodyText"/>
      </w:pPr>
      <w:r>
        <w:rPr>
          <w:b/>
          <w:bCs/>
        </w:rPr>
        <w:t xml:space="preserve">«Ho già tolto tutti i cibi possibili.»</w:t>
      </w:r>
      <w:r>
        <w:t xml:space="preserve"> </w:t>
      </w:r>
      <w:r>
        <w:rPr>
          <w:i/>
          <w:iCs/>
        </w:rPr>
        <w:t xml:space="preserve">«E i sintomi vanno e vengono lo stesso: se la stessa cosa oggi va bene e domani no, la variabile non è solo il cibo. Prima di togliere altro, misuriamo qualcos’altro.»</w:t>
      </w:r>
    </w:p>
    <w:p>
      <w:pPr>
        <w:pStyle w:val="BodyText"/>
      </w:pPr>
      <w:r>
        <w:rPr>
          <w:b/>
          <w:bCs/>
        </w:rPr>
        <w:t xml:space="preserve">«Ci devo convivere.»</w:t>
      </w:r>
      <w:r>
        <w:t xml:space="preserve"> </w:t>
      </w:r>
      <w:r>
        <w:rPr>
          <w:i/>
          <w:iCs/>
        </w:rPr>
        <w:t xml:space="preserve">«Su una parte forse, su altre no — e la differenza si vede solo con una misura decisa prima. Se fra sei settimane non si è mossa te lo dico, e il passo successivo è tornare dal medico con un’informazione in più.»</w:t>
      </w:r>
    </w:p>
    <w:p>
      <w:pPr>
        <w:pStyle w:val="BodyText"/>
      </w:pPr>
      <w:r>
        <w:rPr>
          <w:b/>
          <w:bCs/>
        </w:rPr>
        <w:t xml:space="preserve">«Se mi dici tutti i limiti, non mi passa più niente.»</w:t>
      </w:r>
      <w:r>
        <w:t xml:space="preserve"> </w:t>
      </w:r>
      <w:r>
        <w:rPr>
          <w:i/>
          <w:iCs/>
        </w:rPr>
        <w:t xml:space="preserve">«È il contrario, ed è stato misurato su chi ha il tuo disturbo. In uno studio su 262 persone hanno dato una pillola dicendo apertamente che era finta: ha funzionato quanto la stessa pillola data di nascosto. Sapere come stanno le cose non spegne quello che il corpo fa.»</w:t>
      </w:r>
      <w:r>
        <w:t xml:space="preserve"> </w:t>
      </w:r>
      <w:r>
        <w:t xml:space="preserve">Il numero, per te: 90,6 punti col placebo dichiarato contro 100,3 con quello in doppio cieco, differenza non significativa (p=0,485) — Lembo,</w:t>
      </w:r>
      <w:r>
        <w:t xml:space="preserve"> </w:t>
      </w:r>
      <w:r>
        <w:rPr>
          <w:i/>
          <w:iCs/>
        </w:rPr>
        <w:t xml:space="preserve">Pain</w:t>
      </w:r>
      <w:r>
        <w:t xml:space="preserve"> </w:t>
      </w:r>
      <w:r>
        <w:t xml:space="preserve">2021 (PMID 33605656).</w:t>
      </w:r>
      <w:r>
        <w:t xml:space="preserve"> </w:t>
      </w:r>
      <w:r>
        <w:rPr>
          <w:i/>
          <w:iCs/>
        </w:rPr>
        <w:t xml:space="preserve">Misurato con una pillola inerte su questi stessi pazienti, non con un trattamento manuale: il salto è di intervento, non di popolazione.</w:t>
      </w:r>
    </w:p>
    <w:bookmarkEnd w:id="73"/>
    <w:bookmarkStart w:id="74" w:name="cosa-non-promettere-mai"/>
    <w:p>
      <w:pPr>
        <w:pStyle w:val="Heading3"/>
      </w:pPr>
      <w:r>
        <w:t xml:space="preserve">Cosa non promettere mai</w:t>
      </w:r>
    </w:p>
    <w:p>
      <w:pPr>
        <w:pStyle w:val="FirstParagraph"/>
      </w:pPr>
      <w:r>
        <w:t xml:space="preserve">Non promettere che il colon irritabile passa. Non promettere che la diarrea o la stitichezza cambiano: quella misura è stata fatta e non si è mossa. Non promettere che l’effetto dura: l’unico studio che ha guardato a un mese ha visto la differenza sparire. E non lasciare mai la stanza senza aver detto che le terapie in corso si continuano e non si commentano.</w:t>
      </w:r>
    </w:p>
    <w:p>
      <w:pPr>
        <w:pStyle w:val="BodyText"/>
      </w:pPr>
      <w:r>
        <w:rPr>
          <w:b/>
          <w:bCs/>
        </w:rPr>
        <w:t xml:space="preserve">Le tre cose da ricordare, più una</w:t>
      </w:r>
    </w:p>
    <w:p>
      <w:pPr>
        <w:pStyle w:val="Compact"/>
        <w:numPr>
          <w:ilvl w:val="0"/>
          <w:numId w:val="1044"/>
        </w:numPr>
      </w:pPr>
      <w:r>
        <w:t xml:space="preserve">La convivenza fra il tuo reperto e l’inquadramento medico si dice al paziente con le stesse parole del triage.</w:t>
      </w:r>
    </w:p>
    <w:p>
      <w:pPr>
        <w:pStyle w:val="Compact"/>
        <w:numPr>
          <w:ilvl w:val="0"/>
          <w:numId w:val="1044"/>
        </w:numPr>
      </w:pPr>
      <w:r>
        <w:t xml:space="preserve">Restituisci l’esame negativo come risultato, attribuendolo a chi l’ha letto: rassicurare sull’assenza di malattia non è un atto tuo.</w:t>
      </w:r>
    </w:p>
    <w:p>
      <w:pPr>
        <w:pStyle w:val="Compact"/>
        <w:numPr>
          <w:ilvl w:val="0"/>
          <w:numId w:val="1044"/>
        </w:numPr>
      </w:pPr>
      <w:r>
        <w:t xml:space="preserve">Prometti una misura e una data, mai un esito.</w:t>
      </w:r>
    </w:p>
    <w:p>
      <w:pPr>
        <w:pStyle w:val="Compact"/>
        <w:numPr>
          <w:ilvl w:val="0"/>
          <w:numId w:val="1044"/>
        </w:numPr>
      </w:pPr>
      <w:r>
        <w:rPr>
          <w:b/>
          <w:bCs/>
        </w:rPr>
        <w:t xml:space="preserve">Perché ci sei tu.</w:t>
      </w:r>
      <w:r>
        <w:t xml:space="preserve"> </w:t>
      </w:r>
      <w:r>
        <w:t xml:space="preserve">Nei trial dei farmaci registrati per questa sindrome il placebo migliora il dolore addominale in 35-40 pazienti su 100 (Barberio 2022 — PMID 34425274). Questo ti autorizza a spiegare perché una cosa che sembra funzionare può non essere quella che pensi. Non ti autorizza a dire al paziente che i suoi farmaci sono placebo: quel numero riguarda i bracci di controllo.</w:t>
      </w:r>
    </w:p>
    <w:p>
      <w:r>
        <w:pict>
          <v:rect style="width:0;height:1.5pt" o:hralign="center" o:hrstd="t" o:hr="t"/>
        </w:pict>
      </w:r>
    </w:p>
    <w:bookmarkEnd w:id="74"/>
    <w:bookmarkEnd w:id="75"/>
    <w:bookmarkStart w:id="76" w:name="capitolo-14-cosa-fare-adesso"/>
    <w:p>
      <w:pPr>
        <w:pStyle w:val="Heading2"/>
      </w:pPr>
      <w:r>
        <w:t xml:space="preserve">Capitolo 14 — Cosa fare adesso</w:t>
      </w:r>
    </w:p>
    <w:p>
      <w:pPr>
        <w:pStyle w:val="BlockText"/>
      </w:pPr>
      <w:r>
        <w:rPr>
          <w:b/>
          <w:bCs/>
        </w:rPr>
        <w:t xml:space="preserve">In una riga:</w:t>
      </w:r>
      <w:r>
        <w:t xml:space="preserve"> </w:t>
      </w:r>
      <w:r>
        <w:t xml:space="preserve">hai un bersaglio preciso, una misura che lo verifica e due limiti da dichiarare prima di cominciare.</w:t>
      </w:r>
    </w:p>
    <w:p>
      <w:pPr>
        <w:pStyle w:val="FirstParagraph"/>
      </w:pPr>
      <w:r>
        <w:t xml:space="preserve">Gli esami negativi sono un’informazione: la struttura è a posto, e il guasto è nella funzione. La funzione qui è di due tipi: la soglia a cui l’intestino segnala, e il contenitore che dovrebbe assorbire il volume e invece lo spinge fuori. Il contenitore è fatto di muscoli scheletrici e le tue mani ci arrivano. Sulla soglia una misura, fatta una volta sola, si è mossa. Il resto non è tuo, e dirlo prima rende credibile la parte che lo è. Il mandato non nasce dall’etichetta: nasce da un reperto che scrivi e da un marker che si muove.</w:t>
      </w:r>
    </w:p>
    <w:p>
      <w:pPr>
        <w:pStyle w:val="BodyText"/>
      </w:pPr>
      <w:r>
        <w:rPr>
          <w:b/>
          <w:bCs/>
        </w:rPr>
        <w:t xml:space="preserve">Le tre cose che cambi da lunedì.</w:t>
      </w:r>
    </w:p>
    <w:p>
      <w:pPr>
        <w:pStyle w:val="Compact"/>
        <w:numPr>
          <w:ilvl w:val="0"/>
          <w:numId w:val="1045"/>
        </w:numPr>
      </w:pPr>
      <w:r>
        <w:rPr>
          <w:b/>
          <w:bCs/>
        </w:rPr>
        <w:t xml:space="preserve">Guarda il contenitore.</w:t>
      </w:r>
      <w:r>
        <w:t xml:space="preserve"> </w:t>
      </w:r>
      <w:r>
        <w:t xml:space="preserve">Prima di toccare, chiedi</w:t>
      </w:r>
      <w:r>
        <w:t xml:space="preserve"> </w:t>
      </w:r>
      <w:r>
        <w:rPr>
          <w:i/>
          <w:iCs/>
        </w:rPr>
        <w:t xml:space="preserve">«la mattina la pancia com’è?»</w:t>
      </w:r>
      <w:r>
        <w:t xml:space="preserve">, misura la circonferenza all’ombelico e fai il test di Carnett. Due domande e due minuti separano tre bersagli.</w:t>
      </w:r>
    </w:p>
    <w:p>
      <w:pPr>
        <w:pStyle w:val="Compact"/>
        <w:numPr>
          <w:ilvl w:val="0"/>
          <w:numId w:val="1045"/>
        </w:numPr>
      </w:pPr>
      <w:r>
        <w:rPr>
          <w:b/>
          <w:bCs/>
        </w:rPr>
        <w:t xml:space="preserve">Di’ che l’esame negativo è un risultato, attribuendolo a chi l’ha letto.</w:t>
      </w:r>
      <w:r>
        <w:t xml:space="preserve"> </w:t>
      </w:r>
      <w:r>
        <w:rPr>
          <w:i/>
          <w:iCs/>
        </w:rPr>
        <w:t xml:space="preserve">«Il medico ha escluso quello che cercava; il problema è nel volume, non nell’impianto».</w:t>
      </w:r>
      <w:r>
        <w:t xml:space="preserve"> </w:t>
      </w:r>
      <w:r>
        <w:t xml:space="preserve">Nessuno gliel’ha ancora detto — e detta così non sei tu a rassicurare.</w:t>
      </w:r>
    </w:p>
    <w:p>
      <w:pPr>
        <w:pStyle w:val="Compact"/>
        <w:numPr>
          <w:ilvl w:val="0"/>
          <w:numId w:val="1045"/>
        </w:numPr>
      </w:pPr>
      <w:r>
        <w:rPr>
          <w:b/>
          <w:bCs/>
        </w:rPr>
        <w:t xml:space="preserve">Smetti di promettere il quadro.</w:t>
      </w:r>
      <w:r>
        <w:t xml:space="preserve"> </w:t>
      </w:r>
      <w:r>
        <w:t xml:space="preserve">Dichiara il dolore addominale come bersaglio; prometti solo la misura e la data.</w:t>
      </w:r>
    </w:p>
    <w:p>
      <w:pPr>
        <w:pStyle w:val="FirstParagraph"/>
      </w:pPr>
      <w:r>
        <w:rPr>
          <w:i/>
          <w:iCs/>
        </w:rPr>
        <w:t xml:space="preserve">Il percorso medico ha fatto la parte difficile e si è fermato un passo prima. Quel passo — come si muove il contenitore, se il dolore è di parete, l’allarme trattato come bersaglio e non come scusa — non lo fa nessuno. Non perché sia complicato: perché nessuno lo cerca.</w:t>
      </w:r>
    </w:p>
    <w:p>
      <w:pPr>
        <w:pStyle w:val="BodyText"/>
      </w:pPr>
      <w:r>
        <w:rPr>
          <w:b/>
          <w:bCs/>
        </w:rPr>
        <w:t xml:space="preserve">Le tre cose da ricordare, più una</w:t>
      </w:r>
    </w:p>
    <w:p>
      <w:pPr>
        <w:pStyle w:val="Compact"/>
        <w:numPr>
          <w:ilvl w:val="0"/>
          <w:numId w:val="1046"/>
        </w:numPr>
      </w:pPr>
      <w:r>
        <w:t xml:space="preserve">Guarda il contenitore: la domanda del mattino, il metro a nastro, il test di Carnett.</w:t>
      </w:r>
    </w:p>
    <w:p>
      <w:pPr>
        <w:pStyle w:val="Compact"/>
        <w:numPr>
          <w:ilvl w:val="0"/>
          <w:numId w:val="1046"/>
        </w:numPr>
      </w:pPr>
      <w:r>
        <w:t xml:space="preserve">Di’ che l’esame negativo è un risultato, e che a escludere è stato il medico.</w:t>
      </w:r>
    </w:p>
    <w:p>
      <w:pPr>
        <w:pStyle w:val="Compact"/>
        <w:numPr>
          <w:ilvl w:val="0"/>
          <w:numId w:val="1046"/>
        </w:numPr>
      </w:pPr>
      <w:r>
        <w:t xml:space="preserve">Smetti di promettere il quadro: dichiara il dolore come bersaglio, e prometti una misura e una data.</w:t>
      </w:r>
    </w:p>
    <w:p>
      <w:pPr>
        <w:pStyle w:val="Compact"/>
        <w:numPr>
          <w:ilvl w:val="0"/>
          <w:numId w:val="1046"/>
        </w:numPr>
      </w:pPr>
      <w:r>
        <w:rPr>
          <w:b/>
          <w:bCs/>
        </w:rPr>
        <w:t xml:space="preserve">Perché ci sei tu.</w:t>
      </w:r>
      <w:r>
        <w:t xml:space="preserve"> </w:t>
      </w:r>
      <w:r>
        <w:t xml:space="preserve">Il dolore che viene dalla parete riguarda tre o quattro di questi pazienti su cento (van Assen 2013 — PMID 24204070), e il test che lo trova dura trenta secondi. Questo ti autorizza a cercarlo in tutti. Non ti autorizza a mettere un nome a quello che trovi: il nome lo mette il medico, e la conferma passa da un’infiltrazione che non è tua.</w:t>
      </w:r>
    </w:p>
    <w:p>
      <w:r>
        <w:pict>
          <v:rect style="width:0;height:1.5pt" o:hralign="center" o:hrstd="t" o:hr="t"/>
        </w:pict>
      </w:r>
    </w:p>
    <w:bookmarkEnd w:id="76"/>
    <w:bookmarkStart w:id="77" w:name="appendice-a-glossario"/>
    <w:p>
      <w:pPr>
        <w:pStyle w:val="Heading2"/>
      </w:pPr>
      <w:r>
        <w:t xml:space="preserve">Appendice A — Glossario</w:t>
      </w:r>
    </w:p>
    <w:p>
      <w:pPr>
        <w:pStyle w:val="Compact"/>
        <w:numPr>
          <w:ilvl w:val="0"/>
          <w:numId w:val="1047"/>
        </w:numPr>
      </w:pPr>
      <w:r>
        <w:rPr>
          <w:b/>
          <w:bCs/>
        </w:rPr>
        <w:t xml:space="preserve">Adenoma</w:t>
      </w:r>
      <w:r>
        <w:t xml:space="preserve"> </w:t>
      </w:r>
      <w:r>
        <w:t xml:space="preserve">— polipo del colon con potenziale di trasformazione; è ciò che lo screening cerca.</w:t>
      </w:r>
    </w:p>
    <w:p>
      <w:pPr>
        <w:pStyle w:val="Compact"/>
        <w:numPr>
          <w:ilvl w:val="0"/>
          <w:numId w:val="1047"/>
        </w:numPr>
      </w:pPr>
      <w:r>
        <w:rPr>
          <w:b/>
          <w:bCs/>
        </w:rPr>
        <w:t xml:space="preserve">Afferente</w:t>
      </w:r>
      <w:r>
        <w:t xml:space="preserve"> </w:t>
      </w:r>
      <w:r>
        <w:t xml:space="preserve">— fibra che porta il segnale</w:t>
      </w:r>
      <w:r>
        <w:t xml:space="preserve"> </w:t>
      </w:r>
      <w:r>
        <w:rPr>
          <w:b/>
          <w:bCs/>
        </w:rPr>
        <w:t xml:space="preserve">verso</w:t>
      </w:r>
      <w:r>
        <w:t xml:space="preserve"> </w:t>
      </w:r>
      <w:r>
        <w:t xml:space="preserve">il midollo. L’opposto è efferente.</w:t>
      </w:r>
    </w:p>
    <w:p>
      <w:pPr>
        <w:pStyle w:val="Compact"/>
        <w:numPr>
          <w:ilvl w:val="0"/>
          <w:numId w:val="1047"/>
        </w:numPr>
      </w:pPr>
      <w:r>
        <w:rPr>
          <w:b/>
          <w:bCs/>
        </w:rPr>
        <w:t xml:space="preserve">Algometro</w:t>
      </w:r>
      <w:r>
        <w:t xml:space="preserve"> </w:t>
      </w:r>
      <w:r>
        <w:t xml:space="preserve">— strumento a punta piatta che misura a quale pressione uno stimolo diventa dolore.</w:t>
      </w:r>
    </w:p>
    <w:p>
      <w:pPr>
        <w:pStyle w:val="Compact"/>
        <w:numPr>
          <w:ilvl w:val="0"/>
          <w:numId w:val="1047"/>
        </w:numPr>
      </w:pPr>
      <w:r>
        <w:rPr>
          <w:b/>
          <w:bCs/>
        </w:rPr>
        <w:t xml:space="preserve">Allodinia (viscerale)</w:t>
      </w:r>
      <w:r>
        <w:t xml:space="preserve"> </w:t>
      </w:r>
      <w:r>
        <w:t xml:space="preserve">— dolore provocato da una distensione che normalmente non farebbe male.</w:t>
      </w:r>
    </w:p>
    <w:p>
      <w:pPr>
        <w:pStyle w:val="Compact"/>
        <w:numPr>
          <w:ilvl w:val="0"/>
          <w:numId w:val="1047"/>
        </w:numPr>
      </w:pPr>
      <w:r>
        <w:rPr>
          <w:b/>
          <w:bCs/>
        </w:rPr>
        <w:t xml:space="preserve">Ansia specifica per i sintomi intestinali</w:t>
      </w:r>
      <w:r>
        <w:t xml:space="preserve"> </w:t>
      </w:r>
      <w:r>
        <w:t xml:space="preserve">— la paura delle proprie sensazioni viscerali, misurabile con un questionario dedicato; cosa diversa dall’ansia generale.</w:t>
      </w:r>
    </w:p>
    <w:p>
      <w:pPr>
        <w:pStyle w:val="Compact"/>
        <w:numPr>
          <w:ilvl w:val="0"/>
          <w:numId w:val="1047"/>
        </w:numPr>
      </w:pPr>
      <w:r>
        <w:rPr>
          <w:b/>
          <w:bCs/>
        </w:rPr>
        <w:t xml:space="preserve">Calprotectina fecale</w:t>
      </w:r>
      <w:r>
        <w:t xml:space="preserve"> </w:t>
      </w:r>
      <w:r>
        <w:t xml:space="preserve">— esame sulle feci che distingue una sofferenza infiammatoria da un disturbo funzionale.</w:t>
      </w:r>
    </w:p>
    <w:p>
      <w:pPr>
        <w:pStyle w:val="Compact"/>
        <w:numPr>
          <w:ilvl w:val="0"/>
          <w:numId w:val="1047"/>
        </w:numPr>
      </w:pPr>
      <w:r>
        <w:rPr>
          <w:b/>
          <w:bCs/>
        </w:rPr>
        <w:t xml:space="preserve">Catena</w:t>
      </w:r>
      <w:r>
        <w:t xml:space="preserve"> </w:t>
      </w:r>
      <w:r>
        <w:t xml:space="preserve">— insieme di strutture collegate che si influenzano a distanza, per continuità meccanica o per via nervosa. Spiega perché un problema in un punto si manifesta in un altro.</w:t>
      </w:r>
    </w:p>
    <w:p>
      <w:pPr>
        <w:pStyle w:val="Compact"/>
        <w:numPr>
          <w:ilvl w:val="0"/>
          <w:numId w:val="1047"/>
        </w:numPr>
      </w:pPr>
      <w:r>
        <w:rPr>
          <w:b/>
          <w:bCs/>
        </w:rPr>
        <w:t xml:space="preserve">Colite microscopica</w:t>
      </w:r>
      <w:r>
        <w:t xml:space="preserve"> </w:t>
      </w:r>
      <w:r>
        <w:t xml:space="preserve">— infiammazione del colon con mucosa normale a occhio nudo: si vede solo sulle biopsie.</w:t>
      </w:r>
    </w:p>
    <w:p>
      <w:pPr>
        <w:pStyle w:val="Compact"/>
        <w:numPr>
          <w:ilvl w:val="0"/>
          <w:numId w:val="1047"/>
        </w:numPr>
      </w:pPr>
      <w:r>
        <w:rPr>
          <w:b/>
          <w:bCs/>
        </w:rPr>
        <w:t xml:space="preserve">Compenso</w:t>
      </w:r>
      <w:r>
        <w:t xml:space="preserve"> </w:t>
      </w:r>
      <w:r>
        <w:t xml:space="preserve">— adattamento che il corpo mette in atto per continuare a funzionare nonostante un problema. Costa qualcosa — comfort, efficienza, escursione — e regge finché può; il sintomo compare spesso dove il compenso ha ceduto, non dove il problema è nato.</w:t>
      </w:r>
    </w:p>
    <w:p>
      <w:pPr>
        <w:pStyle w:val="Compact"/>
        <w:numPr>
          <w:ilvl w:val="0"/>
          <w:numId w:val="1047"/>
        </w:numPr>
      </w:pPr>
      <w:r>
        <w:rPr>
          <w:b/>
          <w:bCs/>
        </w:rPr>
        <w:t xml:space="preserve">Conduttanza cutanea</w:t>
      </w:r>
      <w:r>
        <w:t xml:space="preserve"> </w:t>
      </w:r>
      <w:r>
        <w:t xml:space="preserve">— misura della sudorazione della pelle; indice</w:t>
      </w:r>
      <w:r>
        <w:t xml:space="preserve"> </w:t>
      </w:r>
      <w:r>
        <w:rPr>
          <w:b/>
          <w:bCs/>
        </w:rPr>
        <w:t xml:space="preserve">fasico</w:t>
      </w:r>
      <w:r>
        <w:t xml:space="preserve"> </w:t>
      </w:r>
      <w:r>
        <w:t xml:space="preserve">della risposta a uno stimolo, non del livello</w:t>
      </w:r>
      <w:r>
        <w:t xml:space="preserve"> </w:t>
      </w:r>
      <w:r>
        <w:rPr>
          <w:b/>
          <w:bCs/>
        </w:rPr>
        <w:t xml:space="preserve">tonico</w:t>
      </w:r>
      <w:r>
        <w:t xml:space="preserve"> </w:t>
      </w:r>
      <w:r>
        <w:t xml:space="preserve">di attivazione.</w:t>
      </w:r>
    </w:p>
    <w:p>
      <w:pPr>
        <w:pStyle w:val="Compact"/>
        <w:numPr>
          <w:ilvl w:val="0"/>
          <w:numId w:val="1047"/>
        </w:numPr>
      </w:pPr>
      <w:r>
        <w:rPr>
          <w:b/>
          <w:bCs/>
        </w:rPr>
        <w:t xml:space="preserve">Crossover</w:t>
      </w:r>
      <w:r>
        <w:t xml:space="preserve"> </w:t>
      </w:r>
      <w:r>
        <w:t xml:space="preserve">— studio in cui ogni partecipante riceve entrambi i trattamenti, uno dopo l’altro, e fa da controllo a sé stesso.</w:t>
      </w:r>
    </w:p>
    <w:p>
      <w:pPr>
        <w:pStyle w:val="Compact"/>
        <w:numPr>
          <w:ilvl w:val="0"/>
          <w:numId w:val="1047"/>
        </w:numPr>
      </w:pPr>
      <w:r>
        <w:rPr>
          <w:b/>
          <w:bCs/>
        </w:rPr>
        <w:t xml:space="preserve">DIMOSTRATO</w:t>
      </w:r>
      <w:r>
        <w:t xml:space="preserve"> </w:t>
      </w:r>
      <w:r>
        <w:t xml:space="preserve">— etichetta di solidità: studi sull’uomo, solidi.</w:t>
      </w:r>
    </w:p>
    <w:p>
      <w:pPr>
        <w:pStyle w:val="Compact"/>
        <w:numPr>
          <w:ilvl w:val="0"/>
          <w:numId w:val="1047"/>
        </w:numPr>
      </w:pPr>
      <w:r>
        <w:rPr>
          <w:b/>
          <w:bCs/>
        </w:rPr>
        <w:t xml:space="preserve">Dimensione dell’effetto</w:t>
      </w:r>
      <w:r>
        <w:t xml:space="preserve"> </w:t>
      </w:r>
      <w:r>
        <w:t xml:space="preserve">— quanto è grande una differenza: 0,2 piccola, 0,5 media, oltre 0,8 grande. La lettera</w:t>
      </w:r>
      <w:r>
        <w:t xml:space="preserve"> </w:t>
      </w:r>
      <w:r>
        <w:rPr>
          <w:b/>
          <w:bCs/>
        </w:rPr>
        <w:t xml:space="preserve">g</w:t>
      </w:r>
      <w:r>
        <w:t xml:space="preserve"> </w:t>
      </w:r>
      <w:r>
        <w:t xml:space="preserve">ne è una forma.</w:t>
      </w:r>
    </w:p>
    <w:p>
      <w:pPr>
        <w:pStyle w:val="Compact"/>
        <w:numPr>
          <w:ilvl w:val="0"/>
          <w:numId w:val="1047"/>
        </w:numPr>
      </w:pPr>
      <w:r>
        <w:rPr>
          <w:b/>
          <w:bCs/>
        </w:rPr>
        <w:t xml:space="preserve">Disfunzione somatica</w:t>
      </w:r>
      <w:r>
        <w:t xml:space="preserve"> </w:t>
      </w:r>
      <w:r>
        <w:t xml:space="preserve">— alterazione della funzione di una parte del sistema muscolo-scheletrico e delle strutture collegate, riconoscibile all’esame manuale. Descrizione di funzione, non diagnosi di malattia.</w:t>
      </w:r>
    </w:p>
    <w:p>
      <w:pPr>
        <w:pStyle w:val="Compact"/>
        <w:numPr>
          <w:ilvl w:val="0"/>
          <w:numId w:val="1047"/>
        </w:numPr>
      </w:pPr>
      <w:r>
        <w:rPr>
          <w:b/>
          <w:bCs/>
        </w:rPr>
        <w:t xml:space="preserve">Dissinergia addomino-frenica</w:t>
      </w:r>
      <w:r>
        <w:t xml:space="preserve"> </w:t>
      </w:r>
      <w:r>
        <w:t xml:space="preserve">— quando il volume dentro l’addome aumenta, il diaframma si contrae e scende e la parete si rilassa. Si esprime dopo il pasto.</w:t>
      </w:r>
    </w:p>
    <w:p>
      <w:pPr>
        <w:pStyle w:val="Compact"/>
        <w:numPr>
          <w:ilvl w:val="0"/>
          <w:numId w:val="1047"/>
        </w:numPr>
      </w:pPr>
      <w:r>
        <w:rPr>
          <w:b/>
          <w:bCs/>
        </w:rPr>
        <w:t xml:space="preserve">Dissinergia del pavimento pelvico</w:t>
      </w:r>
      <w:r>
        <w:t xml:space="preserve"> </w:t>
      </w:r>
      <w:r>
        <w:t xml:space="preserve">— il piano perineale che si contrae invece di rilasciarsi nel momento dell’evacuazione.</w:t>
      </w:r>
    </w:p>
    <w:p>
      <w:pPr>
        <w:pStyle w:val="Compact"/>
        <w:numPr>
          <w:ilvl w:val="0"/>
          <w:numId w:val="1047"/>
        </w:numPr>
      </w:pPr>
      <w:r>
        <w:rPr>
          <w:b/>
          <w:bCs/>
        </w:rPr>
        <w:t xml:space="preserve">Diverticolo</w:t>
      </w:r>
      <w:r>
        <w:t xml:space="preserve"> </w:t>
      </w:r>
      <w:r>
        <w:t xml:space="preserve">— estroflessione della parete del colon; frequente con l’età e di solito silente.</w:t>
      </w:r>
    </w:p>
    <w:p>
      <w:pPr>
        <w:pStyle w:val="Compact"/>
        <w:numPr>
          <w:ilvl w:val="0"/>
          <w:numId w:val="1047"/>
        </w:numPr>
      </w:pPr>
      <w:r>
        <w:rPr>
          <w:b/>
          <w:bCs/>
        </w:rPr>
        <w:t xml:space="preserve">Dolore nociplastico</w:t>
      </w:r>
      <w:r>
        <w:t xml:space="preserve"> </w:t>
      </w:r>
      <w:r>
        <w:t xml:space="preserve">— dolore da guadagno alterato del sistema, senza sorgente periferica proporzionata. Le altre famiglie sono nocicettivo e neuropatico.</w:t>
      </w:r>
    </w:p>
    <w:p>
      <w:pPr>
        <w:pStyle w:val="Compact"/>
        <w:numPr>
          <w:ilvl w:val="0"/>
          <w:numId w:val="1047"/>
        </w:numPr>
      </w:pPr>
      <w:r>
        <w:rPr>
          <w:b/>
          <w:bCs/>
        </w:rPr>
        <w:t xml:space="preserve">FODMAP</w:t>
      </w:r>
      <w:r>
        <w:t xml:space="preserve"> </w:t>
      </w:r>
      <w:r>
        <w:t xml:space="preserve">— zuccheri fermentabili a catena corta; la dieta che li riduce è un percorso condotto da un dietista.</w:t>
      </w:r>
    </w:p>
    <w:p>
      <w:pPr>
        <w:pStyle w:val="Compact"/>
        <w:numPr>
          <w:ilvl w:val="0"/>
          <w:numId w:val="1047"/>
        </w:numPr>
      </w:pPr>
      <w:r>
        <w:rPr>
          <w:b/>
          <w:bCs/>
        </w:rPr>
        <w:t xml:space="preserve">IBS-D, IBS-C, IBS-M</w:t>
      </w:r>
      <w:r>
        <w:t xml:space="preserve"> </w:t>
      </w:r>
      <w:r>
        <w:t xml:space="preserve">— sottotipi per forma delle feci: con diarrea, con stitichezza, misto.</w:t>
      </w:r>
    </w:p>
    <w:p>
      <w:pPr>
        <w:pStyle w:val="Compact"/>
        <w:numPr>
          <w:ilvl w:val="0"/>
          <w:numId w:val="1047"/>
        </w:numPr>
      </w:pPr>
      <w:r>
        <w:rPr>
          <w:b/>
          <w:bCs/>
        </w:rPr>
        <w:t xml:space="preserve">IBS-SSS</w:t>
      </w:r>
      <w:r>
        <w:t xml:space="preserve"> </w:t>
      </w:r>
      <w:r>
        <w:t xml:space="preserve">— punteggio di gravità dei sintomi, da 0 a 500; 50 punti sono la soglia del miglioramento percepito.</w:t>
      </w:r>
    </w:p>
    <w:p>
      <w:pPr>
        <w:pStyle w:val="Compact"/>
        <w:numPr>
          <w:ilvl w:val="0"/>
          <w:numId w:val="1047"/>
        </w:numPr>
      </w:pPr>
      <w:r>
        <w:rPr>
          <w:b/>
          <w:bCs/>
        </w:rPr>
        <w:t xml:space="preserve">Iperalgesia (viscerale)</w:t>
      </w:r>
      <w:r>
        <w:t xml:space="preserve"> </w:t>
      </w:r>
      <w:r>
        <w:t xml:space="preserve">— dolore sproporzionato rispetto all’intensità della distensione.</w:t>
      </w:r>
    </w:p>
    <w:p>
      <w:pPr>
        <w:pStyle w:val="Compact"/>
        <w:numPr>
          <w:ilvl w:val="0"/>
          <w:numId w:val="1047"/>
        </w:numPr>
      </w:pPr>
      <w:r>
        <w:rPr>
          <w:b/>
          <w:bCs/>
        </w:rPr>
        <w:t xml:space="preserve">Intervallo (di confidenza)</w:t>
      </w:r>
      <w:r>
        <w:t xml:space="preserve"> </w:t>
      </w:r>
      <w:r>
        <w:t xml:space="preserve">— fascia di valori compatibili con la misura. Se comprende lo zero, la differenza non è distinguibile da zero.</w:t>
      </w:r>
    </w:p>
    <w:p>
      <w:pPr>
        <w:pStyle w:val="Compact"/>
        <w:numPr>
          <w:ilvl w:val="0"/>
          <w:numId w:val="1047"/>
        </w:numPr>
      </w:pPr>
      <w:r>
        <w:rPr>
          <w:b/>
          <w:bCs/>
        </w:rPr>
        <w:t xml:space="preserve">IPOTESI</w:t>
      </w:r>
      <w:r>
        <w:t xml:space="preserve"> </w:t>
      </w:r>
      <w:r>
        <w:t xml:space="preserve">— etichetta di solidità: meccanismo coerente, nessuno studio.</w:t>
      </w:r>
    </w:p>
    <w:p>
      <w:pPr>
        <w:pStyle w:val="Compact"/>
        <w:numPr>
          <w:ilvl w:val="0"/>
          <w:numId w:val="1047"/>
        </w:numPr>
      </w:pPr>
      <w:r>
        <w:rPr>
          <w:b/>
          <w:bCs/>
        </w:rPr>
        <w:t xml:space="preserve">Legamento freno-colico</w:t>
      </w:r>
      <w:r>
        <w:t xml:space="preserve"> </w:t>
      </w:r>
      <w:r>
        <w:t xml:space="preserve">— piega di peritoneo che ancora la flessura splenica al diaframma e sostiene la milza.</w:t>
      </w:r>
    </w:p>
    <w:p>
      <w:pPr>
        <w:pStyle w:val="Compact"/>
        <w:numPr>
          <w:ilvl w:val="0"/>
          <w:numId w:val="1047"/>
        </w:numPr>
      </w:pPr>
      <w:r>
        <w:rPr>
          <w:b/>
          <w:bCs/>
        </w:rPr>
        <w:t xml:space="preserve">Lesione primaria</w:t>
      </w:r>
      <w:r>
        <w:t xml:space="preserve"> </w:t>
      </w:r>
      <w:r>
        <w:t xml:space="preserve">— la disfunzione che, nella ricostruzione clinica, ha innescato le altre. Ricostruzione a posteriori, non una prova: si scrive come ipotesi, mai come fatto.</w:t>
      </w:r>
    </w:p>
    <w:p>
      <w:pPr>
        <w:pStyle w:val="Compact"/>
        <w:numPr>
          <w:ilvl w:val="0"/>
          <w:numId w:val="1047"/>
        </w:numPr>
      </w:pPr>
      <w:r>
        <w:rPr>
          <w:b/>
          <w:bCs/>
        </w:rPr>
        <w:t xml:space="preserve">Marker</w:t>
      </w:r>
      <w:r>
        <w:t xml:space="preserve"> </w:t>
      </w:r>
      <w:r>
        <w:t xml:space="preserve">— segno misurabile scelto</w:t>
      </w:r>
      <w:r>
        <w:t xml:space="preserve"> </w:t>
      </w:r>
      <w:r>
        <w:rPr>
          <w:b/>
          <w:bCs/>
        </w:rPr>
        <w:t xml:space="preserve">prima</w:t>
      </w:r>
      <w:r>
        <w:t xml:space="preserve"> </w:t>
      </w:r>
      <w:r>
        <w:t xml:space="preserve">di trattare e rimisurato dopo, per sapere se quello che hai fatto ha cambiato qualcosa. Non è il sintomo del paziente: è il segno che dice se la tua ipotesi era giusta.</w:t>
      </w:r>
    </w:p>
    <w:p>
      <w:pPr>
        <w:pStyle w:val="Compact"/>
        <w:numPr>
          <w:ilvl w:val="0"/>
          <w:numId w:val="1047"/>
        </w:numPr>
      </w:pPr>
      <w:r>
        <w:rPr>
          <w:b/>
          <w:bCs/>
        </w:rPr>
        <w:t xml:space="preserve">Mastocita</w:t>
      </w:r>
      <w:r>
        <w:t xml:space="preserve"> </w:t>
      </w:r>
      <w:r>
        <w:t xml:space="preserve">— cellula immunitaria della mucosa che rilascia sostanze capaci di sensibilizzare le terminazioni nervose vicine.</w:t>
      </w:r>
    </w:p>
    <w:p>
      <w:pPr>
        <w:pStyle w:val="Compact"/>
        <w:numPr>
          <w:ilvl w:val="0"/>
          <w:numId w:val="1047"/>
        </w:numPr>
      </w:pPr>
      <w:r>
        <w:rPr>
          <w:b/>
          <w:bCs/>
        </w:rPr>
        <w:t xml:space="preserve">Meta-analisi in rete</w:t>
      </w:r>
      <w:r>
        <w:t xml:space="preserve"> </w:t>
      </w:r>
      <w:r>
        <w:t xml:space="preserve">— confronta più trattamenti fra loro anche quando non sono mai stati messi a confronto diretto.</w:t>
      </w:r>
    </w:p>
    <w:p>
      <w:pPr>
        <w:pStyle w:val="Compact"/>
        <w:numPr>
          <w:ilvl w:val="0"/>
          <w:numId w:val="1047"/>
        </w:numPr>
      </w:pPr>
      <w:r>
        <w:rPr>
          <w:b/>
          <w:bCs/>
        </w:rPr>
        <w:t xml:space="preserve">Misura d’effetto</w:t>
      </w:r>
      <w:r>
        <w:t xml:space="preserve"> </w:t>
      </w:r>
      <w:r>
        <w:t xml:space="preserve">— un segno che si muove</w:t>
      </w:r>
      <w:r>
        <w:t xml:space="preserve"> </w:t>
      </w:r>
      <w:r>
        <w:rPr>
          <w:b/>
          <w:bCs/>
        </w:rPr>
        <w:t xml:space="preserve">dentro il piano che hai trattato</w:t>
      </w:r>
      <w:r>
        <w:t xml:space="preserve">: racconta il tuo gesto, non lo stato del sistema. Il</w:t>
      </w:r>
      <w:r>
        <w:t xml:space="preserve"> </w:t>
      </w:r>
      <w:r>
        <w:rPr>
          <w:i/>
          <w:iCs/>
        </w:rPr>
        <w:t xml:space="preserve">marker</w:t>
      </w:r>
      <w:r>
        <w:t xml:space="preserve"> </w:t>
      </w:r>
      <w:r>
        <w:t xml:space="preserve">è l’opposto e sta fuori da quel piano. Scambiarli è l’errore più comune.</w:t>
      </w:r>
    </w:p>
    <w:p>
      <w:pPr>
        <w:pStyle w:val="Compact"/>
        <w:numPr>
          <w:ilvl w:val="0"/>
          <w:numId w:val="1047"/>
        </w:numPr>
      </w:pPr>
      <w:r>
        <w:rPr>
          <w:b/>
          <w:bCs/>
        </w:rPr>
        <w:t xml:space="preserve">Nervi cutanei anteriori dell’addome</w:t>
      </w:r>
      <w:r>
        <w:t xml:space="preserve"> </w:t>
      </w:r>
      <w:r>
        <w:t xml:space="preserve">— rami terminali degli intercostali T7-T12; irritati, danno un dolore di parete fisso e superficiale.</w:t>
      </w:r>
    </w:p>
    <w:p>
      <w:pPr>
        <w:pStyle w:val="Compact"/>
        <w:numPr>
          <w:ilvl w:val="0"/>
          <w:numId w:val="1047"/>
        </w:numPr>
      </w:pPr>
      <w:r>
        <w:rPr>
          <w:b/>
          <w:bCs/>
        </w:rPr>
        <w:t xml:space="preserve">Nervi splancnici lombari</w:t>
      </w:r>
      <w:r>
        <w:t xml:space="preserve"> </w:t>
      </w:r>
      <w:r>
        <w:t xml:space="preserve">— portano gli afferenti del colon distale al midollo dorso-lombare (T10-L1), insieme all’uscita simpatica.</w:t>
      </w:r>
    </w:p>
    <w:p>
      <w:pPr>
        <w:pStyle w:val="Compact"/>
        <w:numPr>
          <w:ilvl w:val="0"/>
          <w:numId w:val="1047"/>
        </w:numPr>
      </w:pPr>
      <w:r>
        <w:rPr>
          <w:b/>
          <w:bCs/>
        </w:rPr>
        <w:t xml:space="preserve">Nervi splancnici pelvici</w:t>
      </w:r>
      <w:r>
        <w:t xml:space="preserve"> </w:t>
      </w:r>
      <w:r>
        <w:t xml:space="preserve">— portano gli afferenti del colon distale al midollo sacrale (S2-S4). Viaggiano nel nervo pelvico ma non sono fibre parasimpatiche.</w:t>
      </w:r>
    </w:p>
    <w:p>
      <w:pPr>
        <w:pStyle w:val="Compact"/>
        <w:numPr>
          <w:ilvl w:val="0"/>
          <w:numId w:val="1047"/>
        </w:numPr>
      </w:pPr>
      <w:r>
        <w:rPr>
          <w:b/>
          <w:bCs/>
        </w:rPr>
        <w:t xml:space="preserve">Pletismografia</w:t>
      </w:r>
      <w:r>
        <w:t xml:space="preserve"> </w:t>
      </w:r>
      <w:r>
        <w:t xml:space="preserve">— misura delle variazioni di volume o circonferenza; negli studi sul contenitore è la cintura che registra i movimenti della parete.</w:t>
      </w:r>
    </w:p>
    <w:p>
      <w:pPr>
        <w:pStyle w:val="Compact"/>
        <w:numPr>
          <w:ilvl w:val="0"/>
          <w:numId w:val="1047"/>
        </w:numPr>
      </w:pPr>
      <w:r>
        <w:rPr>
          <w:b/>
          <w:bCs/>
        </w:rPr>
        <w:t xml:space="preserve">PROBABILE</w:t>
      </w:r>
      <w:r>
        <w:t xml:space="preserve"> </w:t>
      </w:r>
      <w:r>
        <w:t xml:space="preserve">— etichetta di solidità: razionale forte, prove parziali.</w:t>
      </w:r>
    </w:p>
    <w:p>
      <w:pPr>
        <w:pStyle w:val="Compact"/>
        <w:numPr>
          <w:ilvl w:val="0"/>
          <w:numId w:val="1047"/>
        </w:numPr>
      </w:pPr>
      <w:r>
        <w:rPr>
          <w:b/>
          <w:bCs/>
        </w:rPr>
        <w:t xml:space="preserve">Prova della chiave di volta</w:t>
      </w:r>
      <w:r>
        <w:t xml:space="preserve"> </w:t>
      </w:r>
      <w:r>
        <w:t xml:space="preserve">— trattare in prova il piano che sospetti dominante e rivalutare gli altri: se cedono anche loro, l’ipotesi regge.</w:t>
      </w:r>
    </w:p>
    <w:p>
      <w:pPr>
        <w:pStyle w:val="Compact"/>
        <w:numPr>
          <w:ilvl w:val="0"/>
          <w:numId w:val="1047"/>
        </w:numPr>
      </w:pPr>
      <w:r>
        <w:rPr>
          <w:b/>
          <w:bCs/>
        </w:rPr>
        <w:t xml:space="preserve">RAGIONAMENTO</w:t>
      </w:r>
      <w:r>
        <w:t xml:space="preserve"> </w:t>
      </w:r>
      <w:r>
        <w:t xml:space="preserve">— etichetta di solidità: cornice clinica, non una prova.</w:t>
      </w:r>
    </w:p>
    <w:p>
      <w:pPr>
        <w:pStyle w:val="Compact"/>
        <w:numPr>
          <w:ilvl w:val="0"/>
          <w:numId w:val="1047"/>
        </w:numPr>
      </w:pPr>
      <w:r>
        <w:rPr>
          <w:b/>
          <w:bCs/>
        </w:rPr>
        <w:t xml:space="preserve">Reperto disfunzionale</w:t>
      </w:r>
      <w:r>
        <w:t xml:space="preserve"> </w:t>
      </w:r>
      <w:r>
        <w:t xml:space="preserve">— quello che trovi tu con le mani e con i test e scrivi in cartella. Non è la diagnosi del paziente: è il bersaglio del tuo lavoro.</w:t>
      </w:r>
    </w:p>
    <w:p>
      <w:pPr>
        <w:pStyle w:val="Compact"/>
        <w:numPr>
          <w:ilvl w:val="0"/>
          <w:numId w:val="1047"/>
        </w:numPr>
      </w:pPr>
      <w:r>
        <w:rPr>
          <w:b/>
          <w:bCs/>
        </w:rPr>
        <w:t xml:space="preserve">Rischio di distorsione</w:t>
      </w:r>
      <w:r>
        <w:t xml:space="preserve"> </w:t>
      </w:r>
      <w:r>
        <w:t xml:space="preserve">— quanto il disegno di uno studio può aver spinto il risultato, indipendentemente da cosa è vero.</w:t>
      </w:r>
    </w:p>
    <w:p>
      <w:pPr>
        <w:pStyle w:val="Compact"/>
        <w:numPr>
          <w:ilvl w:val="0"/>
          <w:numId w:val="1047"/>
        </w:numPr>
      </w:pPr>
      <w:r>
        <w:rPr>
          <w:b/>
          <w:bCs/>
        </w:rPr>
        <w:t xml:space="preserve">Rischio relativo</w:t>
      </w:r>
      <w:r>
        <w:t xml:space="preserve"> </w:t>
      </w:r>
      <w:r>
        <w:t xml:space="preserve">— quante volte è più probabile l’esito nel gruppo trattato. Sopra 1 è a favore se l’esito è il miglioramento; sotto 1 se l’esito è restare sintomatici.</w:t>
      </w:r>
    </w:p>
    <w:p>
      <w:pPr>
        <w:pStyle w:val="Compact"/>
        <w:numPr>
          <w:ilvl w:val="0"/>
          <w:numId w:val="1047"/>
        </w:numPr>
      </w:pPr>
      <w:r>
        <w:rPr>
          <w:b/>
          <w:bCs/>
        </w:rPr>
        <w:t xml:space="preserve">Roma (criteri di)</w:t>
      </w:r>
      <w:r>
        <w:t xml:space="preserve"> </w:t>
      </w:r>
      <w:r>
        <w:t xml:space="preserve">— i criteri internazionali dei disturbi dell’interazione intestino-cervello; l’edizione corrente è la quinta.</w:t>
      </w:r>
    </w:p>
    <w:p>
      <w:pPr>
        <w:pStyle w:val="Compact"/>
        <w:numPr>
          <w:ilvl w:val="0"/>
          <w:numId w:val="1047"/>
        </w:numPr>
      </w:pPr>
      <w:r>
        <w:rPr>
          <w:b/>
          <w:bCs/>
        </w:rPr>
        <w:t xml:space="preserve">Sensibilizzazione centrale</w:t>
      </w:r>
      <w:r>
        <w:t xml:space="preserve"> </w:t>
      </w:r>
      <w:r>
        <w:t xml:space="preserve">— aumento della risposta del sistema nervoso centrale ai segnali in arrivo.</w:t>
      </w:r>
    </w:p>
    <w:p>
      <w:pPr>
        <w:pStyle w:val="Compact"/>
        <w:numPr>
          <w:ilvl w:val="0"/>
          <w:numId w:val="1047"/>
        </w:numPr>
      </w:pPr>
      <w:r>
        <w:rPr>
          <w:b/>
          <w:bCs/>
        </w:rPr>
        <w:t xml:space="preserve">Sindrome da malassorbimento degli acidi biliari</w:t>
      </w:r>
      <w:r>
        <w:t xml:space="preserve"> </w:t>
      </w:r>
      <w:r>
        <w:t xml:space="preserve">— gli acidi biliari non vengono riassorbiti e provocano diarrea acquosa. Si diagnostica con un esame dedicato e risponde a un farmaco che li lega.</w:t>
      </w:r>
    </w:p>
    <w:p>
      <w:pPr>
        <w:pStyle w:val="Compact"/>
        <w:numPr>
          <w:ilvl w:val="0"/>
          <w:numId w:val="1047"/>
        </w:numPr>
      </w:pPr>
      <w:r>
        <w:rPr>
          <w:b/>
          <w:bCs/>
        </w:rPr>
        <w:t xml:space="preserve">Sistema dominante</w:t>
      </w:r>
      <w:r>
        <w:t xml:space="preserve"> </w:t>
      </w:r>
      <w:r>
        <w:t xml:space="preserve">— il piano che, in questo paziente, sta consumando più capacità di adattamento. Ipotesi di lavoro che decide su cosa agire per primo, non un fatto misurato: porta sempre l’etichetta RAGIONAMENTO.</w:t>
      </w:r>
    </w:p>
    <w:p>
      <w:pPr>
        <w:pStyle w:val="Compact"/>
        <w:numPr>
          <w:ilvl w:val="0"/>
          <w:numId w:val="1047"/>
        </w:numPr>
      </w:pPr>
      <w:r>
        <w:rPr>
          <w:b/>
          <w:bCs/>
        </w:rPr>
        <w:t xml:space="preserve">Sollievo adeguato</w:t>
      </w:r>
      <w:r>
        <w:t xml:space="preserve"> </w:t>
      </w:r>
      <w:r>
        <w:t xml:space="preserve">— l’esito degli studi sull’effetto contesto: la quota di pazienti che dichiara un sollievo adeguato dei sintomi.</w:t>
      </w:r>
    </w:p>
    <w:p>
      <w:pPr>
        <w:pStyle w:val="Compact"/>
        <w:numPr>
          <w:ilvl w:val="0"/>
          <w:numId w:val="1047"/>
        </w:numPr>
      </w:pPr>
      <w:r>
        <w:rPr>
          <w:b/>
          <w:bCs/>
        </w:rPr>
        <w:t xml:space="preserve">Test di Carnett</w:t>
      </w:r>
      <w:r>
        <w:t xml:space="preserve"> </w:t>
      </w:r>
      <w:r>
        <w:t xml:space="preserve">— si ripalpa il punto dolente mentre il paziente contrae la parete; se il dolore resta o aumenta, è più probabile un’origine di parete.</w:t>
      </w:r>
    </w:p>
    <w:p>
      <w:pPr>
        <w:pStyle w:val="Compact"/>
        <w:numPr>
          <w:ilvl w:val="0"/>
          <w:numId w:val="1047"/>
        </w:numPr>
      </w:pPr>
      <w:r>
        <w:rPr>
          <w:b/>
          <w:bCs/>
        </w:rPr>
        <w:t xml:space="preserve">Variabilità della frequenza cardiaca</w:t>
      </w:r>
      <w:r>
        <w:t xml:space="preserve"> </w:t>
      </w:r>
      <w:r>
        <w:t xml:space="preserve">— variazione degli intervalli fra un battito e l’altro; alcuni suoi indici riflettono l’attività vagale.</w:t>
      </w:r>
    </w:p>
    <w:p>
      <w:r>
        <w:pict>
          <v:rect style="width:0;height:1.5pt" o:hralign="center" o:hrstd="t" o:hr="t"/>
        </w:pict>
      </w:r>
    </w:p>
    <w:bookmarkEnd w:id="77"/>
    <w:bookmarkStart w:id="78" w:name="appendice-b-le-fonti"/>
    <w:p>
      <w:pPr>
        <w:pStyle w:val="Heading2"/>
      </w:pPr>
      <w:r>
        <w:t xml:space="preserve">Appendice B — Le fonti</w:t>
      </w:r>
    </w:p>
    <w:p>
      <w:pPr>
        <w:pStyle w:val="FirstParagraph"/>
      </w:pPr>
      <w:r>
        <w:t xml:space="preserve">Le prime quarantanove nell’ordine in cui compaiono nel testo; dalla 50 in poi, le fonti entrate con le revisioni successive.</w:t>
      </w:r>
    </w:p>
    <w:p>
      <w:pPr>
        <w:pStyle w:val="BodyText"/>
      </w:pPr>
      <w:r>
        <w:rPr>
          <w:b/>
          <w:bCs/>
        </w:rPr>
        <w:t xml:space="preserve">Dove sta il disegno.</w:t>
      </w:r>
      <w:r>
        <w:t xml:space="preserve"> </w:t>
      </w:r>
      <w:r>
        <w:t xml:space="preserve">Dalla v5 ogni voce porta, dove serve, il</w:t>
      </w:r>
      <w:r>
        <w:t xml:space="preserve"> </w:t>
      </w:r>
      <w:r>
        <w:rPr>
          <w:b/>
          <w:bCs/>
        </w:rPr>
        <w:t xml:space="preserve">disegno e la numerosità</w:t>
      </w:r>
      <w:r>
        <w:t xml:space="preserve"> </w:t>
      </w:r>
      <w:r>
        <w:t xml:space="preserve">dello studio. Il corpo del documento tiene l’etichetta di solidità, il numero che decide, il PMID, la frase-ponte e il limite: quelli non scendono mai qui.</w:t>
      </w:r>
    </w:p>
    <w:p>
      <w:pPr>
        <w:numPr>
          <w:ilvl w:val="0"/>
          <w:numId w:val="1048"/>
        </w:numPr>
      </w:pPr>
      <w:r>
        <w:t xml:space="preserve">Chey WD et al. </w:t>
      </w:r>
      <w:r>
        <w:rPr>
          <w:i/>
          <w:iCs/>
        </w:rPr>
        <w:t xml:space="preserve">The yield of colonoscopy in patients with non-constipated irritable bowel syndrome.</w:t>
      </w:r>
      <w:r>
        <w:t xml:space="preserve"> </w:t>
      </w:r>
      <w:r>
        <w:t xml:space="preserve">Am J Gastroenterol, 2010. — https://pubmed.ncbi.nlm.nih.gov/20179696/</w:t>
      </w:r>
      <w:r>
        <w:t xml:space="preserve"> </w:t>
      </w:r>
      <w:r>
        <w:rPr>
          <w:i/>
          <w:iCs/>
        </w:rPr>
        <w:t xml:space="preserve">Disegno:</w:t>
      </w:r>
      <w:r>
        <w:t xml:space="preserve"> </w:t>
      </w:r>
      <w:r>
        <w:t xml:space="preserve">prospettico, 466 persone con sintomi senza stitichezza contro 451 in colonscopia di screening; colite microscopica nell’1,5%.</w:t>
      </w:r>
    </w:p>
    <w:p>
      <w:pPr>
        <w:numPr>
          <w:ilvl w:val="0"/>
          <w:numId w:val="1048"/>
        </w:numPr>
      </w:pPr>
      <w:r>
        <w:t xml:space="preserve">National Institute for Health and Care Excellence.</w:t>
      </w:r>
      <w:r>
        <w:t xml:space="preserve"> </w:t>
      </w:r>
      <w:r>
        <w:rPr>
          <w:i/>
          <w:iCs/>
        </w:rPr>
        <w:t xml:space="preserve">Irritable bowel syndrome in adults: diagnosis and management.</w:t>
      </w:r>
      <w:r>
        <w:t xml:space="preserve"> </w:t>
      </w:r>
      <w:r>
        <w:t xml:space="preserve">NICE guideline CG61. — https://www.nice.org.uk/guidance/cg61</w:t>
      </w:r>
    </w:p>
    <w:p>
      <w:pPr>
        <w:numPr>
          <w:ilvl w:val="0"/>
          <w:numId w:val="1048"/>
        </w:numPr>
      </w:pPr>
      <w:r>
        <w:t xml:space="preserve">Oka P et al. </w:t>
      </w:r>
      <w:r>
        <w:rPr>
          <w:i/>
          <w:iCs/>
        </w:rPr>
        <w:t xml:space="preserve">Global prevalence of irritable bowel syndrome according to Rome III or IV criteria: a systematic review and meta-analysis.</w:t>
      </w:r>
      <w:r>
        <w:t xml:space="preserve"> </w:t>
      </w:r>
      <w:r>
        <w:t xml:space="preserve">Lancet Gastroenterol Hepatol, 2020. — https://pubmed.ncbi.nlm.nih.gov/32702295/</w:t>
      </w:r>
      <w:r>
        <w:t xml:space="preserve"> </w:t>
      </w:r>
      <w:r>
        <w:rPr>
          <w:i/>
          <w:iCs/>
        </w:rPr>
        <w:t xml:space="preserve">Disegno:</w:t>
      </w:r>
      <w:r>
        <w:t xml:space="preserve"> </w:t>
      </w:r>
      <w:r>
        <w:t xml:space="preserve">53 studi, 395.385 persone, 38 paesi.</w:t>
      </w:r>
    </w:p>
    <w:p>
      <w:pPr>
        <w:numPr>
          <w:ilvl w:val="0"/>
          <w:numId w:val="1048"/>
        </w:numPr>
      </w:pPr>
      <w:r>
        <w:t xml:space="preserve">Sperber AD et al. </w:t>
      </w:r>
      <w:r>
        <w:rPr>
          <w:i/>
          <w:iCs/>
        </w:rPr>
        <w:t xml:space="preserve">Rome V global epidemiology and validation survey.</w:t>
      </w:r>
      <w:r>
        <w:t xml:space="preserve"> </w:t>
      </w:r>
      <w:r>
        <w:t xml:space="preserve">Gut, 2026. — https://pubmed.ncbi.nlm.nih.gov/42613194/</w:t>
      </w:r>
      <w:r>
        <w:t xml:space="preserve"> </w:t>
      </w:r>
      <w:r>
        <w:rPr>
          <w:i/>
          <w:iCs/>
        </w:rPr>
        <w:t xml:space="preserve">Disegno:</w:t>
      </w:r>
      <w:r>
        <w:t xml:space="preserve"> </w:t>
      </w:r>
      <w:r>
        <w:t xml:space="preserve">28.771 adulti, 15 paesi.</w:t>
      </w:r>
    </w:p>
    <w:p>
      <w:pPr>
        <w:numPr>
          <w:ilvl w:val="0"/>
          <w:numId w:val="1048"/>
        </w:numPr>
      </w:pPr>
      <w:r>
        <w:t xml:space="preserve">Sperber AD et al. </w:t>
      </w:r>
      <w:r>
        <w:rPr>
          <w:i/>
          <w:iCs/>
        </w:rPr>
        <w:t xml:space="preserve">Worldwide Prevalence and Burden of Functional Gastrointestinal Disorders, Results of Rome Foundation Global Study.</w:t>
      </w:r>
      <w:r>
        <w:t xml:space="preserve"> </w:t>
      </w:r>
      <w:r>
        <w:t xml:space="preserve">Gastroenterology, 2021. — https://pubmed.ncbi.nlm.nih.gov/32294476/</w:t>
      </w:r>
    </w:p>
    <w:p>
      <w:pPr>
        <w:numPr>
          <w:ilvl w:val="0"/>
          <w:numId w:val="1048"/>
        </w:numPr>
      </w:pPr>
      <w:r>
        <w:t xml:space="preserve">El-Serag HB et al. </w:t>
      </w:r>
      <w:r>
        <w:rPr>
          <w:i/>
          <w:iCs/>
        </w:rPr>
        <w:t xml:space="preserve">Systematic review: Natural history of irritable bowel syndrome.</w:t>
      </w:r>
      <w:r>
        <w:t xml:space="preserve"> </w:t>
      </w:r>
      <w:r>
        <w:t xml:space="preserve">Aliment Pharmacol Ther, 2004. — https://pubmed.ncbi.nlm.nih.gov/15080847/</w:t>
      </w:r>
    </w:p>
    <w:p>
      <w:pPr>
        <w:numPr>
          <w:ilvl w:val="0"/>
          <w:numId w:val="1048"/>
        </w:numPr>
      </w:pPr>
      <w:r>
        <w:t xml:space="preserve">Halder SL et al. </w:t>
      </w:r>
      <w:r>
        <w:rPr>
          <w:i/>
          <w:iCs/>
        </w:rPr>
        <w:t xml:space="preserve">Natural history of functional gastrointestinal disorders: a 12-year longitudinal population-based study.</w:t>
      </w:r>
      <w:r>
        <w:t xml:space="preserve"> </w:t>
      </w:r>
      <w:r>
        <w:t xml:space="preserve">Gastroenterology, 2007. — https://pubmed.ncbi.nlm.nih.gov/17678917/</w:t>
      </w:r>
      <w:r>
        <w:t xml:space="preserve"> </w:t>
      </w:r>
      <w:r>
        <w:rPr>
          <w:i/>
          <w:iCs/>
        </w:rPr>
        <w:t xml:space="preserve">Disegno:</w:t>
      </w:r>
      <w:r>
        <w:t xml:space="preserve"> </w:t>
      </w:r>
      <w:r>
        <w:t xml:space="preserve">studio di popolazione, dodici anni.</w:t>
      </w:r>
    </w:p>
    <w:p>
      <w:pPr>
        <w:numPr>
          <w:ilvl w:val="0"/>
          <w:numId w:val="1048"/>
        </w:numPr>
      </w:pPr>
      <w:r>
        <w:t xml:space="preserve">StatPearls.</w:t>
      </w:r>
      <w:r>
        <w:t xml:space="preserve"> </w:t>
      </w:r>
      <w:r>
        <w:rPr>
          <w:i/>
          <w:iCs/>
        </w:rPr>
        <w:t xml:space="preserve">Anatomy, Abdomen and Pelvis: Large Intestine.</w:t>
      </w:r>
      <w:r>
        <w:t xml:space="preserve"> </w:t>
      </w:r>
      <w:r>
        <w:t xml:space="preserve">— https://www.ncbi.nlm.nih.gov/books/NBK470577/</w:t>
      </w:r>
    </w:p>
    <w:p>
      <w:pPr>
        <w:numPr>
          <w:ilvl w:val="0"/>
          <w:numId w:val="1048"/>
        </w:numPr>
      </w:pPr>
      <w:r>
        <w:t xml:space="preserve">Sharabi AF, Carey FJ.</w:t>
      </w:r>
      <w:r>
        <w:t xml:space="preserve"> </w:t>
      </w:r>
      <w:r>
        <w:rPr>
          <w:i/>
          <w:iCs/>
        </w:rPr>
        <w:t xml:space="preserve">Anatomy, Abdomen and Pelvis, Splanchnic Nerves.</w:t>
      </w:r>
      <w:r>
        <w:t xml:space="preserve"> </w:t>
      </w:r>
      <w:r>
        <w:t xml:space="preserve">StatPearls. — https://www.ncbi.nlm.nih.gov/books/NBK560504/</w:t>
      </w:r>
    </w:p>
    <w:p>
      <w:pPr>
        <w:numPr>
          <w:ilvl w:val="0"/>
          <w:numId w:val="1048"/>
        </w:numPr>
      </w:pPr>
      <w:r>
        <w:t xml:space="preserve">Simrén M et al. </w:t>
      </w:r>
      <w:r>
        <w:rPr>
          <w:i/>
          <w:iCs/>
        </w:rPr>
        <w:t xml:space="preserve">Cumulative Effects of Psychologic Distress, Visceral Hypersensitivity, and Abnormal Transit on Patient-reported Outcomes in Irritable Bowel Syndrome.</w:t>
      </w:r>
      <w:r>
        <w:t xml:space="preserve"> </w:t>
      </w:r>
      <w:r>
        <w:t xml:space="preserve">Gastroenterology, 2019. — https://pubmed.ncbi.nlm.nih.gov/31022401/</w:t>
      </w:r>
      <w:r>
        <w:t xml:space="preserve"> </w:t>
      </w:r>
      <w:r>
        <w:rPr>
          <w:i/>
          <w:iCs/>
        </w:rPr>
        <w:t xml:space="preserve">Disegno:</w:t>
      </w:r>
      <w:r>
        <w:t xml:space="preserve"> </w:t>
      </w:r>
      <w:r>
        <w:t xml:space="preserve">407 pazienti, palloncino rettale, transito e scale psicologiche; il 18% senza nessuna alterazione misurabile.</w:t>
      </w:r>
    </w:p>
    <w:p>
      <w:pPr>
        <w:numPr>
          <w:ilvl w:val="0"/>
          <w:numId w:val="1048"/>
        </w:numPr>
      </w:pPr>
      <w:r>
        <w:t xml:space="preserve">Ludidi S et al. </w:t>
      </w:r>
      <w:r>
        <w:rPr>
          <w:i/>
          <w:iCs/>
        </w:rPr>
        <w:t xml:space="preserve">Rectal hypersensitivity as hallmark for irritable bowel syndrome: defining the optimal cutoff.</w:t>
      </w:r>
      <w:r>
        <w:t xml:space="preserve"> </w:t>
      </w:r>
      <w:r>
        <w:t xml:space="preserve">Neurogastroenterol Motil, 2012. — https://pubmed.ncbi.nlm.nih.gov/22591192/</w:t>
      </w:r>
      <w:r>
        <w:t xml:space="preserve"> </w:t>
      </w:r>
      <w:r>
        <w:rPr>
          <w:i/>
          <w:iCs/>
        </w:rPr>
        <w:t xml:space="preserve">Disegno:</w:t>
      </w:r>
      <w:r>
        <w:t xml:space="preserve"> </w:t>
      </w:r>
      <w:r>
        <w:t xml:space="preserve">126 pazienti, soglia ottimizzata sul confronto con i sani.</w:t>
      </w:r>
    </w:p>
    <w:p>
      <w:pPr>
        <w:numPr>
          <w:ilvl w:val="0"/>
          <w:numId w:val="1048"/>
        </w:numPr>
      </w:pPr>
      <w:r>
        <w:t xml:space="preserve">Kuiken SD et al. </w:t>
      </w:r>
      <w:r>
        <w:rPr>
          <w:i/>
          <w:iCs/>
        </w:rPr>
        <w:t xml:space="preserve">Relationship between symptoms and hypersensitivity to rectal distension in patients with irritable bowel syndrome.</w:t>
      </w:r>
      <w:r>
        <w:t xml:space="preserve"> </w:t>
      </w:r>
      <w:r>
        <w:t xml:space="preserve">Aliment Pharmacol Ther, 2005. — https://pubmed.ncbi.nlm.nih.gov/16011674/</w:t>
      </w:r>
      <w:r>
        <w:t xml:space="preserve"> </w:t>
      </w:r>
      <w:r>
        <w:rPr>
          <w:i/>
          <w:iCs/>
        </w:rPr>
        <w:t xml:space="preserve">Disegno:</w:t>
      </w:r>
      <w:r>
        <w:t xml:space="preserve"> </w:t>
      </w:r>
      <w:r>
        <w:t xml:space="preserve">92 pazienti, sintomi contro soglia rettale.</w:t>
      </w:r>
    </w:p>
    <w:p>
      <w:pPr>
        <w:numPr>
          <w:ilvl w:val="0"/>
          <w:numId w:val="1048"/>
        </w:numPr>
      </w:pPr>
      <w:r>
        <w:t xml:space="preserve">Barba E et al. </w:t>
      </w:r>
      <w:r>
        <w:rPr>
          <w:i/>
          <w:iCs/>
        </w:rPr>
        <w:t xml:space="preserve">Abdominothoracic mechanisms of functional abdominal distension and correction by biofeedback.</w:t>
      </w:r>
      <w:r>
        <w:t xml:space="preserve"> </w:t>
      </w:r>
      <w:r>
        <w:t xml:space="preserve">Gastroenterology, 2015. — https://pubmed.ncbi.nlm.nih.gov/25500424/</w:t>
      </w:r>
      <w:r>
        <w:t xml:space="preserve"> </w:t>
      </w:r>
      <w:r>
        <w:rPr>
          <w:i/>
          <w:iCs/>
        </w:rPr>
        <w:t xml:space="preserve">Disegno:</w:t>
      </w:r>
      <w:r>
        <w:t xml:space="preserve"> </w:t>
      </w:r>
      <w:r>
        <w:t xml:space="preserve">45 pazienti con disturbi funzionali intestinali (27 con colon irritabile con stitichezza), tomografia ed elettromiografia durante gli episodi; diaframma +19% di attività e −12 mm di discesa, circonferenza +32 mm.</w:t>
      </w:r>
    </w:p>
    <w:p>
      <w:pPr>
        <w:numPr>
          <w:ilvl w:val="0"/>
          <w:numId w:val="1048"/>
        </w:numPr>
      </w:pPr>
      <w:r>
        <w:t xml:space="preserve">Villoria A et al. </w:t>
      </w:r>
      <w:r>
        <w:rPr>
          <w:i/>
          <w:iCs/>
        </w:rPr>
        <w:t xml:space="preserve">Abdomino-phrenic dyssynergia in patients with abdominal bloating and distension.</w:t>
      </w:r>
      <w:r>
        <w:t xml:space="preserve"> </w:t>
      </w:r>
      <w:r>
        <w:t xml:space="preserve">Am J Gastroenterol, 2011. — https://pubmed.ncbi.nlm.nih.gov/21540894/</w:t>
      </w:r>
      <w:r>
        <w:t xml:space="preserve"> </w:t>
      </w:r>
      <w:r>
        <w:rPr>
          <w:i/>
          <w:iCs/>
        </w:rPr>
        <w:t xml:space="preserve">Disegno:</w:t>
      </w:r>
      <w:r>
        <w:t xml:space="preserve"> </w:t>
      </w:r>
      <w:r>
        <w:t xml:space="preserve">riproduzione sperimentale caricando il colon di gas — contrazione paradossa del diaframma e rilasciamento dell’obliquo interno.</w:t>
      </w:r>
    </w:p>
    <w:p>
      <w:pPr>
        <w:numPr>
          <w:ilvl w:val="0"/>
          <w:numId w:val="1048"/>
        </w:numPr>
      </w:pPr>
      <w:r>
        <w:t xml:space="preserve">Barba E et al. </w:t>
      </w:r>
      <w:r>
        <w:rPr>
          <w:i/>
          <w:iCs/>
        </w:rPr>
        <w:t xml:space="preserve">Thoracoabdominal Wall Motion-Guided Biofeedback Treatment of Abdominal Distention: A Randomized Placebo-Controlled Trial.</w:t>
      </w:r>
      <w:r>
        <w:t xml:space="preserve"> </w:t>
      </w:r>
      <w:r>
        <w:t xml:space="preserve">Gastroenterology, 2024. — https://pubmed.ncbi.nlm.nih.gov/38467383/</w:t>
      </w:r>
      <w:r>
        <w:t xml:space="preserve"> </w:t>
      </w:r>
      <w:r>
        <w:rPr>
          <w:i/>
          <w:iCs/>
        </w:rPr>
        <w:t xml:space="preserve">Disegno:</w:t>
      </w:r>
      <w:r>
        <w:t xml:space="preserve"> </w:t>
      </w:r>
      <w:r>
        <w:t xml:space="preserve">randomizzato controllato con placebo, 42 pazienti con distensione visibile dopo il pasto, segnale visivo da cinture di pletismografia contro capsula inerte; tre sessioni su quattro settimane più esercizi a casa tre volte al giorno. Intercostali −82%, parete anteriore +97%.</w:t>
      </w:r>
    </w:p>
    <w:p>
      <w:pPr>
        <w:numPr>
          <w:ilvl w:val="0"/>
          <w:numId w:val="1048"/>
        </w:numPr>
      </w:pPr>
      <w:r>
        <w:t xml:space="preserve">Liu Q et al. </w:t>
      </w:r>
      <w:r>
        <w:rPr>
          <w:i/>
          <w:iCs/>
        </w:rPr>
        <w:t xml:space="preserve">Autonomic functioning in irritable bowel syndrome measured by heart rate variability: a meta-analysis.</w:t>
      </w:r>
      <w:r>
        <w:t xml:space="preserve"> </w:t>
      </w:r>
      <w:r>
        <w:t xml:space="preserve">J Dig Dis, 2013. — https://pubmed.ncbi.nlm.nih.gov/23927739/</w:t>
      </w:r>
      <w:r>
        <w:t xml:space="preserve"> </w:t>
      </w:r>
      <w:r>
        <w:rPr>
          <w:i/>
          <w:iCs/>
        </w:rPr>
        <w:t xml:space="preserve">Disegno:</w:t>
      </w:r>
      <w:r>
        <w:t xml:space="preserve"> </w:t>
      </w:r>
      <w:r>
        <w:t xml:space="preserve">meta-analisi di 11 studi, 392 pazienti e 263 controlli.</w:t>
      </w:r>
    </w:p>
    <w:p>
      <w:pPr>
        <w:numPr>
          <w:ilvl w:val="0"/>
          <w:numId w:val="1048"/>
        </w:numPr>
      </w:pPr>
      <w:r>
        <w:t xml:space="preserve">Sadowski A et al. </w:t>
      </w:r>
      <w:r>
        <w:rPr>
          <w:i/>
          <w:iCs/>
        </w:rPr>
        <w:t xml:space="preserve">Alterations in Heart Rate Variability Associated With Irritable Bowel Syndrome or Inflammatory Bowel Disease.</w:t>
      </w:r>
      <w:r>
        <w:t xml:space="preserve"> </w:t>
      </w:r>
      <w:r>
        <w:t xml:space="preserve">Clin Transl Gastroenterol, 2020. — https://pubmed.ncbi.nlm.nih.gov/33346998/</w:t>
      </w:r>
    </w:p>
    <w:p>
      <w:pPr>
        <w:numPr>
          <w:ilvl w:val="0"/>
          <w:numId w:val="1048"/>
        </w:numPr>
      </w:pPr>
      <w:r>
        <w:t xml:space="preserve">Kano M et al. </w:t>
      </w:r>
      <w:r>
        <w:rPr>
          <w:i/>
          <w:iCs/>
        </w:rPr>
        <w:t xml:space="preserve">Altered brain and gut responses to corticotropin-releasing hormone (CRH) in patients with irritable bowel syndrome.</w:t>
      </w:r>
      <w:r>
        <w:t xml:space="preserve"> </w:t>
      </w:r>
      <w:r>
        <w:t xml:space="preserve">Sci Rep, 2017. — https://pubmed.ncbi.nlm.nih.gov/28963545/</w:t>
      </w:r>
      <w:r>
        <w:t xml:space="preserve"> </w:t>
      </w:r>
      <w:r>
        <w:rPr>
          <w:i/>
          <w:iCs/>
        </w:rPr>
        <w:t xml:space="preserve">Disegno:</w:t>
      </w:r>
      <w:r>
        <w:t xml:space="preserve"> </w:t>
      </w:r>
      <w:r>
        <w:t xml:space="preserve">28 pazienti e 34 controlli, un solo esperimento, risultato specifico per sesso.</w:t>
      </w:r>
    </w:p>
    <w:p>
      <w:pPr>
        <w:numPr>
          <w:ilvl w:val="0"/>
          <w:numId w:val="1048"/>
        </w:numPr>
      </w:pPr>
      <w:r>
        <w:t xml:space="preserve">Klem F et al. </w:t>
      </w:r>
      <w:r>
        <w:rPr>
          <w:i/>
          <w:iCs/>
        </w:rPr>
        <w:t xml:space="preserve">Prevalence, Risk Factors, and Outcomes of Irritable Bowel Syndrome After Infectious Enteritis: A Systematic Review and Meta-analysis.</w:t>
      </w:r>
      <w:r>
        <w:t xml:space="preserve"> </w:t>
      </w:r>
      <w:r>
        <w:t xml:space="preserve">Gastroenterology, 2017. — https://pubmed.ncbi.nlm.nih.gov/28069350/</w:t>
      </w:r>
      <w:r>
        <w:t xml:space="preserve"> </w:t>
      </w:r>
      <w:r>
        <w:rPr>
          <w:i/>
          <w:iCs/>
        </w:rPr>
        <w:t xml:space="preserve">Disegno:</w:t>
      </w:r>
      <w:r>
        <w:t xml:space="preserve"> </w:t>
      </w:r>
      <w:r>
        <w:t xml:space="preserve">45 studi, 21.421 persone.</w:t>
      </w:r>
    </w:p>
    <w:p>
      <w:pPr>
        <w:numPr>
          <w:ilvl w:val="0"/>
          <w:numId w:val="1048"/>
        </w:numPr>
      </w:pPr>
      <w:r>
        <w:t xml:space="preserve">Barbara G et al. </w:t>
      </w:r>
      <w:r>
        <w:rPr>
          <w:i/>
          <w:iCs/>
        </w:rPr>
        <w:t xml:space="preserve">Activated mast cells in proximity to colonic nerves correlate with abdominal pain in irritable bowel syndrome.</w:t>
      </w:r>
      <w:r>
        <w:t xml:space="preserve"> </w:t>
      </w:r>
      <w:r>
        <w:t xml:space="preserve">Gastroenterology, 2004. — https://pubmed.ncbi.nlm.nih.gov/14988823/</w:t>
      </w:r>
      <w:r>
        <w:t xml:space="preserve"> </w:t>
      </w:r>
      <w:r>
        <w:rPr>
          <w:i/>
          <w:iCs/>
        </w:rPr>
        <w:t xml:space="preserve">Disegno:</w:t>
      </w:r>
      <w:r>
        <w:t xml:space="preserve"> </w:t>
      </w:r>
      <w:r>
        <w:t xml:space="preserve">44 pazienti, istologia della mucosa; associazione anatomica, non nesso di causa.</w:t>
      </w:r>
    </w:p>
    <w:p>
      <w:pPr>
        <w:numPr>
          <w:ilvl w:val="0"/>
          <w:numId w:val="1048"/>
        </w:numPr>
      </w:pPr>
      <w:r>
        <w:t xml:space="preserve">Labus JS et al. </w:t>
      </w:r>
      <w:r>
        <w:rPr>
          <w:i/>
          <w:iCs/>
        </w:rPr>
        <w:t xml:space="preserve">The central role of gastrointestinal-specific anxiety in irritable bowel syndrome.</w:t>
      </w:r>
      <w:r>
        <w:t xml:space="preserve"> </w:t>
      </w:r>
      <w:r>
        <w:t xml:space="preserve">Psychosom Med, 2007. — https://pubmed.ncbi.nlm.nih.gov/17244851/</w:t>
      </w:r>
    </w:p>
    <w:p>
      <w:pPr>
        <w:numPr>
          <w:ilvl w:val="0"/>
          <w:numId w:val="1048"/>
        </w:numPr>
      </w:pPr>
      <w:r>
        <w:t xml:space="preserve">Trieschmann K et al. </w:t>
      </w:r>
      <w:r>
        <w:rPr>
          <w:i/>
          <w:iCs/>
        </w:rPr>
        <w:t xml:space="preserve">The visceral sensitivity index: A novel tool for measuring GI-symptom-specific anxiety in inflammatory bowel disease.</w:t>
      </w:r>
      <w:r>
        <w:t xml:space="preserve"> </w:t>
      </w:r>
      <w:r>
        <w:t xml:space="preserve">Neurogastroenterol Motil, 2022. — https://pubmed.ncbi.nlm.nih.gov/35478469/</w:t>
      </w:r>
      <w:r>
        <w:t xml:space="preserve"> </w:t>
      </w:r>
      <w:r>
        <w:rPr>
          <w:i/>
          <w:iCs/>
        </w:rPr>
        <w:t xml:space="preserve">Disegno:</w:t>
      </w:r>
      <w:r>
        <w:t xml:space="preserve"> </w:t>
      </w:r>
      <w:r>
        <w:t xml:space="preserve">punteggi 38,8 contro 3,4 nelle persone sane.</w:t>
      </w:r>
    </w:p>
    <w:p>
      <w:pPr>
        <w:numPr>
          <w:ilvl w:val="0"/>
          <w:numId w:val="1048"/>
        </w:numPr>
      </w:pPr>
      <w:r>
        <w:t xml:space="preserve">Attali TV et al. </w:t>
      </w:r>
      <w:r>
        <w:rPr>
          <w:i/>
          <w:iCs/>
        </w:rPr>
        <w:t xml:space="preserve">Treatment of refractory irritable bowel syndrome with visceral osteopathy: short-term and long-term results of a randomized trial.</w:t>
      </w:r>
      <w:r>
        <w:t xml:space="preserve"> </w:t>
      </w:r>
      <w:r>
        <w:t xml:space="preserve">J Dig Dis, 2013. — https://pubmed.ncbi.nlm.nih.gov/23981319/</w:t>
      </w:r>
      <w:r>
        <w:t xml:space="preserve"> </w:t>
      </w:r>
      <w:r>
        <w:rPr>
          <w:i/>
          <w:iCs/>
        </w:rPr>
        <w:t xml:space="preserve">Disegno:</w:t>
      </w:r>
      <w:r>
        <w:t xml:space="preserve"> </w:t>
      </w:r>
      <w:r>
        <w:t xml:space="preserve">randomizzato crossover controllato con placebo, 31 pazienti refrattari, un solo centro, soglia rettale con palloncino prima e dopo, rivalutazione a un anno.</w:t>
      </w:r>
    </w:p>
    <w:p>
      <w:pPr>
        <w:numPr>
          <w:ilvl w:val="0"/>
          <w:numId w:val="1048"/>
        </w:numPr>
      </w:pPr>
      <w:r>
        <w:t xml:space="preserve">Wedlake L et al. </w:t>
      </w:r>
      <w:r>
        <w:rPr>
          <w:i/>
          <w:iCs/>
        </w:rPr>
        <w:t xml:space="preserve">Systematic review: the prevalence of idiopathic bile acid malabsorption in patients with diarrhoea-predominant irritable bowel syndrome.</w:t>
      </w:r>
      <w:r>
        <w:t xml:space="preserve"> </w:t>
      </w:r>
      <w:r>
        <w:t xml:space="preserve">Aliment Pharmacol Ther, 2009. — https://pubmed.ncbi.nlm.nih.gov/19570102/</w:t>
      </w:r>
      <w:r>
        <w:t xml:space="preserve"> </w:t>
      </w:r>
      <w:r>
        <w:rPr>
          <w:i/>
          <w:iCs/>
        </w:rPr>
        <w:t xml:space="preserve">Disegno:</w:t>
      </w:r>
      <w:r>
        <w:t xml:space="preserve"> </w:t>
      </w:r>
      <w:r>
        <w:t xml:space="preserve">revisione sistematica; 32% degli IBS-D con malassorbimento di grado moderato.</w:t>
      </w:r>
    </w:p>
    <w:p>
      <w:pPr>
        <w:numPr>
          <w:ilvl w:val="0"/>
          <w:numId w:val="1048"/>
        </w:numPr>
      </w:pPr>
      <w:r>
        <w:t xml:space="preserve">Laborde S et al. </w:t>
      </w:r>
      <w:r>
        <w:rPr>
          <w:i/>
          <w:iCs/>
        </w:rPr>
        <w:t xml:space="preserve">Effects of voluntary slow breathing on heart rate and heart rate variability: A systematic review and a meta-analysis.</w:t>
      </w:r>
      <w:r>
        <w:t xml:space="preserve"> </w:t>
      </w:r>
      <w:r>
        <w:t xml:space="preserve">Neurosci Biobehav Rev, 2022. — https://pubmed.ncbi.nlm.nih.gov/35623448/</w:t>
      </w:r>
      <w:r>
        <w:t xml:space="preserve"> </w:t>
      </w:r>
      <w:r>
        <w:rPr>
          <w:i/>
          <w:iCs/>
        </w:rPr>
        <w:t xml:space="preserve">Disegno:</w:t>
      </w:r>
      <w:r>
        <w:t xml:space="preserve"> </w:t>
      </w:r>
      <w:r>
        <w:t xml:space="preserve">revisione sistematica con meta-analisi di 223 studi su volontari e popolazioni generali.</w:t>
      </w:r>
    </w:p>
    <w:p>
      <w:pPr>
        <w:numPr>
          <w:ilvl w:val="0"/>
          <w:numId w:val="1048"/>
        </w:numPr>
      </w:pPr>
      <w:r>
        <w:t xml:space="preserve">Cuffe MS et al. </w:t>
      </w:r>
      <w:r>
        <w:rPr>
          <w:i/>
          <w:iCs/>
        </w:rPr>
        <w:t xml:space="preserve">Efficacy of dietary interventions in irritable bowel syndrome: a systematic review and network meta-analysis.</w:t>
      </w:r>
      <w:r>
        <w:t xml:space="preserve"> </w:t>
      </w:r>
      <w:r>
        <w:t xml:space="preserve">Lancet Gastroenterol Hepatol, 2025. — https://pubmed.ncbi.nlm.nih.gov/40258374/</w:t>
      </w:r>
      <w:r>
        <w:t xml:space="preserve"> </w:t>
      </w:r>
      <w:r>
        <w:rPr>
          <w:i/>
          <w:iCs/>
        </w:rPr>
        <w:t xml:space="preserve">Disegno:</w:t>
      </w:r>
      <w:r>
        <w:t xml:space="preserve"> </w:t>
      </w:r>
      <w:r>
        <w:t xml:space="preserve">meta-analisi in rete di 24 studi randomizzati.</w:t>
      </w:r>
    </w:p>
    <w:p>
      <w:pPr>
        <w:numPr>
          <w:ilvl w:val="0"/>
          <w:numId w:val="1048"/>
        </w:numPr>
      </w:pPr>
      <w:r>
        <w:t xml:space="preserve">Johannesson E et al. </w:t>
      </w:r>
      <w:r>
        <w:rPr>
          <w:i/>
          <w:iCs/>
        </w:rPr>
        <w:t xml:space="preserve">Physical activity improves symptoms in irritable bowel syndrome: a randomized controlled trial.</w:t>
      </w:r>
      <w:r>
        <w:t xml:space="preserve"> </w:t>
      </w:r>
      <w:r>
        <w:t xml:space="preserve">Am J Gastroenterol, 2011. — https://pubmed.ncbi.nlm.nih.gov/21206488/</w:t>
      </w:r>
      <w:r>
        <w:t xml:space="preserve"> </w:t>
      </w:r>
      <w:r>
        <w:rPr>
          <w:i/>
          <w:iCs/>
        </w:rPr>
        <w:t xml:space="preserve">Disegno:</w:t>
      </w:r>
      <w:r>
        <w:t xml:space="preserve"> </w:t>
      </w:r>
      <w:r>
        <w:t xml:space="preserve">randomizzato non in cieco, 102 pazienti (75 completatori), istruzione da fisioterapista.</w:t>
      </w:r>
    </w:p>
    <w:p>
      <w:pPr>
        <w:numPr>
          <w:ilvl w:val="0"/>
          <w:numId w:val="1048"/>
        </w:numPr>
      </w:pPr>
      <w:r>
        <w:t xml:space="preserve">Black CJ et al. </w:t>
      </w:r>
      <w:r>
        <w:rPr>
          <w:i/>
          <w:iCs/>
        </w:rPr>
        <w:t xml:space="preserve">Efficacy of psychological therapies for irritable bowel syndrome: systematic review and network meta-analysis.</w:t>
      </w:r>
      <w:r>
        <w:t xml:space="preserve"> </w:t>
      </w:r>
      <w:r>
        <w:t xml:space="preserve">Gut, 2020. — https://pubmed.ncbi.nlm.nih.gov/32276950/</w:t>
      </w:r>
      <w:r>
        <w:t xml:space="preserve"> </w:t>
      </w:r>
      <w:r>
        <w:rPr>
          <w:i/>
          <w:iCs/>
        </w:rPr>
        <w:t xml:space="preserve">Disegno:</w:t>
      </w:r>
      <w:r>
        <w:t xml:space="preserve"> </w:t>
      </w:r>
      <w:r>
        <w:t xml:space="preserve">meta-analisi in rete di 41 studi randomizzati, 4.072 partecipanti.</w:t>
      </w:r>
    </w:p>
    <w:p>
      <w:pPr>
        <w:numPr>
          <w:ilvl w:val="0"/>
          <w:numId w:val="1048"/>
        </w:numPr>
      </w:pPr>
      <w:r>
        <w:t xml:space="preserve">Kaptchuk TJ et al. </w:t>
      </w:r>
      <w:r>
        <w:rPr>
          <w:i/>
          <w:iCs/>
        </w:rPr>
        <w:t xml:space="preserve">Components of placebo effect: randomised controlled trial in patients with irritable bowel syndrome.</w:t>
      </w:r>
      <w:r>
        <w:t xml:space="preserve"> </w:t>
      </w:r>
      <w:r>
        <w:t xml:space="preserve">BMJ, 2008. — https://pubmed.ncbi.nlm.nih.gov/18390493/</w:t>
      </w:r>
      <w:r>
        <w:t xml:space="preserve"> </w:t>
      </w:r>
      <w:r>
        <w:rPr>
          <w:i/>
          <w:iCs/>
        </w:rPr>
        <w:t xml:space="preserve">Disegno:</w:t>
      </w:r>
      <w:r>
        <w:t xml:space="preserve"> </w:t>
      </w:r>
      <w:r>
        <w:t xml:space="preserve">randomizzato a tre bracci su 262 pazienti — lista d’attesa, solo rituale terapeutico, rituale con relazione curata.</w:t>
      </w:r>
    </w:p>
    <w:p>
      <w:pPr>
        <w:numPr>
          <w:ilvl w:val="0"/>
          <w:numId w:val="1048"/>
        </w:numPr>
      </w:pPr>
      <w:r>
        <w:t xml:space="preserve">Midenfjord I et al. </w:t>
      </w:r>
      <w:r>
        <w:rPr>
          <w:i/>
          <w:iCs/>
        </w:rPr>
        <w:t xml:space="preserve">Central sensitization and severity of gastrointestinal symptoms in irritable bowel syndrome, chronic pain syndromes, and inflammatory bowel disease.</w:t>
      </w:r>
      <w:r>
        <w:t xml:space="preserve"> </w:t>
      </w:r>
      <w:r>
        <w:t xml:space="preserve">Neurogastroenterol Motil, 2021. — https://pubmed.ncbi.nlm.nih.gov/33860970/</w:t>
      </w:r>
    </w:p>
    <w:p>
      <w:pPr>
        <w:numPr>
          <w:ilvl w:val="0"/>
          <w:numId w:val="1048"/>
        </w:numPr>
      </w:pPr>
      <w:r>
        <w:t xml:space="preserve">van Assen T, Boelens OB, Kamphuis JT, et al. </w:t>
      </w:r>
      <w:r>
        <w:rPr>
          <w:i/>
          <w:iCs/>
        </w:rPr>
        <w:t xml:space="preserve">Construction and validation of a questionnaire distinguishing a chronic abdominal wall pain syndrome from irritable bowel syndrome.</w:t>
      </w:r>
      <w:r>
        <w:t xml:space="preserve"> </w:t>
      </w:r>
      <w:r>
        <w:t xml:space="preserve">Frontline Gastroenterol, 2012. — https://pubmed.ncbi.nlm.nih.gov/23914291/</w:t>
      </w:r>
      <w:r>
        <w:t xml:space="preserve"> </w:t>
      </w:r>
      <w:r>
        <w:rPr>
          <w:i/>
          <w:iCs/>
        </w:rPr>
        <w:t xml:space="preserve">Disegno:</w:t>
      </w:r>
      <w:r>
        <w:t xml:space="preserve"> </w:t>
      </w:r>
      <w:r>
        <w:t xml:space="preserve">validazione su 68 pazienti operati e 64 con la sindrome.</w:t>
      </w:r>
    </w:p>
    <w:p>
      <w:pPr>
        <w:numPr>
          <w:ilvl w:val="0"/>
          <w:numId w:val="1048"/>
        </w:numPr>
      </w:pPr>
      <w:r>
        <w:t xml:space="preserve">National Institute for Health and Care Excellence.</w:t>
      </w:r>
      <w:r>
        <w:t xml:space="preserve"> </w:t>
      </w:r>
      <w:r>
        <w:rPr>
          <w:i/>
          <w:iCs/>
        </w:rPr>
        <w:t xml:space="preserve">Suspected cancer: recognition and referral.</w:t>
      </w:r>
      <w:r>
        <w:t xml:space="preserve"> </w:t>
      </w:r>
      <w:r>
        <w:t xml:space="preserve">NICE guideline NG12. — https://www.nice.org.uk/guidance/ng12</w:t>
      </w:r>
    </w:p>
    <w:p>
      <w:pPr>
        <w:numPr>
          <w:ilvl w:val="0"/>
          <w:numId w:val="1048"/>
        </w:numPr>
      </w:pPr>
      <w:r>
        <w:t xml:space="preserve">Lacy BE et al. </w:t>
      </w:r>
      <w:r>
        <w:rPr>
          <w:i/>
          <w:iCs/>
        </w:rPr>
        <w:t xml:space="preserve">ACG Clinical Guideline: Management of Irritable Bowel Syndrome.</w:t>
      </w:r>
      <w:r>
        <w:t xml:space="preserve"> </w:t>
      </w:r>
      <w:r>
        <w:t xml:space="preserve">Am J Gastroenterol, 2021. — https://pubmed.ncbi.nlm.nih.gov/33315591/</w:t>
      </w:r>
    </w:p>
    <w:p>
      <w:pPr>
        <w:numPr>
          <w:ilvl w:val="0"/>
          <w:numId w:val="1048"/>
        </w:numPr>
      </w:pPr>
      <w:r>
        <w:t xml:space="preserve">Vasant DH et al. </w:t>
      </w:r>
      <w:r>
        <w:rPr>
          <w:i/>
          <w:iCs/>
        </w:rPr>
        <w:t xml:space="preserve">British Society of Gastroenterology guidelines on the management of irritable bowel syndrome.</w:t>
      </w:r>
      <w:r>
        <w:t xml:space="preserve"> </w:t>
      </w:r>
      <w:r>
        <w:t xml:space="preserve">Gut, 2021. — https://pubmed.ncbi.nlm.nih.gov/33903147/</w:t>
      </w:r>
    </w:p>
    <w:p>
      <w:pPr>
        <w:numPr>
          <w:ilvl w:val="0"/>
          <w:numId w:val="1048"/>
        </w:numPr>
      </w:pPr>
      <w:r>
        <w:t xml:space="preserve">Ford AC et al. </w:t>
      </w:r>
      <w:r>
        <w:rPr>
          <w:i/>
          <w:iCs/>
        </w:rPr>
        <w:t xml:space="preserve">Amitriptyline at Low-Dose and Titrated for Irritable Bowel Syndrome as Second-Line Treatment in primary care (ATLANTIS).</w:t>
      </w:r>
      <w:r>
        <w:t xml:space="preserve"> </w:t>
      </w:r>
      <w:r>
        <w:t xml:space="preserve">Lancet, 2023. — https://pubmed.ncbi.nlm.nih.gov/37858323/</w:t>
      </w:r>
      <w:r>
        <w:t xml:space="preserve"> </w:t>
      </w:r>
      <w:r>
        <w:rPr>
          <w:i/>
          <w:iCs/>
        </w:rPr>
        <w:t xml:space="preserve">Disegno:</w:t>
      </w:r>
      <w:r>
        <w:t xml:space="preserve"> </w:t>
      </w:r>
      <w:r>
        <w:t xml:space="preserve">463 pazienti in medicina generale, sei mesi, doppio cieco contro placebo.</w:t>
      </w:r>
    </w:p>
    <w:p>
      <w:pPr>
        <w:numPr>
          <w:ilvl w:val="0"/>
          <w:numId w:val="1048"/>
        </w:numPr>
      </w:pPr>
      <w:r>
        <w:t xml:space="preserve">Francis CY et al. </w:t>
      </w:r>
      <w:r>
        <w:rPr>
          <w:i/>
          <w:iCs/>
        </w:rPr>
        <w:t xml:space="preserve">The irritable bowel severity scoring system: a simple method of monitoring irritable bowel syndrome and its progress.</w:t>
      </w:r>
      <w:r>
        <w:t xml:space="preserve"> </w:t>
      </w:r>
      <w:r>
        <w:t xml:space="preserve">Aliment Pharmacol Ther, 1997. — https://pubmed.ncbi.nlm.nih.gov/9146781/</w:t>
      </w:r>
    </w:p>
    <w:p>
      <w:pPr>
        <w:numPr>
          <w:ilvl w:val="0"/>
          <w:numId w:val="1048"/>
        </w:numPr>
      </w:pPr>
      <w:r>
        <w:t xml:space="preserve">Buffone F et al. </w:t>
      </w:r>
      <w:r>
        <w:rPr>
          <w:i/>
          <w:iCs/>
        </w:rPr>
        <w:t xml:space="preserve">Effectiveness of Osteopathic Manipulative Treatment in Adults with Irritable Bowel Syndrome: A Systematic Review and Meta-Analysis.</w:t>
      </w:r>
      <w:r>
        <w:t xml:space="preserve"> </w:t>
      </w:r>
      <w:r>
        <w:t xml:space="preserve">Healthcare, 2023. — https://pubmed.ncbi.nlm.nih.gov/37685480/</w:t>
      </w:r>
      <w:r>
        <w:t xml:space="preserve"> </w:t>
      </w:r>
      <w:r>
        <w:rPr>
          <w:i/>
          <w:iCs/>
        </w:rPr>
        <w:t xml:space="preserve">Disegno:</w:t>
      </w:r>
      <w:r>
        <w:t xml:space="preserve"> </w:t>
      </w:r>
      <w:r>
        <w:t xml:space="preserve">revisione sistematica con meta-analisi, 5 studi randomizzati, confronto contro finto trattamento</w:t>
      </w:r>
      <w:r>
        <w:t xml:space="preserve"> </w:t>
      </w:r>
      <w:r>
        <w:rPr>
          <w:b/>
          <w:bCs/>
        </w:rPr>
        <w:t xml:space="preserve">o</w:t>
      </w:r>
      <w:r>
        <w:t xml:space="preserve"> </w:t>
      </w:r>
      <w:r>
        <w:t xml:space="preserve">nessun intervento, circa 200 pazienti randomizzati in tutto.</w:t>
      </w:r>
    </w:p>
    <w:p>
      <w:pPr>
        <w:numPr>
          <w:ilvl w:val="0"/>
          <w:numId w:val="1048"/>
        </w:numPr>
      </w:pPr>
      <w:r>
        <w:t xml:space="preserve">Florance BM et al. </w:t>
      </w:r>
      <w:r>
        <w:rPr>
          <w:i/>
          <w:iCs/>
        </w:rPr>
        <w:t xml:space="preserve">Osteopathy improves the severity of irritable bowel syndrome: a pilot randomized sham-controlled study.</w:t>
      </w:r>
      <w:r>
        <w:t xml:space="preserve"> </w:t>
      </w:r>
      <w:r>
        <w:t xml:space="preserve">Eur J Gastroenterol Hepatol, 2012. — https://pubmed.ncbi.nlm.nih.gov/22546751/</w:t>
      </w:r>
      <w:r>
        <w:t xml:space="preserve"> </w:t>
      </w:r>
      <w:r>
        <w:rPr>
          <w:i/>
          <w:iCs/>
        </w:rPr>
        <w:t xml:space="preserve">Disegno:</w:t>
      </w:r>
      <w:r>
        <w:t xml:space="preserve"> </w:t>
      </w:r>
      <w:r>
        <w:t xml:space="preserve">30 pazienti, due sedute a sette giorni di distanza, osteopatia contro finta osteopatia, controllo a 7 e 28 giorni.</w:t>
      </w:r>
    </w:p>
    <w:p>
      <w:pPr>
        <w:numPr>
          <w:ilvl w:val="0"/>
          <w:numId w:val="1048"/>
        </w:numPr>
      </w:pPr>
      <w:r>
        <w:t xml:space="preserve">Hundscheid HW et al. </w:t>
      </w:r>
      <w:r>
        <w:rPr>
          <w:i/>
          <w:iCs/>
        </w:rPr>
        <w:t xml:space="preserve">Treatment of irritable bowel syndrome with osteopathy: results of a randomized controlled pilot study.</w:t>
      </w:r>
      <w:r>
        <w:t xml:space="preserve"> </w:t>
      </w:r>
      <w:r>
        <w:t xml:space="preserve">J Gastroenterol Hepatol, 2007. — https://pubmed.ncbi.nlm.nih.gov/17716344/</w:t>
      </w:r>
      <w:r>
        <w:t xml:space="preserve"> </w:t>
      </w:r>
      <w:r>
        <w:rPr>
          <w:i/>
          <w:iCs/>
        </w:rPr>
        <w:t xml:space="preserve">Disegno:</w:t>
      </w:r>
      <w:r>
        <w:t xml:space="preserve"> </w:t>
      </w:r>
      <w:r>
        <w:t xml:space="preserve">39 pazienti, osteopatia contro cure abituali, senza braccio simulato.</w:t>
      </w:r>
    </w:p>
    <w:p>
      <w:pPr>
        <w:numPr>
          <w:ilvl w:val="0"/>
          <w:numId w:val="1048"/>
        </w:numPr>
      </w:pPr>
      <w:r>
        <w:t xml:space="preserve">Bu FL et al. </w:t>
      </w:r>
      <w:r>
        <w:rPr>
          <w:i/>
          <w:iCs/>
        </w:rPr>
        <w:t xml:space="preserve">A systematic review of Tuina for irritable bowel syndrome: Recommendations for future trials.</w:t>
      </w:r>
      <w:r>
        <w:t xml:space="preserve"> </w:t>
      </w:r>
      <w:r>
        <w:t xml:space="preserve">Complement Ther Med, 2020. — https://pubmed.ncbi.nlm.nih.gov/32951752/</w:t>
      </w:r>
      <w:r>
        <w:t xml:space="preserve"> </w:t>
      </w:r>
      <w:r>
        <w:rPr>
          <w:i/>
          <w:iCs/>
        </w:rPr>
        <w:t xml:space="preserve">Disegno:</w:t>
      </w:r>
      <w:r>
        <w:t xml:space="preserve"> </w:t>
      </w:r>
      <w:r>
        <w:t xml:space="preserve">8 studi randomizzati cinesi, 545 pazienti.</w:t>
      </w:r>
    </w:p>
    <w:p>
      <w:pPr>
        <w:numPr>
          <w:ilvl w:val="0"/>
          <w:numId w:val="1048"/>
        </w:numPr>
      </w:pPr>
      <w:r>
        <w:t xml:space="preserve">Gordon TC et al. </w:t>
      </w:r>
      <w:r>
        <w:rPr>
          <w:i/>
          <w:iCs/>
        </w:rPr>
        <w:t xml:space="preserve">Effects of manual osteopathic interventions on psychometric and psychophysiological indicators of anxiety, depression and stress in adults.</w:t>
      </w:r>
      <w:r>
        <w:t xml:space="preserve"> </w:t>
      </w:r>
      <w:r>
        <w:t xml:space="preserve">BMJ Open, 2025. — https://pubmed.ncbi.nlm.nih.gov/39920074/</w:t>
      </w:r>
      <w:r>
        <w:t xml:space="preserve"> </w:t>
      </w:r>
      <w:r>
        <w:rPr>
          <w:i/>
          <w:iCs/>
        </w:rPr>
        <w:t xml:space="preserve">Disegno:</w:t>
      </w:r>
      <w:r>
        <w:t xml:space="preserve"> </w:t>
      </w:r>
      <w:r>
        <w:t xml:space="preserve">revisione con meta-analisi di 20 studi randomizzati su popolazioni generali e con dolore.</w:t>
      </w:r>
    </w:p>
    <w:p>
      <w:pPr>
        <w:numPr>
          <w:ilvl w:val="0"/>
          <w:numId w:val="1048"/>
        </w:numPr>
      </w:pPr>
      <w:r>
        <w:t xml:space="preserve">Saab O et al. </w:t>
      </w:r>
      <w:r>
        <w:rPr>
          <w:i/>
          <w:iCs/>
        </w:rPr>
        <w:t xml:space="preserve">Yoga for Irritable Bowel Syndrome: A Systematic Review and Meta-Analysis of Randomized Controlled Trials.</w:t>
      </w:r>
      <w:r>
        <w:t xml:space="preserve"> </w:t>
      </w:r>
      <w:r>
        <w:t xml:space="preserve">Am J Gastroenterol, 2025. — https://pubmed.ncbi.nlm.nih.gov/40358469/</w:t>
      </w:r>
      <w:r>
        <w:t xml:space="preserve"> </w:t>
      </w:r>
      <w:r>
        <w:rPr>
          <w:i/>
          <w:iCs/>
        </w:rPr>
        <w:t xml:space="preserve">Disegno:</w:t>
      </w:r>
      <w:r>
        <w:t xml:space="preserve"> </w:t>
      </w:r>
      <w:r>
        <w:t xml:space="preserve">11 studi, 535 pazienti.</w:t>
      </w:r>
    </w:p>
    <w:p>
      <w:pPr>
        <w:numPr>
          <w:ilvl w:val="0"/>
          <w:numId w:val="1048"/>
        </w:numPr>
      </w:pPr>
      <w:r>
        <w:t xml:space="preserve">Płóciennik-Korycka N et al. </w:t>
      </w:r>
      <w:r>
        <w:rPr>
          <w:i/>
          <w:iCs/>
        </w:rPr>
        <w:t xml:space="preserve">Exploring manual therapy in the management of irritable bowel syndrome in adults: A scoping review.</w:t>
      </w:r>
      <w:r>
        <w:t xml:space="preserve"> </w:t>
      </w:r>
      <w:r>
        <w:t xml:space="preserve">Complement Ther Med, 2025. — https://pubmed.ncbi.nlm.nih.gov/39880320/</w:t>
      </w:r>
      <w:r>
        <w:t xml:space="preserve"> </w:t>
      </w:r>
      <w:r>
        <w:rPr>
          <w:i/>
          <w:iCs/>
        </w:rPr>
        <w:t xml:space="preserve">Disegno:</w:t>
      </w:r>
      <w:r>
        <w:t xml:space="preserve"> </w:t>
      </w:r>
      <w:r>
        <w:t xml:space="preserve">scoping review, 30 studi su terapie manuali di ogni tipo.</w:t>
      </w:r>
    </w:p>
    <w:p>
      <w:pPr>
        <w:numPr>
          <w:ilvl w:val="0"/>
          <w:numId w:val="1048"/>
        </w:numPr>
      </w:pPr>
      <w:r>
        <w:t xml:space="preserve">Asal MGR et al. </w:t>
      </w:r>
      <w:r>
        <w:rPr>
          <w:i/>
          <w:iCs/>
        </w:rPr>
        <w:t xml:space="preserve">Self-administered active versus sham acupressure for diarrhea predominant irritable bowel syndrome: a nurse-led randomized clinical trial.</w:t>
      </w:r>
      <w:r>
        <w:t xml:space="preserve"> </w:t>
      </w:r>
      <w:r>
        <w:t xml:space="preserve">BMC Nurs, 2025. — https://pubmed.ncbi.nlm.nih.gov/39875940/</w:t>
      </w:r>
      <w:r>
        <w:t xml:space="preserve"> </w:t>
      </w:r>
      <w:r>
        <w:rPr>
          <w:i/>
          <w:iCs/>
        </w:rPr>
        <w:t xml:space="preserve">Disegno:</w:t>
      </w:r>
      <w:r>
        <w:t xml:space="preserve"> </w:t>
      </w:r>
      <w:r>
        <w:t xml:space="preserve">randomizzato con finta agopressione, 63 pazienti.</w:t>
      </w:r>
    </w:p>
    <w:p>
      <w:pPr>
        <w:numPr>
          <w:ilvl w:val="0"/>
          <w:numId w:val="1048"/>
        </w:numPr>
      </w:pPr>
      <w:r>
        <w:t xml:space="preserve">Johannesson E et al. </w:t>
      </w:r>
      <w:r>
        <w:rPr>
          <w:i/>
          <w:iCs/>
        </w:rPr>
        <w:t xml:space="preserve">Intervention to increase physical activity in irritable bowel syndrome shows long-term positive effects.</w:t>
      </w:r>
      <w:r>
        <w:t xml:space="preserve"> </w:t>
      </w:r>
      <w:r>
        <w:t xml:space="preserve">World J Gastroenterol, 2015. — https://pubmed.ncbi.nlm.nih.gov/25593485/</w:t>
      </w:r>
      <w:r>
        <w:t xml:space="preserve"> </w:t>
      </w:r>
      <w:r>
        <w:rPr>
          <w:i/>
          <w:iCs/>
        </w:rPr>
        <w:t xml:space="preserve">Disegno:</w:t>
      </w:r>
      <w:r>
        <w:t xml:space="preserve"> </w:t>
      </w:r>
      <w:r>
        <w:t xml:space="preserve">controllo a distanza mediana di 5,2 anni su 39 dei pazienti dello studio del 2011; ore settimanali da 3,2 a 5,2.</w:t>
      </w:r>
    </w:p>
    <w:p>
      <w:pPr>
        <w:numPr>
          <w:ilvl w:val="0"/>
          <w:numId w:val="1048"/>
        </w:numPr>
      </w:pPr>
      <w:r>
        <w:t xml:space="preserve">Barba E et al. </w:t>
      </w:r>
      <w:r>
        <w:rPr>
          <w:i/>
          <w:iCs/>
        </w:rPr>
        <w:t xml:space="preserve">Correction of Abdominal Distention by Biofeedback-Guided Control of Abdominothoracic Muscular Activity in a Randomized, Placebo-Controlled Trial.</w:t>
      </w:r>
      <w:r>
        <w:t xml:space="preserve"> </w:t>
      </w:r>
      <w:r>
        <w:t xml:space="preserve">Clin Gastroenterol Hepatol, 2017. — https://pubmed.ncbi.nlm.nih.gov/28705783/</w:t>
      </w:r>
      <w:r>
        <w:t xml:space="preserve"> </w:t>
      </w:r>
      <w:r>
        <w:rPr>
          <w:i/>
          <w:iCs/>
        </w:rPr>
        <w:t xml:space="preserve">Disegno:</w:t>
      </w:r>
      <w:r>
        <w:t xml:space="preserve"> </w:t>
      </w:r>
      <w:r>
        <w:t xml:space="preserve">randomizzato controllato con placebo, 48 pazienti, tre sessioni su dieci giorni più esercizi a casa.</w:t>
      </w:r>
    </w:p>
    <w:p>
      <w:pPr>
        <w:numPr>
          <w:ilvl w:val="0"/>
          <w:numId w:val="1048"/>
        </w:numPr>
      </w:pPr>
      <w:r>
        <w:t xml:space="preserve">You M et al. </w:t>
      </w:r>
      <w:r>
        <w:rPr>
          <w:i/>
          <w:iCs/>
        </w:rPr>
        <w:t xml:space="preserve">Influence of Respiratory Frequency of Slow-Paced Breathing on Vagally-Mediated Heart Rate Variability.</w:t>
      </w:r>
      <w:r>
        <w:t xml:space="preserve"> </w:t>
      </w:r>
      <w:r>
        <w:t xml:space="preserve">Appl Psychophysiol Biofeedback, 2024. — https://pubmed.ncbi.nlm.nih.gov/38063977/</w:t>
      </w:r>
      <w:r>
        <w:t xml:space="preserve"> </w:t>
      </w:r>
      <w:r>
        <w:rPr>
          <w:i/>
          <w:iCs/>
        </w:rPr>
        <w:t xml:space="preserve">Disegno:</w:t>
      </w:r>
      <w:r>
        <w:t xml:space="preserve"> </w:t>
      </w:r>
      <w:r>
        <w:t xml:space="preserve">75 atleti; tutte le frequenze fra 5 e 7 atti al minuto alzano gli indici vagali rispetto al respiro spontaneo.</w:t>
      </w:r>
    </w:p>
    <w:p>
      <w:pPr>
        <w:numPr>
          <w:ilvl w:val="0"/>
          <w:numId w:val="1048"/>
        </w:numPr>
      </w:pPr>
      <w:r>
        <w:t xml:space="preserve">Barberio B et al. </w:t>
      </w:r>
      <w:r>
        <w:rPr>
          <w:i/>
          <w:iCs/>
        </w:rPr>
        <w:t xml:space="preserve">Placebo Response Rates in Trials of Licensed Drugs for Irritable Bowel Syndrome With Constipation or Diarrhea: Meta-analysis.</w:t>
      </w:r>
      <w:r>
        <w:t xml:space="preserve"> </w:t>
      </w:r>
      <w:r>
        <w:t xml:space="preserve">Clin Gastroenterol Hepatol, 2022. — https://pubmed.ncbi.nlm.nih.gov/34425274/</w:t>
      </w:r>
    </w:p>
    <w:p>
      <w:pPr>
        <w:numPr>
          <w:ilvl w:val="0"/>
          <w:numId w:val="1048"/>
        </w:numPr>
      </w:pPr>
      <w:r>
        <w:t xml:space="preserve">van Assen T, de Jager-Kievit JW, Scheltinga MR, Roumen RM.</w:t>
      </w:r>
      <w:r>
        <w:t xml:space="preserve"> </w:t>
      </w:r>
      <w:r>
        <w:rPr>
          <w:i/>
          <w:iCs/>
        </w:rPr>
        <w:t xml:space="preserve">Chronic abdominal wall pain misdiagnosed as functional abdominal pain.</w:t>
      </w:r>
      <w:r>
        <w:t xml:space="preserve"> </w:t>
      </w:r>
      <w:r>
        <w:t xml:space="preserve">J Am Board Fam Med, 2013. — https://pubmed.ncbi.nlm.nih.gov/24204070/</w:t>
      </w:r>
      <w:r>
        <w:t xml:space="preserve"> </w:t>
      </w:r>
      <w:r>
        <w:rPr>
          <w:i/>
          <w:iCs/>
        </w:rPr>
        <w:t xml:space="preserve">Disegno:</w:t>
      </w:r>
      <w:r>
        <w:t xml:space="preserve"> </w:t>
      </w:r>
      <w:r>
        <w:t xml:space="preserve">di 18 pazienti selezionati dal questionario e poi valutati, 9 con dolore di parete; prevalenza 3,6% sull’intera popolazione registrata.</w:t>
      </w:r>
    </w:p>
    <w:p>
      <w:pPr>
        <w:numPr>
          <w:ilvl w:val="0"/>
          <w:numId w:val="1048"/>
        </w:numPr>
      </w:pPr>
      <w:r>
        <w:t xml:space="preserve">Takada T et al. </w:t>
      </w:r>
      <w:r>
        <w:rPr>
          <w:i/>
          <w:iCs/>
        </w:rPr>
        <w:t xml:space="preserve">Diagnostic usefulness of Carnett’s test in psychogenic abdominal pain.</w:t>
      </w:r>
      <w:r>
        <w:t xml:space="preserve"> </w:t>
      </w:r>
      <w:r>
        <w:t xml:space="preserve">Intern Med, 2011. — https://pubmed.ncbi.nlm.nih.gov/21297322/</w:t>
      </w:r>
      <w:r>
        <w:t xml:space="preserve"> </w:t>
      </w:r>
      <w:r>
        <w:rPr>
          <w:i/>
          <w:iCs/>
        </w:rPr>
        <w:t xml:space="preserve">Disegno:</w:t>
      </w:r>
      <w:r>
        <w:t xml:space="preserve"> </w:t>
      </w:r>
      <w:r>
        <w:t xml:space="preserve">130 pazienti ambulatoriali.</w:t>
      </w:r>
    </w:p>
    <w:p>
      <w:pPr>
        <w:numPr>
          <w:ilvl w:val="0"/>
          <w:numId w:val="1048"/>
        </w:numPr>
      </w:pPr>
      <w:r>
        <w:t xml:space="preserve">Guillaud A et al. </w:t>
      </w:r>
      <w:r>
        <w:rPr>
          <w:i/>
          <w:iCs/>
        </w:rPr>
        <w:t xml:space="preserve">Reliability of diagnosis and clinical efficacy of visceral osteopathy: a systematic review.</w:t>
      </w:r>
      <w:r>
        <w:t xml:space="preserve"> </w:t>
      </w:r>
      <w:r>
        <w:t xml:space="preserve">BMC Complement Altern Med, 2018. — https://pubmed.ncbi.nlm.nih.gov/29452579/</w:t>
      </w:r>
    </w:p>
    <w:p>
      <w:pPr>
        <w:numPr>
          <w:ilvl w:val="0"/>
          <w:numId w:val="1048"/>
        </w:numPr>
      </w:pPr>
      <w:r>
        <w:t xml:space="preserve">Nunan D et al. </w:t>
      </w:r>
      <w:r>
        <w:rPr>
          <w:i/>
          <w:iCs/>
        </w:rPr>
        <w:t xml:space="preserve">Physical activity for treatment of irritable bowel syndrome.</w:t>
      </w:r>
      <w:r>
        <w:t xml:space="preserve"> </w:t>
      </w:r>
      <w:r>
        <w:t xml:space="preserve">Cochrane Database Syst Rev, 2022. — https://pubmed.ncbi.nlm.nih.gov/35766861/</w:t>
      </w:r>
      <w:r>
        <w:t xml:space="preserve"> </w:t>
      </w:r>
      <w:r>
        <w:rPr>
          <w:i/>
          <w:iCs/>
        </w:rPr>
        <w:t xml:space="preserve">Disegno:</w:t>
      </w:r>
      <w:r>
        <w:t xml:space="preserve"> </w:t>
      </w:r>
      <w:r>
        <w:t xml:space="preserve">Cochrane, 11 studi randomizzati, 622 partecipanti.</w:t>
      </w:r>
    </w:p>
    <w:p>
      <w:pPr>
        <w:numPr>
          <w:ilvl w:val="0"/>
          <w:numId w:val="1048"/>
        </w:numPr>
      </w:pPr>
      <w:r>
        <w:t xml:space="preserve">Ljótsson B et al. </w:t>
      </w:r>
      <w:r>
        <w:rPr>
          <w:i/>
          <w:iCs/>
        </w:rPr>
        <w:t xml:space="preserve">Provoking symptoms to relieve symptoms: a randomized controlled dismantling study of exposure therapy in irritable bowel syndrome.</w:t>
      </w:r>
      <w:r>
        <w:t xml:space="preserve"> </w:t>
      </w:r>
      <w:r>
        <w:t xml:space="preserve">Behav Res Ther, 2014. — https://pubmed.ncbi.nlm.nih.gov/24584055/</w:t>
      </w:r>
      <w:r>
        <w:t xml:space="preserve"> </w:t>
      </w:r>
      <w:r>
        <w:rPr>
          <w:i/>
          <w:iCs/>
        </w:rPr>
        <w:t xml:space="preserve">Disegno:</w:t>
      </w:r>
      <w:r>
        <w:t xml:space="preserve"> </w:t>
      </w:r>
      <w:r>
        <w:t xml:space="preserve">studio di smontaggio su 309 pazienti, programma di dieci settimane con e senza esposizione sistematica.</w:t>
      </w:r>
    </w:p>
    <w:p>
      <w:pPr>
        <w:numPr>
          <w:ilvl w:val="0"/>
          <w:numId w:val="1048"/>
        </w:numPr>
      </w:pPr>
      <w:r>
        <w:t xml:space="preserve">Ljótsson B et al. </w:t>
      </w:r>
      <w:r>
        <w:rPr>
          <w:i/>
          <w:iCs/>
        </w:rPr>
        <w:t xml:space="preserve">Acceptability, effectiveness, and cost-effectiveness of internet-based exposure treatment for irritable bowel syndrome in a clinical sample.</w:t>
      </w:r>
      <w:r>
        <w:t xml:space="preserve"> </w:t>
      </w:r>
      <w:r>
        <w:t xml:space="preserve">BMC Gastroenterol, 2011. — https://pubmed.ncbi.nlm.nih.gov/21992655/</w:t>
      </w:r>
      <w:r>
        <w:t xml:space="preserve"> </w:t>
      </w:r>
      <w:r>
        <w:rPr>
          <w:i/>
          <w:iCs/>
        </w:rPr>
        <w:t xml:space="preserve">Disegno:</w:t>
      </w:r>
      <w:r>
        <w:t xml:space="preserve"> </w:t>
      </w:r>
      <w:r>
        <w:t xml:space="preserve">coorte clinica consecutiva.</w:t>
      </w:r>
    </w:p>
    <w:p>
      <w:pPr>
        <w:numPr>
          <w:ilvl w:val="0"/>
          <w:numId w:val="1048"/>
        </w:numPr>
      </w:pPr>
      <w:r>
        <w:t xml:space="preserve">Ljótsson B et al. </w:t>
      </w:r>
      <w:r>
        <w:rPr>
          <w:i/>
          <w:iCs/>
        </w:rPr>
        <w:t xml:space="preserve">Mechanisms of change in an exposure-based treatment for irritable bowel syndrome.</w:t>
      </w:r>
      <w:r>
        <w:t xml:space="preserve"> </w:t>
      </w:r>
      <w:r>
        <w:t xml:space="preserve">J Consult Clin Psychol, 2013. — https://pubmed.ncbi.nlm.nih.gov/23750460/</w:t>
      </w:r>
    </w:p>
    <w:p>
      <w:pPr>
        <w:numPr>
          <w:ilvl w:val="0"/>
          <w:numId w:val="1048"/>
        </w:numPr>
      </w:pPr>
      <w:r>
        <w:t xml:space="preserve">Chakraborty S.</w:t>
      </w:r>
      <w:r>
        <w:t xml:space="preserve"> </w:t>
      </w:r>
      <w:r>
        <w:rPr>
          <w:i/>
          <w:iCs/>
        </w:rPr>
        <w:t xml:space="preserve">Comparing biofeedback device vs diaphragmatic breathing for bloating relief: a randomized controlled trial.</w:t>
      </w:r>
      <w:r>
        <w:t xml:space="preserve"> </w:t>
      </w:r>
      <w:r>
        <w:t xml:space="preserve">Open Med (Wars), 2025. — https://pubmed.ncbi.nlm.nih.gov/41323646/</w:t>
      </w:r>
      <w:r>
        <w:t xml:space="preserve"> </w:t>
      </w:r>
      <w:r>
        <w:rPr>
          <w:i/>
          <w:iCs/>
        </w:rPr>
        <w:t xml:space="preserve">Disegno:</w:t>
      </w:r>
      <w:r>
        <w:t xml:space="preserve"> </w:t>
      </w:r>
      <w:r>
        <w:t xml:space="preserve">85 partecipanti con gonfiore funzionale, istruzioni scritte contro dispositivo di biofeedback, tre volte al giorno per tre minuti. Nessun braccio inattivo.</w:t>
      </w:r>
    </w:p>
    <w:p>
      <w:pPr>
        <w:numPr>
          <w:ilvl w:val="0"/>
          <w:numId w:val="1048"/>
        </w:numPr>
      </w:pPr>
      <w:r>
        <w:t xml:space="preserve">Mulak A, Paradowski L.</w:t>
      </w:r>
      <w:r>
        <w:t xml:space="preserve"> </w:t>
      </w:r>
      <w:r>
        <w:rPr>
          <w:i/>
          <w:iCs/>
        </w:rPr>
        <w:t xml:space="preserve">Anorectal function and dyssynergic defecation in different subgroups of patients with irritable bowel syndrome.</w:t>
      </w:r>
      <w:r>
        <w:t xml:space="preserve"> </w:t>
      </w:r>
      <w:r>
        <w:t xml:space="preserve">Int J Colorectal Dis, 2010. — https://pubmed.ncbi.nlm.nih.gov/20411267/</w:t>
      </w:r>
      <w:r>
        <w:t xml:space="preserve"> </w:t>
      </w:r>
      <w:r>
        <w:rPr>
          <w:i/>
          <w:iCs/>
        </w:rPr>
        <w:t xml:space="preserve">Disegno:</w:t>
      </w:r>
      <w:r>
        <w:t xml:space="preserve"> </w:t>
      </w:r>
      <w:r>
        <w:t xml:space="preserve">manometria, 66 pazienti contro controlli, un solo centro.</w:t>
      </w:r>
    </w:p>
    <w:p>
      <w:pPr>
        <w:numPr>
          <w:ilvl w:val="0"/>
          <w:numId w:val="1048"/>
        </w:numPr>
      </w:pPr>
      <w:r>
        <w:t xml:space="preserve">Heitkemper MM et al. </w:t>
      </w:r>
      <w:r>
        <w:rPr>
          <w:i/>
          <w:iCs/>
        </w:rPr>
        <w:t xml:space="preserve">Symptoms across the menstrual cycle in women with irritable bowel syndrome.</w:t>
      </w:r>
      <w:r>
        <w:t xml:space="preserve"> </w:t>
      </w:r>
      <w:r>
        <w:t xml:space="preserve">Am J Gastroenterol, 2003. — https://pubmed.ncbi.nlm.nih.gov/12591063/</w:t>
      </w:r>
    </w:p>
    <w:p>
      <w:pPr>
        <w:numPr>
          <w:ilvl w:val="0"/>
          <w:numId w:val="1048"/>
        </w:numPr>
      </w:pPr>
      <w:r>
        <w:t xml:space="preserve">Bharadwaj S et al. </w:t>
      </w:r>
      <w:r>
        <w:rPr>
          <w:i/>
          <w:iCs/>
        </w:rPr>
        <w:t xml:space="preserve">Symptomatology of irritable bowel syndrome and inflammatory bowel disease during the menstrual cycle.</w:t>
      </w:r>
      <w:r>
        <w:t xml:space="preserve"> </w:t>
      </w:r>
      <w:r>
        <w:t xml:space="preserve">Gastroenterol Rep, 2015. — https://pubmed.ncbi.nlm.nih.gov/25788484/</w:t>
      </w:r>
    </w:p>
    <w:p>
      <w:pPr>
        <w:numPr>
          <w:ilvl w:val="0"/>
          <w:numId w:val="1048"/>
        </w:numPr>
      </w:pPr>
      <w:r>
        <w:t xml:space="preserve">Simrén M et al. </w:t>
      </w:r>
      <w:r>
        <w:rPr>
          <w:i/>
          <w:iCs/>
        </w:rPr>
        <w:t xml:space="preserve">Fecal incontinence in irritable bowel syndrome: prevalence and associated factors in Swedish and American patients.</w:t>
      </w:r>
      <w:r>
        <w:t xml:space="preserve"> </w:t>
      </w:r>
      <w:r>
        <w:t xml:space="preserve">Neurogastroenterol Motil, 2017. — https://pubmed.ncbi.nlm.nih.gov/27581702/</w:t>
      </w:r>
      <w:r>
        <w:t xml:space="preserve"> </w:t>
      </w:r>
      <w:r>
        <w:rPr>
          <w:i/>
          <w:iCs/>
        </w:rPr>
        <w:t xml:space="preserve">Disegno:</w:t>
      </w:r>
      <w:r>
        <w:t xml:space="preserve"> </w:t>
      </w:r>
      <w:r>
        <w:t xml:space="preserve">due coorti; incontinenza almeno mensile nel 19,7% e nel 13,7%.</w:t>
      </w:r>
    </w:p>
    <w:p>
      <w:pPr>
        <w:numPr>
          <w:ilvl w:val="0"/>
          <w:numId w:val="1048"/>
        </w:numPr>
      </w:pPr>
      <w:r>
        <w:t xml:space="preserve">Nabi MY et al. </w:t>
      </w:r>
      <w:r>
        <w:rPr>
          <w:i/>
          <w:iCs/>
        </w:rPr>
        <w:t xml:space="preserve">Endometriosis and irritable bowel syndrome: a systematic review and meta-analyses.</w:t>
      </w:r>
      <w:r>
        <w:t xml:space="preserve"> </w:t>
      </w:r>
      <w:r>
        <w:t xml:space="preserve">Front Med, 2022. — https://pubmed.ncbi.nlm.nih.gov/35957857/</w:t>
      </w:r>
      <w:r>
        <w:t xml:space="preserve"> </w:t>
      </w:r>
      <w:r>
        <w:rPr>
          <w:i/>
          <w:iCs/>
        </w:rPr>
        <w:t xml:space="preserve">Disegno:</w:t>
      </w:r>
      <w:r>
        <w:t xml:space="preserve"> </w:t>
      </w:r>
      <w:r>
        <w:t xml:space="preserve">meta-analisi; prevalenza aggregata 23,4% nelle donne con endometriosi.</w:t>
      </w:r>
    </w:p>
    <w:p>
      <w:pPr>
        <w:numPr>
          <w:ilvl w:val="0"/>
          <w:numId w:val="1048"/>
        </w:numPr>
      </w:pPr>
      <w:r>
        <w:t xml:space="preserve">Brierley SM et al. </w:t>
      </w:r>
      <w:r>
        <w:rPr>
          <w:i/>
          <w:iCs/>
        </w:rPr>
        <w:t xml:space="preserve">Splanchnic and pelvic mechanosensory afferents signal different qualities of colonic stimuli in mice.</w:t>
      </w:r>
      <w:r>
        <w:t xml:space="preserve"> </w:t>
      </w:r>
      <w:r>
        <w:t xml:space="preserve">Gastroenterology, 2004. — https://pubmed.ncbi.nlm.nih.gov/15236183/</w:t>
      </w:r>
    </w:p>
    <w:p>
      <w:pPr>
        <w:numPr>
          <w:ilvl w:val="0"/>
          <w:numId w:val="1048"/>
        </w:numPr>
      </w:pPr>
      <w:r>
        <w:t xml:space="preserve">Chu ECP et al. </w:t>
      </w:r>
      <w:r>
        <w:rPr>
          <w:i/>
          <w:iCs/>
        </w:rPr>
        <w:t xml:space="preserve">Incidence of adverse events associated with chiropractic spinal manipulation.</w:t>
      </w:r>
      <w:r>
        <w:t xml:space="preserve"> </w:t>
      </w:r>
      <w:r>
        <w:t xml:space="preserve">Sci Rep, 2023. — https://pubmed.ncbi.nlm.nih.gov/36690712/</w:t>
      </w:r>
      <w:r>
        <w:t xml:space="preserve"> </w:t>
      </w:r>
      <w:r>
        <w:rPr>
          <w:i/>
          <w:iCs/>
        </w:rPr>
        <w:t xml:space="preserve">Disegno:</w:t>
      </w:r>
      <w:r>
        <w:t xml:space="preserve"> </w:t>
      </w:r>
      <w:r>
        <w:t xml:space="preserve">960.140 sedute; due eventi avversi severi, entrambi fratture costali in donne oltre i sessanta.</w:t>
      </w:r>
    </w:p>
    <w:p>
      <w:pPr>
        <w:numPr>
          <w:ilvl w:val="0"/>
          <w:numId w:val="1048"/>
        </w:numPr>
      </w:pPr>
      <w:r>
        <w:t xml:space="preserve">Sault JD et al. </w:t>
      </w:r>
      <w:r>
        <w:rPr>
          <w:i/>
          <w:iCs/>
        </w:rPr>
        <w:t xml:space="preserve">Manual therapy in a patient with an abdominal aortic aneurysm.</w:t>
      </w:r>
      <w:r>
        <w:t xml:space="preserve"> </w:t>
      </w:r>
      <w:r>
        <w:t xml:space="preserve">Physiother Theory Pract, 2020. — https://pubmed.ncbi.nlm.nih.gov/30198815/</w:t>
      </w:r>
    </w:p>
    <w:p>
      <w:pPr>
        <w:numPr>
          <w:ilvl w:val="0"/>
          <w:numId w:val="1048"/>
        </w:numPr>
      </w:pPr>
      <w:r>
        <w:t xml:space="preserve">Chu ECP et al. </w:t>
      </w:r>
      <w:r>
        <w:rPr>
          <w:i/>
          <w:iCs/>
        </w:rPr>
        <w:t xml:space="preserve">Manual therapy in a patient with a large abdominal aortic aneurysm.</w:t>
      </w:r>
      <w:r>
        <w:t xml:space="preserve"> </w:t>
      </w:r>
      <w:r>
        <w:t xml:space="preserve">J Med Life, 2022. — https://pubmed.ncbi.nlm.nih.gov/35928356/</w:t>
      </w:r>
    </w:p>
    <w:p>
      <w:pPr>
        <w:numPr>
          <w:ilvl w:val="0"/>
          <w:numId w:val="1048"/>
        </w:numPr>
      </w:pPr>
      <w:r>
        <w:t xml:space="preserve">Liu J et al. </w:t>
      </w:r>
      <w:r>
        <w:rPr>
          <w:i/>
          <w:iCs/>
        </w:rPr>
        <w:t xml:space="preserve">Slow, deep breathing intervention improved symptoms and altered rectal sensitivity in patients with constipation-predominant irritable bowel syndrome.</w:t>
      </w:r>
      <w:r>
        <w:t xml:space="preserve"> </w:t>
      </w:r>
      <w:r>
        <w:t xml:space="preserve">Front Neurosci, 2022. — https://pubmed.ncbi.nlm.nih.gov/36408402/</w:t>
      </w:r>
      <w:r>
        <w:t xml:space="preserve"> </w:t>
      </w:r>
      <w:r>
        <w:rPr>
          <w:i/>
          <w:iCs/>
        </w:rPr>
        <w:t xml:space="preserve">Disegno:</w:t>
      </w:r>
      <w:r>
        <w:t xml:space="preserve"> </w:t>
      </w:r>
      <w:r>
        <w:t xml:space="preserve">randomizzato, 85 pazienti con la forma con stitichezza, sei settimane; l’abstract non descrive il braccio di controllo.</w:t>
      </w:r>
    </w:p>
    <w:p>
      <w:pPr>
        <w:numPr>
          <w:ilvl w:val="0"/>
          <w:numId w:val="1048"/>
        </w:numPr>
      </w:pPr>
      <w:r>
        <w:t xml:space="preserve">Liu J et al. </w:t>
      </w:r>
      <w:r>
        <w:rPr>
          <w:i/>
          <w:iCs/>
        </w:rPr>
        <w:t xml:space="preserve">Efficacy and Safety of Transcutaneous Auricular Vagus Nerve Stimulation in Patients With Constipation-Predominant Irritable Bowel Syndrome.</w:t>
      </w:r>
      <w:r>
        <w:t xml:space="preserve"> </w:t>
      </w:r>
      <w:r>
        <w:t xml:space="preserve">Am J Gastroenterol, 2024. — https://pubmed.ncbi.nlm.nih.gov/39689011/</w:t>
      </w:r>
      <w:r>
        <w:t xml:space="preserve"> </w:t>
      </w:r>
      <w:r>
        <w:rPr>
          <w:i/>
          <w:iCs/>
        </w:rPr>
        <w:t xml:space="preserve">Disegno:</w:t>
      </w:r>
      <w:r>
        <w:t xml:space="preserve"> </w:t>
      </w:r>
      <w:r>
        <w:t xml:space="preserve">randomizzato in singolo cieco, 40 pazienti con la forma con stitichezza, quattro settimane di stimolazione elettrica dell’orecchio contro finta stimolazione. Stesso gruppo e stesso centro della voce 66.</w:t>
      </w:r>
    </w:p>
    <w:p>
      <w:pPr>
        <w:numPr>
          <w:ilvl w:val="0"/>
          <w:numId w:val="1048"/>
        </w:numPr>
      </w:pPr>
      <w:r>
        <w:t xml:space="preserve">Jung A et al. </w:t>
      </w:r>
      <w:r>
        <w:rPr>
          <w:i/>
          <w:iCs/>
        </w:rPr>
        <w:t xml:space="preserve">No Sufficient Evidence for an Immediate Hypoalgesic Effect of Spinal Manual Therapy on Pressure Pain Thresholds in Asymptomatic and Chronic Pain Populations: A Systematic Review and Meta-Analysis.</w:t>
      </w:r>
      <w:r>
        <w:t xml:space="preserve"> </w:t>
      </w:r>
      <w:r>
        <w:t xml:space="preserve">Phys Ther, 2023. — https://pubmed.ncbi.nlm.nih.gov/37172128/</w:t>
      </w:r>
    </w:p>
    <w:p>
      <w:pPr>
        <w:numPr>
          <w:ilvl w:val="0"/>
          <w:numId w:val="1048"/>
        </w:numPr>
      </w:pPr>
      <w:r>
        <w:t xml:space="preserve">Hansen L et al. </w:t>
      </w:r>
      <w:r>
        <w:rPr>
          <w:i/>
          <w:iCs/>
        </w:rPr>
        <w:t xml:space="preserve">Effects of mobilization or manipulation of the thoracic spine on autonomic nervous system markers.</w:t>
      </w:r>
      <w:r>
        <w:t xml:space="preserve"> </w:t>
      </w:r>
      <w:r>
        <w:t xml:space="preserve">J Man Manip Ther, 2025. — https://pubmed.ncbi.nlm.nih.gov/40232939/</w:t>
      </w:r>
      <w:r>
        <w:t xml:space="preserve"> </w:t>
      </w:r>
      <w:r>
        <w:rPr>
          <w:i/>
          <w:iCs/>
        </w:rPr>
        <w:t xml:space="preserve">Disegno:</w:t>
      </w:r>
      <w:r>
        <w:t xml:space="preserve"> </w:t>
      </w:r>
      <w:r>
        <w:t xml:space="preserve">revisione con meta-analisi, 20 studi, 863 partecipanti, rachide dorsale.</w:t>
      </w:r>
    </w:p>
    <w:p>
      <w:pPr>
        <w:numPr>
          <w:ilvl w:val="0"/>
          <w:numId w:val="1048"/>
        </w:numPr>
      </w:pPr>
      <w:r>
        <w:t xml:space="preserve">Carnevali L et al. </w:t>
      </w:r>
      <w:r>
        <w:rPr>
          <w:i/>
          <w:iCs/>
        </w:rPr>
        <w:t xml:space="preserve">Osteopathic Manipulative Treatment and Cardiovascular Autonomic Parameters in Rugby Players.</w:t>
      </w:r>
      <w:r>
        <w:t xml:space="preserve"> </w:t>
      </w:r>
      <w:r>
        <w:t xml:space="preserve">J Manipulative Physiol Ther, 2021. — https://pubmed.ncbi.nlm.nih.gov/33436300/</w:t>
      </w:r>
      <w:r>
        <w:t xml:space="preserve"> </w:t>
      </w:r>
      <w:r>
        <w:rPr>
          <w:i/>
          <w:iCs/>
        </w:rPr>
        <w:t xml:space="preserve">Disegno:</w:t>
      </w:r>
      <w:r>
        <w:t xml:space="preserve"> </w:t>
      </w:r>
      <w:r>
        <w:t xml:space="preserve">randomizzato con finto trattamento, crossover, 23 atleti sani.</w:t>
      </w:r>
    </w:p>
    <w:p>
      <w:pPr>
        <w:numPr>
          <w:ilvl w:val="0"/>
          <w:numId w:val="1048"/>
        </w:numPr>
      </w:pPr>
      <w:r>
        <w:t xml:space="preserve">Lembo A et al. </w:t>
      </w:r>
      <w:r>
        <w:rPr>
          <w:i/>
          <w:iCs/>
        </w:rPr>
        <w:t xml:space="preserve">Open-label placebo vs double-blind placebo for irritable bowel syndrome: a randomized clinical trial.</w:t>
      </w:r>
      <w:r>
        <w:t xml:space="preserve"> </w:t>
      </w:r>
      <w:r>
        <w:t xml:space="preserve">Pain, 2021. — https://pubmed.ncbi.nlm.nih.gov/33605656/</w:t>
      </w:r>
      <w:r>
        <w:t xml:space="preserve"> </w:t>
      </w:r>
      <w:r>
        <w:rPr>
          <w:i/>
          <w:iCs/>
        </w:rPr>
        <w:t xml:space="preserve">Disegno:</w:t>
      </w:r>
      <w:r>
        <w:t xml:space="preserve"> </w:t>
      </w:r>
      <w:r>
        <w:t xml:space="preserve">randomizzato a tre bracci su 262 pazienti, sei settimane — placebo dichiarato, placebo in doppio cieco, nessuna pillola.</w:t>
      </w:r>
    </w:p>
    <w:p>
      <w:pPr>
        <w:numPr>
          <w:ilvl w:val="0"/>
          <w:numId w:val="1048"/>
        </w:numPr>
      </w:pPr>
      <w:r>
        <w:t xml:space="preserve">Akbari R et al. </w:t>
      </w:r>
      <w:r>
        <w:rPr>
          <w:i/>
          <w:iCs/>
        </w:rPr>
        <w:t xml:space="preserve">Attention in irritable bowel syndrome: A systematic review of affected domains and brain-gut axis interactions.</w:t>
      </w:r>
      <w:r>
        <w:t xml:space="preserve"> </w:t>
      </w:r>
      <w:r>
        <w:t xml:space="preserve">J Psychosom Res, 2025. — https://pubmed.ncbi.nlm.nih.gov/40048890/</w:t>
      </w:r>
      <w:r>
        <w:t xml:space="preserve"> </w:t>
      </w:r>
      <w:r>
        <w:rPr>
          <w:i/>
          <w:iCs/>
        </w:rPr>
        <w:t xml:space="preserve">Disegno:</w:t>
      </w:r>
      <w:r>
        <w:t xml:space="preserve"> </w:t>
      </w:r>
      <w:r>
        <w:t xml:space="preserve">revisione sistematica di 24 studi comportamentali e di neuroimmagine.</w:t>
      </w:r>
    </w:p>
    <w:p>
      <w:pPr>
        <w:numPr>
          <w:ilvl w:val="0"/>
          <w:numId w:val="1048"/>
        </w:numPr>
      </w:pPr>
      <w:r>
        <w:t xml:space="preserve">Goldenberg JZ et al. </w:t>
      </w:r>
      <w:r>
        <w:rPr>
          <w:i/>
          <w:iCs/>
        </w:rPr>
        <w:t xml:space="preserve">Biofeedback for treatment of irritable bowel syndrome.</w:t>
      </w:r>
      <w:r>
        <w:t xml:space="preserve"> </w:t>
      </w:r>
      <w:r>
        <w:t xml:space="preserve">Cochrane Database Syst Rev, 2019. — https://pubmed.ncbi.nlm.nih.gov/31713856/</w:t>
      </w:r>
      <w:r>
        <w:t xml:space="preserve"> </w:t>
      </w:r>
      <w:r>
        <w:rPr>
          <w:i/>
          <w:iCs/>
        </w:rPr>
        <w:t xml:space="preserve">Disegno:</w:t>
      </w:r>
      <w:r>
        <w:t xml:space="preserve"> </w:t>
      </w:r>
      <w:r>
        <w:t xml:space="preserve">Cochrane, 8 studi randomizzati, 300 partecipanti; ricerca chiusa a luglio 2019.</w:t>
      </w:r>
    </w:p>
    <w:p>
      <w:pPr>
        <w:numPr>
          <w:ilvl w:val="0"/>
          <w:numId w:val="1048"/>
        </w:numPr>
      </w:pPr>
      <w:r>
        <w:t xml:space="preserve">Triscoli C et al. </w:t>
      </w:r>
      <w:r>
        <w:rPr>
          <w:i/>
          <w:iCs/>
        </w:rPr>
        <w:t xml:space="preserve">Heart rate variability is enhanced by long-lasting pleasant touch at CT-optimized velocity.</w:t>
      </w:r>
      <w:r>
        <w:t xml:space="preserve"> </w:t>
      </w:r>
      <w:r>
        <w:t xml:space="preserve">Biol Psychol, 2017. — https://pubmed.ncbi.nlm.nih.gov/28723347/</w:t>
      </w:r>
      <w:r>
        <w:t xml:space="preserve"> </w:t>
      </w:r>
      <w:r>
        <w:rPr>
          <w:i/>
          <w:iCs/>
        </w:rPr>
        <w:t xml:space="preserve">Disegno:</w:t>
      </w:r>
      <w:r>
        <w:t xml:space="preserve"> </w:t>
      </w:r>
      <w:r>
        <w:t xml:space="preserve">40 volontari sani, 35 minuti di sfioramento con pennello sull’avambraccio contro vibrazione.</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Colon Irritabile</dc:title>
  <dc:creator>Mobilitas — Direzione Osteopatica</dc:creator>
  <dc:language>it-IT</dc:language>
  <cp:keywords/>
  <dcterms:created xsi:type="dcterms:W3CDTF">2026-08-28T21:34:59Z</dcterms:created>
  <dcterms:modified xsi:type="dcterms:W3CDTF">2026-08-28T21:34:59Z</dcterms:modified>
</cp:coreProperties>
</file>

<file path=docProps/custom.xml><?xml version="1.0" encoding="utf-8"?>
<Properties xmlns="http://schemas.openxmlformats.org/officeDocument/2006/custom-properties" xmlns:vt="http://schemas.openxmlformats.org/officeDocument/2006/docPropsVTypes"/>
</file>