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Xfe4b37c2655956a9224102278e8a49d5c86f7fc"/>
    <w:p>
      <w:pPr>
        <w:pStyle w:val="Heading1"/>
      </w:pPr>
      <w:r>
        <w:t xml:space="preserve">Mappa concettuale — Colon irritabile (sindrome dell’intestino irritabile)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Marc Bouchoucha, Ospedale Avicenne, Bobigny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Fernando Azpiroz, Vall d’Hebron, Barcellona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(revisione di lingua, 6º livello)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28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 · La condizione in tre righe</w:t>
      </w:r>
    </w:p>
    <w:p>
      <w:pPr>
        <w:pStyle w:val="FirstParagraph"/>
      </w:pPr>
      <w:r>
        <w:t xml:space="preserve">Dolore o fastidio addominale</w:t>
      </w:r>
      <w:r>
        <w:t xml:space="preserve"> </w:t>
      </w:r>
      <w:r>
        <w:rPr>
          <w:b/>
          <w:bCs/>
        </w:rPr>
        <w:t xml:space="preserve">ricorrente ma non continuo</w:t>
      </w:r>
      <w:r>
        <w:t xml:space="preserve">, legato all’evacuazione, con alvo che cambia (Roma V). È un disturbo dell’interazione intestino-cervello, non una lesione.</w:t>
      </w:r>
      <w:r>
        <w:t xml:space="preserve"> </w:t>
      </w:r>
      <w:r>
        <w:t xml:space="preserve">Ce l’ha circa una persona su dieci con i criteri larghi, ed è più frequente nelle donne. Il dolore è di tipo</w:t>
      </w:r>
      <w:r>
        <w:t xml:space="preserve"> </w:t>
      </w:r>
      <w:r>
        <w:rPr>
          <w:b/>
          <w:bCs/>
        </w:rPr>
        <w:t xml:space="preserve">nociplastico</w:t>
      </w:r>
      <w:r>
        <w:t xml:space="preserve">: guadagno alterato, senza sorgente periferica proporzionata.</w:t>
      </w:r>
      <w:r>
        <w:t xml:space="preserve"> </w:t>
      </w:r>
      <w:r>
        <w:t xml:space="preserve">Non evolve in malattia: cambia forma. Meno di 5 su 100 ricevono un’altra diagnosi organica in sei anni.</w:t>
      </w:r>
    </w:p>
    <w:bookmarkEnd w:id="9"/>
    <w:bookmarkStart w:id="10" w:name="la-sequenza-causale"/>
    <w:p>
      <w:pPr>
        <w:pStyle w:val="Heading3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volume normale nel colon → soglia abbassata e filtro che smorza meno → il segnale sale per due vie afferenti spinali (S2-S4 e T10-L1) e arriva come dolore e urgenza → dopo il pasto il contenitore si comporta al contrario e spinge il volume in fuori → dolore, gonfiore visibile, urgenza, giornata organizzata attorno ai bagni</w:t>
      </w:r>
    </w:p>
    <w:bookmarkEnd w:id="10"/>
    <w:bookmarkStart w:id="11" w:name="i-meccanismi-e-quanto-sono-solidi"/>
    <w:p>
      <w:pPr>
        <w:pStyle w:val="Heading3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</w:t>
            </w:r>
          </w:p>
        </w:tc>
        <w:tc>
          <w:tcPr/>
          <w:p>
            <w:pPr>
              <w:pStyle w:val="Compact"/>
            </w:pPr>
            <w:r>
              <w:t xml:space="preserve">Urgenza senza preavviso, dolore sproporzionato</w:t>
            </w:r>
          </w:p>
        </w:tc>
        <w:tc>
          <w:tcPr/>
          <w:p>
            <w:pPr>
              <w:pStyle w:val="Compact"/>
            </w:pPr>
            <w:r>
              <w:t xml:space="preserve">DIMOSTRATO che esista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Contenitore al contrario</w:t>
            </w:r>
          </w:p>
        </w:tc>
        <w:tc>
          <w:tcPr/>
          <w:p>
            <w:pPr>
              <w:pStyle w:val="Compact"/>
            </w:pPr>
            <w:r>
              <w:t xml:space="preserve">Piatta al mattino, gonfia la sera</w:t>
            </w:r>
          </w:p>
        </w:tc>
        <w:tc>
          <w:tcPr/>
          <w:p>
            <w:pPr>
              <w:pStyle w:val="Compact"/>
            </w:pPr>
            <w:r>
              <w:t xml:space="preserve">DIMOSTRATO (distensione visibile)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 che non stacca</w:t>
            </w:r>
          </w:p>
        </w:tc>
        <w:tc>
          <w:tcPr/>
          <w:p>
            <w:pPr>
              <w:pStyle w:val="Compact"/>
            </w:pPr>
            <w:r>
              <w:t xml:space="preserve">Nessuna regola, meglio in vacanza</w:t>
            </w:r>
          </w:p>
        </w:tc>
        <w:tc>
          <w:tcPr/>
          <w:p>
            <w:pPr>
              <w:pStyle w:val="Compact"/>
            </w:pPr>
            <w:r>
              <w:t xml:space="preserve">DIMOSTRATO l’assetto, effetti piccoli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dell’infezione</w:t>
            </w:r>
          </w:p>
        </w:tc>
        <w:tc>
          <w:tcPr/>
          <w:p>
            <w:pPr>
              <w:pStyle w:val="Compact"/>
            </w:pPr>
            <w:r>
              <w:t xml:space="preserve">Data d’inizio precisa</w:t>
            </w:r>
          </w:p>
        </w:tc>
        <w:tc>
          <w:tcPr/>
          <w:p>
            <w:pPr>
              <w:pStyle w:val="Compact"/>
            </w:pPr>
            <w:r>
              <w:t xml:space="preserve">PROBABILE il nesso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Attenzione che entra nel sintomo</w:t>
            </w:r>
          </w:p>
        </w:tc>
        <w:tc>
          <w:tcPr/>
          <w:p>
            <w:pPr>
              <w:pStyle w:val="Compact"/>
            </w:pPr>
            <w:r>
              <w:t xml:space="preserve">Sorveglia, evita, non ne parla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Pavimento che non si apre</w:t>
            </w:r>
          </w:p>
        </w:tc>
        <w:tc>
          <w:tcPr/>
          <w:p>
            <w:pPr>
              <w:pStyle w:val="Compact"/>
            </w:pPr>
            <w:r>
              <w:t xml:space="preserve">Ponza, resta seduto, svuota a metà</w:t>
            </w:r>
          </w:p>
        </w:tc>
        <w:tc>
          <w:tcPr/>
          <w:p>
            <w:pPr>
              <w:pStyle w:val="Compact"/>
            </w:pPr>
            <w:r>
              <w:t xml:space="preserve">PROBABILE la frequenza</w:t>
            </w:r>
          </w:p>
        </w:tc>
      </w:tr>
    </w:tbl>
    <w:p>
      <w:pPr>
        <w:pStyle w:val="BodyText"/>
      </w:pPr>
      <w:r>
        <w:rPr>
          <w:i/>
          <w:iCs/>
        </w:rPr>
        <w:t xml:space="preserve">La classifica misura la solidità del meccanismo, non quella della leva.</w:t>
      </w:r>
    </w:p>
    <w:bookmarkEnd w:id="11"/>
    <w:bookmarkStart w:id="12" w:name="i-sottotipi-e-chi-comanda"/>
    <w:p>
      <w:pPr>
        <w:pStyle w:val="Heading3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Distensione visibile</w:t>
            </w:r>
          </w:p>
        </w:tc>
        <w:tc>
          <w:tcPr/>
          <w:p>
            <w:pPr>
              <w:pStyle w:val="Compact"/>
            </w:pPr>
            <w:r>
              <w:t xml:space="preserve">Piatta al mattino, gonfia la sera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di parete</w:t>
            </w:r>
          </w:p>
        </w:tc>
        <w:tc>
          <w:tcPr/>
          <w:p>
            <w:pPr>
              <w:pStyle w:val="Compact"/>
            </w:pPr>
            <w:r>
              <w:t xml:space="preserve">Punto fisso, Carnett positivo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Ponzamento, svuotamento parziale</w:t>
            </w:r>
          </w:p>
        </w:tc>
        <w:tc>
          <w:tcPr/>
          <w:p>
            <w:pPr>
              <w:pStyle w:val="Compact"/>
            </w:pPr>
            <w:r>
              <w:t xml:space="preserve">Spinge, resta seduto a lungo</w:t>
            </w:r>
          </w:p>
        </w:tc>
        <w:tc>
          <w:tcPr/>
          <w:p>
            <w:pPr>
              <w:pStyle w:val="Compact"/>
            </w:pPr>
            <w:r>
              <w:t xml:space="preserve">Abbastanza, e una parte si 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Urgenza dominante</w:t>
            </w:r>
          </w:p>
        </w:tc>
        <w:tc>
          <w:tcPr/>
          <w:p>
            <w:pPr>
              <w:pStyle w:val="Compact"/>
            </w:pPr>
            <w:r>
              <w:t xml:space="preserve">Poco preavviso, mappa dei bagni, incontinenza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Legato all’attivazione</w:t>
            </w:r>
          </w:p>
        </w:tc>
        <w:tc>
          <w:tcPr/>
          <w:p>
            <w:pPr>
              <w:pStyle w:val="Compact"/>
            </w:pPr>
            <w:r>
              <w:t xml:space="preserve">Nessuna regola, meglio in vacanza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Post-infettivo</w:t>
            </w:r>
          </w:p>
        </w:tc>
        <w:tc>
          <w:tcPr/>
          <w:p>
            <w:pPr>
              <w:pStyle w:val="Compact"/>
            </w:pPr>
            <w:r>
              <w:t xml:space="preserve">Data d’inizio precisa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Malassorbimento biliare</w:t>
            </w:r>
          </w:p>
        </w:tc>
        <w:tc>
          <w:tcPr/>
          <w:p>
            <w:pPr>
              <w:pStyle w:val="Compact"/>
            </w:pPr>
            <w:r>
              <w:t xml:space="preserve">Diarrea acquosa dopo colecistectomia, resezione ileale, emicolectomia destra o radioterapia pelvica</w:t>
            </w:r>
          </w:p>
        </w:tc>
        <w:tc>
          <w:tcPr/>
          <w:p>
            <w:pPr>
              <w:pStyle w:val="Compact"/>
            </w:pPr>
            <w:r>
              <w:t xml:space="preserve">Niente: si manda</w:t>
            </w:r>
          </w:p>
        </w:tc>
      </w:tr>
    </w:tbl>
    <w:p>
      <w:pPr>
        <w:pStyle w:val="BodyText"/>
      </w:pPr>
      <w:r>
        <w:rPr>
          <w:i/>
          <w:iCs/>
        </w:rPr>
        <w:t xml:space="preserve">Il dolore di parete non esclude la sindrome: toglie uno strato, e sotto si rivaluta. Sta fuori dai sei meccanismi ed è l’unico bersaglio in cui il tessuto sotto le mani è la sorgente — IPOTESI che una mano lo spenga.</w:t>
      </w:r>
    </w:p>
    <w:bookmarkEnd w:id="12"/>
    <w:bookmarkStart w:id="13" w:name="come-decidi-in-stanza"/>
    <w:p>
      <w:pPr>
        <w:pStyle w:val="Heading3"/>
      </w:pPr>
      <w:r>
        <w:t xml:space="preserve">5 · Come decidi, in stanza</w:t>
      </w:r>
    </w:p>
    <w:p>
      <w:pPr>
        <w:pStyle w:val="FirstParagraph"/>
      </w:pPr>
      <w:r>
        <w:rPr>
          <w:b/>
          <w:bCs/>
        </w:rPr>
        <w:t xml:space="preserve">Passo 0 — i farmaci che mimano il quadro, FANS e oppioidi compresi.</w:t>
      </w:r>
      <w:r>
        <w:t xml:space="preserve"> </w:t>
      </w:r>
      <w:r>
        <w:t xml:space="preserve">Si segnalano per iscritto, non si commentano. Una diarrea nuova nell’anziano o in chi prende oppioidi va inquadrata prima di essere chiamata diarrea.</w:t>
      </w:r>
    </w:p>
    <w:p>
      <w:pPr>
        <w:pStyle w:val="Compact"/>
        <w:numPr>
          <w:ilvl w:val="0"/>
          <w:numId w:val="1001"/>
        </w:numPr>
      </w:pPr>
      <w:r>
        <w:t xml:space="preserve">Bandiere rosse.</w:t>
      </w:r>
    </w:p>
    <w:p>
      <w:pPr>
        <w:pStyle w:val="Compact"/>
        <w:numPr>
          <w:ilvl w:val="0"/>
          <w:numId w:val="1001"/>
        </w:numPr>
      </w:pPr>
      <w:r>
        <w:t xml:space="preserve">C’è una data d’inizio precisa? Calibra l’aspettativa, non il bersaglio. Qui stanno anche le quattro domande che separano il malassorbimento biliare.</w:t>
      </w:r>
    </w:p>
    <w:p>
      <w:pPr>
        <w:pStyle w:val="Compact"/>
        <w:numPr>
          <w:ilvl w:val="0"/>
          <w:numId w:val="1001"/>
        </w:numPr>
      </w:pPr>
      <w:r>
        <w:t xml:space="preserve">Carnett: rende più probabile la parete o una causa intra-addominale.</w:t>
      </w:r>
    </w:p>
    <w:p>
      <w:pPr>
        <w:pStyle w:val="Compact"/>
        <w:numPr>
          <w:ilvl w:val="0"/>
          <w:numId w:val="1001"/>
        </w:numPr>
      </w:pPr>
      <w:r>
        <w:t xml:space="preserve">Livello di attivazione.</w:t>
      </w:r>
    </w:p>
    <w:p>
      <w:pPr>
        <w:pStyle w:val="Compact"/>
        <w:numPr>
          <w:ilvl w:val="0"/>
          <w:numId w:val="1001"/>
        </w:numPr>
      </w:pPr>
      <w:r>
        <w:t xml:space="preserve">Il contenitore lavora al contrario?</w:t>
      </w:r>
    </w:p>
    <w:p>
      <w:pPr>
        <w:pStyle w:val="Compact"/>
        <w:numPr>
          <w:ilvl w:val="0"/>
          <w:numId w:val="1001"/>
        </w:numPr>
      </w:pPr>
      <w:r>
        <w:t xml:space="preserve">Piani meccanici, pavimento pelvico compreso.</w:t>
      </w:r>
    </w:p>
    <w:p>
      <w:pPr>
        <w:pStyle w:val="Compact"/>
        <w:numPr>
          <w:ilvl w:val="0"/>
          <w:numId w:val="1001"/>
        </w:numPr>
      </w:pPr>
      <w:r>
        <w:t xml:space="preserve">Cosa resta metabolico, e cosa comportamentale. Il metabolico si valuta e si rinvia. Sorveglianza ed evitamento restano bersaglio tuo, e si rinvia il solo programma strutturato.</w:t>
      </w:r>
    </w:p>
    <w:p>
      <w:pPr>
        <w:pStyle w:val="FirstParagraph"/>
      </w:pPr>
      <w:r>
        <w:rPr>
          <w:b/>
          <w:bCs/>
        </w:rPr>
        <w:t xml:space="preserve">Arbitrato.</w:t>
      </w:r>
      <w:r>
        <w:t xml:space="preserve"> </w:t>
      </w:r>
      <w:r>
        <w:t xml:space="preserve">Un piano senza leva non è mai il bersaglio: fissa l’aspettativa. Fra i piani con una leva, il bersaglio è quello più a monte.</w:t>
      </w:r>
    </w:p>
    <w:p>
      <w:pPr>
        <w:pStyle w:val="BodyText"/>
      </w:pPr>
      <w:r>
        <w:rPr>
          <w:b/>
          <w:bCs/>
        </w:rPr>
        <w:t xml:space="preserve">I marker.</w:t>
      </w:r>
      <w:r>
        <w:t xml:space="preserve"> </w:t>
      </w:r>
      <w:r>
        <w:t xml:space="preserve">- Delta di circonferenza fra digiuno e post-pasto, soglia 25 mm —</w:t>
      </w:r>
      <w:r>
        <w:t xml:space="preserve"> </w:t>
      </w:r>
      <w:r>
        <w:rPr>
          <w:b/>
          <w:bCs/>
        </w:rPr>
        <w:t xml:space="preserve">misura d’effetto, si rivaluta a settimane</w:t>
      </w:r>
      <w:r>
        <w:t xml:space="preserve"> </w:t>
      </w:r>
      <w:r>
        <w:t xml:space="preserve">(negli studi la correzione è arrivata da tre sessioni più esercizi a casa).</w:t>
      </w:r>
      <w:r>
        <w:t xml:space="preserve"> </w:t>
      </w:r>
      <w:r>
        <w:t xml:space="preserve">- Escursione delle coste basse, soglia 1 cm — effetto immediato.</w:t>
      </w:r>
      <w:r>
        <w:t xml:space="preserve"> </w:t>
      </w:r>
      <w:r>
        <w:t xml:space="preserve">- Soglia dolorosa al tibiale anteriore, +20%, o in alternativa il margine di preavviso dell’urgenza —</w:t>
      </w:r>
      <w:r>
        <w:t xml:space="preserve"> </w:t>
      </w:r>
      <w:r>
        <w:rPr>
          <w:b/>
          <w:bCs/>
        </w:rPr>
        <w:t xml:space="preserve">prova della chiave di volta, piano non trattato</w:t>
      </w:r>
      <w:r>
        <w:t xml:space="preserve">.</w:t>
      </w:r>
    </w:p>
    <w:p>
      <w:pPr>
        <w:pStyle w:val="BodyText"/>
      </w:pPr>
      <w:r>
        <w:t xml:space="preserve">Ogni soglia porta la sua provenienza. Nelle pazienti in età fertile si annota la fase del ciclo al basale e si rimisura nella stessa fase.</w:t>
      </w:r>
      <w:r>
        <w:t xml:space="preserve"> </w:t>
      </w:r>
      <w:r>
        <w:rPr>
          <w:b/>
          <w:bCs/>
        </w:rPr>
        <w:t xml:space="preserve">Il marker remoto fermo è l’esito più frequente, non l’eccezione:</w:t>
      </w:r>
      <w:r>
        <w:t xml:space="preserve"> </w:t>
      </w:r>
      <w:r>
        <w:t xml:space="preserve">sull’effetto ipoalgesico immediato della terapia manuale la revisione più recente non trova prove sufficienti (Jung 2023).</w:t>
      </w:r>
    </w:p>
    <w:p>
      <w:pPr>
        <w:pStyle w:val="BlockText"/>
      </w:pPr>
      <w:r>
        <w:rPr>
          <w:b/>
          <w:bCs/>
        </w:rPr>
        <w:t xml:space="preserve">Quanto è solido:</w:t>
      </w:r>
      <w:r>
        <w:t xml:space="preserve"> </w:t>
      </w:r>
      <w:r>
        <w:t xml:space="preserve">RAGIONAMENTO</w:t>
      </w:r>
      <w:r>
        <w:t xml:space="preserve"> </w:t>
      </w:r>
      <w:r>
        <w:rPr>
          <w:i/>
          <w:iCs/>
        </w:rPr>
        <w:t xml:space="preserve">(cornice clinica, non una prova)</w:t>
      </w:r>
      <w:r>
        <w:t xml:space="preserve">. I criteri palpatori orientano, non decidono: la loro affidabilità fra operatori è stata valutata e non regge.</w:t>
      </w:r>
    </w:p>
    <w:bookmarkEnd w:id="13"/>
    <w:bookmarkStart w:id="14" w:name="cosa-può-fare-il-paziente-da-solo"/>
    <w:p>
      <w:pPr>
        <w:pStyle w:val="Heading3"/>
      </w:pPr>
      <w:r>
        <w:t xml:space="preserve">6 · Cosa può fare il paziente da solo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Su cosa agisce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del contenitore</w:t>
            </w:r>
          </w:p>
        </w:tc>
        <w:tc>
          <w:tcPr/>
          <w:p>
            <w:pPr>
              <w:pStyle w:val="Compact"/>
            </w:pPr>
            <w:r>
              <w:t xml:space="preserve">Diaframma e parete</w:t>
            </w:r>
          </w:p>
        </w:tc>
        <w:tc>
          <w:tcPr/>
          <w:p>
            <w:pPr>
              <w:pStyle w:val="Compact"/>
            </w:pPr>
            <w:r>
              <w:t xml:space="preserve">DIMOSTRATO l’esito, IPOTESI la versione senza schermo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Educazione e riduzione dell’evitamento</w:t>
            </w:r>
          </w:p>
        </w:tc>
        <w:tc>
          <w:tcPr/>
          <w:p>
            <w:pPr>
              <w:pStyle w:val="Compact"/>
            </w:pPr>
            <w:r>
              <w:t xml:space="preserve">Sorveglianza ed evitamento</w:t>
            </w:r>
          </w:p>
        </w:tc>
        <w:tc>
          <w:tcPr/>
          <w:p>
            <w:pPr>
              <w:pStyle w:val="Compact"/>
            </w:pPr>
            <w:r>
              <w:t xml:space="preserve">DIMOSTRATO, altro erogatore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Attività fisica regolare</w:t>
            </w:r>
          </w:p>
        </w:tc>
        <w:tc>
          <w:tcPr/>
          <w:p>
            <w:pPr>
              <w:pStyle w:val="Compact"/>
            </w:pPr>
            <w:r>
              <w:t xml:space="preserve">Assetto autonomico, parete</w:t>
            </w:r>
          </w:p>
        </w:tc>
        <w:tc>
          <w:tcPr/>
          <w:p>
            <w:pPr>
              <w:pStyle w:val="Compact"/>
            </w:pPr>
            <w:r>
              <w:t xml:space="preserve">PROBABILE —</w:t>
            </w:r>
            <w:r>
              <w:t xml:space="preserve"> </w:t>
            </w:r>
            <w:r>
              <w:rPr>
                <w:b/>
                <w:bCs/>
              </w:rPr>
              <w:t xml:space="preserve">nessun effetto sul dolore</w:t>
            </w:r>
            <w:r>
              <w:t xml:space="preserve"> </w:t>
            </w:r>
            <w:r>
              <w:t xml:space="preserve">(Cochrane)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Respiro lento</w:t>
            </w:r>
          </w:p>
        </w:tc>
        <w:tc>
          <w:tcPr/>
          <w:p>
            <w:pPr>
              <w:pStyle w:val="Compact"/>
            </w:pPr>
            <w:r>
              <w:t xml:space="preserve">Assetto autonomico, soglia rettale</w:t>
            </w:r>
          </w:p>
        </w:tc>
        <w:tc>
          <w:tcPr/>
          <w:p>
            <w:pPr>
              <w:pStyle w:val="Compact"/>
            </w:pPr>
            <w:r>
              <w:t xml:space="preserve">DIMOSTRATO il meccanismo, PROBABILE sui sintomi in IBS-C</w:t>
            </w:r>
          </w:p>
        </w:tc>
      </w:tr>
    </w:tbl>
    <w:p>
      <w:pPr>
        <w:pStyle w:val="BodyText"/>
      </w:pPr>
      <w:r>
        <w:rPr>
          <w:b/>
          <w:bCs/>
        </w:rPr>
        <w:t xml:space="preserve">Sul tocco e l’assetto autonomico non si dice «nessuno ha misurato»: le misure disponibili non concordano fra loro</w:t>
      </w:r>
      <w:r>
        <w:t xml:space="preserve"> </w:t>
      </w:r>
      <w:r>
        <w:t xml:space="preserve">(Hansen 2025 contro Carnevali 2021). Che alzare l’attività vagale in questi pazienti alzi la soglia rettale è invece PROBABILE (Liu 2022, Liu 2024 — stesso gruppo, solo IBS-C).</w:t>
      </w:r>
    </w:p>
    <w:p>
      <w:pPr>
        <w:pStyle w:val="BodyText"/>
      </w:pPr>
      <w:r>
        <w:t xml:space="preserve">Lo yoga non è dimostrato né in un senso né nell’altro. La dieta si segnala e si rinvia.</w:t>
      </w:r>
      <w:r>
        <w:t xml:space="preserve"> </w:t>
      </w:r>
      <w:r>
        <w:rPr>
          <w:b/>
          <w:bCs/>
        </w:rPr>
        <w:t xml:space="preserve">«Biofeedback» in generale non regge</w:t>
      </w:r>
      <w:r>
        <w:t xml:space="preserve"> </w:t>
      </w:r>
      <w:r>
        <w:t xml:space="preserve">(Cochrane): quello che regge è l’addomino-toracico guidato dall’elettromiografia.</w:t>
      </w:r>
    </w:p>
    <w:bookmarkEnd w:id="14"/>
    <w:bookmarkStart w:id="15" w:name="le-bandiere-rosse"/>
    <w:p>
      <w:pPr>
        <w:pStyle w:val="Heading3"/>
      </w:pPr>
      <w:r>
        <w:t xml:space="preserve">7 · Le bandiere rosse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Addome acuto: dolore severo diverso dal solito, addome contratto, vomito, febbre, lipotimia → PRONTO SOCCORSO, non si palpa e non si tratta</w:t>
      </w:r>
    </w:p>
    <w:p>
      <w:pPr>
        <w:pStyle w:val="Compact"/>
        <w:numPr>
          <w:ilvl w:val="0"/>
          <w:numId w:val="1002"/>
        </w:numPr>
      </w:pPr>
      <w:r>
        <w:t xml:space="preserve">Sangue nelle feci, anche in paziente anticoagulato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Anemia da carenza di ferro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Calo di peso non voluto con dolore, dai 40 anni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Massa addominale o rettale → medico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2"/>
        </w:numPr>
      </w:pPr>
      <w:r>
        <w:t xml:space="preserve">Diarrea notturna, febbre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Esordio dopo i 50 anni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Alvo più molle o più frequente da oltre 6 settimane, dai 60 anni in su</w:t>
      </w:r>
      <w:r>
        <w:t xml:space="preserve"> </w:t>
      </w:r>
      <w:r>
        <w:t xml:space="preserve">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Gonfiore persistente in donna dai 50 anni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2"/>
        </w:numPr>
      </w:pPr>
      <w:r>
        <w:t xml:space="preserve">Familiarità per tumore del colon o malattia infiammatoria → medico curante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FirstParagraph"/>
      </w:pPr>
      <w:r>
        <w:t xml:space="preserve">Tre uscite.</w:t>
      </w:r>
      <w:r>
        <w:t xml:space="preserve"> </w:t>
      </w:r>
      <w:r>
        <w:rPr>
          <w:b/>
          <w:bCs/>
        </w:rPr>
        <w:t xml:space="preserve">ROSSO:</w:t>
      </w:r>
      <w:r>
        <w:t xml:space="preserve"> </w:t>
      </w:r>
      <w:r>
        <w:t xml:space="preserve">stop. Indicazione medica scritta, comunicazione al curante lo stesso giorno, verifica alla seduta dopo, addome fuori.</w:t>
      </w:r>
      <w:r>
        <w:t xml:space="preserve"> </w:t>
      </w:r>
      <w:r>
        <w:rPr>
          <w:b/>
          <w:bCs/>
        </w:rPr>
        <w:t xml:space="preserve">GIALLO:</w:t>
      </w:r>
      <w:r>
        <w:t xml:space="preserve"> </w:t>
      </w:r>
      <w:r>
        <w:t xml:space="preserve">si lavora in parallelo, con reperto scritto, paziente informato, comunicazione al curante, revisione a data fissa entro sei settimane. La pressione addominale profonda solo dopo la calprotectina.</w:t>
      </w:r>
      <w:r>
        <w:t xml:space="preserve"> </w:t>
      </w:r>
      <w:r>
        <w:rPr>
          <w:b/>
          <w:bCs/>
        </w:rPr>
        <w:t xml:space="preserve">VERDE:</w:t>
      </w:r>
      <w:r>
        <w:t xml:space="preserve"> </w:t>
      </w:r>
      <w:r>
        <w:t xml:space="preserve">si procede.</w:t>
      </w:r>
    </w:p>
    <w:p>
      <w:pPr>
        <w:pStyle w:val="BodyText"/>
      </w:pPr>
      <w:r>
        <w:t xml:space="preserve">L’inquadramento decade se il dolore cambia carattere, sede o intensità. Sotto i 60 anni non decade se cambia l’alvo;</w:t>
      </w:r>
      <w:r>
        <w:t xml:space="preserve"> </w:t>
      </w:r>
      <w:r>
        <w:rPr>
          <w:b/>
          <w:bCs/>
        </w:rPr>
        <w:t xml:space="preserve">dai 60 in su sì</w:t>
      </w:r>
      <w:r>
        <w:t xml:space="preserve">.</w:t>
      </w:r>
    </w:p>
    <w:bookmarkEnd w:id="15"/>
    <w:bookmarkStart w:id="16" w:name="la-frase-per-il-paziente"/>
    <w:p>
      <w:pPr>
        <w:pStyle w:val="Heading3"/>
      </w:pPr>
      <w:r>
        <w:t xml:space="preserve">8 · La frase per il paziente</w:t>
      </w:r>
    </w:p>
    <w:p>
      <w:pPr>
        <w:pStyle w:val="FirstParagraph"/>
      </w:pPr>
      <w:r>
        <w:rPr>
          <w:i/>
          <w:iCs/>
        </w:rPr>
        <w:t xml:space="preserve">«I tuoi esami sono negativi, e questo è un risultato: il medico che li ha chiesti ha escluso quello che cercava. Il problema è nel volume, non nell’impianto — come un citofono col volume al massimo.»</w:t>
      </w:r>
      <w:r>
        <w:t xml:space="preserve"> </w:t>
      </w:r>
      <w:r>
        <w:t xml:space="preserve">E la riga che esce con lui: se dopo una seduta il dolore aumenta, o compaiono febbre, vomito, sangue o svenimento, pronto soccorso.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3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Nella meta-analisi degli studi randomizzati</w:t>
      </w:r>
      <w:r>
        <w:t xml:space="preserve"> </w:t>
      </w:r>
      <w:r>
        <w:rPr>
          <w:b/>
          <w:bCs/>
        </w:rPr>
        <w:t xml:space="preserve">il dolore addominale è l’unico esito che regge il confronto con un finto trattamento</w:t>
      </w:r>
      <w:r>
        <w:t xml:space="preserve">: si sposta con una dimensione dell’effetto di −1,14. Il punteggio globale si ferma a −0,34, che non è distinguibile da zero. Questo ti autorizza a dichiarare un bersaglio, uno solo e preciso. Non ti autorizza a dire «funziona sul colon irritabile»: è l’unica frase che quei dati smentiscono direttamente.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2026-08-28T21:34:59Z</dcterms:created>
  <dcterms:modified xsi:type="dcterms:W3CDTF">2026-08-28T21:34:59Z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