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problemi-posturali"/>
    <w:p>
      <w:pPr>
        <w:pStyle w:val="Heading1"/>
      </w:pPr>
      <w:r>
        <w:t xml:space="preserve">Mappa concettuale — Problemi posturali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problemi posturali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Peter O’Sullivan (Curtin University)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Paul Hodges (University of Queensland)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(lingua)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29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Non è una diagnosi. È una forma, dei sintomi legati alla durata di una posizione, e la spiegazione che il paziente ha costruito fra le due.</w:t>
      </w:r>
      <w:r>
        <w:t xml:space="preserve"> </w:t>
      </w:r>
      <w:r>
        <w:t xml:space="preserve">Non ha codice diagnostico né criterio d’ingresso. Le soglie di allineamento sono convenzioni che cambiano di studio in studio.</w:t>
      </w:r>
      <w:r>
        <w:t xml:space="preserve"> </w:t>
      </w:r>
      <w:r>
        <w:t xml:space="preserve">Nel mezzo della distribuzione la forma non distingue chi sta male. All’estremo sì — deformità sagittale, ipercifosi dell’anziano — e lì il campo non è nostro.</w:t>
      </w:r>
    </w:p>
    <w:bookmarkEnd w:id="9"/>
    <w:bookmarkStart w:id="10" w:name="la-sequenza-causale"/>
    <w:p>
      <w:pPr>
        <w:pStyle w:val="Heading2"/>
      </w:pPr>
      <w:r>
        <w:t xml:space="preserve">2 — La sequenza causale</w:t>
      </w:r>
    </w:p>
    <w:p>
      <w:pPr>
        <w:pStyle w:val="FirstParagraph"/>
      </w:pPr>
      <w:r>
        <w:rPr>
          <w:rStyle w:val="VerbatimChar"/>
        </w:rPr>
        <w:t xml:space="preserve">ore nella stessa posizione → torace e anche perdono corsa → meno configurazioni disponibili → carico sempre sulle stesse strutture → la forma viene letta come difetto e il paziente si sorveglia → soglia che si abbassa → dolore che compare a fine giornata e cambia sede</w:t>
      </w:r>
    </w:p>
    <w:p>
      <w:pPr>
        <w:pStyle w:val="BlockText"/>
      </w:pPr>
      <w:r>
        <w:rPr>
          <w:b/>
          <w:bCs/>
        </w:rPr>
        <w:t xml:space="preserve">Quanto è solido:</w:t>
      </w:r>
      <w:r>
        <w:t xml:space="preserve"> </w:t>
      </w:r>
      <w:r>
        <w:t xml:space="preserve">l’etichetta si spezza.</w:t>
      </w:r>
      <w:r>
        <w:t xml:space="preserve"> </w:t>
      </w:r>
      <w:r>
        <w:rPr>
          <w:b/>
          <w:bCs/>
        </w:rPr>
        <w:t xml:space="preserve">DIMOSTRATO</w:t>
      </w:r>
      <w:r>
        <w:t xml:space="preserve"> </w:t>
      </w:r>
      <w:r>
        <w:t xml:space="preserve">i singoli anelli misurati.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che l’ordine sia questo, e che la riduzione di movimento venga prima del dolore: su quarantuno revisioni non c’è consenso sulla causalità (Swain, PMID 31451200).</w:t>
      </w:r>
    </w:p>
    <w:p>
      <w:pPr>
        <w:pStyle w:val="FirstParagraph"/>
      </w:pPr>
      <w:r>
        <w:rPr>
          <w:b/>
          <w:bCs/>
        </w:rPr>
        <w:t xml:space="preserve">E il decorso da solo.</w:t>
      </w:r>
      <w:r>
        <w:t xml:space="preserve"> </w:t>
      </w:r>
      <w:r>
        <w:t xml:space="preserve">Nelle prime sei settimane il dolore scende comunque di circa un terzo (Menezes Costa 2012, PMID 22586331). Senza un marker fuori piano non distingui il tuo lavoro dal calendario.</w:t>
      </w:r>
    </w:p>
    <w:bookmarkEnd w:id="10"/>
    <w:bookmarkStart w:id="11" w:name="i-sei-meccanismi-e-quanto-sono-solidi"/>
    <w:p>
      <w:pPr>
        <w:pStyle w:val="Heading2"/>
      </w:pPr>
      <w:r>
        <w:t xml:space="preserve">3 — I sei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Movimento ridotto in forma normale</w:t>
            </w:r>
          </w:p>
        </w:tc>
        <w:tc>
          <w:tcPr/>
          <w:p>
            <w:pPr>
              <w:pStyle w:val="Compact"/>
            </w:pPr>
            <w:r>
              <w:t xml:space="preserve">Si muove in blocco, sbaglia il riposizionamento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Contenitore senza escursione</w:t>
            </w:r>
          </w:p>
        </w:tc>
        <w:tc>
          <w:tcPr/>
          <w:p>
            <w:pPr>
              <w:pStyle w:val="Compact"/>
            </w:pPr>
            <w:r>
              <w:t xml:space="preserve">Torace e anca fermi, sintomo agli estremi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Posizione più economica</w:t>
            </w:r>
          </w:p>
        </w:tc>
        <w:tc>
          <w:tcPr/>
          <w:p>
            <w:pPr>
              <w:pStyle w:val="Compact"/>
            </w:pPr>
            <w:r>
              <w:t xml:space="preserve">Si autocorregge, non regge trenta secondi</w:t>
            </w:r>
          </w:p>
        </w:tc>
        <w:tc>
          <w:tcPr/>
          <w:p>
            <w:pPr>
              <w:pStyle w:val="Compact"/>
            </w:pPr>
            <w:r>
              <w:t xml:space="preserve">DIMOSTRATO / RAGIONAMENTO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 letta come difetto, sorveglianza</w:t>
            </w:r>
          </w:p>
        </w:tc>
        <w:tc>
          <w:tcPr/>
          <w:p>
            <w:pPr>
              <w:pStyle w:val="Compact"/>
            </w:pPr>
            <w:r>
              <w:t xml:space="preserve">Si corregge mentre parla, elenco di cose evitate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abbassata, dolore migrante</w:t>
            </w:r>
          </w:p>
        </w:tc>
        <w:tc>
          <w:tcPr/>
          <w:p>
            <w:pPr>
              <w:pStyle w:val="Compact"/>
            </w:pPr>
            <w:r>
              <w:t xml:space="preserve">Sproporzione, migra, ipersensibilità diffusa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Diaframma con due mestieri</w:t>
            </w:r>
          </w:p>
        </w:tc>
        <w:tc>
          <w:tcPr/>
          <w:p>
            <w:pPr>
              <w:pStyle w:val="Compact"/>
            </w:pPr>
            <w:r>
              <w:t xml:space="preserve">Respiro apicale, coste basse ferme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</w:tbl>
    <w:p>
      <w:pPr>
        <w:pStyle w:val="BodyText"/>
      </w:pPr>
      <w:r>
        <w:rPr>
          <w:i/>
          <w:iCs/>
        </w:rPr>
        <w:t xml:space="preserve">Sul secondo meccanismo, il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meccanismo</w:t>
      </w:r>
      <w:r>
        <w:rPr>
          <w:i/>
          <w:iCs/>
        </w:rPr>
        <w:t xml:space="preserve"> </w:t>
      </w:r>
      <w:r>
        <w:rPr>
          <w:i/>
          <w:iCs/>
        </w:rPr>
        <w:t xml:space="preserve">«il centro presta escursione agli estremi» regge un PROBABILE: diciotto studi randomizzati, 914 pazienti, escursione cervicale aumentata dopo manipolazione toracica, effetto a breve termine (Yang 2024, PMID 38759063). 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leva</w:t>
      </w:r>
      <w:r>
        <w:rPr>
          <w:i/>
          <w:iCs/>
        </w:rPr>
        <w:t xml:space="preserve"> </w:t>
      </w:r>
      <w:r>
        <w:rPr>
          <w:i/>
          <w:iCs/>
        </w:rPr>
        <w:t xml:space="preserve">su chi è selezionato per un reperto posturale resta IPOTESI.</w:t>
      </w:r>
    </w:p>
    <w:bookmarkEnd w:id="11"/>
    <w:bookmarkStart w:id="12" w:name="i-pattern-e-chi-comanda"/>
    <w:p>
      <w:pPr>
        <w:pStyle w:val="Heading2"/>
      </w:pPr>
      <w:r>
        <w:t xml:space="preserve">4 — I pattern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Rigido che vuole raddrizzarsi</w:t>
            </w:r>
          </w:p>
        </w:tc>
        <w:tc>
          <w:tcPr/>
          <w:p>
            <w:pPr>
              <w:pStyle w:val="Compact"/>
            </w:pPr>
            <w:r>
              <w:t xml:space="preserve">Nessun dolore, richiesta estetica</w:t>
            </w:r>
          </w:p>
        </w:tc>
        <w:tc>
          <w:tcPr/>
          <w:p>
            <w:pPr>
              <w:pStyle w:val="Compact"/>
            </w:pPr>
            <w:r>
              <w:t xml:space="preserve">Solo con un reperto misurato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da durata</w:t>
            </w:r>
          </w:p>
        </w:tc>
        <w:tc>
          <w:tcPr/>
          <w:p>
            <w:pPr>
              <w:pStyle w:val="Compact"/>
            </w:pPr>
            <w:r>
              <w:t xml:space="preserve">Compare a fine giornata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in allarme (nociplastico)</w:t>
            </w:r>
          </w:p>
        </w:tc>
        <w:tc>
          <w:tcPr/>
          <w:p>
            <w:pPr>
              <w:pStyle w:val="Compact"/>
            </w:pPr>
            <w:r>
              <w:t xml:space="preserve">Dolore che migra, sproporzione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Collassato senza tenuta</w:t>
            </w:r>
          </w:p>
        </w:tc>
        <w:tc>
          <w:tcPr/>
          <w:p>
            <w:pPr>
              <w:pStyle w:val="Compact"/>
            </w:pPr>
            <w:r>
              <w:t xml:space="preserve">Escursione piena, non regge</w:t>
            </w:r>
          </w:p>
        </w:tc>
        <w:tc>
          <w:tcPr/>
          <w:p>
            <w:pPr>
              <w:pStyle w:val="Compact"/>
            </w:pPr>
            <w:r>
              <w:t xml:space="preserve">Molto, ma non con la corsa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Cambiamento gravidico o post partum</w:t>
            </w:r>
          </w:p>
        </w:tc>
        <w:tc>
          <w:tcPr/>
          <w:p>
            <w:pPr>
              <w:pStyle w:val="Compact"/>
            </w:pPr>
            <w:r>
              <w:t xml:space="preserve">Curva cambiata in gravidanza</w:t>
            </w:r>
          </w:p>
        </w:tc>
        <w:tc>
          <w:tcPr/>
          <w:p>
            <w:pPr>
              <w:pStyle w:val="Compact"/>
            </w:pPr>
            <w:r>
              <w:t xml:space="preserve">Si riconosce, non si 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Deformità sagittale dell’adulto</w:t>
            </w:r>
          </w:p>
        </w:tc>
        <w:tc>
          <w:tcPr/>
          <w:p>
            <w:pPr>
              <w:pStyle w:val="Compact"/>
            </w:pPr>
            <w:r>
              <w:t xml:space="preserve">Tronco avanti, perdita di statura</w:t>
            </w:r>
          </w:p>
        </w:tc>
        <w:tc>
          <w:tcPr/>
          <w:p>
            <w:pPr>
              <w:pStyle w:val="Compact"/>
            </w:pPr>
            <w:r>
              <w:t xml:space="preserve">Poco: si invia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Deviazione in età evolutiva</w:t>
            </w:r>
          </w:p>
        </w:tc>
        <w:tc>
          <w:tcPr/>
          <w:p>
            <w:pPr>
              <w:pStyle w:val="Compact"/>
            </w:pPr>
            <w:r>
              <w:t xml:space="preserve">Gibbo,</w:t>
            </w:r>
            <w:r>
              <w:t xml:space="preserve"> </w:t>
            </w:r>
            <w:r>
              <w:rPr>
                <w:b/>
                <w:bCs/>
              </w:rPr>
              <w:t xml:space="preserve">o dorso rigido in estensione</w:t>
            </w:r>
          </w:p>
        </w:tc>
        <w:tc>
          <w:tcPr/>
          <w:p>
            <w:pPr>
              <w:pStyle w:val="Compact"/>
            </w:pPr>
            <w:r>
              <w:t xml:space="preserve">Poco: si invia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 neurologico o da farmaco</w:t>
            </w:r>
          </w:p>
        </w:tc>
        <w:tc>
          <w:tcPr/>
          <w:p>
            <w:pPr>
              <w:pStyle w:val="Compact"/>
            </w:pPr>
            <w:r>
              <w:t xml:space="preserve">Piega nuova, segni parkinsoniani</w:t>
            </w:r>
          </w:p>
        </w:tc>
        <w:tc>
          <w:tcPr/>
          <w:p>
            <w:pPr>
              <w:pStyle w:val="Compact"/>
            </w:pPr>
            <w:r>
              <w:t xml:space="preserve">Niente: si invia</w:t>
            </w:r>
          </w:p>
        </w:tc>
      </w:tr>
    </w:tbl>
    <w:p>
      <w:pPr>
        <w:pStyle w:val="BlockText"/>
      </w:pPr>
      <w:r>
        <w:rPr>
          <w:b/>
          <w:bCs/>
        </w:rPr>
        <w:t xml:space="preserve">Quanto è solido:</w:t>
      </w:r>
      <w:r>
        <w:t xml:space="preserve"> </w:t>
      </w:r>
      <w:r>
        <w:t xml:space="preserve">RAGIONAMENTO — l’attribuzione di dominanza è un’ipotesi di lavoro, non un fatto misurato.</w:t>
      </w:r>
    </w:p>
    <w:bookmarkEnd w:id="12"/>
    <w:bookmarkStart w:id="13" w:name="le-bandiere-rosse"/>
    <w:p>
      <w:pPr>
        <w:pStyle w:val="Heading2"/>
      </w:pPr>
      <w:r>
        <w:t xml:space="preserve">5 — Le bandiere rosse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Disturbi sfinterici nuovi, anestesia a sella, deficit bilaterale → Pronto Soccorso in giornata (112 se non autonomo)</w:t>
      </w:r>
    </w:p>
    <w:p>
      <w:pPr>
        <w:numPr>
          <w:ilvl w:val="0"/>
          <w:numId w:val="1001"/>
        </w:numPr>
      </w:pPr>
      <w:r>
        <w:t xml:space="preserve">Deviazione acuta con febbre → 112</w:t>
      </w:r>
    </w:p>
    <w:p>
      <w:pPr>
        <w:numPr>
          <w:ilvl w:val="0"/>
          <w:numId w:val="1001"/>
        </w:numPr>
      </w:pPr>
      <w:r>
        <w:t xml:space="preserve">Dolore rachideo nuovo e ingravescente con febbre o rischio infettivo → Pronto Soccorso in giornata</w:t>
      </w:r>
    </w:p>
    <w:p>
      <w:pPr>
        <w:numPr>
          <w:ilvl w:val="0"/>
          <w:numId w:val="1001"/>
        </w:numPr>
      </w:pPr>
      <w:r>
        <w:t xml:space="preserve">Respiro corto nuovo o ingravescente → curante, urgente</w:t>
      </w:r>
    </w:p>
    <w:p>
      <w:pPr>
        <w:numPr>
          <w:ilvl w:val="0"/>
          <w:numId w:val="1001"/>
        </w:numPr>
      </w:pPr>
      <w:r>
        <w:t xml:space="preserve">Deficit neurologico lentamente progressivo → neurochirurgia via curante, invio, non attendere</w:t>
      </w:r>
    </w:p>
    <w:p>
      <w:pPr>
        <w:numPr>
          <w:ilvl w:val="0"/>
          <w:numId w:val="1001"/>
        </w:numPr>
      </w:pPr>
      <w:r>
        <w:t xml:space="preserve">Curva nuova,</w:t>
      </w:r>
      <w:r>
        <w:t xml:space="preserve"> </w:t>
      </w:r>
      <w:r>
        <w:rPr>
          <w:b/>
          <w:bCs/>
        </w:rPr>
        <w:t xml:space="preserve">o dorso rigido in estensione</w:t>
      </w:r>
      <w:r>
        <w:t xml:space="preserve">, in adolescente → ortopedia vertebrale, invio, non attendere</w:t>
      </w:r>
    </w:p>
    <w:p>
      <w:pPr>
        <w:numPr>
          <w:ilvl w:val="0"/>
          <w:numId w:val="1001"/>
        </w:numPr>
      </w:pPr>
      <w:r>
        <w:t xml:space="preserve">Piega nuova con segni parkinsoniani → neurologia, urgente</w:t>
      </w:r>
    </w:p>
    <w:p>
      <w:pPr>
        <w:numPr>
          <w:ilvl w:val="0"/>
          <w:numId w:val="1001"/>
        </w:numPr>
      </w:pPr>
      <w:r>
        <w:t xml:space="preserve">Deviazione nuova in terapia antidopaminergica → prescrittore, invio, non attendere</w:t>
      </w:r>
    </w:p>
    <w:p>
      <w:pPr>
        <w:numPr>
          <w:ilvl w:val="0"/>
          <w:numId w:val="1001"/>
        </w:numPr>
      </w:pPr>
      <w:r>
        <w:t xml:space="preserve">Dolore notturno costante, non posizionale → curante, urgente</w:t>
      </w:r>
    </w:p>
    <w:p>
      <w:pPr>
        <w:numPr>
          <w:ilvl w:val="0"/>
          <w:numId w:val="1001"/>
        </w:numPr>
      </w:pPr>
      <w:r>
        <w:t xml:space="preserve">Storia oncologica, o calo ponderale non spiegato, con dolore nuovo → curante, invio, non attendere</w:t>
      </w:r>
    </w:p>
    <w:p>
      <w:pPr>
        <w:numPr>
          <w:ilvl w:val="0"/>
          <w:numId w:val="1001"/>
        </w:numPr>
      </w:pPr>
      <w:r>
        <w:t xml:space="preserve">Perdita di statura con dolore dorsale nuovo → curante, urgente</w:t>
      </w:r>
    </w:p>
    <w:p>
      <w:pPr>
        <w:numPr>
          <w:ilvl w:val="0"/>
          <w:numId w:val="1001"/>
        </w:numPr>
      </w:pPr>
      <w:r>
        <w:t xml:space="preserve">Tronco che cade avanti, non correggibile → ortopedia vertebrale, invio</w:t>
      </w:r>
    </w:p>
    <w:p>
      <w:pPr>
        <w:numPr>
          <w:ilvl w:val="0"/>
          <w:numId w:val="1001"/>
        </w:numPr>
      </w:pPr>
      <w:r>
        <w:t xml:space="preserve">Rigidità mattutina lunga sotto i 45 anni → reumatologia, invio</w:t>
      </w:r>
    </w:p>
    <w:p>
      <w:pPr>
        <w:numPr>
          <w:ilvl w:val="0"/>
          <w:numId w:val="1001"/>
        </w:numPr>
      </w:pPr>
      <w:r>
        <w:t xml:space="preserve">Osso fragile noto, quadro stabile → curante, invio programmato (GIALLO PRIORITARIO)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In gravidanza e post partum, tre in più → ostetrica o curante: febbre con dolore lombare, dolore a ondate ritmiche, bruciore a urinare</w:t>
      </w:r>
    </w:p>
    <w:p>
      <w:pPr>
        <w:pStyle w:val="FirstParagraph"/>
      </w:pPr>
      <w:r>
        <w:rPr>
          <w:i/>
          <w:iCs/>
        </w:rPr>
        <w:t xml:space="preserve">Rete, non filtro: una riga presente ti ferma, tutte assenti non escludono niente.</w:t>
      </w:r>
    </w:p>
    <w:bookmarkEnd w:id="13"/>
    <w:bookmarkStart w:id="14" w:name="la-sicurezza-del-gesto-in-quattro-righe"/>
    <w:p>
      <w:pPr>
        <w:pStyle w:val="Heading2"/>
      </w:pPr>
      <w:r>
        <w:t xml:space="preserve">6 — La sicurezza del gesto, in quattro righe</w:t>
      </w:r>
    </w:p>
    <w:p>
      <w:pPr>
        <w:pStyle w:val="FirstParagraph"/>
      </w:pPr>
      <w:r>
        <w:t xml:space="preserve">Nel GIALLO PRIORITARIO la fragilità ossea si presume: niente alta velocità e niente leve lunghe finché il canale medico non risponde.</w:t>
      </w:r>
      <w:r>
        <w:t xml:space="preserve"> </w:t>
      </w:r>
      <w:r>
        <w:rPr>
          <w:b/>
          <w:bCs/>
        </w:rPr>
        <w:t xml:space="preserve">E la restrizione vale anche per l’esercizio, perché nella colonna osteoporotica il carico ripetuto in flessione ha un danno documentato</w:t>
      </w:r>
      <w:r>
        <w:t xml:space="preserve"> </w:t>
      </w:r>
      <w:r>
        <w:t xml:space="preserve">(Sinaki 1984, PMID 6487063).</w:t>
      </w:r>
      <w:r>
        <w:t xml:space="preserve"> </w:t>
      </w:r>
      <w:r>
        <w:t xml:space="preserve">Il rachide dorsale ha l’inventario di eventi avversi più pesante: tredici lesioni midollari su ventuno casi pubblicati, cinque deficit permanenti, quattro decessi (Heneghan 2020, PMID 32148185).</w:t>
      </w:r>
      <w:r>
        <w:t xml:space="preserve"> </w:t>
      </w:r>
      <w:r>
        <w:t xml:space="preserve">La regione cervicale ha un profilo di rischio</w:t>
      </w:r>
      <w:r>
        <w:t xml:space="preserve"> </w:t>
      </w:r>
      <w:r>
        <w:rPr>
          <w:b/>
          <w:bCs/>
        </w:rPr>
        <w:t xml:space="preserve">vascolare</w:t>
      </w:r>
      <w:r>
        <w:t xml:space="preserve"> </w:t>
      </w:r>
      <w:r>
        <w:t xml:space="preserve">che il torace non ha. Gli eventi sono descritti anche dopo mobilizzazione, e i test pre-manipolativi non identificano chi è a rischio (Rushton 2023, PMID 36099171; Kranenburg 2017, PMID 28171776).</w:t>
      </w:r>
      <w:r>
        <w:t xml:space="preserve"> </w:t>
      </w:r>
      <w:r>
        <w:rPr>
          <w:b/>
          <w:bCs/>
        </w:rPr>
        <w:t xml:space="preserve">La sicurezza sta in quello che non hai misurato del tessuto che carichi, e la zona conta: il torace ha pleura e midollo, il collo ha le arterie.</w:t>
      </w:r>
    </w:p>
    <w:bookmarkEnd w:id="14"/>
    <w:bookmarkStart w:id="15" w:name="come-decidi-e-su-cosa-verifichi"/>
    <w:p>
      <w:pPr>
        <w:pStyle w:val="Heading2"/>
      </w:pPr>
      <w:r>
        <w:t xml:space="preserve">7 — Come decidi, e su cosa verifichi</w:t>
      </w:r>
    </w:p>
    <w:p>
      <w:pPr>
        <w:pStyle w:val="FirstParagraph"/>
      </w:pPr>
      <w:r>
        <w:rPr>
          <w:b/>
          <w:bCs/>
        </w:rPr>
        <w:t xml:space="preserve">Road Map.</w:t>
      </w:r>
      <w:r>
        <w:t xml:space="preserve"> </w:t>
      </w:r>
      <w:r>
        <w:t xml:space="preserve">Passo 0, che cosa prende: deviazioni da farmaco · fragilità ossea · consumo quotidiano → si segnala al prescrittore, non si commenta. Poi: 1 bandiera rossa · 2 livello di attivazione · 3 credenze e cose evitate,</w:t>
      </w:r>
      <w:r>
        <w:t xml:space="preserve"> </w:t>
      </w:r>
      <w:r>
        <w:rPr>
          <w:b/>
          <w:bCs/>
        </w:rPr>
        <w:t xml:space="preserve">con FABQ o Tampa come strumento di anamnesi, non come marker</w:t>
      </w:r>
      <w:r>
        <w:t xml:space="preserve"> </w:t>
      </w:r>
      <w:r>
        <w:t xml:space="preserve">· 4 dove va l’aria · 5 escursione</w:t>
      </w:r>
      <w:r>
        <w:t xml:space="preserve"> </w:t>
      </w:r>
      <w:r>
        <w:rPr>
          <w:b/>
          <w:bCs/>
        </w:rPr>
        <w:t xml:space="preserve">e tenuta</w:t>
      </w:r>
      <w:r>
        <w:t xml:space="preserve"> </w:t>
      </w:r>
      <w:r>
        <w:t xml:space="preserve">del contenitore · 6 carico della persona.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Variazione minima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toracica da seduto</w:t>
            </w:r>
          </w:p>
        </w:tc>
        <w:tc>
          <w:tcPr/>
          <w:p>
            <w:pPr>
              <w:pStyle w:val="Compact"/>
            </w:pPr>
            <w:r>
              <w:t xml:space="preserve">Inclinometro, gradi</w:t>
            </w:r>
          </w:p>
        </w:tc>
        <w:tc>
          <w:tcPr/>
          <w:p>
            <w:pPr>
              <w:pStyle w:val="Compact"/>
            </w:pPr>
            <w:r>
              <w:t xml:space="preserve">+10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Estensione d’anca (Thomas)</w:t>
            </w:r>
          </w:p>
        </w:tc>
        <w:tc>
          <w:tcPr/>
          <w:p>
            <w:pPr>
              <w:pStyle w:val="Compact"/>
            </w:pPr>
            <w:r>
              <w:t xml:space="preserve">Goniometro, gradi</w:t>
            </w:r>
          </w:p>
        </w:tc>
        <w:tc>
          <w:tcPr/>
          <w:p>
            <w:pPr>
              <w:pStyle w:val="Compact"/>
            </w:pPr>
            <w:r>
              <w:t xml:space="preserve">+5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Minuti di tolleranza</w:t>
            </w:r>
          </w:p>
        </w:tc>
        <w:tc>
          <w:tcPr/>
          <w:p>
            <w:pPr>
              <w:pStyle w:val="Compact"/>
            </w:pPr>
            <w:r>
              <w:t xml:space="preserve">Cronometro</w:t>
            </w:r>
          </w:p>
        </w:tc>
        <w:tc>
          <w:tcPr/>
          <w:p>
            <w:pPr>
              <w:pStyle w:val="Compact"/>
            </w:pPr>
            <w:r>
              <w:t xml:space="preserve">+30% sul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dolorosa, sito remoto</w:t>
            </w:r>
          </w:p>
        </w:tc>
        <w:tc>
          <w:tcPr/>
          <w:p>
            <w:pPr>
              <w:pStyle w:val="Compact"/>
            </w:pPr>
            <w:r>
              <w:t xml:space="preserve">Algometro, tibiale anteriore</w:t>
            </w:r>
          </w:p>
        </w:tc>
        <w:tc>
          <w:tcPr/>
          <w:p>
            <w:pPr>
              <w:pStyle w:val="Compact"/>
            </w:pPr>
            <w:r>
              <w:t xml:space="preserve">+0,54 kg/cm²,</w:t>
            </w:r>
            <w:r>
              <w:t xml:space="preserve"> </w:t>
            </w:r>
            <w:r>
              <w:rPr>
                <w:b/>
                <w:bCs/>
              </w:rPr>
              <w:t xml:space="preserve">fra le sedute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Frequenza respiratoria a riposo</w:t>
            </w:r>
          </w:p>
        </w:tc>
        <w:tc>
          <w:tcPr/>
          <w:p>
            <w:pPr>
              <w:pStyle w:val="Compact"/>
            </w:pPr>
            <w:r>
              <w:t xml:space="preserve">Atti al minuto</w:t>
            </w:r>
          </w:p>
        </w:tc>
        <w:tc>
          <w:tcPr/>
          <w:p>
            <w:pPr>
              <w:pStyle w:val="Compact"/>
            </w:pPr>
            <w:r>
              <w:t xml:space="preserve">−2 atti al minuto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Provocazione in regione non trattata</w:t>
            </w:r>
          </w:p>
        </w:tc>
        <w:tc>
          <w:tcPr/>
          <w:p>
            <w:pPr>
              <w:pStyle w:val="Compact"/>
            </w:pPr>
            <w:r>
              <w:t xml:space="preserve">Positivo / negativo</w:t>
            </w:r>
          </w:p>
        </w:tc>
        <w:tc>
          <w:tcPr/>
          <w:p>
            <w:pPr>
              <w:pStyle w:val="Compact"/>
            </w:pPr>
            <w:r>
              <w:t xml:space="preserve">Da positivo a negativo</w:t>
            </w:r>
          </w:p>
        </w:tc>
      </w:tr>
    </w:tbl>
    <w:p>
      <w:pPr>
        <w:pStyle w:val="BodyText"/>
      </w:pPr>
      <w:r>
        <w:rPr>
          <w:i/>
          <w:iCs/>
        </w:rPr>
        <w:t xml:space="preserve">Le prime quattro righe sono i marker. Le ultime due, in corsivo, sono alternative dichiarate: si usano quando il marker principale non c’è, o non è fuori piano.</w:t>
      </w:r>
    </w:p>
    <w:p>
      <w:pPr>
        <w:pStyle w:val="BodyText"/>
      </w:pPr>
      <w:r>
        <w:rPr>
          <w:b/>
          <w:bCs/>
        </w:rPr>
        <w:t xml:space="preserve">«Fuori piano» è una relazione, non una riga fissa: si decide dopo aver scelto il bersaglio.</w:t>
      </w:r>
      <w:r>
        <w:t xml:space="preserve"> </w:t>
      </w:r>
      <w:r>
        <w:t xml:space="preserve">Se tratti il contenitore decide l’algometria remota. Se tratti l’attivazione o le credenze decide la rotazione toracica.</w:t>
      </w:r>
      <w:r>
        <w:t xml:space="preserve"> </w:t>
      </w:r>
      <w:r>
        <w:rPr>
          <w:b/>
          <w:bCs/>
        </w:rPr>
        <w:t xml:space="preserve">Nessuna misura di forma è un marker.</w:t>
      </w:r>
    </w:p>
    <w:bookmarkEnd w:id="15"/>
    <w:bookmarkStart w:id="16" w:name="cosa-fa-il-paziente-da-solo"/>
    <w:p>
      <w:pPr>
        <w:pStyle w:val="Heading2"/>
      </w:pPr>
      <w:r>
        <w:t xml:space="preserve">8 —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Forza e resistenza per rachide e cingolo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PROBABILE forte</w:t>
            </w:r>
            <w:r>
              <w:t xml:space="preserve"> </w:t>
            </w:r>
            <w:r>
              <w:t xml:space="preserve">(autori: «suggestivo, non definitivo»)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Rieducazione posturale globale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Respiro lento condotto</w:t>
            </w:r>
          </w:p>
        </w:tc>
        <w:tc>
          <w:tcPr/>
          <w:p>
            <w:pPr>
              <w:pStyle w:val="Compact"/>
            </w:pPr>
            <w:r>
              <w:t xml:space="preserve">DIMOSTRATO (salti di bersaglio e popolazione)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Allenamento dei muscoli respiratori</w:t>
            </w:r>
          </w:p>
        </w:tc>
        <w:tc>
          <w:tcPr/>
          <w:p>
            <w:pPr>
              <w:pStyle w:val="Compact"/>
            </w:pPr>
            <w:r>
              <w:t xml:space="preserve">PROBABILE (qualità bassa, salto di popolazione)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e riformulazione</w:t>
            </w:r>
          </w:p>
        </w:tc>
        <w:tc>
          <w:tcPr/>
          <w:p>
            <w:pPr>
              <w:pStyle w:val="Compact"/>
            </w:pPr>
            <w:r>
              <w:t xml:space="preserve">DIMOSTRATO (salti di erogatore e popolazione)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Ridurre e spezzare l’esposizione</w:t>
            </w:r>
          </w:p>
        </w:tc>
        <w:tc>
          <w:tcPr/>
          <w:p>
            <w:pPr>
              <w:pStyle w:val="Compact"/>
            </w:pPr>
            <w:r>
              <w:t xml:space="preserve">DIMOSTRATO l’associazione / IPOTESI il beneficio</w:t>
            </w:r>
          </w:p>
        </w:tc>
      </w:tr>
    </w:tbl>
    <w:bookmarkEnd w:id="16"/>
    <w:bookmarkStart w:id="17" w:name="la-frase-per-il-paziente"/>
    <w:p>
      <w:pPr>
        <w:pStyle w:val="Heading2"/>
      </w:pPr>
      <w:r>
        <w:t xml:space="preserve">9 — La frase per il paziente</w:t>
      </w:r>
    </w:p>
    <w:p>
      <w:pPr>
        <w:pStyle w:val="FirstParagraph"/>
      </w:pPr>
      <w:r>
        <w:rPr>
          <w:i/>
          <w:iCs/>
        </w:rPr>
        <w:t xml:space="preserve">«Il tuo corpo non sta così per pigrizia: sta così perché è la posizione che oggi gli costa meno. Se il torace e le anche si muovono poco, stare dritto diventa la posizione più faticosa che hai — ecco perché non dura mai. Per questo il lavoro va fatto al contrario: prima proviamo a ridare movimento alle zone ferme; se ci riusciamo, stare su dovrebbe costarti meno. Non te lo garantisco: lo misuriamo. Non lavoriamo sulla fotografia — misuriamo quanto ti muovi e quanti minuti reggi, oggi e fra un mese.»</w:t>
      </w:r>
    </w:p>
    <w:p>
      <w:pPr>
        <w:pStyle w:val="BodyText"/>
      </w:pPr>
      <w:r>
        <w:rPr>
          <w:b/>
          <w:bCs/>
        </w:rPr>
        <w:t xml:space="preserve">E tre segnali che il paziente deve sentire nominare alla prima seduta:</w:t>
      </w:r>
      <w:r>
        <w:t xml:space="preserve"> </w:t>
      </w:r>
      <w:r>
        <w:t xml:space="preserve">un deficit neurologico nuovo; una cefalea o un dolore cervicale alto improvvisi e diversi dal solito; un dolore che diventa costante e non dipende più dalla posizione.</w:t>
      </w:r>
    </w:p>
    <w:bookmarkEnd w:id="17"/>
    <w:bookmarkStart w:id="18" w:name="perché-ci-sei-tu"/>
    <w:p>
      <w:pPr>
        <w:pStyle w:val="Heading2"/>
      </w:pPr>
      <w:r>
        <w:t xml:space="preserve">10 — 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 quarantatré studi, chi ha mal di schiena ha escursione lombare ridotta, propriocezione ridotta e movimento più lento. E</w:t>
      </w:r>
      <w:r>
        <w:t xml:space="preserve"> </w:t>
      </w:r>
      <w:r>
        <w:rPr>
          <w:b/>
          <w:bCs/>
        </w:rPr>
        <w:t xml:space="preserve">nessuna differenza</w:t>
      </w:r>
      <w:r>
        <w:t xml:space="preserve"> </w:t>
      </w:r>
      <w:r>
        <w:t xml:space="preserve">di angolo di lordosi né di inclinazione del bacino (Laird,</w:t>
      </w:r>
      <w:r>
        <w:t xml:space="preserve"> </w:t>
      </w:r>
      <w:r>
        <w:rPr>
          <w:i/>
          <w:iCs/>
        </w:rPr>
        <w:t xml:space="preserve">BMC Musculoskelet Disord</w:t>
      </w:r>
      <w:r>
        <w:t xml:space="preserve"> </w:t>
      </w:r>
      <w:r>
        <w:t xml:space="preserve">2014, PMID 25012528). Questo ti autorizza a spostare l’obiettivo dichiarato dalla forma al movimento, che è un bersaglio che si misura e si sposta. Non ti autorizza a dire che il movimento ridotto ha causato il dolore: gli autori scrivono che non si sa se venisse prima.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i/>
          <w:iCs/>
        </w:rPr>
        <w:t xml:space="preserve">Deviazioni dichiarate: blocchi 6, 7 e 8 non sono previsti dallo standard a sei blocchi (D-042, D-018, D-011).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2026-08-29T22:27:40Z</dcterms:created>
  <dcterms:modified xsi:type="dcterms:W3CDTF">2026-08-29T22:27:40Z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