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Artrosi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9" w:name="la-bibbia-dellartrosi"/>
    <w:p>
      <w:pPr>
        <w:pStyle w:val="Heading1"/>
      </w:pPr>
      <w:r>
        <w:t xml:space="preserve">La Bibbia dell’Artrosi</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J. Haxby Abbott (University of Otago) —</w:t>
      </w:r>
      <w:r>
        <w:t xml:space="preserve"> </w:t>
      </w:r>
      <w:r>
        <w:rPr>
          <w:b/>
          <w:bCs/>
        </w:rPr>
        <w:t xml:space="preserve">Ancora fisiologica:</w:t>
      </w:r>
      <w:r>
        <w:t xml:space="preserve"> </w:t>
      </w:r>
      <w:r>
        <w:t xml:space="preserve">David T. Felson (Boston University)</w:t>
      </w:r>
      <w:r>
        <w:t xml:space="preserve"> </w:t>
      </w:r>
      <w:r>
        <w:rPr>
          <w:b/>
          <w:bCs/>
        </w:rPr>
        <w:t xml:space="preserve">Versione:</w:t>
      </w:r>
      <w:r>
        <w:t xml:space="preserve"> </w:t>
      </w:r>
      <w:r>
        <w:t xml:space="preserve">v7.0 (revisione di lingua, 6º livello)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dell’artrosi, non il piano di trattamento.</w:t>
      </w:r>
    </w:p>
    <w:p>
      <w:pPr>
        <w:pStyle w:val="FirstParagraph"/>
      </w:pPr>
      <w:r>
        <w:rPr>
          <w:b/>
          <w:bCs/>
        </w:rPr>
        <w:t xml:space="preserve">A chi parla.</w:t>
      </w:r>
      <w:r>
        <w:t xml:space="preserve"> </w:t>
      </w:r>
      <w:r>
        <w:t xml:space="preserve">All’osteopata del team. Qui non trovi cos’è la cartilagine. Trovi perché non è la sede del dolore, e cosa cambia per te.</w:t>
      </w:r>
    </w:p>
    <w:p>
      <w:pPr>
        <w:pStyle w:val="BodyText"/>
      </w:pPr>
      <w:r>
        <w:rPr>
          <w:b/>
          <w:bCs/>
        </w:rPr>
        <w:t xml:space="preserve">Di cosa parla.</w:t>
      </w:r>
      <w:r>
        <w:t xml:space="preserve"> </w:t>
      </w:r>
      <w:r>
        <w:t xml:space="preserve">Di</w:t>
      </w:r>
      <w:r>
        <w:t xml:space="preserve"> </w:t>
      </w:r>
      <w:r>
        <w:rPr>
          <w:b/>
          <w:bCs/>
        </w:rPr>
        <w:t xml:space="preserve">ginocchio e anca</w:t>
      </w:r>
      <w:r>
        <w:t xml:space="preserve">: sono le sedi con una letteratura vera. Mani, spalla e rachide compaiono solo dove cambiano la tua condotta. Su quelle sedi il documento riconosce e indirizza, non insegna.</w:t>
      </w:r>
    </w:p>
    <w:p>
      <w:pPr>
        <w:pStyle w:val="BodyText"/>
      </w:pPr>
      <w:r>
        <w:rPr>
          <w:b/>
          <w:bCs/>
        </w:rPr>
        <w:t xml:space="preserve">Cosa c’è qui e cosa no.</w:t>
      </w:r>
      <w:r>
        <w:t xml:space="preserve"> </w:t>
      </w:r>
      <w:r>
        <w:t xml:space="preserve">Qui: cos’è, perché succede, quanto è solido. Nella Procedura, due pagine a parte: tecniche, dosi, sequenze, piano delle sedute.</w:t>
      </w:r>
    </w:p>
    <w:p>
      <w:pPr>
        <w:pStyle w:val="BodyText"/>
      </w:pPr>
      <w:r>
        <w:rPr>
          <w:b/>
          <w:bCs/>
        </w:rPr>
        <w:t xml:space="preserve">Come si leggono le etichette.</w:t>
      </w:r>
      <w:r>
        <w:t xml:space="preserve"> </w:t>
      </w:r>
      <w:r>
        <w:t xml:space="preserve">Ogni meccanismo, modello e leva porta un box che dichiara quanto è solido. Le etichette sono quattro: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w:t>
      </w:r>
    </w:p>
    <w:p>
      <w:pPr>
        <w:pStyle w:val="BodyText"/>
      </w:pPr>
      <w:r>
        <w:rPr>
          <w:b/>
          <w:bCs/>
        </w:rPr>
        <w:t xml:space="preserve">Una precisazione su DIMOSTRATO.</w:t>
      </w:r>
      <w:r>
        <w:t xml:space="preserve"> </w:t>
      </w:r>
      <w:r>
        <w:t xml:space="preserve">Qui l’etichetta copre tre cose: studi controllati, coorti ampie con relazione dose-risposta, misura sperimentale diretta nell’uomo. Il peso corporeo</w:t>
      </w:r>
      <w:r>
        <w:t xml:space="preserve"> </w:t>
      </w:r>
      <w:r>
        <w:rPr>
          <w:b/>
          <w:bCs/>
        </w:rPr>
        <w:t xml:space="preserve">come causa di artrosi nuova</w:t>
      </w:r>
      <w:r>
        <w:t xml:space="preserve"> </w:t>
      </w:r>
      <w:r>
        <w:t xml:space="preserve">non è mai stato randomizzato, e non lo sarà mai. La perdita di peso come</w:t>
      </w:r>
      <w:r>
        <w:t xml:space="preserve"> </w:t>
      </w:r>
      <w:r>
        <w:rPr>
          <w:i/>
          <w:iCs/>
        </w:rPr>
        <w:t xml:space="preserve">trattamento</w:t>
      </w:r>
      <w:r>
        <w:t xml:space="preserve"> </w:t>
      </w:r>
      <w:r>
        <w:t xml:space="preserve">invece sì, ed è un trial. Ogni volta che l’etichetta poggia su una coorte e non su un trial, la riga sotto lo dice.</w:t>
      </w:r>
    </w:p>
    <w:bookmarkStart w:id="9" w:name="come-si-studia-questa-bibbia"/>
    <w:p>
      <w:pPr>
        <w:pStyle w:val="Heading3"/>
      </w:pPr>
      <w:r>
        <w:t xml:space="preserve">Come si studia questa Bibbia</w:t>
      </w:r>
    </w:p>
    <w:p>
      <w:pPr>
        <w:pStyle w:val="FirstParagraph"/>
      </w:pPr>
      <w:r>
        <w:t xml:space="preserve">Sei passi, in quest’ordine.</w:t>
      </w:r>
    </w:p>
    <w:p>
      <w:pPr>
        <w:pStyle w:val="Compact"/>
        <w:numPr>
          <w:ilvl w:val="0"/>
          <w:numId w:val="1001"/>
        </w:numPr>
      </w:pPr>
      <w:r>
        <w:rPr>
          <w:b/>
          <w:bCs/>
        </w:rPr>
        <w:t xml:space="preserve">Prima lettura, tutta di fila, senza appunti.</w:t>
      </w:r>
      <w:r>
        <w:t xml:space="preserve"> </w:t>
      </w:r>
      <w:r>
        <w:t xml:space="preserve">Serve la mappa d’insieme, non i dettagli. Quello che non torna si segna e si lascia lì: ci si torna dopo.</w:t>
      </w:r>
    </w:p>
    <w:p>
      <w:pPr>
        <w:pStyle w:val="Compact"/>
        <w:numPr>
          <w:ilvl w:val="0"/>
          <w:numId w:val="1001"/>
        </w:numPr>
      </w:pPr>
      <w:r>
        <w:rPr>
          <w:b/>
          <w:bCs/>
        </w:rPr>
        <w:t xml:space="preserve">Seconda passata con un paziente in testa.</w:t>
      </w:r>
      <w:r>
        <w:t xml:space="preserve"> </w:t>
      </w:r>
      <w:r>
        <w:t xml:space="preserve">Uno vero, che hai già visto, con la sua lastra e la sua frase. Si rileggono solo «Cosa si rompe» e «Come ragiono davanti a questo paziente». Su ogni meccanismo ti chiedi:</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Prova a dire ad alta voce quali sono i cinque meccanismi, da cosa si riconosce ciascuno, e i sei piani nel loro ordine.</w:t>
      </w:r>
      <w:r>
        <w:t xml:space="preserve"> </w:t>
      </w:r>
      <w:r>
        <w:rPr>
          <w:b/>
          <w:bCs/>
        </w:rPr>
        <w:t xml:space="preserve">Quello che non sai dire, non l’hai imparato</w:t>
      </w:r>
      <w:r>
        <w:t xml:space="preserve">, e torni solo lì. Le</w:t>
      </w:r>
      <w:r>
        <w:t xml:space="preserve"> </w:t>
      </w:r>
      <w:r>
        <w:rPr>
          <w:b/>
          <w:bCs/>
        </w:rPr>
        <w:t xml:space="preserve">tre cose da ricordare</w:t>
      </w:r>
      <w:r>
        <w:t xml:space="preserve"> </w:t>
      </w:r>
      <w:r>
        <w:t xml:space="preserve">in fondo a ogni capitolo sono la traccia di questa prova, non un riassunto.</w:t>
      </w:r>
    </w:p>
    <w:p>
      <w:pPr>
        <w:pStyle w:val="Compact"/>
        <w:numPr>
          <w:ilvl w:val="0"/>
          <w:numId w:val="1001"/>
        </w:numPr>
      </w:pPr>
      <w:r>
        <w:rPr>
          <w:b/>
          <w:bCs/>
        </w:rPr>
        <w:t xml:space="preserve">Prima del primo paziente: la Mappa concettuale, due minuti.</w:t>
      </w:r>
      <w:r>
        <w:t xml:space="preserve"> </w:t>
      </w:r>
      <w:r>
        <w:t xml:space="preserve">Non la Bibbia.</w:t>
      </w:r>
    </w:p>
    <w:p>
      <w:pPr>
        <w:pStyle w:val="Compact"/>
        <w:numPr>
          <w:ilvl w:val="0"/>
          <w:numId w:val="1001"/>
        </w:numPr>
      </w:pPr>
      <w:r>
        <w:rPr>
          <w:b/>
          <w:bCs/>
        </w:rPr>
        <w:t xml:space="preserve">Dopo i primi tre pazienti: rileggi «Dove finisce il nostro campo» e «Cosa dice la scienza».</w:t>
      </w:r>
      <w:r>
        <w:t xml:space="preserve"> </w:t>
      </w:r>
      <w:r>
        <w:t xml:space="preserve">Dicono una cosa diversa quando hai avuto davanti un ginocchio caldo, o un paziente che ti ha chiesto se deve operarsi.</w:t>
      </w:r>
    </w:p>
    <w:p>
      <w:pPr>
        <w:pStyle w:val="Compact"/>
        <w:numPr>
          <w:ilvl w:val="0"/>
          <w:numId w:val="1001"/>
        </w:numPr>
      </w:pPr>
      <w:r>
        <w:rPr>
          <w:b/>
          <w:bCs/>
        </w:rPr>
        <w:t xml:space="preserve">A sei mesi: solo la Mappa.</w:t>
      </w:r>
      <w:r>
        <w:t xml:space="preserve"> </w:t>
      </w:r>
      <w:r>
        <w:t xml:space="preserve">Se un blocco non ti riaccende il capitolo, quello è il capitolo da rileggere.</w:t>
      </w:r>
    </w:p>
    <w:p>
      <w:pPr>
        <w:pStyle w:val="FirstParagraph"/>
      </w:pPr>
      <w:r>
        <w:t xml:space="preserve">Il principio che tiene insieme i sei passi:</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Questa Bibbia arriva fino al razionale della leva e si ferma lì.</w:t>
      </w:r>
    </w:p>
    <w:p>
      <w:pPr>
        <w:pStyle w:val="Compact"/>
        <w:numPr>
          <w:ilvl w:val="0"/>
          <w:numId w:val="1002"/>
        </w:numPr>
      </w:pPr>
      <w:r>
        <w:t xml:space="preserve">Ogni affermazione importante porta la sua etichetta. Se manca, è un claim gonfiato.</w:t>
      </w:r>
    </w:p>
    <w:p>
      <w:pPr>
        <w:pStyle w:val="Compact"/>
        <w:numPr>
          <w:ilvl w:val="0"/>
          <w:numId w:val="1002"/>
        </w:numPr>
      </w:pPr>
      <w:r>
        <w:t xml:space="preserve">Sull’artrosi la letteratura è abbondante, e quasi tutta dice che il bersaglio non è dove il paziente crede.</w:t>
      </w:r>
    </w:p>
    <w:p>
      <w:pPr>
        <w:pStyle w:val="Compact"/>
        <w:numPr>
          <w:ilvl w:val="0"/>
          <w:numId w:val="1002"/>
        </w:numPr>
      </w:pPr>
      <w:r>
        <w:rPr>
          <w:b/>
          <w:bCs/>
        </w:rPr>
        <w:t xml:space="preserve">Perché ci sei tu.</w:t>
      </w:r>
      <w:r>
        <w:t xml:space="preserve"> </w:t>
      </w:r>
      <w:r>
        <w:t xml:space="preserve">Duecentoquindici studi controllati sull’artrosi, con oltre quarantamila partecipanti: tre quarti del miglioramento del dolore non vengono dall’effetto specifico del trattamento (Zou,</w:t>
      </w:r>
      <w:r>
        <w:t xml:space="preserve"> </w:t>
      </w:r>
      <w:r>
        <w:rPr>
          <w:i/>
          <w:iCs/>
        </w:rPr>
        <w:t xml:space="preserve">Ann Rheum Dis</w:t>
      </w:r>
      <w:r>
        <w:t xml:space="preserve"> </w:t>
      </w:r>
      <w:r>
        <w:t xml:space="preserve">2016, PMID 26882927).</w:t>
      </w:r>
      <w:r>
        <w:t xml:space="preserve"> </w:t>
      </w:r>
      <w:r>
        <w:rPr>
          <w:b/>
          <w:bCs/>
        </w:rPr>
        <w:t xml:space="preserve">Attenzione a cosa contiene quel numero:</w:t>
      </w:r>
      <w:r>
        <w:t xml:space="preserve"> </w:t>
      </w:r>
      <w:r>
        <w:t xml:space="preserve">gli autori dichiarano che dentro ci sono effetto placebo, decorso spontaneo e regressione alla media, non solo relazione e aspettativa; e la quota varia dal 47% al 91%. Ti autorizza a considerare il modo in cui lavori come una parte del trattamento, non come una cortesia intorno. Non ti autorizza a intestarti quel 75%.</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a cui hanno mostrato un’immagine e detto una frase, e da quel giorno si muove di meno.</w:t>
      </w:r>
    </w:p>
    <w:bookmarkStart w:id="11" w:name="come-lo-racconta-lui"/>
    <w:p>
      <w:pPr>
        <w:pStyle w:val="Heading3"/>
      </w:pPr>
      <w:r>
        <w:t xml:space="preserve">Come lo racconta lui</w:t>
      </w:r>
    </w:p>
    <w:p>
      <w:pPr>
        <w:pStyle w:val="FirstParagraph"/>
      </w:pPr>
      <w:r>
        <w:t xml:space="preserve">Non dice</w:t>
      </w:r>
      <w:r>
        <w:t xml:space="preserve"> </w:t>
      </w:r>
      <w:r>
        <w:t xml:space="preserve">“artrosi”</w:t>
      </w:r>
      <w:r>
        <w:t xml:space="preserve">. Dice</w:t>
      </w:r>
      <w:r>
        <w:t xml:space="preserve"> </w:t>
      </w:r>
      <w:r>
        <w:rPr>
          <w:i/>
          <w:iCs/>
        </w:rPr>
        <w:t xml:space="preserve">“è consumato”</w:t>
      </w:r>
      <w:r>
        <w:t xml:space="preserve">, e indica il ginocchio con due dita, come se sotto ci fosse un buco.</w:t>
      </w:r>
    </w:p>
    <w:p>
      <w:pPr>
        <w:pStyle w:val="BodyText"/>
      </w:pPr>
      <w:r>
        <w:t xml:space="preserve">Poi racconta le mattine:</w:t>
      </w:r>
      <w:r>
        <w:t xml:space="preserve"> </w:t>
      </w:r>
      <w:r>
        <w:rPr>
          <w:i/>
          <w:iCs/>
        </w:rPr>
        <w:t xml:space="preserve">“devo scongelarmi”</w:t>
      </w:r>
      <w:r>
        <w:t xml:space="preserve">, dieci o quindici minuti prima che il corpo riparta. Poi le scale:</w:t>
      </w:r>
      <w:r>
        <w:t xml:space="preserve"> </w:t>
      </w:r>
      <w:r>
        <w:rPr>
          <w:i/>
          <w:iCs/>
        </w:rPr>
        <w:t xml:space="preserve">“sono diventate un calcolo”</w:t>
      </w:r>
      <w:r>
        <w:t xml:space="preserve"> </w:t>
      </w:r>
      <w:r>
        <w:t xml:space="preserve">— quale gamba appoggio prima, dove metto la mano. Un gesto che faceva senza pensarci è diventato una manovra. Poi il rumore, il crepitio:</w:t>
      </w:r>
      <w:r>
        <w:t xml:space="preserve"> </w:t>
      </w:r>
      <w:r>
        <w:rPr>
          <w:i/>
          <w:iCs/>
        </w:rPr>
        <w:t xml:space="preserve">“scricchiola, lo sentono anche gli altri”</w:t>
      </w:r>
      <w:r>
        <w:t xml:space="preserve">. Lo umilia più del dolore, perché è pubblico.</w:t>
      </w:r>
    </w:p>
    <w:p>
      <w:pPr>
        <w:pStyle w:val="BodyText"/>
      </w:pPr>
      <w:r>
        <w:t xml:space="preserve">Poi il meteo:</w:t>
      </w:r>
      <w:r>
        <w:t xml:space="preserve"> </w:t>
      </w:r>
      <w:r>
        <w:rPr>
          <w:i/>
          <w:iCs/>
        </w:rPr>
        <w:t xml:space="preserve">“lo sento prima del meteorologo”</w:t>
      </w:r>
      <w:r>
        <w:t xml:space="preserve">. E infine la frase che dice piano, guardando altrove:</w:t>
      </w:r>
      <w:r>
        <w:t xml:space="preserve"> </w:t>
      </w:r>
      <w:r>
        <w:rPr>
          <w:i/>
          <w:iCs/>
        </w:rPr>
        <w:t xml:space="preserve">“non voglio diventare un peso”</w:t>
      </w:r>
      <w:r>
        <w:t xml:space="preserve">. Ha smesso di chiedere aiuto per allacciarsi le scarpe, e di sedersi per terra con i nipoti.</w:t>
      </w:r>
    </w:p>
    <w:bookmarkEnd w:id="11"/>
    <w:bookmarkStart w:id="12" w:name="non-è-quasi-mai-solo-artrosico"/>
    <w:p>
      <w:pPr>
        <w:pStyle w:val="Heading3"/>
      </w:pPr>
      <w:r>
        <w:t xml:space="preserve">Non è quasi mai solo artrosico</w:t>
      </w:r>
    </w:p>
    <w:p>
      <w:pPr>
        <w:pStyle w:val="FirstParagraph"/>
      </w:pPr>
      <w:r>
        <w:t xml:space="preserve">Due terzi delle persone con artrosi hanno almeno un’altra malattia cronica, contro poco più della metà dei controlli. Le associazioni più forti sono ictus, ulcera peptica e sindrome metabolica (Swain,</w:t>
      </w:r>
      <w:r>
        <w:t xml:space="preserve"> </w:t>
      </w:r>
      <w:r>
        <w:rPr>
          <w:i/>
          <w:iCs/>
        </w:rPr>
        <w:t xml:space="preserve">Arthritis Care Res</w:t>
      </w:r>
      <w:r>
        <w:t xml:space="preserve"> </w:t>
      </w:r>
      <w:r>
        <w:t xml:space="preserve">2020, PMID 31207113).</w:t>
      </w:r>
    </w:p>
    <w:p>
      <w:pPr>
        <w:pStyle w:val="BodyText"/>
      </w:pPr>
      <w:r>
        <w:rPr>
          <w:b/>
          <w:bCs/>
        </w:rPr>
        <w:t xml:space="preserve">Per te:</w:t>
      </w:r>
      <w:r>
        <w:t xml:space="preserve"> </w:t>
      </w:r>
      <w:r>
        <w:t xml:space="preserve">il paziente che studi qui sotto è il terzo che resta. Gli altri due arrivano con diabete, cuore, rene, osteoporosi, una protesi dall’altra parte e una lista di farmaci. Cambiano tre cose: quanto è probabile un’infezione articolare, quanto pesa quello che scrivi al curante, e quanto rischia di cadere facendo ciò che gli hai insegnato.</w:t>
      </w:r>
    </w:p>
    <w:bookmarkEnd w:id="12"/>
    <w:bookmarkStart w:id="13" w:name="cosa-ha-già-fatto-e-cosa-prende-oggi"/>
    <w:p>
      <w:pPr>
        <w:pStyle w:val="Heading3"/>
      </w:pPr>
      <w:r>
        <w:t xml:space="preserve">Cosa ha già fatto, e cosa prende oggi</w:t>
      </w:r>
    </w:p>
    <w:p>
      <w:pPr>
        <w:pStyle w:val="FirstParagraph"/>
      </w:pPr>
      <w:r>
        <w:t xml:space="preserve">Ha preso antinfiammatori: prima uno quando non ce la faceva, poi per stagioni intere. Qualcuno gli ha detto di stare attento allo stomaco, e adesso li prende con paura. Ha preso paracetamolo e integratori per la cartilagine, senza saper dire se abbiano funzionato. Ha fatto la radiografia sotto carico, e spesso una risonanza chiesta presto: gli hanno letto</w:t>
      </w:r>
      <w:r>
        <w:t xml:space="preserve"> </w:t>
      </w:r>
      <w:r>
        <w:rPr>
          <w:i/>
          <w:iCs/>
        </w:rPr>
        <w:t xml:space="preserve">riduzione della rima articolare</w:t>
      </w:r>
      <w:r>
        <w:t xml:space="preserve"> </w:t>
      </w:r>
      <w:r>
        <w:t xml:space="preserve">e</w:t>
      </w:r>
      <w:r>
        <w:t xml:space="preserve"> </w:t>
      </w:r>
      <w:r>
        <w:rPr>
          <w:i/>
          <w:iCs/>
        </w:rPr>
        <w:t xml:space="preserve">gonartrosi tricompartimentale</w:t>
      </w:r>
      <w:r>
        <w:t xml:space="preserve">. Ha fatto infiltrazioni, di acido ialuronico e più spesso di corticosteroide. Ha fatto cicli di fisioterapia centrati sul ginocchio, e ha comprato una ginocchiera.</w:t>
      </w:r>
    </w:p>
    <w:p>
      <w:pPr>
        <w:pStyle w:val="BodyText"/>
      </w:pPr>
      <w:r>
        <w:rPr>
          <w:b/>
          <w:bCs/>
        </w:rPr>
        <w:t xml:space="preserve">In quasi tutte le anamnesi manca una domanda: cosa prende oggi, tutti i giorni, compresi i farmaci che non c’entrano con l’articolazione.</w:t>
      </w:r>
      <w:r>
        <w:t xml:space="preserve"> </w:t>
      </w:r>
      <w:r>
        <w:t xml:space="preserve">Quello che scrivi al curante vale solo se contiene la lista intera. È lì che si vedono le due combinazioni che mandano il paziente in pronto soccorso. Vedi «Dove finisce il nostro campo».</w:t>
      </w:r>
    </w:p>
    <w:p>
      <w:pPr>
        <w:pStyle w:val="BodyText"/>
      </w:pPr>
      <w:r>
        <w:t xml:space="preserve">E ha sentito la frase che gli ha tolto la voglia di riprovare:</w:t>
      </w:r>
      <w:r>
        <w:t xml:space="preserve"> </w:t>
      </w:r>
      <w:r>
        <w:rPr>
          <w:i/>
          <w:iCs/>
        </w:rPr>
        <w:t xml:space="preserve">“con l’artrosi bisogna imparare a conviverci”</w:t>
      </w:r>
      <w:r>
        <w:t xml:space="preserve">. L’ha sentita da più di un medico, e ogni volta gli è sembrata una condanna.</w:t>
      </w:r>
    </w:p>
    <w:bookmarkEnd w:id="13"/>
    <w:bookmarkStart w:id="14" w:name="cosa-nessuno-ha-guardato"/>
    <w:p>
      <w:pPr>
        <w:pStyle w:val="Heading3"/>
      </w:pPr>
      <w:r>
        <w:t xml:space="preserve">Cosa nessuno ha guardato</w:t>
      </w:r>
    </w:p>
    <w:p>
      <w:pPr>
        <w:pStyle w:val="FirstParagraph"/>
      </w:pPr>
      <w:r>
        <w:t xml:space="preserve">Il percorso che ha fatto è corretto: la radiografia serve, le infiltrazioni hanno il loro posto, la chirurgia ha indicazioni precise. Ma ha guardato</w:t>
      </w:r>
      <w:r>
        <w:t xml:space="preserve"> </w:t>
      </w:r>
      <w:r>
        <w:rPr>
          <w:b/>
          <w:bCs/>
        </w:rPr>
        <w:t xml:space="preserve">l’articolazione ferma, dentro un’immagine</w:t>
      </w:r>
      <w:r>
        <w:t xml:space="preserve">.</w:t>
      </w:r>
    </w:p>
    <w:p>
      <w:pPr>
        <w:pStyle w:val="BodyText"/>
      </w:pPr>
      <w:r>
        <w:t xml:space="preserve">Nessuno ha guardato</w:t>
      </w:r>
      <w:r>
        <w:t xml:space="preserve"> </w:t>
      </w:r>
      <w:r>
        <w:rPr>
          <w:b/>
          <w:bCs/>
        </w:rPr>
        <w:t xml:space="preserve">quanto lavoro fa il muscolo intorno</w:t>
      </w:r>
      <w:r>
        <w:t xml:space="preserve">. Nessuno ha guardato quanto collaborano le articolazioni sopra e sotto, come il peso arriva a terra a ogni passo, e quanto la paura di consumarsi ha ridotto tutto questo. Non per negligenza: non è di quel campo. È del tuo.</w:t>
      </w:r>
    </w:p>
    <w:p>
      <w:pPr>
        <w:pStyle w:val="BodyText"/>
      </w:pPr>
      <w:r>
        <w:rPr>
          <w:b/>
          <w:bCs/>
        </w:rPr>
        <w:t xml:space="preserve">Ma non è sempre lui.</w:t>
      </w:r>
      <w:r>
        <w:t xml:space="preserve"> </w:t>
      </w:r>
      <w:r>
        <w:t xml:space="preserve">Quello che hai letto è l’adulto sopra i cinquanta con dolore da carico. Tre altri cambiano le regole.</w:t>
      </w:r>
      <w:r>
        <w:t xml:space="preserve"> </w:t>
      </w:r>
      <w:r>
        <w:rPr>
          <w:b/>
          <w:bCs/>
        </w:rPr>
        <w:t xml:space="preserve">Chi ha un’articolazione calda, rossa e gonfia</w:t>
      </w:r>
      <w:r>
        <w:t xml:space="preserve"> </w:t>
      </w:r>
      <w:r>
        <w:t xml:space="preserve">non entra in questo capitolo, con o senza febbre: entra da «Dove finisce il nostro campo».</w:t>
      </w:r>
      <w:r>
        <w:t xml:space="preserve"> </w:t>
      </w:r>
      <w:r>
        <w:rPr>
          <w:b/>
          <w:bCs/>
        </w:rPr>
        <w:t xml:space="preserve">Chi ha rigidità mattutina che dura più di mezz’ora su più articolazioni piccole</w:t>
      </w:r>
      <w:r>
        <w:t xml:space="preserve"> </w:t>
      </w:r>
      <w:r>
        <w:t xml:space="preserve">porta un sospetto infiammatorio, non artrosico.</w:t>
      </w:r>
      <w:r>
        <w:t xml:space="preserve"> </w:t>
      </w:r>
      <w:r>
        <w:rPr>
          <w:b/>
          <w:bCs/>
        </w:rPr>
        <w:t xml:space="preserve">Chi ha dolore notturno costante e sta perdendo peso senza volerlo</w:t>
      </w:r>
      <w:r>
        <w:t xml:space="preserve"> </w:t>
      </w:r>
      <w:r>
        <w:t xml:space="preserve">va inquadrato prima, non trattato meglio.</w:t>
      </w:r>
    </w:p>
    <w:p>
      <w:pPr>
        <w:pStyle w:val="BodyText"/>
      </w:pPr>
      <w:r>
        <w:rPr>
          <w:b/>
          <w:bCs/>
        </w:rPr>
        <w:t xml:space="preserve">Le tre cose da ricordare, più una</w:t>
      </w:r>
    </w:p>
    <w:p>
      <w:pPr>
        <w:pStyle w:val="Compact"/>
        <w:numPr>
          <w:ilvl w:val="0"/>
          <w:numId w:val="1003"/>
        </w:numPr>
      </w:pPr>
      <w:r>
        <w:t xml:space="preserve">Arriva con una parola,</w:t>
      </w:r>
      <w:r>
        <w:t xml:space="preserve"> </w:t>
      </w:r>
      <w:r>
        <w:rPr>
          <w:i/>
          <w:iCs/>
        </w:rPr>
        <w:t xml:space="preserve">consumato</w:t>
      </w:r>
      <w:r>
        <w:t xml:space="preserve">, e con due gesti persi: le mattine e le scale. Sono i suoi veri esiti.</w:t>
      </w:r>
    </w:p>
    <w:p>
      <w:pPr>
        <w:pStyle w:val="Compact"/>
        <w:numPr>
          <w:ilvl w:val="0"/>
          <w:numId w:val="1003"/>
        </w:numPr>
      </w:pPr>
      <w:r>
        <w:t xml:space="preserve">Due su tre hanno un’altra malattia cronica e una terapia in corso: l’artrosi è una delle cose che hanno.</w:t>
      </w:r>
    </w:p>
    <w:p>
      <w:pPr>
        <w:pStyle w:val="Compact"/>
        <w:numPr>
          <w:ilvl w:val="0"/>
          <w:numId w:val="1003"/>
        </w:numPr>
      </w:pPr>
      <w:r>
        <w:t xml:space="preserve">Il percorso medico ha guardato l’articolazione ferma; tu guardi come lavora.</w:t>
      </w:r>
    </w:p>
    <w:p>
      <w:pPr>
        <w:pStyle w:val="Compact"/>
        <w:numPr>
          <w:ilvl w:val="0"/>
          <w:numId w:val="1003"/>
        </w:numPr>
      </w:pPr>
      <w:r>
        <w:rPr>
          <w:b/>
          <w:bCs/>
        </w:rPr>
        <w:t xml:space="preserve">Perché ci sei tu.</w:t>
      </w:r>
      <w:r>
        <w:t xml:space="preserve"> </w:t>
      </w:r>
      <w:r>
        <w:t xml:space="preserve">Ventisette pazienti con artrosi di ginocchio in lista per la protesi:</w:t>
      </w:r>
      <w:r>
        <w:t xml:space="preserve"> </w:t>
      </w:r>
      <w:r>
        <w:rPr>
          <w:b/>
          <w:bCs/>
        </w:rPr>
        <w:t xml:space="preserve">tutti</w:t>
      </w:r>
      <w:r>
        <w:t xml:space="preserve"> </w:t>
      </w:r>
      <w:r>
        <w:t xml:space="preserve">descrivevano il proprio ginocchio come</w:t>
      </w:r>
      <w:r>
        <w:t xml:space="preserve"> </w:t>
      </w:r>
      <w:r>
        <w:t xml:space="preserve">“osso contro osso”</w:t>
      </w:r>
      <w:r>
        <w:t xml:space="preserve">. Più di quattordici credevano che caricarlo potesse danneggiarlo, e più di venti che l’esercizio avrebbe aumentato il dolore (Bunzli,</w:t>
      </w:r>
      <w:r>
        <w:t xml:space="preserve"> </w:t>
      </w:r>
      <w:r>
        <w:rPr>
          <w:i/>
          <w:iCs/>
        </w:rPr>
        <w:t xml:space="preserve">Clin Orthop Relat Res</w:t>
      </w:r>
      <w:r>
        <w:t xml:space="preserve"> </w:t>
      </w:r>
      <w:r>
        <w:t xml:space="preserve">2019, PMID 31192807). Sono pazienti in fase avanzata, i più convinti della scala.</w:t>
      </w:r>
      <w:r>
        <w:t xml:space="preserve"> </w:t>
      </w:r>
      <w:r>
        <w:rPr>
          <w:b/>
          <w:bCs/>
        </w:rPr>
        <w:t xml:space="preserve">Per te:</w:t>
      </w:r>
      <w:r>
        <w:t xml:space="preserve"> </w:t>
      </w:r>
      <w:r>
        <w:t xml:space="preserve">la prima cosa che tratti non è un tessuto, è una frase. Se non la smonti, l’esercizio che dai non verrà fatto. Non ti autorizza a dire che l’immagine è irrilevante: descrive un danno vero, che non decide il dolore.</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è una malattia di tutta l’articolazione, e il suo dolore non è proporzionale al suo danno.</w:t>
      </w:r>
    </w:p>
    <w:bookmarkStart w:id="16" w:name="la-definizione"/>
    <w:p>
      <w:pPr>
        <w:pStyle w:val="Heading3"/>
      </w:pPr>
      <w:r>
        <w:t xml:space="preserve">La definizione</w:t>
      </w:r>
    </w:p>
    <w:p>
      <w:pPr>
        <w:pStyle w:val="FirstParagraph"/>
      </w:pPr>
      <w:r>
        <w:t xml:space="preserve">L’artrosi è un gruppo di disturbi legati all’età. Nelle articolazioni sinoviali si perde cartilagine in punti precisi, compaiono osteofiti, l’osso subcondrale si altera e la membrana che riveste l’articolazione si infiamma: è la</w:t>
      </w:r>
      <w:r>
        <w:t xml:space="preserve"> </w:t>
      </w:r>
      <w:r>
        <w:rPr>
          <w:b/>
          <w:bCs/>
        </w:rPr>
        <w:t xml:space="preserve">sinovite</w:t>
      </w:r>
      <w:r>
        <w:t xml:space="preserve">. Il danno nasce dall’incontro fra due gruppi di fattori. I fattori sistemici predispongono; i fattori meccanici locali decidono sede e gravità (Dieppe &amp; Lohmander,</w:t>
      </w:r>
      <w:r>
        <w:t xml:space="preserve"> </w:t>
      </w:r>
      <w:r>
        <w:rPr>
          <w:i/>
          <w:iCs/>
        </w:rPr>
        <w:t xml:space="preserve">Lancet</w:t>
      </w:r>
      <w:r>
        <w:t xml:space="preserve"> </w:t>
      </w:r>
      <w:r>
        <w:t xml:space="preserve">2005, PMID 15766999).</w:t>
      </w:r>
    </w:p>
    <w:p>
      <w:pPr>
        <w:pStyle w:val="BodyText"/>
      </w:pPr>
      <w:r>
        <w:t xml:space="preserve">Nella stessa fonte c’è la frase che vale per tutto il documento:</w:t>
      </w:r>
      <w:r>
        <w:t xml:space="preserve"> </w:t>
      </w:r>
      <w:r>
        <w:rPr>
          <w:b/>
          <w:bCs/>
        </w:rPr>
        <w:t xml:space="preserve">la gravità del danno articolare è legata solo debolmente alla gravità del problema clinico.</w:t>
      </w:r>
    </w:p>
    <w:p>
      <w:pPr>
        <w:pStyle w:val="BodyText"/>
      </w:pPr>
      <w:r>
        <w:t xml:space="preserve">Da qui una conseguenza che sorprende i pazienti: l’artrosi si diagnostica clinicamente, senza immagini. Servono tre elementi: quarantacinque anni o più, dolore articolare legato all’attività, e rigidità mattutina assente o non superiore a trenta minuti. Le immagini servono solo con caratteristiche atipiche, o quando si sospetta un’altra diagnosi (NICE, NG226, 2022, raccomandazioni 1.1.1 e 1.1.2).</w:t>
      </w:r>
    </w:p>
    <w:bookmarkEnd w:id="16"/>
    <w:bookmarkStart w:id="17" w:name="quanto-è-diffusa"/>
    <w:p>
      <w:pPr>
        <w:pStyle w:val="Heading3"/>
      </w:pPr>
      <w:r>
        <w:t xml:space="preserve">Quanto è diffusa</w:t>
      </w:r>
    </w:p>
    <w:p>
      <w:pPr>
        <w:pStyle w:val="FirstParagraph"/>
      </w:pPr>
      <w:r>
        <w:t xml:space="preserve">Nel 2020 avevano l’artrosi 595 milioni di persone, il 7,6% della popolazione mondiale, e il ginocchio è la sede più frequente. La stessa fonte stima che un indice di massa corporea elevato spieghi il 20,4% del carico di malattia.</w:t>
      </w:r>
      <w:r>
        <w:t xml:space="preserve"> </w:t>
      </w:r>
      <w:r>
        <w:rPr>
          <w:b/>
          <w:bCs/>
        </w:rPr>
        <w:t xml:space="preserve">Ma il numero va riportato con la sua incertezza: l’intervallo va da −1,7% a 36,6%, quindi attraversa lo zero</w:t>
      </w:r>
      <w:r>
        <w:t xml:space="preserve"> </w:t>
      </w:r>
      <w:r>
        <w:t xml:space="preserve">(GBD 2021 Osteoarthritis Collaborators,</w:t>
      </w:r>
      <w:r>
        <w:t xml:space="preserve"> </w:t>
      </w:r>
      <w:r>
        <w:rPr>
          <w:i/>
          <w:iCs/>
        </w:rPr>
        <w:t xml:space="preserve">Lancet Rheumatol</w:t>
      </w:r>
      <w:r>
        <w:t xml:space="preserve"> </w:t>
      </w:r>
      <w:r>
        <w:t xml:space="preserve">2023, PMID 37675071).</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quota di malattia attribuibile al peso. DIMOSTRATO</w:t>
      </w:r>
      <w:r>
        <w:t xml:space="preserve"> </w:t>
      </w:r>
      <w:r>
        <w:rPr>
          <w:i/>
          <w:iCs/>
        </w:rPr>
        <w:t xml:space="preserve">(studi sull’uomo, solidi)</w:t>
      </w:r>
      <w:r>
        <w:t xml:space="preserve"> </w:t>
      </w:r>
      <w:r>
        <w:t xml:space="preserve">per l’effetto meccanico del peso sul singolo ginocchio, misurato direttamente (Messier, PMID 15986358).</w:t>
      </w:r>
    </w:p>
    <w:p>
      <w:pPr>
        <w:pStyle w:val="FirstParagraph"/>
      </w:pPr>
      <w:r>
        <w:rPr>
          <w:b/>
          <w:bCs/>
        </w:rPr>
        <w:t xml:space="preserve">Per te:</w:t>
      </w:r>
      <w:r>
        <w:t xml:space="preserve"> </w:t>
      </w:r>
      <w:r>
        <w:t xml:space="preserve">uno su tredici ce l’ha. Non aspetti che ti mandino</w:t>
      </w:r>
      <w:r>
        <w:t xml:space="preserve"> </w:t>
      </w:r>
      <w:r>
        <w:t xml:space="preserve">“il paziente artrosico”</w:t>
      </w:r>
      <w:r>
        <w:t xml:space="preserve">: ce l’hai già in agenda. La domanda sul peso si fa lo stesso, e la giustificano le misure dirette. Ma non la si giustifica con quel 20,4%.</w:t>
      </w:r>
    </w:p>
    <w:bookmarkEnd w:id="17"/>
    <w:bookmarkStart w:id="18" w:name="come-evolve-se-non-fai-nulla"/>
    <w:p>
      <w:pPr>
        <w:pStyle w:val="Heading3"/>
      </w:pPr>
      <w:r>
        <w:t xml:space="preserve">Come evolve se non fai nulla</w:t>
      </w:r>
    </w:p>
    <w:p>
      <w:pPr>
        <w:pStyle w:val="FirstParagraph"/>
      </w:pPr>
      <w:r>
        <w:t xml:space="preserve">Due decorsi diversi, e vanno tenuti separati.</w:t>
      </w:r>
    </w:p>
    <w:p>
      <w:pPr>
        <w:pStyle w:val="BodyText"/>
      </w:pPr>
      <w:r>
        <w:rPr>
          <w:b/>
          <w:bCs/>
        </w:rPr>
        <w:t xml:space="preserve">Il danno strutturale</w:t>
      </w:r>
      <w:r>
        <w:t xml:space="preserve"> </w:t>
      </w:r>
      <w:r>
        <w:t xml:space="preserve">avanza lentamente, in modo non uniforme e non in tutti. Non è reversibile: la cartilagine persa non ricresce.</w:t>
      </w:r>
    </w:p>
    <w:p>
      <w:pPr>
        <w:pStyle w:val="BodyText"/>
      </w:pPr>
      <w:r>
        <w:rPr>
          <w:b/>
          <w:bCs/>
        </w:rPr>
        <w:t xml:space="preserve">Il sintomo</w:t>
      </w:r>
      <w:r>
        <w:t xml:space="preserve"> </w:t>
      </w:r>
      <w:r>
        <w:t xml:space="preserve">non segue quella curva, e qui servono i numeri. Una coorte di popolazione oltre i cinquant’anni è stata seguita fino a sei anni. Il decorso del dolore si è distribuito su cinque traiettorie:</w:t>
      </w:r>
      <w:r>
        <w:t xml:space="preserve"> </w:t>
      </w:r>
      <w:r>
        <w:rPr>
          <w:b/>
          <w:bCs/>
        </w:rPr>
        <w:t xml:space="preserve">lieve e non progressiva nel 35%, progressiva nel 28%, moderata nel 22%, in miglioramento nel 12%, grave e senza miglioramento nel 3%</w:t>
      </w:r>
      <w:r>
        <w:t xml:space="preserve"> </w:t>
      </w:r>
      <w:r>
        <w:t xml:space="preserve">(Nicholls,</w:t>
      </w:r>
      <w:r>
        <w:t xml:space="preserve"> </w:t>
      </w:r>
      <w:r>
        <w:rPr>
          <w:i/>
          <w:iCs/>
        </w:rPr>
        <w:t xml:space="preserve">Osteoarthritis Cartilage</w:t>
      </w:r>
      <w:r>
        <w:t xml:space="preserve"> </w:t>
      </w:r>
      <w:r>
        <w:t xml:space="preserve">2014, PMID 25305072).</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coorti prospettiche ampie, non trial.</w:t>
      </w:r>
    </w:p>
    <w:p>
      <w:pPr>
        <w:pStyle w:val="FirstParagraph"/>
      </w:pPr>
      <w:r>
        <w:t xml:space="preserve">Chi peggiora, però, si riconosce in parte prima. Su sette studi e 7.747 pazienti, i predittori di una traiettoria di dolore grave o in peggioramento sono tre: bassa scolarità, comorbilità e depressione. Età, alcol, fumo, strategie di adattamento e farmaci</w:t>
      </w:r>
      <w:r>
        <w:t xml:space="preserve"> </w:t>
      </w:r>
      <w:r>
        <w:rPr>
          <w:b/>
          <w:bCs/>
        </w:rPr>
        <w:t xml:space="preserve">non</w:t>
      </w:r>
      <w:r>
        <w:t xml:space="preserve"> </w:t>
      </w:r>
      <w:r>
        <w:t xml:space="preserve">erano associati all’evoluzione. Sui fattori articolari, compresa la gravità radiografica di partenza, le prove sono contrastanti o assenti (Previtali,</w:t>
      </w:r>
      <w:r>
        <w:t xml:space="preserve"> </w:t>
      </w:r>
      <w:r>
        <w:rPr>
          <w:i/>
          <w:iCs/>
        </w:rPr>
        <w:t xml:space="preserve">J Clin Med</w:t>
      </w:r>
      <w:r>
        <w:t xml:space="preserve"> </w:t>
      </w:r>
      <w:r>
        <w:t xml:space="preserve">2020, PMID 32882828).</w:t>
      </w:r>
    </w:p>
    <w:p>
      <w:pPr>
        <w:pStyle w:val="BodyText"/>
      </w:pPr>
      <w:r>
        <w:rPr>
          <w:b/>
          <w:bCs/>
        </w:rPr>
        <w:t xml:space="preserve">Sono predittori di decorso spontaneo, non di risposta al trattamento: dicono chi sorvegliare, non chi trattare diversamente.</w:t>
      </w:r>
      <w:r>
        <w:t xml:space="preserve"> </w:t>
      </w:r>
      <w:r>
        <w:t xml:space="preserve">E la quota di traiettorie stabili dipende dal metodo e dalla finestra di osservazione. Qui è l’85% nel medio termine; la coorte di Nicholls a sei anni distingue cinque traiettorie.</w:t>
      </w:r>
      <w:r>
        <w:t xml:space="preserve"> </w:t>
      </w:r>
      <w:r>
        <w:rPr>
          <w:b/>
          <w:bCs/>
        </w:rPr>
        <w:t xml:space="preserve">Non sono lo stesso numero misurato in due modi: sono due misure diverse.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sintesi di miglior evidenza su studi osservazionali.</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Per te:</w:t>
      </w:r>
      <w:r>
        <w:t xml:space="preserve"> </w:t>
      </w:r>
      <w:r>
        <w:t xml:space="preserve">quasi un paziente su due ha un decorso lieve stabile o in miglioramento, senza che nessuno faccia niente. È il motivo per cui scegli un marker</w:t>
      </w:r>
      <w:r>
        <w:t xml:space="preserve"> </w:t>
      </w:r>
      <w:r>
        <w:rPr>
          <w:b/>
          <w:bCs/>
        </w:rPr>
        <w:t xml:space="preserve">prima</w:t>
      </w:r>
      <w:r>
        <w:t xml:space="preserve"> </w:t>
      </w:r>
      <w:r>
        <w:t xml:space="preserve">di trattare. Senza, ti prendi il merito di una traiettoria che quel paziente aveva già.</w:t>
      </w:r>
    </w:p>
    <w:p>
      <w:pPr>
        <w:pStyle w:val="BodyText"/>
      </w:pPr>
      <w:r>
        <w:t xml:space="preserve">Una credenza da smontare subito. Sono state seguite tre mesi 171 persone con artrosi di ginocchio. Temperatura, umidità, pressione atmosferica e pioggia</w:t>
      </w:r>
      <w:r>
        <w:t xml:space="preserve"> </w:t>
      </w:r>
      <w:r>
        <w:rPr>
          <w:b/>
          <w:bCs/>
        </w:rPr>
        <w:t xml:space="preserve">non</w:t>
      </w:r>
      <w:r>
        <w:t xml:space="preserve"> </w:t>
      </w:r>
      <w:r>
        <w:t xml:space="preserve">erano associate al rischio di riacutizzazione del dolore (Ferreira,</w:t>
      </w:r>
      <w:r>
        <w:t xml:space="preserve"> </w:t>
      </w:r>
      <w:r>
        <w:rPr>
          <w:i/>
          <w:iCs/>
        </w:rPr>
        <w:t xml:space="preserve">Osteoarthritis Cartilage</w:t>
      </w:r>
      <w:r>
        <w:t xml:space="preserve"> </w:t>
      </w:r>
      <w:r>
        <w:t xml:space="preserve">2016, PMID 27492467). Dallo stesso studio viene un secondo dato, che serve altrove: 171 partecipanti su 345 hanno avuto almeno una riacutizzazione in tre mesi. Vedi «Cosa si rompe», lo stato irritabile.</w:t>
      </w:r>
    </w:p>
    <w:p>
      <w:pPr>
        <w:pStyle w:val="BodyText"/>
      </w:pPr>
      <w:r>
        <w:rPr>
          <w:b/>
          <w:bCs/>
        </w:rPr>
        <w:t xml:space="preserve">Per te:</w:t>
      </w:r>
      <w:r>
        <w:t xml:space="preserve"> </w:t>
      </w:r>
      <w:r>
        <w:t xml:space="preserve">quando il paziente attribuisce al meteo la giornata storta, non discutere sul fatto che il dolore ci sia. C’è. Sposta la domanda su cosa ha fatto il giorno prima: è lì che trovi la variabile su cui puoi agire.</w:t>
      </w:r>
    </w:p>
    <w:bookmarkEnd w:id="18"/>
    <w:bookmarkStart w:id="19" w:name="X33366b177538ae9fd773a963d812086931f46b7"/>
    <w:p>
      <w:pPr>
        <w:pStyle w:val="Heading3"/>
      </w:pPr>
      <w:r>
        <w:t xml:space="preserve">Cosa dicono le etichette diagnostiche, e cosa non dicono</w:t>
      </w:r>
    </w:p>
    <w:p>
      <w:pPr>
        <w:pStyle w:val="FirstParagraph"/>
      </w:pPr>
      <w:r>
        <w:t xml:space="preserve">Il paziente ti porta parole prese da un referto. Vanno tradotte, non ripetute.</w:t>
      </w:r>
    </w:p>
    <w:p>
      <w:pPr>
        <w:pStyle w:val="BodyText"/>
      </w:pPr>
      <w:r>
        <w:rPr>
          <w:b/>
          <w:bCs/>
        </w:rPr>
        <w:t xml:space="preserve">Kellgren-Lawrence</w:t>
      </w:r>
      <w:r>
        <w:t xml:space="preserve"> </w:t>
      </w:r>
      <w:r>
        <w:t xml:space="preserve">è una scala radiografica da 0 a 4. Dice quanto è ridotto lo spazio articolare e quanti osteofiti ci sono, non quanto fa male: è il contachilometri, quanta strada ha fatto l’auto e non come va oggi.</w:t>
      </w:r>
      <w:r>
        <w:t xml:space="preserve"> </w:t>
      </w:r>
      <w:r>
        <w:rPr>
          <w:b/>
          <w:bCs/>
        </w:rPr>
        <w:t xml:space="preserve">“Gonartrosi tricompartimentale”</w:t>
      </w:r>
      <w:r>
        <w:t xml:space="preserve"> </w:t>
      </w:r>
      <w:r>
        <w:t xml:space="preserve">è una descrizione topografica, non una prognosi.</w:t>
      </w:r>
      <w:r>
        <w:t xml:space="preserve"> </w:t>
      </w:r>
      <w:r>
        <w:rPr>
          <w:b/>
          <w:bCs/>
        </w:rPr>
        <w:t xml:space="preserve">La risonanza</w:t>
      </w:r>
      <w:r>
        <w:t xml:space="preserve">, chiesta presto, trova quasi sempre qualcosa: lesioni meniscali degenerative, condropatie, versamenti minimi. Sono reperti frequenti anche in chi non ha dolore.</w:t>
      </w:r>
    </w:p>
    <w:p>
      <w:pPr>
        <w:pStyle w:val="BodyText"/>
      </w:pPr>
      <w:r>
        <w:rPr>
          <w:b/>
          <w:bCs/>
        </w:rPr>
        <w:t xml:space="preserve">Quello che nessun referto dice:</w:t>
      </w:r>
      <w:r>
        <w:t xml:space="preserve"> </w:t>
      </w:r>
      <w:r>
        <w:t xml:space="preserve">quanta forza ha il muscolo intorno, quanta escursione attiva resta, quanto cammina il paziente in un giorno.</w:t>
      </w:r>
    </w:p>
    <w:bookmarkEnd w:id="19"/>
    <w:bookmarkStart w:id="20" w:name="cosa-non-è"/>
    <w:p>
      <w:pPr>
        <w:pStyle w:val="Heading3"/>
      </w:pPr>
      <w:r>
        <w:t xml:space="preserve">Cosa non è</w:t>
      </w:r>
    </w:p>
    <w:p>
      <w:pPr>
        <w:pStyle w:val="FirstParagraph"/>
      </w:pPr>
      <w:r>
        <w:t xml:space="preserve">Sei quadri le somigliano e cambiano la condotta.</w:t>
      </w:r>
    </w:p>
    <w:p>
      <w:pPr>
        <w:pStyle w:val="BodyText"/>
      </w:pPr>
      <w:r>
        <w:rPr>
          <w:b/>
          <w:bCs/>
        </w:rPr>
        <w:t xml:space="preserve">L’artrite infiammatoria</w:t>
      </w:r>
      <w:r>
        <w:t xml:space="preserve"> </w:t>
      </w:r>
      <w:r>
        <w:t xml:space="preserve">— rigidità mattutina oltre i trenta minuti, più articolazioni piccole e simmetriche, gonfiore che non dipende dall’uso. Va dal reumatologo, e va di corsa.</w:t>
      </w:r>
      <w:r>
        <w:t xml:space="preserve"> </w:t>
      </w:r>
      <w:r>
        <w:rPr>
          <w:b/>
          <w:bCs/>
        </w:rPr>
        <w:t xml:space="preserve">L’artrite settica</w:t>
      </w:r>
      <w:r>
        <w:t xml:space="preserve"> </w:t>
      </w:r>
      <w:r>
        <w:t xml:space="preserve">— articolazione calda, rossa, gonfia. La febbre c’è in poco più della metà dei casi: la sua assenza non toglie niente. È un’urgenza.</w:t>
      </w:r>
      <w:r>
        <w:t xml:space="preserve"> </w:t>
      </w:r>
      <w:r>
        <w:rPr>
          <w:b/>
          <w:bCs/>
        </w:rPr>
        <w:t xml:space="preserve">La CPPD (</w:t>
      </w:r>
      <w:r>
        <w:rPr>
          <w:b/>
          <w:bCs/>
        </w:rPr>
        <w:t xml:space="preserve">“pseudogotta”</w:t>
      </w:r>
      <w:r>
        <w:rPr>
          <w:b/>
          <w:bCs/>
        </w:rPr>
        <w:t xml:space="preserve">)</w:t>
      </w:r>
      <w:r>
        <w:t xml:space="preserve"> </w:t>
      </w:r>
      <w:r>
        <w:t xml:space="preserve">— attacco acuto di una grande articolazione, spesso il ginocchio, in una persona oltre i sessanta, e si ripete. È probabilmente la causa più comune di artrite infiammatoria in questa fascia d’età. Con le mani non si distingue da un’artrite settica: si manda (Abhishek,</w:t>
      </w:r>
      <w:r>
        <w:t xml:space="preserve"> </w:t>
      </w:r>
      <w:r>
        <w:rPr>
          <w:i/>
          <w:iCs/>
        </w:rPr>
        <w:t xml:space="preserve">Arthritis Rheumatol</w:t>
      </w:r>
      <w:r>
        <w:t xml:space="preserve"> </w:t>
      </w:r>
      <w:r>
        <w:t xml:space="preserve">2023, PMID 37494275).</w:t>
      </w:r>
      <w:r>
        <w:t xml:space="preserve"> </w:t>
      </w:r>
      <w:r>
        <w:rPr>
          <w:b/>
          <w:bCs/>
        </w:rPr>
        <w:t xml:space="preserve">La gotta</w:t>
      </w:r>
      <w:r>
        <w:t xml:space="preserve"> </w:t>
      </w:r>
      <w:r>
        <w:t xml:space="preserve">— attacco acuto, notturno, intensissimo, spesso all’alluce.</w:t>
      </w:r>
      <w:r>
        <w:t xml:space="preserve"> </w:t>
      </w:r>
      <w:r>
        <w:rPr>
          <w:b/>
          <w:bCs/>
        </w:rPr>
        <w:t xml:space="preserve">La frattura da insufficienza subcondrale</w:t>
      </w:r>
      <w:r>
        <w:t xml:space="preserve"> </w:t>
      </w:r>
      <w:r>
        <w:t xml:space="preserve">— dolore acuto comparso all’improvviso in una persona anziana o osteoporotica,</w:t>
      </w:r>
      <w:r>
        <w:t xml:space="preserve"> </w:t>
      </w:r>
      <w:r>
        <w:rPr>
          <w:b/>
          <w:bCs/>
        </w:rPr>
        <w:t xml:space="preserve">anche senza alcun trauma</w:t>
      </w:r>
      <w:r>
        <w:t xml:space="preserve">, con quadro radiografico sproporzionato per difetto.</w:t>
      </w:r>
      <w:r>
        <w:t xml:space="preserve"> </w:t>
      </w:r>
      <w:r>
        <w:rPr>
          <w:b/>
          <w:bCs/>
        </w:rPr>
        <w:t xml:space="preserve">Il dolore riferito</w:t>
      </w:r>
      <w:r>
        <w:t xml:space="preserve"> </w:t>
      </w:r>
      <w:r>
        <w:t xml:space="preserve">— un’anca artrosica dà dolore al ginocchio, e il ginocchio è sano. Sopra i sessantacinque anni vale anche il livello sopra: una sofferenza lombare o radicolare L3-L4 dà dolore alla faccia anteriore della coscia e al ginocchio, con anca e ginocchio puliti.</w:t>
      </w:r>
    </w:p>
    <w:p>
      <w:pPr>
        <w:pStyle w:val="BodyText"/>
      </w:pPr>
      <w:r>
        <w:rPr>
          <w:b/>
          <w:bCs/>
        </w:rPr>
        <w:t xml:space="preserve">Le tre cose da ricordare, più una</w:t>
      </w:r>
    </w:p>
    <w:p>
      <w:pPr>
        <w:pStyle w:val="Compact"/>
        <w:numPr>
          <w:ilvl w:val="0"/>
          <w:numId w:val="1004"/>
        </w:numPr>
      </w:pPr>
      <w:r>
        <w:t xml:space="preserve">L’artrosi è una malattia di tutta l’articolazione, non un consumo di cartilagine.</w:t>
      </w:r>
    </w:p>
    <w:p>
      <w:pPr>
        <w:pStyle w:val="Compact"/>
        <w:numPr>
          <w:ilvl w:val="0"/>
          <w:numId w:val="1004"/>
        </w:numPr>
      </w:pPr>
      <w:r>
        <w:t xml:space="preserve">Quasi un paziente su due ha una traiettoria di dolore lieve stabile o in miglioramento: il marker prima di trattare serve a questo.</w:t>
      </w:r>
    </w:p>
    <w:p>
      <w:pPr>
        <w:pStyle w:val="Compact"/>
        <w:numPr>
          <w:ilvl w:val="0"/>
          <w:numId w:val="1004"/>
        </w:numPr>
      </w:pPr>
      <w:r>
        <w:t xml:space="preserve">La diagnosi è clinica; l’immagine serve quando qualcosa non torna, non per confermare l’ovvio.</w:t>
      </w:r>
    </w:p>
    <w:p>
      <w:pPr>
        <w:pStyle w:val="Compact"/>
        <w:numPr>
          <w:ilvl w:val="0"/>
          <w:numId w:val="1004"/>
        </w:numPr>
      </w:pPr>
      <w:r>
        <w:rPr>
          <w:b/>
          <w:bCs/>
        </w:rPr>
        <w:t xml:space="preserve">Perché ci sei tu.</w:t>
      </w:r>
      <w:r>
        <w:t xml:space="preserve"> </w:t>
      </w:r>
      <w:r>
        <w:t xml:space="preserve">Fra chi ha dolore al ginocchio, la quota con artrosi radiografica va dal 15% al 76%. Fra chi ha artrosi radiografica, la quota con dolore va dal 15% all’81% (Bedson &amp; Croft,</w:t>
      </w:r>
      <w:r>
        <w:t xml:space="preserve"> </w:t>
      </w:r>
      <w:r>
        <w:rPr>
          <w:i/>
          <w:iCs/>
        </w:rPr>
        <w:t xml:space="preserve">BMC Musculoskelet Disord</w:t>
      </w:r>
      <w:r>
        <w:t xml:space="preserve"> </w:t>
      </w:r>
      <w:r>
        <w:t xml:space="preserve">2008, PMID 18764949).</w:t>
      </w:r>
      <w:r>
        <w:t xml:space="preserve"> </w:t>
      </w:r>
      <w:r>
        <w:rPr>
          <w:b/>
          <w:bCs/>
        </w:rPr>
        <w:t xml:space="preserve">Per te:</w:t>
      </w:r>
      <w:r>
        <w:t xml:space="preserve"> </w:t>
      </w:r>
      <w:r>
        <w:t xml:space="preserve">l’immagine non ti dice se quel paziente ha male e quanto, quindi la valutazione che conta la fai tu. Non ti autorizza a dire al paziente che la sua lastra non significa niente: significa, ma non quello che lui crede.</w:t>
      </w:r>
    </w:p>
    <w:p>
      <w:r>
        <w:pict>
          <v:rect style="width:0;height:1.5pt" o:hralign="center" o:hrstd="t" o:hr="t"/>
        </w:pict>
      </w:r>
    </w:p>
    <w:bookmarkEnd w:id="20"/>
    <w:bookmarkEnd w:id="21"/>
    <w:bookmarkStart w:id="27" w:name="capitolo-3-le-strutture-in-gioco"/>
    <w:p>
      <w:pPr>
        <w:pStyle w:val="Heading2"/>
      </w:pPr>
      <w:r>
        <w:t xml:space="preserve">Capitolo 3 — Le strutture in gioco</w:t>
      </w:r>
    </w:p>
    <w:p>
      <w:pPr>
        <w:pStyle w:val="BlockText"/>
      </w:pPr>
      <w:r>
        <w:rPr>
          <w:b/>
          <w:bCs/>
        </w:rPr>
        <w:t xml:space="preserve">In una riga:</w:t>
      </w:r>
      <w:r>
        <w:t xml:space="preserve"> </w:t>
      </w:r>
      <w:r>
        <w:t xml:space="preserve">la struttura che tutti guardano è l’unica che non può far male.</w:t>
      </w:r>
    </w:p>
    <w:bookmarkStart w:id="22" w:name="X73cbd5bec47c8a6c0f253ef54d44e92e8b9d436"/>
    <w:p>
      <w:pPr>
        <w:pStyle w:val="Heading3"/>
      </w:pPr>
      <w:r>
        <w:t xml:space="preserve">Le tre superfici: cartilagine, osso subcondrale, sinovia</w:t>
      </w:r>
    </w:p>
    <w:p>
      <w:pPr>
        <w:pStyle w:val="FirstParagraph"/>
      </w:pPr>
      <w:r>
        <w:rPr>
          <w:b/>
          <w:bCs/>
        </w:rPr>
        <w:t xml:space="preserve">La cartilagine articolare</w:t>
      </w:r>
      <w:r>
        <w:t xml:space="preserve"> </w:t>
      </w:r>
      <w:r>
        <w:t xml:space="preserve">riveste le estremità ossee. Distribuisce il carico su un’area ampia e quasi azzera l’attrito. Non ha vasi e</w:t>
      </w:r>
      <w:r>
        <w:t xml:space="preserve"> </w:t>
      </w:r>
      <w:r>
        <w:rPr>
          <w:b/>
          <w:bCs/>
        </w:rPr>
        <w:t xml:space="preserve">non ha nervi</w:t>
      </w:r>
      <w:r>
        <w:t xml:space="preserve">: è la struttura che il paziente indica, ed è l’unica che non può generare dolore. La sua perdita conta perché espone quello che sta sotto.</w:t>
      </w:r>
    </w:p>
    <w:p>
      <w:pPr>
        <w:pStyle w:val="BodyText"/>
      </w:pPr>
      <w:r>
        <w:rPr>
          <w:b/>
          <w:bCs/>
        </w:rPr>
        <w:t xml:space="preserve">L’osso subcondrale</w:t>
      </w:r>
      <w:r>
        <w:t xml:space="preserve"> </w:t>
      </w:r>
      <w:r>
        <w:t xml:space="preserve">sta immediatamente sotto, è ricco di terminazioni dolorifiche e assorbe il carico che la cartilagine non distribuisce più. È una delle due sorgenti nocicettive principali (Dieppe &amp; Lohmander,</w:t>
      </w:r>
      <w:r>
        <w:t xml:space="preserve"> </w:t>
      </w:r>
      <w:r>
        <w:rPr>
          <w:i/>
          <w:iCs/>
        </w:rPr>
        <w:t xml:space="preserve">Lancet</w:t>
      </w:r>
      <w:r>
        <w:t xml:space="preserve"> </w:t>
      </w:r>
      <w:r>
        <w:t xml:space="preserve">2005, PMID 15766999). Quando è sovraccaricato, alla risonanza compaiono le lesioni midollari ossee.</w:t>
      </w:r>
    </w:p>
    <w:p>
      <w:pPr>
        <w:pStyle w:val="BodyText"/>
      </w:pPr>
      <w:r>
        <w:rPr>
          <w:b/>
          <w:bCs/>
        </w:rPr>
        <w:t xml:space="preserve">La membrana sinoviale</w:t>
      </w:r>
      <w:r>
        <w:t xml:space="preserve"> </w:t>
      </w:r>
      <w:r>
        <w:t xml:space="preserve">riveste internamente la capsula e produce il liquido che nutre e lubrifica la cartilagine. È la seconda sorgente di dolore: la sua infiammazione produce il versamento che il paziente chiama</w:t>
      </w:r>
      <w:r>
        <w:t xml:space="preserve"> </w:t>
      </w:r>
      <w:r>
        <w:t xml:space="preserve">“gonfiore”</w:t>
      </w:r>
      <w:r>
        <w:t xml:space="preserve">. Un’articolazione con versamento non ha più liquido buono: è un segnale.</w:t>
      </w:r>
    </w:p>
    <w:p>
      <w:pPr>
        <w:pStyle w:val="BodyText"/>
      </w:pPr>
      <w:r>
        <w:t xml:space="preserve">Nel ginocchio si aggiunge il</w:t>
      </w:r>
      <w:r>
        <w:t xml:space="preserve"> </w:t>
      </w:r>
      <w:r>
        <w:rPr>
          <w:b/>
          <w:bCs/>
        </w:rPr>
        <w:t xml:space="preserve">corpo adiposo di Hoffa</w:t>
      </w:r>
      <w:r>
        <w:t xml:space="preserve">, il cuscinetto di grasso dietro il tendine rotuleo. È riccamente innervato ed è la sorgente del dolore anteriore che il paziente indica</w:t>
      </w:r>
      <w:r>
        <w:t xml:space="preserve"> </w:t>
      </w:r>
      <w:r>
        <w:t xml:space="preserve">“sotto la rotula”</w:t>
      </w:r>
      <w:r>
        <w:t xml:space="preserve">. Nessun referto attribuisce a lui quel dolore.</w:t>
      </w:r>
    </w:p>
    <w:bookmarkEnd w:id="22"/>
    <w:bookmarkStart w:id="23" w:name="X64f912a38355b47d9841941a498fd2ae952cf72"/>
    <w:p>
      <w:pPr>
        <w:pStyle w:val="Heading3"/>
      </w:pPr>
      <w:r>
        <w:t xml:space="preserve">Il quadricipite e gli estensori dell’articolazione</w:t>
      </w:r>
    </w:p>
    <w:p>
      <w:pPr>
        <w:pStyle w:val="FirstParagraph"/>
      </w:pPr>
      <w:r>
        <w:rPr>
          <w:b/>
          <w:bCs/>
        </w:rPr>
        <w:t xml:space="preserve">Cos’è:</w:t>
      </w:r>
      <w:r>
        <w:t xml:space="preserve"> </w:t>
      </w:r>
      <w:r>
        <w:t xml:space="preserve">il gruppo che estende il ginocchio, con l’analogo funzionale nei glutei per l’anca.</w:t>
      </w:r>
      <w:r>
        <w:t xml:space="preserve"> </w:t>
      </w:r>
      <w:r>
        <w:rPr>
          <w:b/>
          <w:bCs/>
        </w:rPr>
        <w:t xml:space="preserve">Cosa fa:</w:t>
      </w:r>
      <w:r>
        <w:t xml:space="preserve"> </w:t>
      </w:r>
      <w:r>
        <w:t xml:space="preserve">frena il carico in modo eccentrico prima che arrivi all’osso, e stabilizza l’appoggio.</w:t>
      </w:r>
      <w:r>
        <w:t xml:space="preserve"> </w:t>
      </w:r>
      <w:r>
        <w:rPr>
          <w:b/>
          <w:bCs/>
        </w:rPr>
        <w:t xml:space="preserve">Perché conta qui:</w:t>
      </w:r>
      <w:r>
        <w:t xml:space="preserve"> </w:t>
      </w:r>
      <w:r>
        <w:t xml:space="preserve">è l’unico ammortizzatore che puoi ancora costruire, ed è il primo a cedere quando il paziente risparmia l’arto.</w:t>
      </w:r>
    </w:p>
    <w:bookmarkEnd w:id="23"/>
    <w:bookmarkStart w:id="24" w:name="X0df2187990af170fb2b8644713567dcc8b22c0a"/>
    <w:p>
      <w:pPr>
        <w:pStyle w:val="Heading3"/>
      </w:pPr>
      <w:r>
        <w:t xml:space="preserve">La capsula, i recettori, e l’estensione che manca</w:t>
      </w:r>
    </w:p>
    <w:p>
      <w:pPr>
        <w:pStyle w:val="FirstParagraph"/>
      </w:pPr>
      <w:r>
        <w:rPr>
          <w:b/>
          <w:bCs/>
        </w:rPr>
        <w:t xml:space="preserve">Cos’è:</w:t>
      </w:r>
      <w:r>
        <w:t xml:space="preserve"> </w:t>
      </w:r>
      <w:r>
        <w:t xml:space="preserve">l’involucro fibroso dell’articolazione, denso di meccanocettori e nocicettori. La sua parte posteriore frena gli ultimi gradi di estensione.</w:t>
      </w:r>
      <w:r>
        <w:t xml:space="preserve"> </w:t>
      </w:r>
      <w:r>
        <w:rPr>
          <w:b/>
          <w:bCs/>
        </w:rPr>
        <w:t xml:space="preserve">Perché conta qui:</w:t>
      </w:r>
      <w:r>
        <w:t xml:space="preserve"> </w:t>
      </w:r>
      <w:r>
        <w:t xml:space="preserve">per due motivi.</w:t>
      </w:r>
    </w:p>
    <w:p>
      <w:pPr>
        <w:pStyle w:val="BodyText"/>
      </w:pPr>
      <w:r>
        <w:t xml:space="preserve">Il primo. È da qui che parte il segnale che spegne il muscolo: è l’inibizione muscolare artrogena, descritta per esteso in «Cosa si rompe», meccanismo 2 (Rice &amp; McNair,</w:t>
      </w:r>
      <w:r>
        <w:t xml:space="preserve"> </w:t>
      </w:r>
      <w:r>
        <w:rPr>
          <w:i/>
          <w:iCs/>
        </w:rPr>
        <w:t xml:space="preserve">Semin Arthritis Rheum</w:t>
      </w:r>
      <w:r>
        <w:t xml:space="preserve"> </w:t>
      </w:r>
      <w:r>
        <w:t xml:space="preserve">2010, PMID 19954822).</w:t>
      </w:r>
    </w:p>
    <w:p>
      <w:pPr>
        <w:pStyle w:val="BodyText"/>
      </w:pPr>
      <w:r>
        <w:t xml:space="preserve">Il secondo. Quando la parte posteriore si accorcia, il ginocchio perde l’estensione completa. Si accorcia per il versamento, per mesi di ginocchio tenuto piegato, per il dolore. È la</w:t>
      </w:r>
      <w:r>
        <w:t xml:space="preserve"> </w:t>
      </w:r>
      <w:r>
        <w:rPr>
          <w:b/>
          <w:bCs/>
        </w:rPr>
        <w:t xml:space="preserve">contrattura in flessione</w:t>
      </w:r>
      <w:r>
        <w:t xml:space="preserve">, e spiega perché il quadricipite non si accende: non può lavorare in un’escursione che non c’è. Nella coorte OAI era presente nel 32,4% delle ginocchia. Quelle ginocchia avevano dolore, rigidità e funzione peggiori, e più probabilità di arrivare alla protesi (Campbell &amp; McGonagle,</w:t>
      </w:r>
      <w:r>
        <w:t xml:space="preserve"> </w:t>
      </w:r>
      <w:r>
        <w:rPr>
          <w:i/>
          <w:iCs/>
        </w:rPr>
        <w:t xml:space="preserve">Ann Phys Rehabil Med</w:t>
      </w:r>
      <w:r>
        <w:t xml:space="preserve"> </w:t>
      </w:r>
      <w:r>
        <w:t xml:space="preserve">2021, PMID 33065299).</w:t>
      </w:r>
      <w:r>
        <w:t xml:space="preserve"> </w:t>
      </w:r>
      <w:r>
        <w:rPr>
          <w:b/>
          <w:bCs/>
        </w:rPr>
        <w:t xml:space="preserve">Si trova in venti secondi:</w:t>
      </w:r>
      <w:r>
        <w:t xml:space="preserve"> </w:t>
      </w:r>
      <w:r>
        <w:t xml:space="preserve">paziente prono, ginocchia oltre il bordo del lettino, e si confronta l’altezza dei due talloni.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l’associazione — studio osservazionale. IPOTESI</w:t>
      </w:r>
      <w:r>
        <w:t xml:space="preserve"> </w:t>
      </w:r>
      <w:r>
        <w:rPr>
          <w:i/>
          <w:iCs/>
        </w:rPr>
        <w:t xml:space="preserve">(meccanismo coerente, nessuno studio)</w:t>
      </w:r>
      <w:r>
        <w:t xml:space="preserve"> </w:t>
      </w:r>
      <w:r>
        <w:t xml:space="preserve">per il fatto che recuperarla cambi l’esito.</w:t>
      </w:r>
    </w:p>
    <w:p>
      <w:pPr>
        <w:pStyle w:val="FirstParagraph"/>
      </w:pPr>
      <w:r>
        <w:rPr>
          <w:b/>
          <w:bCs/>
        </w:rPr>
        <w:t xml:space="preserve">Per te:</w:t>
      </w:r>
      <w:r>
        <w:t xml:space="preserve"> </w:t>
      </w:r>
      <w:r>
        <w:t xml:space="preserve">da un ginocchio che manca di dieci gradi di estensione non ottieni alzate dalla sedia migliori, per quanto lo rinforzi. È il cassetto che si ferma a metà: puoi tirare quanto vuoi, oltre non viene. Se il tuo marker principale non si muove, guarda prima lì.</w:t>
      </w:r>
    </w:p>
    <w:bookmarkEnd w:id="24"/>
    <w:bookmarkStart w:id="25" w:name="X6e5435ff2d11545a587aecc7df09ded35bc5c6c"/>
    <w:p>
      <w:pPr>
        <w:pStyle w:val="Heading3"/>
      </w:pPr>
      <w:r>
        <w:t xml:space="preserve">Le articolazioni vicine e gli abduttori dell’anca</w:t>
      </w:r>
    </w:p>
    <w:p>
      <w:pPr>
        <w:pStyle w:val="FirstParagraph"/>
      </w:pPr>
      <w:r>
        <w:rPr>
          <w:b/>
          <w:bCs/>
        </w:rPr>
        <w:t xml:space="preserve">Cos’è:</w:t>
      </w:r>
      <w:r>
        <w:t xml:space="preserve"> </w:t>
      </w:r>
      <w:r>
        <w:t xml:space="preserve">anca e caviglia rispetto al ginocchio, rachide lombare rispetto all’anca. Medio e piccolo gluteo tengono il bacino orizzontale nell’appoggio su un piede solo.</w:t>
      </w:r>
      <w:r>
        <w:t xml:space="preserve"> </w:t>
      </w:r>
      <w:r>
        <w:rPr>
          <w:b/>
          <w:bCs/>
        </w:rPr>
        <w:t xml:space="preserve">Cosa fa:</w:t>
      </w:r>
      <w:r>
        <w:t xml:space="preserve"> </w:t>
      </w:r>
      <w:r>
        <w:t xml:space="preserve">assorbono la quota di movimento e di controllo che l’articolazione malata non gestisce più.</w:t>
      </w:r>
      <w:r>
        <w:t xml:space="preserve"> </w:t>
      </w:r>
      <w:r>
        <w:rPr>
          <w:b/>
          <w:bCs/>
        </w:rPr>
        <w:t xml:space="preserve">Perché conta qui:</w:t>
      </w:r>
      <w:r>
        <w:t xml:space="preserve"> </w:t>
      </w:r>
      <w:r>
        <w:t xml:space="preserve">è il primo posto in cui il compenso diventa visibile, ed è il primo bersaglio che raggiungi senza toccare l’articolazione dolente. Il rinforzo degli abduttori migliora i sintomi del ginocchio artrosico, ed è misurato. Ma non cambia il carico meccanico, e anche questo è misurato (Bennell,</w:t>
      </w:r>
      <w:r>
        <w:t xml:space="preserve"> </w:t>
      </w:r>
      <w:r>
        <w:rPr>
          <w:i/>
          <w:iCs/>
        </w:rPr>
        <w:t xml:space="preserve">Osteoarthritis Cartilage</w:t>
      </w:r>
      <w:r>
        <w:t xml:space="preserve"> </w:t>
      </w:r>
      <w:r>
        <w:t xml:space="preserve">2010, PMID 20175973).</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bookmarkEnd w:id="25"/>
    <w:bookmarkStart w:id="26" w:name="X1bb6e4414332459c87841652ed3b6c983e8a63e"/>
    <w:p>
      <w:pPr>
        <w:pStyle w:val="Heading3"/>
      </w:pPr>
      <w:r>
        <w:t xml:space="preserve">La chicca: perché un’anca malata fa male al ginocchio</w:t>
      </w:r>
    </w:p>
    <w:p>
      <w:pPr>
        <w:pStyle w:val="FirstParagraph"/>
      </w:pPr>
      <w:r>
        <w:t xml:space="preserve">La</w:t>
      </w:r>
      <w:r>
        <w:t xml:space="preserve"> </w:t>
      </w:r>
      <w:r>
        <w:rPr>
          <w:b/>
          <w:bCs/>
        </w:rPr>
        <w:t xml:space="preserve">legge di Hilton</w:t>
      </w:r>
      <w:r>
        <w:t xml:space="preserve"> </w:t>
      </w:r>
      <w:r>
        <w:t xml:space="preserve">dice questo: il nervo che innerva un muscolo che agisce su un’articolazione innerva anche quell’articolazione e la cute sopra di essa. Il nervo otturatorio innerva l’anca, la faccia mediale della coscia e una porzione della capsula del ginocchio.</w:t>
      </w:r>
    </w:p>
    <w:p>
      <w:pPr>
        <w:pStyle w:val="BodyText"/>
      </w:pPr>
      <w:r>
        <w:t xml:space="preserve">Ma Hilton spiega la</w:t>
      </w:r>
      <w:r>
        <w:t xml:space="preserve"> </w:t>
      </w:r>
      <w:r>
        <w:rPr>
          <w:b/>
          <w:bCs/>
        </w:rPr>
        <w:t xml:space="preserve">condivisione dell’innervazione</w:t>
      </w:r>
      <w:r>
        <w:t xml:space="preserve">, non perché il paziente sbagli il posto. L’anello che manca è la</w:t>
      </w:r>
      <w:r>
        <w:t xml:space="preserve"> </w:t>
      </w:r>
      <w:r>
        <w:rPr>
          <w:b/>
          <w:bCs/>
        </w:rPr>
        <w:t xml:space="preserve">convergenza in corno dorsale</w:t>
      </w:r>
      <w:r>
        <w:t xml:space="preserve">. Gli afferenti profondi di anca, coscia e ginocchio arrivano agli stessi segmenti L2-L4, con una risoluzione spaziale bassa. Il sistema riceve un segnale forte e mal indirizzato, e lo assegna alla sede che conosce meglio.</w:t>
      </w:r>
    </w:p>
    <w:p>
      <w:pPr>
        <w:pStyle w:val="BodyText"/>
      </w:pPr>
      <w:r>
        <w:rPr>
          <w:b/>
          <w:bCs/>
        </w:rPr>
        <w:t xml:space="preserve">Regola: davanti a un dolore mediale o anteriore di ginocchio senza reperti locali, esamina l’anca. Sopra i sessantacinque anni esamina anche il rachide lombare.</w:t>
      </w:r>
    </w:p>
    <w:p>
      <w:pPr>
        <w:pStyle w:val="BodyText"/>
      </w:pPr>
      <w:r>
        <w:rPr>
          <w:b/>
          <w:bCs/>
        </w:rPr>
        <w:t xml:space="preserve">Aspettativa:</w:t>
      </w:r>
      <w:r>
        <w:t xml:space="preserve"> </w:t>
      </w:r>
      <w:r>
        <w:t xml:space="preserve">il dolore riferito è profondo, mal localizzato e non dermatomerico. La palpazione del ginocchio non lo riproduce, la rotazione interna d’anca sì. Su mille pazienti con dolore di ginocchio, 137 (13,7%) avevano l’anca come sorgente, ed era artrosi nel 58% dei casi (Cornelis,</w:t>
      </w:r>
      <w:r>
        <w:t xml:space="preserve"> </w:t>
      </w:r>
      <w:r>
        <w:rPr>
          <w:i/>
          <w:iCs/>
        </w:rPr>
        <w:t xml:space="preserve">J Exp Orthop</w:t>
      </w:r>
      <w:r>
        <w:t xml:space="preserve"> </w:t>
      </w:r>
      <w:r>
        <w:t xml:space="preserve">2025, PMID 41245703).</w:t>
      </w:r>
    </w:p>
    <w:p>
      <w:pPr>
        <w:pStyle w:val="BodyText"/>
      </w:pPr>
      <w:r>
        <w:rPr>
          <w:b/>
          <w:bCs/>
        </w:rPr>
        <w:t xml:space="preserve">Le tre cose da ricordare, più una</w:t>
      </w:r>
    </w:p>
    <w:p>
      <w:pPr>
        <w:pStyle w:val="Compact"/>
        <w:numPr>
          <w:ilvl w:val="0"/>
          <w:numId w:val="1005"/>
        </w:numPr>
      </w:pPr>
      <w:r>
        <w:t xml:space="preserve">La cartilagine non ha nervi: il dolore viene da osso subcondrale, sinovia, capsula e grasso di Hoffa.</w:t>
      </w:r>
    </w:p>
    <w:p>
      <w:pPr>
        <w:pStyle w:val="Compact"/>
        <w:numPr>
          <w:ilvl w:val="0"/>
          <w:numId w:val="1005"/>
        </w:numPr>
      </w:pPr>
      <w:r>
        <w:t xml:space="preserve">Un ginocchio che non estende non risponde al rinforzo: l’estensione si guarda prima della forza.</w:t>
      </w:r>
    </w:p>
    <w:p>
      <w:pPr>
        <w:pStyle w:val="Compact"/>
        <w:numPr>
          <w:ilvl w:val="0"/>
          <w:numId w:val="1005"/>
        </w:numPr>
      </w:pPr>
      <w:r>
        <w:t xml:space="preserve">Un dolore di ginocchio senza reperti di ginocchio è un’anca — o una schiena — finché non le hai escluse.</w:t>
      </w:r>
    </w:p>
    <w:p>
      <w:pPr>
        <w:pStyle w:val="Compact"/>
        <w:numPr>
          <w:ilvl w:val="0"/>
          <w:numId w:val="1005"/>
        </w:numPr>
      </w:pPr>
      <w:r>
        <w:rPr>
          <w:b/>
          <w:bCs/>
        </w:rPr>
        <w:t xml:space="preserve">Perché ci sei tu.</w:t>
      </w:r>
      <w:r>
        <w:t xml:space="preserve"> </w:t>
      </w:r>
      <w:r>
        <w:t xml:space="preserve">Sono state studiate 401 persone con artrosi radiografica di ginocchio: 351 con dolore e 50 senza. Le lesioni midollari ossee alla risonanza erano presenti nel 77,5% di chi aveva dolore e nel 30% di chi non ne aveva. Le lesioni grandi erano quasi esclusive di chi aveva dolore: 35,9% contro 2% (Felson,</w:t>
      </w:r>
      <w:r>
        <w:t xml:space="preserve"> </w:t>
      </w:r>
      <w:r>
        <w:rPr>
          <w:i/>
          <w:iCs/>
        </w:rPr>
        <w:t xml:space="preserve">Ann Intern Med</w:t>
      </w:r>
      <w:r>
        <w:t xml:space="preserve"> </w:t>
      </w:r>
      <w:r>
        <w:t xml:space="preserve">2001, PMID 11281736).</w:t>
      </w:r>
      <w:r>
        <w:t xml:space="preserve"> </w:t>
      </w:r>
      <w:r>
        <w:rPr>
          <w:b/>
          <w:bCs/>
        </w:rPr>
        <w:t xml:space="preserve">Due avvertenze dallo stesso studio:</w:t>
      </w:r>
      <w:r>
        <w:t xml:space="preserve"> </w:t>
      </w:r>
      <w:r>
        <w:t xml:space="preserve">il gruppo senza dolore è di 50 persone, quindi quel 2% è</w:t>
      </w:r>
      <w:r>
        <w:t xml:space="preserve"> </w:t>
      </w:r>
      <w:r>
        <w:rPr>
          <w:b/>
          <w:bCs/>
        </w:rPr>
        <w:t xml:space="preserve">una persona</w:t>
      </w:r>
      <w:r>
        <w:t xml:space="preserve">; e fra chi aveva dolore le lesioni</w:t>
      </w:r>
      <w:r>
        <w:t xml:space="preserve"> </w:t>
      </w:r>
      <w:r>
        <w:rPr>
          <w:b/>
          <w:bCs/>
        </w:rPr>
        <w:t xml:space="preserve">non</w:t>
      </w:r>
      <w:r>
        <w:t xml:space="preserve"> </w:t>
      </w:r>
      <w:r>
        <w:t xml:space="preserve">erano associate alla sua intensità.</w:t>
      </w:r>
      <w:r>
        <w:t xml:space="preserve"> </w:t>
      </w:r>
      <w:r>
        <w:rPr>
          <w:b/>
          <w:bCs/>
        </w:rPr>
        <w:t xml:space="preserve">Per te:</w:t>
      </w:r>
      <w:r>
        <w:t xml:space="preserve"> </w:t>
      </w:r>
      <w:r>
        <w:t xml:space="preserve">la sede del dolore è l’osso sotto carico, non il rivestimento consumato. Quindi tutto ciò che riduce il picco di carico su quell’osso è nel tuo dominio. Non ti autorizza a promettere che una lesione regredisca perché lo tratti, né a leggere l’entità del dolore dall’entità della lesione.</w:t>
      </w:r>
    </w:p>
    <w:p>
      <w:r>
        <w:pict>
          <v:rect style="width:0;height:1.5pt" o:hralign="center" o:hrstd="t" o:hr="t"/>
        </w:pict>
      </w:r>
    </w:p>
    <w:bookmarkEnd w:id="26"/>
    <w:bookmarkEnd w:id="27"/>
    <w:bookmarkStart w:id="28"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un’articolazione sana non è un’articolazione senza carico, è un’articolazione che il carico se lo distribuisce bene.</w:t>
      </w:r>
    </w:p>
    <w:p>
      <w:pPr>
        <w:pStyle w:val="FirstParagraph"/>
      </w:pPr>
      <w:r>
        <w:t xml:space="preserve">La sequenza, dal passo al tessuto.</w:t>
      </w:r>
    </w:p>
    <w:p>
      <w:pPr>
        <w:pStyle w:val="Compact"/>
        <w:numPr>
          <w:ilvl w:val="0"/>
          <w:numId w:val="1006"/>
        </w:numPr>
      </w:pPr>
      <w:r>
        <w:rPr>
          <w:b/>
          <w:bCs/>
        </w:rPr>
        <w:t xml:space="preserve">Il piede tocca terra e nasce un picco di forza.</w:t>
      </w:r>
      <w:r>
        <w:t xml:space="preserve"> </w:t>
      </w:r>
      <w:r>
        <w:t xml:space="preserve">Il picco attraversa caviglia, ginocchio, anca e bacino in una frazione di secondo.</w:t>
      </w:r>
    </w:p>
    <w:p>
      <w:pPr>
        <w:pStyle w:val="Compact"/>
        <w:numPr>
          <w:ilvl w:val="0"/>
          <w:numId w:val="1006"/>
        </w:numPr>
      </w:pPr>
      <w:r>
        <w:rPr>
          <w:b/>
          <w:bCs/>
        </w:rPr>
        <w:t xml:space="preserve">Il muscolo lo frena per primo.</w:t>
      </w:r>
      <w:r>
        <w:t xml:space="preserve"> </w:t>
      </w:r>
      <w:r>
        <w:t xml:space="preserve">Gli estensori si contraggono in allungamento e assorbono parte del picco</w:t>
      </w:r>
      <w:r>
        <w:t xml:space="preserve"> </w:t>
      </w:r>
      <w:r>
        <w:rPr>
          <w:i/>
          <w:iCs/>
        </w:rPr>
        <w:t xml:space="preserve">prima</w:t>
      </w:r>
      <w:r>
        <w:t xml:space="preserve"> </w:t>
      </w:r>
      <w:r>
        <w:t xml:space="preserve">che raggiunga le superfici articolari. È lavoro eccentrico, ed è la prima linea.</w:t>
      </w:r>
    </w:p>
    <w:p>
      <w:pPr>
        <w:pStyle w:val="Compact"/>
        <w:numPr>
          <w:ilvl w:val="0"/>
          <w:numId w:val="1006"/>
        </w:numPr>
      </w:pPr>
      <w:r>
        <w:rPr>
          <w:b/>
          <w:bCs/>
        </w:rPr>
        <w:t xml:space="preserve">La cartilagine distribuisce quello che resta.</w:t>
      </w:r>
      <w:r>
        <w:t xml:space="preserve"> </w:t>
      </w:r>
      <w:r>
        <w:t xml:space="preserve">Si deforma sotto pressione e allarga l’area di contatto, così la forza per centimetro quadrato scende. La deformazione spreme e richiama il liquido sinoviale: la cartilagine non ha vasi, si nutre per diffusione, e la pompa è il carico alternato.</w:t>
      </w:r>
    </w:p>
    <w:p>
      <w:pPr>
        <w:pStyle w:val="Compact"/>
        <w:numPr>
          <w:ilvl w:val="0"/>
          <w:numId w:val="1006"/>
        </w:numPr>
      </w:pPr>
      <w:r>
        <w:rPr>
          <w:b/>
          <w:bCs/>
        </w:rPr>
        <w:t xml:space="preserve">L’osso subcondrale riceve la quota residua e si adatta</w:t>
      </w:r>
      <w:r>
        <w:t xml:space="preserve">, rimodellandosi sotto carichi regolari.</w:t>
      </w:r>
    </w:p>
    <w:p>
      <w:pPr>
        <w:pStyle w:val="Compact"/>
        <w:numPr>
          <w:ilvl w:val="0"/>
          <w:numId w:val="1006"/>
        </w:numPr>
      </w:pPr>
      <w:r>
        <w:rPr>
          <w:b/>
          <w:bCs/>
        </w:rPr>
        <w:t xml:space="preserve">I recettori articolari e i fusi informano il sistema nervoso</w:t>
      </w:r>
      <w:r>
        <w:t xml:space="preserve">, e il momento della contrazione si aggiusta al passo dopo.</w:t>
      </w:r>
      <w:r>
        <w:t xml:space="preserve"> </w:t>
      </w:r>
      <w:r>
        <w:rPr>
          <w:b/>
          <w:bCs/>
        </w:rPr>
        <w:t xml:space="preserve">È la stessa via che, quando l’articolazione si gonfia, spegne il muscolo.</w:t>
      </w:r>
    </w:p>
    <w:p>
      <w:pPr>
        <w:pStyle w:val="FirstParagraph"/>
      </w:pPr>
      <w:r>
        <w:t xml:space="preserve">Due conseguenze che i pazienti non conoscono.</w:t>
      </w:r>
      <w:r>
        <w:t xml:space="preserve"> </w:t>
      </w:r>
      <w:r>
        <w:rPr>
          <w:b/>
          <w:bCs/>
        </w:rPr>
        <w:t xml:space="preserve">Il movimento nutre:</w:t>
      </w:r>
      <w:r>
        <w:t xml:space="preserve"> </w:t>
      </w:r>
      <w:r>
        <w:t xml:space="preserve">un’articolazione ferma non è risparmiata, è a digiuno. E</w:t>
      </w:r>
      <w:r>
        <w:t xml:space="preserve"> </w:t>
      </w:r>
      <w:r>
        <w:rPr>
          <w:b/>
          <w:bCs/>
        </w:rPr>
        <w:t xml:space="preserve">il muscolo è parte della struttura articolare</w:t>
      </w:r>
      <w:r>
        <w:t xml:space="preserve">, non un accessorio intorno: toglierlo equivale a togliere il primo ammortizzatore del sistema.</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07"/>
        </w:numPr>
      </w:pPr>
      <w:r>
        <w:t xml:space="preserve">Il carico alternato è il modo in cui la cartilagine mangia: fermarsi la affama.</w:t>
      </w:r>
    </w:p>
    <w:p>
      <w:pPr>
        <w:pStyle w:val="Compact"/>
        <w:numPr>
          <w:ilvl w:val="0"/>
          <w:numId w:val="1007"/>
        </w:numPr>
      </w:pPr>
      <w:r>
        <w:t xml:space="preserve">Il muscolo interviene prima dell’articolazione, non dopo.</w:t>
      </w:r>
    </w:p>
    <w:p>
      <w:pPr>
        <w:pStyle w:val="Compact"/>
        <w:numPr>
          <w:ilvl w:val="0"/>
          <w:numId w:val="1007"/>
        </w:numPr>
      </w:pPr>
      <w:r>
        <w:t xml:space="preserve">La via che informa il sistema nervoso è la stessa che, quando l’articolazione si gonfia, spegne il muscolo.</w:t>
      </w:r>
    </w:p>
    <w:p>
      <w:pPr>
        <w:pStyle w:val="Compact"/>
        <w:numPr>
          <w:ilvl w:val="0"/>
          <w:numId w:val="1007"/>
        </w:numPr>
      </w:pPr>
      <w:r>
        <w:rPr>
          <w:b/>
          <w:bCs/>
        </w:rPr>
        <w:t xml:space="preserve">Perché ci sei tu.</w:t>
      </w:r>
      <w:r>
        <w:t xml:space="preserve"> </w:t>
      </w:r>
      <w:r>
        <w:t xml:space="preserve">Undici studi longitudinali hanno seguito 46.819 persone senza artrosi all’inizio. Chi aveva gli estensori del ginocchio più deboli aveva più probabilità di svilupparne una sintomatica negli anni successivi (Øiestad,</w:t>
      </w:r>
      <w:r>
        <w:t xml:space="preserve"> </w:t>
      </w:r>
      <w:r>
        <w:rPr>
          <w:i/>
          <w:iCs/>
        </w:rPr>
        <w:t xml:space="preserve">Br J Sports Med</w:t>
      </w:r>
      <w:r>
        <w:t xml:space="preserve"> </w:t>
      </w:r>
      <w:r>
        <w:t xml:space="preserve">2022, PMID 34916210).</w:t>
      </w:r>
      <w:r>
        <w:t xml:space="preserve"> </w:t>
      </w:r>
      <w:r>
        <w:rPr>
          <w:b/>
          <w:bCs/>
        </w:rPr>
        <w:t xml:space="preserve">Gli autori graduano da sé la certezza come bassa.</w:t>
      </w:r>
      <w:r>
        <w:t xml:space="preserve"> </w:t>
      </w:r>
      <w:r>
        <w:rPr>
          <w:b/>
          <w:bCs/>
        </w:rPr>
        <w:t xml:space="preserve">Per te:</w:t>
      </w:r>
      <w:r>
        <w:t xml:space="preserve"> </w:t>
      </w:r>
      <w:r>
        <w:t xml:space="preserve">la forza precede plausibilmente l’artrosi, invece di seguirla. Quindi misurarla e allenarla è un intervento sul meccanismo, non una ginnastica di supporto. Non ti autorizza a dire al paziente che rinforzando eviterà l’artrosi.</w:t>
      </w:r>
    </w:p>
    <w:p>
      <w:r>
        <w:pict>
          <v:rect style="width:0;height:1.5pt" o:hralign="center" o:hrstd="t" o:hr="t"/>
        </w:pict>
      </w:r>
    </w:p>
    <w:bookmarkEnd w:id="28"/>
    <w:bookmarkStart w:id="35"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si rompono, e la cartilagine consumata è la sola su cui non puoi fare niente.</w:t>
      </w:r>
    </w:p>
    <w:p>
      <w:pPr>
        <w:pStyle w:val="FirstParagraph"/>
      </w:pPr>
      <w:r>
        <w:t xml:space="preserve">I meccanismi sono ordinati dal più solido al meno solido.</w:t>
      </w:r>
      <w:r>
        <w:t xml:space="preserve"> </w:t>
      </w:r>
      <w:r>
        <w:rPr>
          <w:b/>
          <w:bCs/>
        </w:rPr>
        <w:t xml:space="preserve">Il primo è quello che regge tutti gli altri.</w:t>
      </w:r>
      <w:r>
        <w:t xml:space="preserve"> </w:t>
      </w:r>
      <w:r>
        <w:t xml:space="preserve">È la sorgente del segnale che gli altri quattro modulano, spostano o amplificano: se cade lui, cade il capitolo.</w:t>
      </w:r>
    </w:p>
    <w:p>
      <w:pPr>
        <w:pStyle w:val="BodyText"/>
      </w:pPr>
      <w:r>
        <w:rPr>
          <w:b/>
          <w:bCs/>
        </w:rPr>
        <w:t xml:space="preserve">E i cinque non stanno in fila: stanno in cerchio.</w:t>
      </w:r>
      <w:r>
        <w:t xml:space="preserve"> </w:t>
      </w:r>
      <w:r>
        <w:t xml:space="preserve">Il carico si concentra, l’osso sotto duole, il paziente risparmia, il muscolo smette di frenare, e il carico torna a concentrarsi. Ogni meccanismo è un punto d’ingresso nello stesso giro.</w:t>
      </w:r>
    </w:p>
    <w:p>
      <w:pPr>
        <w:pStyle w:val="BodyText"/>
      </w:pPr>
      <w:r>
        <w:rPr>
          <w:b/>
          <w:bCs/>
        </w:rPr>
        <w:t xml:space="preserve">Di che tipo di dolore stiamo parlando.</w:t>
      </w:r>
      <w:r>
        <w:t xml:space="preserve"> </w:t>
      </w:r>
      <w:r>
        <w:t xml:space="preserve">Il quadro atteso è</w:t>
      </w:r>
      <w:r>
        <w:t xml:space="preserve"> </w:t>
      </w:r>
      <w:r>
        <w:rPr>
          <w:b/>
          <w:bCs/>
        </w:rPr>
        <w:t xml:space="preserve">misto</w:t>
      </w:r>
      <w:r>
        <w:t xml:space="preserve">. Alla base c’è un dolore</w:t>
      </w:r>
      <w:r>
        <w:t xml:space="preserve"> </w:t>
      </w:r>
      <w:r>
        <w:rPr>
          <w:i/>
          <w:iCs/>
        </w:rPr>
        <w:t xml:space="preserve">nocicettivo</w:t>
      </w:r>
      <w:r>
        <w:t xml:space="preserve">, che nasce da un tessuto realmente sollecitato o infiammato, con una componente periferica infiammatoria sinoviale. A questo si aggiunge un sottogruppo con profilo</w:t>
      </w:r>
      <w:r>
        <w:t xml:space="preserve"> </w:t>
      </w:r>
      <w:r>
        <w:rPr>
          <w:i/>
          <w:iCs/>
        </w:rPr>
        <w:t xml:space="preserve">nociplastico</w:t>
      </w:r>
      <w:r>
        <w:t xml:space="preserve">: il dolore è prodotto da un cambiamento nel modo in cui il sistema nervoso elabora il segnale, non da un danno proporzionato. Quel sottogruppo la radiografia non lo predice, e ha un esito peggiore, anche dopo la protesi (Soni,</w:t>
      </w:r>
      <w:r>
        <w:t xml:space="preserve"> </w:t>
      </w:r>
      <w:r>
        <w:rPr>
          <w:i/>
          <w:iCs/>
        </w:rPr>
        <w:t xml:space="preserve">Arthritis Rheumatol</w:t>
      </w:r>
      <w:r>
        <w:t xml:space="preserve"> </w:t>
      </w:r>
      <w:r>
        <w:t xml:space="preserve">2019, PMID 30295432). È il meccanismo 3, e ha un suo sottotipo.</w:t>
      </w:r>
    </w:p>
    <w:bookmarkStart w:id="29" w:name="X2ee7c6296795d1b9abb39ab722c8b6c8af01ada"/>
    <w:p>
      <w:pPr>
        <w:pStyle w:val="Heading3"/>
      </w:pPr>
      <w:r>
        <w:t xml:space="preserve">1. Il dolore che non viene da dove il paziente lo indica</w:t>
      </w:r>
    </w:p>
    <w:p>
      <w:pPr>
        <w:pStyle w:val="FirstParagraph"/>
      </w:pPr>
      <w:r>
        <w:t xml:space="preserve">La catena:</w:t>
      </w:r>
    </w:p>
    <w:p>
      <w:pPr>
        <w:pStyle w:val="Compact"/>
        <w:numPr>
          <w:ilvl w:val="0"/>
          <w:numId w:val="1008"/>
        </w:numPr>
      </w:pPr>
      <w:r>
        <w:t xml:space="preserve">La cartilagine si assottiglia e smette di distribuire la forza su un’area ampia.</w:t>
      </w:r>
    </w:p>
    <w:p>
      <w:pPr>
        <w:pStyle w:val="Compact"/>
        <w:numPr>
          <w:ilvl w:val="0"/>
          <w:numId w:val="1008"/>
        </w:numPr>
      </w:pPr>
      <w:r>
        <w:t xml:space="preserve">La pressione per unità di superficie sale sull’osso subcondrale, che è pieno di fibre dolorifiche.</w:t>
      </w:r>
    </w:p>
    <w:p>
      <w:pPr>
        <w:pStyle w:val="Compact"/>
        <w:numPr>
          <w:ilvl w:val="0"/>
          <w:numId w:val="1008"/>
        </w:numPr>
      </w:pPr>
      <w:r>
        <w:t xml:space="preserve">L’osso reagisce: edema midollare, microfratture trabecolari, rimodellamento. In parallelo la sinovia si infiamma, produce versamento e libera mediatori che sensibilizzano le terminazioni della capsula.</w:t>
      </w:r>
    </w:p>
    <w:p>
      <w:pPr>
        <w:pStyle w:val="Compact"/>
        <w:numPr>
          <w:ilvl w:val="0"/>
          <w:numId w:val="1008"/>
        </w:numPr>
      </w:pPr>
      <w:r>
        <w:t xml:space="preserve">Il segnale che arriva al sistema nervoso nasce da osso, sinovia, capsula e grasso di Hoffa. Dalla cartilagine non nasce niente, perché non ha nervi.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le lesioni midollari ossee sono associate alla</w:t>
      </w:r>
      <w:r>
        <w:t xml:space="preserve"> </w:t>
      </w:r>
      <w:r>
        <w:rPr>
          <w:b/>
          <w:bCs/>
        </w:rPr>
        <w:t xml:space="preserve">presenza</w:t>
      </w:r>
      <w:r>
        <w:t xml:space="preserve"> </w:t>
      </w:r>
      <w:r>
        <w:t xml:space="preserve">di dolore con una differenza netta, 77,5% contro 30% (Felson,</w:t>
      </w:r>
      <w:r>
        <w:t xml:space="preserve"> </w:t>
      </w:r>
      <w:r>
        <w:rPr>
          <w:i/>
          <w:iCs/>
        </w:rPr>
        <w:t xml:space="preserve">Ann Intern Med</w:t>
      </w:r>
      <w:r>
        <w:t xml:space="preserve"> </w:t>
      </w:r>
      <w:r>
        <w:t xml:space="preserve">2001, PMID 11281736; nello stesso studio non sono associate alla sua</w:t>
      </w:r>
      <w:r>
        <w:t xml:space="preserve"> </w:t>
      </w:r>
      <w:r>
        <w:rPr>
          <w:i/>
          <w:iCs/>
        </w:rPr>
        <w:t xml:space="preserve">intensità</w:t>
      </w:r>
      <w:r>
        <w:t xml:space="preserve">). Osso subcondrale e sinovia sono indicati come sorgenti nocicettive nella sintesi di riferimento (Dieppe &amp; Lohmander,</w:t>
      </w:r>
      <w:r>
        <w:t xml:space="preserve"> </w:t>
      </w:r>
      <w:r>
        <w:rPr>
          <w:i/>
          <w:iCs/>
        </w:rPr>
        <w:t xml:space="preserve">Lancet</w:t>
      </w:r>
      <w:r>
        <w:t xml:space="preserve"> </w:t>
      </w:r>
      <w:r>
        <w:t xml:space="preserve">2005, PMID 15766999). Che il tuo lavoro modifichi quelle lesioni non è dimostrato, ed è un’altra affermazione.</w:t>
      </w:r>
    </w:p>
    <w:p>
      <w:pPr>
        <w:pStyle w:val="FirstParagraph"/>
      </w:pPr>
      <w:r>
        <w:rPr>
          <w:b/>
          <w:bCs/>
        </w:rPr>
        <w:t xml:space="preserve">Come si vede addosso al paziente.</w:t>
      </w:r>
      <w:r>
        <w:t xml:space="preserve"> </w:t>
      </w:r>
      <w:r>
        <w:t xml:space="preserve">Dolore profondo e sordo, che compare dopo un tempo di carico e non subito. Peggiora col cammino prolungato e migliora fermandosi. Gonfiore che va e viene nella settimana. Nei giorni con versamento l’articolazione non arriva né in flessione né in estensione completa.</w:t>
      </w:r>
    </w:p>
    <w:p>
      <w:pPr>
        <w:pStyle w:val="BodyText"/>
      </w:pPr>
      <w:r>
        <w:rPr>
          <w:b/>
          <w:bCs/>
        </w:rPr>
        <w:t xml:space="preserve">Il pavimento sotto la moquette: la moquette consumata non fa male, il pavimento che ora prende i colpi sì.</w:t>
      </w:r>
    </w:p>
    <w:bookmarkEnd w:id="29"/>
    <w:bookmarkStart w:id="30" w:name="lammortizzatore-che-si-scarica"/>
    <w:p>
      <w:pPr>
        <w:pStyle w:val="Heading3"/>
      </w:pPr>
      <w:r>
        <w:t xml:space="preserve">2. L’ammortizzatore che si scarica</w:t>
      </w:r>
    </w:p>
    <w:p>
      <w:pPr>
        <w:pStyle w:val="FirstParagraph"/>
      </w:pPr>
      <w:r>
        <w:t xml:space="preserve">La catena.</w:t>
      </w:r>
      <w:r>
        <w:t xml:space="preserve"> </w:t>
      </w:r>
      <w:r>
        <w:rPr>
          <w:b/>
          <w:bCs/>
        </w:rPr>
        <w:t xml:space="preserve">Sono due cause parallele sullo stesso muscolo, e solo una dipende dal dolore.</w:t>
      </w:r>
    </w:p>
    <w:p>
      <w:pPr>
        <w:pStyle w:val="Compact"/>
        <w:numPr>
          <w:ilvl w:val="0"/>
          <w:numId w:val="1009"/>
        </w:numPr>
      </w:pPr>
      <w:r>
        <w:rPr>
          <w:b/>
          <w:bCs/>
        </w:rPr>
        <w:t xml:space="preserve">Via volontaria:</w:t>
      </w:r>
      <w:r>
        <w:t xml:space="preserve"> </w:t>
      </w:r>
      <w:r>
        <w:t xml:space="preserve">l’articolazione fa male, e il paziente riduce il carico su quell’arto senza accorgersene. Meno uso, meno forza.</w:t>
      </w:r>
    </w:p>
    <w:p>
      <w:pPr>
        <w:pStyle w:val="Compact"/>
        <w:numPr>
          <w:ilvl w:val="0"/>
          <w:numId w:val="1009"/>
        </w:numPr>
      </w:pPr>
      <w:r>
        <w:rPr>
          <w:b/>
          <w:bCs/>
        </w:rPr>
        <w:t xml:space="preserve">Via riflessa, indipendente dal dolore:</w:t>
      </w:r>
      <w:r>
        <w:t xml:space="preserve"> </w:t>
      </w:r>
      <w:r>
        <w:t xml:space="preserve">gonfiore, infiammazione e lassità cambiano la scarica dei recettori della capsula. Quel cambiamento inibisce l’attivazione volontaria del muscolo estensore, per via riflessa spinale. È l’</w:t>
      </w:r>
      <w:r>
        <w:rPr>
          <w:b/>
          <w:bCs/>
        </w:rPr>
        <w:t xml:space="preserve">inibizione muscolare artrogena</w:t>
      </w:r>
      <w:r>
        <w:t xml:space="preserve">: il muscolo non si lascia reclutare del tutto, anche quando il paziente ci prova. Il versamento sperimentale la produce</w:t>
      </w:r>
      <w:r>
        <w:t xml:space="preserve"> </w:t>
      </w:r>
      <w:r>
        <w:rPr>
          <w:b/>
          <w:bCs/>
        </w:rPr>
        <w:t xml:space="preserve">in volontari sani, senza alcun dolore</w:t>
      </w:r>
      <w:r>
        <w:t xml:space="preserve"> </w:t>
      </w:r>
      <w:r>
        <w:t xml:space="preserve">(Lepley,</w:t>
      </w:r>
      <w:r>
        <w:t xml:space="preserve"> </w:t>
      </w:r>
      <w:r>
        <w:rPr>
          <w:i/>
          <w:iCs/>
        </w:rPr>
        <w:t xml:space="preserve">Knee Surg Sports Traumatol Arthrosc</w:t>
      </w:r>
      <w:r>
        <w:t xml:space="preserve"> </w:t>
      </w:r>
      <w:r>
        <w:t xml:space="preserve">2015, PMID 24326780). Il contributo sopraspinale non è stato dimostrato (Rice,</w:t>
      </w:r>
      <w:r>
        <w:t xml:space="preserve"> </w:t>
      </w:r>
      <w:r>
        <w:rPr>
          <w:i/>
          <w:iCs/>
        </w:rPr>
        <w:t xml:space="preserve">Arthritis Res Ther</w:t>
      </w:r>
      <w:r>
        <w:t xml:space="preserve"> </w:t>
      </w:r>
      <w:r>
        <w:t xml:space="preserve">2014, PMID 25497133).</w:t>
      </w:r>
    </w:p>
    <w:p>
      <w:pPr>
        <w:pStyle w:val="Compact"/>
        <w:numPr>
          <w:ilvl w:val="0"/>
          <w:numId w:val="1009"/>
        </w:numPr>
      </w:pPr>
      <w:r>
        <w:t xml:space="preserve">Meno reclutamento significa meno frenata eccentrica, quindi picchi di carico più alti sull’osso già sensibile.</w:t>
      </w:r>
    </w:p>
    <w:p>
      <w:pPr>
        <w:pStyle w:val="Compact"/>
        <w:numPr>
          <w:ilvl w:val="0"/>
          <w:numId w:val="1009"/>
        </w:numPr>
      </w:pPr>
      <w:r>
        <w:t xml:space="preserve">Più dolore, più risparmio, più inibizione. Il giro si chiude e si stringe.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debolezza degli estensori come fattore che precede l’artrosi sintomatica: 46.819 persone, ma gli autori dichiarano prove di</w:t>
      </w:r>
      <w:r>
        <w:t xml:space="preserve"> </w:t>
      </w:r>
      <w:r>
        <w:rPr>
          <w:b/>
          <w:bCs/>
        </w:rPr>
        <w:t xml:space="preserve">bassa qualità</w:t>
      </w:r>
      <w:r>
        <w:t xml:space="preserve"> </w:t>
      </w:r>
      <w:r>
        <w:t xml:space="preserve">e odds ratio fra 1,39 e 1,85 (Øiestad,</w:t>
      </w:r>
      <w:r>
        <w:t xml:space="preserve"> </w:t>
      </w:r>
      <w:r>
        <w:rPr>
          <w:i/>
          <w:iCs/>
        </w:rPr>
        <w:t xml:space="preserve">Br J Sports Med</w:t>
      </w:r>
      <w:r>
        <w:t xml:space="preserve"> </w:t>
      </w:r>
      <w:r>
        <w:t xml:space="preserve">2022, PMID 34916210). PROBABILE</w:t>
      </w:r>
      <w:r>
        <w:t xml:space="preserve"> </w:t>
      </w:r>
      <w:r>
        <w:rPr>
          <w:i/>
          <w:iCs/>
        </w:rPr>
        <w:t xml:space="preserve">(razionale forte, prove parziali)</w:t>
      </w:r>
      <w:r>
        <w:t xml:space="preserve"> </w:t>
      </w:r>
      <w:r>
        <w:t xml:space="preserve">anche per l’inibizione artrogena come motore del circolo: i meccanismi spinali sono descritti, coerenti e riprodotti sperimentalmente, mentre le prove sugli interventi che la annullano sono preliminari (Rice &amp; McNair,</w:t>
      </w:r>
      <w:r>
        <w:t xml:space="preserve"> </w:t>
      </w:r>
      <w:r>
        <w:rPr>
          <w:i/>
          <w:iCs/>
        </w:rPr>
        <w:t xml:space="preserve">Semin Arthritis Rheum</w:t>
      </w:r>
      <w:r>
        <w:t xml:space="preserve"> </w:t>
      </w:r>
      <w:r>
        <w:t xml:space="preserve">2010, PMID 19954822). DIMOSTRATO</w:t>
      </w:r>
      <w:r>
        <w:t xml:space="preserve"> </w:t>
      </w:r>
      <w:r>
        <w:rPr>
          <w:i/>
          <w:iCs/>
        </w:rPr>
        <w:t xml:space="preserve">(studi sull’uomo, solidi)</w:t>
      </w:r>
      <w:r>
        <w:t xml:space="preserve"> </w:t>
      </w:r>
      <w:r>
        <w:t xml:space="preserve">resta per l’esercizio come</w:t>
      </w:r>
      <w:r>
        <w:t xml:space="preserve"> </w:t>
      </w:r>
      <w:r>
        <w:rPr>
          <w:b/>
          <w:bCs/>
        </w:rPr>
        <w:t xml:space="preserve">intervento</w:t>
      </w:r>
      <w:r>
        <w:t xml:space="preserve"> </w:t>
      </w:r>
      <w:r>
        <w:t xml:space="preserve">— vedi «Cosa può fare il paziente da solo».</w:t>
      </w:r>
    </w:p>
    <w:p>
      <w:pPr>
        <w:pStyle w:val="FirstParagraph"/>
      </w:pPr>
      <w:r>
        <w:rPr>
          <w:b/>
          <w:bCs/>
        </w:rPr>
        <w:t xml:space="preserve">Cosa cambia per te.</w:t>
      </w:r>
      <w:r>
        <w:t xml:space="preserve"> </w:t>
      </w:r>
      <w:r>
        <w:t xml:space="preserve">Togliere il dolore non restituisce il reclutamento: la via riflessa non passa da lì. La disinibizione la costruisce il carico ripetuto.</w:t>
      </w:r>
    </w:p>
    <w:p>
      <w:pPr>
        <w:pStyle w:val="BodyText"/>
      </w:pPr>
      <w:r>
        <w:rPr>
          <w:b/>
          <w:bCs/>
        </w:rPr>
        <w:t xml:space="preserve">Come si vede addosso al paziente.</w:t>
      </w:r>
      <w:r>
        <w:t xml:space="preserve"> </w:t>
      </w:r>
      <w:r>
        <w:t xml:space="preserve">Coscia visibilmente più sottile da un lato. Non si alza da una sedia bassa senza spingersi con le braccia. Nel test dell’alzarsi in trenta secondi fa poche ripetizioni e sposta il tronco in avanti. Scende le scale un gradino alla volta, sempre con la stessa gamba avanti.</w:t>
      </w:r>
    </w:p>
    <w:p>
      <w:pPr>
        <w:pStyle w:val="BodyText"/>
      </w:pPr>
      <w:r>
        <w:rPr>
          <w:b/>
          <w:bCs/>
        </w:rPr>
        <w:t xml:space="preserve">La molla della porta tagliafuoco quando è scarica: la porta si chiude lo stesso, ma sbatte.</w:t>
      </w:r>
    </w:p>
    <w:bookmarkEnd w:id="30"/>
    <w:bookmarkStart w:id="31" w:name="la-soglia-che-si-consuma"/>
    <w:p>
      <w:pPr>
        <w:pStyle w:val="Heading3"/>
      </w:pPr>
      <w:r>
        <w:t xml:space="preserve">3. La soglia che si consuma</w:t>
      </w:r>
    </w:p>
    <w:p>
      <w:pPr>
        <w:pStyle w:val="FirstParagraph"/>
      </w:pPr>
      <w:r>
        <w:t xml:space="preserve">La catena:</w:t>
      </w:r>
    </w:p>
    <w:p>
      <w:pPr>
        <w:pStyle w:val="Compact"/>
        <w:numPr>
          <w:ilvl w:val="0"/>
          <w:numId w:val="1010"/>
        </w:numPr>
      </w:pPr>
      <w:r>
        <w:t xml:space="preserve">Un ingresso nocicettivo continuo dall’articolazione tiene attivo il midollo spinale.</w:t>
      </w:r>
    </w:p>
    <w:p>
      <w:pPr>
        <w:pStyle w:val="Compact"/>
        <w:numPr>
          <w:ilvl w:val="0"/>
          <w:numId w:val="1010"/>
        </w:numPr>
      </w:pPr>
      <w:r>
        <w:t xml:space="preserve">I neuroni di secondo ordine del midollo diventano più facili da eccitare: il dolore cresce nella zona intorno all’articolazione.</w:t>
      </w:r>
    </w:p>
    <w:p>
      <w:pPr>
        <w:pStyle w:val="Compact"/>
        <w:numPr>
          <w:ilvl w:val="0"/>
          <w:numId w:val="1010"/>
        </w:numPr>
      </w:pPr>
      <w:r>
        <w:rPr>
          <w:b/>
          <w:bCs/>
        </w:rPr>
        <w:t xml:space="preserve">Il tronco encefalico cambia bilancio.</w:t>
      </w:r>
      <w:r>
        <w:t xml:space="preserve"> </w:t>
      </w:r>
      <w:r>
        <w:t xml:space="preserve">Il freno discendente che modula il dolore perde efficacia, e la via che lo facilita si accende.</w:t>
      </w:r>
      <w:r>
        <w:t xml:space="preserve"> </w:t>
      </w:r>
      <w:r>
        <w:rPr>
          <w:b/>
          <w:bCs/>
        </w:rPr>
        <w:t xml:space="preserve">È a questo livello, non nel midollo, che la soglia scende anche dove il midollo segmentale non arriva:</w:t>
      </w:r>
      <w:r>
        <w:t xml:space="preserve"> </w:t>
      </w:r>
      <w:r>
        <w:t xml:space="preserve">i neuroni spinali hanno campi recettivi ristretti, e non possono spiegare una soglia più bassa all’avambraccio controlaterale (Soni, PMID 30295432; Arant,</w:t>
      </w:r>
      <w:r>
        <w:t xml:space="preserve"> </w:t>
      </w:r>
      <w:r>
        <w:rPr>
          <w:i/>
          <w:iCs/>
        </w:rPr>
        <w:t xml:space="preserve">Osteoarthritis Cartilage</w:t>
      </w:r>
      <w:r>
        <w:t xml:space="preserve"> </w:t>
      </w:r>
      <w:r>
        <w:t xml:space="preserve">2022, PMID 34597800).</w:t>
      </w:r>
    </w:p>
    <w:p>
      <w:pPr>
        <w:pStyle w:val="Compact"/>
        <w:numPr>
          <w:ilvl w:val="0"/>
          <w:numId w:val="1010"/>
        </w:numPr>
      </w:pPr>
      <w:r>
        <w:t xml:space="preserve">Da quel momento un carico normale produce un dolore che a quel carico non corrisponde.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come fenomeno — sono stati studiati 48 pazienti con artrosi di ginocchio e 24 controlli. Chi aveva dolore intenso mostrava soglie di pressione più basse anche all’avambraccio, sommazione temporale facilitata e controllo discendente ridotto (Arendt-Nielsen,</w:t>
      </w:r>
      <w:r>
        <w:t xml:space="preserve"> </w:t>
      </w:r>
      <w:r>
        <w:rPr>
          <w:i/>
          <w:iCs/>
        </w:rPr>
        <w:t xml:space="preserve">Pain</w:t>
      </w:r>
      <w:r>
        <w:t xml:space="preserve"> </w:t>
      </w:r>
      <w:r>
        <w:t xml:space="preserve">2010, PMID 20418016). Il pattern si normalizza dopo una protesi riuscita (Arant, PMID 34597800). Che comandi</w:t>
      </w:r>
      <w:r>
        <w:t xml:space="preserve"> </w:t>
      </w:r>
      <w:r>
        <w:rPr>
          <w:i/>
          <w:iCs/>
        </w:rPr>
        <w:t xml:space="preserve">in questo paziente</w:t>
      </w:r>
      <w:r>
        <w:t xml:space="preserve"> </w:t>
      </w:r>
      <w:r>
        <w:t xml:space="preserve">è un’ipotesi che verifichi tu, non un dato.</w:t>
      </w:r>
    </w:p>
    <w:p>
      <w:pPr>
        <w:pStyle w:val="FirstParagraph"/>
      </w:pPr>
      <w:r>
        <w:rPr>
          <w:b/>
          <w:bCs/>
        </w:rPr>
        <w:t xml:space="preserve">Come si vede addosso al paziente.</w:t>
      </w:r>
      <w:r>
        <w:t xml:space="preserve"> </w:t>
      </w:r>
      <w:r>
        <w:t xml:space="preserve">Il dolore non ha un rapporto ordinato con quello che fa: giornate uguali danno dolori diversi. Fa male a riposo, di notte, e al tatto anche fuori dall’articolazione. Le parole che usa sono sproporzionate ai reperti locali, e il sonno è rotto.</w:t>
      </w:r>
    </w:p>
    <w:p>
      <w:pPr>
        <w:pStyle w:val="BodyText"/>
      </w:pPr>
      <w:r>
        <w:rPr>
          <w:b/>
          <w:bCs/>
        </w:rPr>
        <w:t xml:space="preserve">Il sonno non è solo un segno di questo meccanismo: è anche un bersaglio, e non è tuo.</w:t>
      </w:r>
      <w:r>
        <w:t xml:space="preserve"> </w:t>
      </w:r>
      <w:r>
        <w:t xml:space="preserve">In questi pazienti la riduzione dei risvegli notturni predice la riduzione successiva del dolore. Ma il dolore in sé non è calato più che col placebo (Smith, PMID 25623343; per esteso in «Cosa può fare il paziente da solo»).</w:t>
      </w:r>
    </w:p>
    <w:p>
      <w:pPr>
        <w:pStyle w:val="BodyText"/>
      </w:pPr>
      <w:r>
        <w:rPr>
          <w:b/>
          <w:bCs/>
        </w:rPr>
        <w:t xml:space="preserve">Perché conta il livello.</w:t>
      </w:r>
      <w:r>
        <w:t xml:space="preserve"> </w:t>
      </w:r>
      <w:r>
        <w:t xml:space="preserve">Se il relè è nel tronco encefalico, la soglia all’avambraccio può muoversi senza che il ginocchio si muova, e viceversa. È questo che rende quella misura un</w:t>
      </w:r>
      <w:r>
        <w:t xml:space="preserve"> </w:t>
      </w:r>
      <w:r>
        <w:rPr>
          <w:b/>
          <w:bCs/>
        </w:rPr>
        <w:t xml:space="preserve">marker fuori piano</w:t>
      </w:r>
      <w:r>
        <w:t xml:space="preserve">.</w:t>
      </w:r>
    </w:p>
    <w:p>
      <w:pPr>
        <w:pStyle w:val="BodyText"/>
      </w:pPr>
      <w:r>
        <w:rPr>
          <w:b/>
          <w:bCs/>
        </w:rPr>
        <w:t xml:space="preserve">Lo scoperto sul conto: quando il conto è già in rosso, ogni spesa normale costa di più.</w:t>
      </w:r>
    </w:p>
    <w:bookmarkEnd w:id="31"/>
    <w:bookmarkStart w:id="32" w:name="Xaf09f4564a5144dc97b2c2fbed11d3db8662c67"/>
    <w:p>
      <w:pPr>
        <w:pStyle w:val="Heading3"/>
      </w:pPr>
      <w:r>
        <w:t xml:space="preserve">4. Il carico che si concentra sempre nello stesso punto</w:t>
      </w:r>
    </w:p>
    <w:p>
      <w:pPr>
        <w:pStyle w:val="FirstParagraph"/>
      </w:pPr>
      <w:r>
        <w:t xml:space="preserve">La catena:</w:t>
      </w:r>
    </w:p>
    <w:p>
      <w:pPr>
        <w:pStyle w:val="Compact"/>
        <w:numPr>
          <w:ilvl w:val="0"/>
          <w:numId w:val="1011"/>
        </w:numPr>
      </w:pPr>
      <w:r>
        <w:t xml:space="preserve">Peso corporeo, allineamento e modo di camminare decidono dove si scarica la forza dentro l’articolazione.</w:t>
      </w:r>
    </w:p>
    <w:p>
      <w:pPr>
        <w:pStyle w:val="Compact"/>
        <w:numPr>
          <w:ilvl w:val="0"/>
          <w:numId w:val="1011"/>
        </w:numPr>
      </w:pPr>
      <w:r>
        <w:t xml:space="preserve">Un’articolazione vicina che si muove meno — anca rigida, caviglia bloccata — sposta lavoro su quella malata.</w:t>
      </w:r>
    </w:p>
    <w:p>
      <w:pPr>
        <w:pStyle w:val="Compact"/>
        <w:numPr>
          <w:ilvl w:val="0"/>
          <w:numId w:val="1011"/>
        </w:numPr>
      </w:pPr>
      <w:r>
        <w:t xml:space="preserve">La forza si concentra su una porzione ristretta di superficie, sempre la stessa. Lì la cartilagine si consuma più in fretta e l’osso sotto si sovraccarica, in quel punto e non in modo diffuso.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il peso, nel senso che «Come si usa questa Bibbia» dà alle misure sperimentali dirette. Sono stati studiati 142 adulti sovrappeso con artrosi di ginocchio, con analisi tridimensionale del cammino. Ogni chilo perso corrisponde a circa quattro chili in meno di forza compressiva a ogni passo (Messier,</w:t>
      </w:r>
      <w:r>
        <w:t xml:space="preserve"> </w:t>
      </w:r>
      <w:r>
        <w:rPr>
          <w:i/>
          <w:iCs/>
        </w:rPr>
        <w:t xml:space="preserve">Arthritis Rheum</w:t>
      </w:r>
      <w:r>
        <w:t xml:space="preserve"> </w:t>
      </w:r>
      <w:r>
        <w:t xml:space="preserve">2005, PMID 15986358). Non è un trial randomizzato, ed è una misura biomeccanica. PROBABILE</w:t>
      </w:r>
      <w:r>
        <w:t xml:space="preserve"> </w:t>
      </w:r>
      <w:r>
        <w:rPr>
          <w:i/>
          <w:iCs/>
        </w:rPr>
        <w:t xml:space="preserve">(razionale forte, prove parziali)</w:t>
      </w:r>
      <w:r>
        <w:t xml:space="preserve"> </w:t>
      </w:r>
      <w:r>
        <w:t xml:space="preserve">per la quota di carico che dipende dalle articolazioni vicine: nessuno l’ha quantificata prima e dopo un trattamento manuale.</w:t>
      </w:r>
    </w:p>
    <w:p>
      <w:pPr>
        <w:pStyle w:val="FirstParagraph"/>
      </w:pPr>
      <w:r>
        <w:rPr>
          <w:b/>
          <w:bCs/>
        </w:rPr>
        <w:t xml:space="preserve">Come si vede addosso al paziente.</w:t>
      </w:r>
      <w:r>
        <w:t xml:space="preserve"> </w:t>
      </w:r>
      <w:r>
        <w:t xml:space="preserve">Suole consumate in modo asimmetrico. Ginocchio varo o valgo evidente in piedi. Rotazione d’anca ridotta da un lato. Dorsiflessione di caviglia limitata nell’affondo al muro. Zoppia di fuga, con appoggio più breve sul lato dolente.</w:t>
      </w:r>
    </w:p>
    <w:p>
      <w:pPr>
        <w:pStyle w:val="BodyText"/>
      </w:pPr>
      <w:r>
        <w:rPr>
          <w:b/>
          <w:bCs/>
        </w:rPr>
        <w:t xml:space="preserve">La suola consumata da un lato solo: non è la scarpa che è scadente, è il modo in cui ci cammini dentro.</w:t>
      </w:r>
    </w:p>
    <w:bookmarkEnd w:id="32"/>
    <w:bookmarkStart w:id="33" w:name="la-difesa-che-diventa-il-problema"/>
    <w:p>
      <w:pPr>
        <w:pStyle w:val="Heading3"/>
      </w:pPr>
      <w:r>
        <w:t xml:space="preserve">5. La difesa che diventa il problema</w:t>
      </w:r>
    </w:p>
    <w:p>
      <w:pPr>
        <w:pStyle w:val="FirstParagraph"/>
      </w:pPr>
      <w:r>
        <w:t xml:space="preserve">La catena:</w:t>
      </w:r>
    </w:p>
    <w:p>
      <w:pPr>
        <w:pStyle w:val="Compact"/>
        <w:numPr>
          <w:ilvl w:val="0"/>
          <w:numId w:val="1012"/>
        </w:numPr>
      </w:pPr>
      <w:r>
        <w:t xml:space="preserve">Il paziente riceve un’immagine e una spiegazione:</w:t>
      </w:r>
      <w:r>
        <w:t xml:space="preserve"> </w:t>
      </w:r>
      <w:r>
        <w:t xml:space="preserve">“osso contro osso”</w:t>
      </w:r>
      <w:r>
        <w:t xml:space="preserve">.</w:t>
      </w:r>
    </w:p>
    <w:p>
      <w:pPr>
        <w:pStyle w:val="Compact"/>
        <w:numPr>
          <w:ilvl w:val="0"/>
          <w:numId w:val="1012"/>
        </w:numPr>
      </w:pPr>
      <w:r>
        <w:t xml:space="preserve">Ne deduce che caricare distrugga, e riduce le attività che caricano.</w:t>
      </w:r>
    </w:p>
    <w:p>
      <w:pPr>
        <w:pStyle w:val="Compact"/>
        <w:numPr>
          <w:ilvl w:val="0"/>
          <w:numId w:val="1012"/>
        </w:numPr>
      </w:pPr>
      <w:r>
        <w:t xml:space="preserve">Meno attività significa meno forza, meno capacità aerobica, spesso più peso.</w:t>
      </w:r>
    </w:p>
    <w:p>
      <w:pPr>
        <w:pStyle w:val="Compact"/>
        <w:numPr>
          <w:ilvl w:val="0"/>
          <w:numId w:val="1012"/>
        </w:numPr>
      </w:pPr>
      <w:r>
        <w:t xml:space="preserve">Ogni gesto residuo costa di più e fa più male. La fatica conferma la spiegazione iniziale, e la rende la guida delle sue scelte terapeutiche.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l’esistenza e la diffusione della convinzione (Bunzli,</w:t>
      </w:r>
      <w:r>
        <w:t xml:space="preserve"> </w:t>
      </w:r>
      <w:r>
        <w:rPr>
          <w:i/>
          <w:iCs/>
        </w:rPr>
        <w:t xml:space="preserve">Clin Orthop Relat Res</w:t>
      </w:r>
      <w:r>
        <w:t xml:space="preserve"> </w:t>
      </w:r>
      <w:r>
        <w:t xml:space="preserve">2019, PMID 31192807 — i numeri in «Chi ti trova davanti»). È uno studio qualitativo su pazienti in lista per protesi. PROBABILE</w:t>
      </w:r>
      <w:r>
        <w:t xml:space="preserve"> </w:t>
      </w:r>
      <w:r>
        <w:rPr>
          <w:i/>
          <w:iCs/>
        </w:rPr>
        <w:t xml:space="preserve">(razionale forte, prove parziali)</w:t>
      </w:r>
      <w:r>
        <w:t xml:space="preserve"> </w:t>
      </w:r>
      <w:r>
        <w:t xml:space="preserve">per il fatto che rimuoverla cambi l’esito: l’esercizio funziona, e la sua adesione dipende da quella convinzione.</w:t>
      </w:r>
    </w:p>
    <w:p>
      <w:pPr>
        <w:pStyle w:val="FirstParagraph"/>
      </w:pPr>
      <w:r>
        <w:rPr>
          <w:b/>
          <w:bCs/>
        </w:rPr>
        <w:t xml:space="preserve">Come si vede addosso al paziente.</w:t>
      </w:r>
      <w:r>
        <w:t xml:space="preserve"> </w:t>
      </w:r>
      <w:r>
        <w:t xml:space="preserve">Ha smesso di fare cose per paura, non per dolore. Ripete sempre la stessa spiegazione meccanica. Chiede se un movimento</w:t>
      </w:r>
      <w:r>
        <w:t xml:space="preserve"> </w:t>
      </w:r>
      <w:r>
        <w:t xml:space="preserve">“consuma”</w:t>
      </w:r>
      <w:r>
        <w:t xml:space="preserve">. Usa ausili che nessuno gli ha prescritto. Parla della protesi come dell’unica cosa che aggiusta.</w:t>
      </w:r>
    </w:p>
    <w:p>
      <w:pPr>
        <w:pStyle w:val="BodyText"/>
      </w:pPr>
      <w:r>
        <w:rPr>
          <w:b/>
          <w:bCs/>
        </w:rPr>
        <w:t xml:space="preserve">Il braccio appena uscito dal gesso: non è debole perché era rotto, è debole perché è stato fermo.</w:t>
      </w:r>
    </w:p>
    <w:bookmarkEnd w:id="33"/>
    <w:bookmarkStart w:id="34" w:name="Xe74450985109d17312f2fac4c7b1d5f1f0f5006"/>
    <w:p>
      <w:pPr>
        <w:pStyle w:val="Heading3"/>
      </w:pPr>
      <w:r>
        <w:t xml:space="preserve">Non un sesto meccanismo: uno stato — l’articolazione irritabile</w:t>
      </w:r>
    </w:p>
    <w:p>
      <w:pPr>
        <w:pStyle w:val="FirstParagraph"/>
      </w:pPr>
      <w:r>
        <w:t xml:space="preserve">I cinque meccanismi dicono</w:t>
      </w:r>
      <w:r>
        <w:t xml:space="preserve"> </w:t>
      </w:r>
      <w:r>
        <w:rPr>
          <w:b/>
          <w:bCs/>
        </w:rPr>
        <w:t xml:space="preserve">cosa</w:t>
      </w:r>
      <w:r>
        <w:t xml:space="preserve"> </w:t>
      </w:r>
      <w:r>
        <w:t xml:space="preserve">comanda. Lo stato di irritabilità dice</w:t>
      </w:r>
      <w:r>
        <w:t xml:space="preserve"> </w:t>
      </w:r>
      <w:r>
        <w:rPr>
          <w:b/>
          <w:bCs/>
        </w:rPr>
        <w:t xml:space="preserve">se oggi si può lavorare</w:t>
      </w:r>
      <w:r>
        <w:t xml:space="preserve">.</w:t>
      </w:r>
    </w:p>
    <w:p>
      <w:pPr>
        <w:pStyle w:val="BodyText"/>
      </w:pPr>
      <w:r>
        <w:rPr>
          <w:b/>
          <w:bCs/>
        </w:rPr>
        <w:t xml:space="preserve">Come si riconosce.</w:t>
      </w:r>
      <w:r>
        <w:t xml:space="preserve"> </w:t>
      </w:r>
      <w:r>
        <w:t xml:space="preserve">Il dolore dura oltre le ventiquattro ore dopo un carico che prima tollerava. Il versamento va e viene nell’arco della settimana. La rigidità mattutina si allunga per qualche giorno e poi rientra. Il paziente dice che</w:t>
      </w:r>
      <w:r>
        <w:t xml:space="preserve"> </w:t>
      </w:r>
      <w:r>
        <w:t xml:space="preserve">“è partito”</w:t>
      </w:r>
      <w:r>
        <w:t xml:space="preserve"> </w:t>
      </w:r>
      <w:r>
        <w:t xml:space="preserve">senza saper indicare la causa.</w:t>
      </w:r>
    </w:p>
    <w:p>
      <w:pPr>
        <w:pStyle w:val="BodyText"/>
      </w:pPr>
      <w:r>
        <w:rPr>
          <w:b/>
          <w:bCs/>
        </w:rPr>
        <w:t xml:space="preserve">Cos’è, e cosa cambia.</w:t>
      </w:r>
      <w:r>
        <w:t xml:space="preserve"> </w:t>
      </w:r>
      <w:r>
        <w:t xml:space="preserve">È una riacutizzazione artrosica: fa parte del decorso, non è un’altra malattia, ed è frequente. Nella coorte di Ferreira, 171 partecipanti su 345 ne hanno avuta almeno una in tre mesi (PMID 27492467). È temporanea.</w:t>
      </w:r>
    </w:p>
    <w:p>
      <w:pPr>
        <w:pStyle w:val="BodyText"/>
      </w:pPr>
      <w:r>
        <w:t xml:space="preserve">Finché dura, il meccanismo che comanda è un altro. Una leva di carico progressivo applicata in fase irritabile produce un peggioramento, e il paziente lo leggerà come conferma della frase con cui è arrivato:</w:t>
      </w:r>
      <w:r>
        <w:t xml:space="preserve"> </w:t>
      </w:r>
      <w:r>
        <w:rPr>
          <w:i/>
          <w:iCs/>
        </w:rPr>
        <w:t xml:space="preserve">muoversi consuma</w:t>
      </w:r>
      <w:r>
        <w:t xml:space="preserve">. Si sposta il bersaglio sul segmento vicino e sull’educazione, e si riprende quando lo stato rientra.</w:t>
      </w:r>
    </w:p>
    <w:p>
      <w:pPr>
        <w:pStyle w:val="BodyText"/>
      </w:pPr>
      <w:r>
        <w:rPr>
          <w:b/>
          <w:bCs/>
        </w:rPr>
        <w:t xml:space="preserve">Cosa non è.</w:t>
      </w:r>
      <w:r>
        <w:t xml:space="preserve"> </w:t>
      </w:r>
      <w:r>
        <w:rPr>
          <w:b/>
          <w:bCs/>
        </w:rPr>
        <w:t xml:space="preserve">Non è l’articolazione calda del Capitolo «Dove finisce il nostro campo».</w:t>
      </w:r>
      <w:r>
        <w:t xml:space="preserve"> </w:t>
      </w:r>
      <w:r>
        <w:t xml:space="preserve">Calore, rossore, gonfiore comparso rapidamente, febbre, o uno dei fattori d’ospite elencati là, restano bandiera rossa: quello non è uno stato, è un’uscita.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frequenza (Ferreira, PMID 27492467). RAGIONAMENTO</w:t>
      </w:r>
      <w:r>
        <w:t xml:space="preserve"> </w:t>
      </w:r>
      <w:r>
        <w:rPr>
          <w:i/>
          <w:iCs/>
        </w:rPr>
        <w:t xml:space="preserve">(cornice clinica, non una prova)</w:t>
      </w:r>
      <w:r>
        <w:t xml:space="preserve"> </w:t>
      </w:r>
      <w:r>
        <w:t xml:space="preserve">per il riconoscimento e la condotta.</w:t>
      </w:r>
    </w:p>
    <w:p>
      <w:pPr>
        <w:pStyle w:val="FirstParagraph"/>
      </w:pPr>
      <w:r>
        <w:rPr>
          <w:b/>
          <w:bCs/>
        </w:rPr>
        <w:t xml:space="preserve">Le tre cose da ricordare, più una</w:t>
      </w:r>
    </w:p>
    <w:p>
      <w:pPr>
        <w:pStyle w:val="Compact"/>
        <w:numPr>
          <w:ilvl w:val="0"/>
          <w:numId w:val="1013"/>
        </w:numPr>
      </w:pPr>
      <w:r>
        <w:t xml:space="preserve">Il dolore nasce da osso, sinovia, capsula e grasso: la cartilagine è muta.</w:t>
      </w:r>
    </w:p>
    <w:p>
      <w:pPr>
        <w:pStyle w:val="Compact"/>
        <w:numPr>
          <w:ilvl w:val="0"/>
          <w:numId w:val="1013"/>
        </w:numPr>
      </w:pPr>
      <w:r>
        <w:t xml:space="preserve">La caduta della soglia a distanza nasce nel tronco encefalico, non nel midollo: è per questo che si misura lontano dall’articolazione.</w:t>
      </w:r>
    </w:p>
    <w:p>
      <w:pPr>
        <w:pStyle w:val="Compact"/>
        <w:numPr>
          <w:ilvl w:val="0"/>
          <w:numId w:val="1013"/>
        </w:numPr>
      </w:pPr>
      <w:r>
        <w:t xml:space="preserve">L’inibizione del muscolo non dipende solo dal dolore: toglierlo non basta a restituire il reclutamento.</w:t>
      </w:r>
    </w:p>
    <w:p>
      <w:pPr>
        <w:pStyle w:val="Compact"/>
        <w:numPr>
          <w:ilvl w:val="0"/>
          <w:numId w:val="1013"/>
        </w:numPr>
      </w:pPr>
      <w:r>
        <w:rPr>
          <w:b/>
          <w:bCs/>
        </w:rPr>
        <w:t xml:space="preserve">Perché ci sei tu.</w:t>
      </w:r>
      <w:r>
        <w:t xml:space="preserve"> </w:t>
      </w:r>
      <w:r>
        <w:t xml:space="preserve">Lo studio sulla sensibilizzazione ha esaminato 48 pazienti con artrosi di ginocchio. Non è stata trovata nessuna correlazione fra i reperti radiografici standard e i parametri di dolore clinico e sperimentale (Arendt-Nielsen,</w:t>
      </w:r>
      <w:r>
        <w:t xml:space="preserve"> </w:t>
      </w:r>
      <w:r>
        <w:rPr>
          <w:i/>
          <w:iCs/>
        </w:rPr>
        <w:t xml:space="preserve">Pain</w:t>
      </w:r>
      <w:r>
        <w:t xml:space="preserve"> </w:t>
      </w:r>
      <w:r>
        <w:t xml:space="preserve">2010, PMID 20418016).</w:t>
      </w:r>
      <w:r>
        <w:t xml:space="preserve"> </w:t>
      </w:r>
      <w:r>
        <w:rPr>
          <w:b/>
          <w:bCs/>
        </w:rPr>
        <w:t xml:space="preserve">Per te:</w:t>
      </w:r>
      <w:r>
        <w:t xml:space="preserve"> </w:t>
      </w:r>
      <w:r>
        <w:t xml:space="preserve">se l’immagine non spiega il dolore, la variabile che lo spiega la devi misurare tu — e la soglia dolorosa alla pressione si misura in stanza. Questo ti autorizza a valutare la sensibilizzazione come parte della tua indagine. Non ti autorizza a dire che la struttura non conta: conta come sorgente, non come misura.</w:t>
      </w:r>
    </w:p>
    <w:p>
      <w:r>
        <w:pict>
          <v:rect style="width:0;height:1.5pt" o:hralign="center" o:hrstd="t" o:hr="t"/>
        </w:pict>
      </w:r>
    </w:p>
    <w:bookmarkEnd w:id="34"/>
    <w:bookmarkEnd w:id="35"/>
    <w:bookmarkStart w:id="36"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stessa etichetta sul referto, nove pazienti diversi, e su quattro di loro il perimetro cambia.</w:t>
      </w:r>
    </w:p>
    <w:p>
      <w:pPr>
        <w:pStyle w:val="FirstParagraph"/>
      </w:pPr>
      <w:r>
        <w:rPr>
          <w:b/>
          <w:bCs/>
        </w:rPr>
        <w:t xml:space="preserve">I sottotipi sono di due tipi, e vanno letti sapendolo.</w:t>
      </w:r>
      <w:r>
        <w:t xml:space="preserve"> </w:t>
      </w:r>
      <w:r>
        <w:t xml:space="preserve">I primi cinque si distinguono per</w:t>
      </w:r>
      <w:r>
        <w:t xml:space="preserve"> </w:t>
      </w:r>
      <w:r>
        <w:rPr>
          <w:b/>
          <w:bCs/>
        </w:rPr>
        <w:t xml:space="preserve">il meccanismo che comanda</w:t>
      </w:r>
      <w:r>
        <w:t xml:space="preserve">, e li scegli tu. Gli ultimi quattro si distinguono per</w:t>
      </w:r>
      <w:r>
        <w:t xml:space="preserve"> </w:t>
      </w:r>
      <w:r>
        <w:rPr>
          <w:b/>
          <w:bCs/>
        </w:rPr>
        <w:t xml:space="preserve">sede o stadio</w:t>
      </w:r>
      <w:r>
        <w:t xml:space="preserve">, e cambiano il perimetro del tuo lavoro prima ancora del bersaglio: sai quali chiavi ti hanno dato, e solo dopo quale porta aprire.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Ginocchio meccanico, muscolo debole</w:t>
            </w:r>
          </w:p>
        </w:tc>
        <w:tc>
          <w:tcPr/>
          <w:p>
            <w:pPr>
              <w:pStyle w:val="Compact"/>
            </w:pPr>
            <w:r>
              <w:t xml:space="preserve">Fatica ad alzarsi, coscia sottile</w:t>
            </w:r>
          </w:p>
        </w:tc>
        <w:tc>
          <w:tcPr/>
          <w:p>
            <w:pPr>
              <w:pStyle w:val="Compact"/>
            </w:pPr>
            <w:r>
              <w:t xml:space="preserve">Ammortizzatore scarico</w:t>
            </w:r>
          </w:p>
        </w:tc>
        <w:tc>
          <w:tcPr/>
          <w:p>
            <w:pPr>
              <w:pStyle w:val="Compact"/>
            </w:pPr>
            <w:r>
              <w:t xml:space="preserve">Molto</w:t>
            </w:r>
          </w:p>
        </w:tc>
      </w:tr>
      <w:tr>
        <w:tc>
          <w:tcPr/>
          <w:p>
            <w:pPr>
              <w:pStyle w:val="Compact"/>
            </w:pPr>
            <w:r>
              <w:t xml:space="preserve">Femoro-rotuleo</w:t>
            </w:r>
          </w:p>
        </w:tc>
        <w:tc>
          <w:tcPr/>
          <w:p>
            <w:pPr>
              <w:pStyle w:val="Compact"/>
            </w:pPr>
            <w:r>
              <w:t xml:space="preserve">Scale in discesa, alzarsi dalla sedia</w:t>
            </w:r>
          </w:p>
        </w:tc>
        <w:tc>
          <w:tcPr/>
          <w:p>
            <w:pPr>
              <w:pStyle w:val="Compact"/>
            </w:pPr>
            <w:r>
              <w:t xml:space="preserve">Carico concentrato</w:t>
            </w:r>
          </w:p>
        </w:tc>
        <w:tc>
          <w:tcPr/>
          <w:p>
            <w:pPr>
              <w:pStyle w:val="Compact"/>
            </w:pPr>
            <w:r>
              <w:t xml:space="preserve">Molto</w:t>
            </w:r>
          </w:p>
        </w:tc>
      </w:tr>
      <w:tr>
        <w:tc>
          <w:tcPr/>
          <w:p>
            <w:pPr>
              <w:pStyle w:val="Compact"/>
            </w:pPr>
            <w:r>
              <w:t xml:space="preserve">Dolore sproporzionato al quadro</w:t>
            </w:r>
          </w:p>
        </w:tc>
        <w:tc>
          <w:tcPr/>
          <w:p>
            <w:pPr>
              <w:pStyle w:val="Compact"/>
            </w:pPr>
            <w:r>
              <w:t xml:space="preserve">Male anche a riposo e lontano</w:t>
            </w:r>
          </w:p>
        </w:tc>
        <w:tc>
          <w:tcPr/>
          <w:p>
            <w:pPr>
              <w:pStyle w:val="Compact"/>
            </w:pPr>
            <w:r>
              <w:t xml:space="preserve">Soglia consumata</w:t>
            </w:r>
          </w:p>
        </w:tc>
        <w:tc>
          <w:tcPr/>
          <w:p>
            <w:pPr>
              <w:pStyle w:val="Compact"/>
            </w:pPr>
            <w:r>
              <w:t xml:space="preserve">Abbastanza, altro bersaglio</w:t>
            </w:r>
          </w:p>
        </w:tc>
      </w:tr>
      <w:tr>
        <w:tc>
          <w:tcPr/>
          <w:p>
            <w:pPr>
              <w:pStyle w:val="Compact"/>
            </w:pPr>
            <w:r>
              <w:t xml:space="preserve">Difesa che comanda</w:t>
            </w:r>
          </w:p>
        </w:tc>
        <w:tc>
          <w:tcPr/>
          <w:p>
            <w:pPr>
              <w:pStyle w:val="Compact"/>
            </w:pPr>
            <w:r>
              <w:t xml:space="preserve">Ha smesso per paura, non per dolore</w:t>
            </w:r>
          </w:p>
        </w:tc>
        <w:tc>
          <w:tcPr/>
          <w:p>
            <w:pPr>
              <w:pStyle w:val="Compact"/>
            </w:pPr>
            <w:r>
              <w:t xml:space="preserve">Difesa che diventa problema</w:t>
            </w:r>
          </w:p>
        </w:tc>
        <w:tc>
          <w:tcPr/>
          <w:p>
            <w:pPr>
              <w:pStyle w:val="Compact"/>
            </w:pPr>
            <w:r>
              <w:t xml:space="preserve">Molto, altro bersaglio</w:t>
            </w:r>
          </w:p>
        </w:tc>
      </w:tr>
      <w:tr>
        <w:tc>
          <w:tcPr/>
          <w:p>
            <w:pPr>
              <w:pStyle w:val="Compact"/>
            </w:pPr>
            <w:r>
              <w:t xml:space="preserve">Anziano fragile con multimorbilità</w:t>
            </w:r>
          </w:p>
        </w:tc>
        <w:tc>
          <w:tcPr/>
          <w:p>
            <w:pPr>
              <w:pStyle w:val="Compact"/>
            </w:pPr>
            <w:r>
              <w:t xml:space="preserve">Politerapia, cammino insicuro, caduta</w:t>
            </w:r>
          </w:p>
        </w:tc>
        <w:tc>
          <w:tcPr/>
          <w:p>
            <w:pPr>
              <w:pStyle w:val="Compact"/>
            </w:pPr>
            <w:r>
              <w:t xml:space="preserve">Ammortizzatore scarico</w:t>
            </w:r>
          </w:p>
        </w:tc>
        <w:tc>
          <w:tcPr/>
          <w:p>
            <w:pPr>
              <w:pStyle w:val="Compact"/>
            </w:pPr>
            <w:r>
              <w:t xml:space="preserve">Molto, dentro un vincolo</w:t>
            </w:r>
          </w:p>
        </w:tc>
      </w:tr>
      <w:tr>
        <w:tc>
          <w:tcPr/>
          <w:p>
            <w:pPr>
              <w:pStyle w:val="Compact"/>
            </w:pPr>
            <w:r>
              <w:t xml:space="preserve">Con componente infiammatoria attiva</w:t>
            </w:r>
          </w:p>
        </w:tc>
        <w:tc>
          <w:tcPr/>
          <w:p>
            <w:pPr>
              <w:pStyle w:val="Compact"/>
            </w:pPr>
            <w:r>
              <w:t xml:space="preserve">Versamento e calore ricorrenti</w:t>
            </w:r>
          </w:p>
        </w:tc>
        <w:tc>
          <w:tcPr/>
          <w:p>
            <w:pPr>
              <w:pStyle w:val="Compact"/>
            </w:pPr>
            <w:r>
              <w:t xml:space="preserve">Dolore da osso e sinovia</w:t>
            </w:r>
          </w:p>
        </w:tc>
        <w:tc>
          <w:tcPr/>
          <w:p>
            <w:pPr>
              <w:pStyle w:val="Compact"/>
            </w:pPr>
            <w:r>
              <w:t xml:space="preserve">Poco, prima l’inquadramento</w:t>
            </w:r>
          </w:p>
        </w:tc>
      </w:tr>
      <w:tr>
        <w:tc>
          <w:tcPr/>
          <w:p>
            <w:pPr>
              <w:pStyle w:val="Compact"/>
            </w:pPr>
            <w:r>
              <w:t xml:space="preserve">Anca artrosica</w:t>
            </w:r>
          </w:p>
        </w:tc>
        <w:tc>
          <w:tcPr/>
          <w:p>
            <w:pPr>
              <w:pStyle w:val="Compact"/>
            </w:pPr>
            <w:r>
              <w:t xml:space="preserve">Rotazione interna ridotta, dolore inguinale</w:t>
            </w:r>
          </w:p>
        </w:tc>
        <w:tc>
          <w:tcPr/>
          <w:p>
            <w:pPr>
              <w:pStyle w:val="Compact"/>
            </w:pPr>
            <w:r>
              <w:t xml:space="preserve">Carico concentrato</w:t>
            </w:r>
          </w:p>
        </w:tc>
        <w:tc>
          <w:tcPr/>
          <w:p>
            <w:pPr>
              <w:pStyle w:val="Compact"/>
            </w:pPr>
            <w:r>
              <w:t xml:space="preserve">Incerto</w:t>
            </w:r>
          </w:p>
        </w:tc>
      </w:tr>
      <w:tr>
        <w:tc>
          <w:tcPr/>
          <w:p>
            <w:pPr>
              <w:pStyle w:val="Compact"/>
            </w:pPr>
            <w:r>
              <w:t xml:space="preserve">Mani e base del pollice</w:t>
            </w:r>
          </w:p>
        </w:tc>
        <w:tc>
          <w:tcPr/>
          <w:p>
            <w:pPr>
              <w:pStyle w:val="Compact"/>
            </w:pPr>
            <w:r>
              <w:t xml:space="preserve">Nodi, forza di presa persa</w:t>
            </w:r>
          </w:p>
        </w:tc>
        <w:tc>
          <w:tcPr/>
          <w:p>
            <w:pPr>
              <w:pStyle w:val="Compact"/>
            </w:pPr>
            <w:r>
              <w:t xml:space="preserve">Carico concentrato</w:t>
            </w:r>
          </w:p>
        </w:tc>
        <w:tc>
          <w:tcPr/>
          <w:p>
            <w:pPr>
              <w:pStyle w:val="Compact"/>
            </w:pPr>
            <w:r>
              <w:t xml:space="preserve">Poco, riconosci e indirizzi</w:t>
            </w:r>
          </w:p>
        </w:tc>
      </w:tr>
      <w:tr>
        <w:tc>
          <w:tcPr/>
          <w:p>
            <w:pPr>
              <w:pStyle w:val="Compact"/>
            </w:pPr>
            <w:r>
              <w:t xml:space="preserve">Fase terminale con indicazione chirurgica</w:t>
            </w:r>
          </w:p>
        </w:tc>
        <w:tc>
          <w:tcPr/>
          <w:p>
            <w:pPr>
              <w:pStyle w:val="Compact"/>
            </w:pPr>
            <w:r>
              <w:t xml:space="preserve">Dolore a riposo, autonomia perduta</w:t>
            </w:r>
          </w:p>
        </w:tc>
        <w:tc>
          <w:tcPr/>
          <w:p>
            <w:pPr>
              <w:pStyle w:val="Compact"/>
            </w:pPr>
            <w:r>
              <w:t xml:space="preserve">Danno strutturale</w:t>
            </w:r>
          </w:p>
        </w:tc>
        <w:tc>
          <w:tcPr/>
          <w:p>
            <w:pPr>
              <w:pStyle w:val="Compact"/>
            </w:pPr>
            <w:r>
              <w:t xml:space="preserve">Poco sull’articolazione, molto sulla funzione</w:t>
            </w:r>
          </w:p>
        </w:tc>
      </w:tr>
    </w:tbl>
    <w:p>
      <w:pPr>
        <w:pStyle w:val="BodyText"/>
      </w:pPr>
      <w:r>
        <w:rPr>
          <w:b/>
          <w:bCs/>
        </w:rPr>
        <w:t xml:space="preserve">Ginocchio meccanico con muscolo debole.</w:t>
      </w:r>
      <w:r>
        <w:t xml:space="preserve"> </w:t>
      </w:r>
      <w:r>
        <w:t xml:space="preserve">È il sottotipo su cui esisti davvero: dolore da carico che migliora fermandosi, estensori insufficienti, estensione incompleta, articolazioni vicine rigide. Il meccanismo dominante è modificabile, e i marker si muovono in fretta.</w:t>
      </w:r>
    </w:p>
    <w:p>
      <w:pPr>
        <w:pStyle w:val="BodyText"/>
      </w:pPr>
      <w:r>
        <w:rPr>
          <w:b/>
          <w:bCs/>
        </w:rPr>
        <w:t xml:space="preserve">Una variante che si riconosce dall’anamnesi:</w:t>
      </w:r>
      <w:r>
        <w:t xml:space="preserve"> </w:t>
      </w:r>
      <w:r>
        <w:t xml:space="preserve">l’artrosi che segue una meniscectomia, una ricostruzione del crociato o una frattura articolare. Insorgenza databile, coscia già asimmetrica prima del dolore, inibizione del quadricipite che dura da anni. Lì il piano che comanda non è quello che duole oggi.</w:t>
      </w:r>
    </w:p>
    <w:p>
      <w:pPr>
        <w:pStyle w:val="BodyText"/>
      </w:pPr>
      <w:r>
        <w:rPr>
          <w:b/>
          <w:bCs/>
        </w:rPr>
        <w:t xml:space="preserve">E il tempo conta.</w:t>
      </w:r>
      <w:r>
        <w:t xml:space="preserve"> </w:t>
      </w:r>
      <w:r>
        <w:t xml:space="preserve">Sono stati riuniti i dati individuali di 1.767 pazienti da 10 studi controllati. Chi ha sintomi da meno di un anno guadagna</w:t>
      </w:r>
      <w:r>
        <w:t xml:space="preserve"> </w:t>
      </w:r>
      <w:r>
        <w:rPr>
          <w:b/>
          <w:bCs/>
        </w:rPr>
        <w:t xml:space="preserve">8,33 punti in più sul dolore a dodici mesi</w:t>
      </w:r>
      <w:r>
        <w:t xml:space="preserve"> </w:t>
      </w:r>
      <w:r>
        <w:t xml:space="preserve">rispetto a chi li ha da più tempo. Gli autori parlano di una finestra di opportunità (van Middelkoop,</w:t>
      </w:r>
      <w:r>
        <w:t xml:space="preserve"> </w:t>
      </w:r>
      <w:r>
        <w:rPr>
          <w:i/>
          <w:iCs/>
        </w:rPr>
        <w:t xml:space="preserve">Osteoarthritis Cartilage</w:t>
      </w:r>
      <w:r>
        <w:t xml:space="preserve"> </w:t>
      </w:r>
      <w:r>
        <w:t xml:space="preserve">2024, PMID 39032625).</w:t>
      </w:r>
      <w:r>
        <w:t xml:space="preserve"> </w:t>
      </w:r>
      <w:r>
        <w:rPr>
          <w:b/>
          <w:bCs/>
        </w:rPr>
        <w:t xml:space="preserve">Misurato sulla durata dei sintomi in trial di esercizio, non sul tempo che il paziente ha aspettato prima di arrivare da te, e non sulla terapia manuale.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durata dei sintomi come moderatore — è un’interazione stimata su dati individuali, non una randomizzazione sul moderatore.</w:t>
      </w:r>
    </w:p>
    <w:p>
      <w:pPr>
        <w:pStyle w:val="FirstParagraph"/>
      </w:pPr>
      <w:r>
        <w:rPr>
          <w:b/>
          <w:bCs/>
        </w:rPr>
        <w:t xml:space="preserve">Femoro-rotuleo.</w:t>
      </w:r>
      <w:r>
        <w:t xml:space="preserve"> </w:t>
      </w:r>
      <w:r>
        <w:t xml:space="preserve">Lo racconta lui: scale in discesa peggio che in salita, dolore dopo essere stato seduto a lungo e ad alzarsi. Indica la rotula con la mano aperta, invece dell’interlinea con due dita. È il 39% dei sintomatici (Kobayashi,</w:t>
      </w:r>
      <w:r>
        <w:t xml:space="preserve"> </w:t>
      </w:r>
      <w:r>
        <w:rPr>
          <w:i/>
          <w:iCs/>
        </w:rPr>
        <w:t xml:space="preserve">Osteoarthritis Cartilage</w:t>
      </w:r>
      <w:r>
        <w:t xml:space="preserve"> </w:t>
      </w:r>
      <w:r>
        <w:t xml:space="preserve">2016, PMID 27188684). La parte scomoda dello stesso studio va detta: fra i pattern compartimentali non sono emerse differenze su dolore e funzione. Ti fa guardare le cose giuste, non promettere un esito diverso.</w:t>
      </w:r>
    </w:p>
    <w:p>
      <w:pPr>
        <w:pStyle w:val="BodyText"/>
      </w:pPr>
      <w:r>
        <w:rPr>
          <w:b/>
          <w:bCs/>
        </w:rPr>
        <w:t xml:space="preserve">Dolore sproporzionato al quadro.</w:t>
      </w:r>
      <w:r>
        <w:t xml:space="preserve"> </w:t>
      </w:r>
      <w:r>
        <w:rPr>
          <w:b/>
          <w:bCs/>
        </w:rPr>
        <w:t xml:space="preserve">Il criterio d’ingresso, perché non resti una descrizione:</w:t>
      </w:r>
      <w:r>
        <w:t xml:space="preserve"> </w:t>
      </w:r>
      <w:r>
        <w:t xml:space="preserve">dolore a riposo e notturno; dolorabilità alla pressione in un sito lontano dall’articolazione malata; sonno rotto; assenza di rapporto ordinato fra carico e sintomo. Con tre su quattro, ci sei dentro.</w:t>
      </w:r>
    </w:p>
    <w:p>
      <w:pPr>
        <w:pStyle w:val="BodyText"/>
      </w:pPr>
      <w:r>
        <w:rPr>
          <w:b/>
          <w:bCs/>
        </w:rPr>
        <w:t xml:space="preserve">Difesa che comanda.</w:t>
      </w:r>
      <w:r>
        <w:t xml:space="preserve"> </w:t>
      </w:r>
      <w:r>
        <w:t xml:space="preserve">È il piano che «Come ragiono davanti a questo paziente» dichiara più a monte, e va riconosciuto come dominante quando lo è.</w:t>
      </w:r>
    </w:p>
    <w:p>
      <w:pPr>
        <w:pStyle w:val="BodyText"/>
      </w:pPr>
      <w:r>
        <w:rPr>
          <w:b/>
          <w:bCs/>
        </w:rPr>
        <w:t xml:space="preserve">Anziano fragile con multimorbilità.</w:t>
      </w:r>
      <w:r>
        <w:t xml:space="preserve"> </w:t>
      </w:r>
      <w:r>
        <w:t xml:space="preserve">Il meccanismo che comanda è l’ammortizzatore scarico dentro una sarcopenia, e la leva resta la stessa — dentro un vincolo. Qui i fattori di rischio di caduta documentati sono debolezza, equilibrio alterato e numero di comorbilità (Manlapaz,</w:t>
      </w:r>
      <w:r>
        <w:t xml:space="preserve"> </w:t>
      </w:r>
      <w:r>
        <w:rPr>
          <w:i/>
          <w:iCs/>
        </w:rPr>
        <w:t xml:space="preserve">PM R</w:t>
      </w:r>
      <w:r>
        <w:t xml:space="preserve"> </w:t>
      </w:r>
      <w:r>
        <w:t xml:space="preserve">2019, PMID 30609282). Una caduta recente o un peggioramento dell’equilibrio vanno al curante.</w:t>
      </w:r>
    </w:p>
    <w:p>
      <w:pPr>
        <w:pStyle w:val="BodyText"/>
      </w:pPr>
      <w:r>
        <w:rPr>
          <w:b/>
          <w:bCs/>
        </w:rPr>
        <w:t xml:space="preserve">Con componente infiammatoria attiva.</w:t>
      </w:r>
      <w:r>
        <w:t xml:space="preserve"> </w:t>
      </w:r>
      <w:r>
        <w:rPr>
          <w:b/>
          <w:bCs/>
        </w:rPr>
        <w:t xml:space="preserve">Qui vanno separate due cose che il paziente racconta allo stesso modo.</w:t>
      </w:r>
      <w:r>
        <w:t xml:space="preserve"> </w:t>
      </w:r>
      <w:r>
        <w:t xml:space="preserve">La riacutizzazione artrosica è uno stato, resta tua, e rientra: vedi «Cosa si rompe». L’articolazione</w:t>
      </w:r>
      <w:r>
        <w:t xml:space="preserve"> </w:t>
      </w:r>
      <w:r>
        <w:rPr>
          <w:b/>
          <w:bCs/>
        </w:rPr>
        <w:t xml:space="preserve">calda</w:t>
      </w:r>
      <w:r>
        <w:t xml:space="preserve"> </w:t>
      </w:r>
      <w:r>
        <w:t xml:space="preserve">non è uno stato: è un’uscita. Vale in particolare con diabete, immunodepressione, artrite reumatoide, protesi, chirurgia o infiltrazione recente. Nel dubbio si esce.</w:t>
      </w:r>
    </w:p>
    <w:p>
      <w:pPr>
        <w:pStyle w:val="BodyText"/>
      </w:pPr>
      <w:r>
        <w:rPr>
          <w:b/>
          <w:bCs/>
        </w:rPr>
        <w:t xml:space="preserve">Anca artrosica.</w:t>
      </w:r>
      <w:r>
        <w:t xml:space="preserve"> </w:t>
      </w:r>
      <w:r>
        <w:t xml:space="preserve">Qui va detta una cosa scomoda. Sono stati studiati 102 pazienti con artrosi d’anca confermata radiograficamente. Un programma di fisioterapia con terapia manuale, esercizio ed educazione</w:t>
      </w:r>
      <w:r>
        <w:t xml:space="preserve"> </w:t>
      </w:r>
      <w:r>
        <w:rPr>
          <w:b/>
          <w:bCs/>
        </w:rPr>
        <w:t xml:space="preserve">non</w:t>
      </w:r>
      <w:r>
        <w:t xml:space="preserve"> </w:t>
      </w:r>
      <w:r>
        <w:t xml:space="preserve">ha fatto meglio di un trattamento finto su dolore e funzione a tre mesi. E ha prodotto più effetti indesiderati lievi: 41% contro 14% (Bennell,</w:t>
      </w:r>
      <w:r>
        <w:t xml:space="preserve"> </w:t>
      </w:r>
      <w:r>
        <w:rPr>
          <w:i/>
          <w:iCs/>
        </w:rPr>
        <w:t xml:space="preserve">JAMA</w:t>
      </w:r>
      <w:r>
        <w:t xml:space="preserve"> </w:t>
      </w:r>
      <w:r>
        <w:t xml:space="preserve">2014, PMID 24846036).</w:t>
      </w:r>
    </w:p>
    <w:p>
      <w:pPr>
        <w:pStyle w:val="BodyText"/>
      </w:pPr>
      <w:r>
        <w:t xml:space="preserve">Uno studio più vecchio trovava il contrario, ma confrontava terapia manuale ed esercizio, non un placebo (Hoeksma, PMID 15478147): risponde a una domanda diversa.</w:t>
      </w:r>
      <w:r>
        <w:t xml:space="preserve"> </w:t>
      </w:r>
      <w:r>
        <w:rPr>
          <w:b/>
          <w:bCs/>
        </w:rPr>
        <w:t xml:space="preserve">Per te:</w:t>
      </w:r>
      <w:r>
        <w:t xml:space="preserve"> </w:t>
      </w:r>
      <w:r>
        <w:t xml:space="preserve">viene prima quello controllato con placebo e in cieco, perché risponde alla domanda</w:t>
      </w:r>
      <w:r>
        <w:t xml:space="preserve"> </w:t>
      </w:r>
      <w:r>
        <w:t xml:space="preserve">“serve la mia mano o basta il contatto?”</w:t>
      </w:r>
      <w:r>
        <w:t xml:space="preserve">. E sull’anca anche l’esercizio ha perso terreno: vedi «Cosa può fare il paziente da solo». Ci lavori dichiarando l’incertezza, con un tempo breve e un marker duro, senza vendere un percorso lungo.</w:t>
      </w:r>
    </w:p>
    <w:p>
      <w:pPr>
        <w:pStyle w:val="BodyText"/>
      </w:pPr>
      <w:r>
        <w:rPr>
          <w:b/>
          <w:bCs/>
        </w:rPr>
        <w:t xml:space="preserve">Mani e base del pollice.</w:t>
      </w:r>
      <w:r>
        <w:t xml:space="preserve"> </w:t>
      </w:r>
      <w:r>
        <w:t xml:space="preserve">Rizoartrosi e noduli interfalangei. La linea guida raccomanda ortesi,</w:t>
      </w:r>
      <w:r>
        <w:t xml:space="preserve"> </w:t>
      </w:r>
      <w:r>
        <w:rPr>
          <w:b/>
          <w:bCs/>
        </w:rPr>
        <w:t xml:space="preserve">esercizio</w:t>
      </w:r>
      <w:r>
        <w:t xml:space="preserve"> </w:t>
      </w:r>
      <w:r>
        <w:t xml:space="preserve">e adattamento del gesto (Kolasinski,</w:t>
      </w:r>
      <w:r>
        <w:t xml:space="preserve"> </w:t>
      </w:r>
      <w:r>
        <w:rPr>
          <w:i/>
          <w:iCs/>
        </w:rPr>
        <w:t xml:space="preserve">Arthritis Care Res</w:t>
      </w:r>
      <w:r>
        <w:t xml:space="preserve"> </w:t>
      </w:r>
      <w:r>
        <w:t xml:space="preserve">2020, PMID 31908149): all’ortesista va l’ortesi, mentre esercizio e adattamento restano insegnabili. Su questa sede riconosci e indirizzi, non insegni: la letteratura specifica è una frazione di quella su ginocchio e anca.</w:t>
      </w:r>
    </w:p>
    <w:p>
      <w:pPr>
        <w:pStyle w:val="BodyText"/>
      </w:pPr>
      <w:r>
        <w:rPr>
          <w:b/>
          <w:bCs/>
        </w:rPr>
        <w:t xml:space="preserve">Fase terminale con indicazione chirurgica.</w:t>
      </w:r>
      <w:r>
        <w:t xml:space="preserve"> </w:t>
      </w:r>
      <w:r>
        <w:t xml:space="preserve">Dolore a riposo, notte compromessa, autonomia perduta nonostante un percorso conservativo fatto davvero. Sono stati randomizzati 100 pazienti già candidati alla protesi di ginocchio. Chi è stato operato è migliorato più di chi ha ricevuto solo dodici settimane di trattamento non chirurgico, ma con più eventi avversi gravi.</w:t>
      </w:r>
      <w:r>
        <w:t xml:space="preserve"> </w:t>
      </w:r>
      <w:r>
        <w:rPr>
          <w:b/>
          <w:bCs/>
        </w:rPr>
        <w:t xml:space="preserve">E il 74% del gruppo non chirurgico non si è operato entro i dodici mesi</w:t>
      </w:r>
      <w:r>
        <w:t xml:space="preserve"> </w:t>
      </w:r>
      <w:r>
        <w:t xml:space="preserve">(Skou,</w:t>
      </w:r>
      <w:r>
        <w:t xml:space="preserve"> </w:t>
      </w:r>
      <w:r>
        <w:rPr>
          <w:i/>
          <w:iCs/>
        </w:rPr>
        <w:t xml:space="preserve">N Engl J Med</w:t>
      </w:r>
      <w:r>
        <w:t xml:space="preserve"> </w:t>
      </w:r>
      <w:r>
        <w:t xml:space="preserve">2015, PMID 26488691). L’indicazione la pone il medico, e non si esclude nessuno per età, sesso, fumo, comorbilità o peso (NICE NG226, 1.6.1 e 1.6.3).</w:t>
      </w:r>
    </w:p>
    <w:p>
      <w:pPr>
        <w:pStyle w:val="BodyText"/>
      </w:pPr>
      <w:r>
        <w:rPr>
          <w:b/>
          <w:bCs/>
        </w:rPr>
        <w:t xml:space="preserve">E l’intervento non chiude sempre la storia.</w:t>
      </w:r>
      <w:r>
        <w:t xml:space="preserve"> </w:t>
      </w:r>
      <w:r>
        <w:t xml:space="preserve">Nella revisione degli studi prospettici su popolazioni non selezionate, circa</w:t>
      </w:r>
      <w:r>
        <w:t xml:space="preserve"> </w:t>
      </w:r>
      <w:r>
        <w:rPr>
          <w:b/>
          <w:bCs/>
        </w:rPr>
        <w:t xml:space="preserve">un operato su cinque</w:t>
      </w:r>
      <w:r>
        <w:t xml:space="preserve"> </w:t>
      </w:r>
      <w:r>
        <w:t xml:space="preserve">di protesi di ginocchio riferisce un esito di dolore sfavorevole a lungo termine. Dopo protesi d’anca la quota è</w:t>
      </w:r>
      <w:r>
        <w:t xml:space="preserve"> </w:t>
      </w:r>
      <w:r>
        <w:rPr>
          <w:b/>
          <w:bCs/>
        </w:rPr>
        <w:t xml:space="preserve">almeno il 9%</w:t>
      </w:r>
      <w:r>
        <w:t xml:space="preserve"> </w:t>
      </w:r>
      <w:r>
        <w:t xml:space="preserve">(Beswick,</w:t>
      </w:r>
      <w:r>
        <w:t xml:space="preserve"> </w:t>
      </w:r>
      <w:r>
        <w:rPr>
          <w:i/>
          <w:iCs/>
        </w:rPr>
        <w:t xml:space="preserve">BMJ Open</w:t>
      </w:r>
      <w:r>
        <w:t xml:space="preserve"> </w:t>
      </w:r>
      <w:r>
        <w:t xml:space="preserve">2012, PMID 22357571).</w:t>
      </w:r>
      <w:r>
        <w:t xml:space="preserve"> </w:t>
      </w:r>
      <w:r>
        <w:rPr>
          <w:b/>
          <w:bCs/>
        </w:rPr>
        <w:t xml:space="preserve">Questo numero non si cita mai al paziente.</w:t>
      </w:r>
      <w:r>
        <w:t xml:space="preserve"> </w:t>
      </w:r>
      <w:r>
        <w:t xml:space="preserve">Serve a te, per sapere che il lavoro sulla funzione conserva senso prima e dopo. Non serve a lui per decidere: la protesi resta un intervento efficace, e l’indicazione è dello specialista.</w:t>
      </w:r>
    </w:p>
    <w:p>
      <w:pPr>
        <w:pStyle w:val="BodyText"/>
      </w:pPr>
      <w:r>
        <w:rPr>
          <w:b/>
          <w:bCs/>
        </w:rPr>
        <w:t xml:space="preserve">Per te:</w:t>
      </w:r>
      <w:r>
        <w:t xml:space="preserve"> </w:t>
      </w:r>
      <w:r>
        <w:t xml:space="preserve">«Niente da fare» qui sarebbe falso, e congederesti tre pazienti su quattro che a un anno sono ancora lì. Sull’articolazione non sposti quasi nulla;</w:t>
      </w:r>
      <w:r>
        <w:t xml:space="preserve"> </w:t>
      </w:r>
      <w:r>
        <w:rPr>
          <w:b/>
          <w:bCs/>
        </w:rPr>
        <w:t xml:space="preserve">il bersaglio si sposta</w:t>
      </w:r>
      <w:r>
        <w:t xml:space="preserve">, e resta ampio. Restano l’arto controlaterale che regge il doppio, la capacità di trasferimento, l’economia del cammino con l’ausilio, e l’estensione e la forza che decideranno il recupero</w:t>
      </w:r>
      <w:r>
        <w:t xml:space="preserve"> </w:t>
      </w:r>
      <w:r>
        <w:rPr>
          <w:b/>
          <w:bCs/>
        </w:rPr>
        <w:t xml:space="preserve">dopo</w:t>
      </w:r>
      <w:r>
        <w:t xml:space="preserve"> </w:t>
      </w:r>
      <w:r>
        <w:t xml:space="preserve">l’intervento. Quello che non fai è trattenerlo e non fare l’invio.</w:t>
      </w:r>
      <w:r>
        <w:t xml:space="preserve"> </w:t>
      </w:r>
      <w:r>
        <w:rPr>
          <w:i/>
          <w:iCs/>
        </w:rPr>
        <w:t xml:space="preserve">(DIMOSTRATO — studi sull’uomo, solidi — per i tre numeri; RAGIONAMENTO — cornice clinica, non una prova — per lo spostamento del bersaglio.)</w:t>
      </w:r>
    </w:p>
    <w:p>
      <w:pPr>
        <w:pStyle w:val="BodyText"/>
      </w:pPr>
      <w:r>
        <w:rPr>
          <w:b/>
          <w:bCs/>
        </w:rPr>
        <w:t xml:space="preserve">Condizioni spesso associate.</w:t>
      </w:r>
      <w:r>
        <w:t xml:space="preserve"> </w:t>
      </w:r>
      <w:r>
        <w:t xml:space="preserve">Se il paziente ha anche dolore lombare, vedi la Bibbia della</w:t>
      </w:r>
      <w:r>
        <w:t xml:space="preserve"> </w:t>
      </w:r>
      <w:r>
        <w:rPr>
          <w:b/>
          <w:bCs/>
        </w:rPr>
        <w:t xml:space="preserve">lombalgia</w:t>
      </w:r>
      <w:r>
        <w:t xml:space="preserve">. Se il dolore è d’anca, vedi</w:t>
      </w:r>
      <w:r>
        <w:t xml:space="preserve"> </w:t>
      </w:r>
      <w:r>
        <w:rPr>
          <w:b/>
          <w:bCs/>
        </w:rPr>
        <w:t xml:space="preserve">coxalgia</w:t>
      </w:r>
      <w:r>
        <w:t xml:space="preserve">. Se è di ginocchio, vedi</w:t>
      </w:r>
      <w:r>
        <w:t xml:space="preserve"> </w:t>
      </w:r>
      <w:r>
        <w:rPr>
          <w:b/>
          <w:bCs/>
        </w:rPr>
        <w:t xml:space="preserve">gonalgia</w:t>
      </w:r>
      <w:r>
        <w:t xml:space="preserve">. Se è diffuso a più articolazioni, vedi</w:t>
      </w:r>
      <w:r>
        <w:t xml:space="preserve"> </w:t>
      </w:r>
      <w:r>
        <w:rPr>
          <w:b/>
          <w:bCs/>
        </w:rPr>
        <w:t xml:space="preserve">dolori articolari</w:t>
      </w:r>
      <w:r>
        <w:t xml:space="preserve">.</w:t>
      </w:r>
    </w:p>
    <w:p>
      <w:pPr>
        <w:pStyle w:val="BodyText"/>
      </w:pPr>
      <w:r>
        <w:rPr>
          <w:b/>
          <w:bCs/>
        </w:rPr>
        <w:t xml:space="preserve">Le tre cose da ricordare, più una</w:t>
      </w:r>
    </w:p>
    <w:p>
      <w:pPr>
        <w:pStyle w:val="Compact"/>
        <w:numPr>
          <w:ilvl w:val="0"/>
          <w:numId w:val="1014"/>
        </w:numPr>
      </w:pPr>
      <w:r>
        <w:t xml:space="preserve">Cinque sottotipi li decide il meccanismo, quattro la sede o lo stadio: i secondi cambiano il perimetro prima del bersaglio.</w:t>
      </w:r>
    </w:p>
    <w:p>
      <w:pPr>
        <w:pStyle w:val="Compact"/>
        <w:numPr>
          <w:ilvl w:val="0"/>
          <w:numId w:val="1014"/>
        </w:numPr>
      </w:pPr>
      <w:r>
        <w:t xml:space="preserve">Il paziente in fase terminale non è un congedo: cambia bersaglio, e tre su quattro a un anno non si sono operati.</w:t>
      </w:r>
    </w:p>
    <w:p>
      <w:pPr>
        <w:pStyle w:val="Compact"/>
        <w:numPr>
          <w:ilvl w:val="0"/>
          <w:numId w:val="1014"/>
        </w:numPr>
      </w:pPr>
      <w:r>
        <w:t xml:space="preserve">L’articolazione calda con versamento non è un’artrosi più intensa: è una domanda aperta.</w:t>
      </w:r>
    </w:p>
    <w:p>
      <w:pPr>
        <w:pStyle w:val="Compact"/>
        <w:numPr>
          <w:ilvl w:val="0"/>
          <w:numId w:val="1014"/>
        </w:numPr>
      </w:pPr>
      <w:r>
        <w:rPr>
          <w:b/>
          <w:bCs/>
        </w:rPr>
        <w:t xml:space="preserve">Perché ci sei tu.</w:t>
      </w:r>
      <w:r>
        <w:t xml:space="preserve"> </w:t>
      </w:r>
      <w:r>
        <w:t xml:space="preserve">Sull’anca il migliore studio disponibile è controllato con placebo, in cieco su paziente e valutatore. Non trova differenza fra fisioterapia con terapia manuale e trattamento finto, su dolore e funzione (Bennell,</w:t>
      </w:r>
      <w:r>
        <w:t xml:space="preserve"> </w:t>
      </w:r>
      <w:r>
        <w:rPr>
          <w:i/>
          <w:iCs/>
        </w:rPr>
        <w:t xml:space="preserve">JAMA</w:t>
      </w:r>
      <w:r>
        <w:t xml:space="preserve"> </w:t>
      </w:r>
      <w:r>
        <w:t xml:space="preserve">2014, PMID 24846036). Su questo sottotipo il tuo spazio è più stretto di quanto il resto del documento faccia pensare. Questo ti autorizza a lavorare con un tempo dichiarato e un marker che decide. Non ti autorizza a proporre cicli lunghi sull’anca artrosica.</w:t>
      </w:r>
    </w:p>
    <w:p>
      <w:r>
        <w:pict>
          <v:rect style="width:0;height:1.5pt" o:hralign="center" o:hrstd="t" o:hr="t"/>
        </w:pict>
      </w:r>
    </w:p>
    <w:bookmarkEnd w:id="36"/>
    <w:bookmarkStart w:id="42"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portano quasi tutto il peso, e uno dei due non si lavora con le mani.</w:t>
      </w:r>
    </w:p>
    <w:bookmarkStart w:id="37" w:name="biomeccanico-strutturale-dominante"/>
    <w:p>
      <w:pPr>
        <w:pStyle w:val="Heading3"/>
      </w:pPr>
      <w:r>
        <w:t xml:space="preserve">Biomeccanico-strutturale —</w:t>
      </w:r>
      <w:r>
        <w:t xml:space="preserve"> </w:t>
      </w:r>
      <w:r>
        <w:rPr>
          <w:b/>
          <w:bCs/>
        </w:rPr>
        <w:t xml:space="preserve">dominante</w:t>
      </w:r>
    </w:p>
    <w:p>
      <w:pPr>
        <w:pStyle w:val="FirstParagraph"/>
      </w:pPr>
      <w:r>
        <w:rPr>
          <w:b/>
          <w:bCs/>
        </w:rPr>
        <w:t xml:space="preserve">Cosa governa qui.</w:t>
      </w:r>
      <w:r>
        <w:t xml:space="preserve"> </w:t>
      </w:r>
      <w:r>
        <w:t xml:space="preserve">Tre cose: come il carico si distribuisce dentro l’articolazione, quanto lavoro assorbono o rimandano indietro le articolazioni vicine, e la forza e i tempi del muscolo peri-articolare.</w:t>
      </w:r>
    </w:p>
    <w:p>
      <w:pPr>
        <w:pStyle w:val="BodyText"/>
      </w:pPr>
      <w:r>
        <w:rPr>
          <w:b/>
          <w:bCs/>
        </w:rPr>
        <w:t xml:space="preserve">Gli attori.</w:t>
      </w:r>
      <w:r>
        <w:t xml:space="preserve"> </w:t>
      </w:r>
      <w:r>
        <w:t xml:space="preserve">Quadricipite ed estensori, abduttori dell’anca, capsula posteriore che frena l’estensione, e le articolazioni vicine — anca e caviglia.</w:t>
      </w:r>
    </w:p>
    <w:p>
      <w:pPr>
        <w:pStyle w:val="BodyText"/>
      </w:pPr>
      <w:r>
        <w:rPr>
          <w:b/>
          <w:bCs/>
        </w:rPr>
        <w:t xml:space="preserve">I segnali che pesa in questo paziente.</w:t>
      </w:r>
      <w:r>
        <w:t xml:space="preserve"> </w:t>
      </w:r>
      <w:r>
        <w:t xml:space="preserve">Poche alzate in trenta secondi. Coscia asimmetrica. Estensione incompleta. Rotazione interna d’anca ridotta. Dorsiflessione limitata. Dolore che compare a un tempo di cammino prevedibile.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il muscolo come</w:t>
      </w:r>
      <w:r>
        <w:t xml:space="preserve"> </w:t>
      </w:r>
      <w:r>
        <w:rPr>
          <w:b/>
          <w:bCs/>
        </w:rPr>
        <w:t xml:space="preserve">bersaglio di intervento</w:t>
      </w:r>
      <w:r>
        <w:t xml:space="preserve"> </w:t>
      </w:r>
      <w:r>
        <w:t xml:space="preserve">(Lawford,</w:t>
      </w:r>
      <w:r>
        <w:t xml:space="preserve"> </w:t>
      </w:r>
      <w:r>
        <w:rPr>
          <w:i/>
          <w:iCs/>
        </w:rPr>
        <w:t xml:space="preserve">Cochrane</w:t>
      </w:r>
      <w:r>
        <w:t xml:space="preserve"> </w:t>
      </w:r>
      <w:r>
        <w:t xml:space="preserve">2024, PMID 39625083). PROBABILE</w:t>
      </w:r>
      <w:r>
        <w:t xml:space="preserve"> </w:t>
      </w:r>
      <w:r>
        <w:rPr>
          <w:i/>
          <w:iCs/>
        </w:rPr>
        <w:t xml:space="preserve">(razionale forte, prove parziali)</w:t>
      </w:r>
      <w:r>
        <w:t xml:space="preserve"> </w:t>
      </w:r>
      <w:r>
        <w:t xml:space="preserve">per due cose: la debolezza come</w:t>
      </w:r>
      <w:r>
        <w:t xml:space="preserve"> </w:t>
      </w:r>
      <w:r>
        <w:rPr>
          <w:b/>
          <w:bCs/>
        </w:rPr>
        <w:t xml:space="preserve">fattore di rischio</w:t>
      </w:r>
      <w:r>
        <w:t xml:space="preserve">, e la parte articolare vicina. Sulla prima gli autori dichiarano prove di bassa qualità (Øiestad, PMID 34916210). Sulla seconda, il rinforzo d’anca migliora i sintomi ma</w:t>
      </w:r>
      <w:r>
        <w:t xml:space="preserve"> </w:t>
      </w:r>
      <w:r>
        <w:rPr>
          <w:b/>
          <w:bCs/>
        </w:rPr>
        <w:t xml:space="preserve">non</w:t>
      </w:r>
      <w:r>
        <w:t xml:space="preserve"> </w:t>
      </w:r>
      <w:r>
        <w:t xml:space="preserve">cambia il momento adduttorio, cioè il carico misurato (Bennell, PMID 20175973).</w:t>
      </w:r>
    </w:p>
    <w:bookmarkEnd w:id="37"/>
    <w:bookmarkStart w:id="38" w:name="neurologico-secondario-forte"/>
    <w:p>
      <w:pPr>
        <w:pStyle w:val="Heading3"/>
      </w:pPr>
      <w:r>
        <w:t xml:space="preserve">Neurologico —</w:t>
      </w:r>
      <w:r>
        <w:t xml:space="preserve"> </w:t>
      </w:r>
      <w:r>
        <w:rPr>
          <w:b/>
          <w:bCs/>
        </w:rPr>
        <w:t xml:space="preserve">secondario forte</w:t>
      </w:r>
    </w:p>
    <w:p>
      <w:pPr>
        <w:pStyle w:val="FirstParagraph"/>
      </w:pPr>
      <w:r>
        <w:rPr>
          <w:b/>
          <w:bCs/>
        </w:rPr>
        <w:t xml:space="preserve">Cosa governa qui.</w:t>
      </w:r>
      <w:r>
        <w:t xml:space="preserve"> </w:t>
      </w:r>
      <w:r>
        <w:t xml:space="preserve">Tre cose, in ordine di ingresso.</w:t>
      </w:r>
    </w:p>
    <w:p>
      <w:pPr>
        <w:pStyle w:val="BodyText"/>
      </w:pPr>
      <w:r>
        <w:rPr>
          <w:b/>
          <w:bCs/>
        </w:rPr>
        <w:t xml:space="preserve">La nocicezione periferica.</w:t>
      </w:r>
      <w:r>
        <w:t xml:space="preserve"> </w:t>
      </w:r>
      <w:r>
        <w:t xml:space="preserve">Sinovite e mediatori infiammatori sensibilizzano le terminazioni di capsula e osso subcondrale. È questo l’ingresso che alimenta i due fenomeni successivi.</w:t>
      </w:r>
      <w:r>
        <w:t xml:space="preserve"> </w:t>
      </w:r>
      <w:r>
        <w:rPr>
          <w:b/>
          <w:bCs/>
        </w:rPr>
        <w:t xml:space="preserve">L’inibizione riflessa</w:t>
      </w:r>
      <w:r>
        <w:t xml:space="preserve"> </w:t>
      </w:r>
      <w:r>
        <w:t xml:space="preserve">del muscolo, che parte dai recettori articolari.</w:t>
      </w:r>
      <w:r>
        <w:t xml:space="preserve"> </w:t>
      </w:r>
      <w:r>
        <w:rPr>
          <w:b/>
          <w:bCs/>
        </w:rPr>
        <w:t xml:space="preserve">La modulazione discendente</w:t>
      </w:r>
      <w:r>
        <w:t xml:space="preserve">, cioè la soglia a cui quel segnale diventa dolore.</w:t>
      </w:r>
    </w:p>
    <w:p>
      <w:pPr>
        <w:pStyle w:val="BodyText"/>
      </w:pPr>
      <w:r>
        <w:rPr>
          <w:b/>
          <w:bCs/>
        </w:rPr>
        <w:t xml:space="preserve">Gli attori.</w:t>
      </w:r>
      <w:r>
        <w:t xml:space="preserve"> </w:t>
      </w:r>
      <w:r>
        <w:t xml:space="preserve">I recettori della capsula e dell’osso subcondrale, le vie riflesse spinali che spengono il quadricipite, e la modulazione discendente dal tronco encefalico.</w:t>
      </w:r>
    </w:p>
    <w:p>
      <w:pPr>
        <w:pStyle w:val="BodyText"/>
      </w:pPr>
      <w:r>
        <w:rPr>
          <w:b/>
          <w:bCs/>
        </w:rPr>
        <w:t xml:space="preserve">I segnali che pesa in questo paziente.</w:t>
      </w:r>
      <w:r>
        <w:t xml:space="preserve"> </w:t>
      </w:r>
      <w:r>
        <w:t xml:space="preserve">Con l’articolazione gonfia non contrae a fondo il quadricipite, nemmeno a comando. Dolore diffuso oltre l’articolazione, dolorabilità all’avambraccio, sonno rotto.</w:t>
      </w:r>
    </w:p>
    <w:p>
      <w:pPr>
        <w:pStyle w:val="BodyText"/>
      </w:pPr>
      <w:r>
        <w:rPr>
          <w:b/>
          <w:bCs/>
        </w:rPr>
        <w:t xml:space="preserve">Una conseguenza pratica che nessun altro modello ti dà.</w:t>
      </w:r>
      <w:r>
        <w:t xml:space="preserve"> </w:t>
      </w:r>
      <w:r>
        <w:t xml:space="preserve">Nei pazienti con artrosi di ginocchio e modulazione condizionata del dolore alterata, l’esercizio aerobico e isometrico ha prodotto</w:t>
      </w:r>
      <w:r>
        <w:t xml:space="preserve"> </w:t>
      </w:r>
      <w:r>
        <w:rPr>
          <w:b/>
          <w:bCs/>
        </w:rPr>
        <w:t xml:space="preserve">iperalgesia</w:t>
      </w:r>
      <w:r>
        <w:t xml:space="preserve"> </w:t>
      </w:r>
      <w:r>
        <w:t xml:space="preserve">invece di ipoalgesia. Con modulazione normale la risposta era normale (Fingleton,</w:t>
      </w:r>
      <w:r>
        <w:t xml:space="preserve"> </w:t>
      </w:r>
      <w:r>
        <w:rPr>
          <w:i/>
          <w:iCs/>
        </w:rPr>
        <w:t xml:space="preserve">Clin J Pain</w:t>
      </w:r>
      <w:r>
        <w:t xml:space="preserve"> </w:t>
      </w:r>
      <w:r>
        <w:t xml:space="preserve">2017, PMID 27518487).</w:t>
      </w:r>
      <w:r>
        <w:t xml:space="preserve"> </w:t>
      </w:r>
      <w:r>
        <w:rPr>
          <w:b/>
          <w:bCs/>
        </w:rPr>
        <w:t xml:space="preserve">Per te:</w:t>
      </w:r>
      <w:r>
        <w:t xml:space="preserve"> </w:t>
      </w:r>
      <w:r>
        <w:t xml:space="preserve">nel paziente sensibilizzato l’esercizio può inizialmente peggiorare il dolore. Se non te lo aspetti, lo leggi come fallimento e ritiri la leva migliore che hai.</w:t>
      </w:r>
    </w:p>
    <w:p>
      <w:pPr>
        <w:pStyle w:val="BodyText"/>
      </w:pPr>
      <w:r>
        <w:rPr>
          <w:b/>
          <w:bCs/>
        </w:rPr>
        <w:t xml:space="preserve">E ha un correlato misurato, sulla popolazione giusta.</w:t>
      </w:r>
      <w:r>
        <w:t xml:space="preserve"> </w:t>
      </w:r>
      <w:r>
        <w:t xml:space="preserve">Uno studio trasversale ha confrontato</w:t>
      </w:r>
      <w:r>
        <w:t xml:space="preserve"> </w:t>
      </w:r>
      <w:r>
        <w:rPr>
          <w:b/>
          <w:bCs/>
        </w:rPr>
        <w:t xml:space="preserve">14</w:t>
      </w:r>
      <w:r>
        <w:t xml:space="preserve"> </w:t>
      </w:r>
      <w:r>
        <w:t xml:space="preserve">persone con artrosi di ginocchio, 13 con fibromialgia e 15 controlli. Cinque minuti di contrazione isometrica del quadricipite hanno alzato le soglie dolorose</w:t>
      </w:r>
      <w:r>
        <w:t xml:space="preserve"> </w:t>
      </w:r>
      <w:r>
        <w:rPr>
          <w:b/>
          <w:bCs/>
        </w:rPr>
        <w:t xml:space="preserve">nei soli controlli</w:t>
      </w:r>
      <w:r>
        <w:t xml:space="preserve">. I due gruppi con dolore cronico avevano attività vagale a riposo più bassa, e negli artrosici la riduzione vagale in risposta all’esercizio era minore (Bossenger,</w:t>
      </w:r>
      <w:r>
        <w:t xml:space="preserve"> </w:t>
      </w:r>
      <w:r>
        <w:rPr>
          <w:i/>
          <w:iCs/>
        </w:rPr>
        <w:t xml:space="preserve">Neurobiol Pain</w:t>
      </w:r>
      <w:r>
        <w:t xml:space="preserve"> </w:t>
      </w:r>
      <w:r>
        <w:t xml:space="preserve">2023, PMID 36711216).</w:t>
      </w:r>
      <w:r>
        <w:t xml:space="preserve"> </w:t>
      </w:r>
      <w:r>
        <w:rPr>
          <w:b/>
          <w:bCs/>
        </w:rPr>
        <w:t xml:space="preserve">Misurato come differenza fra gruppi a riposo e dopo un esercizio isometrico su 14 pazienti, non dopo un trattamento manuale: descrive lo stato di partenza del paziente, non un effetto che puoi produrre.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l’esistenza dei fenomeni (Arendt-Nielsen, PMID 20418016; Rice &amp; McNair, PMID 19954822). PROBABILE</w:t>
      </w:r>
      <w:r>
        <w:t xml:space="preserve"> </w:t>
      </w:r>
      <w:r>
        <w:rPr>
          <w:i/>
          <w:iCs/>
        </w:rPr>
        <w:t xml:space="preserve">(razionale forte, prove parziali)</w:t>
      </w:r>
      <w:r>
        <w:t xml:space="preserve"> </w:t>
      </w:r>
      <w:r>
        <w:t xml:space="preserve">per l’ipoalgesia da terapia manuale: la mobilizzazione articolare ha potenziato la modulazione condizionata del dolore in pazienti con artrosi di ginocchio dolorosa. La sensibilità pressoria profonda è calata anche a distanza (Courtney,</w:t>
      </w:r>
      <w:r>
        <w:t xml:space="preserve"> </w:t>
      </w:r>
      <w:r>
        <w:rPr>
          <w:i/>
          <w:iCs/>
        </w:rPr>
        <w:t xml:space="preserve">J Orthop Sports Phys Ther</w:t>
      </w:r>
      <w:r>
        <w:t xml:space="preserve"> </w:t>
      </w:r>
      <w:r>
        <w:t xml:space="preserve">2016, PMID 26721229) — crossover di laboratorio, effetto immediato. La cascata completa resta un modello teorico, non una misura (Bialosky,</w:t>
      </w:r>
      <w:r>
        <w:t xml:space="preserve"> </w:t>
      </w:r>
      <w:r>
        <w:rPr>
          <w:i/>
          <w:iCs/>
        </w:rPr>
        <w:t xml:space="preserve">Man Ther</w:t>
      </w:r>
      <w:r>
        <w:t xml:space="preserve"> </w:t>
      </w:r>
      <w:r>
        <w:t xml:space="preserve">2009, PMID 19027342). PROBABILE</w:t>
      </w:r>
      <w:r>
        <w:t xml:space="preserve"> </w:t>
      </w:r>
      <w:r>
        <w:rPr>
          <w:i/>
          <w:iCs/>
        </w:rPr>
        <w:t xml:space="preserve">(razionale forte, prove parziali)</w:t>
      </w:r>
      <w:r>
        <w:t xml:space="preserve"> </w:t>
      </w:r>
      <w:r>
        <w:t xml:space="preserve">anche per l’assenza di ipoalgesia da esercizio come tratto di questi pazienti — studio trasversale, 14 artrosici: numerosità piccola (Bossenger, PMID 36711216).</w:t>
      </w:r>
    </w:p>
    <w:bookmarkEnd w:id="38"/>
    <w:bookmarkStart w:id="39" w:name="X6701371b6ffebd5288c635d9f1c4442c39f6bd5"/>
    <w:p>
      <w:pPr>
        <w:pStyle w:val="Heading3"/>
      </w:pPr>
      <w:r>
        <w:t xml:space="preserve">Comportamentale-biopsicosociale —</w:t>
      </w:r>
      <w:r>
        <w:t xml:space="preserve"> </w:t>
      </w:r>
      <w:r>
        <w:rPr>
          <w:b/>
          <w:bCs/>
        </w:rPr>
        <w:t xml:space="preserve">dominante</w:t>
      </w:r>
    </w:p>
    <w:p>
      <w:pPr>
        <w:pStyle w:val="FirstParagraph"/>
      </w:pPr>
      <w:r>
        <w:rPr>
          <w:b/>
          <w:bCs/>
        </w:rPr>
        <w:t xml:space="preserve">Cosa governa qui.</w:t>
      </w:r>
      <w:r>
        <w:t xml:space="preserve"> </w:t>
      </w:r>
      <w:r>
        <w:t xml:space="preserve">Le credenze sul significato dell’immagine, la paura del movimento, l’aspettativa, l’alleanza, e l’aderenza a quello che il paziente fa da solo.</w:t>
      </w:r>
    </w:p>
    <w:p>
      <w:pPr>
        <w:pStyle w:val="BodyText"/>
      </w:pPr>
      <w:r>
        <w:rPr>
          <w:b/>
          <w:bCs/>
        </w:rPr>
        <w:t xml:space="preserve">Gli attori.</w:t>
      </w:r>
      <w:r>
        <w:t xml:space="preserve"> </w:t>
      </w:r>
      <w:r>
        <w:t xml:space="preserve">Il significato che il paziente dà alla parola</w:t>
      </w:r>
      <w:r>
        <w:t xml:space="preserve"> </w:t>
      </w:r>
      <w:r>
        <w:t xml:space="preserve">“consumato”</w:t>
      </w:r>
      <w:r>
        <w:t xml:space="preserve">, le esperienze terapeutiche precedenti, e il modo in cui gli parli dentro la stanza.</w:t>
      </w:r>
    </w:p>
    <w:p>
      <w:pPr>
        <w:pStyle w:val="BodyText"/>
      </w:pPr>
      <w:r>
        <w:rPr>
          <w:b/>
          <w:bCs/>
        </w:rPr>
        <w:t xml:space="preserve">I segnali che pesa in questo paziente.</w:t>
      </w:r>
      <w:r>
        <w:t xml:space="preserve"> </w:t>
      </w:r>
      <w:r>
        <w:t xml:space="preserve">Rifiuta l’esercizio prima di provarlo. Cita l’immagine come argomento. Ha abbandonato attività che ama senza che il dolore lo imponesse.</w:t>
      </w:r>
    </w:p>
    <w:p>
      <w:pPr>
        <w:pStyle w:val="BodyText"/>
      </w:pPr>
      <w:r>
        <w:rPr>
          <w:b/>
          <w:bCs/>
        </w:rPr>
        <w:t xml:space="preserve">La variabile che governi davvero è la relazione, ed è stata misurata.</w:t>
      </w:r>
      <w:r>
        <w:t xml:space="preserve"> </w:t>
      </w:r>
      <w:r>
        <w:t xml:space="preserve">In 182 pazienti con lombalgia cronica, la qualità dell’alleanza terapeutica è stata misurata alla seconda seduta con il Working Alliance Inventory. Prediceva in modo costante tutti gli esiti a otto settimane: funzione, dolore, disabilità, effetto percepito (Ferreira PH,</w:t>
      </w:r>
      <w:r>
        <w:t xml:space="preserve"> </w:t>
      </w:r>
      <w:r>
        <w:rPr>
          <w:i/>
          <w:iCs/>
        </w:rPr>
        <w:t xml:space="preserve">Phys Ther</w:t>
      </w:r>
      <w:r>
        <w:t xml:space="preserve"> </w:t>
      </w:r>
      <w:r>
        <w:t xml:space="preserve">2013, PMID 23139428).</w:t>
      </w:r>
      <w:r>
        <w:t xml:space="preserve"> </w:t>
      </w:r>
      <w:r>
        <w:rPr>
          <w:b/>
          <w:bCs/>
        </w:rPr>
        <w:t xml:space="preserve">Misurato su 182 pazienti con lombalgia cronica, in uno studio osservazionale annidato in un trial, non su pazienti artrosici: è un’associazione fra come è andata la relazione e come è andato l’esito, non la prova che curare la relazione produca l’esito.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diffusione delle credenze (Bunzli, PMID 31192807) e per il fatto che</w:t>
      </w:r>
      <w:r>
        <w:t xml:space="preserve"> </w:t>
      </w:r>
      <w:r>
        <w:rPr>
          <w:b/>
          <w:bCs/>
        </w:rPr>
        <w:t xml:space="preserve">nei trial il 75% del miglioramento non è attribuibile all’effetto specifico</w:t>
      </w:r>
      <w:r>
        <w:t xml:space="preserve"> </w:t>
      </w:r>
      <w:r>
        <w:t xml:space="preserve">(Zou, PMID 26882927; intervallo 47%–91%). PROBABILE</w:t>
      </w:r>
      <w:r>
        <w:t xml:space="preserve"> </w:t>
      </w:r>
      <w:r>
        <w:rPr>
          <w:i/>
          <w:iCs/>
        </w:rPr>
        <w:t xml:space="preserve">(razionale forte, prove parziali)</w:t>
      </w:r>
      <w:r>
        <w:t xml:space="preserve"> </w:t>
      </w:r>
      <w:r>
        <w:t xml:space="preserve">per l’attribuzione di quella quota a relazione e aspettativa: gli autori dichiarano che dentro ci sono anche effetto Hawthorne, fluttuazione naturale della malattia e regressione alla media. PROBABILE</w:t>
      </w:r>
      <w:r>
        <w:t xml:space="preserve"> </w:t>
      </w:r>
      <w:r>
        <w:rPr>
          <w:i/>
          <w:iCs/>
        </w:rPr>
        <w:t xml:space="preserve">(razionale forte, prove parziali)</w:t>
      </w:r>
      <w:r>
        <w:t xml:space="preserve"> </w:t>
      </w:r>
      <w:r>
        <w:t xml:space="preserve">per l’alleanza come meccanismo comportamentale (Ferreira PH, PMID 23139428) — è un’associazione, non un effetto, e non alza l’etichetta di nessuna leva manuale.</w:t>
      </w:r>
    </w:p>
    <w:bookmarkEnd w:id="39"/>
    <w:bookmarkStart w:id="40" w:name="metabolico-energetico-secondario"/>
    <w:p>
      <w:pPr>
        <w:pStyle w:val="Heading3"/>
      </w:pPr>
      <w:r>
        <w:t xml:space="preserve">Metabolico-energetico —</w:t>
      </w:r>
      <w:r>
        <w:t xml:space="preserve"> </w:t>
      </w:r>
      <w:r>
        <w:rPr>
          <w:b/>
          <w:bCs/>
        </w:rPr>
        <w:t xml:space="preserve">secondario</w:t>
      </w:r>
    </w:p>
    <w:p>
      <w:pPr>
        <w:pStyle w:val="FirstParagraph"/>
      </w:pPr>
      <w:r>
        <w:rPr>
          <w:b/>
          <w:bCs/>
        </w:rPr>
        <w:t xml:space="preserve">Cosa governa qui.</w:t>
      </w:r>
      <w:r>
        <w:t xml:space="preserve"> </w:t>
      </w:r>
      <w:r>
        <w:t xml:space="preserve">Il peso corporeo e l’infiammazione sistemica di basso grado.</w:t>
      </w:r>
      <w:r>
        <w:t xml:space="preserve"> </w:t>
      </w:r>
      <w:r>
        <w:rPr>
          <w:b/>
          <w:bCs/>
        </w:rPr>
        <w:t xml:space="preserve">La sinovite è la faccia locale dell’infiammazione sistemica:</w:t>
      </w:r>
      <w:r>
        <w:t xml:space="preserve"> </w:t>
      </w:r>
      <w:r>
        <w:t xml:space="preserve">è il ponte fra massa corporea, stato infiammatorio generale e la sorgente di dolore del primo meccanismo. È il modello con una delle leve più forti, e quella leva</w:t>
      </w:r>
      <w:r>
        <w:t xml:space="preserve"> </w:t>
      </w:r>
      <w:r>
        <w:rPr>
          <w:b/>
          <w:bCs/>
        </w:rPr>
        <w:t xml:space="preserve">non si lavora con le mani</w:t>
      </w:r>
      <w:r>
        <w:t xml:space="preserve">.</w:t>
      </w:r>
    </w:p>
    <w:p>
      <w:pPr>
        <w:pStyle w:val="BodyText"/>
      </w:pPr>
      <w:r>
        <w:rPr>
          <w:b/>
          <w:bCs/>
        </w:rPr>
        <w:t xml:space="preserve">Gli attori.</w:t>
      </w:r>
      <w:r>
        <w:t xml:space="preserve"> </w:t>
      </w:r>
      <w:r>
        <w:t xml:space="preserve">La massa corporea, la sinovia che si infiamma, e la quantità complessiva di attività che il paziente fa in una giornata.</w:t>
      </w:r>
    </w:p>
    <w:p>
      <w:pPr>
        <w:pStyle w:val="BodyText"/>
      </w:pPr>
      <w:r>
        <w:rPr>
          <w:b/>
          <w:bCs/>
        </w:rPr>
        <w:t xml:space="preserve">I segnali che pesa in questo paziente.</w:t>
      </w:r>
      <w:r>
        <w:t xml:space="preserve"> </w:t>
      </w:r>
      <w:r>
        <w:t xml:space="preserve">Indice di massa corporea elevato, con peggioramento parallelo al peso. Sinovite ricorrente in un quadro di sovrappeso. Scarsa resa di qualunque lavoro manuale finché il peso non si muove.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l’effetto meccanico del peso sul ginocchio (Messier, PMID 15986358). PROBABILE</w:t>
      </w:r>
      <w:r>
        <w:t xml:space="preserve"> </w:t>
      </w:r>
      <w:r>
        <w:rPr>
          <w:i/>
          <w:iCs/>
        </w:rPr>
        <w:t xml:space="preserve">(razionale forte, prove parziali)</w:t>
      </w:r>
      <w:r>
        <w:t xml:space="preserve"> </w:t>
      </w:r>
      <w:r>
        <w:t xml:space="preserve">per la dimensione del beneficio clinico (Messier, PMID 24065013) — i numeri stanno in «Cosa può fare il paziente da solo».</w:t>
      </w:r>
      <w:r>
        <w:t xml:space="preserve"> </w:t>
      </w:r>
      <w:r>
        <w:rPr>
          <w:b/>
          <w:bCs/>
        </w:rPr>
        <w:t xml:space="preserve">Il tuo ruolo qui è segnalare e rinviare a medico o dietista, non gestire.</w:t>
      </w:r>
    </w:p>
    <w:bookmarkEnd w:id="40"/>
    <w:bookmarkStart w:id="41" w:name="respiratorio-circolatorio-accessorio"/>
    <w:p>
      <w:pPr>
        <w:pStyle w:val="Heading3"/>
      </w:pPr>
      <w:r>
        <w:t xml:space="preserve">Respiratorio-circolatorio —</w:t>
      </w:r>
      <w:r>
        <w:t xml:space="preserve"> </w:t>
      </w:r>
      <w:r>
        <w:rPr>
          <w:b/>
          <w:bCs/>
        </w:rPr>
        <w:t xml:space="preserve">accessorio</w:t>
      </w:r>
    </w:p>
    <w:p>
      <w:pPr>
        <w:pStyle w:val="FirstParagraph"/>
      </w:pPr>
      <w:r>
        <w:rPr>
          <w:b/>
          <w:bCs/>
        </w:rPr>
        <w:t xml:space="preserve">Cosa governa qui.</w:t>
      </w:r>
      <w:r>
        <w:t xml:space="preserve"> </w:t>
      </w:r>
      <w:r>
        <w:t xml:space="preserve">Poco, e va dichiarato. La metà</w:t>
      </w:r>
      <w:r>
        <w:t xml:space="preserve"> </w:t>
      </w:r>
      <w:r>
        <w:rPr>
          <w:b/>
          <w:bCs/>
        </w:rPr>
        <w:t xml:space="preserve">circolatoria</w:t>
      </w:r>
      <w:r>
        <w:t xml:space="preserve"> </w:t>
      </w:r>
      <w:r>
        <w:t xml:space="preserve">— drenaggio articolare, ritorno venoso e linfatico del segmento — non è mai stata misurata isolatamente prima e dopo un trattamento manuale sull’artrosi. La componente linfatica sta</w:t>
      </w:r>
      <w:r>
        <w:t xml:space="preserve"> </w:t>
      </w:r>
      <w:r>
        <w:rPr>
          <w:b/>
          <w:bCs/>
        </w:rPr>
        <w:t xml:space="preserve">dentro</w:t>
      </w:r>
      <w:r>
        <w:t xml:space="preserve"> </w:t>
      </w:r>
      <w:r>
        <w:t xml:space="preserve">il protocollo dell’unico studio osteopatico specifico (Altınbilek, PMID 31453500), che ha dato un risultato positivo. Ma il suo contributo resta indistinguibile dal resto. Resta la</w:t>
      </w:r>
      <w:r>
        <w:t xml:space="preserve"> </w:t>
      </w:r>
      <w:r>
        <w:rPr>
          <w:b/>
          <w:bCs/>
        </w:rPr>
        <w:t xml:space="preserve">capacità aerobica generale</w:t>
      </w:r>
      <w:r>
        <w:t xml:space="preserve">: quanta attività continua il paziente sostiene.</w:t>
      </w:r>
    </w:p>
    <w:p>
      <w:pPr>
        <w:pStyle w:val="BodyText"/>
      </w:pPr>
      <w:r>
        <w:rPr>
          <w:b/>
          <w:bCs/>
        </w:rPr>
        <w:t xml:space="preserve">Gli attori.</w:t>
      </w:r>
      <w:r>
        <w:t xml:space="preserve"> </w:t>
      </w:r>
      <w:r>
        <w:t xml:space="preserve">Il cammino, che qui è l’unità di misura della capacità aerobica, e le distanze che il paziente ancora copre in una giornata.</w:t>
      </w:r>
    </w:p>
    <w:p>
      <w:pPr>
        <w:pStyle w:val="BodyText"/>
      </w:pPr>
      <w:r>
        <w:rPr>
          <w:b/>
          <w:bCs/>
        </w:rPr>
        <w:t xml:space="preserve">I segnali che pesa in questo paziente.</w:t>
      </w:r>
      <w:r>
        <w:t xml:space="preserve"> </w:t>
      </w:r>
      <w:r>
        <w:t xml:space="preserve">Si ferma per fiato prima che per dolore. Ha ridotto le distanze più di quanto il ginocchio giustifichi. È aumentato di peso da quando ha smesso di camminare.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qualunque effetto circolatorio o linfatico locale del gesto manuale su un’articolazione artrosica. L’esercizio</w:t>
      </w:r>
      <w:r>
        <w:t xml:space="preserve"> </w:t>
      </w:r>
      <w:r>
        <w:rPr>
          <w:b/>
          <w:bCs/>
        </w:rPr>
        <w:t xml:space="preserve">aerobico</w:t>
      </w:r>
      <w:r>
        <w:t xml:space="preserve"> </w:t>
      </w:r>
      <w:r>
        <w:t xml:space="preserve">ha invece un effetto misurato sul dolore, sovrapponibile a quello della forza (SMD 0,67 contro 0,62; Juhl,</w:t>
      </w:r>
      <w:r>
        <w:t xml:space="preserve"> </w:t>
      </w:r>
      <w:r>
        <w:rPr>
          <w:i/>
          <w:iCs/>
        </w:rPr>
        <w:t xml:space="preserve">Arthritis Rheumatol</w:t>
      </w:r>
      <w:r>
        <w:t xml:space="preserve"> </w:t>
      </w:r>
      <w:r>
        <w:t xml:space="preserve">2014, PMID 24574223). Ma quell’effetto appartiene ai modelli metabolico e neurologico, non alla ventilazione: viaggia con l’esercizio ovunque lo si collochi.</w:t>
      </w:r>
    </w:p>
    <w:p>
      <w:pPr>
        <w:pStyle w:val="FirstParagraph"/>
      </w:pPr>
      <w:r>
        <w:rPr>
          <w:b/>
          <w:bCs/>
        </w:rPr>
        <w:t xml:space="preserve">Le tre cose da ricordare, più una</w:t>
      </w:r>
    </w:p>
    <w:p>
      <w:pPr>
        <w:pStyle w:val="Compact"/>
        <w:numPr>
          <w:ilvl w:val="0"/>
          <w:numId w:val="1015"/>
        </w:numPr>
      </w:pPr>
      <w:r>
        <w:t xml:space="preserve">Due modelli portano quasi tutto: il biomeccanico per la forza, il comportamentale per l’aderenza.</w:t>
      </w:r>
    </w:p>
    <w:p>
      <w:pPr>
        <w:pStyle w:val="Compact"/>
        <w:numPr>
          <w:ilvl w:val="0"/>
          <w:numId w:val="1015"/>
        </w:numPr>
      </w:pPr>
      <w:r>
        <w:t xml:space="preserve">Il neurologico è il modello di supporto vero: possiede la sorgente del dolore, l’inibizione del muscolo e la soglia.</w:t>
      </w:r>
    </w:p>
    <w:p>
      <w:pPr>
        <w:pStyle w:val="Compact"/>
        <w:numPr>
          <w:ilvl w:val="0"/>
          <w:numId w:val="1015"/>
        </w:numPr>
      </w:pPr>
      <w:r>
        <w:t xml:space="preserve">Il modello con una delle leve più forti è quello che non tocchi: peso e alimentazione si segnalano e si rinviano.</w:t>
      </w:r>
    </w:p>
    <w:p>
      <w:pPr>
        <w:pStyle w:val="Compact"/>
        <w:numPr>
          <w:ilvl w:val="0"/>
          <w:numId w:val="1015"/>
        </w:numPr>
      </w:pPr>
      <w:r>
        <w:rPr>
          <w:b/>
          <w:bCs/>
        </w:rPr>
        <w:t xml:space="preserve">Perché ci sei tu.</w:t>
      </w:r>
      <w:r>
        <w:t xml:space="preserve"> </w:t>
      </w:r>
      <w:r>
        <w:t xml:space="preserve">Un chilo di peso in meno vale circa quattro chili in meno di forza compressiva sul ginocchio a ogni passo (Messier, PMID 15986358; misura biomeccanica diretta, i dettagli in «Cosa si rompe»). Moltiplicato per migliaia di passi al giorno, è la leva meccanica più grande che esista su questa condizione.</w:t>
      </w:r>
      <w:r>
        <w:t xml:space="preserve"> </w:t>
      </w:r>
      <w:r>
        <w:rPr>
          <w:b/>
          <w:bCs/>
        </w:rPr>
        <w:t xml:space="preserve">Per te:</w:t>
      </w:r>
      <w:r>
        <w:t xml:space="preserve"> </w:t>
      </w:r>
      <w:r>
        <w:t xml:space="preserve">è anche la leva che non ti appartiene, e il tuo contributo è farla partire con una frase e un invio. Questo ti autorizza a nominare il peso come fattore meccanico, con un numero e senza giudizio. Non ti autorizza a dare indicazioni alimentari.</w:t>
      </w:r>
    </w:p>
    <w:p>
      <w:r>
        <w:pict>
          <v:rect style="width:0;height:1.5pt" o:hralign="center" o:hrstd="t" o:hr="t"/>
        </w:pict>
      </w:r>
    </w:p>
    <w:bookmarkEnd w:id="41"/>
    <w:bookmarkEnd w:id="42"/>
    <w:bookmarkStart w:id="50"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il dolore te lo indica lui, il piano su cui lavorare lo scegli tu.</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decidi l’ordine delle tue mosse, non una descrizione validata di come funziona il paziente. Le altre definizioni del metodo — marker, catena, lesione primaria, compenso, centro di percezione, centro di coordinazione — stanno nel Glossario.</w:t>
      </w:r>
    </w:p>
    <w:bookmarkStart w:id="43" w:name="i-sei-piani-in-ordine"/>
    <w:p>
      <w:pPr>
        <w:pStyle w:val="Heading3"/>
      </w:pPr>
      <w:r>
        <w:t xml:space="preserve">I sei piani, in ordine</w:t>
      </w:r>
    </w:p>
    <w:p>
      <w:pPr>
        <w:pStyle w:val="FirstParagraph"/>
      </w:pPr>
      <w:r>
        <w:t xml:space="preserve">Prima di tutto il resto serve la scala, perché</w:t>
      </w:r>
      <w:r>
        <w:t xml:space="preserve"> </w:t>
      </w:r>
      <w:r>
        <w:t xml:space="preserve">“più a monte”</w:t>
      </w:r>
      <w:r>
        <w:t xml:space="preserve"> </w:t>
      </w:r>
      <w:r>
        <w:t xml:space="preserve">senza scala non vuol dire niente.</w:t>
      </w:r>
      <w:r>
        <w:t xml:space="preserve"> </w:t>
      </w:r>
      <w:r>
        <w:rPr>
          <w:b/>
          <w:bCs/>
        </w:rPr>
        <w:t xml:space="preserve">Questi sei piani, in quest’ordine, sono la gerarchia di questa condizione.</w:t>
      </w:r>
      <w:r>
        <w:t xml:space="preserve"> </w:t>
      </w:r>
      <w:r>
        <w:t xml:space="preserve">In alto sta il piano che, se comanda, rende poco leggibile tutto quello che sta sotto. In basso sta il piano che esegue.</w:t>
      </w:r>
    </w:p>
    <w:p>
      <w:pPr>
        <w:pStyle w:val="Compact"/>
        <w:numPr>
          <w:ilvl w:val="0"/>
          <w:numId w:val="1016"/>
        </w:numPr>
      </w:pPr>
      <w:r>
        <w:rPr>
          <w:b/>
          <w:bCs/>
        </w:rPr>
        <w:t xml:space="preserve">La convinzione.</w:t>
      </w:r>
    </w:p>
    <w:p>
      <w:pPr>
        <w:pStyle w:val="Compact"/>
        <w:numPr>
          <w:ilvl w:val="0"/>
          <w:numId w:val="1016"/>
        </w:numPr>
      </w:pPr>
      <w:r>
        <w:rPr>
          <w:b/>
          <w:bCs/>
        </w:rPr>
        <w:t xml:space="preserve">L’ingresso infiammatorio.</w:t>
      </w:r>
    </w:p>
    <w:p>
      <w:pPr>
        <w:pStyle w:val="Compact"/>
        <w:numPr>
          <w:ilvl w:val="0"/>
          <w:numId w:val="1016"/>
        </w:numPr>
      </w:pPr>
      <w:r>
        <w:rPr>
          <w:b/>
          <w:bCs/>
        </w:rPr>
        <w:t xml:space="preserve">La soglia.</w:t>
      </w:r>
    </w:p>
    <w:p>
      <w:pPr>
        <w:pStyle w:val="Compact"/>
        <w:numPr>
          <w:ilvl w:val="0"/>
          <w:numId w:val="1016"/>
        </w:numPr>
      </w:pPr>
      <w:r>
        <w:rPr>
          <w:b/>
          <w:bCs/>
        </w:rPr>
        <w:t xml:space="preserve">Il carico.</w:t>
      </w:r>
    </w:p>
    <w:p>
      <w:pPr>
        <w:pStyle w:val="Compact"/>
        <w:numPr>
          <w:ilvl w:val="0"/>
          <w:numId w:val="1016"/>
        </w:numPr>
      </w:pPr>
      <w:r>
        <w:rPr>
          <w:b/>
          <w:bCs/>
        </w:rPr>
        <w:t xml:space="preserve">L’esecutore</w:t>
      </w:r>
      <w:r>
        <w:t xml:space="preserve">, cioè il muscolo peri-articolare.</w:t>
      </w:r>
    </w:p>
    <w:p>
      <w:pPr>
        <w:pStyle w:val="Compact"/>
        <w:numPr>
          <w:ilvl w:val="0"/>
          <w:numId w:val="1016"/>
        </w:numPr>
      </w:pPr>
      <w:r>
        <w:rPr>
          <w:b/>
          <w:bCs/>
        </w:rPr>
        <w:t xml:space="preserve">L’attività.</w:t>
      </w:r>
    </w:p>
    <w:p>
      <w:pPr>
        <w:pStyle w:val="FirstParagraph"/>
      </w:pPr>
      <w:r>
        <w:t xml:space="preserve">Ogni piano ha il suo criterio nella road map, in fondo al capitolo.</w:t>
      </w:r>
    </w:p>
    <w:p>
      <w:pPr>
        <w:pStyle w:val="BlockText"/>
      </w:pPr>
      <w:r>
        <w:rPr>
          <w:b/>
          <w:bCs/>
        </w:rPr>
        <w:t xml:space="preserve">Centro di percezione</w:t>
      </w:r>
      <w:r>
        <w:t xml:space="preserve"> </w:t>
      </w:r>
      <w:r>
        <w:t xml:space="preserve">è il posto dove il paziente sente il dolore.</w:t>
      </w:r>
      <w:r>
        <w:t xml:space="preserve"> </w:t>
      </w:r>
      <w:r>
        <w:rPr>
          <w:b/>
          <w:bCs/>
        </w:rPr>
        <w:t xml:space="preserve">Centro di coordinazione</w:t>
      </w:r>
      <w:r>
        <w:t xml:space="preserve"> </w:t>
      </w:r>
      <w:r>
        <w:t xml:space="preserve">è il piano che lo genera o lo mantiene. Nella maggior parte dei pazienti non coincidono.</w:t>
      </w:r>
    </w:p>
    <w:bookmarkEnd w:id="43"/>
    <w:bookmarkStart w:id="44" w:name="perché-si-indaga-da-monte"/>
    <w:p>
      <w:pPr>
        <w:pStyle w:val="Heading3"/>
      </w:pPr>
      <w:r>
        <w:t xml:space="preserve">Perché si indaga da monte</w:t>
      </w:r>
    </w:p>
    <w:p>
      <w:pPr>
        <w:pStyle w:val="FirstParagraph"/>
      </w:pPr>
      <w:r>
        <w:t xml:space="preserve">Il corpo sacrifica quello che può, per proteggere quello che non può perdere.</w:t>
      </w:r>
      <w:r>
        <w:t xml:space="preserve"> </w:t>
      </w:r>
      <w:r>
        <w:rPr>
          <w:b/>
          <w:bCs/>
        </w:rPr>
        <w:t xml:space="preserve">Qui non è la vita: è la deambulazione e l’autonomia.</w:t>
      </w:r>
      <w:r>
        <w:t xml:space="preserve"> </w:t>
      </w:r>
      <w:r>
        <w:t xml:space="preserve">Escursione, forza e attività si sacrificano per continuare a camminare, e il piano dominante è quello più a monte fra quelli disfunzionali.</w:t>
      </w:r>
    </w:p>
    <w:p>
      <w:pPr>
        <w:pStyle w:val="BodyText"/>
      </w:pPr>
      <w:r>
        <w:rPr>
          <w:b/>
          <w:bCs/>
        </w:rPr>
        <w:t xml:space="preserve">“A monte”</w:t>
      </w:r>
      <w:r>
        <w:rPr>
          <w:b/>
          <w:bCs/>
        </w:rPr>
        <w:t xml:space="preserve"> </w:t>
      </w:r>
      <w:r>
        <w:rPr>
          <w:b/>
          <w:bCs/>
        </w:rPr>
        <w:t xml:space="preserve">non è una coordinata anatomica: non vuol dire più vicino alla testa.</w:t>
      </w:r>
      <w:r>
        <w:t xml:space="preserve"> </w:t>
      </w:r>
      <w:r>
        <w:t xml:space="preserve">Vuol dire più in alto nella lista dei sei piani. Una convinzione che blocca il movimento pesa più di una caviglia rigida. Un ingresso infiammatorio attivo rende poco leggibile qualunque misura di soglia. Una soglia consumata rende poco leggibile qualunque miglioramento locale.</w:t>
      </w:r>
    </w:p>
    <w:p>
      <w:pPr>
        <w:pStyle w:val="BodyText"/>
      </w:pPr>
      <w:r>
        <w:rPr>
          <w:b/>
          <w:bCs/>
        </w:rPr>
        <w:t xml:space="preserve">E la gerarchia ordina l’indagine, non la forza delle leve.</w:t>
      </w:r>
      <w:r>
        <w:t xml:space="preserve"> </w:t>
      </w:r>
      <w:r>
        <w:t xml:space="preserve">Su questa condizione la leva con le prove migliori appartiene al piano esecutore, che nella lista sta al quinto posto: il muscolo. Indagare dall’alto e trattare solo dall’alto lascerebbe fuori l’unica cosa che ha revisioni sistematiche ampie alle spalle.</w:t>
      </w:r>
    </w:p>
    <w:bookmarkEnd w:id="44"/>
    <w:bookmarkStart w:id="45" w:name="la-punta-e-il-sommerso"/>
    <w:p>
      <w:pPr>
        <w:pStyle w:val="Heading3"/>
      </w:pPr>
      <w:r>
        <w:t xml:space="preserve">La punta e il sommerso</w:t>
      </w:r>
    </w:p>
    <w:p>
      <w:pPr>
        <w:pStyle w:val="FirstParagraph"/>
      </w:pPr>
      <w:r>
        <w:t xml:space="preserve">Quattro pazienti con la stessa radiografia. Il sommerso è diverso, e la prima mossa cambia.</w:t>
      </w:r>
    </w:p>
    <w:p>
      <w:pPr>
        <w:pStyle w:val="BodyText"/>
      </w:pPr>
      <w:r>
        <w:rPr>
          <w:b/>
          <w:bCs/>
        </w:rPr>
        <w:t xml:space="preserve">Il primo — il carico, poi l’esecutore.</w:t>
      </w:r>
      <w:r>
        <w:t xml:space="preserve"> </w:t>
      </w:r>
      <w:r>
        <w:t xml:space="preserve">Sessantuno anni, dolore da carico dopo venti minuti di cammino, coscia più sottile, sei alzate, dorsiflessione ridotta, dieci gradi di estensione mancanti. Se scendi la road map, il primo sì è il quarto piano, il carico: dorsiflessione ridotta ed estensione incompleta. Le sei alzate sono il sì che sta sotto, e lo leggi come compenso finché l’escursione non è tornata. È per questo che l’escursione viene prima del rinforzo.</w:t>
      </w:r>
      <w:r>
        <w:t xml:space="preserve"> </w:t>
      </w:r>
      <w:r>
        <w:rPr>
          <w:b/>
          <w:bCs/>
        </w:rPr>
        <w:t xml:space="preserve">Cosa fai:</w:t>
      </w:r>
      <w:r>
        <w:t xml:space="preserve"> </w:t>
      </w:r>
      <w:r>
        <w:t xml:space="preserve">restituisci escursione a caviglia, anca ed estensione; riduci con le mani il dolore che accompagna il gesto; metti il carico progressivo come leva principale.</w:t>
      </w:r>
      <w:r>
        <w:t xml:space="preserve"> </w:t>
      </w:r>
      <w:r>
        <w:rPr>
          <w:b/>
          <w:bCs/>
        </w:rPr>
        <w:t xml:space="preserve">Verifichi su:</w:t>
      </w:r>
      <w:r>
        <w:t xml:space="preserve"> </w:t>
      </w:r>
      <w:r>
        <w:t xml:space="preserve">soglia a distanza se ha spazio per muoversi, altrimenti cammino quotidiano o dolore notturno.</w:t>
      </w:r>
    </w:p>
    <w:p>
      <w:pPr>
        <w:pStyle w:val="BodyText"/>
      </w:pPr>
      <w:r>
        <w:rPr>
          <w:b/>
          <w:bCs/>
        </w:rPr>
        <w:t xml:space="preserve">Il secondo — la soglia.</w:t>
      </w:r>
      <w:r>
        <w:t xml:space="preserve"> </w:t>
      </w:r>
      <w:r>
        <w:t xml:space="preserve">Cinquantasette anni, dolore anche a riposo e di notte, dolorabilità fino all’avambraccio, sonno rotto da mesi.</w:t>
      </w:r>
      <w:r>
        <w:t xml:space="preserve"> </w:t>
      </w:r>
      <w:r>
        <w:rPr>
          <w:b/>
          <w:bCs/>
        </w:rPr>
        <w:t xml:space="preserve">Non è un capolinea: è l’indicazione più chiara che esista per la leva che agisce sulla soglia.</w:t>
      </w:r>
      <w:r>
        <w:t xml:space="preserve"> </w:t>
      </w:r>
      <w:r>
        <w:t xml:space="preserve">Quella leva è fatta di quattro cose: contatto lento e prolungato, tempo dedicato dentro la seduta, esposizione graduata ed educazione che smonta</w:t>
      </w:r>
      <w:r>
        <w:t xml:space="preserve"> </w:t>
      </w:r>
      <w:r>
        <w:t xml:space="preserve">“osso contro osso”</w:t>
      </w:r>
      <w:r>
        <w:t xml:space="preserve">. L’esposizione graduata è riprendere i movimenti temuti da un livello tollerato, alzandolo per gradi.</w:t>
      </w:r>
      <w:r>
        <w:t xml:space="preserve"> </w:t>
      </w:r>
      <w:r>
        <w:rPr>
          <w:b/>
          <w:bCs/>
        </w:rPr>
        <w:t xml:space="preserve">Cosa fai:</w:t>
      </w:r>
      <w:r>
        <w:t xml:space="preserve"> </w:t>
      </w:r>
      <w:r>
        <w:t xml:space="preserve">tratti, con l’etichetta reale — PROBABILE</w:t>
      </w:r>
      <w:r>
        <w:t xml:space="preserve"> </w:t>
      </w:r>
      <w:r>
        <w:rPr>
          <w:i/>
          <w:iCs/>
        </w:rPr>
        <w:t xml:space="preserve">(razionale forte, prove parziali)</w:t>
      </w:r>
      <w:r>
        <w:t xml:space="preserve"> </w:t>
      </w:r>
      <w:r>
        <w:t xml:space="preserve">per la parte manuale, DIMOSTRATO</w:t>
      </w:r>
      <w:r>
        <w:t xml:space="preserve"> </w:t>
      </w:r>
      <w:r>
        <w:rPr>
          <w:i/>
          <w:iCs/>
        </w:rPr>
        <w:t xml:space="preserve">(studi sull’uomo, solidi)</w:t>
      </w:r>
      <w:r>
        <w:t xml:space="preserve"> </w:t>
      </w:r>
      <w:r>
        <w:t xml:space="preserve">per la parte attiva — e con un tempo dichiarato.</w:t>
      </w:r>
      <w:r>
        <w:t xml:space="preserve"> </w:t>
      </w:r>
      <w:r>
        <w:rPr>
          <w:b/>
          <w:bCs/>
        </w:rPr>
        <w:t xml:space="preserve">Verifichi su:</w:t>
      </w:r>
      <w:r>
        <w:t xml:space="preserve"> </w:t>
      </w:r>
      <w:r>
        <w:t xml:space="preserve">alzate e velocità di cammino, cioè il piano che non hai trattato. Soglia e sonno restano misure di stato.</w:t>
      </w:r>
    </w:p>
    <w:p>
      <w:pPr>
        <w:pStyle w:val="BodyText"/>
      </w:pPr>
      <w:r>
        <w:rPr>
          <w:b/>
          <w:bCs/>
        </w:rPr>
        <w:t xml:space="preserve">Il terzo — la convinzione.</w:t>
      </w:r>
      <w:r>
        <w:t xml:space="preserve"> </w:t>
      </w:r>
      <w:r>
        <w:t xml:space="preserve">Sessantaquattro anni, referto identico, dolore modesto e ben tollerato quando si muove. Ha smesso di camminare e di giocare con i nipoti per paura, non per dolore, e rifiuta l’esercizio prima di provarlo.</w:t>
      </w:r>
      <w:r>
        <w:t xml:space="preserve"> </w:t>
      </w:r>
      <w:r>
        <w:rPr>
          <w:b/>
          <w:bCs/>
        </w:rPr>
        <w:t xml:space="preserve">Cosa fai:</w:t>
      </w:r>
      <w:r>
        <w:t xml:space="preserve"> </w:t>
      </w:r>
      <w:r>
        <w:t xml:space="preserve">il bersaglio è il significato dell’immagine, e la prima leva è un’esperienza sul lettino — un movimento che credeva impossibile, che avviene senza conseguenze.</w:t>
      </w:r>
      <w:r>
        <w:t xml:space="preserve"> </w:t>
      </w:r>
      <w:r>
        <w:rPr>
          <w:b/>
          <w:bCs/>
        </w:rPr>
        <w:t xml:space="preserve">Verifichi su:</w:t>
      </w:r>
      <w:r>
        <w:t xml:space="preserve"> </w:t>
      </w:r>
      <w:r>
        <w:t xml:space="preserve">un comportamento ripreso e il cammino quotidiano.</w:t>
      </w:r>
    </w:p>
    <w:p>
      <w:pPr>
        <w:pStyle w:val="BodyText"/>
      </w:pPr>
      <w:r>
        <w:rPr>
          <w:b/>
          <w:bCs/>
        </w:rPr>
        <w:t xml:space="preserve">Il quarto — la domanda aperta.</w:t>
      </w:r>
      <w:r>
        <w:t xml:space="preserve"> </w:t>
      </w:r>
      <w:r>
        <w:t xml:space="preserve">Sessantotto anni, ginocchio che si gonfia una settimana sì e una no, caldo nelle fasi peggiori, rigidità che alcune mattine supera l’ora.</w:t>
      </w:r>
      <w:r>
        <w:t xml:space="preserve"> </w:t>
      </w:r>
      <w:r>
        <w:rPr>
          <w:b/>
          <w:bCs/>
        </w:rPr>
        <w:t xml:space="preserve">Cosa fai:</w:t>
      </w:r>
      <w:r>
        <w:t xml:space="preserve"> </w:t>
      </w:r>
      <w:r>
        <w:t xml:space="preserve">attivi il canale medico per iscritto lo stesso giorno. Nel frattempo lavori su anca, caviglia e catena controlaterale, e dichiari in cartella che il ginocchio è in attesa di inquadramento e non è il bersaglio.</w:t>
      </w:r>
      <w:r>
        <w:t xml:space="preserve"> </w:t>
      </w:r>
      <w:r>
        <w:rPr>
          <w:b/>
          <w:bCs/>
        </w:rPr>
        <w:t xml:space="preserve">Verifichi su:</w:t>
      </w:r>
      <w:r>
        <w:t xml:space="preserve"> </w:t>
      </w:r>
      <w:r>
        <w:t xml:space="preserve">cammino in una giornata come marker di dominanza; alzate e velocità di cammino come esito. Il ginocchio resta fuori dalla misura finché non è inquadrato.</w:t>
      </w:r>
    </w:p>
    <w:bookmarkEnd w:id="45"/>
    <w:bookmarkStart w:id="46" w:name="la-prova-della-chiave-di-volta"/>
    <w:p>
      <w:pPr>
        <w:pStyle w:val="Heading3"/>
      </w:pPr>
      <w:r>
        <w:t xml:space="preserve">La prova della chiave di volta</w:t>
      </w:r>
    </w:p>
    <w:p>
      <w:pPr>
        <w:pStyle w:val="FirstParagraph"/>
      </w:pPr>
      <w:r>
        <w:t xml:space="preserve">Tratti in prova il</w:t>
      </w:r>
      <w:r>
        <w:t xml:space="preserve"> </w:t>
      </w:r>
      <w:r>
        <w:rPr>
          <w:b/>
          <w:bCs/>
        </w:rPr>
        <w:t xml:space="preserve">sistema dominante</w:t>
      </w:r>
      <w:r>
        <w:t xml:space="preserve"> </w:t>
      </w:r>
      <w:r>
        <w:t xml:space="preserve">che sospetti, poi rivaluti. Se cedono anche gli altri piani, hai trovato la chiave. È il principio della</w:t>
      </w:r>
      <w:r>
        <w:t xml:space="preserve"> </w:t>
      </w:r>
      <w:r>
        <w:rPr>
          <w:b/>
          <w:bCs/>
        </w:rPr>
        <w:t xml:space="preserve">lesione primaria</w:t>
      </w:r>
      <w:r>
        <w:t xml:space="preserve">: la disfunzione che, nella tua ricostruzione, ha innescato le altre.</w:t>
      </w:r>
    </w:p>
    <w:p>
      <w:pPr>
        <w:pStyle w:val="BodyText"/>
      </w:pPr>
      <w:r>
        <w:rPr>
          <w:b/>
          <w:bCs/>
        </w:rPr>
        <w:t xml:space="preserve">La regola, e come si applica davvero.</w:t>
      </w:r>
      <w:r>
        <w:t xml:space="preserve"> </w:t>
      </w:r>
      <w:r>
        <w:t xml:space="preserve">Il marker con cui verifichi la</w:t>
      </w:r>
      <w:r>
        <w:t xml:space="preserve"> </w:t>
      </w:r>
      <w:r>
        <w:rPr>
          <w:b/>
          <w:bCs/>
        </w:rPr>
        <w:t xml:space="preserve">dominanza</w:t>
      </w:r>
      <w:r>
        <w:t xml:space="preserve"> </w:t>
      </w:r>
      <w:r>
        <w:t xml:space="preserve">deve appartenere a un piano che non hai trattato. I marker con cui verifichi l’</w:t>
      </w:r>
      <w:r>
        <w:rPr>
          <w:b/>
          <w:bCs/>
        </w:rPr>
        <w:t xml:space="preserve">esito</w:t>
      </w:r>
      <w:r>
        <w:t xml:space="preserve"> </w:t>
      </w:r>
      <w:r>
        <w:t xml:space="preserve">possono stare sul piano trattato: servono a sapere se il paziente migliora, non se la tua ipotesi era giusta. Sono due domande diverse, e vogliono due misure diverse: se aggiusti la caldaia, la prova è il termosifone che scalda, non la spia che si accende.</w:t>
      </w:r>
    </w:p>
    <w:p>
      <w:pPr>
        <w:pStyle w:val="BodyText"/>
      </w:pPr>
      <w:r>
        <w:t xml:space="preserve">Da qui l’accoppiamento, che è incrociato: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Piano che tratti</w:t>
            </w:r>
          </w:p>
        </w:tc>
        <w:tc>
          <w:tcPr/>
          <w:p>
            <w:pPr>
              <w:pStyle w:val="Compact"/>
            </w:pPr>
            <w:r>
              <w:t xml:space="preserve">Marker di dominanza (piano non trattato)</w:t>
            </w:r>
          </w:p>
        </w:tc>
        <w:tc>
          <w:tcPr/>
          <w:p>
            <w:pPr>
              <w:pStyle w:val="Compact"/>
            </w:pPr>
            <w:r>
              <w:t xml:space="preserve">Marker di esito</w:t>
            </w:r>
          </w:p>
        </w:tc>
      </w:tr>
      <w:tr>
        <w:tc>
          <w:tcPr/>
          <w:p>
            <w:pPr>
              <w:pStyle w:val="Compact"/>
            </w:pPr>
            <w:r>
              <w:t xml:space="preserve">Esecutore, carico</w:t>
            </w:r>
          </w:p>
        </w:tc>
        <w:tc>
          <w:tcPr/>
          <w:p>
            <w:pPr>
              <w:pStyle w:val="Compact"/>
            </w:pPr>
            <w:r>
              <w:t xml:space="preserve">Soglia a distanza, o cammino in una giornata</w:t>
            </w:r>
          </w:p>
        </w:tc>
        <w:tc>
          <w:tcPr/>
          <w:p>
            <w:pPr>
              <w:pStyle w:val="Compact"/>
            </w:pPr>
            <w:r>
              <w:t xml:space="preserve">Alzate, velocità di cammino</w:t>
            </w:r>
          </w:p>
        </w:tc>
      </w:tr>
      <w:tr>
        <w:tc>
          <w:tcPr/>
          <w:p>
            <w:pPr>
              <w:pStyle w:val="Compact"/>
            </w:pPr>
            <w:r>
              <w:t xml:space="preserve">Soglia</w:t>
            </w:r>
          </w:p>
        </w:tc>
        <w:tc>
          <w:tcPr/>
          <w:p>
            <w:pPr>
              <w:pStyle w:val="Compact"/>
            </w:pPr>
            <w:r>
              <w:t xml:space="preserve">Alzate in 30 s, velocità di cammino</w:t>
            </w:r>
          </w:p>
        </w:tc>
        <w:tc>
          <w:tcPr/>
          <w:p>
            <w:pPr>
              <w:pStyle w:val="Compact"/>
            </w:pPr>
            <w:r>
              <w:t xml:space="preserve">Soglia a distanza, sonno</w:t>
            </w:r>
          </w:p>
        </w:tc>
      </w:tr>
      <w:tr>
        <w:tc>
          <w:tcPr/>
          <w:p>
            <w:pPr>
              <w:pStyle w:val="Compact"/>
            </w:pPr>
            <w:r>
              <w:t xml:space="preserve">Convinzione</w:t>
            </w:r>
          </w:p>
        </w:tc>
        <w:tc>
          <w:tcPr/>
          <w:p>
            <w:pPr>
              <w:pStyle w:val="Compact"/>
            </w:pPr>
            <w:r>
              <w:t xml:space="preserve">Alzate, velocità di cammino</w:t>
            </w:r>
          </w:p>
        </w:tc>
        <w:tc>
          <w:tcPr/>
          <w:p>
            <w:pPr>
              <w:pStyle w:val="Compact"/>
            </w:pPr>
            <w:r>
              <w:t xml:space="preserve">Attività riprese</w:t>
            </w:r>
          </w:p>
        </w:tc>
      </w:tr>
    </w:tbl>
    <w:p>
      <w:pPr>
        <w:pStyle w:val="BodyText"/>
      </w:pPr>
      <w:r>
        <w:t xml:space="preserve">Una precisazione sul principio di non trattare il centro di percezione.</w:t>
      </w:r>
      <w:r>
        <w:t xml:space="preserve"> </w:t>
      </w:r>
      <w:r>
        <w:rPr>
          <w:b/>
          <w:bCs/>
        </w:rPr>
        <w:t xml:space="preserve">Su questa condizione la regola «non trattare il punto in cui il paziente sente» non viene attenuata: viene tolta.</w:t>
      </w:r>
      <w:r>
        <w:t xml:space="preserve"> </w:t>
      </w:r>
      <w:r>
        <w:t xml:space="preserve">Il motivo è un fatto: l’intervento con le prove migliori — il carico progressivo sul muscolo che estende l’articolazione malata — si applica esattamente sul segmento sintomatico.</w:t>
      </w:r>
    </w:p>
    <w:p>
      <w:pPr>
        <w:pStyle w:val="BodyText"/>
      </w:pPr>
      <w:r>
        <w:t xml:space="preserve">Restano intatte, e con potere di discriminare, due regole distinte. La regola di</w:t>
      </w:r>
      <w:r>
        <w:t xml:space="preserve"> </w:t>
      </w:r>
      <w:r>
        <w:rPr>
          <w:b/>
          <w:bCs/>
        </w:rPr>
        <w:t xml:space="preserve">indagine</w:t>
      </w:r>
      <w:r>
        <w:t xml:space="preserve">: cerca a monte prima di concludere che la causa stia dove fa male. E la regola di</w:t>
      </w:r>
      <w:r>
        <w:t xml:space="preserve"> </w:t>
      </w:r>
      <w:r>
        <w:rPr>
          <w:b/>
          <w:bCs/>
        </w:rPr>
        <w:t xml:space="preserve">verifica</w:t>
      </w:r>
      <w:r>
        <w:t xml:space="preserve">: il marker con cui rivaluti appartiene a un piano che non hai trattato.</w:t>
      </w:r>
    </w:p>
    <w:bookmarkEnd w:id="46"/>
    <w:bookmarkStart w:id="47" w:name="i-marker-di-questa-condizione"/>
    <w:p>
      <w:pPr>
        <w:pStyle w:val="Heading3"/>
      </w:pPr>
      <w:r>
        <w:t xml:space="preserve">I marker di questa condizione</w:t>
      </w:r>
    </w:p>
    <w:p>
      <w:pPr>
        <w:pStyle w:val="FirstParagraph"/>
      </w:pPr>
      <w:r>
        <w:t xml:space="preserve">Tre. Si scelgono prima di trattare e si rimisurano con lo stesso metodo.</w:t>
      </w:r>
      <w:r>
        <w:t xml:space="preserve"> </w:t>
      </w:r>
      <w:r>
        <w:rPr>
          <w:b/>
          <w:bCs/>
        </w:rPr>
        <w:t xml:space="preserve">La colonna delle soglie contiene due cose diverse, e vanno lette sapendolo.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Cambiamento che conta</w:t>
            </w:r>
          </w:p>
        </w:tc>
        <w:tc>
          <w:tcPr/>
          <w:p>
            <w:pPr>
              <w:pStyle w:val="Compact"/>
            </w:pPr>
            <w:r>
              <w:t xml:space="preserve">Da quale popolazione</w:t>
            </w:r>
          </w:p>
        </w:tc>
      </w:tr>
      <w:tr>
        <w:tc>
          <w:tcPr/>
          <w:p>
            <w:pPr>
              <w:pStyle w:val="Compact"/>
            </w:pPr>
            <w:r>
              <w:t xml:space="preserve">Alzate dalla sedia in 30 s</w:t>
            </w:r>
          </w:p>
        </w:tc>
        <w:tc>
          <w:tcPr/>
          <w:p>
            <w:pPr>
              <w:pStyle w:val="Compact"/>
            </w:pPr>
            <w:r>
              <w:t xml:space="preserve">Alzate complete, braccia incrociate</w:t>
            </w:r>
          </w:p>
        </w:tc>
        <w:tc>
          <w:tcPr/>
          <w:p>
            <w:pPr>
              <w:pStyle w:val="Compact"/>
            </w:pPr>
            <w:r>
              <w:t xml:space="preserve">+2,0 / +2,6 —</w:t>
            </w:r>
            <w:r>
              <w:t xml:space="preserve"> </w:t>
            </w:r>
            <w:r>
              <w:rPr>
                <w:i/>
                <w:iCs/>
              </w:rPr>
              <w:t xml:space="preserve">conta per il paziente</w:t>
            </w:r>
          </w:p>
        </w:tc>
        <w:tc>
          <w:tcPr/>
          <w:p>
            <w:pPr>
              <w:pStyle w:val="Compact"/>
            </w:pPr>
            <w:r>
              <w:t xml:space="preserve">65 pazienti, artrosi d’</w:t>
            </w:r>
            <w:r>
              <w:rPr>
                <w:b/>
                <w:bCs/>
              </w:rPr>
              <w:t xml:space="preserve">anca</w:t>
            </w:r>
          </w:p>
        </w:tc>
      </w:tr>
      <w:tr>
        <w:tc>
          <w:tcPr/>
          <w:p>
            <w:pPr>
              <w:pStyle w:val="Compact"/>
            </w:pPr>
            <w:r>
              <w:t xml:space="preserve">Cammino veloce, 4 tratti da 10 m</w:t>
            </w:r>
          </w:p>
        </w:tc>
        <w:tc>
          <w:tcPr/>
          <w:p>
            <w:pPr>
              <w:pStyle w:val="Compact"/>
            </w:pPr>
            <w:r>
              <w:t xml:space="preserve">Velocità in metri al secondo</w:t>
            </w:r>
          </w:p>
        </w:tc>
        <w:tc>
          <w:tcPr/>
          <w:p>
            <w:pPr>
              <w:pStyle w:val="Compact"/>
            </w:pPr>
            <w:r>
              <w:t xml:space="preserve">+0,2 / +0,3 —</w:t>
            </w:r>
            <w:r>
              <w:t xml:space="preserve"> </w:t>
            </w:r>
            <w:r>
              <w:rPr>
                <w:i/>
                <w:iCs/>
              </w:rPr>
              <w:t xml:space="preserve">conta per il paziente</w:t>
            </w:r>
          </w:p>
        </w:tc>
        <w:tc>
          <w:tcPr/>
          <w:p>
            <w:pPr>
              <w:pStyle w:val="Compact"/>
            </w:pPr>
            <w:r>
              <w:t xml:space="preserve">come sopra</w:t>
            </w:r>
          </w:p>
        </w:tc>
      </w:tr>
      <w:tr>
        <w:tc>
          <w:tcPr/>
          <w:p>
            <w:pPr>
              <w:pStyle w:val="Compact"/>
            </w:pPr>
            <w:r>
              <w:t xml:space="preserve">Soglia dolorosa a distanza</w:t>
            </w:r>
          </w:p>
        </w:tc>
        <w:tc>
          <w:tcPr/>
          <w:p>
            <w:pPr>
              <w:pStyle w:val="Compact"/>
            </w:pPr>
            <w:r>
              <w:t xml:space="preserve">Algometro, avambraccio opposto</w:t>
            </w:r>
          </w:p>
        </w:tc>
        <w:tc>
          <w:tcPr/>
          <w:p>
            <w:pPr>
              <w:pStyle w:val="Compact"/>
            </w:pPr>
            <w:r>
              <w:t xml:space="preserve">+0,33 / +0,72 kg/cm² —</w:t>
            </w:r>
            <w:r>
              <w:t xml:space="preserve"> </w:t>
            </w:r>
            <w:r>
              <w:rPr>
                <w:i/>
                <w:iCs/>
              </w:rPr>
              <w:t xml:space="preserve">oltre l’errore</w:t>
            </w:r>
          </w:p>
        </w:tc>
        <w:tc>
          <w:tcPr/>
          <w:p>
            <w:pPr>
              <w:pStyle w:val="Compact"/>
            </w:pPr>
            <w:r>
              <w:t xml:space="preserve">60 pazienti, artrosi</w:t>
            </w:r>
            <w:r>
              <w:t xml:space="preserve"> </w:t>
            </w:r>
            <w:r>
              <w:rPr>
                <w:b/>
                <w:bCs/>
              </w:rPr>
              <w:t xml:space="preserve">terminale</w:t>
            </w:r>
          </w:p>
        </w:tc>
      </w:tr>
    </w:tbl>
    <w:p>
      <w:pPr>
        <w:pStyle w:val="BodyText"/>
      </w:pPr>
      <w:r>
        <w:t xml:space="preserve">I primi due appartengono al set di test raccomandato a livello internazionale per anca e ginocchio (Dobson,</w:t>
      </w:r>
      <w:r>
        <w:t xml:space="preserve"> </w:t>
      </w:r>
      <w:r>
        <w:rPr>
          <w:i/>
          <w:iCs/>
        </w:rPr>
        <w:t xml:space="preserve">Osteoarthritis Cartilage</w:t>
      </w:r>
      <w:r>
        <w:t xml:space="preserve"> </w:t>
      </w:r>
      <w:r>
        <w:t xml:space="preserve">2013, PMID 23680877). Le soglie vengono da Wright, PMID 21335930.</w:t>
      </w:r>
      <w:r>
        <w:t xml:space="preserve"> </w:t>
      </w:r>
      <w:r>
        <w:rPr>
          <w:b/>
          <w:bCs/>
        </w:rPr>
        <w:t xml:space="preserve">Attenzione al trasferimento:</w:t>
      </w:r>
      <w:r>
        <w:t xml:space="preserve"> </w:t>
      </w:r>
      <w:r>
        <w:t xml:space="preserve">sono soglie d’anca, e il documento parla in prevalenza di ginocchio.</w:t>
      </w:r>
    </w:p>
    <w:p>
      <w:pPr>
        <w:pStyle w:val="BodyText"/>
      </w:pPr>
      <w:r>
        <w:t xml:space="preserve">Il terzo marker è di natura diversa. Quell’intervallo non dice quanto un cambiamento conta per il paziente: dice</w:t>
      </w:r>
      <w:r>
        <w:t xml:space="preserve"> </w:t>
      </w:r>
      <w:r>
        <w:rPr>
          <w:b/>
          <w:bCs/>
        </w:rPr>
        <w:t xml:space="preserve">quanto errore ha lo strumento</w:t>
      </w:r>
      <w:r>
        <w:t xml:space="preserve">, cioè il valore sotto il quale una differenza è rumore (Hu, PMID 42371695; gli autori concludono che l’utilità clinica va ancora validata).</w:t>
      </w:r>
      <w:r>
        <w:t xml:space="preserve"> </w:t>
      </w:r>
      <w:r>
        <w:rPr>
          <w:b/>
          <w:bCs/>
        </w:rPr>
        <w:t xml:space="preserve">Usa 0,72 quando vuoi essere sicuro, 0,33 quando la misura è ripetuta nelle stesse condizioni dalla stessa mano.</w:t>
      </w:r>
      <w:r>
        <w:t xml:space="preserve"> </w:t>
      </w:r>
      <w:r>
        <w:t xml:space="preserve">Con entrambe le ginocchia artrosiche, l’avambraccio si sceglie una volta e non si cambia più.</w:t>
      </w:r>
    </w:p>
    <w:p>
      <w:pPr>
        <w:pStyle w:val="BodyText"/>
      </w:pPr>
      <w:r>
        <w:rPr>
          <w:b/>
          <w:bCs/>
        </w:rPr>
        <w:t xml:space="preserve">Tutti e tre sono test di performance o misure strumentali, e nessuno è un reperto palpatorio.</w:t>
      </w:r>
      <w:r>
        <w:t xml:space="preserve"> </w:t>
      </w:r>
      <w:r>
        <w:t xml:space="preserve">Non è un caso. Reggono come marker quattro cose: la provocazione del dolore con un carico definito, l’escursione</w:t>
      </w:r>
      <w:r>
        <w:t xml:space="preserve"> </w:t>
      </w:r>
      <w:r>
        <w:rPr>
          <w:b/>
          <w:bCs/>
        </w:rPr>
        <w:t xml:space="preserve">regionale</w:t>
      </w:r>
      <w:r>
        <w:t xml:space="preserve"> </w:t>
      </w:r>
      <w:r>
        <w:t xml:space="preserve">misurata, il tempo su un compito funzionale e la soglia algometrica. La palpazione dei tessuti molli e la valutazione della mobilità</w:t>
      </w:r>
      <w:r>
        <w:t xml:space="preserve"> </w:t>
      </w:r>
      <w:r>
        <w:rPr>
          <w:b/>
          <w:bCs/>
        </w:rPr>
        <w:t xml:space="preserve">segmentale</w:t>
      </w:r>
      <w:r>
        <w:t xml:space="preserve"> </w:t>
      </w:r>
      <w:r>
        <w:t xml:space="preserve">restano parte dell’esame e dell’orientamento: ti dicono dove il paziente tollera il contatto. Ma</w:t>
      </w:r>
      <w:r>
        <w:t xml:space="preserve"> </w:t>
      </w:r>
      <w:r>
        <w:rPr>
          <w:b/>
          <w:bCs/>
        </w:rPr>
        <w:t xml:space="preserve">non fondano il mandato e non funzionano da marker</w:t>
      </w:r>
      <w:r>
        <w:t xml:space="preserve"> </w:t>
      </w:r>
      <w:r>
        <w:t xml:space="preserve">(deviazione D-022, stato</w:t>
      </w:r>
      <w:r>
        <w:t xml:space="preserve"> </w:t>
      </w:r>
      <w:r>
        <w:rPr>
          <w:rStyle w:val="VerbatimChar"/>
        </w:rPr>
        <w:t xml:space="preserve">PROPOSTA</w:t>
      </w:r>
      <w:r>
        <w:t xml:space="preserve">).</w:t>
      </w:r>
    </w:p>
    <w:p>
      <w:pPr>
        <w:pStyle w:val="BodyText"/>
      </w:pPr>
      <w:r>
        <w:rPr>
          <w:b/>
          <w:bCs/>
        </w:rPr>
        <w:t xml:space="preserve">Senza algometro.</w:t>
      </w:r>
      <w:r>
        <w:t xml:space="preserve"> </w:t>
      </w:r>
      <w:r>
        <w:t xml:space="preserve">Nel paziente con la soglia dominante il marker di dominanza sono comunque alzate e cammino, che non richiedono nulla. Come misura di stato il ripiego è il</w:t>
      </w:r>
      <w:r>
        <w:t xml:space="preserve"> </w:t>
      </w:r>
      <w:r>
        <w:rPr>
          <w:b/>
          <w:bCs/>
        </w:rPr>
        <w:t xml:space="preserve">sonno</w:t>
      </w:r>
      <w:r>
        <w:t xml:space="preserve">, cioè i risvegli dovuti al dolore in una settimana. La scelta non è arbitraria: la riduzione dei risvegli predice la riduzione successiva del dolore in questi pazienti (Smith, PMID 25623343). Ma resta senza una soglia di cambiamento validata.</w:t>
      </w:r>
      <w:r>
        <w:t xml:space="preserve"> </w:t>
      </w:r>
      <w:r>
        <w:rPr>
          <w:i/>
          <w:iCs/>
        </w:rPr>
        <w:t xml:space="preserve">(RAGIONAMENTO — cornice clinica, non una prova — ripiego dichiarato, senza soglia validata.)</w:t>
      </w:r>
    </w:p>
    <w:bookmarkEnd w:id="47"/>
    <w:bookmarkStart w:id="48" w:name="la-road-map"/>
    <w:p>
      <w:pPr>
        <w:pStyle w:val="Heading3"/>
      </w:pPr>
      <w:r>
        <w:t xml:space="preserve">La road map</w:t>
      </w:r>
    </w:p>
    <w:p>
      <w:pPr>
        <w:pStyle w:val="FirstParagraph"/>
      </w:pPr>
      <w:r>
        <w:t xml:space="preserve">Sei domande, nell’ordine dei sei piani.</w:t>
      </w:r>
      <w:r>
        <w:t xml:space="preserve"> </w:t>
      </w:r>
      <w:r>
        <w:rPr>
          <w:b/>
          <w:bCs/>
        </w:rPr>
        <w:t xml:space="preserve">Prima di tutte, e fuori dalla gerarchia, le bandiere rosse:</w:t>
      </w:r>
      <w:r>
        <w:t xml:space="preserve"> </w:t>
      </w:r>
      <w:r>
        <w:t xml:space="preserve">non sono un gradino, sono il cancello che lo precede.</w:t>
      </w:r>
    </w:p>
    <w:p>
      <w:pPr>
        <w:pStyle w:val="Compact"/>
        <w:numPr>
          <w:ilvl w:val="0"/>
          <w:numId w:val="1017"/>
        </w:numPr>
      </w:pPr>
      <w:r>
        <w:rPr>
          <w:b/>
          <w:bCs/>
        </w:rPr>
        <w:t xml:space="preserve">Cosa crede che succeda se carica?</w:t>
      </w:r>
      <w:r>
        <w:t xml:space="preserve"> </w:t>
      </w:r>
      <w:r>
        <w:rPr>
          <w:i/>
          <w:iCs/>
        </w:rPr>
        <w:t xml:space="preserve">Sì se:</w:t>
      </w:r>
      <w:r>
        <w:t xml:space="preserve"> </w:t>
      </w:r>
      <w:r>
        <w:t xml:space="preserve">ha abbandonato attività per paura, rifiuta l’esercizio prima di provarlo. → bersaglio: il significato dell’immagine.</w:t>
      </w:r>
    </w:p>
    <w:p>
      <w:pPr>
        <w:pStyle w:val="Compact"/>
        <w:numPr>
          <w:ilvl w:val="0"/>
          <w:numId w:val="1017"/>
        </w:numPr>
      </w:pPr>
      <w:r>
        <w:rPr>
          <w:b/>
          <w:bCs/>
        </w:rPr>
        <w:t xml:space="preserve">C’è una componente infiammatoria attiva?</w:t>
      </w:r>
      <w:r>
        <w:t xml:space="preserve"> </w:t>
      </w:r>
      <w:r>
        <w:rPr>
          <w:i/>
          <w:iCs/>
        </w:rPr>
        <w:t xml:space="preserve">Sì se:</w:t>
      </w:r>
      <w:r>
        <w:t xml:space="preserve"> </w:t>
      </w:r>
      <w:r>
        <w:t xml:space="preserve">versamento, calore, rigidità mattutina lunga. → il</w:t>
      </w:r>
      <w:r>
        <w:t xml:space="preserve"> </w:t>
      </w:r>
      <w:r>
        <w:rPr>
          <w:b/>
          <w:bCs/>
        </w:rPr>
        <w:t xml:space="preserve">ginocchio</w:t>
      </w:r>
      <w:r>
        <w:t xml:space="preserve"> </w:t>
      </w:r>
      <w:r>
        <w:t xml:space="preserve">esce dal bersaglio finché non è inquadrato, e si lavora sul segmento vicino, come nel quarto paziente. L’articolazione</w:t>
      </w:r>
      <w:r>
        <w:t xml:space="preserve"> </w:t>
      </w:r>
      <w:r>
        <w:rPr>
          <w:b/>
          <w:bCs/>
        </w:rPr>
        <w:t xml:space="preserve">calda</w:t>
      </w:r>
      <w:r>
        <w:t xml:space="preserve"> </w:t>
      </w:r>
      <w:r>
        <w:t xml:space="preserve">non è uno stato, è un’uscita: vedi il cancello. E la soglia trovata sotto si legge come conseguenza, non come dominante.</w:t>
      </w:r>
    </w:p>
    <w:p>
      <w:pPr>
        <w:pStyle w:val="Compact"/>
        <w:numPr>
          <w:ilvl w:val="0"/>
          <w:numId w:val="1017"/>
        </w:numPr>
      </w:pPr>
      <w:r>
        <w:rPr>
          <w:b/>
          <w:bCs/>
        </w:rPr>
        <w:t xml:space="preserve">La soglia è consumata?</w:t>
      </w:r>
      <w:r>
        <w:t xml:space="preserve"> </w:t>
      </w:r>
      <w:r>
        <w:rPr>
          <w:i/>
          <w:iCs/>
        </w:rPr>
        <w:t xml:space="preserve">Sì se:</w:t>
      </w:r>
      <w:r>
        <w:t xml:space="preserve"> </w:t>
      </w:r>
      <w:r>
        <w:t xml:space="preserve">tre criteri su quattro del sottotipo «dolore sproporzionato». → bersaglio: la soglia.</w:t>
      </w:r>
    </w:p>
    <w:p>
      <w:pPr>
        <w:pStyle w:val="Compact"/>
        <w:numPr>
          <w:ilvl w:val="0"/>
          <w:numId w:val="1017"/>
        </w:numPr>
      </w:pPr>
      <w:r>
        <w:rPr>
          <w:b/>
          <w:bCs/>
        </w:rPr>
        <w:t xml:space="preserve">Come arriva il carico?</w:t>
      </w:r>
      <w:r>
        <w:t xml:space="preserve"> </w:t>
      </w:r>
      <w:r>
        <w:rPr>
          <w:i/>
          <w:iCs/>
        </w:rPr>
        <w:t xml:space="preserve">Sì se:</w:t>
      </w:r>
      <w:r>
        <w:t xml:space="preserve"> </w:t>
      </w:r>
      <w:r>
        <w:t xml:space="preserve">rotazione interna d’anca ridotta, dorsiflessione limitata all’affondo al muro, estensione incompleta, varo o valgo evidente. → bersaglio: catena e articolazioni vicine.</w:t>
      </w:r>
      <w:r>
        <w:t xml:space="preserve"> </w:t>
      </w:r>
      <w:r>
        <w:rPr>
          <w:b/>
          <w:bCs/>
        </w:rPr>
        <w:t xml:space="preserve">Il peso sta qui, ma ha un’uscita sua: si nomina con il suo numero e si rinvia, non si tratta.</w:t>
      </w:r>
    </w:p>
    <w:p>
      <w:pPr>
        <w:pStyle w:val="Compact"/>
        <w:numPr>
          <w:ilvl w:val="0"/>
          <w:numId w:val="1017"/>
        </w:numPr>
      </w:pPr>
      <w:r>
        <w:rPr>
          <w:b/>
          <w:bCs/>
        </w:rPr>
        <w:t xml:space="preserve">L’esecutore lavora?</w:t>
      </w:r>
      <w:r>
        <w:t xml:space="preserve"> </w:t>
      </w:r>
      <w:r>
        <w:rPr>
          <w:i/>
          <w:iCs/>
        </w:rPr>
        <w:t xml:space="preserve">Sì se:</w:t>
      </w:r>
      <w:r>
        <w:t xml:space="preserve"> </w:t>
      </w:r>
      <w:r>
        <w:t xml:space="preserve">meno di dieci alzate in trenta secondi, coscia asimmetrica. → bersaglio: il muscolo. È il punto in cui le prove sono migliori. E il paziente con dolore e funzione</w:t>
      </w:r>
      <w:r>
        <w:t xml:space="preserve"> </w:t>
      </w:r>
      <w:r>
        <w:rPr>
          <w:b/>
          <w:bCs/>
        </w:rPr>
        <w:t xml:space="preserve">peggiori</w:t>
      </w:r>
      <w:r>
        <w:t xml:space="preserve"> </w:t>
      </w:r>
      <w:r>
        <w:t xml:space="preserve">all’inizio è quello che da questa leva guadagna di più (Holden, PMID 38251550).</w:t>
      </w:r>
    </w:p>
    <w:p>
      <w:pPr>
        <w:pStyle w:val="Compact"/>
        <w:numPr>
          <w:ilvl w:val="0"/>
          <w:numId w:val="1017"/>
        </w:numPr>
      </w:pPr>
      <w:r>
        <w:rPr>
          <w:b/>
          <w:bCs/>
        </w:rPr>
        <w:t xml:space="preserve">Quanto si muove in un giorno?</w:t>
      </w:r>
      <w:r>
        <w:t xml:space="preserve"> </w:t>
      </w:r>
      <w:r>
        <w:rPr>
          <w:i/>
          <w:iCs/>
        </w:rPr>
        <w:t xml:space="preserve">Sì se:</w:t>
      </w:r>
      <w:r>
        <w:t xml:space="preserve"> </w:t>
      </w:r>
      <w:r>
        <w:t xml:space="preserve">ha ridotto le distanze più di quanto il quadro giustifichi. → bersaglio: la quantità di attività.</w:t>
      </w:r>
    </w:p>
    <w:p>
      <w:pPr>
        <w:pStyle w:val="FirstParagraph"/>
      </w:pPr>
      <w:r>
        <w:rPr>
          <w:b/>
          <w:bCs/>
        </w:rPr>
        <w:t xml:space="preserve">La regola che chiude la road map.</w:t>
      </w:r>
      <w:r>
        <w:t xml:space="preserve"> </w:t>
      </w:r>
      <w:r>
        <w:t xml:space="preserve">L’ordine non è una classifica di importanza: è l’ordine in cui si guarda.</w:t>
      </w:r>
      <w:r>
        <w:t xml:space="preserve"> </w:t>
      </w:r>
      <w:r>
        <w:rPr>
          <w:b/>
          <w:bCs/>
        </w:rPr>
        <w:t xml:space="preserve">Il primo sì che trovi scendendo è la tua ipotesi di dominante.</w:t>
      </w:r>
      <w:r>
        <w:t xml:space="preserve"> </w:t>
      </w:r>
      <w:r>
        <w:t xml:space="preserve">I sì che trovi sotto si leggono come compensi, finché la prova della chiave di volta non dice il contrario. Se tratti il primo sì e il marker di dominanza non si muove, l’ipotesi era sbagliata: scendi al sì successivo.</w:t>
      </w:r>
    </w:p>
    <w:bookmarkEnd w:id="48"/>
    <w:bookmarkStart w:id="49" w:name="i-tre-stati-del-paziente"/>
    <w:p>
      <w:pPr>
        <w:pStyle w:val="Heading3"/>
      </w:pPr>
      <w:r>
        <w:t xml:space="preserve">I tre stati del paziente</w:t>
      </w:r>
    </w:p>
    <w:p>
      <w:pPr>
        <w:pStyle w:val="FirstParagraph"/>
      </w:pPr>
      <w:r>
        <w:rPr>
          <w:b/>
          <w:bCs/>
        </w:rPr>
        <w:t xml:space="preserve">Con chi è in difesa</w:t>
      </w:r>
      <w:r>
        <w:t xml:space="preserve"> </w:t>
      </w:r>
      <w:r>
        <w:t xml:space="preserve">— teso, monosillabi, ritrae l’arto — il contatto è lento e annunci quello che stai per fare. Qui il primo obiettivo è che il secondo appuntamento esista.</w:t>
      </w:r>
      <w:r>
        <w:t xml:space="preserve"> </w:t>
      </w:r>
      <w:r>
        <w:rPr>
          <w:b/>
          <w:bCs/>
        </w:rPr>
        <w:t xml:space="preserve">Con chi è emotivo</w:t>
      </w:r>
      <w:r>
        <w:t xml:space="preserve">, e racconta le cose perse, ascolti prima di misurare e porti i suoi obiettivi dentro i tuoi marker.</w:t>
      </w:r>
      <w:r>
        <w:t xml:space="preserve"> </w:t>
      </w:r>
      <w:r>
        <w:rPr>
          <w:b/>
          <w:bCs/>
        </w:rPr>
        <w:t xml:space="preserve">Con chi è razionale</w:t>
      </w:r>
      <w:r>
        <w:t xml:space="preserve">, e porta il referto chiedendo numeri, gli mostri le alzate prima e dopo, e perché quel numero conta più della lastra.</w:t>
      </w:r>
    </w:p>
    <w:p>
      <w:pPr>
        <w:pStyle w:val="BodyText"/>
      </w:pPr>
      <w:r>
        <w:rPr>
          <w:b/>
          <w:bCs/>
        </w:rPr>
        <w:t xml:space="preserve">Le tre cose da ricordare, più una</w:t>
      </w:r>
    </w:p>
    <w:p>
      <w:pPr>
        <w:pStyle w:val="Compact"/>
        <w:numPr>
          <w:ilvl w:val="0"/>
          <w:numId w:val="1018"/>
        </w:numPr>
      </w:pPr>
      <w:r>
        <w:t xml:space="preserve">Il primo sì della road map è l’ipotesi di dominante; quelli sotto sono compensi finché non è smentita.</w:t>
      </w:r>
    </w:p>
    <w:p>
      <w:pPr>
        <w:pStyle w:val="Compact"/>
        <w:numPr>
          <w:ilvl w:val="0"/>
          <w:numId w:val="1018"/>
        </w:numPr>
      </w:pPr>
      <w:r>
        <w:t xml:space="preserve">Il marker di dominanza sta su un piano che non hai trattato; il marker di esito può stare su quello trattato.</w:t>
      </w:r>
    </w:p>
    <w:p>
      <w:pPr>
        <w:pStyle w:val="Compact"/>
        <w:numPr>
          <w:ilvl w:val="0"/>
          <w:numId w:val="1018"/>
        </w:numPr>
      </w:pPr>
      <w:r>
        <w:t xml:space="preserve">La gerarchia ordina l’indagine, non la forza delle leve: l’esecutore sta al quinto posto ed è il bersaglio con le prove migliori.</w:t>
      </w:r>
    </w:p>
    <w:p>
      <w:pPr>
        <w:pStyle w:val="Compact"/>
        <w:numPr>
          <w:ilvl w:val="0"/>
          <w:numId w:val="1018"/>
        </w:numPr>
      </w:pPr>
      <w:r>
        <w:rPr>
          <w:b/>
          <w:bCs/>
        </w:rPr>
        <w:t xml:space="preserve">Perché ci sei tu.</w:t>
      </w:r>
      <w:r>
        <w:t xml:space="preserve"> </w:t>
      </w:r>
      <w:r>
        <w:t xml:space="preserve">Nella revisione sistematica di diciannove studi controllati, aggiungere terapia manuale</w:t>
      </w:r>
      <w:r>
        <w:t xml:space="preserve"> </w:t>
      </w:r>
      <w:r>
        <w:rPr>
          <w:b/>
          <w:bCs/>
        </w:rPr>
        <w:t xml:space="preserve">a un esercizio già in corso</w:t>
      </w:r>
      <w:r>
        <w:t xml:space="preserve"> </w:t>
      </w:r>
      <w:r>
        <w:t xml:space="preserve">migliora il dolore nel breve termine. Nel lungo termine</w:t>
      </w:r>
      <w:r>
        <w:t xml:space="preserve"> </w:t>
      </w:r>
      <w:r>
        <w:rPr>
          <w:b/>
          <w:bCs/>
        </w:rPr>
        <w:t xml:space="preserve">non</w:t>
      </w:r>
      <w:r>
        <w:t xml:space="preserve"> </w:t>
      </w:r>
      <w:r>
        <w:t xml:space="preserve">aggiunge niente, con certezza alta (Runge,</w:t>
      </w:r>
      <w:r>
        <w:t xml:space="preserve"> </w:t>
      </w:r>
      <w:r>
        <w:rPr>
          <w:i/>
          <w:iCs/>
        </w:rPr>
        <w:t xml:space="preserve">J Orthop Sports Phys Ther</w:t>
      </w:r>
      <w:r>
        <w:t xml:space="preserve"> </w:t>
      </w:r>
      <w:r>
        <w:t xml:space="preserve">2022, PMID 35881705).</w:t>
      </w:r>
      <w:r>
        <w:t xml:space="preserve"> </w:t>
      </w:r>
      <w:r>
        <w:rPr>
          <w:b/>
          <w:bCs/>
        </w:rPr>
        <w:t xml:space="preserve">Per te:</w:t>
      </w:r>
      <w:r>
        <w:t xml:space="preserve"> </w:t>
      </w:r>
      <w:r>
        <w:t xml:space="preserve">in quel paziente la tua mano apre una finestra, e la finestra ha una scadenza. Non ti autorizza a proporla come mantenimento accanto a un programma che sta già girando.</w:t>
      </w:r>
      <w:r>
        <w:t xml:space="preserve"> </w:t>
      </w:r>
      <w:r>
        <w:rPr>
          <w:i/>
          <w:iCs/>
        </w:rPr>
        <w:t xml:space="preserve">(Nel paziente che non si allena il quadro è diverso: vedi «Perché le mani possono cambiare qualcosa».)</w:t>
      </w:r>
    </w:p>
    <w:p>
      <w:r>
        <w:pict>
          <v:rect style="width:0;height:1.5pt" o:hralign="center" o:hrstd="t" o:hr="t"/>
        </w:pict>
      </w:r>
    </w:p>
    <w:bookmarkEnd w:id="49"/>
    <w:bookmarkEnd w:id="50"/>
    <w:bookmarkStart w:id="56"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qui l’errore che costa non è una manovra sbagliata, è scambiare un’articolazione infetta — o una gamba trombotica — per una riacutizzazione.</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è il bersaglio del tuo lavoro.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riconoscibile all’esame manuale. Descrive una funzione, non una malattia, ed è il solo oggetto che la norma italiana ti assegna.</w:t>
      </w:r>
    </w:p>
    <w:bookmarkStart w:id="51" w:name="le-bandiere-rosse"/>
    <w:p>
      <w:pPr>
        <w:pStyle w:val="Heading3"/>
      </w:pPr>
      <w:r>
        <w:t xml:space="preserve">Le bandiere rosse</w:t>
      </w:r>
    </w:p>
    <w:p>
      <w:pPr>
        <w:pStyle w:val="FirstParagraph"/>
      </w:pPr>
      <w:r>
        <w:t xml:space="preserve">Le bandiere rosse vengono dalle caratteristiche che la linea guida di riferimento indica come atipiche per l’artrosi: trauma recente, rigidità mattutina prolungata, peggioramento rapido di sintomi o deformità, articolazione calda e gonfia, e ogni elemento che faccia sospettare infezione o tumore (NICE, NG226, 2022, raccomandazione 1.1.2). Per l’artrite infiammatoria all’esordio sono integrate da NICE NG100 e QS33.</w:t>
      </w:r>
    </w:p>
    <w:p>
      <w:pPr>
        <w:pStyle w:val="BodyText"/>
      </w:pPr>
      <w:r>
        <w:rPr>
          <w:b/>
          <w:bCs/>
        </w:rPr>
        <w:t xml:space="preserve">Blocco A — rosso immediato: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Articolazione calda, rossa, gonfia</w:t>
            </w:r>
          </w:p>
        </w:tc>
        <w:tc>
          <w:tcPr/>
          <w:p>
            <w:pPr>
              <w:pStyle w:val="Compact"/>
            </w:pPr>
            <w:r>
              <w:t xml:space="preserve">Pronto soccorso</w:t>
            </w:r>
          </w:p>
        </w:tc>
        <w:tc>
          <w:tcPr/>
          <w:p>
            <w:pPr>
              <w:pStyle w:val="Compact"/>
            </w:pPr>
            <w:r>
              <w:t xml:space="preserve">112</w:t>
            </w:r>
          </w:p>
        </w:tc>
      </w:tr>
      <w:tr>
        <w:tc>
          <w:tcPr/>
          <w:p>
            <w:pPr>
              <w:pStyle w:val="Compact"/>
            </w:pPr>
            <w:r>
              <w:t xml:space="preserve">Articolazione calda o gonfia, con fattore d’ospite</w:t>
            </w:r>
          </w:p>
        </w:tc>
        <w:tc>
          <w:tcPr/>
          <w:p>
            <w:pPr>
              <w:pStyle w:val="Compact"/>
            </w:pPr>
            <w:r>
              <w:t xml:space="preserve">Pronto soccorso</w:t>
            </w:r>
          </w:p>
        </w:tc>
        <w:tc>
          <w:tcPr/>
          <w:p>
            <w:pPr>
              <w:pStyle w:val="Compact"/>
            </w:pPr>
            <w:r>
              <w:t xml:space="preserve">Urgente</w:t>
            </w:r>
          </w:p>
        </w:tc>
      </w:tr>
      <w:tr>
        <w:tc>
          <w:tcPr/>
          <w:p>
            <w:pPr>
              <w:pStyle w:val="Compact"/>
            </w:pPr>
            <w:r>
              <w:rPr>
                <w:b/>
                <w:bCs/>
              </w:rPr>
              <w:t xml:space="preserve">Polpaccio o gamba gonfi, caldi o dolenti</w:t>
            </w:r>
          </w:p>
        </w:tc>
        <w:tc>
          <w:tcPr/>
          <w:p>
            <w:pPr>
              <w:pStyle w:val="Compact"/>
            </w:pPr>
            <w:r>
              <w:t xml:space="preserve">Pronto soccorso</w:t>
            </w:r>
          </w:p>
        </w:tc>
        <w:tc>
          <w:tcPr/>
          <w:p>
            <w:pPr>
              <w:pStyle w:val="Compact"/>
            </w:pPr>
            <w:r>
              <w:t xml:space="preserve">Urgente —</w:t>
            </w:r>
            <w:r>
              <w:t xml:space="preserve"> </w:t>
            </w:r>
            <w:r>
              <w:rPr>
                <w:b/>
                <w:bCs/>
              </w:rPr>
              <w:t xml:space="preserve">nessuna manovra</w:t>
            </w:r>
          </w:p>
        </w:tc>
      </w:tr>
      <w:tr>
        <w:tc>
          <w:tcPr/>
          <w:p>
            <w:pPr>
              <w:pStyle w:val="Compact"/>
            </w:pPr>
            <w:r>
              <w:t xml:space="preserve">Articolazione singola gonfia e bloccata</w:t>
            </w:r>
          </w:p>
        </w:tc>
        <w:tc>
          <w:tcPr/>
          <w:p>
            <w:pPr>
              <w:pStyle w:val="Compact"/>
            </w:pPr>
            <w:r>
              <w:t xml:space="preserve">Pronto soccorso</w:t>
            </w:r>
          </w:p>
        </w:tc>
        <w:tc>
          <w:tcPr/>
          <w:p>
            <w:pPr>
              <w:pStyle w:val="Compact"/>
            </w:pPr>
            <w:r>
              <w:t xml:space="preserve">Urgente</w:t>
            </w:r>
          </w:p>
        </w:tc>
      </w:tr>
      <w:tr>
        <w:tc>
          <w:tcPr/>
          <w:p>
            <w:pPr>
              <w:pStyle w:val="Compact"/>
            </w:pPr>
            <w:r>
              <w:t xml:space="preserve">Dolore articolare acuto in un giorno preciso</w:t>
            </w:r>
          </w:p>
        </w:tc>
        <w:tc>
          <w:tcPr/>
          <w:p>
            <w:pPr>
              <w:pStyle w:val="Compact"/>
            </w:pPr>
            <w:r>
              <w:t xml:space="preserve">Curante o ortopedico, per imaging</w:t>
            </w:r>
          </w:p>
        </w:tc>
        <w:tc>
          <w:tcPr/>
          <w:p>
            <w:pPr>
              <w:pStyle w:val="Compact"/>
            </w:pPr>
            <w:r>
              <w:t xml:space="preserve">Non differibile —</w:t>
            </w:r>
            <w:r>
              <w:t xml:space="preserve"> </w:t>
            </w:r>
            <w:r>
              <w:rPr>
                <w:b/>
                <w:bCs/>
              </w:rPr>
              <w:t xml:space="preserve">non si carica</w:t>
            </w:r>
          </w:p>
        </w:tc>
      </w:tr>
    </w:tbl>
    <w:p>
      <w:pPr>
        <w:pStyle w:val="BodyText"/>
      </w:pPr>
      <w:r>
        <w:rPr>
          <w:b/>
          <w:bCs/>
        </w:rPr>
        <w:t xml:space="preserve">Le tre righe che vanno lette per intero.</w:t>
      </w:r>
      <w:r>
        <w:t xml:space="preserve"> </w:t>
      </w:r>
      <w:r>
        <w:t xml:space="preserve">La prima vale</w:t>
      </w:r>
      <w:r>
        <w:t xml:space="preserve"> </w:t>
      </w:r>
      <w:r>
        <w:rPr>
          <w:b/>
          <w:bCs/>
        </w:rPr>
        <w:t xml:space="preserve">con o senza febbre</w:t>
      </w:r>
      <w:r>
        <w:t xml:space="preserve">. I</w:t>
      </w:r>
      <w:r>
        <w:t xml:space="preserve"> </w:t>
      </w:r>
      <w:r>
        <w:rPr>
          <w:b/>
          <w:bCs/>
        </w:rPr>
        <w:t xml:space="preserve">fattori d’ospite</w:t>
      </w:r>
      <w:r>
        <w:t xml:space="preserve"> </w:t>
      </w:r>
      <w:r>
        <w:t xml:space="preserve">della seconda sono diabete, artrite reumatoide, immunodepressione, terapia steroidea, protesi articolare, chirurgia o infiltrazione recente. La terza riguarda un arto con circonferenza asimmetrica e</w:t>
      </w:r>
      <w:r>
        <w:t xml:space="preserve"> </w:t>
      </w:r>
      <w:r>
        <w:rPr>
          <w:b/>
          <w:bCs/>
        </w:rPr>
        <w:t xml:space="preserve">gonfiore che non è dentro l’articolazione</w:t>
      </w:r>
      <w:r>
        <w:t xml:space="preserve">. La quarta vale anche senza febbre. La quinta riguarda la persona anziana o osteoporotica,</w:t>
      </w:r>
      <w:r>
        <w:t xml:space="preserve"> </w:t>
      </w:r>
      <w:r>
        <w:rPr>
          <w:b/>
          <w:bCs/>
        </w:rPr>
        <w:t xml:space="preserve">con o senza trauma</w:t>
      </w:r>
      <w:r>
        <w:t xml:space="preserve">.</w:t>
      </w:r>
    </w:p>
    <w:p>
      <w:pPr>
        <w:pStyle w:val="BodyText"/>
      </w:pPr>
      <w:r>
        <w:rPr>
          <w:b/>
          <w:bCs/>
        </w:rPr>
        <w:t xml:space="preserve">Blocco B — invio non differibile: si può trattare un altro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Rigidità mattutina &gt;30 min, articolazioni piccole e simmetriche</w:t>
            </w:r>
          </w:p>
        </w:tc>
        <w:tc>
          <w:tcPr/>
          <w:p>
            <w:pPr>
              <w:pStyle w:val="Compact"/>
            </w:pPr>
            <w:r>
              <w:t xml:space="preserve">Reumatologo</w:t>
            </w:r>
          </w:p>
        </w:tc>
        <w:tc>
          <w:tcPr/>
          <w:p>
            <w:pPr>
              <w:pStyle w:val="Compact"/>
            </w:pPr>
            <w:r>
              <w:rPr>
                <w:b/>
                <w:bCs/>
              </w:rPr>
              <w:t xml:space="preserve">Invio, non attendere</w:t>
            </w:r>
          </w:p>
        </w:tc>
      </w:tr>
      <w:tr>
        <w:tc>
          <w:tcPr/>
          <w:p>
            <w:pPr>
              <w:pStyle w:val="Compact"/>
            </w:pPr>
            <w:r>
              <w:t xml:space="preserve">Dolore nuovo o persistente su un’articolazione</w:t>
            </w:r>
            <w:r>
              <w:t xml:space="preserve"> </w:t>
            </w:r>
            <w:r>
              <w:rPr>
                <w:b/>
                <w:bCs/>
              </w:rPr>
              <w:t xml:space="preserve">protesizzata</w:t>
            </w:r>
          </w:p>
        </w:tc>
        <w:tc>
          <w:tcPr/>
          <w:p>
            <w:pPr>
              <w:pStyle w:val="Compact"/>
            </w:pPr>
            <w:r>
              <w:t xml:space="preserve">Ortopedico che ha operato</w:t>
            </w:r>
          </w:p>
        </w:tc>
        <w:tc>
          <w:tcPr/>
          <w:p>
            <w:pPr>
              <w:pStyle w:val="Compact"/>
            </w:pPr>
            <w:r>
              <w:t xml:space="preserve">Invio, non attendere</w:t>
            </w:r>
          </w:p>
        </w:tc>
      </w:tr>
      <w:tr>
        <w:tc>
          <w:tcPr/>
          <w:p>
            <w:pPr>
              <w:pStyle w:val="Compact"/>
            </w:pPr>
            <w:r>
              <w:t xml:space="preserve">Dolore notturno costante, invariante a posizione</w:t>
            </w:r>
          </w:p>
        </w:tc>
        <w:tc>
          <w:tcPr/>
          <w:p>
            <w:pPr>
              <w:pStyle w:val="Compact"/>
            </w:pPr>
            <w:r>
              <w:t xml:space="preserve">Curante</w:t>
            </w:r>
          </w:p>
        </w:tc>
        <w:tc>
          <w:tcPr/>
          <w:p>
            <w:pPr>
              <w:pStyle w:val="Compact"/>
            </w:pPr>
            <w:r>
              <w:t xml:space="preserve">Invio, non attendere</w:t>
            </w:r>
          </w:p>
        </w:tc>
      </w:tr>
      <w:tr>
        <w:tc>
          <w:tcPr/>
          <w:p>
            <w:pPr>
              <w:pStyle w:val="Compact"/>
            </w:pPr>
            <w:r>
              <w:t xml:space="preserve">Calo di peso o malessere generale</w:t>
            </w:r>
          </w:p>
        </w:tc>
        <w:tc>
          <w:tcPr/>
          <w:p>
            <w:pPr>
              <w:pStyle w:val="Compact"/>
            </w:pPr>
            <w:r>
              <w:t xml:space="preserve">Curante</w:t>
            </w:r>
          </w:p>
        </w:tc>
        <w:tc>
          <w:tcPr/>
          <w:p>
            <w:pPr>
              <w:pStyle w:val="Compact"/>
            </w:pPr>
            <w:r>
              <w:t xml:space="preserve">Invio, non attendere</w:t>
            </w:r>
          </w:p>
        </w:tc>
      </w:tr>
      <w:tr>
        <w:tc>
          <w:tcPr/>
          <w:p>
            <w:pPr>
              <w:pStyle w:val="Compact"/>
            </w:pPr>
            <w:r>
              <w:t xml:space="preserve">Storia oncologica e dolore osseo nuovo</w:t>
            </w:r>
          </w:p>
        </w:tc>
        <w:tc>
          <w:tcPr/>
          <w:p>
            <w:pPr>
              <w:pStyle w:val="Compact"/>
            </w:pPr>
            <w:r>
              <w:t xml:space="preserve">Curante</w:t>
            </w:r>
          </w:p>
        </w:tc>
        <w:tc>
          <w:tcPr/>
          <w:p>
            <w:pPr>
              <w:pStyle w:val="Compact"/>
            </w:pPr>
            <w:r>
              <w:t xml:space="preserve">Invio, non attendere</w:t>
            </w:r>
          </w:p>
        </w:tc>
      </w:tr>
      <w:tr>
        <w:tc>
          <w:tcPr/>
          <w:p>
            <w:pPr>
              <w:pStyle w:val="Compact"/>
            </w:pPr>
            <w:r>
              <w:t xml:space="preserve">Peggioramento rapido di sintomi o deformità</w:t>
            </w:r>
          </w:p>
        </w:tc>
        <w:tc>
          <w:tcPr/>
          <w:p>
            <w:pPr>
              <w:pStyle w:val="Compact"/>
            </w:pPr>
            <w:r>
              <w:t xml:space="preserve">Curante o ortopedico</w:t>
            </w:r>
          </w:p>
        </w:tc>
        <w:tc>
          <w:tcPr/>
          <w:p>
            <w:pPr>
              <w:pStyle w:val="Compact"/>
            </w:pPr>
            <w:r>
              <w:t xml:space="preserve">Invio</w:t>
            </w:r>
          </w:p>
        </w:tc>
      </w:tr>
      <w:tr>
        <w:tc>
          <w:tcPr/>
          <w:p>
            <w:pPr>
              <w:pStyle w:val="Compact"/>
            </w:pPr>
            <w:r>
              <w:t xml:space="preserve">Blocco articolare improvviso e completo</w:t>
            </w:r>
          </w:p>
        </w:tc>
        <w:tc>
          <w:tcPr/>
          <w:p>
            <w:pPr>
              <w:pStyle w:val="Compact"/>
            </w:pPr>
            <w:r>
              <w:t xml:space="preserve">Ortopedico</w:t>
            </w:r>
          </w:p>
        </w:tc>
        <w:tc>
          <w:tcPr/>
          <w:p>
            <w:pPr>
              <w:pStyle w:val="Compact"/>
            </w:pPr>
            <w:r>
              <w:t xml:space="preserve">Invio, non attendere</w:t>
            </w:r>
          </w:p>
        </w:tc>
      </w:tr>
      <w:tr>
        <w:tc>
          <w:tcPr/>
          <w:p>
            <w:pPr>
              <w:pStyle w:val="Compact"/>
            </w:pPr>
            <w:r>
              <w:t xml:space="preserve">Trauma recente sull’articolazione dolente</w:t>
            </w:r>
          </w:p>
        </w:tc>
        <w:tc>
          <w:tcPr/>
          <w:p>
            <w:pPr>
              <w:pStyle w:val="Compact"/>
            </w:pPr>
            <w:r>
              <w:t xml:space="preserve">Curante, per imaging</w:t>
            </w:r>
          </w:p>
        </w:tc>
        <w:tc>
          <w:tcPr/>
          <w:p>
            <w:pPr>
              <w:pStyle w:val="Compact"/>
            </w:pPr>
            <w:r>
              <w:t xml:space="preserve">Invio programmato</w:t>
            </w:r>
          </w:p>
        </w:tc>
      </w:tr>
    </w:tbl>
    <w:p>
      <w:pPr>
        <w:pStyle w:val="BodyText"/>
      </w:pPr>
      <w:r>
        <w:rPr>
          <w:b/>
          <w:bCs/>
        </w:rPr>
        <w:t xml:space="preserve">Sulla prima riga:</w:t>
      </w:r>
      <w:r>
        <w:t xml:space="preserve"> </w:t>
      </w:r>
      <w:r>
        <w:t xml:space="preserve">le articolazioni colpite sono più di una, e sono soprattutto le piccole di mani e piedi.</w:t>
      </w:r>
    </w:p>
    <w:p>
      <w:pPr>
        <w:pStyle w:val="BlockText"/>
      </w:pPr>
      <w:r>
        <w:rPr>
          <w:b/>
          <w:bCs/>
        </w:rPr>
        <w:t xml:space="preserve">Attenzione — il gonfiore dell’arto non è il gonfiore dell’articolazione.</w:t>
      </w:r>
      <w:r>
        <w:t xml:space="preserve"> </w:t>
      </w:r>
      <w:r>
        <w:t xml:space="preserve">Il secondo è il versamento di cui parla tutto questo documento. Il primo può essere una trombosi venosa profonda, oppure una cisti di Baker rotta, che le somiglia in tutto ed è frequente nei ginocchi artrosici. Distinguerle non è tuo. E su un arto con trombosi non riconosciuta il lavoro manuale ha causato embolie polmonari fatali.</w:t>
      </w:r>
      <w:r>
        <w:t xml:space="preserve"> </w:t>
      </w:r>
      <w:r>
        <w:rPr>
          <w:b/>
          <w:bCs/>
        </w:rPr>
        <w:t xml:space="preserve">Se il gonfiore non è delimitato dall’articolazione, la mano non entra.</w:t>
      </w:r>
      <w:r>
        <w:t xml:space="preserve"> </w:t>
      </w:r>
      <w:r>
        <w:t xml:space="preserve">La popolazione di questa Bibbia concentra i fattori di rischio: over 50, mobilità ridotta da mesi, sovrappeso, chirurgia protesica.</w:t>
      </w:r>
    </w:p>
    <w:p>
      <w:pPr>
        <w:pStyle w:val="BlockText"/>
      </w:pPr>
      <w:r>
        <w:rPr>
          <w:b/>
          <w:bCs/>
        </w:rPr>
        <w:t xml:space="preserve">Attenzione — sull’articolazione protesizzata non valgono le stesse regole.</w:t>
      </w:r>
      <w:r>
        <w:t xml:space="preserve"> </w:t>
      </w:r>
      <w:r>
        <w:t xml:space="preserve">Un dolore che ricompare o cresce mesi o anni dopo l’intervento è un sospetto di infezione periprotesica, finché il chirurgo non dice altro. Vale con o senza febbre, e con o senza rossore. Nelle serie sul ginocchio l’infezione è tardiva in una larga quota dei casi, e si presenta in modo subdolo. Si rimanda al centro che ha operato: non si tratta e non si aspetta la seduta dopo.</w:t>
      </w:r>
      <w:r>
        <w:t xml:space="preserve"> </w:t>
      </w:r>
      <w:r>
        <w:rPr>
          <w:b/>
          <w:bCs/>
        </w:rPr>
        <w:t xml:space="preserve">I limiti di escursione e di carico li pone l’operatore, non il tuo reperto.</w:t>
      </w:r>
    </w:p>
    <w:p>
      <w:pPr>
        <w:pStyle w:val="FirstParagraph"/>
      </w:pPr>
      <w:r>
        <w:rPr>
          <w:b/>
          <w:bCs/>
        </w:rPr>
        <w:t xml:space="preserve">Le tre domande che aprono il triage.</w:t>
      </w:r>
    </w:p>
    <w:p>
      <w:pPr>
        <w:pStyle w:val="Compact"/>
        <w:numPr>
          <w:ilvl w:val="0"/>
          <w:numId w:val="1019"/>
        </w:numPr>
      </w:pPr>
      <w:r>
        <w:rPr>
          <w:i/>
          <w:iCs/>
        </w:rPr>
        <w:t xml:space="preserve">Il gonfiore è comparso in ore o in giorni?</w:t>
      </w:r>
      <w:r>
        <w:t xml:space="preserve"> </w:t>
      </w:r>
      <w:r>
        <w:t xml:space="preserve">—</w:t>
      </w:r>
      <w:r>
        <w:t xml:space="preserve"> </w:t>
      </w:r>
      <w:r>
        <w:rPr>
          <w:b/>
          <w:bCs/>
        </w:rPr>
        <w:t xml:space="preserve">In ore alza il sospetto al massimo. In giorni non lo abbassa.</w:t>
      </w:r>
      <w:r>
        <w:t xml:space="preserve"> </w:t>
      </w:r>
      <w:r>
        <w:t xml:space="preserve">La febbre manca in circa quattro casi su dieci nell’artrite settica dell’adulto (Margaretten,</w:t>
      </w:r>
      <w:r>
        <w:t xml:space="preserve"> </w:t>
      </w:r>
      <w:r>
        <w:rPr>
          <w:i/>
          <w:iCs/>
        </w:rPr>
        <w:t xml:space="preserve">JAMA</w:t>
      </w:r>
      <w:r>
        <w:t xml:space="preserve"> </w:t>
      </w:r>
      <w:r>
        <w:t xml:space="preserve">2007, PMID 17405973). E nell’anziano, nel diabetico e nell’operato l’infezione può montare lentamente. La linea guida britannica impone di trattare un’articolazione calda e gonfia come settica, finché qualcuno non dimostra il contrario (Coakley,</w:t>
      </w:r>
      <w:r>
        <w:t xml:space="preserve"> </w:t>
      </w:r>
      <w:r>
        <w:rPr>
          <w:i/>
          <w:iCs/>
        </w:rPr>
        <w:t xml:space="preserve">Rheumatology</w:t>
      </w:r>
      <w:r>
        <w:t xml:space="preserve"> </w:t>
      </w:r>
      <w:r>
        <w:t xml:space="preserve">2006, PMID 16857687). E a dimostrarlo non sei tu.</w:t>
      </w:r>
    </w:p>
    <w:p>
      <w:pPr>
        <w:pStyle w:val="Compact"/>
        <w:numPr>
          <w:ilvl w:val="0"/>
          <w:numId w:val="1019"/>
        </w:numPr>
      </w:pPr>
      <w:r>
        <w:rPr>
          <w:i/>
          <w:iCs/>
        </w:rPr>
        <w:t xml:space="preserve">C’è una protesi, o un’infiltrazione nelle ultime settimane?</w:t>
      </w:r>
      <w:r>
        <w:t xml:space="preserve"> </w:t>
      </w:r>
      <w:r>
        <w:t xml:space="preserve">— Dopo infiltrazione di corticosteroide al ginocchio si osservano artrite settica nello 0,1–0,3% a novanta giorni e trombosi venosa profonda nel 2–3% (Fuqua,</w:t>
      </w:r>
      <w:r>
        <w:t xml:space="preserve"> </w:t>
      </w:r>
      <w:r>
        <w:rPr>
          <w:i/>
          <w:iCs/>
        </w:rPr>
        <w:t xml:space="preserve">Reg Anesth Pain Med</w:t>
      </w:r>
      <w:r>
        <w:t xml:space="preserve"> </w:t>
      </w:r>
      <w:r>
        <w:t xml:space="preserve">2025, PMID 38302251). E il corticosteroide</w:t>
      </w:r>
      <w:r>
        <w:t xml:space="preserve"> </w:t>
      </w:r>
      <w:r>
        <w:rPr>
          <w:b/>
          <w:bCs/>
        </w:rPr>
        <w:t xml:space="preserve">attenua i segni infiammatori</w:t>
      </w:r>
      <w:r>
        <w:t xml:space="preserve">: rende il quadro meno leggibile, non più sicuro.</w:t>
      </w:r>
    </w:p>
    <w:p>
      <w:pPr>
        <w:pStyle w:val="Compact"/>
        <w:numPr>
          <w:ilvl w:val="0"/>
          <w:numId w:val="1019"/>
        </w:numPr>
      </w:pPr>
      <w:r>
        <w:rPr>
          <w:i/>
          <w:iCs/>
        </w:rPr>
        <w:t xml:space="preserve">C’è diabete, immunodepressione o terapia steroidea?</w:t>
      </w:r>
      <w:r>
        <w:t xml:space="preserve"> </w:t>
      </w:r>
      <w:r>
        <w:t xml:space="preserve">— Alzano la probabilità di infezione e ne abbassano i segni.</w:t>
      </w:r>
    </w:p>
    <w:bookmarkEnd w:id="51"/>
    <w:bookmarkStart w:id="52" w:name="cosa-prendono-e-cosa-comporta"/>
    <w:p>
      <w:pPr>
        <w:pStyle w:val="Heading3"/>
      </w:pPr>
      <w:r>
        <w:t xml:space="preserve">Cosa prendono, e cosa comporta</w:t>
      </w:r>
    </w:p>
    <w:p>
      <w:pPr>
        <w:pStyle w:val="FirstParagraph"/>
      </w:pPr>
      <w:r>
        <w:t xml:space="preserve">Non commenti e non suggerisci di ridurre: decide il prescrittore. Ma devi sapere cosa hai davanti, perché la lista che raccogli è quello che rende utile la tua comunicazione al curante.</w:t>
      </w:r>
    </w:p>
    <w:p>
      <w:pPr>
        <w:pStyle w:val="Compact"/>
        <w:numPr>
          <w:ilvl w:val="0"/>
          <w:numId w:val="1020"/>
        </w:numPr>
      </w:pPr>
      <w:r>
        <w:rPr>
          <w:b/>
          <w:bCs/>
        </w:rPr>
        <w:t xml:space="preserve">Paracetamolo.</w:t>
      </w:r>
      <w:r>
        <w:t xml:space="preserve"> </w:t>
      </w:r>
      <w:r>
        <w:t xml:space="preserve">Nell’artrosi, da solo, non ha mostrato un effetto clinicamente rilevante (da Costa,</w:t>
      </w:r>
      <w:r>
        <w:t xml:space="preserve"> </w:t>
      </w:r>
      <w:r>
        <w:rPr>
          <w:i/>
          <w:iCs/>
        </w:rPr>
        <w:t xml:space="preserve">Lancet</w:t>
      </w:r>
      <w:r>
        <w:t xml:space="preserve"> </w:t>
      </w:r>
      <w:r>
        <w:t xml:space="preserve">2017, PMID 28699595). Resta prescritto perché è quello che molti fragili tollerano.</w:t>
      </w:r>
    </w:p>
    <w:p>
      <w:pPr>
        <w:pStyle w:val="Compact"/>
        <w:numPr>
          <w:ilvl w:val="0"/>
          <w:numId w:val="1020"/>
        </w:numPr>
      </w:pPr>
      <w:r>
        <w:rPr>
          <w:b/>
          <w:bCs/>
        </w:rPr>
        <w:t xml:space="preserve">Antinfiammatori non steroidei.</w:t>
      </w:r>
      <w:r>
        <w:t xml:space="preserve"> </w:t>
      </w:r>
      <w:r>
        <w:t xml:space="preserve">Efficaci, con tre rischi che crescono con l’età: cardiovascolare, gastrointestinale, renale —</w:t>
      </w:r>
      <w:r>
        <w:t xml:space="preserve"> </w:t>
      </w:r>
      <w:r>
        <w:rPr>
          <w:b/>
          <w:bCs/>
        </w:rPr>
        <w:t xml:space="preserve">anche a dosi basse</w:t>
      </w:r>
      <w:r>
        <w:t xml:space="preserve"> </w:t>
      </w:r>
      <w:r>
        <w:t xml:space="preserve">(Schmidt,</w:t>
      </w:r>
      <w:r>
        <w:t xml:space="preserve"> </w:t>
      </w:r>
      <w:r>
        <w:rPr>
          <w:i/>
          <w:iCs/>
        </w:rPr>
        <w:t xml:space="preserve">BMJ</w:t>
      </w:r>
      <w:r>
        <w:t xml:space="preserve"> </w:t>
      </w:r>
      <w:r>
        <w:t xml:space="preserve">2018, PMID 30181258). Le due combinazioni che mandano il paziente in pronto soccorso sono queste. La prima: antinfiammatorio quotidiano</w:t>
      </w:r>
      <w:r>
        <w:t xml:space="preserve"> </w:t>
      </w:r>
      <w:r>
        <w:rPr>
          <w:b/>
          <w:bCs/>
        </w:rPr>
        <w:t xml:space="preserve">più anticoagulante o antiaggregante</w:t>
      </w:r>
      <w:r>
        <w:t xml:space="preserve">. La seconda: antinfiammatorio</w:t>
      </w:r>
      <w:r>
        <w:t xml:space="preserve"> </w:t>
      </w:r>
      <w:r>
        <w:rPr>
          <w:b/>
          <w:bCs/>
        </w:rPr>
        <w:t xml:space="preserve">più diuretico più ACE-inibitore o sartano</w:t>
      </w:r>
      <w:r>
        <w:t xml:space="preserve">, che aumenta l’insufficienza renale acuta soprattutto nei primi trenta giorni (Lapi,</w:t>
      </w:r>
      <w:r>
        <w:t xml:space="preserve"> </w:t>
      </w:r>
      <w:r>
        <w:rPr>
          <w:i/>
          <w:iCs/>
        </w:rPr>
        <w:t xml:space="preserve">BMJ</w:t>
      </w:r>
      <w:r>
        <w:t xml:space="preserve"> </w:t>
      </w:r>
      <w:r>
        <w:t xml:space="preserve">2013, PMID 23299844).</w:t>
      </w:r>
    </w:p>
    <w:p>
      <w:pPr>
        <w:pStyle w:val="Compact"/>
        <w:numPr>
          <w:ilvl w:val="0"/>
          <w:numId w:val="1020"/>
        </w:numPr>
      </w:pPr>
      <w:r>
        <w:rPr>
          <w:b/>
          <w:bCs/>
        </w:rPr>
        <w:t xml:space="preserve">Infiltrazioni</w:t>
      </w:r>
      <w:r>
        <w:t xml:space="preserve"> </w:t>
      </w:r>
      <w:r>
        <w:t xml:space="preserve">di corticosteroide e acido ialuronico: effetto locale e temporaneo, con i rischi già visti sopra.</w:t>
      </w:r>
    </w:p>
    <w:p>
      <w:pPr>
        <w:pStyle w:val="FirstParagraph"/>
      </w:pPr>
      <w:r>
        <w:rPr>
          <w:b/>
          <w:bCs/>
        </w:rPr>
        <w:t xml:space="preserve">Cosa fai tu con questo.</w:t>
      </w:r>
      <w:r>
        <w:t xml:space="preserve"> </w:t>
      </w:r>
      <w:r>
        <w:t xml:space="preserve">Niente in stanza:</w:t>
      </w:r>
      <w:r>
        <w:t xml:space="preserve"> </w:t>
      </w:r>
      <w:r>
        <w:rPr>
          <w:b/>
          <w:bCs/>
        </w:rPr>
        <w:t xml:space="preserve">non nomini molecole, dosi o confronti di efficacia al paziente.</w:t>
      </w:r>
      <w:r>
        <w:t xml:space="preserve"> </w:t>
      </w:r>
      <w:r>
        <w:t xml:space="preserve">Scrivi al curante l’elenco completo di quello che prende, non solo l’antinfiammatorio.</w:t>
      </w:r>
    </w:p>
    <w:bookmarkEnd w:id="52"/>
    <w:bookmarkStart w:id="53"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w:t>
      </w:r>
    </w:p>
    <w:p>
      <w:pPr>
        <w:pStyle w:val="BodyText"/>
      </w:pPr>
      <w:r>
        <w:rPr>
          <w:b/>
          <w:bCs/>
        </w:rPr>
        <w:t xml:space="preserve">Il mandato clinico</w:t>
      </w:r>
      <w:r>
        <w:t xml:space="preserve"> </w:t>
      </w:r>
      <w:r>
        <w:t xml:space="preserve">— avere qualcosa da trattare oggi — nasce da un reperto disfunzionale documentato e da un marker che si muove quando lo tratti.</w:t>
      </w:r>
      <w:r>
        <w:t xml:space="preserve"> </w:t>
      </w:r>
      <w:r>
        <w:rPr>
          <w:b/>
          <w:bCs/>
        </w:rPr>
        <w:t xml:space="preserve">Senza quelli non hai un motivo per lavorare, nemmeno con la diagnosi in mano.</w:t>
      </w:r>
      <w:r>
        <w:t xml:space="preserve"> </w:t>
      </w:r>
      <w:r>
        <w:t xml:space="preserve">E</w:t>
      </w:r>
      <w:r>
        <w:t xml:space="preserve"> </w:t>
      </w:r>
      <w:r>
        <w:rPr>
          <w:b/>
          <w:bCs/>
        </w:rPr>
        <w:t xml:space="preserve">un reperto positivo giustifica il tuo lavoro, non sostituisce l’inquadramento medico:</w:t>
      </w:r>
      <w:r>
        <w:t xml:space="preserve"> </w:t>
      </w:r>
      <w:r>
        <w:t xml:space="preserve">significa che hai qualcosa da trattare, non che sai cosa ha il paziente. Le due cose convivono, e vanno dette al paziente come conviventi.</w:t>
      </w:r>
    </w:p>
    <w:p>
      <w:pPr>
        <w:pStyle w:val="BodyText"/>
      </w:pPr>
      <w:r>
        <w:rPr>
          <w:b/>
          <w:bCs/>
        </w:rPr>
        <w:t xml:space="preserve">🔴 ROSSO — Stop.</w:t>
      </w:r>
      <w:r>
        <w:t xml:space="preserve"> </w:t>
      </w:r>
      <w:r>
        <w:t xml:space="preserve">Basta una sola bandiera rossa. Il paziente esce con un’indicazione medica</w:t>
      </w:r>
      <w:r>
        <w:t xml:space="preserve"> </w:t>
      </w:r>
      <w:r>
        <w:rPr>
          <w:b/>
          <w:bCs/>
        </w:rPr>
        <w:t xml:space="preserve">esplicita e scritta</w:t>
      </w:r>
      <w:r>
        <w:t xml:space="preserve">, con destinatario e tempi presi dalla tabella. Non si apre un ciclo e non si rimanda alla seduta dopo.</w:t>
      </w:r>
    </w:p>
    <w:p>
      <w:pPr>
        <w:pStyle w:val="BodyText"/>
      </w:pPr>
      <w:r>
        <w:t xml:space="preserve">Se la riga viene dal Blocco B e coesiste una disfunzione somatica autonoma in un altro distretto, quella la puoi trattare. Ma il documento dichiara che il sintomo articolare è in attesa di inquadramento e</w:t>
      </w:r>
      <w:r>
        <w:t xml:space="preserve"> </w:t>
      </w:r>
      <w:r>
        <w:rPr>
          <w:b/>
          <w:bCs/>
        </w:rPr>
        <w:t xml:space="preserve">non è il bersaglio</w:t>
      </w:r>
      <w:r>
        <w:t xml:space="preserve">. Le righe del Blocco A non ammettono nemmeno questo.</w:t>
      </w:r>
      <w:r>
        <w:t xml:space="preserve"> </w:t>
      </w:r>
      <w:r>
        <w:rPr>
          <w:b/>
          <w:bCs/>
        </w:rPr>
        <w:t xml:space="preserve">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Sull’artrosi il giallo è la norma:</w:t>
      </w:r>
      <w:r>
        <w:t xml:space="preserve"> </w:t>
      </w:r>
      <w:r>
        <w:t xml:space="preserve">una radiografia di otto anni fa, una diagnosi data a voce senza referto, uno specialista che il paziente non rivede da due anni.</w:t>
      </w:r>
      <w:r>
        <w:t xml:space="preserve"> </w:t>
      </w:r>
      <w:r>
        <w:rPr>
          <w:b/>
          <w:bCs/>
        </w:rPr>
        <w:t xml:space="preserve">E non è un motivo per rimandarlo fuori.</w:t>
      </w:r>
      <w:r>
        <w:t xml:space="preserve"> </w:t>
      </w:r>
      <w:r>
        <w:t xml:space="preserve">Si lavora a quattro condizioni, tutte verificabili.</w:t>
      </w:r>
    </w:p>
    <w:p>
      <w:pPr>
        <w:pStyle w:val="Compact"/>
        <w:numPr>
          <w:ilvl w:val="0"/>
          <w:numId w:val="1021"/>
        </w:numPr>
      </w:pPr>
      <w:r>
        <w:rPr>
          <w:b/>
          <w:bCs/>
        </w:rPr>
        <w:t xml:space="preserve">Un reperto tuo, positivo e scritto in cartella.</w:t>
      </w:r>
      <w:r>
        <w:t xml:space="preserve"> </w:t>
      </w:r>
      <w:r>
        <w:t xml:space="preserve">Non</w:t>
      </w:r>
      <w:r>
        <w:t xml:space="preserve"> </w:t>
      </w:r>
      <w:r>
        <w:t xml:space="preserve">“il paziente ha artrosi”</w:t>
      </w:r>
      <w:r>
        <w:t xml:space="preserve">, ma quante alzate fa in trenta secondi, quanta rotazione interna d’anca, quanta dorsiflessione, quanta estensione manca, se c’è versamento.</w:t>
      </w:r>
      <w:r>
        <w:t xml:space="preserve"> </w:t>
      </w:r>
      <w:r>
        <w:rPr>
          <w:b/>
          <w:bCs/>
        </w:rPr>
        <w:t xml:space="preserve">Il tipo di reperto conta:</w:t>
      </w:r>
      <w:r>
        <w:t xml:space="preserve"> </w:t>
      </w:r>
      <w:r>
        <w:t xml:space="preserve">provocazione del dolore con un carico definito, escursione regionale, tempo su un compito funzionale e soglia algometrica fondano il mandato; la palpazione dei tessuti molli e la mobilità segmentale orientano soltanto.</w:t>
      </w:r>
    </w:p>
    <w:p>
      <w:pPr>
        <w:pStyle w:val="Compact"/>
        <w:numPr>
          <w:ilvl w:val="0"/>
          <w:numId w:val="1021"/>
        </w:numPr>
      </w:pPr>
      <w:r>
        <w:rPr>
          <w:b/>
          <w:bCs/>
        </w:rPr>
        <w:t xml:space="preserve">Il paziente sa cosa tratti, cosa no, e cosa scrivi a chi.</w:t>
      </w:r>
      <w:r>
        <w:t xml:space="preserve"> </w:t>
      </w:r>
      <w:r>
        <w:t xml:space="preserve">Frase da usare:</w:t>
      </w:r>
      <w:r>
        <w:t xml:space="preserve"> </w:t>
      </w:r>
      <w:r>
        <w:rPr>
          <w:i/>
          <w:iCs/>
        </w:rPr>
        <w:t xml:space="preserve">«io lavoro sulla componente meccanica che ho trovato. Il gonfiore che va e viene va comunque inquadrato dal suo medico, e nel frattempo io non aspetto. Quello che ho trovato lo scrivo al suo medico: mi serve il suo consenso, e glielo chiedo adesso.»</w:t>
      </w:r>
    </w:p>
    <w:p>
      <w:pPr>
        <w:pStyle w:val="Compact"/>
        <w:numPr>
          <w:ilvl w:val="0"/>
          <w:numId w:val="1021"/>
        </w:numPr>
      </w:pPr>
      <w:r>
        <w:rPr>
          <w:b/>
          <w:bCs/>
        </w:rPr>
        <w:t xml:space="preserve">Canale medico attivato senza interrompere il lavoro.</w:t>
      </w:r>
      <w:r>
        <w:t xml:space="preserve"> </w:t>
      </w:r>
      <w:r>
        <w:t xml:space="preserve">È una comunicazione scritta al curante,</w:t>
      </w:r>
      <w:r>
        <w:t xml:space="preserve"> </w:t>
      </w:r>
      <w:r>
        <w:rPr>
          <w:b/>
          <w:bCs/>
        </w:rPr>
        <w:t xml:space="preserve">con il consenso del paziente annotato in cartella</w:t>
      </w:r>
      <w:r>
        <w:t xml:space="preserve">, non un rinvio del paziente.</w:t>
      </w:r>
    </w:p>
    <w:p>
      <w:pPr>
        <w:pStyle w:val="Compact"/>
        <w:numPr>
          <w:ilvl w:val="0"/>
          <w:numId w:val="1021"/>
        </w:numPr>
      </w:pPr>
      <w:r>
        <w:rPr>
          <w:b/>
          <w:bCs/>
        </w:rPr>
        <w:t xml:space="preserve">Tempo definito, con una data.</w:t>
      </w:r>
      <w:r>
        <w:t xml:space="preserve"> </w:t>
      </w:r>
      <w:r>
        <w:t xml:space="preserve">Il numero di sedute lo fissa la Procedura.</w:t>
      </w:r>
      <w:r>
        <w:t xml:space="preserve"> </w:t>
      </w:r>
      <w:r>
        <w:rPr>
          <w:b/>
          <w:bCs/>
        </w:rPr>
        <w:t xml:space="preserve">Il tetto temporale sta qui, ed è quello che hai dichiarato al paziente: tre settimane.</w:t>
      </w:r>
      <w:r>
        <w:t xml:space="preserve"> </w:t>
      </w:r>
      <w:r>
        <w:t xml:space="preserve">A quella data il marker si è mosso, oppure il quadro cambia uscita.</w:t>
      </w:r>
      <w:r>
        <w:t xml:space="preserve"> </w:t>
      </w:r>
      <w:r>
        <w:rPr>
          <w:b/>
          <w:bCs/>
        </w:rPr>
        <w:t xml:space="preserve">La data della revisione si scrive in cartella al primo accesso.</w:t>
      </w:r>
    </w:p>
    <w:p>
      <w:pPr>
        <w:pStyle w:val="FirstParagraph"/>
      </w:pPr>
      <w:r>
        <w:rPr>
          <w:b/>
          <w:bCs/>
        </w:rPr>
        <w:t xml:space="preserve">Se il tempo scade e il marker non si è mosso</w:t>
      </w:r>
      <w:r>
        <w:t xml:space="preserve">, non è una rinuncia: è un’informazione. Il tuo reperto non era il piano che comanda, e la spinta sul canale medico da parallela diventa prioritaria.</w:t>
      </w:r>
    </w:p>
    <w:p>
      <w:pPr>
        <w:pStyle w:val="BodyText"/>
      </w:pPr>
      <w:r>
        <w:rPr>
          <w:b/>
          <w:bCs/>
        </w:rPr>
        <w:t xml:space="preserve">🟢 VERDE — Si procede.</w:t>
      </w:r>
      <w:r>
        <w:t xml:space="preserve"> </w:t>
      </w:r>
      <w:r>
        <w:t xml:space="preserve">Nessuna bandiera rossa, e una fra queste tre: quadro tipico già valutato dal medico, con referto; ciclo di fisioterapia in corso o già fatto sulla stessa articolazione; radiografia sotto carico con segni artrosici e nessun elemento atipico.</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I tre cambiamenti che riaprono il triage: un gonfiore comparso in ore invece che in giorni; un dolore che smette di dipendere dal carico e sveglia la notte; una rigidità mattutina che passa stabilmente la mezz’ora.</w:t>
      </w:r>
      <w:r>
        <w:t xml:space="preserve"> </w:t>
      </w:r>
      <w:r>
        <w:rPr>
          <w:b/>
          <w:bCs/>
        </w:rPr>
        <w:t xml:space="preserve">Un quadro che cambia forma torna al triage, dall’inizio.</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l’indicazione medica del rosso; il reperto in cartella, il consenso e la comunicazione al curante del giallo; la data di revisione di entrambi.</w:t>
      </w:r>
      <w:r>
        <w:t xml:space="preserve"> </w:t>
      </w:r>
      <w:r>
        <w:rPr>
          <w:b/>
          <w:bCs/>
        </w:rPr>
        <w:t xml:space="preserve">Quello che non è scritto non esiste</w:t>
      </w:r>
      <w:r>
        <w:t xml:space="preserve"> </w:t>
      </w:r>
      <w:r>
        <w:t xml:space="preserve">— né per il collega che riprende il paziente, né per il medico, né per chi chiedesse conto di una scelta a distanza di due anni.</w:t>
      </w:r>
    </w:p>
    <w:p>
      <w:pPr>
        <w:pStyle w:val="BodyText"/>
      </w:pPr>
      <w:r>
        <w:rPr>
          <w:b/>
          <w:bCs/>
        </w:rPr>
        <w:t xml:space="preserve">Perché tre uscite proteggono più di due.</w:t>
      </w:r>
      <w:r>
        <w:t xml:space="preserve"> </w:t>
      </w:r>
      <w:r>
        <w:t xml:space="preserve">Un cancello binario — o hai la diagnosi o non tocchi — qui verrebbe disatteso ogni giorno. E</w:t>
      </w:r>
      <w:r>
        <w:t xml:space="preserve"> </w:t>
      </w:r>
      <w:r>
        <w:rPr>
          <w:b/>
          <w:bCs/>
        </w:rPr>
        <w:t xml:space="preserve">una regola scritta e disattesa vale meno di nessuna regola.</w:t>
      </w:r>
    </w:p>
    <w:bookmarkEnd w:id="53"/>
    <w:bookmarkStart w:id="54" w:name="X1ac5a1b3cdf7e22e51df529af64ae60c55cc369"/>
    <w:p>
      <w:pPr>
        <w:pStyle w:val="Heading3"/>
      </w:pPr>
      <w:r>
        <w:t xml:space="preserve">Cosa dichiari nel consenso, su questa condizione</w:t>
      </w:r>
    </w:p>
    <w:p>
      <w:pPr>
        <w:pStyle w:val="Compact"/>
        <w:numPr>
          <w:ilvl w:val="0"/>
          <w:numId w:val="1022"/>
        </w:numPr>
      </w:pPr>
      <w:r>
        <w:rPr>
          <w:b/>
          <w:bCs/>
        </w:rPr>
        <w:t xml:space="preserve">Che l’oggetto del trattamento è la funzione articolare e peri-articolare che hai misurato, non l’arresto o l’inversione del danno strutturale.</w:t>
      </w:r>
      <w:r>
        <w:t xml:space="preserve"> </w:t>
      </w:r>
      <w:r>
        <w:t xml:space="preserve">La cartilagine persa non ricresce, e questo si scrive.</w:t>
      </w:r>
    </w:p>
    <w:p>
      <w:pPr>
        <w:pStyle w:val="Compact"/>
        <w:numPr>
          <w:ilvl w:val="0"/>
          <w:numId w:val="1022"/>
        </w:numPr>
      </w:pPr>
      <w:r>
        <w:rPr>
          <w:b/>
          <w:bCs/>
        </w:rPr>
        <w:t xml:space="preserve">Che la parte con le prove migliori è quella che il paziente fa da solo.</w:t>
      </w:r>
      <w:r>
        <w:t xml:space="preserve"> </w:t>
      </w:r>
      <w:r>
        <w:t xml:space="preserve">E che l’effetto della terapia manuale aggiunta a un esercizio già in corso è di breve termine.</w:t>
      </w:r>
    </w:p>
    <w:p>
      <w:pPr>
        <w:pStyle w:val="Compact"/>
        <w:numPr>
          <w:ilvl w:val="0"/>
          <w:numId w:val="1022"/>
        </w:numPr>
      </w:pPr>
      <w:r>
        <w:rPr>
          <w:b/>
          <w:bCs/>
        </w:rPr>
        <w:t xml:space="preserve">Che il trattamento non modifica l’indicazione a un intervento protesico</w:t>
      </w:r>
      <w:r>
        <w:t xml:space="preserve">, che resta dello specialista, e che affiancarlo non è un modo per rimandarlo.</w:t>
      </w:r>
    </w:p>
    <w:p>
      <w:pPr>
        <w:pStyle w:val="Compact"/>
        <w:numPr>
          <w:ilvl w:val="0"/>
          <w:numId w:val="1022"/>
        </w:numPr>
      </w:pPr>
      <w:r>
        <w:rPr>
          <w:b/>
          <w:bCs/>
        </w:rPr>
        <w:t xml:space="preserve">Che finché l’inquadramento è incompleto scrivi al curante cosa hai trovato e cosa stai facendo — compreso quello che il paziente assume — e che questo lo autorizza lui.</w:t>
      </w:r>
    </w:p>
    <w:bookmarkEnd w:id="54"/>
    <w:bookmarkStart w:id="55" w:name="il-confine-di-atto-e-il-prescrittore"/>
    <w:p>
      <w:pPr>
        <w:pStyle w:val="Heading3"/>
      </w:pPr>
      <w:r>
        <w:t xml:space="preserve">Il confine di atto, e il prescrittore</w:t>
      </w:r>
    </w:p>
    <w:p>
      <w:pPr>
        <w:pStyle w:val="FirstParagraph"/>
      </w:pPr>
      <w:r>
        <w:t xml:space="preserve">Tre atti restano fuori dal tuo perimetro.</w:t>
      </w:r>
    </w:p>
    <w:p>
      <w:pPr>
        <w:pStyle w:val="BodyText"/>
      </w:pPr>
      <w:r>
        <w:rPr>
          <w:b/>
          <w:bCs/>
        </w:rPr>
        <w:t xml:space="preserve">Attribuire il sintomo a un reperto di immagine.</w:t>
      </w:r>
      <w:r>
        <w:t xml:space="preserve"> </w:t>
      </w:r>
      <w:r>
        <w:t xml:space="preserve">Dire</w:t>
      </w:r>
      <w:r>
        <w:t xml:space="preserve"> </w:t>
      </w:r>
      <w:r>
        <w:t xml:space="preserve">“il dolore viene da questa riduzione della rima”</w:t>
      </w:r>
      <w:r>
        <w:t xml:space="preserve"> </w:t>
      </w:r>
      <w:r>
        <w:t xml:space="preserve">è una diagnosi. Puoi dire cosa il referto</w:t>
      </w:r>
      <w:r>
        <w:t xml:space="preserve"> </w:t>
      </w:r>
      <w:r>
        <w:rPr>
          <w:b/>
          <w:bCs/>
        </w:rPr>
        <w:t xml:space="preserve">non</w:t>
      </w:r>
      <w:r>
        <w:t xml:space="preserve"> </w:t>
      </w:r>
      <w:r>
        <w:t xml:space="preserve">spiega.</w:t>
      </w:r>
      <w:r>
        <w:t xml:space="preserve"> </w:t>
      </w:r>
      <w:r>
        <w:rPr>
          <w:b/>
          <w:bCs/>
        </w:rPr>
        <w:t xml:space="preserve">Distinguere un’artrosi da un’artrite infiammatoria o settica.</w:t>
      </w:r>
      <w:r>
        <w:t xml:space="preserve"> </w:t>
      </w:r>
      <w:r>
        <w:t xml:space="preserve">Riconosci il pattern e mandi: non escludi.</w:t>
      </w:r>
      <w:r>
        <w:t xml:space="preserve"> </w:t>
      </w:r>
      <w:r>
        <w:rPr>
          <w:b/>
          <w:bCs/>
        </w:rPr>
        <w:t xml:space="preserve">Esprimerti sull’indicazione o sulla tempistica di una protesi.</w:t>
      </w:r>
      <w:r>
        <w:t xml:space="preserve"> </w:t>
      </w:r>
      <w:r>
        <w:t xml:space="preserve">È la sconfinatura più frequente qui, perché il paziente te la chiede a ogni seduta.</w:t>
      </w:r>
    </w:p>
    <w:p>
      <w:pPr>
        <w:pStyle w:val="BodyText"/>
      </w:pPr>
      <w:r>
        <w:t xml:space="preserve">Il</w:t>
      </w:r>
      <w:r>
        <w:t xml:space="preserve"> </w:t>
      </w:r>
      <w:r>
        <w:rPr>
          <w:b/>
          <w:bCs/>
        </w:rPr>
        <w:t xml:space="preserve">DPR 131/2021</w:t>
      </w:r>
      <w:r>
        <w:t xml:space="preserve"> </w:t>
      </w:r>
      <w:r>
        <w:t xml:space="preserve">assegna all’osteopata le</w:t>
      </w:r>
      <w:r>
        <w:t xml:space="preserve"> </w:t>
      </w:r>
      <w:r>
        <w:rPr>
          <w:b/>
          <w:bCs/>
        </w:rPr>
        <w:t xml:space="preserve">disfunzioni somatiche non riconducibili a patologie</w:t>
      </w:r>
      <w:r>
        <w:t xml:space="preserve">, con tecniche manuali ed esterne, in riferimento alla diagnosi medica. Il</w:t>
      </w:r>
      <w:r>
        <w:t xml:space="preserve"> </w:t>
      </w:r>
      <w:r>
        <w:rPr>
          <w:b/>
          <w:bCs/>
        </w:rPr>
        <w:t xml:space="preserve">DPCM 25 marzo 2026</w:t>
      </w:r>
      <w:r>
        <w:t xml:space="preserve"> </w:t>
      </w:r>
      <w:r>
        <w:t xml:space="preserve">lo riconosce come professionista sanitario.</w:t>
      </w:r>
    </w:p>
    <w:p>
      <w:pPr>
        <w:pStyle w:val="BodyText"/>
      </w:pPr>
      <w:r>
        <w:rPr>
          <w:b/>
          <w:bCs/>
        </w:rPr>
        <w:t xml:space="preserve">Qui quella clausola pesa più che altrove: l’artrosi è una patologia diagnosticata.</w:t>
      </w:r>
      <w:r>
        <w:t xml:space="preserve"> </w:t>
      </w:r>
      <w:r>
        <w:t xml:space="preserve">Il tuo oggetto non è l’artrosi. È la disfunzione somatica che hai misurato su quel paziente artrosico, e il referto resta di chi lo ha scritto. Sul paziente protesizzato, poi, il mandato non nasce mai dal tuo reperto: nasce dal chirurgo.</w:t>
      </w:r>
    </w:p>
    <w:p>
      <w:pPr>
        <w:pStyle w:val="BodyText"/>
      </w:pPr>
      <w:r>
        <w:rPr>
          <w:b/>
          <w:bCs/>
        </w:rPr>
        <w:t xml:space="preserve">Cosa succede se sbagli campo.</w:t>
      </w:r>
      <w:r>
        <w:t xml:space="preserve"> </w:t>
      </w:r>
      <w:r>
        <w:t xml:space="preserve">Un’artrite settica scambiata per una riacutizzazione: il danno si misura in ore, e l’assenza di febbre non la esclude.</w:t>
      </w:r>
    </w:p>
    <w:p>
      <w:pPr>
        <w:pStyle w:val="BodyText"/>
      </w:pPr>
      <w:r>
        <w:rPr>
          <w:b/>
          <w:bCs/>
        </w:rPr>
        <w:t xml:space="preserve">Le tre cose da ricordare, più una</w:t>
      </w:r>
    </w:p>
    <w:p>
      <w:pPr>
        <w:pStyle w:val="Compact"/>
        <w:numPr>
          <w:ilvl w:val="0"/>
          <w:numId w:val="1023"/>
        </w:numPr>
      </w:pPr>
      <w:r>
        <w:t xml:space="preserve">Un’articolazione calda e gonfia è settica finché qualcuno non dimostra il contrario, e a dimostrarlo non sei tu.</w:t>
      </w:r>
    </w:p>
    <w:p>
      <w:pPr>
        <w:pStyle w:val="Compact"/>
        <w:numPr>
          <w:ilvl w:val="0"/>
          <w:numId w:val="1023"/>
        </w:numPr>
      </w:pPr>
      <w:r>
        <w:t xml:space="preserve">Se il gonfiore non è delimitato dall’articolazione, la mano non entra.</w:t>
      </w:r>
    </w:p>
    <w:p>
      <w:pPr>
        <w:pStyle w:val="Compact"/>
        <w:numPr>
          <w:ilvl w:val="0"/>
          <w:numId w:val="1023"/>
        </w:numPr>
      </w:pPr>
      <w:r>
        <w:t xml:space="preserve">Il giallo è la norma qui, e regge su quattro cose scritte: reperto, consenso, comunicazione al curante, data di revisione.</w:t>
      </w:r>
    </w:p>
    <w:p>
      <w:pPr>
        <w:pStyle w:val="Compact"/>
        <w:numPr>
          <w:ilvl w:val="0"/>
          <w:numId w:val="1023"/>
        </w:numPr>
      </w:pPr>
      <w:r>
        <w:rPr>
          <w:b/>
          <w:bCs/>
        </w:rPr>
        <w:t xml:space="preserve">Perché ci sei tu.</w:t>
      </w:r>
      <w:r>
        <w:t xml:space="preserve"> </w:t>
      </w:r>
      <w:r>
        <w:t xml:space="preserve">La linea guida di riferimento dice di diagnosticare l’artrosi clinicamente, senza immagini, in chi ha 45 anni o più, dolore legato all’attività e rigidità mattutina non superiore ai 30 minuti; e dice di non usare l’imaging di routine (NICE, NG226, 2022, raccomandazioni 1.1.1 e 1.1.2).</w:t>
      </w:r>
      <w:r>
        <w:t xml:space="preserve"> </w:t>
      </w:r>
      <w:r>
        <w:rPr>
          <w:b/>
          <w:bCs/>
        </w:rPr>
        <w:t xml:space="preserve">Per te:</w:t>
      </w:r>
      <w:r>
        <w:t xml:space="preserve"> </w:t>
      </w:r>
      <w:r>
        <w:t xml:space="preserve">se la diagnosi si fa con la storia e l’esame, allora l’esame che nessuno ha ancora fatto — forza, estensione, escursione, carico, cammino — è quello che porti tu. Questo ti autorizza a valutare a fondo senza chiedere altri esami. Non ti autorizza a formulare la diagnosi: quel percorso è del medico, tu ne riconosci il pattern e ne rispetti il confine.</w:t>
      </w:r>
    </w:p>
    <w:p>
      <w:r>
        <w:pict>
          <v:rect style="width:0;height:1.5pt" o:hralign="center" o:hrstd="t" o:hr="t"/>
        </w:pict>
      </w:r>
    </w:p>
    <w:bookmarkEnd w:id="55"/>
    <w:bookmarkEnd w:id="56"/>
    <w:bookmarkStart w:id="62"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le prove sono tante e sono chiare, e dicono che la leva migliore non è la mano.</w:t>
      </w:r>
    </w:p>
    <w:bookmarkStart w:id="57" w:name="le-due-ancore"/>
    <w:p>
      <w:pPr>
        <w:pStyle w:val="Heading3"/>
      </w:pPr>
      <w:r>
        <w:t xml:space="preserve">Le due ancore</w:t>
      </w:r>
    </w:p>
    <w:p>
      <w:pPr>
        <w:pStyle w:val="FirstParagraph"/>
      </w:pPr>
      <w:r>
        <w:rPr>
          <w:b/>
          <w:bCs/>
        </w:rPr>
        <w:t xml:space="preserve">L’ancora clinica è J. Haxby Abbott</w:t>
      </w:r>
      <w:r>
        <w:t xml:space="preserve">, University of Otago. Ha misurato la terapia manuale sull’artrosi di anca e ginocchio con un disegno fattoriale, cioè quattro gruppi che combinano due trattamenti. Il follow-up era di un anno. Il suo contributo non è aver dimostrato che la terapia manuale funziona. È aver pubblicato, nello stesso studio, il risultato scomodo: aggiungere l’esercizio alla terapia manuale non migliorava il risultato.</w:t>
      </w:r>
    </w:p>
    <w:p>
      <w:pPr>
        <w:pStyle w:val="BodyText"/>
      </w:pPr>
      <w:r>
        <w:rPr>
          <w:b/>
          <w:bCs/>
        </w:rPr>
        <w:t xml:space="preserve">L’ancora fisiologica è David T. Felson</w:t>
      </w:r>
      <w:r>
        <w:t xml:space="preserve">, Boston University. Ha stabilito che il dolore dell’artrosi non nasce nella cartilagine, misurando le lesioni dell’osso subcondrale in chi aveva dolore e in chi no.</w:t>
      </w:r>
    </w:p>
    <w:p>
      <w:pPr>
        <w:pStyle w:val="BodyText"/>
      </w:pPr>
      <w:r>
        <w:rPr>
          <w:b/>
          <w:bCs/>
        </w:rPr>
        <w:t xml:space="preserve">Sull’artrosi la fisiopatologia è molto più solida dell’intervento manuale.</w:t>
      </w:r>
    </w:p>
    <w:bookmarkEnd w:id="57"/>
    <w:bookmarkStart w:id="58"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Lawford 2024 (39625083)</w:t>
            </w:r>
          </w:p>
        </w:tc>
        <w:tc>
          <w:tcPr/>
          <w:p>
            <w:pPr>
              <w:pStyle w:val="Compact"/>
            </w:pPr>
            <w:r>
              <w:t xml:space="preserve">Esercizio, 139 studi, ginocchio</w:t>
            </w:r>
          </w:p>
        </w:tc>
        <w:tc>
          <w:tcPr/>
          <w:p>
            <w:pPr>
              <w:pStyle w:val="Compact"/>
            </w:pPr>
            <w:r>
              <w:t xml:space="preserve">Mettere l’esercizio al centro</w:t>
            </w:r>
          </w:p>
        </w:tc>
      </w:tr>
      <w:tr>
        <w:tc>
          <w:tcPr/>
          <w:p>
            <w:pPr>
              <w:pStyle w:val="Compact"/>
            </w:pPr>
            <w:r>
              <w:t xml:space="preserve">Hall 2026 (42486497)</w:t>
            </w:r>
          </w:p>
        </w:tc>
        <w:tc>
          <w:tcPr/>
          <w:p>
            <w:pPr>
              <w:pStyle w:val="Compact"/>
            </w:pPr>
            <w:r>
              <w:t xml:space="preserve">Esercizio, anca</w:t>
            </w:r>
          </w:p>
        </w:tc>
        <w:tc>
          <w:tcPr/>
          <w:p>
            <w:pPr>
              <w:pStyle w:val="Compact"/>
            </w:pPr>
            <w:r>
              <w:t xml:space="preserve">Contenere le attese sull’anca</w:t>
            </w:r>
          </w:p>
        </w:tc>
      </w:tr>
      <w:tr>
        <w:tc>
          <w:tcPr/>
          <w:p>
            <w:pPr>
              <w:pStyle w:val="Compact"/>
            </w:pPr>
            <w:r>
              <w:t xml:space="preserve">Abbott 2013 (23313532)</w:t>
            </w:r>
          </w:p>
        </w:tc>
        <w:tc>
          <w:tcPr/>
          <w:p>
            <w:pPr>
              <w:pStyle w:val="Compact"/>
            </w:pPr>
            <w:r>
              <w:t xml:space="preserve">Manuale ed esercizio vs cura abituale</w:t>
            </w:r>
          </w:p>
        </w:tc>
        <w:tc>
          <w:tcPr/>
          <w:p>
            <w:pPr>
              <w:pStyle w:val="Compact"/>
            </w:pPr>
            <w:r>
              <w:t xml:space="preserve">Aprire un ciclo breve, con il limite sotto</w:t>
            </w:r>
          </w:p>
        </w:tc>
      </w:tr>
      <w:tr>
        <w:tc>
          <w:tcPr/>
          <w:p>
            <w:pPr>
              <w:pStyle w:val="Compact"/>
            </w:pPr>
            <w:r>
              <w:t xml:space="preserve">Holden 2023 (38251550)</w:t>
            </w:r>
          </w:p>
        </w:tc>
        <w:tc>
          <w:tcPr/>
          <w:p>
            <w:pPr>
              <w:pStyle w:val="Compact"/>
            </w:pPr>
            <w:r>
              <w:t xml:space="preserve">Chi risponde all’esercizio, 31 studi</w:t>
            </w:r>
          </w:p>
        </w:tc>
        <w:tc>
          <w:tcPr/>
          <w:p>
            <w:pPr>
              <w:pStyle w:val="Compact"/>
            </w:pPr>
            <w:r>
              <w:t xml:space="preserve">Sapere chi guadagna di più</w:t>
            </w:r>
          </w:p>
        </w:tc>
      </w:tr>
      <w:tr>
        <w:tc>
          <w:tcPr/>
          <w:p>
            <w:pPr>
              <w:pStyle w:val="Compact"/>
            </w:pPr>
            <w:r>
              <w:t xml:space="preserve">Runge 2022 (35881705)</w:t>
            </w:r>
          </w:p>
        </w:tc>
        <w:tc>
          <w:tcPr/>
          <w:p>
            <w:pPr>
              <w:pStyle w:val="Compact"/>
            </w:pPr>
            <w:r>
              <w:t xml:space="preserve">Manuale</w:t>
            </w:r>
            <w:r>
              <w:t xml:space="preserve"> </w:t>
            </w:r>
            <w:r>
              <w:rPr>
                <w:b/>
                <w:bCs/>
              </w:rPr>
              <w:t xml:space="preserve">aggiunta</w:t>
            </w:r>
            <w:r>
              <w:t xml:space="preserve"> </w:t>
            </w:r>
            <w:r>
              <w:t xml:space="preserve">all’esercizio</w:t>
            </w:r>
          </w:p>
        </w:tc>
        <w:tc>
          <w:tcPr/>
          <w:p>
            <w:pPr>
              <w:pStyle w:val="Compact"/>
            </w:pPr>
            <w:r>
              <w:t xml:space="preserve">Usarla come apertura in chi già si allena</w:t>
            </w:r>
          </w:p>
        </w:tc>
      </w:tr>
      <w:tr>
        <w:tc>
          <w:tcPr/>
          <w:p>
            <w:pPr>
              <w:pStyle w:val="Compact"/>
            </w:pPr>
            <w:r>
              <w:t xml:space="preserve">Bennell 2014 (24846036)</w:t>
            </w:r>
          </w:p>
        </w:tc>
        <w:tc>
          <w:tcPr/>
          <w:p>
            <w:pPr>
              <w:pStyle w:val="Compact"/>
            </w:pPr>
            <w:r>
              <w:t xml:space="preserve">Fisioterapia contro placebo, anca</w:t>
            </w:r>
          </w:p>
        </w:tc>
        <w:tc>
          <w:tcPr/>
          <w:p>
            <w:pPr>
              <w:pStyle w:val="Compact"/>
            </w:pPr>
            <w:r>
              <w:t xml:space="preserve">Contenere le attese sull’anca</w:t>
            </w:r>
          </w:p>
        </w:tc>
      </w:tr>
      <w:tr>
        <w:tc>
          <w:tcPr/>
          <w:p>
            <w:pPr>
              <w:pStyle w:val="Compact"/>
            </w:pPr>
            <w:r>
              <w:t xml:space="preserve">Messier 2013 (24065013)</w:t>
            </w:r>
          </w:p>
        </w:tc>
        <w:tc>
          <w:tcPr/>
          <w:p>
            <w:pPr>
              <w:pStyle w:val="Compact"/>
            </w:pPr>
            <w:r>
              <w:t xml:space="preserve">Dieta ed esercizio, 18 mesi</w:t>
            </w:r>
          </w:p>
        </w:tc>
        <w:tc>
          <w:tcPr/>
          <w:p>
            <w:pPr>
              <w:pStyle w:val="Compact"/>
            </w:pPr>
            <w:r>
              <w:t xml:space="preserve">Segnalare il peso e rinviare</w:t>
            </w:r>
          </w:p>
        </w:tc>
      </w:tr>
      <w:tr>
        <w:tc>
          <w:tcPr/>
          <w:p>
            <w:pPr>
              <w:pStyle w:val="Compact"/>
            </w:pPr>
            <w:r>
              <w:t xml:space="preserve">Zou 2016 (26882927)</w:t>
            </w:r>
          </w:p>
        </w:tc>
        <w:tc>
          <w:tcPr/>
          <w:p>
            <w:pPr>
              <w:pStyle w:val="Compact"/>
            </w:pPr>
            <w:r>
              <w:t xml:space="preserve">Quota contestuale, 215 trial</w:t>
            </w:r>
          </w:p>
        </w:tc>
        <w:tc>
          <w:tcPr/>
          <w:p>
            <w:pPr>
              <w:pStyle w:val="Compact"/>
            </w:pPr>
            <w:r>
              <w:t xml:space="preserve">Curare il contesto della seduta</w:t>
            </w:r>
          </w:p>
        </w:tc>
      </w:tr>
      <w:tr>
        <w:tc>
          <w:tcPr/>
          <w:p>
            <w:pPr>
              <w:pStyle w:val="Compact"/>
            </w:pPr>
            <w:r>
              <w:t xml:space="preserve">Felson 2001 (11281736)</w:t>
            </w:r>
          </w:p>
        </w:tc>
        <w:tc>
          <w:tcPr/>
          <w:p>
            <w:pPr>
              <w:pStyle w:val="Compact"/>
            </w:pPr>
            <w:r>
              <w:t xml:space="preserve">Lesioni ossee e dolore</w:t>
            </w:r>
          </w:p>
        </w:tc>
        <w:tc>
          <w:tcPr/>
          <w:p>
            <w:pPr>
              <w:pStyle w:val="Compact"/>
            </w:pPr>
            <w:r>
              <w:t xml:space="preserve">Spiegare da dove viene il male</w:t>
            </w:r>
          </w:p>
        </w:tc>
      </w:tr>
    </w:tbl>
    <w:p>
      <w:pPr>
        <w:pStyle w:val="BodyText"/>
      </w:pPr>
      <w:r>
        <w:rPr>
          <w:b/>
          <w:bCs/>
        </w:rPr>
        <w:t xml:space="preserve">Il limite della riga di Abbott, che sta nella tabella e va letto qui:</w:t>
      </w:r>
      <w:r>
        <w:t xml:space="preserve"> </w:t>
      </w:r>
      <w:r>
        <w:t xml:space="preserve">il confronto è con la</w:t>
      </w:r>
      <w:r>
        <w:t xml:space="preserve"> </w:t>
      </w:r>
      <w:r>
        <w:rPr>
          <w:b/>
          <w:bCs/>
        </w:rPr>
        <w:t xml:space="preserve">cura abituale</w:t>
      </w:r>
      <w:r>
        <w:t xml:space="preserve">, non con un placebo.</w:t>
      </w:r>
    </w:p>
    <w:p>
      <w:pPr>
        <w:pStyle w:val="BodyText"/>
      </w:pPr>
      <w:r>
        <w:rPr>
          <w:b/>
          <w:bCs/>
        </w:rPr>
        <w:t xml:space="preserve">Lo studio dell’ancora, per esteso, con i suoi limiti.</w:t>
      </w:r>
      <w:r>
        <w:t xml:space="preserve"> </w:t>
      </w:r>
      <w:r>
        <w:t xml:space="preserve">Sono stati randomizzati in quattro gruppi 206 adulti con artrosi di anca o ginocchio, e seguiti un anno. La fisioterapia manuale aggiunta alla cura abituale ha ridotto il WOMAC di 28,5 punti. Il WOMAC è un questionario 0-240 su dolore, rigidità e funzione. L’esercizio da solo lo ha ridotto di 16,4, senza significatività; la combinazione di 14,5, con un’interazione antagonista, cioè i due trattamenti insieme rendevano meno della somma (Abbott, PMID 23313532).</w:t>
      </w:r>
    </w:p>
    <w:p>
      <w:pPr>
        <w:pStyle w:val="BodyText"/>
      </w:pPr>
      <w:r>
        <w:rPr>
          <w:b/>
          <w:bCs/>
        </w:rPr>
        <w:t xml:space="preserve">Tre cose che il numero non dice da solo.</w:t>
      </w:r>
      <w:r>
        <w:t xml:space="preserve"> </w:t>
      </w:r>
      <w:r>
        <w:t xml:space="preserve">Primo: l’intervallo di confidenza va da</w:t>
      </w:r>
      <w:r>
        <w:t xml:space="preserve"> </w:t>
      </w:r>
      <w:r>
        <w:rPr>
          <w:b/>
          <w:bCs/>
        </w:rPr>
        <w:t xml:space="preserve">9,2</w:t>
      </w:r>
      <w:r>
        <w:t xml:space="preserve"> </w:t>
      </w:r>
      <w:r>
        <w:t xml:space="preserve">a 47,8, e il limite basso è ben sotto qualunque differenza clinicamente importante. Secondo: il confronto era con la</w:t>
      </w:r>
      <w:r>
        <w:t xml:space="preserve"> </w:t>
      </w:r>
      <w:r>
        <w:rPr>
          <w:b/>
          <w:bCs/>
        </w:rPr>
        <w:t xml:space="preserve">cura abituale</w:t>
      </w:r>
      <w:r>
        <w:t xml:space="preserve">, non con un placebo, e i pazienti non erano in cieco — quindi è l’</w:t>
      </w:r>
      <w:r>
        <w:rPr>
          <w:b/>
          <w:bCs/>
        </w:rPr>
        <w:t xml:space="preserve">effetto complessivo del trattamento, contesto incluso</w:t>
      </w:r>
      <w:r>
        <w:t xml:space="preserve">, non l’effetto specifico della mano. Terzo: i test di performance raccolti da valutatori in cieco favorivano l’</w:t>
      </w:r>
      <w:r>
        <w:rPr>
          <w:b/>
          <w:bCs/>
        </w:rPr>
        <w:t xml:space="preserve">esercizio</w:t>
      </w:r>
      <w:r>
        <w:t xml:space="preserve">. Resta il dato più favorevole che esista sulla terapia manuale qui, e va usato per quello che dice.</w:t>
      </w:r>
    </w:p>
    <w:bookmarkEnd w:id="58"/>
    <w:bookmarkStart w:id="59" w:name="i-tre-cerchi"/>
    <w:p>
      <w:pPr>
        <w:pStyle w:val="Heading3"/>
      </w:pPr>
      <w:r>
        <w:t xml:space="preserve">I tre cerchi</w:t>
      </w:r>
    </w:p>
    <w:p>
      <w:pPr>
        <w:pStyle w:val="FirstParagraph"/>
      </w:pPr>
      <w:r>
        <w:rPr>
          <w:b/>
          <w:bCs/>
        </w:rPr>
        <w:t xml:space="preserve">Cerchio 1 — l’evidenza specifica.</w:t>
      </w:r>
      <w:r>
        <w:t xml:space="preserve"> </w:t>
      </w:r>
      <w:r>
        <w:t xml:space="preserve">Qui è ricco: due revisioni Cochrane aggiornate sull’esercizio, una meta-analisi sulla terapia manuale aggiunta, uno studio fattoriale a un anno, uno studio con placebo sull’anca, un trial su dieta ed esercizio. Regge DIMOSTRATO</w:t>
      </w:r>
      <w:r>
        <w:t xml:space="preserve"> </w:t>
      </w:r>
      <w:r>
        <w:rPr>
          <w:i/>
          <w:iCs/>
        </w:rPr>
        <w:t xml:space="preserve">(studi sull’uomo, solidi)</w:t>
      </w:r>
      <w:r>
        <w:t xml:space="preserve"> </w:t>
      </w:r>
      <w:r>
        <w:t xml:space="preserve">per la</w:t>
      </w:r>
      <w:r>
        <w:t xml:space="preserve"> </w:t>
      </w:r>
      <w:r>
        <w:rPr>
          <w:b/>
          <w:bCs/>
        </w:rPr>
        <w:t xml:space="preserve">direzione</w:t>
      </w:r>
      <w:r>
        <w:t xml:space="preserve"> </w:t>
      </w:r>
      <w:r>
        <w:t xml:space="preserve">dell’effetto dell’esercizio e per la perdita di peso. Sulla</w:t>
      </w:r>
      <w:r>
        <w:t xml:space="preserve"> </w:t>
      </w:r>
      <w:r>
        <w:rPr>
          <w:b/>
          <w:bCs/>
        </w:rPr>
        <w:t xml:space="preserve">dimensione</w:t>
      </w:r>
      <w:r>
        <w:t xml:space="preserve"> </w:t>
      </w:r>
      <w:r>
        <w:t xml:space="preserve">la certezza è più bassa di quanto si diceva fino al 2024.</w:t>
      </w:r>
    </w:p>
    <w:p>
      <w:pPr>
        <w:pStyle w:val="BodyText"/>
      </w:pPr>
      <w:r>
        <w:rPr>
          <w:b/>
          <w:bCs/>
        </w:rPr>
        <w:t xml:space="preserve">È sottile in due punti.</w:t>
      </w:r>
      <w:r>
        <w:t xml:space="preserve"> </w:t>
      </w:r>
      <w:r>
        <w:t xml:space="preserve">Il primo è l’osteopatia come tale: lo studio più diretto ha confrontato osteopatia più esercizio contro solo esercizio in 100 pazienti, a favore del primo. Ma è monocentrico, in cieco solo sul valutatore e con follow-up di quattro settimane (Altınbilek, PMID 31453500). Il secondo sono le sedi diverse da ginocchio e anca.</w:t>
      </w:r>
    </w:p>
    <w:p>
      <w:pPr>
        <w:pStyle w:val="BodyText"/>
      </w:pPr>
      <w:r>
        <w:rPr>
          <w:b/>
          <w:bCs/>
        </w:rPr>
        <w:t xml:space="preserve">Su chi risponde, invece, non è più sottile.</w:t>
      </w:r>
      <w:r>
        <w:t xml:space="preserve"> </w:t>
      </w:r>
      <w:r>
        <w:t xml:space="preserve">Una meta-analisi su dati individuali ha riunito 31 studi controllati e 4.241 pazienti con artrosi di ginocchio o anca. Gli unici moderatori emersi sono il</w:t>
      </w:r>
      <w:r>
        <w:t xml:space="preserve"> </w:t>
      </w:r>
      <w:r>
        <w:rPr>
          <w:b/>
          <w:bCs/>
        </w:rPr>
        <w:t xml:space="preserve">dolore e la funzione di partenza</w:t>
      </w:r>
      <w:r>
        <w:t xml:space="preserve">: chi sta peggio all’inizio guadagna di più, con la certezza maggiore a dodici settimane. L’effetto medio resta piccolo: 6,36 punti su 100 sul dolore a breve termine, 3,43 a un anno. E</w:t>
      </w:r>
      <w:r>
        <w:t xml:space="preserve"> </w:t>
      </w:r>
      <w:r>
        <w:rPr>
          <w:b/>
          <w:bCs/>
        </w:rPr>
        <w:t xml:space="preserve">gli autori lo dichiarano di importanza clinica discutibile nel medio e lungo periodo</w:t>
      </w:r>
      <w:r>
        <w:t xml:space="preserve"> </w:t>
      </w:r>
      <w:r>
        <w:t xml:space="preserve">(Holden,</w:t>
      </w:r>
      <w:r>
        <w:t xml:space="preserve"> </w:t>
      </w:r>
      <w:r>
        <w:rPr>
          <w:i/>
          <w:iCs/>
        </w:rPr>
        <w:t xml:space="preserve">Lancet Rheumatol</w:t>
      </w:r>
      <w:r>
        <w:t xml:space="preserve"> </w:t>
      </w:r>
      <w:r>
        <w:t xml:space="preserve">2023, PMID 38251550; J.H. Abbott fra i collaboratori). A questo si aggiunge la durata dei sintomi, con la finestra dei primi dodici mesi (van Middelkoop, PMID 39032625; vedi «Non è una condizione sola»).</w:t>
      </w:r>
      <w:r>
        <w:t xml:space="preserve"> </w:t>
      </w:r>
      <w:r>
        <w:rPr>
          <w:b/>
          <w:bCs/>
        </w:rPr>
        <w:t xml:space="preserve">Misurato sull’esercizio contro controlli non-esercizio, non sulla terapia manuale: dice a chi dare l’esercizio, non chi risponde alle tue mani.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 moderatori dell’effetto dell’esercizio — dati individuali di 31 studi controllati. Non tocca l’etichetta di nessuna leva manuale.</w:t>
      </w:r>
    </w:p>
    <w:p>
      <w:pPr>
        <w:pStyle w:val="FirstParagraph"/>
      </w:pPr>
      <w:r>
        <w:rPr>
          <w:b/>
          <w:bCs/>
        </w:rPr>
        <w:t xml:space="preserve">Cerchio 2 — il meccanismo, misurato altrove.</w:t>
      </w:r>
      <w:r>
        <w:t xml:space="preserve"> </w:t>
      </w:r>
      <w:r>
        <w:t xml:space="preserve">Quattro voci, e vanno tenute insieme perché dicono cose diverse.</w:t>
      </w:r>
    </w:p>
    <w:p>
      <w:pPr>
        <w:pStyle w:val="BodyText"/>
      </w:pPr>
      <w:r>
        <w:rPr>
          <w:b/>
          <w:bCs/>
        </w:rPr>
        <w:t xml:space="preserve">Una misura positiva sul tocco.</w:t>
      </w:r>
      <w:r>
        <w:t xml:space="preserve"> </w:t>
      </w:r>
      <w:r>
        <w:t xml:space="preserve">Lo sfioramento lento alla velocità ottimale per le fibre C-tattili riduce il dolore sperimentale; lo sfioramento veloce no (Liljencrantz, PMID 28263013) —</w:t>
      </w:r>
      <w:r>
        <w:t xml:space="preserve"> </w:t>
      </w:r>
      <w:r>
        <w:rPr>
          <w:b/>
          <w:bCs/>
        </w:rPr>
        <w:t xml:space="preserve">su 44 volontari sani con dolore da calore, non su pazienti artrosici e non sul dolore articolare</w:t>
      </w:r>
      <w:r>
        <w:t xml:space="preserve">. Per esteso in «Perché le mani possono cambiare qualcosa».</w:t>
      </w:r>
    </w:p>
    <w:p>
      <w:pPr>
        <w:pStyle w:val="BodyText"/>
      </w:pPr>
      <w:r>
        <w:rPr>
          <w:b/>
          <w:bCs/>
        </w:rPr>
        <w:t xml:space="preserve">Una misura positiva sull’alleanza.</w:t>
      </w:r>
      <w:r>
        <w:t xml:space="preserve"> </w:t>
      </w:r>
      <w:r>
        <w:t xml:space="preserve">La qualità dell’alleanza terapeutica alla seconda seduta predice gli esiti a otto settimane (Ferreira PH, PMID 23139428) —</w:t>
      </w:r>
      <w:r>
        <w:t xml:space="preserve"> </w:t>
      </w:r>
      <w:r>
        <w:rPr>
          <w:b/>
          <w:bCs/>
        </w:rPr>
        <w:t xml:space="preserve">su 182 pazienti con lombalgia cronica, in uno studio osservazionale: è un’associazione, non la prova che curare la relazione produca l’esito</w:t>
      </w:r>
      <w:r>
        <w:t xml:space="preserve">. Per esteso in «La lettura osteopatica».</w:t>
      </w:r>
    </w:p>
    <w:p>
      <w:pPr>
        <w:pStyle w:val="BodyText"/>
      </w:pPr>
      <w:r>
        <w:rPr>
          <w:b/>
          <w:bCs/>
        </w:rPr>
        <w:t xml:space="preserve">Un modello teorico.</w:t>
      </w:r>
      <w:r>
        <w:t xml:space="preserve"> </w:t>
      </w:r>
      <w:r>
        <w:t xml:space="preserve">La descrizione di riferimento di come la terapia manuale produce ipoalgesia è una cascata neurofisiologica periferica e centrale (Bialosky,</w:t>
      </w:r>
      <w:r>
        <w:t xml:space="preserve"> </w:t>
      </w:r>
      <w:r>
        <w:rPr>
          <w:i/>
          <w:iCs/>
        </w:rPr>
        <w:t xml:space="preserve">Man Ther</w:t>
      </w:r>
      <w:r>
        <w:t xml:space="preserve"> </w:t>
      </w:r>
      <w:r>
        <w:t xml:space="preserve">2009, PMID 19027342) —</w:t>
      </w:r>
      <w:r>
        <w:t xml:space="preserve"> </w:t>
      </w:r>
      <w:r>
        <w:rPr>
          <w:b/>
          <w:bCs/>
        </w:rPr>
        <w:t xml:space="preserve">modello teorico, su dolore muscolo-scheletrico in generale</w:t>
      </w:r>
      <w:r>
        <w:t xml:space="preserve">.</w:t>
      </w:r>
    </w:p>
    <w:p>
      <w:pPr>
        <w:pStyle w:val="BodyText"/>
      </w:pPr>
      <w:r>
        <w:rPr>
          <w:b/>
          <w:bCs/>
        </w:rPr>
        <w:t xml:space="preserve">Un risultato negativo.</w:t>
      </w:r>
      <w:r>
        <w:t xml:space="preserve"> </w:t>
      </w:r>
      <w:r>
        <w:t xml:space="preserve">Sugli effetti psicofisiologici del trattamento osteopatico, venti studi controllati mostrano meno depressione e un</w:t>
      </w:r>
      <w:r>
        <w:t xml:space="preserve"> </w:t>
      </w:r>
      <w:r>
        <w:rPr>
          <w:b/>
          <w:bCs/>
        </w:rPr>
        <w:t xml:space="preserve">aumento</w:t>
      </w:r>
      <w:r>
        <w:t xml:space="preserve"> </w:t>
      </w:r>
      <w:r>
        <w:t xml:space="preserve">della conduttanza cutanea. È una direzione che non conferma l’idea del tocco come calmante autonomico, e l’intervallo di confidenza tocca lo zero (Gordon,</w:t>
      </w:r>
      <w:r>
        <w:t xml:space="preserve"> </w:t>
      </w:r>
      <w:r>
        <w:rPr>
          <w:i/>
          <w:iCs/>
        </w:rPr>
        <w:t xml:space="preserve">BMJ Open</w:t>
      </w:r>
      <w:r>
        <w:t xml:space="preserve"> </w:t>
      </w:r>
      <w:r>
        <w:t xml:space="preserve">2025, PMID 39920074) — su adulti in generale, non su pazienti artrosici.</w:t>
      </w:r>
      <w:r>
        <w:t xml:space="preserve"> </w:t>
      </w:r>
      <w:r>
        <w:rPr>
          <w:b/>
          <w:bCs/>
        </w:rPr>
        <w:t xml:space="preserve">Il documento lo usa in un solo altro punto: la leva sulla soglia.</w:t>
      </w:r>
    </w:p>
    <w:p>
      <w:pPr>
        <w:pStyle w:val="BodyText"/>
      </w:pPr>
      <w:r>
        <w:rPr>
          <w:b/>
          <w:bCs/>
        </w:rPr>
        <w:t xml:space="preserve">Cerchio 3 — la fisiologia.</w:t>
      </w:r>
      <w:r>
        <w:t xml:space="preserve"> </w:t>
      </w:r>
      <w:r>
        <w:t xml:space="preserve">Osso subcondrale e sinovia come sorgenti nocicettive, cartilagine priva di innervazione, inibizione riflessa del quadricipite, modulazione discendente dal tronco encefalico (Dieppe &amp; Lohmander, PMID 15766999; Rice &amp; McNair, PMID 19954822; Soni, PMID 30295432). Regge il razionale, mai l’efficacia.</w:t>
      </w:r>
    </w:p>
    <w:p>
      <w:pPr>
        <w:pStyle w:val="BodyText"/>
      </w:pPr>
      <w:r>
        <w:rPr>
          <w:b/>
          <w:bCs/>
        </w:rPr>
        <w:t xml:space="preserve">La regola del ponte.</w:t>
      </w:r>
      <w:r>
        <w:t xml:space="preserve"> </w:t>
      </w:r>
      <w:r>
        <w:t xml:space="preserve">L’evidenza del cerchio 2 alza l’etichetta del</w:t>
      </w:r>
      <w:r>
        <w:t xml:space="preserve"> </w:t>
      </w:r>
      <w:r>
        <w:rPr>
          <w:b/>
          <w:bCs/>
        </w:rPr>
        <w:t xml:space="preserve">meccanismo</w:t>
      </w:r>
      <w:r>
        <w:t xml:space="preserve">, non quella della</w:t>
      </w:r>
      <w:r>
        <w:t xml:space="preserve"> </w:t>
      </w:r>
      <w:r>
        <w:rPr>
          <w:b/>
          <w:bCs/>
        </w:rPr>
        <w:t xml:space="preserve">leva</w:t>
      </w:r>
      <w:r>
        <w:t xml:space="preserve">.</w:t>
      </w:r>
      <w:r>
        <w:t xml:space="preserve"> </w:t>
      </w:r>
      <w:r>
        <w:rPr>
          <w:b/>
          <w:bCs/>
        </w:rPr>
        <w:t xml:space="preserve">Un pezzo di ponte è stato attraversato:</w:t>
      </w:r>
      <w:r>
        <w:t xml:space="preserve"> </w:t>
      </w:r>
      <w:r>
        <w:t xml:space="preserve">la mobilizzazione articolare ha potenziato la modulazione condizionata del dolore in pazienti con artrosi di ginocchio dolorosa, con riduzione della sensibilità anche a distanza (Courtney, PMID 26721229). È un crossover di laboratorio su effetto immediato, non un trial clinico.</w:t>
      </w:r>
      <w:r>
        <w:t xml:space="preserve"> </w:t>
      </w:r>
      <w:r>
        <w:rPr>
          <w:b/>
          <w:bCs/>
        </w:rPr>
        <w:t xml:space="preserve">Il resto non è attraversato:</w:t>
      </w:r>
      <w:r>
        <w:t xml:space="preserve"> </w:t>
      </w:r>
      <w:r>
        <w:t xml:space="preserve">la cascata di Bialosky nel suo insieme non è mai stata misurata in pazienti artrosici, e il tocco lento di Liljencrantz è misurato su volontari sani con dolore sperimentale.</w:t>
      </w:r>
    </w:p>
    <w:bookmarkEnd w:id="59"/>
    <w:bookmarkStart w:id="60" w:name="cosa-possiamo-dire-e-cosa-no"/>
    <w:p>
      <w:pPr>
        <w:pStyle w:val="Heading3"/>
      </w:pPr>
      <w:r>
        <w:t xml:space="preserve">Cosa possiamo dire e cosa no</w:t>
      </w:r>
    </w:p>
    <w:p>
      <w:pPr>
        <w:pStyle w:val="FirstParagraph"/>
      </w:pPr>
      <w:r>
        <w:rPr>
          <w:b/>
          <w:bCs/>
        </w:rPr>
        <w:t xml:space="preserve">Possiamo dire.</w:t>
      </w:r>
      <w:r>
        <w:t xml:space="preserve"> </w:t>
      </w:r>
      <w:r>
        <w:t xml:space="preserve">Che l’esercizio riduce il dolore del ginocchio artrosico e ne migliora la funzione, con i limiti e i numeri del box qui sotto. Che la terapia manuale ha prodotto un beneficio mantenuto a un anno rispetto alla cura abituale. Che aggiunta a un esercizio già in corso dà un vantaggio a breve e nessuno a lungo termine. Che perdere peso riduce il carico sul ginocchio in modo misurato. Che l’esercizio non danneggia la cartilagine.</w:t>
      </w:r>
    </w:p>
    <w:p>
      <w:pPr>
        <w:pStyle w:val="BodyText"/>
      </w:pPr>
      <w:r>
        <w:rPr>
          <w:b/>
          <w:bCs/>
        </w:rPr>
        <w:t xml:space="preserve">Non possiamo dire.</w:t>
      </w:r>
      <w:r>
        <w:t xml:space="preserve"> </w:t>
      </w:r>
      <w:r>
        <w:t xml:space="preserve">Che il trattamento manuale rallenti la progressione strutturale o rigeneri cartilagine. Che agisca sul drenaggio o sulla circolazione articolare: mai misurato isolatamente.</w:t>
      </w:r>
      <w:r>
        <w:t xml:space="preserve"> </w:t>
      </w:r>
      <w:r>
        <w:rPr>
          <w:b/>
          <w:bCs/>
        </w:rPr>
        <w:t xml:space="preserve">Che la terapia manuale faccia meglio di un trattamento finto: sull’anca è stato provato e il risultato è negativo (Bennell 2014); sul ginocchio non è mai stato provato con un placebo credibile.</w:t>
      </w:r>
      <w:r>
        <w:t xml:space="preserve"> </w:t>
      </w:r>
      <w:r>
        <w:t xml:space="preserve">Che sull’anca l’esercizio superi un controllo d’attenzione. Che l’effetto della singola seduta e quello del programma siano la stessa cosa. Che il paziente migliorerà: non lo sappiamo prima di misurare.</w:t>
      </w:r>
    </w:p>
    <w:p>
      <w:pPr>
        <w:pStyle w:val="BodyText"/>
      </w:pPr>
      <w:r>
        <w:rPr>
          <w:b/>
          <w:bCs/>
        </w:rPr>
        <w:t xml:space="preserve">Quattro cose in più che non possiamo dire, e il perché.</w:t>
      </w:r>
    </w:p>
    <w:p>
      <w:pPr>
        <w:pStyle w:val="BodyText"/>
      </w:pPr>
      <w:r>
        <w:rPr>
          <w:b/>
          <w:bCs/>
        </w:rPr>
        <w:t xml:space="preserve">Che la terapia manuale tolga l’inibizione del quadricipite.</w:t>
      </w:r>
      <w:r>
        <w:t xml:space="preserve"> </w:t>
      </w:r>
      <w:r>
        <w:t xml:space="preserve">Dove la disinibizione è stata cercata sistematicamente, hanno funzionato il raffreddamento focale dell’articolazione e la stimolazione transcranica a corrente diretta.</w:t>
      </w:r>
      <w:r>
        <w:t xml:space="preserve"> </w:t>
      </w:r>
      <w:r>
        <w:rPr>
          <w:b/>
          <w:bCs/>
        </w:rPr>
        <w:t xml:space="preserve">Terapia manuale, taping e vibrazione a corpo intero no</w:t>
      </w:r>
      <w:r>
        <w:t xml:space="preserve">, e gli autori dichiarano l’evidenza complessiva troppo limitata per conclusioni definitive (Kim,</w:t>
      </w:r>
      <w:r>
        <w:t xml:space="preserve"> </w:t>
      </w:r>
      <w:r>
        <w:rPr>
          <w:i/>
          <w:iCs/>
        </w:rPr>
        <w:t xml:space="preserve">Disabil Rehabil</w:t>
      </w:r>
      <w:r>
        <w:t xml:space="preserve"> </w:t>
      </w:r>
      <w:r>
        <w:t xml:space="preserve">2024, PMID 36650898).</w:t>
      </w:r>
      <w:r>
        <w:t xml:space="preserve"> </w:t>
      </w:r>
      <w:r>
        <w:rPr>
          <w:b/>
          <w:bCs/>
        </w:rPr>
        <w:t xml:space="preserve">Misurato sull’instabilità cronica di caviglia, non sul ginocchio artrosico.</w:t>
      </w:r>
      <w:r>
        <w:t xml:space="preserve"> </w:t>
      </w:r>
      <w:r>
        <w:t xml:space="preserve">Ma converge con l’unico dato che avevamo sul ginocchio (Grindstaff, PMID 24793076), e due risultati da due articolazioni e due gruppi diversi sono una convergenza, non un caso isolato.</w:t>
      </w:r>
    </w:p>
    <w:p>
      <w:pPr>
        <w:pStyle w:val="BodyText"/>
      </w:pPr>
      <w:r>
        <w:rPr>
          <w:b/>
          <w:bCs/>
        </w:rPr>
        <w:t xml:space="preserve">Che migliorare il sonno riduca il dolore.</w:t>
      </w:r>
      <w:r>
        <w:t xml:space="preserve"> </w:t>
      </w:r>
      <w:r>
        <w:t xml:space="preserve">Possiamo dire che chi riduce i risvegli ha poi meno dolore (Smith, PMID 25623343). Contro placebo attivo il dolore è calato uguale nei due gruppi.</w:t>
      </w:r>
    </w:p>
    <w:p>
      <w:pPr>
        <w:pStyle w:val="BodyText"/>
      </w:pPr>
      <w:r>
        <w:rPr>
          <w:b/>
          <w:bCs/>
        </w:rPr>
        <w:t xml:space="preserve">Che le grandi dimensioni d’effetto riportate su singole tecniche manuali al ginocchio siano confrontabili con quelle Cochrane.</w:t>
      </w:r>
      <w:r>
        <w:t xml:space="preserve"> </w:t>
      </w:r>
      <w:r>
        <w:t xml:space="preserve">Una revisione su 23 studi riporta effetti fino a circa una deviazione standard su dolore e disabilità (Lin,</w:t>
      </w:r>
      <w:r>
        <w:t xml:space="preserve"> </w:t>
      </w:r>
      <w:r>
        <w:rPr>
          <w:i/>
          <w:iCs/>
        </w:rPr>
        <w:t xml:space="preserve">J Man Manip Ther</w:t>
      </w:r>
      <w:r>
        <w:t xml:space="preserve"> </w:t>
      </w:r>
      <w:r>
        <w:t xml:space="preserve">2026, PMID 40265821), molte volte quelli di Cochrane. Vengono da studi piccoli, con</w:t>
      </w:r>
      <w:r>
        <w:t xml:space="preserve"> </w:t>
      </w:r>
      <w:r>
        <w:rPr>
          <w:b/>
          <w:bCs/>
        </w:rPr>
        <w:t xml:space="preserve">confronti attivi e nessun placebo</w:t>
      </w:r>
      <w:r>
        <w:t xml:space="preserve">, e su partecipanti la cui</w:t>
      </w:r>
      <w:r>
        <w:t xml:space="preserve"> </w:t>
      </w:r>
      <w:r>
        <w:rPr>
          <w:b/>
          <w:bCs/>
        </w:rPr>
        <w:t xml:space="preserve">età media parte dai 37 anni</w:t>
      </w:r>
      <w:r>
        <w:t xml:space="preserve">. Quei numeri non si trasferiscono al tuo paziente, e non si citano.</w:t>
      </w:r>
    </w:p>
    <w:p>
      <w:pPr>
        <w:pStyle w:val="BodyText"/>
      </w:pPr>
      <w:r>
        <w:rPr>
          <w:b/>
          <w:bCs/>
        </w:rPr>
        <w:t xml:space="preserve">Che sappiamo chi risponde alla nostra mano.</w:t>
      </w:r>
      <w:r>
        <w:t xml:space="preserve"> </w:t>
      </w:r>
      <w:r>
        <w:t xml:space="preserve">Sappiamo chi risponde all’</w:t>
      </w:r>
      <w:r>
        <w:rPr>
          <w:b/>
          <w:bCs/>
        </w:rPr>
        <w:t xml:space="preserve">esercizio</w:t>
      </w:r>
      <w:r>
        <w:t xml:space="preserve"> </w:t>
      </w:r>
      <w:r>
        <w:t xml:space="preserve">(Holden, van Middelkoop). Sulla terapia manuale il moderatore non è mai stato cercato.</w:t>
      </w:r>
    </w:p>
    <w:bookmarkEnd w:id="60"/>
    <w:bookmarkStart w:id="61" w:name="quando-la-scienza-tace"/>
    <w:p>
      <w:pPr>
        <w:pStyle w:val="Heading3"/>
      </w:pPr>
      <w:r>
        <w:t xml:space="preserve">Quando la scienza tace</w:t>
      </w:r>
    </w:p>
    <w:p>
      <w:pPr>
        <w:pStyle w:val="FirstParagraph"/>
      </w:pPr>
      <w:r>
        <w:t xml:space="preserve">Su tre domande la scienza qui tace: cosa fa l’osteopatia come disciplina, cosa succede oltre ginocchio e anca, e</w:t>
      </w:r>
      <w:r>
        <w:t xml:space="preserve"> </w:t>
      </w:r>
      <w:r>
        <w:rPr>
          <w:b/>
          <w:bCs/>
        </w:rPr>
        <w:t xml:space="preserve">chi risponde alla nostra mano</w:t>
      </w:r>
      <w:r>
        <w:t xml:space="preserve">. Sull’esercizio qualcosa sappiamo, e sta qui sopra.</w:t>
      </w:r>
    </w:p>
    <w:p>
      <w:pPr>
        <w:pStyle w:val="BodyText"/>
      </w:pPr>
      <w:r>
        <w:rPr>
          <w:b/>
          <w:bCs/>
        </w:rPr>
        <w:t xml:space="preserve">Uno. Assenza di prove non è prova di assenza.</w:t>
      </w:r>
      <w:r>
        <w:t xml:space="preserve"> </w:t>
      </w:r>
      <w:r>
        <w:t xml:space="preserve">Che nessuno abbia misurato l’osteopatia sulla rizoartrosi non dice niente sulla sua efficacia: dice che nessuno l’ha misurata.</w:t>
      </w:r>
    </w:p>
    <w:p>
      <w:pPr>
        <w:pStyle w:val="BodyText"/>
      </w:pPr>
      <w:r>
        <w:rPr>
          <w:b/>
          <w:bCs/>
        </w:rPr>
        <w:t xml:space="preserve">Due. Perché quella letteratura non esiste.</w:t>
      </w:r>
      <w:r>
        <w:t xml:space="preserve"> </w:t>
      </w:r>
      <w:r>
        <w:t xml:space="preserve">Non perché gli studi siano stati fatti e risultati negativi: quello sarebbe un dato, e starebbe fra le cose che non possiamo dire. Non esiste perché non sono stati fatti. Mancano il finanziamento e un placebo credibile per il tocco, gli esiti sono eterogenei e i campioni piccoli.</w:t>
      </w:r>
    </w:p>
    <w:p>
      <w:pPr>
        <w:pStyle w:val="BodyText"/>
      </w:pPr>
      <w:r>
        <w:rPr>
          <w:b/>
          <w:bCs/>
        </w:rPr>
        <w:t xml:space="preserve">Tre. Su cosa ti basi allora.</w:t>
      </w:r>
      <w:r>
        <w:t xml:space="preserve"> </w:t>
      </w:r>
      <w:r>
        <w:t xml:space="preserve">Nell’ordine: il</w:t>
      </w:r>
      <w:r>
        <w:t xml:space="preserve"> </w:t>
      </w:r>
      <w:r>
        <w:rPr>
          <w:b/>
          <w:bCs/>
        </w:rPr>
        <w:t xml:space="preserve">meccanismo fisiologico</w:t>
      </w:r>
      <w:r>
        <w:t xml:space="preserve"> </w:t>
      </w:r>
      <w:r>
        <w:t xml:space="preserve">dei cerchi 2 e 3; il</w:t>
      </w:r>
      <w:r>
        <w:t xml:space="preserve"> </w:t>
      </w:r>
      <w:r>
        <w:rPr>
          <w:b/>
          <w:bCs/>
        </w:rPr>
        <w:t xml:space="preserve">ragionamento clinico</w:t>
      </w:r>
      <w:r>
        <w:t xml:space="preserve">, dichiarato come tale; la</w:t>
      </w:r>
      <w:r>
        <w:t xml:space="preserve"> </w:t>
      </w:r>
      <w:r>
        <w:rPr>
          <w:b/>
          <w:bCs/>
        </w:rPr>
        <w:t xml:space="preserve">verifica sul singolo paziente</w:t>
      </w:r>
      <w:r>
        <w:t xml:space="preserve">.</w:t>
      </w:r>
    </w:p>
    <w:p>
      <w:pPr>
        <w:pStyle w:val="BodyText"/>
      </w:pPr>
      <w:r>
        <w:rPr>
          <w:b/>
          <w:bCs/>
        </w:rPr>
        <w:t xml:space="preserve">Quattro. Cosa lo separa dal pensiero magico.</w:t>
      </w:r>
      <w:r>
        <w:t xml:space="preserve"> </w:t>
      </w:r>
      <w:r>
        <w:t xml:space="preserve">La verifica, e nient’altro: un marker scelto</w:t>
      </w:r>
      <w:r>
        <w:t xml:space="preserve"> </w:t>
      </w:r>
      <w:r>
        <w:rPr>
          <w:i/>
          <w:iCs/>
        </w:rPr>
        <w:t xml:space="preserve">prima</w:t>
      </w:r>
      <w:r>
        <w:t xml:space="preserve">, misurato prima e dopo, con la sua soglia dichiarata. Sceglierlo dopo aver visto il paziente migliorare non è la stessa cosa. È la differenza fra un metodo e una convinzione.</w:t>
      </w:r>
    </w:p>
    <w:p>
      <w:pPr>
        <w:pStyle w:val="BodyText"/>
      </w:pPr>
      <w:r>
        <w:rPr>
          <w:b/>
          <w:bCs/>
        </w:rPr>
        <w:t xml:space="preserve">Cinque. Cosa non autorizza.</w:t>
      </w:r>
      <w:r>
        <w:t xml:space="preserve"> </w:t>
      </w:r>
      <w:r>
        <w:t xml:space="preserve">Non autorizza a promettere un esito. Non autorizza a scrivere DIMOSTRATO dove c’è IPOTESI. Non autorizza a dire che</w:t>
      </w:r>
      <w:r>
        <w:t xml:space="preserve"> </w:t>
      </w:r>
      <w:r>
        <w:t xml:space="preserve">“gli studi lo confermano”</w:t>
      </w:r>
      <w:r>
        <w:t xml:space="preserve"> </w:t>
      </w:r>
      <w:r>
        <w:t xml:space="preserve">quando riguardano un’altra articolazione o un altro intervento.</w:t>
      </w:r>
    </w:p>
    <w:p>
      <w:pPr>
        <w:pStyle w:val="BodyText"/>
      </w:pPr>
      <w:r>
        <w:rPr>
          <w:b/>
          <w:bCs/>
        </w:rPr>
        <w:t xml:space="preserve">Le tre cose da ricordare, più una</w:t>
      </w:r>
    </w:p>
    <w:p>
      <w:pPr>
        <w:pStyle w:val="Compact"/>
        <w:numPr>
          <w:ilvl w:val="0"/>
          <w:numId w:val="1024"/>
        </w:numPr>
      </w:pPr>
      <w:r>
        <w:t xml:space="preserve">Su questa condizione la povertà non è delle prove: è dell’osteopatia dentro le prove.</w:t>
      </w:r>
    </w:p>
    <w:p>
      <w:pPr>
        <w:pStyle w:val="Compact"/>
        <w:numPr>
          <w:ilvl w:val="0"/>
          <w:numId w:val="1024"/>
        </w:numPr>
      </w:pPr>
      <w:r>
        <w:t xml:space="preserve">Il dato più forte sulla mano è Abbott 2013, e va citato con i suoi tre limiti accanto.</w:t>
      </w:r>
    </w:p>
    <w:p>
      <w:pPr>
        <w:pStyle w:val="Compact"/>
        <w:numPr>
          <w:ilvl w:val="0"/>
          <w:numId w:val="1024"/>
        </w:numPr>
      </w:pPr>
      <w:r>
        <w:t xml:space="preserve">Quello che non è mai stato misurato — drenaggio, progressione, rigenerazione — non si nomina.</w:t>
      </w:r>
    </w:p>
    <w:p>
      <w:pPr>
        <w:pStyle w:val="Compact"/>
        <w:numPr>
          <w:ilvl w:val="0"/>
          <w:numId w:val="1024"/>
        </w:numPr>
      </w:pPr>
      <w:r>
        <w:rPr>
          <w:b/>
          <w:bCs/>
        </w:rPr>
        <w:t xml:space="preserve">Perché ci sei tu.</w:t>
      </w:r>
      <w:r>
        <w:t xml:space="preserve"> </w:t>
      </w:r>
      <w:r>
        <w:t xml:space="preserve">Nell’aggiornamento Cochrane su 139 studi e 12.468 partecipanti, l’esercizio ha ridotto il dolore del ginocchio artrosico di 8,70 punti su 100 rispetto a un controllo d’attenzione o placebo (IC 5,70–11,70, certezza bassa). Rispetto a nessun trattamento la riduzione è di 13,14 punti. Gli autori adottano come differenza minima importante 12 punti. Confrontano i loro valori con quella soglia, e concludono che</w:t>
      </w:r>
      <w:r>
        <w:t xml:space="preserve"> </w:t>
      </w:r>
      <w:r>
        <w:rPr>
          <w:b/>
          <w:bCs/>
        </w:rPr>
        <w:t xml:space="preserve">il beneficio è di importanza clinica incerta</w:t>
      </w:r>
      <w:r>
        <w:t xml:space="preserve"> </w:t>
      </w:r>
      <w:r>
        <w:t xml:space="preserve">(Lawford, PMID 39625083).</w:t>
      </w:r>
      <w:r>
        <w:t xml:space="preserve"> </w:t>
      </w:r>
      <w:r>
        <w:rPr>
          <w:b/>
          <w:bCs/>
        </w:rPr>
        <w:t xml:space="preserve">Per te:</w:t>
      </w:r>
      <w:r>
        <w:t xml:space="preserve"> </w:t>
      </w:r>
      <w:r>
        <w:t xml:space="preserve">anche ridimensionata, resta la leva con le prove più ampie del documento, e nessuno l’ha mai spiegata al tuo paziente con questi numeri. Non ti autorizza a promettere il numero, né a suggerire di ridurre un farmaco.</w:t>
      </w:r>
    </w:p>
    <w:p>
      <w:r>
        <w:pict>
          <v:rect style="width:0;height:1.5pt" o:hralign="center" o:hrstd="t" o:hr="t"/>
        </w:pict>
      </w:r>
    </w:p>
    <w:bookmarkEnd w:id="61"/>
    <w:bookmarkEnd w:id="62"/>
    <w:bookmarkStart w:id="70"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cambiano la cartilagine, cambiano quanto costa usarla.</w:t>
      </w:r>
    </w:p>
    <w:p>
      <w:pPr>
        <w:pStyle w:val="FirstParagraph"/>
      </w:pPr>
      <w:r>
        <w:rPr>
          <w:b/>
          <w:bCs/>
        </w:rPr>
        <w:t xml:space="preserve">Cosa non possono fare le mani, detto per primo.</w:t>
      </w:r>
      <w:r>
        <w:t xml:space="preserve"> </w:t>
      </w:r>
      <w:r>
        <w:t xml:space="preserve">Non ricostruiscono cartilagine. Non modificano lo spazio articolare. Non rallentano la progressione strutturale: nessuno l’ha misurato. E non riducono il carico meccanico reale (Bennell, PMID 20175973). Non sostituiscono la parte attiva.</w:t>
      </w:r>
    </w:p>
    <w:p>
      <w:pPr>
        <w:pStyle w:val="BodyText"/>
      </w:pPr>
      <w:r>
        <w:rPr>
          <w:b/>
          <w:bCs/>
        </w:rPr>
        <w:t xml:space="preserve">E non valgono uguale nelle due sedi.</w:t>
      </w:r>
      <w:r>
        <w:t xml:space="preserve"> </w:t>
      </w:r>
      <w:r>
        <w:t xml:space="preserve">Sull’anca l’unico studio in cieco contro un trattamento finto non trova differenza (Bennell, PMID 24846036). Quindi lì le leve che seguono si applicano con un tempo dichiarato e un marker che decide — vedi «Non è una condizione sola».</w:t>
      </w:r>
    </w:p>
    <w:p>
      <w:pPr>
        <w:pStyle w:val="BodyText"/>
      </w:pPr>
      <w:r>
        <w:rPr>
          <w:b/>
          <w:bCs/>
        </w:rPr>
        <w:t xml:space="preserve">Cosa fanno di sgradevole.</w:t>
      </w:r>
      <w:r>
        <w:t xml:space="preserve"> </w:t>
      </w:r>
      <w:r>
        <w:t xml:space="preserve">Nel migliore studio controllato su questa condizione, quattro pazienti su dieci hanno riferito un effetto indesiderato</w:t>
      </w:r>
      <w:r>
        <w:t xml:space="preserve"> </w:t>
      </w:r>
      <w:r>
        <w:rPr>
          <w:b/>
          <w:bCs/>
        </w:rPr>
        <w:t xml:space="preserve">lieve</w:t>
      </w:r>
      <w:r>
        <w:t xml:space="preserve">: più dolore, più gonfiore, più rigidità. Nel finto trattamento la quota era poco più di uno su dieci (Bennell, PMID 24846036). È la reazione attesa, dura giorni e rientra.</w:t>
      </w:r>
      <w:r>
        <w:t xml:space="preserve"> </w:t>
      </w:r>
      <w:r>
        <w:rPr>
          <w:b/>
          <w:bCs/>
        </w:rPr>
        <w:t xml:space="preserve">Non rientrano in questa categoria</w:t>
      </w:r>
      <w:r>
        <w:t xml:space="preserve"> </w:t>
      </w:r>
      <w:r>
        <w:t xml:space="preserve">un gonfiore comparso in ore, un’articolazione calda o un arto gonfio.</w:t>
      </w:r>
    </w:p>
    <w:p>
      <w:pPr>
        <w:pStyle w:val="BodyText"/>
      </w:pPr>
      <w:r>
        <w:t xml:space="preserve">Le leve, meccanismo per meccanismo, con il modello a cui appartengono.</w:t>
      </w:r>
    </w:p>
    <w:bookmarkStart w:id="63" w:name="X39702ff67903aa3d47ba06643e920c8489e959c"/>
    <w:p>
      <w:pPr>
        <w:pStyle w:val="Heading3"/>
      </w:pPr>
      <w:r>
        <w:t xml:space="preserve">Sul dolore che nasce da osso, sinovia e capsula —</w:t>
      </w:r>
      <w:r>
        <w:t xml:space="preserve"> </w:t>
      </w:r>
      <w:r>
        <w:rPr>
          <w:i/>
          <w:iCs/>
        </w:rPr>
        <w:t xml:space="preserve">neurologico</w:t>
      </w:r>
    </w:p>
    <w:p>
      <w:pPr>
        <w:pStyle w:val="FirstParagraph"/>
      </w:pPr>
      <w:r>
        <w:rPr>
          <w:b/>
          <w:bCs/>
        </w:rPr>
        <w:t xml:space="preserve">Su cosa può agire una mano.</w:t>
      </w:r>
      <w:r>
        <w:t xml:space="preserve"> </w:t>
      </w:r>
      <w:r>
        <w:t xml:space="preserve">Sui tessuti peri-articolari, sulla capsula e sulle vie che portano il segnale.</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terapia manuale migliora dolore e funzione su questa condizione (Abbott, PMID 23313532; Runge, PMID 35881705), con i limiti di disegno dichiarati nel capitolo precedente. Il meccanismo con cui lo fa è in parte misurato (Courtney, PMID 26721229) e per il resto un modello (Bialosky, PMID 19027342).</w:t>
      </w:r>
    </w:p>
    <w:p>
      <w:pPr>
        <w:pStyle w:val="BodyText"/>
      </w:pPr>
      <w:r>
        <w:rPr>
          <w:b/>
          <w:bCs/>
        </w:rPr>
        <w:t xml:space="preserve">In quanto tempo si vedrebbe.</w:t>
      </w:r>
      <w:r>
        <w:t xml:space="preserve"> </w:t>
      </w:r>
      <w:r>
        <w:t xml:space="preserve">Dentro la seduta, su dolore ed escursione. Se non si muove niente, l’ipotesi è sbagliata.</w:t>
      </w:r>
    </w:p>
    <w:bookmarkEnd w:id="63"/>
    <w:bookmarkStart w:id="64" w:name="Xb78f3a2ebdbef3b87d0db4a9911be2f26b9d6ca"/>
    <w:p>
      <w:pPr>
        <w:pStyle w:val="Heading3"/>
      </w:pPr>
      <w:r>
        <w:t xml:space="preserve">Sull’ammortizzatore scarico —</w:t>
      </w:r>
      <w:r>
        <w:t xml:space="preserve"> </w:t>
      </w:r>
      <w:r>
        <w:rPr>
          <w:i/>
          <w:iCs/>
        </w:rPr>
        <w:t xml:space="preserve">biomeccanico e neurologico</w:t>
      </w:r>
    </w:p>
    <w:p>
      <w:pPr>
        <w:pStyle w:val="FirstParagraph"/>
      </w:pPr>
      <w:r>
        <w:rPr>
          <w:b/>
          <w:bCs/>
        </w:rPr>
        <w:t xml:space="preserve">Su cosa può agire una mano.</w:t>
      </w:r>
      <w:r>
        <w:t xml:space="preserve"> </w:t>
      </w:r>
      <w:r>
        <w:t xml:space="preserve">Sul</w:t>
      </w:r>
      <w:r>
        <w:t xml:space="preserve"> </w:t>
      </w:r>
      <w:r>
        <w:rPr>
          <w:b/>
          <w:bCs/>
        </w:rPr>
        <w:t xml:space="preserve">dolore che accompagna il gesto</w:t>
      </w:r>
      <w:r>
        <w:t xml:space="preserve">, non sul versamento e non sull’inibizione riflessa. L’inibizione artrogena nasce dall’afferenza articolare alterata e passa da vie riflesse spinali. Il versamento la produce anche senza dolore, e una mano non sposta un versamento.</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l’effetto a breve sul dolore.</w:t>
      </w:r>
      <w:r>
        <w:t xml:space="preserve"> </w:t>
      </w:r>
      <w:r>
        <w:rPr>
          <w:b/>
          <w:bCs/>
        </w:rPr>
        <w:t xml:space="preserve">Dove è stata misurata, la terapia manuale non ha cambiato l’eccitabilità riflessa spinale del quadricipite.</w:t>
      </w:r>
      <w:r>
        <w:t xml:space="preserve"> </w:t>
      </w:r>
      <w:r>
        <w:t xml:space="preserve">Non l’ha cambiata al ginocchio né alla regione lombopelvica, fino a novanta minuti (Grindstaff,</w:t>
      </w:r>
      <w:r>
        <w:t xml:space="preserve"> </w:t>
      </w:r>
      <w:r>
        <w:rPr>
          <w:i/>
          <w:iCs/>
        </w:rPr>
        <w:t xml:space="preserve">Man Ther</w:t>
      </w:r>
      <w:r>
        <w:t xml:space="preserve"> </w:t>
      </w:r>
      <w:r>
        <w:t xml:space="preserve">2014, PMID 24793076).</w:t>
      </w:r>
      <w:r>
        <w:t xml:space="preserve"> </w:t>
      </w:r>
      <w:r>
        <w:rPr>
          <w:b/>
          <w:bCs/>
        </w:rPr>
        <w:t xml:space="preserve">Misurato su 75 persone con pregressa lesione al ginocchio e inibizione del quadricipite in atto, non su pazienti artrosici.</w:t>
      </w:r>
      <w:r>
        <w:t xml:space="preserve"> </w:t>
      </w:r>
      <w:r>
        <w:rPr>
          <w:b/>
          <w:bCs/>
        </w:rPr>
        <w:t xml:space="preserve">La finestra che la mano apre è di dolore, non di disinibizione.</w:t>
      </w:r>
      <w:r>
        <w:t xml:space="preserve"> </w:t>
      </w:r>
      <w:r>
        <w:t xml:space="preserve">Lo stesso risultato arriva da un’altra articolazione: nella sintesi degli interventi che riducono l’inibizione artrogena, la terapia manuale non è fra quelli che funzionano (Kim, PMID 36650898 — misurato sull’instabilità cronica di caviglia). La disinibizione la costruisce il carico ripetuto.</w:t>
      </w:r>
    </w:p>
    <w:p>
      <w:pPr>
        <w:pStyle w:val="BodyText"/>
      </w:pPr>
      <w:r>
        <w:rPr>
          <w:b/>
          <w:bCs/>
        </w:rPr>
        <w:t xml:space="preserve">In quanto tempo si vedrebbe.</w:t>
      </w:r>
      <w:r>
        <w:t xml:space="preserve"> </w:t>
      </w:r>
      <w:r>
        <w:t xml:space="preserve">In seduta sulla tenuta in estensione completa, e sul ritardo fra estensione attiva e passiva. Sulle alzate in trenta secondi in settimane, perché quello è un guadagno di allenamento e non di tecnica.</w:t>
      </w:r>
    </w:p>
    <w:bookmarkEnd w:id="64"/>
    <w:bookmarkStart w:id="65" w:name="sulla-soglia-consumata-neurologico"/>
    <w:p>
      <w:pPr>
        <w:pStyle w:val="Heading3"/>
      </w:pPr>
      <w:r>
        <w:t xml:space="preserve">Sulla soglia consumata —</w:t>
      </w:r>
      <w:r>
        <w:t xml:space="preserve"> </w:t>
      </w:r>
      <w:r>
        <w:rPr>
          <w:i/>
          <w:iCs/>
        </w:rPr>
        <w:t xml:space="preserve">neurologico</w:t>
      </w:r>
    </w:p>
    <w:p>
      <w:pPr>
        <w:pStyle w:val="FirstParagraph"/>
      </w:pPr>
      <w:r>
        <w:rPr>
          <w:b/>
          <w:bCs/>
        </w:rPr>
        <w:t xml:space="preserve">Su cosa può agire una mano.</w:t>
      </w:r>
      <w:r>
        <w:t xml:space="preserve"> </w:t>
      </w:r>
      <w:r>
        <w:t xml:space="preserve">Non sull’ingresso: quello lo decidono l’osso sotto carico e la sinovia infiammata, e lo cambia il carico. Quello che è plausibile spostare è il</w:t>
      </w:r>
      <w:r>
        <w:t xml:space="preserve"> </w:t>
      </w:r>
      <w:r>
        <w:rPr>
          <w:b/>
          <w:bCs/>
        </w:rPr>
        <w:t xml:space="preserve">guadagno con cui quel segnale viene letto</w:t>
      </w:r>
      <w:r>
        <w:t xml:space="preserve">, cioè il freno discendente, che nell’artrosi è meno efficiente. Il contatto lento e prolungato cambia</w:t>
      </w:r>
      <w:r>
        <w:t xml:space="preserve"> </w:t>
      </w:r>
      <w:r>
        <w:rPr>
          <w:b/>
          <w:bCs/>
        </w:rPr>
        <w:t xml:space="preserve">come il paziente vive il contatto</w:t>
      </w:r>
      <w:r>
        <w:t xml:space="preserve">, non il tono simpatico.</w:t>
      </w:r>
    </w:p>
    <w:p>
      <w:pPr>
        <w:pStyle w:val="BodyText"/>
      </w:pPr>
      <w:r>
        <w:rPr>
          <w:b/>
          <w:bCs/>
        </w:rPr>
        <w:t xml:space="preserve">E questa non è un’idea.</w:t>
      </w:r>
      <w:r>
        <w:t xml:space="preserve"> </w:t>
      </w:r>
      <w:r>
        <w:t xml:space="preserve">Su 44 volontari sani, lo sfioramento lento alla velocità ottimale per le fibre C-tattili ha ridotto il dolore da calore, mentre</w:t>
      </w:r>
      <w:r>
        <w:t xml:space="preserve"> </w:t>
      </w:r>
      <w:r>
        <w:rPr>
          <w:b/>
          <w:bCs/>
        </w:rPr>
        <w:t xml:space="preserve">lo sfioramento veloce e la vibrazione no</w:t>
      </w:r>
      <w:r>
        <w:t xml:space="preserve">. L’effetto cresceva con la durata del contatto (Liljencrantz,</w:t>
      </w:r>
      <w:r>
        <w:t xml:space="preserve"> </w:t>
      </w:r>
      <w:r>
        <w:rPr>
          <w:i/>
          <w:iCs/>
        </w:rPr>
        <w:t xml:space="preserve">Eur J Pain</w:t>
      </w:r>
      <w:r>
        <w:t xml:space="preserve"> </w:t>
      </w:r>
      <w:r>
        <w:t xml:space="preserve">2017, PMID 28263013).</w:t>
      </w:r>
      <w:r>
        <w:t xml:space="preserve"> </w:t>
      </w:r>
      <w:r>
        <w:rPr>
          <w:b/>
          <w:bCs/>
        </w:rPr>
        <w:t xml:space="preserve">Misurato su 44 volontari sani con dolore da calore sperimentale, non su pazienti artrosici e non sul dolore articolare.</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mobilizzazione articolare ha potenziato la modulazione condizionata del dolore in pazienti con artrosi di ginocchio (Courtney, PMID 26721229). DIMOSTRATO</w:t>
      </w:r>
      <w:r>
        <w:t xml:space="preserve"> </w:t>
      </w:r>
      <w:r>
        <w:rPr>
          <w:i/>
          <w:iCs/>
        </w:rPr>
        <w:t xml:space="preserve">(studi sull’uomo, solidi)</w:t>
      </w:r>
      <w:r>
        <w:t xml:space="preserve"> </w:t>
      </w:r>
      <w:r>
        <w:rPr>
          <w:b/>
          <w:bCs/>
        </w:rPr>
        <w:t xml:space="preserve">sul meccanismo</w:t>
      </w:r>
      <w:r>
        <w:t xml:space="preserve"> </w:t>
      </w:r>
      <w:r>
        <w:t xml:space="preserve">del contatto lento come modulatore della percezione del dolore (Liljencrantz, PMID 28263013):</w:t>
      </w:r>
      <w:r>
        <w:t xml:space="preserve"> </w:t>
      </w:r>
      <w:r>
        <w:rPr>
          <w:b/>
          <w:bCs/>
        </w:rPr>
        <w:t xml:space="preserve">la leva sulla soglia in questo paziente resta PROBABILE, e non si muove.</w:t>
      </w:r>
      <w:r>
        <w:t xml:space="preserve"> </w:t>
      </w:r>
      <w:r>
        <w:t xml:space="preserve">IPOTESI</w:t>
      </w:r>
      <w:r>
        <w:t xml:space="preserve"> </w:t>
      </w:r>
      <w:r>
        <w:rPr>
          <w:i/>
          <w:iCs/>
        </w:rPr>
        <w:t xml:space="preserve">(meccanismo coerente, nessuno studio)</w:t>
      </w:r>
      <w:r>
        <w:t xml:space="preserve"> </w:t>
      </w:r>
      <w:r>
        <w:t xml:space="preserve">per il contatto come modulatore dell’attivazione autonomica: dove è stata misurata, la conduttanza cutanea dopo trattamento osteopatico non è scesa (Gordon, PMID 39920074).</w:t>
      </w:r>
    </w:p>
    <w:p>
      <w:pPr>
        <w:pStyle w:val="BodyText"/>
      </w:pPr>
      <w:r>
        <w:rPr>
          <w:b/>
          <w:bCs/>
        </w:rPr>
        <w:t xml:space="preserve">In quanto tempo si vedrebbe.</w:t>
      </w:r>
      <w:r>
        <w:t xml:space="preserve"> </w:t>
      </w:r>
      <w:r>
        <w:t xml:space="preserve">Sulla soglia a distanza, entro la seduta, come effetto di stato.</w:t>
      </w:r>
      <w:r>
        <w:t xml:space="preserve"> </w:t>
      </w:r>
      <w:r>
        <w:rPr>
          <w:b/>
          <w:bCs/>
        </w:rPr>
        <w:t xml:space="preserve">Se la sorgente resta, l’effetto decade quando il freno si richiude:</w:t>
      </w:r>
      <w:r>
        <w:t xml:space="preserve"> </w:t>
      </w:r>
      <w:r>
        <w:t xml:space="preserve">il valore basale si sposta solo con esposizione ripetuta, in settimane.</w:t>
      </w:r>
    </w:p>
    <w:bookmarkEnd w:id="65"/>
    <w:bookmarkStart w:id="66" w:name="sul-carico-concentrato-biomeccanico"/>
    <w:p>
      <w:pPr>
        <w:pStyle w:val="Heading3"/>
      </w:pPr>
      <w:r>
        <w:t xml:space="preserve">Sul carico concentrato —</w:t>
      </w:r>
      <w:r>
        <w:t xml:space="preserve"> </w:t>
      </w:r>
      <w:r>
        <w:rPr>
          <w:i/>
          <w:iCs/>
        </w:rPr>
        <w:t xml:space="preserve">biomeccanico</w:t>
      </w:r>
    </w:p>
    <w:p>
      <w:pPr>
        <w:pStyle w:val="FirstParagraph"/>
      </w:pPr>
      <w:r>
        <w:rPr>
          <w:b/>
          <w:bCs/>
        </w:rPr>
        <w:t xml:space="preserve">Su cosa può agire una mano.</w:t>
      </w:r>
      <w:r>
        <w:t xml:space="preserve"> </w:t>
      </w:r>
      <w:r>
        <w:t xml:space="preserve">Sull’escursione delle articolazioni vicine — anca, caviglia, rachide — che rimandano lavoro all’articolazione malata.</w:t>
      </w:r>
      <w:r>
        <w:t xml:space="preserve"> </w:t>
      </w:r>
      <w:r>
        <w:t xml:space="preserve">&gt;</w:t>
      </w:r>
      <w:r>
        <w:t xml:space="preserve"> </w:t>
      </w: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il carico reale: nessuno ha misurato le forze articolari prima e dopo un trattamento manuale. PROBABILE</w:t>
      </w:r>
      <w:r>
        <w:t xml:space="preserve"> </w:t>
      </w:r>
      <w:r>
        <w:rPr>
          <w:i/>
          <w:iCs/>
        </w:rPr>
        <w:t xml:space="preserve">(razionale forte, prove parziali)</w:t>
      </w:r>
      <w:r>
        <w:t xml:space="preserve"> </w:t>
      </w:r>
      <w:r>
        <w:t xml:space="preserve">per il sintomo: gli interventi sulla catena migliorano i sintomi senza cambiare il carico (Bennell, PMID 20175973).</w:t>
      </w:r>
    </w:p>
    <w:p>
      <w:pPr>
        <w:pStyle w:val="BodyText"/>
      </w:pPr>
      <w:r>
        <w:rPr>
          <w:b/>
          <w:bCs/>
        </w:rPr>
        <w:t xml:space="preserve">In quanto tempo si vedrebbe.</w:t>
      </w:r>
      <w:r>
        <w:t xml:space="preserve"> </w:t>
      </w:r>
      <w:r>
        <w:t xml:space="preserve">Sull’escursione subito. Ma</w:t>
      </w:r>
      <w:r>
        <w:t xml:space="preserve"> </w:t>
      </w:r>
      <w:r>
        <w:rPr>
          <w:b/>
          <w:bCs/>
        </w:rPr>
        <w:t xml:space="preserve">un guadagno immediato non è allungamento di tessuto: è neurale</w:t>
      </w:r>
      <w:r>
        <w:t xml:space="preserve">, e sposta la soglia sensoriale a cui il movimento si ferma. Per questo l’escursione si rimisura</w:t>
      </w:r>
      <w:r>
        <w:t xml:space="preserve"> </w:t>
      </w:r>
      <w:r>
        <w:rPr>
          <w:b/>
          <w:bCs/>
        </w:rPr>
        <w:t xml:space="preserve">alla seduta dopo</w:t>
      </w:r>
      <w:r>
        <w:t xml:space="preserve">: un guadagno che lì non c’è più era un effetto di stato. Sul sintomo del cammino, entro due o tre settimane.</w:t>
      </w:r>
    </w:p>
    <w:bookmarkEnd w:id="66"/>
    <w:bookmarkStart w:id="67" w:name="X4ed0f112d25d31917459bcb1fefd4cf6fd0f3cc"/>
    <w:p>
      <w:pPr>
        <w:pStyle w:val="Heading3"/>
      </w:pPr>
      <w:r>
        <w:t xml:space="preserve">Sulla difesa che è diventata il problema —</w:t>
      </w:r>
      <w:r>
        <w:t xml:space="preserve"> </w:t>
      </w:r>
      <w:r>
        <w:rPr>
          <w:i/>
          <w:iCs/>
        </w:rPr>
        <w:t xml:space="preserve">comportamentale</w:t>
      </w:r>
    </w:p>
    <w:p>
      <w:pPr>
        <w:pStyle w:val="FirstParagraph"/>
      </w:pPr>
      <w:r>
        <w:rPr>
          <w:b/>
          <w:bCs/>
        </w:rPr>
        <w:t xml:space="preserve">Su cosa può agire una mano.</w:t>
      </w:r>
      <w:r>
        <w:t xml:space="preserve"> </w:t>
      </w:r>
      <w:r>
        <w:t xml:space="preserve">Su ciò che il paziente vive sul lettino: un movimento che credeva impossibile, e che avviene senza conseguenze.</w:t>
      </w:r>
      <w:r>
        <w:t xml:space="preserve"> </w:t>
      </w:r>
      <w:r>
        <w:t xml:space="preserve">&gt;</w:t>
      </w:r>
      <w:r>
        <w:t xml:space="preserve"> </w:t>
      </w: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il fatto che il contesto pesa sull’esito nell’artrosi (Zou, PMID 26882927). PROBABILE</w:t>
      </w:r>
      <w:r>
        <w:t xml:space="preserve"> </w:t>
      </w:r>
      <w:r>
        <w:rPr>
          <w:i/>
          <w:iCs/>
        </w:rPr>
        <w:t xml:space="preserve">(razionale forte, prove parziali)</w:t>
      </w:r>
      <w:r>
        <w:t xml:space="preserve"> </w:t>
      </w:r>
      <w:r>
        <w:t xml:space="preserve">per il fatto che l’esperienza in seduta cambi la credenza: le convinzioni sono documentate (Bunzli, PMID 31192807), l’effetto della singola esperienza no.</w:t>
      </w:r>
    </w:p>
    <w:p>
      <w:pPr>
        <w:pStyle w:val="BodyText"/>
      </w:pPr>
      <w:r>
        <w:rPr>
          <w:b/>
          <w:bCs/>
        </w:rPr>
        <w:t xml:space="preserve">In quanto tempo si vedrebbe.</w:t>
      </w:r>
      <w:r>
        <w:t xml:space="preserve"> </w:t>
      </w:r>
      <w:r>
        <w:t xml:space="preserve">Nella frase che il paziente dice alla seduta dopo, e nell’aderenza.</w:t>
      </w:r>
    </w:p>
    <w:bookmarkEnd w:id="67"/>
    <w:bookmarkStart w:id="68" w:name="Xfea1a408575a1c963f3ee27797238ba9d20d4dc"/>
    <w:p>
      <w:pPr>
        <w:pStyle w:val="Heading3"/>
      </w:pPr>
      <w:r>
        <w:t xml:space="preserve">Ciclo o finestra? La regola che riconcilia i due studi</w:t>
      </w:r>
    </w:p>
    <w:p>
      <w:pPr>
        <w:pStyle w:val="FirstParagraph"/>
      </w:pPr>
      <w:r>
        <w:t xml:space="preserve">È la decisione più concreta della prima seduta, e la risposta sta nel disegno dei due studi. In</w:t>
      </w:r>
      <w:r>
        <w:t xml:space="preserve"> </w:t>
      </w:r>
      <w:r>
        <w:rPr>
          <w:b/>
          <w:bCs/>
        </w:rPr>
        <w:t xml:space="preserve">Abbott 2013</w:t>
      </w:r>
      <w:r>
        <w:t xml:space="preserve"> </w:t>
      </w:r>
      <w:r>
        <w:t xml:space="preserve">la terapia manuale era aggiunta alla</w:t>
      </w:r>
      <w:r>
        <w:t xml:space="preserve"> </w:t>
      </w:r>
      <w:r>
        <w:rPr>
          <w:b/>
          <w:bCs/>
        </w:rPr>
        <w:t xml:space="preserve">cura abituale</w:t>
      </w:r>
      <w:r>
        <w:t xml:space="preserve">: il paziente non stava facendo esercizio, e lì la mano ha avuto un effetto misurato mantenuto a dodici mesi. In</w:t>
      </w:r>
      <w:r>
        <w:t xml:space="preserve"> </w:t>
      </w:r>
      <w:r>
        <w:rPr>
          <w:b/>
          <w:bCs/>
        </w:rPr>
        <w:t xml:space="preserve">Runge 2022</w:t>
      </w:r>
      <w:r>
        <w:t xml:space="preserve"> </w:t>
      </w:r>
      <w:r>
        <w:t xml:space="preserve">era aggiunta all’</w:t>
      </w:r>
      <w:r>
        <w:rPr>
          <w:b/>
          <w:bCs/>
        </w:rPr>
        <w:t xml:space="preserve">esercizio</w:t>
      </w:r>
      <w:r>
        <w:t xml:space="preserve">: lì, a lungo termine, non aggiunge nulla.</w:t>
      </w:r>
    </w:p>
    <w:p>
      <w:pPr>
        <w:pStyle w:val="BodyText"/>
      </w:pPr>
      <w:r>
        <w:rPr>
          <w:b/>
          <w:bCs/>
        </w:rPr>
        <w:t xml:space="preserve">Quindi: nel paziente che non si allena la mano è una leva, e apri un ciclo sul tuo reperto. Nel paziente che si sta già allenando la mano è un’apertura, e la usi per rendere l’esercizio tollerabile — non come mantenimento.</w:t>
      </w:r>
      <w:r>
        <w:t xml:space="preserve"> </w:t>
      </w:r>
      <w:r>
        <w:t xml:space="preserve">In nessuno dei due casi la presenti come somma: in quello studio i due effetti non si sono addizionati, come due sconti sullo stesso scontrino.</w:t>
      </w:r>
      <w:r>
        <w:t xml:space="preserve"> </w:t>
      </w:r>
      <w:r>
        <w:rPr>
          <w:i/>
          <w:iCs/>
        </w:rPr>
        <w:t xml:space="preserve">(RAGIONAMENTO — cornice clinica, non una prova — è una lettura dei due disegni, non un risultato pubblicato.)</w:t>
      </w:r>
    </w:p>
    <w:bookmarkEnd w:id="68"/>
    <w:bookmarkStart w:id="69" w:name="X313a9305afc17cefd332a43187892ca69ddea55"/>
    <w:p>
      <w:pPr>
        <w:pStyle w:val="Heading3"/>
      </w:pPr>
      <w:r>
        <w:t xml:space="preserve">Cosa fa l’osteopata che il resto del percorso non fa</w:t>
      </w:r>
    </w:p>
    <w:p>
      <w:pPr>
        <w:pStyle w:val="FirstParagraph"/>
      </w:pPr>
      <w:r>
        <w:t xml:space="preserve">Tre cose, e sono tutte sui meccanismi.</w:t>
      </w:r>
    </w:p>
    <w:p>
      <w:pPr>
        <w:pStyle w:val="Compact"/>
        <w:numPr>
          <w:ilvl w:val="0"/>
          <w:numId w:val="1025"/>
        </w:numPr>
      </w:pPr>
      <w:r>
        <w:rPr>
          <w:b/>
          <w:bCs/>
        </w:rPr>
        <w:t xml:space="preserve">Misura la variabile che decide, e che nessun referto contiene</w:t>
      </w:r>
      <w:r>
        <w:t xml:space="preserve"> </w:t>
      </w:r>
      <w:r>
        <w:t xml:space="preserve">— alzate, estensione, rotazione d’anca, minuto di cammino in cui compare il dolore. La diagnosi qui si fa clinicamente, e questi numeri non sono scritti in nessun documento che il paziente possiede.</w:t>
      </w:r>
    </w:p>
    <w:p>
      <w:pPr>
        <w:pStyle w:val="Compact"/>
        <w:numPr>
          <w:ilvl w:val="0"/>
          <w:numId w:val="1025"/>
        </w:numPr>
      </w:pPr>
      <w:r>
        <w:rPr>
          <w:b/>
          <w:bCs/>
        </w:rPr>
        <w:t xml:space="preserve">Rimuove l’ostacolo che decide se la leva migliore attecchisce</w:t>
      </w:r>
      <w:r>
        <w:t xml:space="preserve"> </w:t>
      </w:r>
      <w:r>
        <w:t xml:space="preserve">— l’estensione che manca, che il percorso medico non guarda. Vedi «Le strutture in gioco».</w:t>
      </w:r>
    </w:p>
    <w:p>
      <w:pPr>
        <w:pStyle w:val="Compact"/>
        <w:numPr>
          <w:ilvl w:val="0"/>
          <w:numId w:val="1025"/>
        </w:numPr>
      </w:pPr>
      <w:r>
        <w:rPr>
          <w:b/>
          <w:bCs/>
        </w:rPr>
        <w:t xml:space="preserve">Apre la finestra di tolleranza che rende eseguibile il carico</w:t>
      </w:r>
      <w:r>
        <w:t xml:space="preserve"> </w:t>
      </w:r>
      <w:r>
        <w:t xml:space="preserve">nel paziente sensibilizzato, in cui l’esercizio può inizialmente aumentare il dolore. Vedi «La lettura osteopatica», modello neurologico.</w:t>
      </w:r>
    </w:p>
    <w:p>
      <w:pPr>
        <w:pStyle w:val="FirstParagraph"/>
      </w:pPr>
      <w:r>
        <w:rPr>
          <w:b/>
          <w:bCs/>
        </w:rPr>
        <w:t xml:space="preserve">Il come si fa non è qui: sta nella Procedura dell’Artrosi — due pagine, tecniche, dosi e piano delle sedute.</w:t>
      </w:r>
    </w:p>
    <w:p>
      <w:pPr>
        <w:pStyle w:val="BodyText"/>
      </w:pPr>
      <w:r>
        <w:rPr>
          <w:b/>
          <w:bCs/>
        </w:rPr>
        <w:t xml:space="preserve">Le tre cose da ricordare, più una</w:t>
      </w:r>
    </w:p>
    <w:p>
      <w:pPr>
        <w:pStyle w:val="Compact"/>
        <w:numPr>
          <w:ilvl w:val="0"/>
          <w:numId w:val="1026"/>
        </w:numPr>
      </w:pPr>
      <w:r>
        <w:t xml:space="preserve">La mano cambia il costo dell’uso, non la struttura.</w:t>
      </w:r>
    </w:p>
    <w:p>
      <w:pPr>
        <w:pStyle w:val="Compact"/>
        <w:numPr>
          <w:ilvl w:val="0"/>
          <w:numId w:val="1026"/>
        </w:numPr>
      </w:pPr>
      <w:r>
        <w:t xml:space="preserve">Nel paziente che non si allena è una leva; in quello che già si allena è un’apertura. Non è mai una somma.</w:t>
      </w:r>
    </w:p>
    <w:p>
      <w:pPr>
        <w:pStyle w:val="Compact"/>
        <w:numPr>
          <w:ilvl w:val="0"/>
          <w:numId w:val="1026"/>
        </w:numPr>
      </w:pPr>
      <w:r>
        <w:t xml:space="preserve">Sul carico reale non hai prove: hai prove sul sintomo, e va detto così.</w:t>
      </w:r>
    </w:p>
    <w:p>
      <w:pPr>
        <w:pStyle w:val="Compact"/>
        <w:numPr>
          <w:ilvl w:val="0"/>
          <w:numId w:val="1026"/>
        </w:numPr>
      </w:pPr>
      <w:r>
        <w:rPr>
          <w:b/>
          <w:bCs/>
        </w:rPr>
        <w:t xml:space="preserve">Perché ci sei tu.</w:t>
      </w:r>
      <w:r>
        <w:t xml:space="preserve"> </w:t>
      </w:r>
      <w:r>
        <w:t xml:space="preserve">La fisioterapia manuale aggiunta alla cura abituale ha ridotto il WOMAC di 28,5 punti su 240 a dodici mesi, mentre la combinazione con l’esercizio non aggiungeva nulla (Abbott, PMID 23313532; i limiti in «Cosa dice la scienza»).</w:t>
      </w:r>
      <w:r>
        <w:t xml:space="preserve"> </w:t>
      </w:r>
      <w:r>
        <w:rPr>
          <w:b/>
          <w:bCs/>
        </w:rPr>
        <w:t xml:space="preserve">Per te:</w:t>
      </w:r>
      <w:r>
        <w:t xml:space="preserve"> </w:t>
      </w:r>
      <w:r>
        <w:t xml:space="preserve">contro la cura abituale la tua mano ha un effetto misurato e mantenuto a dodici mesi, quindi in quel paziente non la presenti come preparazione. Questo ti autorizza ad aprire un ciclo sul tuo reperto. Non ti autorizza a chiamarlo effetto</w:t>
      </w:r>
      <w:r>
        <w:t xml:space="preserve"> </w:t>
      </w:r>
      <w:r>
        <w:rPr>
          <w:i/>
          <w:iCs/>
        </w:rPr>
        <w:t xml:space="preserve">specifico</w:t>
      </w:r>
      <w:r>
        <w:t xml:space="preserve">: il confronto era con la cura abituale, non con un placebo, e su questa condizione tre quarti del miglioramento osservato nei trial non vengono dall’effetto specifico.</w:t>
      </w:r>
    </w:p>
    <w:p>
      <w:r>
        <w:pict>
          <v:rect style="width:0;height:1.5pt" o:hralign="center" o:hrstd="t" o:hr="t"/>
        </w:pict>
      </w:r>
    </w:p>
    <w:bookmarkEnd w:id="69"/>
    <w:bookmarkEnd w:id="70"/>
    <w:bookmarkStart w:id="75"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cosa che funziona meglio al mondo la fa lui, e tu sei quello che gliela rende possibile.</w:t>
      </w:r>
    </w:p>
    <w:bookmarkStart w:id="71" w:name="Xb1d001fac04c240e9a1f98164632d00888472e9"/>
    <w:p>
      <w:pPr>
        <w:pStyle w:val="Heading3"/>
      </w:pPr>
      <w:r>
        <w:t xml:space="preserve">Strumento 1 — L’esercizio terapeutico a carico progressivo</w:t>
      </w:r>
    </w:p>
    <w:p>
      <w:pPr>
        <w:pStyle w:val="FirstParagraph"/>
      </w:pPr>
      <w:r>
        <w:rPr>
          <w:b/>
          <w:bCs/>
        </w:rPr>
        <w:t xml:space="preserve">Cos’è.</w:t>
      </w:r>
      <w:r>
        <w:t xml:space="preserve"> </w:t>
      </w:r>
      <w:r>
        <w:t xml:space="preserve">Un programma di rinforzo o di attività aerobica, fatto con regolarità, che porta l’articolazione a sopportare più carico di oggi.</w:t>
      </w:r>
    </w:p>
    <w:p>
      <w:pPr>
        <w:pStyle w:val="BodyText"/>
      </w:pPr>
      <w:r>
        <w:rPr>
          <w:b/>
          <w:bCs/>
        </w:rPr>
        <w:t xml:space="preserve">Su quale meccanismo agisce.</w:t>
      </w:r>
      <w:r>
        <w:t xml:space="preserve"> </w:t>
      </w:r>
      <w:r>
        <w:t xml:space="preserve">Su «L’ammortizzatore che si scarica»: restituisce al muscolo la capacità di frenare il carico prima che arrivi all’osso.</w:t>
      </w:r>
    </w:p>
    <w:p>
      <w:pPr>
        <w:pStyle w:val="BodyText"/>
      </w:pPr>
      <w:r>
        <w:rPr>
          <w:b/>
          <w:bCs/>
        </w:rPr>
        <w:t xml:space="preserve">Cosa hanno misurato gli studi.</w:t>
      </w:r>
      <w:r>
        <w:t xml:space="preserve"> </w:t>
      </w:r>
      <w:r>
        <w:t xml:space="preserve">Nell’aggiornamento Cochrane su 139 studi e 12.468 partecipanti, l’esercizio ha ridotto il dolore del ginocchio di</w:t>
      </w:r>
      <w:r>
        <w:t xml:space="preserve"> </w:t>
      </w:r>
      <w:r>
        <w:rPr>
          <w:b/>
          <w:bCs/>
        </w:rPr>
        <w:t xml:space="preserve">8,70 punti su 100 rispetto a un controllo d’attenzione o placebo</w:t>
      </w:r>
      <w:r>
        <w:t xml:space="preserve"> </w:t>
      </w:r>
      <w:r>
        <w:t xml:space="preserve">(IC 5,70–11,70, certezza bassa). Rispetto a nessun trattamento la riduzione è di</w:t>
      </w:r>
      <w:r>
        <w:t xml:space="preserve"> </w:t>
      </w:r>
      <w:r>
        <w:rPr>
          <w:b/>
          <w:bCs/>
        </w:rPr>
        <w:t xml:space="preserve">13,14 punti</w:t>
      </w:r>
      <w:r>
        <w:t xml:space="preserve">, certezza bassa. La funzione è migliorata di 11,3 punti, certezza moderata. Gli autori adottano due differenze minime importanti: 12 punti per il dolore, 13 per la funzione. Confrontano i loro valori con quelle soglie, e concludono che</w:t>
      </w:r>
      <w:r>
        <w:t xml:space="preserve"> </w:t>
      </w:r>
      <w:r>
        <w:rPr>
          <w:b/>
          <w:bCs/>
        </w:rPr>
        <w:t xml:space="preserve">gli intervalli o non le raggiungono o comprendono sia un beneficio importante sia uno irrilevante</w:t>
      </w:r>
      <w:r>
        <w:t xml:space="preserve"> </w:t>
      </w:r>
      <w:r>
        <w:t xml:space="preserve">(Lawford,</w:t>
      </w:r>
      <w:r>
        <w:t xml:space="preserve"> </w:t>
      </w:r>
      <w:r>
        <w:rPr>
          <w:i/>
          <w:iCs/>
        </w:rPr>
        <w:t xml:space="preserve">Cochrane</w:t>
      </w:r>
      <w:r>
        <w:t xml:space="preserve"> </w:t>
      </w:r>
      <w:r>
        <w:t xml:space="preserve">2024, PMID 39625083).</w:t>
      </w:r>
    </w:p>
    <w:p>
      <w:pPr>
        <w:pStyle w:val="BodyText"/>
      </w:pPr>
      <w:r>
        <w:rPr>
          <w:b/>
          <w:bCs/>
        </w:rPr>
        <w:t xml:space="preserve">Sull’anca il dato è più debole.</w:t>
      </w:r>
      <w:r>
        <w:t xml:space="preserve"> </w:t>
      </w:r>
      <w:r>
        <w:t xml:space="preserve">Contro un controllo credibile: -6,31 punti, con intervallo che attraversa lo zero (-12,98 a 0,35), certezza bassa —</w:t>
      </w:r>
      <w:r>
        <w:t xml:space="preserve"> </w:t>
      </w:r>
      <w:r>
        <w:rPr>
          <w:i/>
          <w:iCs/>
        </w:rPr>
        <w:t xml:space="preserve">«può avere poco o nessun effetto sul dolore»</w:t>
      </w:r>
      <w:r>
        <w:t xml:space="preserve">. Contro nessun trattamento: -7,19, certezza moderata, giudicato</w:t>
      </w:r>
      <w:r>
        <w:t xml:space="preserve"> </w:t>
      </w:r>
      <w:r>
        <w:rPr>
          <w:i/>
          <w:iCs/>
        </w:rPr>
        <w:t xml:space="preserve">«improbabilmente rilevante sul piano clinico»</w:t>
      </w:r>
      <w:r>
        <w:t xml:space="preserve"> </w:t>
      </w:r>
      <w:r>
        <w:t xml:space="preserve">(Hall,</w:t>
      </w:r>
      <w:r>
        <w:t xml:space="preserve"> </w:t>
      </w:r>
      <w:r>
        <w:rPr>
          <w:i/>
          <w:iCs/>
        </w:rPr>
        <w:t xml:space="preserve">Cochrane</w:t>
      </w:r>
      <w:r>
        <w:t xml:space="preserve"> </w:t>
      </w:r>
      <w:r>
        <w:t xml:space="preserve">2026, PMID 42486497).</w:t>
      </w:r>
    </w:p>
    <w:p>
      <w:pPr>
        <w:pStyle w:val="BlockText"/>
      </w:pPr>
      <w:r>
        <w:rPr>
          <w:b/>
          <w:bCs/>
        </w:rPr>
        <w:t xml:space="preserve">Quanto è solido:</w:t>
      </w:r>
      <w:r>
        <w:t xml:space="preserve"> </w:t>
      </w:r>
      <w:r>
        <w:rPr>
          <w:b/>
          <w:bCs/>
        </w:rPr>
        <w:t xml:space="preserve">ginocchio</w:t>
      </w:r>
      <w:r>
        <w:t xml:space="preserve"> </w:t>
      </w:r>
      <w:r>
        <w:t xml:space="preserve">— DIMOSTRATO</w:t>
      </w:r>
      <w:r>
        <w:t xml:space="preserve"> </w:t>
      </w:r>
      <w:r>
        <w:rPr>
          <w:i/>
          <w:iCs/>
        </w:rPr>
        <w:t xml:space="preserve">(studi sull’uomo, solidi)</w:t>
      </w:r>
      <w:r>
        <w:t xml:space="preserve"> </w:t>
      </w:r>
      <w:r>
        <w:t xml:space="preserve">per la</w:t>
      </w:r>
      <w:r>
        <w:t xml:space="preserve"> </w:t>
      </w:r>
      <w:r>
        <w:rPr>
          <w:b/>
          <w:bCs/>
        </w:rPr>
        <w:t xml:space="preserve">funzione</w:t>
      </w:r>
      <w:r>
        <w:t xml:space="preserve"> </w:t>
      </w:r>
      <w:r>
        <w:t xml:space="preserve">e per la direzione dell’effetto; PROBABILE</w:t>
      </w:r>
      <w:r>
        <w:t xml:space="preserve"> </w:t>
      </w:r>
      <w:r>
        <w:rPr>
          <w:i/>
          <w:iCs/>
        </w:rPr>
        <w:t xml:space="preserve">(razionale forte, prove parziali)</w:t>
      </w:r>
      <w:r>
        <w:t xml:space="preserve"> </w:t>
      </w:r>
      <w:r>
        <w:t xml:space="preserve">per la</w:t>
      </w:r>
      <w:r>
        <w:t xml:space="preserve"> </w:t>
      </w:r>
      <w:r>
        <w:rPr>
          <w:b/>
          <w:bCs/>
        </w:rPr>
        <w:t xml:space="preserve">dimensione dell’effetto sul dolore</w:t>
      </w:r>
      <w:r>
        <w:t xml:space="preserve"> </w:t>
      </w:r>
      <w:r>
        <w:t xml:space="preserve">contro un controllo credibile.</w:t>
      </w:r>
      <w:r>
        <w:t xml:space="preserve"> </w:t>
      </w:r>
      <w:r>
        <w:rPr>
          <w:b/>
          <w:bCs/>
        </w:rPr>
        <w:t xml:space="preserve">Anca</w:t>
      </w:r>
      <w:r>
        <w:t xml:space="preserve"> </w:t>
      </w:r>
      <w:r>
        <w:t xml:space="preserve">— IPOTESI</w:t>
      </w:r>
      <w:r>
        <w:t xml:space="preserve"> </w:t>
      </w:r>
      <w:r>
        <w:rPr>
          <w:i/>
          <w:iCs/>
        </w:rPr>
        <w:t xml:space="preserve">(meccanismo coerente, nessuno studio)</w:t>
      </w:r>
      <w:r>
        <w:t xml:space="preserve"> </w:t>
      </w:r>
      <w:r>
        <w:t xml:space="preserve">contro placebo; PROBABILE</w:t>
      </w:r>
      <w:r>
        <w:t xml:space="preserve"> </w:t>
      </w:r>
      <w:r>
        <w:rPr>
          <w:i/>
          <w:iCs/>
        </w:rPr>
        <w:t xml:space="preserve">(razionale forte, prove parziali)</w:t>
      </w:r>
      <w:r>
        <w:t xml:space="preserve"> </w:t>
      </w:r>
      <w:r>
        <w:t xml:space="preserve">contro cura abituale.</w:t>
      </w:r>
    </w:p>
    <w:p>
      <w:pPr>
        <w:pStyle w:val="FirstParagraph"/>
      </w:pPr>
      <w:r>
        <w:rPr>
          <w:b/>
          <w:bCs/>
        </w:rPr>
        <w:t xml:space="preserve">Sulla dose.</w:t>
      </w:r>
      <w:r>
        <w:t xml:space="preserve"> </w:t>
      </w:r>
      <w:r>
        <w:t xml:space="preserve">Nell’aggiornamento 2024 non c’è associazione né con il tipo di esercizio né con il numero di sedute prescritte. La meta-regressione precedente indicava il contrario, ma confrontava sottogruppi non randomizzati (Juhl, PMID 24574223): è un indizio, non una regola.</w:t>
      </w:r>
    </w:p>
    <w:p>
      <w:pPr>
        <w:pStyle w:val="BodyText"/>
      </w:pPr>
      <w:r>
        <w:rPr>
          <w:b/>
          <w:bCs/>
        </w:rPr>
        <w:t xml:space="preserve">Chi ne guadagna di più.</w:t>
      </w:r>
      <w:r>
        <w:t xml:space="preserve"> </w:t>
      </w:r>
      <w:r>
        <w:t xml:space="preserve">Chi arriva con dolore e funzione</w:t>
      </w:r>
      <w:r>
        <w:t xml:space="preserve"> </w:t>
      </w:r>
      <w:r>
        <w:rPr>
          <w:b/>
          <w:bCs/>
        </w:rPr>
        <w:t xml:space="preserve">peggiori</w:t>
      </w:r>
      <w:r>
        <w:t xml:space="preserve">, e chi ha sintomi da meno di un anno (Holden, PMID 38251550; van Middelkoop, PMID 39032625; vedi «Cosa dice la scienza»).</w:t>
      </w:r>
    </w:p>
    <w:p>
      <w:pPr>
        <w:pStyle w:val="BodyText"/>
      </w:pPr>
      <w:r>
        <w:rPr>
          <w:b/>
          <w:bCs/>
        </w:rPr>
        <w:t xml:space="preserve">Cosa non fa.</w:t>
      </w:r>
      <w:r>
        <w:t xml:space="preserve"> </w:t>
      </w:r>
      <w:r>
        <w:t xml:space="preserve">Non ricostruisce cartilagine e non arresta la progressione radiografica.</w:t>
      </w:r>
    </w:p>
    <w:p>
      <w:pPr>
        <w:pStyle w:val="BodyText"/>
      </w:pPr>
      <w:r>
        <w:rPr>
          <w:b/>
          <w:bCs/>
        </w:rPr>
        <w:t xml:space="preserve">Non è indolore:</w:t>
      </w:r>
      <w:r>
        <w:t xml:space="preserve"> </w:t>
      </w:r>
      <w:r>
        <w:t xml:space="preserve">l’aumento transitorio del dolore è l’evento avverso tipico e atteso. Nell’aggiornamento Cochrane gli eventi avversi risultano più frequenti che senza esercizio (RR 3,17; IC 1,17–8,57, certezza bassa), e non ne sono stati segnalati di gravi.</w:t>
      </w:r>
    </w:p>
    <w:p>
      <w:pPr>
        <w:pStyle w:val="BodyText"/>
      </w:pPr>
      <w:r>
        <w:rPr>
          <w:b/>
          <w:bCs/>
        </w:rPr>
        <w:t xml:space="preserve">E non tiene se si smette.</w:t>
      </w:r>
      <w:r>
        <w:t xml:space="preserve"> </w:t>
      </w:r>
      <w:r>
        <w:t xml:space="preserve">Nella revisione precedente l’effetto residuo a due-sei mesi dalla fine scendeva da 12 punti a 6 sul dolore, e da 10 a 3 sulla funzione (Fransen,</w:t>
      </w:r>
      <w:r>
        <w:t xml:space="preserve"> </w:t>
      </w:r>
      <w:r>
        <w:rPr>
          <w:i/>
          <w:iCs/>
        </w:rPr>
        <w:t xml:space="preserve">Cochrane</w:t>
      </w:r>
      <w:r>
        <w:t xml:space="preserve"> </w:t>
      </w:r>
      <w:r>
        <w:t xml:space="preserve">2015, PMID 25569281).</w:t>
      </w:r>
      <w:r>
        <w:t xml:space="preserve"> </w:t>
      </w:r>
      <w:r>
        <w:rPr>
          <w:b/>
          <w:bCs/>
        </w:rPr>
        <w:t xml:space="preserve">È la conoscenza che spiega le ricadute:</w:t>
      </w:r>
      <w:r>
        <w:t xml:space="preserve"> </w:t>
      </w:r>
      <w:r>
        <w:t xml:space="preserve">chi</w:t>
      </w:r>
      <w:r>
        <w:t xml:space="preserve"> </w:t>
      </w:r>
      <w:r>
        <w:t xml:space="preserve">“era migliorato e poi è tornato indietro”</w:t>
      </w:r>
      <w:r>
        <w:t xml:space="preserve"> </w:t>
      </w:r>
      <w:r>
        <w:t xml:space="preserve">non ha perso un risultato terapeutico, ha smesso un allenamento.</w:t>
      </w:r>
    </w:p>
    <w:p>
      <w:pPr>
        <w:pStyle w:val="BodyText"/>
      </w:pPr>
      <w:r>
        <w:rPr>
          <w:b/>
          <w:bCs/>
        </w:rPr>
        <w:t xml:space="preserve">E non si applica in fase irritabile:</w:t>
      </w:r>
      <w:r>
        <w:t xml:space="preserve"> </w:t>
      </w:r>
      <w:r>
        <w:t xml:space="preserve">lì il carico progressivo peggiora, e il paziente lo legge come conferma che muoversi consuma. Vedi «Cosa si rompe», lo stato irritabile.</w:t>
      </w:r>
    </w:p>
    <w:p>
      <w:pPr>
        <w:pStyle w:val="BodyText"/>
      </w:pPr>
      <w:r>
        <w:rPr>
          <w:b/>
          <w:bCs/>
        </w:rPr>
        <w:t xml:space="preserve">Cosa lo tiene in piedi, e cosa no.</w:t>
      </w:r>
      <w:r>
        <w:t xml:space="preserve"> </w:t>
      </w:r>
      <w:r>
        <w:t xml:space="preserve">Su nove studi e 1.045 partecipanti, le strategie che aumentano davvero l’aderenza all’esercizio sono due: le</w:t>
      </w:r>
      <w:r>
        <w:t xml:space="preserve"> </w:t>
      </w:r>
      <w:r>
        <w:rPr>
          <w:b/>
          <w:bCs/>
        </w:rPr>
        <w:t xml:space="preserve">sedute di richiamo</w:t>
      </w:r>
      <w:r>
        <w:t xml:space="preserve"> </w:t>
      </w:r>
      <w:r>
        <w:t xml:space="preserve">con il terapista — effetto da piccolo a medio, prove di qualità moderata — e l’</w:t>
      </w:r>
      <w:r>
        <w:rPr>
          <w:b/>
          <w:bCs/>
        </w:rPr>
        <w:t xml:space="preserve">esercizio graduato per obiettivi</w:t>
      </w:r>
      <w:r>
        <w:t xml:space="preserve">. Il counselling comportamentale, i piani d’azione scritti e i promemoria audio o video</w:t>
      </w:r>
      <w:r>
        <w:t xml:space="preserve"> </w:t>
      </w:r>
      <w:r>
        <w:rPr>
          <w:b/>
          <w:bCs/>
        </w:rPr>
        <w:t xml:space="preserve">non</w:t>
      </w:r>
      <w:r>
        <w:t xml:space="preserve"> </w:t>
      </w:r>
      <w:r>
        <w:t xml:space="preserve">l’hanno aumentata (Nicolson,</w:t>
      </w:r>
      <w:r>
        <w:t xml:space="preserve"> </w:t>
      </w:r>
      <w:r>
        <w:rPr>
          <w:i/>
          <w:iCs/>
        </w:rPr>
        <w:t xml:space="preserve">Br J Sports Med</w:t>
      </w:r>
      <w:r>
        <w:t xml:space="preserve"> </w:t>
      </w:r>
      <w:r>
        <w:t xml:space="preserve">2017, PMID 28087567).</w:t>
      </w:r>
      <w:r>
        <w:t xml:space="preserve"> </w:t>
      </w:r>
      <w:r>
        <w:rPr>
          <w:b/>
          <w:bCs/>
        </w:rPr>
        <w:t xml:space="preserve">Misurato sull’aderenza all’esercizio, non sul dolore: dice che il paziente continua a farlo, non che sta meglio perché tu lo richiami.</w:t>
      </w:r>
      <w:r>
        <w:t xml:space="preserve"> </w:t>
      </w:r>
      <w:r>
        <w:rPr>
          <w:i/>
          <w:iCs/>
        </w:rPr>
        <w:t xml:space="preserve">(PROBABILE — razionale forte, prove parziali — qualità moderata dichiarata dagli autori, e sull’aderenza, non sull’esito clinico.)</w:t>
      </w:r>
    </w:p>
    <w:p>
      <w:pPr>
        <w:pStyle w:val="BodyText"/>
      </w:pPr>
      <w:r>
        <w:rPr>
          <w:b/>
          <w:bCs/>
        </w:rPr>
        <w:t xml:space="preserve">Un avvertimento che viene dal modello neurologico.</w:t>
      </w:r>
      <w:r>
        <w:t xml:space="preserve"> </w:t>
      </w:r>
      <w:r>
        <w:t xml:space="preserve">Nel paziente con la soglia consumata l’esercizio può inizialmente aumentare il dolore invece di ridurlo. In questi pazienti l’ipoalgesia da esercizio è assente anche in laboratorio (Fingleton, PMID 27518487; Bossenger, PMID 36711216 — 14 artrosici, differenza fra gruppi, non effetto di un trattamento). Serve saperlo, altrimenti leggi come danno una reazione prevedibile.</w:t>
      </w:r>
    </w:p>
    <w:p>
      <w:pPr>
        <w:pStyle w:val="BodyText"/>
      </w:pPr>
      <w:r>
        <w:t xml:space="preserve">Per rispondere alla paura più comune: in nove studi controllati con risonanza, l’esercizio con carico sul ginocchio non ha peggiorato la cartilagine, con qualità delle prove dichiarata bassa dagli autori (Bricca,</w:t>
      </w:r>
      <w:r>
        <w:t xml:space="preserve"> </w:t>
      </w:r>
      <w:r>
        <w:rPr>
          <w:i/>
          <w:iCs/>
        </w:rPr>
        <w:t xml:space="preserve">Br J Sports Med</w:t>
      </w:r>
      <w:r>
        <w:t xml:space="preserve"> </w:t>
      </w:r>
      <w:r>
        <w:t xml:space="preserve">2019, PMID 29934429).</w:t>
      </w:r>
    </w:p>
    <w:bookmarkEnd w:id="71"/>
    <w:bookmarkStart w:id="72" w:name="Xddc0d2f7c7ccd7910b21ba2737b321113179fff"/>
    <w:p>
      <w:pPr>
        <w:pStyle w:val="Heading3"/>
      </w:pPr>
      <w:r>
        <w:t xml:space="preserve">Strumento 2 — L’educazione che cambia il significato dell’immagine</w:t>
      </w:r>
    </w:p>
    <w:p>
      <w:pPr>
        <w:pStyle w:val="FirstParagraph"/>
      </w:pPr>
      <w:r>
        <w:rPr>
          <w:b/>
          <w:bCs/>
        </w:rPr>
        <w:t xml:space="preserve">Cos’è.</w:t>
      </w:r>
      <w:r>
        <w:t xml:space="preserve"> </w:t>
      </w:r>
      <w:r>
        <w:t xml:space="preserve">Spiegare da dove viene il dolore, cosa dice e cosa non dice la radiografia, e cosa succede quando si carica.</w:t>
      </w:r>
    </w:p>
    <w:p>
      <w:pPr>
        <w:pStyle w:val="BodyText"/>
      </w:pPr>
      <w:r>
        <w:rPr>
          <w:b/>
          <w:bCs/>
        </w:rPr>
        <w:t xml:space="preserve">Su quale meccanismo agisce.</w:t>
      </w:r>
      <w:r>
        <w:t xml:space="preserve"> </w:t>
      </w:r>
      <w:r>
        <w:t xml:space="preserve">Su «La difesa che diventa il problema», e indirettamente su tutti gli altri: decide se il paziente farà o no lo Strumento 1.</w:t>
      </w:r>
    </w:p>
    <w:p>
      <w:pPr>
        <w:pStyle w:val="BodyText"/>
      </w:pPr>
      <w:r>
        <w:rPr>
          <w:b/>
          <w:bCs/>
        </w:rPr>
        <w:t xml:space="preserve">Cosa hanno misurato gli studi.</w:t>
      </w:r>
      <w:r>
        <w:t xml:space="preserve"> </w:t>
      </w:r>
      <w:r>
        <w:t xml:space="preserve">Il programma danese che unisce educazione ed esercizio neuromuscolare supervisionato ha raccolto i dati di 9.825 partecipanti con artrosi di ginocchio o anca. Il dolore è migliorato di 12,4 punti a tre mesi e 13,7 a dodici mesi, su scala 0-100. E dopo il trattamento meno pazienti assumevano antidolorifici (Skou &amp; Roos,</w:t>
      </w:r>
      <w:r>
        <w:t xml:space="preserve"> </w:t>
      </w:r>
      <w:r>
        <w:rPr>
          <w:i/>
          <w:iCs/>
        </w:rPr>
        <w:t xml:space="preserve">BMC Musculoskelet Disord</w:t>
      </w:r>
      <w:r>
        <w:t xml:space="preserve"> </w:t>
      </w:r>
      <w:r>
        <w:t xml:space="preserve">2017, PMID 28173795). È un registro nazionale, senza gruppo di confronto.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e l’etichetta poggia sull’aggancio al meccanismo e sul registro,</w:t>
      </w:r>
      <w:r>
        <w:t xml:space="preserve"> </w:t>
      </w:r>
      <w:r>
        <w:rPr>
          <w:b/>
          <w:bCs/>
        </w:rPr>
        <w:t xml:space="preserve">non</w:t>
      </w:r>
      <w:r>
        <w:t xml:space="preserve"> </w:t>
      </w:r>
      <w:r>
        <w:t xml:space="preserve">sull’assenza di prove contrarie. Il dato sulle credenze che ostacolano l’esercizio è invece DIMOSTRATO</w:t>
      </w:r>
      <w:r>
        <w:t xml:space="preserve"> </w:t>
      </w:r>
      <w:r>
        <w:rPr>
          <w:i/>
          <w:iCs/>
        </w:rPr>
        <w:t xml:space="preserve">(studi sull’uomo, solidi)</w:t>
      </w:r>
      <w:r>
        <w:t xml:space="preserve"> </w:t>
      </w:r>
      <w:r>
        <w:t xml:space="preserve">(Bunzli, PMID 31192807).</w:t>
      </w:r>
    </w:p>
    <w:p>
      <w:pPr>
        <w:pStyle w:val="FirstParagraph"/>
      </w:pPr>
      <w:r>
        <w:rPr>
          <w:b/>
          <w:bCs/>
        </w:rPr>
        <w:t xml:space="preserve">Cosa non fa.</w:t>
      </w:r>
      <w:r>
        <w:t xml:space="preserve"> </w:t>
      </w:r>
      <w:r>
        <w:t xml:space="preserve">Non riduce il dolore da sola, e questo è misurato. Nella revisione Cochrane su 29 studi e 6.753 partecipanti, i programmi educativi di autogestione sono stati valutati isolatamente contro un controllo d’attenzione. A dodici mesi non hanno dato benefici su autogestione, funzione e qualità di vita. Sul dolore hanno prodotto una riduzione piccola e clinicamente non importante (SMD -0,26; IC -0,44 a -0,09; 4 studi, 575 persone) (Kroon,</w:t>
      </w:r>
      <w:r>
        <w:t xml:space="preserve"> </w:t>
      </w:r>
      <w:r>
        <w:rPr>
          <w:i/>
          <w:iCs/>
        </w:rPr>
        <w:t xml:space="preserve">Cochrane</w:t>
      </w:r>
      <w:r>
        <w:t xml:space="preserve"> </w:t>
      </w:r>
      <w:r>
        <w:t xml:space="preserve">2014, PMID 24425500).</w:t>
      </w:r>
      <w:r>
        <w:t xml:space="preserve"> </w:t>
      </w:r>
      <w:r>
        <w:rPr>
          <w:b/>
          <w:bCs/>
        </w:rPr>
        <w:t xml:space="preserve">L’educazione qui non è una leva sul dolore: è la condizione perché il paziente faccia lo Strumento 1.</w:t>
      </w:r>
      <w:r>
        <w:t xml:space="preserve"> </w:t>
      </w:r>
      <w:r>
        <w:t xml:space="preserve">E non regge se il paziente esce con una spiegazione nuova e nessun programma da fare. È il fuoco sotto la pentola: senza, non bolle niente; da solo, non è la cena.</w:t>
      </w:r>
    </w:p>
    <w:bookmarkEnd w:id="72"/>
    <w:bookmarkStart w:id="73" w:name="X1cd05e9d91d2bd31aaa9a2b3afce4c1372f5194"/>
    <w:p>
      <w:pPr>
        <w:pStyle w:val="Heading3"/>
      </w:pPr>
      <w:r>
        <w:t xml:space="preserve">Strumento 3 — Il peso, che si nomina e si rinvia</w:t>
      </w:r>
    </w:p>
    <w:p>
      <w:pPr>
        <w:pStyle w:val="FirstParagraph"/>
      </w:pPr>
      <w:r>
        <w:rPr>
          <w:b/>
          <w:bCs/>
        </w:rPr>
        <w:t xml:space="preserve">Cos’è.</w:t>
      </w:r>
      <w:r>
        <w:t xml:space="preserve"> </w:t>
      </w:r>
      <w:r>
        <w:t xml:space="preserve">La riduzione della massa corporea nei pazienti con indice di massa corporea elevato.</w:t>
      </w:r>
    </w:p>
    <w:p>
      <w:pPr>
        <w:pStyle w:val="BodyText"/>
      </w:pPr>
      <w:r>
        <w:rPr>
          <w:b/>
          <w:bCs/>
        </w:rPr>
        <w:t xml:space="preserve">Su quale meccanismo agisce.</w:t>
      </w:r>
      <w:r>
        <w:t xml:space="preserve"> </w:t>
      </w:r>
      <w:r>
        <w:t xml:space="preserve">Su «Il carico che si concentra sempre nello stesso punto».</w:t>
      </w:r>
    </w:p>
    <w:p>
      <w:pPr>
        <w:pStyle w:val="BodyText"/>
      </w:pPr>
      <w:r>
        <w:rPr>
          <w:b/>
          <w:bCs/>
        </w:rPr>
        <w:t xml:space="preserve">Cosa hanno misurato gli studi.</w:t>
      </w:r>
      <w:r>
        <w:t xml:space="preserve"> </w:t>
      </w:r>
      <w:r>
        <w:t xml:space="preserve">In 454 adulti sovrappeso con artrosi di ginocchio, seguiti diciotto mesi, il gruppo con dieta ed esercizio ha perso in media 10,6 kg. Ha avuto meno dolore e migliore funzione della sola dieta e del solo esercizio (Messier,</w:t>
      </w:r>
      <w:r>
        <w:t xml:space="preserve"> </w:t>
      </w:r>
      <w:r>
        <w:rPr>
          <w:i/>
          <w:iCs/>
        </w:rPr>
        <w:t xml:space="preserve">JAMA</w:t>
      </w:r>
      <w:r>
        <w:t xml:space="preserve"> </w:t>
      </w:r>
      <w:r>
        <w:t xml:space="preserve">2013, PMID 24065013).</w:t>
      </w:r>
      <w:r>
        <w:t xml:space="preserve"> </w:t>
      </w:r>
      <w:r>
        <w:rPr>
          <w:b/>
          <w:bCs/>
        </w:rPr>
        <w:t xml:space="preserve">Da leggere sapendo due cose.</w:t>
      </w:r>
      <w:r>
        <w:t xml:space="preserve"> </w:t>
      </w:r>
      <w:r>
        <w:t xml:space="preserve">Gli esiti primari erano meccanicistici — forza compressiva del ginocchio e IL-6 — e dolore e funzione erano secondari. E la differenza di dolore rispetto alla sola dieta era di 1,2 punti su scala WOMAC 0-20.</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perdita di peso ottenuta e per l’effetto biomeccanico misurato (Messier 2005, PMID 15986358). PROBABILE</w:t>
      </w:r>
      <w:r>
        <w:t xml:space="preserve"> </w:t>
      </w:r>
      <w:r>
        <w:rPr>
          <w:i/>
          <w:iCs/>
        </w:rPr>
        <w:t xml:space="preserve">(razionale forte, prove parziali)</w:t>
      </w:r>
      <w:r>
        <w:t xml:space="preserve"> </w:t>
      </w:r>
      <w:r>
        <w:t xml:space="preserve">per la dimensione del beneficio clinico aggiunto dalla sola dieta.</w:t>
      </w:r>
    </w:p>
    <w:p>
      <w:pPr>
        <w:pStyle w:val="FirstParagraph"/>
      </w:pPr>
      <w:r>
        <w:rPr>
          <w:b/>
          <w:bCs/>
        </w:rPr>
        <w:t xml:space="preserve">Cosa non fa.</w:t>
      </w:r>
      <w:r>
        <w:t xml:space="preserve"> </w:t>
      </w:r>
      <w:r>
        <w:t xml:space="preserve">Non è un atto osteopatico.</w:t>
      </w:r>
      <w:r>
        <w:t xml:space="preserve"> </w:t>
      </w:r>
      <w:r>
        <w:rPr>
          <w:b/>
          <w:bCs/>
        </w:rPr>
        <w:t xml:space="preserve">Lo nomini come fattore meccanico, con il numero, e rinvii a medico o dietista.</w:t>
      </w:r>
      <w:r>
        <w:t xml:space="preserve"> </w:t>
      </w:r>
      <w:r>
        <w:t xml:space="preserve">Ogni indicazione alimentare esce dal tuo perimetro.</w:t>
      </w:r>
    </w:p>
    <w:bookmarkEnd w:id="73"/>
    <w:bookmarkStart w:id="74" w:name="Xfdc019962f074544ca7a6355fc5bf529ca6e203"/>
    <w:p>
      <w:pPr>
        <w:pStyle w:val="Heading3"/>
      </w:pPr>
      <w:r>
        <w:t xml:space="preserve">Strumento 4 — Il sonno, che si riconosce e si rinvia</w:t>
      </w:r>
    </w:p>
    <w:p>
      <w:pPr>
        <w:pStyle w:val="FirstParagraph"/>
      </w:pPr>
      <w:r>
        <w:rPr>
          <w:b/>
          <w:bCs/>
        </w:rPr>
        <w:t xml:space="preserve">Cos’è.</w:t>
      </w:r>
      <w:r>
        <w:t xml:space="preserve"> </w:t>
      </w:r>
      <w:r>
        <w:t xml:space="preserve">Il trattamento dell’insonnia vera, non delle notti disturbate dal dolore.</w:t>
      </w:r>
    </w:p>
    <w:p>
      <w:pPr>
        <w:pStyle w:val="BodyText"/>
      </w:pPr>
      <w:r>
        <w:rPr>
          <w:b/>
          <w:bCs/>
        </w:rPr>
        <w:t xml:space="preserve">Su quale meccanismo agisce.</w:t>
      </w:r>
      <w:r>
        <w:t xml:space="preserve"> </w:t>
      </w:r>
      <w:r>
        <w:t xml:space="preserve">Su «La soglia che si consuma»: il sonno rotto è uno dei quattro criteri d’ingresso del sottotipo «dolore sproporzionato».</w:t>
      </w:r>
    </w:p>
    <w:p>
      <w:pPr>
        <w:pStyle w:val="BodyText"/>
      </w:pPr>
      <w:r>
        <w:rPr>
          <w:b/>
          <w:bCs/>
        </w:rPr>
        <w:t xml:space="preserve">Cosa hanno misurato gli studi.</w:t>
      </w:r>
      <w:r>
        <w:t xml:space="preserve"> </w:t>
      </w:r>
      <w:r>
        <w:t xml:space="preserve">Sono stati randomizzati in doppio cieco 100 pazienti con artrosi di ginocchio e insonnia, contro un</w:t>
      </w:r>
      <w:r>
        <w:t xml:space="preserve"> </w:t>
      </w:r>
      <w:r>
        <w:rPr>
          <w:b/>
          <w:bCs/>
        </w:rPr>
        <w:t xml:space="preserve">placebo attivo</w:t>
      </w:r>
      <w:r>
        <w:t xml:space="preserve">. Otto sedute di terapia cognitivo-comportamentale per l’insonnia hanno ridotto i risvegli notturni più del placebo. E la riduzione dei risvegli</w:t>
      </w:r>
      <w:r>
        <w:t xml:space="preserve"> </w:t>
      </w:r>
      <w:r>
        <w:rPr>
          <w:b/>
          <w:bCs/>
        </w:rPr>
        <w:t xml:space="preserve">prediceva</w:t>
      </w:r>
      <w:r>
        <w:t xml:space="preserve"> </w:t>
      </w:r>
      <w:r>
        <w:t xml:space="preserve">la riduzione successiva del dolore (Smith,</w:t>
      </w:r>
      <w:r>
        <w:t xml:space="preserve"> </w:t>
      </w:r>
      <w:r>
        <w:rPr>
          <w:i/>
          <w:iCs/>
        </w:rPr>
        <w:t xml:space="preserve">Arthritis Rheumatol</w:t>
      </w:r>
      <w:r>
        <w:t xml:space="preserve"> </w:t>
      </w:r>
      <w:r>
        <w:t xml:space="preserve">2015, PMID 25623343).</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l’efficacia sull’insonnia. PROBABILE</w:t>
      </w:r>
      <w:r>
        <w:t xml:space="preserve"> </w:t>
      </w:r>
      <w:r>
        <w:rPr>
          <w:i/>
          <w:iCs/>
        </w:rPr>
        <w:t xml:space="preserve">(razionale forte, prove parziali)</w:t>
      </w:r>
      <w:r>
        <w:t xml:space="preserve"> </w:t>
      </w:r>
      <w:r>
        <w:t xml:space="preserve">per la relazione risvegli → dolore. IPOTESI</w:t>
      </w:r>
      <w:r>
        <w:t xml:space="preserve"> </w:t>
      </w:r>
      <w:r>
        <w:rPr>
          <w:i/>
          <w:iCs/>
        </w:rPr>
        <w:t xml:space="preserve">(meccanismo coerente, nessuno studio)</w:t>
      </w:r>
      <w:r>
        <w:t xml:space="preserve"> </w:t>
      </w:r>
      <w:r>
        <w:t xml:space="preserve">per il sonno come via del beneficio.</w:t>
      </w:r>
    </w:p>
    <w:p>
      <w:pPr>
        <w:pStyle w:val="FirstParagraph"/>
      </w:pPr>
      <w:r>
        <w:rPr>
          <w:b/>
          <w:bCs/>
        </w:rPr>
        <w:t xml:space="preserve">Cosa non fa.</w:t>
      </w:r>
      <w:r>
        <w:t xml:space="preserve"> </w:t>
      </w:r>
      <w:r>
        <w:rPr>
          <w:b/>
          <w:bCs/>
        </w:rPr>
        <w:t xml:space="preserve">Il confronto diretto con il placebo attivo non ha mostrato un vantaggio sul dolore:</w:t>
      </w:r>
      <w:r>
        <w:t xml:space="preserve"> </w:t>
      </w:r>
      <w:r>
        <w:t xml:space="preserve">è calato uguale nei due gruppi, e le misure di laboratorio della modulazione del dolore non si sono mosse. Quello che regge è il legame fra risvegli e dolore successivo, non l’effetto sul dolore in sé.</w:t>
      </w:r>
      <w:r>
        <w:t xml:space="preserve"> </w:t>
      </w:r>
      <w:r>
        <w:rPr>
          <w:b/>
          <w:bCs/>
        </w:rPr>
        <w:t xml:space="preserve">Non è un intervento tuo e non passa dalle mani: si riconosce e si rinvia, come il peso.</w:t>
      </w:r>
    </w:p>
    <w:p>
      <w:pPr>
        <w:pStyle w:val="BodyText"/>
      </w:pPr>
      <w:r>
        <w:rPr>
          <w:i/>
          <w:iCs/>
        </w:rPr>
        <w:t xml:space="preserve">Per tutti e quattro gli strumenti: come e quando consegnarli al tuo paziente sta nella Procedura.</w:t>
      </w:r>
    </w:p>
    <w:p>
      <w:pPr>
        <w:pStyle w:val="BodyText"/>
      </w:pPr>
      <w:r>
        <w:rPr>
          <w:b/>
          <w:bCs/>
        </w:rPr>
        <w:t xml:space="preserve">Le tre cose da ricordare, più una</w:t>
      </w:r>
    </w:p>
    <w:p>
      <w:pPr>
        <w:pStyle w:val="Compact"/>
        <w:numPr>
          <w:ilvl w:val="0"/>
          <w:numId w:val="1027"/>
        </w:numPr>
      </w:pPr>
      <w:r>
        <w:t xml:space="preserve">La leva migliore su questa condizione è un esercizio, non una tecnica — e sull’anca rende molto meno che sul ginocchio.</w:t>
      </w:r>
    </w:p>
    <w:p>
      <w:pPr>
        <w:pStyle w:val="Compact"/>
        <w:numPr>
          <w:ilvl w:val="0"/>
          <w:numId w:val="1027"/>
        </w:numPr>
      </w:pPr>
      <w:r>
        <w:t xml:space="preserve">L’effetto scende quando il paziente smette: è un allenamento, non una cura, e negli studi l’aderenza l’hanno tenuta in piedi solo il richiamo e l’esercizio graduato per obiettivi.</w:t>
      </w:r>
    </w:p>
    <w:p>
      <w:pPr>
        <w:pStyle w:val="Compact"/>
        <w:numPr>
          <w:ilvl w:val="0"/>
          <w:numId w:val="1027"/>
        </w:numPr>
      </w:pPr>
      <w:r>
        <w:t xml:space="preserve">L’educazione da sola non riduce il dolore: serve perché l’esercizio venga fatto.</w:t>
      </w:r>
    </w:p>
    <w:p>
      <w:pPr>
        <w:pStyle w:val="Compact"/>
        <w:numPr>
          <w:ilvl w:val="0"/>
          <w:numId w:val="1027"/>
        </w:numPr>
      </w:pPr>
      <w:r>
        <w:rPr>
          <w:b/>
          <w:bCs/>
        </w:rPr>
        <w:t xml:space="preserve">Perché ci sei tu.</w:t>
      </w:r>
      <w:r>
        <w:t xml:space="preserve"> </w:t>
      </w:r>
      <w:r>
        <w:t xml:space="preserve">Nel registro danese, 9.825 pazienti hanno migliorato il dolore di 13,7 punti su 100 a dodici mesi, dopo educazione ed esercizio supervisionato (Skou &amp; Roos, PMID 28173795). Non c’è gruppo di controllo: il numero descrive un percorso, non isola un effetto.</w:t>
      </w:r>
      <w:r>
        <w:t xml:space="preserve"> </w:t>
      </w:r>
      <w:r>
        <w:rPr>
          <w:b/>
          <w:bCs/>
        </w:rPr>
        <w:t xml:space="preserve">Per te:</w:t>
      </w:r>
      <w:r>
        <w:t xml:space="preserve"> </w:t>
      </w:r>
      <w:r>
        <w:t xml:space="preserve">educazione e supervisione sono due cose che fai già in stanza. Non ti autorizza a promettere quei numeri.</w:t>
      </w:r>
    </w:p>
    <w:p>
      <w:r>
        <w:pict>
          <v:rect style="width:0;height:1.5pt" o:hralign="center" o:hrstd="t" o:hr="t"/>
        </w:pict>
      </w:r>
    </w:p>
    <w:bookmarkEnd w:id="74"/>
    <w:bookmarkEnd w:id="75"/>
    <w:bookmarkStart w:id="80" w:name="capitolo-13-cosa-dire-al-paziente"/>
    <w:p>
      <w:pPr>
        <w:pStyle w:val="Heading2"/>
      </w:pPr>
      <w:r>
        <w:t xml:space="preserve">Capitolo 13 — Cosa dire al paziente</w:t>
      </w:r>
    </w:p>
    <w:p>
      <w:pPr>
        <w:pStyle w:val="BlockText"/>
      </w:pPr>
      <w:r>
        <w:rPr>
          <w:b/>
          <w:bCs/>
        </w:rPr>
        <w:t xml:space="preserve">In una riga:</w:t>
      </w:r>
      <w:r>
        <w:t xml:space="preserve"> </w:t>
      </w:r>
      <w:r>
        <w:t xml:space="preserve">devi cambiare il significato di una parola, e la parola è</w:t>
      </w:r>
      <w:r>
        <w:t xml:space="preserve"> </w:t>
      </w:r>
      <w:r>
        <w:t xml:space="preserve">“consumato”</w:t>
      </w:r>
      <w:r>
        <w:t xml:space="preserve">.</w:t>
      </w:r>
    </w:p>
    <w:bookmarkStart w:id="76" w:name="lo-script"/>
    <w:p>
      <w:pPr>
        <w:pStyle w:val="Heading3"/>
      </w:pPr>
      <w:r>
        <w:t xml:space="preserve">Lo script</w:t>
      </w:r>
    </w:p>
    <w:p>
      <w:pPr>
        <w:pStyle w:val="BlockText"/>
      </w:pPr>
      <w:r>
        <w:rPr>
          <w:i/>
          <w:iCs/>
        </w:rPr>
        <w:t xml:space="preserve">“La parte che si è consumata non ha nervi: da sola non può farle male. Il dolore lo fanno l’osso sotto, la parte che si infiamma e i muscoli che hanno smesso di aiutarla. È come una moquette consumata: la moquette non fa male, il pavimento che adesso prende i colpi sì. E infatti la sua lastra è la stessa nei giorni buoni e in quelli brutti. Su come lavora quell’articolazione possiamo ancora fare molto. Le misuro due cose oggi, e le rimisuriamo insieme fra tre settimane.”</w:t>
      </w:r>
    </w:p>
    <w:p>
      <w:pPr>
        <w:pStyle w:val="FirstParagraph"/>
      </w:pPr>
      <w:r>
        <w:t xml:space="preserve">Nessun termine tecnico, e la metafora è quella del documento: non se ne usano altre.</w:t>
      </w:r>
      <w:r>
        <w:t xml:space="preserve"> </w:t>
      </w:r>
      <w:r>
        <w:rPr>
          <w:b/>
          <w:bCs/>
        </w:rPr>
        <w:t xml:space="preserve">L’ultima riga non è un abbellimento: è quella che rende verificabile tutto il resto, e non si toglie mai.</w:t>
      </w:r>
    </w:p>
    <w:bookmarkEnd w:id="76"/>
    <w:bookmarkStart w:id="77" w:name="le-obiezioni-e-le-risposte-oneste"/>
    <w:p>
      <w:pPr>
        <w:pStyle w:val="Heading3"/>
      </w:pPr>
      <w:r>
        <w:t xml:space="preserve">Le obiezioni, e le risposte oneste</w:t>
      </w:r>
    </w:p>
    <w:p>
      <w:pPr>
        <w:pStyle w:val="FirstParagraph"/>
      </w:pPr>
      <w:r>
        <w:rPr>
          <w:b/>
          <w:bCs/>
        </w:rPr>
        <w:t xml:space="preserve">“La cartilagine è consumata, me l’hanno fatto vedere.”</w:t>
      </w:r>
      <w:r>
        <w:t xml:space="preserve"> </w:t>
      </w:r>
      <w:r>
        <w:t xml:space="preserve">È vero, e non torna. Ma la stessa immagine c’è anche nei giorni in cui sta bene, quindi non è lei a decidere la giornata. Quello che cambia da un giorno all’altro è quanto lavora il muscolo, quanto si muovono le articolazioni vicine e quanto carico è arrivato lì. Su quello si può intervenire, e si misura.</w:t>
      </w:r>
    </w:p>
    <w:p>
      <w:pPr>
        <w:pStyle w:val="BodyText"/>
      </w:pPr>
      <w:r>
        <w:rPr>
          <w:b/>
          <w:bCs/>
        </w:rPr>
        <w:t xml:space="preserve">“Mi hanno detto che con l’età peggiora e basta.”</w:t>
      </w:r>
      <w:r>
        <w:t xml:space="preserve"> </w:t>
      </w:r>
      <w:r>
        <w:t xml:space="preserve">Il danno può avanzare, ed è onesto dirlo. Ma dolore e funzione non seguono quella curva. In una coorte seguita per anni, circa un paziente su tre ha avuto un decorso lieve e stabile, e uno su otto è migliorato. Non le prometto un esito: le dico che il margine esiste anche in fase avanzata.</w:t>
      </w:r>
    </w:p>
    <w:p>
      <w:pPr>
        <w:pStyle w:val="BodyText"/>
      </w:pPr>
      <w:r>
        <w:rPr>
          <w:b/>
          <w:bCs/>
        </w:rPr>
        <w:t xml:space="preserve">“Mi hanno già prospettato la protesi.”</w:t>
      </w:r>
      <w:r>
        <w:t xml:space="preserve"> </w:t>
      </w:r>
      <w:r>
        <w:t xml:space="preserve">L’indicazione la pone il suo specialista, e quando serve è la scelta giusta: non è una cosa su cui io mi esprimo. Nel frattempo lavorare sulla funzione conviene comunque, e se il quadro cambia glielo dico io per primo.</w:t>
      </w:r>
    </w:p>
    <w:p>
      <w:pPr>
        <w:pStyle w:val="BodyText"/>
      </w:pPr>
      <w:r>
        <w:rPr>
          <w:b/>
          <w:bCs/>
        </w:rPr>
        <w:t xml:space="preserve">“Ho paura che muovermi la consumi di più.”</w:t>
      </w:r>
      <w:r>
        <w:t xml:space="preserve"> </w:t>
      </w:r>
      <w:r>
        <w:t xml:space="preserve">È la domanda giusta, e ha una risposta misurata: negli studi con risonanza l’esercizio con carico non ha peggiorato la cartilagine. Il movimento che fa male in modo sopportabile, e che non lascia strascichi il giorno dopo, è movimento che il tessuto tollera.</w:t>
      </w:r>
      <w:r>
        <w:t xml:space="preserve"> </w:t>
      </w:r>
      <w:r>
        <w:rPr>
          <w:b/>
          <w:bCs/>
        </w:rPr>
        <w:t xml:space="preserve">Questo vale per un’articolazione che non è calda e che non è stata infiltrata di recente:</w:t>
      </w:r>
      <w:r>
        <w:t xml:space="preserve"> </w:t>
      </w:r>
      <w:r>
        <w:t xml:space="preserve">in quel caso si aspetta e si chiede al medico.</w:t>
      </w:r>
    </w:p>
    <w:p>
      <w:pPr>
        <w:pStyle w:val="BodyText"/>
      </w:pPr>
      <w:r>
        <w:rPr>
          <w:b/>
          <w:bCs/>
        </w:rPr>
        <w:t xml:space="preserve">Una cosa che deve sentire come convivenza.</w:t>
      </w:r>
      <w:r>
        <w:t xml:space="preserve"> </w:t>
      </w:r>
      <w:r>
        <w:rPr>
          <w:i/>
          <w:iCs/>
        </w:rPr>
        <w:t xml:space="preserve">“Io lavoro sulla componente meccanica che ho trovato. Il suo quadro va comunque seguito dal suo medico, e nel frattempo io non aspetto. Quello che ho trovato lo scrivo al suo medico: mi serve il suo consenso, e glielo chiedo adesso.”</w:t>
      </w:r>
      <w:r>
        <w:t xml:space="preserve"> </w:t>
      </w:r>
      <w:r>
        <w:t xml:space="preserve">Avere un bersaglio non è avere una diagnosi.</w:t>
      </w:r>
    </w:p>
    <w:bookmarkEnd w:id="77"/>
    <w:bookmarkStart w:id="78" w:name="cosa-deve-chiamare-e-chi"/>
    <w:p>
      <w:pPr>
        <w:pStyle w:val="Heading3"/>
      </w:pPr>
      <w:r>
        <w:t xml:space="preserve">Cosa deve chiamare, e chi</w:t>
      </w:r>
    </w:p>
    <w:p>
      <w:pPr>
        <w:pStyle w:val="FirstParagraph"/>
      </w:pPr>
      <w:r>
        <w:t xml:space="preserve">Il rischio non aspetta la seduta. Quattro cose devono farlo uscire di casa, e vanno dette prima che serva.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Cosa succede</w:t>
            </w:r>
          </w:p>
        </w:tc>
        <w:tc>
          <w:tcPr/>
          <w:p>
            <w:pPr>
              <w:pStyle w:val="Compact"/>
            </w:pPr>
            <w:r>
              <w:t xml:space="preserve">Chi si chiama</w:t>
            </w:r>
          </w:p>
        </w:tc>
      </w:tr>
      <w:tr>
        <w:tc>
          <w:tcPr/>
          <w:p>
            <w:pPr>
              <w:pStyle w:val="Compact"/>
            </w:pPr>
            <w:r>
              <w:t xml:space="preserve">L’articolazione diventa calda e gonfia in poche ore</w:t>
            </w:r>
          </w:p>
        </w:tc>
        <w:tc>
          <w:tcPr/>
          <w:p>
            <w:pPr>
              <w:pStyle w:val="Compact"/>
            </w:pPr>
            <w:r>
              <w:t xml:space="preserve">Pronto soccorso</w:t>
            </w:r>
          </w:p>
        </w:tc>
      </w:tr>
      <w:tr>
        <w:tc>
          <w:tcPr/>
          <w:p>
            <w:pPr>
              <w:pStyle w:val="Compact"/>
            </w:pPr>
            <w:r>
              <w:t xml:space="preserve">La gamba si gonfia fuori dall’articolazione</w:t>
            </w:r>
          </w:p>
        </w:tc>
        <w:tc>
          <w:tcPr/>
          <w:p>
            <w:pPr>
              <w:pStyle w:val="Compact"/>
            </w:pPr>
            <w:r>
              <w:t xml:space="preserve">Pronto soccorso</w:t>
            </w:r>
          </w:p>
        </w:tc>
      </w:tr>
      <w:tr>
        <w:tc>
          <w:tcPr/>
          <w:p>
            <w:pPr>
              <w:pStyle w:val="Compact"/>
            </w:pPr>
            <w:r>
              <w:t xml:space="preserve">Dolore acuto, e non riesce più a caricare</w:t>
            </w:r>
          </w:p>
        </w:tc>
        <w:tc>
          <w:tcPr/>
          <w:p>
            <w:pPr>
              <w:pStyle w:val="Compact"/>
            </w:pPr>
            <w:r>
              <w:t xml:space="preserve">Il curante o l’ortopedico, senza aspettare</w:t>
            </w:r>
          </w:p>
        </w:tc>
      </w:tr>
      <w:tr>
        <w:tc>
          <w:tcPr/>
          <w:p>
            <w:pPr>
              <w:pStyle w:val="Compact"/>
            </w:pPr>
            <w:r>
              <w:t xml:space="preserve">Un dolore nuovo sveglia la notte</w:t>
            </w:r>
          </w:p>
        </w:tc>
        <w:tc>
          <w:tcPr/>
          <w:p>
            <w:pPr>
              <w:pStyle w:val="Compact"/>
            </w:pPr>
            <w:r>
              <w:t xml:space="preserve">Il curante</w:t>
            </w:r>
          </w:p>
        </w:tc>
      </w:tr>
    </w:tbl>
    <w:p>
      <w:pPr>
        <w:pStyle w:val="BodyText"/>
      </w:pPr>
      <w:r>
        <w:t xml:space="preserve">Sulla prima riga:</w:t>
      </w:r>
      <w:r>
        <w:t xml:space="preserve"> </w:t>
      </w:r>
      <w:r>
        <w:rPr>
          <w:b/>
          <w:bCs/>
        </w:rPr>
        <w:t xml:space="preserve">con o senza febbre</w:t>
      </w:r>
      <w:r>
        <w:t xml:space="preserve">. Sulla seconda: a maggior ragione se compare fiato corto. Sulla terza: il dolore è comparso in un giorno preciso. Sulla quarta: un dolore che non cambia con la posizione.</w:t>
      </w:r>
    </w:p>
    <w:bookmarkEnd w:id="78"/>
    <w:bookmarkStart w:id="79" w:name="cosa-non-promettere-mai"/>
    <w:p>
      <w:pPr>
        <w:pStyle w:val="Heading3"/>
      </w:pPr>
      <w:r>
        <w:t xml:space="preserve">Cosa non promettere mai</w:t>
      </w:r>
    </w:p>
    <w:p>
      <w:pPr>
        <w:pStyle w:val="FirstParagraph"/>
      </w:pPr>
      <w:r>
        <w:t xml:space="preserve">Non prometti che il dolore sparisca. Non prometti di evitare la protesi. Non prometti che la cartilagine migliori o si rigeneri. E</w:t>
      </w:r>
      <w:r>
        <w:t xml:space="preserve"> </w:t>
      </w:r>
      <w:r>
        <w:rPr>
          <w:b/>
          <w:bCs/>
        </w:rPr>
        <w:t xml:space="preserve">non commenti mai i farmaci, né ne nomini uno</w:t>
      </w:r>
      <w:r>
        <w:t xml:space="preserve">: se qualcosa ti preoccupa, lo scrivi al curante.</w:t>
      </w:r>
    </w:p>
    <w:p>
      <w:pPr>
        <w:pStyle w:val="BodyText"/>
      </w:pPr>
      <w:r>
        <w:rPr>
          <w:b/>
          <w:bCs/>
        </w:rPr>
        <w:t xml:space="preserve">Le tre cose da ricordare, più una</w:t>
      </w:r>
    </w:p>
    <w:p>
      <w:pPr>
        <w:pStyle w:val="Compact"/>
        <w:numPr>
          <w:ilvl w:val="0"/>
          <w:numId w:val="1028"/>
        </w:numPr>
      </w:pPr>
      <w:r>
        <w:t xml:space="preserve">La frase da smontare è una sola, e il paziente la ripeterà:</w:t>
      </w:r>
      <w:r>
        <w:t xml:space="preserve"> </w:t>
      </w:r>
      <w:r>
        <w:t xml:space="preserve">“osso contro osso”</w:t>
      </w:r>
      <w:r>
        <w:t xml:space="preserve">.</w:t>
      </w:r>
    </w:p>
    <w:p>
      <w:pPr>
        <w:pStyle w:val="Compact"/>
        <w:numPr>
          <w:ilvl w:val="0"/>
          <w:numId w:val="1028"/>
        </w:numPr>
      </w:pPr>
      <w:r>
        <w:t xml:space="preserve">Ogni risposta alle obiezioni finisce con una misura, non con una rassicurazione.</w:t>
      </w:r>
    </w:p>
    <w:p>
      <w:pPr>
        <w:pStyle w:val="Compact"/>
        <w:numPr>
          <w:ilvl w:val="0"/>
          <w:numId w:val="1028"/>
        </w:numPr>
      </w:pPr>
      <w:r>
        <w:t xml:space="preserve">Sulla protesi non ti esprimi mai, nemmeno per dire che si può rimandare.</w:t>
      </w:r>
    </w:p>
    <w:p>
      <w:pPr>
        <w:pStyle w:val="Compact"/>
        <w:numPr>
          <w:ilvl w:val="0"/>
          <w:numId w:val="1028"/>
        </w:numPr>
      </w:pPr>
      <w:r>
        <w:rPr>
          <w:b/>
          <w:bCs/>
        </w:rPr>
        <w:t xml:space="preserve">Perché ci sei tu.</w:t>
      </w:r>
      <w:r>
        <w:t xml:space="preserve"> </w:t>
      </w:r>
      <w:r>
        <w:t xml:space="preserve">La meta-analisi in rete ha riunito 76 studi controllati e 58.451 pazienti con artrosi di anca o ginocchio. Non emerge un ruolo per il paracetamolo da solo, a nessuna dose (da Costa,</w:t>
      </w:r>
      <w:r>
        <w:t xml:space="preserve"> </w:t>
      </w:r>
      <w:r>
        <w:rPr>
          <w:i/>
          <w:iCs/>
        </w:rPr>
        <w:t xml:space="preserve">Lancet</w:t>
      </w:r>
      <w:r>
        <w:t xml:space="preserve"> </w:t>
      </w:r>
      <w:r>
        <w:t xml:space="preserve">2017, PMID 28699595).</w:t>
      </w:r>
      <w:r>
        <w:t xml:space="preserve"> </w:t>
      </w:r>
      <w:r>
        <w:rPr>
          <w:b/>
          <w:bCs/>
        </w:rPr>
        <w:t xml:space="preserve">Per te:</w:t>
      </w:r>
      <w:r>
        <w:t xml:space="preserve"> </w:t>
      </w:r>
      <w:r>
        <w:t xml:space="preserve">molti dei tuoi pazienti prendono da anni qualcosa che qui non ha mostrato di funzionare, e questo spiega perché arrivano convinti che</w:t>
      </w:r>
      <w:r>
        <w:t xml:space="preserve"> </w:t>
      </w:r>
      <w:r>
        <w:t xml:space="preserve">“niente funziona”</w:t>
      </w:r>
      <w:r>
        <w:t xml:space="preserve">. Non ti autorizza a commentare la sua terapia, né a nominare farmaci, dosi o confronti: quel discorso è del prescrittore, e l’informazione gli va per iscritto.</w:t>
      </w:r>
    </w:p>
    <w:p>
      <w:r>
        <w:pict>
          <v:rect style="width:0;height:1.5pt" o:hralign="center" o:hrstd="t" o:hr="t"/>
        </w:pict>
      </w:r>
    </w:p>
    <w:bookmarkEnd w:id="79"/>
    <w:bookmarkEnd w:id="80"/>
    <w:bookmarkStart w:id="81" w:name="capitolo-14-cosa-fare-adesso"/>
    <w:p>
      <w:pPr>
        <w:pStyle w:val="Heading2"/>
      </w:pPr>
      <w:r>
        <w:t xml:space="preserve">Capitolo 14 — Cosa fare adesso</w:t>
      </w:r>
    </w:p>
    <w:p>
      <w:pPr>
        <w:pStyle w:val="BlockText"/>
      </w:pPr>
      <w:r>
        <w:rPr>
          <w:b/>
          <w:bCs/>
        </w:rPr>
        <w:t xml:space="preserve">In una riga:</w:t>
      </w:r>
      <w:r>
        <w:t xml:space="preserve"> </w:t>
      </w:r>
      <w:r>
        <w:t xml:space="preserve">hai letto venti pagine per cambiare tre gesti.</w:t>
      </w:r>
    </w:p>
    <w:p>
      <w:pPr>
        <w:pStyle w:val="FirstParagraph"/>
      </w:pPr>
      <w:r>
        <w:t xml:space="preserve">Il paziente arriva con una parola e un’immagine, e ha smesso di muoversi per colpa di entrambe. A fargli male non è la parte consumata, che non ha nervi. Gli fanno male l’osso sotto carico, la sinovia infiammata e il muscolo che ha smesso di frenare i colpi. Il piano che comanda non è sempre lo stesso, e va cercato dall’alto. La tua mano cambia il costo dell’uso e rende eseguibile il carico progressivo. Il tuo campo finisce dove un’articolazione si scalda, dove una gamba si gonfia fuori dall’articolazione, e dove serve un’indicazione che non è tua. Dove l’autonomia è già persa il campo non finisce: cambia bersaglio.</w:t>
      </w:r>
    </w:p>
    <w:p>
      <w:pPr>
        <w:pStyle w:val="BodyText"/>
      </w:pPr>
      <w:r>
        <w:rPr>
          <w:b/>
          <w:bCs/>
        </w:rPr>
        <w:t xml:space="preserve">Le tre cose che cambi da lunedì</w:t>
      </w:r>
    </w:p>
    <w:p>
      <w:pPr>
        <w:pStyle w:val="BodyText"/>
      </w:pPr>
      <w:r>
        <w:rPr>
          <w:b/>
          <w:bCs/>
        </w:rPr>
        <w:t xml:space="preserve">Guarda una cosa nuova: conta le alzate, e guarda l’estensione.</w:t>
      </w:r>
      <w:r>
        <w:t xml:space="preserve"> </w:t>
      </w:r>
      <w:r>
        <w:t xml:space="preserve">Prima di toccare, chiedi al paziente di alzarsi dalla sedia per trenta secondi con le braccia incrociate, e scrivi il numero. Poi, prono, confronta l’altezza dei talloni. Sono i reperti che nessun referto contiene, e i primi che si muoveranno.</w:t>
      </w:r>
    </w:p>
    <w:p>
      <w:pPr>
        <w:pStyle w:val="BodyText"/>
      </w:pPr>
      <w:r>
        <w:rPr>
          <w:b/>
          <w:bCs/>
        </w:rPr>
        <w:t xml:space="preserve">Di’ una cosa nuova: nomina la cartilagine che non fa male.</w:t>
      </w:r>
      <w:r>
        <w:t xml:space="preserve"> </w:t>
      </w:r>
      <w:r>
        <w:t xml:space="preserve">Prima di spiegare cosa farai, di’ che la parte consumata non ha nervi, e che il dolore viene da quello che le sta intorno. Se non cambi quella frase, il resto lo fai a metà.</w:t>
      </w:r>
    </w:p>
    <w:p>
      <w:pPr>
        <w:pStyle w:val="BodyText"/>
      </w:pPr>
      <w:r>
        <w:rPr>
          <w:b/>
          <w:bCs/>
        </w:rPr>
        <w:t xml:space="preserve">Smetti di fare una cosa: smetti di commentare il referto.</w:t>
      </w:r>
      <w:r>
        <w:t xml:space="preserve"> </w:t>
      </w:r>
      <w:r>
        <w:t xml:space="preserve">Non discutere la rima articolare, gli osteofiti, i gradi della scala. Chiedigli cosa gli hanno detto, e sostituisci quella spiegazione con misure fatte insieme.</w:t>
      </w:r>
    </w:p>
    <w:p>
      <w:pPr>
        <w:pStyle w:val="BodyText"/>
      </w:pPr>
      <w:r>
        <w:rPr>
          <w:i/>
          <w:iCs/>
        </w:rPr>
        <w:t xml:space="preserve">Su questa condizione ti hanno insegnato che c’è poco da fare, e per la cartilagine è vero. Ma in tutto il percorso che quel paziente ha già fatto, il numero delle alzate non è mai entrato in un referto. Si muove, e sei tu a saperlo guardare.</w:t>
      </w:r>
    </w:p>
    <w:p>
      <w:pPr>
        <w:pStyle w:val="BodyText"/>
      </w:pPr>
      <w:r>
        <w:rPr>
          <w:b/>
          <w:bCs/>
        </w:rPr>
        <w:t xml:space="preserve">Quando sei autonomo su questa condizione.</w:t>
      </w:r>
      <w:r>
        <w:t xml:space="preserve"> </w:t>
      </w:r>
      <w:r>
        <w:t xml:space="preserve">Non quando l’hai letta tutta. Sei autonomo quando distingui il ginocchio meccanico dal dolore sproporzionato senza rileggere i quattro criteri. Quando riconosci in anamnesi i quattro sottotipi su cui il perimetro cambia — componente infiammatoria attiva, anca, mani, fase terminale — e lo dici prima di aprire un ciclo. E quando sai dire a un medico, con l’etichetta accanto, cosa possiamo affermare e cosa no.</w:t>
      </w:r>
    </w:p>
    <w:p>
      <w:pPr>
        <w:pStyle w:val="BodyText"/>
      </w:pPr>
      <w:r>
        <w:rPr>
          <w:b/>
          <w:bCs/>
        </w:rPr>
        <w:t xml:space="preserve">Le tre cose da ricordare, più una</w:t>
      </w:r>
    </w:p>
    <w:p>
      <w:pPr>
        <w:pStyle w:val="Compact"/>
        <w:numPr>
          <w:ilvl w:val="0"/>
          <w:numId w:val="1029"/>
        </w:numPr>
      </w:pPr>
      <w:r>
        <w:t xml:space="preserve">Conta le alzate e guarda l’estensione, prima di toccare.</w:t>
      </w:r>
    </w:p>
    <w:p>
      <w:pPr>
        <w:pStyle w:val="Compact"/>
        <w:numPr>
          <w:ilvl w:val="0"/>
          <w:numId w:val="1029"/>
        </w:numPr>
      </w:pPr>
      <w:r>
        <w:t xml:space="preserve">Di’ che la cartilagine non ha nervi.</w:t>
      </w:r>
    </w:p>
    <w:p>
      <w:pPr>
        <w:pStyle w:val="Compact"/>
        <w:numPr>
          <w:ilvl w:val="0"/>
          <w:numId w:val="1029"/>
        </w:numPr>
      </w:pPr>
      <w:r>
        <w:t xml:space="preserve">Smetti di commentare il referto.</w:t>
      </w:r>
    </w:p>
    <w:p>
      <w:pPr>
        <w:pStyle w:val="Compact"/>
        <w:numPr>
          <w:ilvl w:val="0"/>
          <w:numId w:val="1029"/>
        </w:numPr>
      </w:pPr>
      <w:r>
        <w:rPr>
          <w:b/>
          <w:bCs/>
        </w:rPr>
        <w:t xml:space="preserve">Perché ci sei tu.</w:t>
      </w:r>
      <w:r>
        <w:t xml:space="preserve"> </w:t>
      </w:r>
      <w:r>
        <w:t xml:space="preserve">Alcuni pazienti già candidati alla protesi di ginocchio sono stati randomizzati al solo trattamento non chirurgico. Il 74% di loro</w:t>
      </w:r>
      <w:r>
        <w:t xml:space="preserve"> </w:t>
      </w:r>
      <w:r>
        <w:rPr>
          <w:b/>
          <w:bCs/>
        </w:rPr>
        <w:t xml:space="preserve">non si è operato entro i dodici mesi</w:t>
      </w:r>
      <w:r>
        <w:t xml:space="preserve"> </w:t>
      </w:r>
      <w:r>
        <w:t xml:space="preserve">(Skou,</w:t>
      </w:r>
      <w:r>
        <w:t xml:space="preserve"> </w:t>
      </w:r>
      <w:r>
        <w:rPr>
          <w:i/>
          <w:iCs/>
        </w:rPr>
        <w:t xml:space="preserve">N Engl J Med</w:t>
      </w:r>
      <w:r>
        <w:t xml:space="preserve"> </w:t>
      </w:r>
      <w:r>
        <w:t xml:space="preserve">2015, PMID 26488691). E fra chi si opera, circa uno su cinque conserva un esito di dolore sfavorevole (Beswick, PMID 22357571; vedi «Non è una condizione sola»).</w:t>
      </w:r>
      <w:r>
        <w:t xml:space="preserve"> </w:t>
      </w:r>
      <w:r>
        <w:rPr>
          <w:b/>
          <w:bCs/>
        </w:rPr>
        <w:t xml:space="preserve">Per te:</w:t>
      </w:r>
      <w:r>
        <w:t xml:space="preserve"> </w:t>
      </w:r>
      <w:r>
        <w:t xml:space="preserve">anche il paziente che sembra fuori dal tuo perimetro, a un anno è quasi sempre ancora lì con la sua funzione da usare. Questo ti autorizza a non trattare l’indicazione chirurgica come il momento in cui smetti di servire.</w:t>
      </w:r>
      <w:r>
        <w:t xml:space="preserve"> </w:t>
      </w:r>
      <w:r>
        <w:rPr>
          <w:b/>
          <w:bCs/>
        </w:rPr>
        <w:t xml:space="preserve">Non ti autorizza</w:t>
      </w:r>
      <w:r>
        <w:t xml:space="preserve"> </w:t>
      </w:r>
      <w:r>
        <w:t xml:space="preserve">a usare quei numeri come argomento per rimandare un intervento indicato, né a citarli al paziente: l’indicazione è dello specialista, e quei dati servono a te.</w:t>
      </w:r>
    </w:p>
    <w:p>
      <w:r>
        <w:pict>
          <v:rect style="width:0;height:1.5pt" o:hralign="center" o:hrstd="t" o:hr="t"/>
        </w:pict>
      </w:r>
    </w:p>
    <w:bookmarkEnd w:id="81"/>
    <w:bookmarkStart w:id="82" w:name="appendice-a-glossario"/>
    <w:p>
      <w:pPr>
        <w:pStyle w:val="Heading2"/>
      </w:pPr>
      <w:r>
        <w:t xml:space="preserve">Appendice A — Glossario</w:t>
      </w:r>
    </w:p>
    <w:p>
      <w:pPr>
        <w:pStyle w:val="FirstParagraph"/>
      </w:pPr>
      <w:r>
        <w:rPr>
          <w:b/>
          <w:bCs/>
        </w:rPr>
        <w:t xml:space="preserve">Artrite settica</w:t>
      </w:r>
      <w:r>
        <w:t xml:space="preserve"> </w:t>
      </w:r>
      <w:r>
        <w:t xml:space="preserve">— infezione di un’articolazione. Urgenza medica: calore, rossore, gonfiore;</w:t>
      </w:r>
      <w:r>
        <w:t xml:space="preserve"> </w:t>
      </w:r>
      <w:r>
        <w:rPr>
          <w:b/>
          <w:bCs/>
        </w:rPr>
        <w:t xml:space="preserve">la febbre può mancare in circa quattro casi su dieci.</w:t>
      </w:r>
      <w:r>
        <w:t xml:space="preserve"> </w:t>
      </w:r>
      <w:r>
        <w:rPr>
          <w:b/>
          <w:bCs/>
        </w:rPr>
        <w:t xml:space="preserve">Artrosi</w:t>
      </w:r>
      <w:r>
        <w:t xml:space="preserve"> </w:t>
      </w:r>
      <w:r>
        <w:t xml:space="preserve">— malattia di tutta l’articolazione: perdita focale di cartilagine, osteofiti, alterazioni dell’osso sottostante, sinovite.</w:t>
      </w:r>
      <w:r>
        <w:t xml:space="preserve"> </w:t>
      </w:r>
      <w:r>
        <w:rPr>
          <w:b/>
          <w:bCs/>
        </w:rPr>
        <w:t xml:space="preserve">Capsula articolare</w:t>
      </w:r>
      <w:r>
        <w:t xml:space="preserve"> </w:t>
      </w:r>
      <w:r>
        <w:t xml:space="preserve">— l’involucro fibroso dell’articolazione, ricco di recettori.</w:t>
      </w:r>
      <w:r>
        <w:t xml:space="preserve"> </w:t>
      </w:r>
      <w:r>
        <w:rPr>
          <w:b/>
          <w:bCs/>
        </w:rPr>
        <w:t xml:space="preserve">Cartilagine articolare</w:t>
      </w:r>
      <w:r>
        <w:t xml:space="preserve"> </w:t>
      </w:r>
      <w:r>
        <w:t xml:space="preserve">— il rivestimento delle estremità ossee. Senza vasi e senza nervi.</w:t>
      </w:r>
      <w:r>
        <w:t xml:space="preserve"> </w:t>
      </w:r>
      <w:r>
        <w:rPr>
          <w:b/>
          <w:bCs/>
        </w:rPr>
        <w:t xml:space="preserve">Catena</w:t>
      </w:r>
      <w:r>
        <w:t xml:space="preserve"> </w:t>
      </w:r>
      <w:r>
        <w:t xml:space="preserve">— strutture collegate che si influenzano a distanza, per continuità meccanica o per via nervosa.</w:t>
      </w:r>
      <w:r>
        <w:t xml:space="preserve"> </w:t>
      </w:r>
      <w:r>
        <w:rPr>
          <w:b/>
          <w:bCs/>
        </w:rPr>
        <w:t xml:space="preserve">Centro di coordinazione</w:t>
      </w:r>
      <w:r>
        <w:t xml:space="preserve"> </w:t>
      </w:r>
      <w:r>
        <w:t xml:space="preserve">— il piano che genera o mantiene il sintomo. Non coincide quasi mai con il centro di percezione.</w:t>
      </w:r>
      <w:r>
        <w:t xml:space="preserve"> </w:t>
      </w:r>
      <w:r>
        <w:rPr>
          <w:b/>
          <w:bCs/>
        </w:rPr>
        <w:t xml:space="preserve">Centro di percezione</w:t>
      </w:r>
      <w:r>
        <w:t xml:space="preserve"> </w:t>
      </w:r>
      <w:r>
        <w:t xml:space="preserve">— il posto in cui il paziente sente il dolore.</w:t>
      </w:r>
      <w:r>
        <w:t xml:space="preserve"> </w:t>
      </w:r>
      <w:r>
        <w:rPr>
          <w:b/>
          <w:bCs/>
        </w:rPr>
        <w:t xml:space="preserve">Cisti di Baker</w:t>
      </w:r>
      <w:r>
        <w:t xml:space="preserve"> </w:t>
      </w:r>
      <w:r>
        <w:t xml:space="preserve">— raccolta di liquido dietro il ginocchio. Se si rompe dà un polpaccio indistinguibile da una trombosi venosa profonda.</w:t>
      </w:r>
      <w:r>
        <w:t xml:space="preserve"> </w:t>
      </w:r>
      <w:r>
        <w:rPr>
          <w:b/>
          <w:bCs/>
        </w:rPr>
        <w:t xml:space="preserve">Alleanza terapeutica</w:t>
      </w:r>
      <w:r>
        <w:t xml:space="preserve"> </w:t>
      </w:r>
      <w:r>
        <w:t xml:space="preserve">— la qualità del rapporto di lavoro fra paziente e terapista. Si misura con questionari, e predice gli esiti.</w:t>
      </w:r>
      <w:r>
        <w:t xml:space="preserve"> </w:t>
      </w:r>
      <w:r>
        <w:rPr>
          <w:b/>
          <w:bCs/>
        </w:rPr>
        <w:t xml:space="preserve">Compenso</w:t>
      </w:r>
      <w:r>
        <w:t xml:space="preserve"> </w:t>
      </w:r>
      <w:r>
        <w:t xml:space="preserve">— adattamento per continuare a funzionare nonostante un problema. Costa qualcosa e regge finché può; il sintomo compare spesso dove ha ceduto.</w:t>
      </w:r>
      <w:r>
        <w:t xml:space="preserve"> </w:t>
      </w:r>
      <w:r>
        <w:rPr>
          <w:b/>
          <w:bCs/>
        </w:rPr>
        <w:t xml:space="preserve">Condropatia</w:t>
      </w:r>
      <w:r>
        <w:t xml:space="preserve"> </w:t>
      </w:r>
      <w:r>
        <w:t xml:space="preserve">— area di cartilagine assottigliata o irregolare, frequente anche senza dolore.</w:t>
      </w:r>
      <w:r>
        <w:t xml:space="preserve"> </w:t>
      </w:r>
      <w:r>
        <w:rPr>
          <w:b/>
          <w:bCs/>
        </w:rPr>
        <w:t xml:space="preserve">Contrattura in flessione</w:t>
      </w:r>
      <w:r>
        <w:t xml:space="preserve"> </w:t>
      </w:r>
      <w:r>
        <w:t xml:space="preserve">— perdita dell’estensione completa del ginocchio. Si misura confrontando l’altezza dei talloni a paziente prono.</w:t>
      </w:r>
      <w:r>
        <w:t xml:space="preserve"> </w:t>
      </w:r>
      <w:r>
        <w:rPr>
          <w:b/>
          <w:bCs/>
        </w:rPr>
        <w:t xml:space="preserve">Corpo adiposo di Hoffa</w:t>
      </w:r>
      <w:r>
        <w:t xml:space="preserve"> </w:t>
      </w:r>
      <w:r>
        <w:t xml:space="preserve">— cuscinetto di grasso dietro il tendine rotuleo, innervato e possibile sorgente di dolore anteriore.</w:t>
      </w:r>
      <w:r>
        <w:t xml:space="preserve"> </w:t>
      </w:r>
      <w:r>
        <w:rPr>
          <w:b/>
          <w:bCs/>
        </w:rPr>
        <w:t xml:space="preserve">CPPD (pseudogotta)</w:t>
      </w:r>
      <w:r>
        <w:t xml:space="preserve"> </w:t>
      </w:r>
      <w:r>
        <w:t xml:space="preserve">— malattia da deposito di pirofosfato di calcio. Attacco acuto di una grande articolazione nell’anziano, che si ripete.</w:t>
      </w:r>
      <w:r>
        <w:t xml:space="preserve"> </w:t>
      </w:r>
      <w:r>
        <w:rPr>
          <w:b/>
          <w:bCs/>
        </w:rPr>
        <w:t xml:space="preserve">Crepitio</w:t>
      </w:r>
      <w:r>
        <w:t xml:space="preserve"> </w:t>
      </w:r>
      <w:r>
        <w:t xml:space="preserve">— rumore articolare durante il movimento. Frequente anche in articolazioni senza dolore.</w:t>
      </w:r>
      <w:r>
        <w:t xml:space="preserve"> </w:t>
      </w:r>
      <w:r>
        <w:rPr>
          <w:b/>
          <w:bCs/>
        </w:rPr>
        <w:t xml:space="preserve">DIMOSTRATO</w:t>
      </w:r>
      <w:r>
        <w:t xml:space="preserve"> </w:t>
      </w:r>
      <w:r>
        <w:t xml:space="preserve">— etichetta di solidità: studi sull’uomo, solidi.</w:t>
      </w:r>
      <w:r>
        <w:t xml:space="preserve"> </w:t>
      </w:r>
      <w:r>
        <w:rPr>
          <w:b/>
          <w:bCs/>
        </w:rPr>
        <w:t xml:space="preserve">Disegno fattoriale</w:t>
      </w:r>
      <w:r>
        <w:t xml:space="preserve"> </w:t>
      </w:r>
      <w:r>
        <w:t xml:space="preserve">— studio che combina due trattamenti in quattro gruppi, per misurare ciascuno e la loro combinazione.</w:t>
      </w:r>
      <w:r>
        <w:t xml:space="preserve"> </w:t>
      </w:r>
      <w:r>
        <w:rPr>
          <w:b/>
          <w:bCs/>
        </w:rPr>
        <w:t xml:space="preserve">Disfunzione somatica</w:t>
      </w:r>
      <w:r>
        <w:t xml:space="preserve"> </w:t>
      </w:r>
      <w:r>
        <w:t xml:space="preserve">— alterazione della funzione di una parte del sistema muscolo-scheletrico, riconoscibile all’esame manuale. Descrive una funzione, non una malattia.</w:t>
      </w:r>
      <w:r>
        <w:t xml:space="preserve"> </w:t>
      </w:r>
      <w:r>
        <w:rPr>
          <w:b/>
          <w:bCs/>
        </w:rPr>
        <w:t xml:space="preserve">Dati individuali dei partecipanti (IPD)</w:t>
      </w:r>
      <w:r>
        <w:t xml:space="preserve"> </w:t>
      </w:r>
      <w:r>
        <w:t xml:space="preserve">— meta-analisi che riunisce i dati paziente per paziente, invece dei risultati medi degli studi. Permette di cercare chi risponde.</w:t>
      </w:r>
      <w:r>
        <w:t xml:space="preserve"> </w:t>
      </w:r>
      <w:r>
        <w:rPr>
          <w:b/>
          <w:bCs/>
        </w:rPr>
        <w:t xml:space="preserve">Dolore nociplastico</w:t>
      </w:r>
      <w:r>
        <w:t xml:space="preserve"> </w:t>
      </w:r>
      <w:r>
        <w:t xml:space="preserve">— dolore prodotto da un cambiamento nel modo in cui il sistema nervoso elabora il segnale, non da un danno proporzionato.</w:t>
      </w:r>
      <w:r>
        <w:t xml:space="preserve"> </w:t>
      </w:r>
      <w:r>
        <w:rPr>
          <w:b/>
          <w:bCs/>
        </w:rPr>
        <w:t xml:space="preserve">Errore minimo rilevabile</w:t>
      </w:r>
      <w:r>
        <w:t xml:space="preserve"> </w:t>
      </w:r>
      <w:r>
        <w:t xml:space="preserve">— il valore sotto il quale una differenza fra due misure è rumore dello strumento, non un cambiamento vero.</w:t>
      </w:r>
      <w:r>
        <w:t xml:space="preserve"> </w:t>
      </w:r>
      <w:r>
        <w:rPr>
          <w:b/>
          <w:bCs/>
        </w:rPr>
        <w:t xml:space="preserve">Esposizione graduata</w:t>
      </w:r>
      <w:r>
        <w:t xml:space="preserve"> </w:t>
      </w:r>
      <w:r>
        <w:t xml:space="preserve">— riprendere i movimenti temuti partendo da un livello tollerato, e alzandolo per gradi.</w:t>
      </w:r>
      <w:r>
        <w:t xml:space="preserve"> </w:t>
      </w:r>
      <w:r>
        <w:rPr>
          <w:b/>
          <w:bCs/>
        </w:rPr>
        <w:t xml:space="preserve">Fibre C-tattili</w:t>
      </w:r>
      <w:r>
        <w:t xml:space="preserve"> </w:t>
      </w:r>
      <w:r>
        <w:t xml:space="preserve">— fibre nervose della pelle che rispondono al contatto lento e leggero. Sono la via del tocco affettivo, non di quello discriminativo.</w:t>
      </w:r>
      <w:r>
        <w:t xml:space="preserve"> </w:t>
      </w:r>
      <w:r>
        <w:rPr>
          <w:b/>
          <w:bCs/>
        </w:rPr>
        <w:t xml:space="preserve">Frattura da insufficienza subcondrale</w:t>
      </w:r>
      <w:r>
        <w:t xml:space="preserve"> </w:t>
      </w:r>
      <w:r>
        <w:t xml:space="preserve">— cedimento dell’osso sotto la cartilagine in un osso indebolito, spesso senza trauma. Dolore acuto, radiografia sproporzionata per difetto.</w:t>
      </w:r>
      <w:r>
        <w:t xml:space="preserve"> </w:t>
      </w:r>
      <w:r>
        <w:rPr>
          <w:b/>
          <w:bCs/>
        </w:rPr>
        <w:t xml:space="preserve">Gerarchia dei piani</w:t>
      </w:r>
      <w:r>
        <w:t xml:space="preserve"> </w:t>
      </w:r>
      <w:r>
        <w:t xml:space="preserve">— l’ordine di indagine: convinzione, ingresso infiammatorio, soglia, carico, esecutore, attività. Ordina l’indagine, non la forza delle leve.</w:t>
      </w:r>
      <w:r>
        <w:t xml:space="preserve"> </w:t>
      </w:r>
      <w:r>
        <w:rPr>
          <w:b/>
          <w:bCs/>
        </w:rPr>
        <w:t xml:space="preserve">Infezione periprotesica</w:t>
      </w:r>
      <w:r>
        <w:t xml:space="preserve"> </w:t>
      </w:r>
      <w:r>
        <w:t xml:space="preserve">— infezione di un’articolazione operata. Spesso tardiva e subdola, con o senza febbre.</w:t>
      </w:r>
      <w:r>
        <w:t xml:space="preserve"> </w:t>
      </w:r>
      <w:r>
        <w:rPr>
          <w:b/>
          <w:bCs/>
        </w:rPr>
        <w:t xml:space="preserve">Inibizione muscolare artrogena</w:t>
      </w:r>
      <w:r>
        <w:t xml:space="preserve"> </w:t>
      </w:r>
      <w:r>
        <w:t xml:space="preserve">— riduzione riflessa dell’attivazione volontaria di un muscolo, prodotta dai segnali dell’articolazione danneggiata. Si produce anche senza dolore.</w:t>
      </w:r>
      <w:r>
        <w:t xml:space="preserve"> </w:t>
      </w:r>
      <w:r>
        <w:rPr>
          <w:b/>
          <w:bCs/>
        </w:rPr>
        <w:t xml:space="preserve">Interazione antagonista</w:t>
      </w:r>
      <w:r>
        <w:t xml:space="preserve"> </w:t>
      </w:r>
      <w:r>
        <w:t xml:space="preserve">— quando due trattamenti insieme rendono meno della somma dei loro effetti separati.</w:t>
      </w:r>
      <w:r>
        <w:t xml:space="preserve"> </w:t>
      </w:r>
      <w:r>
        <w:rPr>
          <w:b/>
          <w:bCs/>
        </w:rPr>
        <w:t xml:space="preserve">IPOTESI</w:t>
      </w:r>
      <w:r>
        <w:t xml:space="preserve"> </w:t>
      </w:r>
      <w:r>
        <w:t xml:space="preserve">— etichetta di solidità: meccanismo coerente, nessuno studio.</w:t>
      </w:r>
      <w:r>
        <w:t xml:space="preserve"> </w:t>
      </w:r>
      <w:r>
        <w:rPr>
          <w:b/>
          <w:bCs/>
        </w:rPr>
        <w:t xml:space="preserve">Kellgren-Lawrence</w:t>
      </w:r>
      <w:r>
        <w:t xml:space="preserve"> </w:t>
      </w:r>
      <w:r>
        <w:t xml:space="preserve">— scala radiografica da 0 a 4 della gravità dell’artrosi. Descrive l’immagine, non il dolore.</w:t>
      </w:r>
      <w:r>
        <w:t xml:space="preserve"> </w:t>
      </w:r>
      <w:r>
        <w:rPr>
          <w:b/>
          <w:bCs/>
        </w:rPr>
        <w:t xml:space="preserve">Legge di Hilton</w:t>
      </w:r>
      <w:r>
        <w:t xml:space="preserve"> </w:t>
      </w:r>
      <w:r>
        <w:t xml:space="preserve">— il nervo che innerva un muscolo che agisce su un’articolazione innerva anche quell’articolazione e la cute sopra di essa.</w:t>
      </w:r>
      <w:r>
        <w:t xml:space="preserve"> </w:t>
      </w:r>
      <w:r>
        <w:rPr>
          <w:b/>
          <w:bCs/>
        </w:rPr>
        <w:t xml:space="preserve">Lesione midollare ossea</w:t>
      </w:r>
      <w:r>
        <w:t xml:space="preserve"> </w:t>
      </w:r>
      <w:r>
        <w:t xml:space="preserve">— area di alterato segnale nell’osso sotto la cartilagine, visibile in risonanza, associata alla presenza di dolore.</w:t>
      </w:r>
      <w:r>
        <w:t xml:space="preserve"> </w:t>
      </w:r>
      <w:r>
        <w:rPr>
          <w:b/>
          <w:bCs/>
        </w:rPr>
        <w:t xml:space="preserve">Lesione primaria</w:t>
      </w:r>
      <w:r>
        <w:t xml:space="preserve"> </w:t>
      </w:r>
      <w:r>
        <w:t xml:space="preserve">— la disfunzione che, nella ricostruzione clinica, ha innescato le altre. È a posteriori, non una prova.</w:t>
      </w:r>
      <w:r>
        <w:t xml:space="preserve"> </w:t>
      </w:r>
      <w:r>
        <w:rPr>
          <w:b/>
          <w:bCs/>
        </w:rPr>
        <w:t xml:space="preserve">Marker</w:t>
      </w:r>
      <w:r>
        <w:t xml:space="preserve"> </w:t>
      </w:r>
      <w:r>
        <w:t xml:space="preserve">— segno misurabile scelto</w:t>
      </w:r>
      <w:r>
        <w:t xml:space="preserve"> </w:t>
      </w:r>
      <w:r>
        <w:rPr>
          <w:b/>
          <w:bCs/>
        </w:rPr>
        <w:t xml:space="preserve">prima</w:t>
      </w:r>
      <w:r>
        <w:t xml:space="preserve"> </w:t>
      </w:r>
      <w:r>
        <w:t xml:space="preserve">di trattare e rimisurato dopo, per sapere se l’ipotesi era giusta. Non è il sintomo.</w:t>
      </w:r>
      <w:r>
        <w:t xml:space="preserve"> </w:t>
      </w:r>
      <w:r>
        <w:rPr>
          <w:b/>
          <w:bCs/>
        </w:rPr>
        <w:t xml:space="preserve">Insonnia</w:t>
      </w:r>
      <w:r>
        <w:t xml:space="preserve"> </w:t>
      </w:r>
      <w:r>
        <w:t xml:space="preserve">— difficoltà persistente ad addormentarsi o a restare addormentati, con conseguenze diurne. Nell’artrosi si tratta a parte, e il rinvio è a chi la cura.</w:t>
      </w:r>
      <w:r>
        <w:t xml:space="preserve"> </w:t>
      </w:r>
      <w:r>
        <w:rPr>
          <w:b/>
          <w:bCs/>
        </w:rPr>
        <w:t xml:space="preserve">Meta-analisi in rete</w:t>
      </w:r>
      <w:r>
        <w:t xml:space="preserve"> </w:t>
      </w:r>
      <w:r>
        <w:t xml:space="preserve">— confronta indirettamente trattamenti mai testati uno contro l’altro.</w:t>
      </w:r>
      <w:r>
        <w:t xml:space="preserve"> </w:t>
      </w:r>
      <w:r>
        <w:rPr>
          <w:b/>
          <w:bCs/>
        </w:rPr>
        <w:t xml:space="preserve">Meta-regressione</w:t>
      </w:r>
      <w:r>
        <w:t xml:space="preserve"> </w:t>
      </w:r>
      <w:r>
        <w:t xml:space="preserve">— cerca quali caratteristiche degli studi spiegano le differenze di risultato. Confronta sottogruppi non randomizzati.</w:t>
      </w:r>
      <w:r>
        <w:t xml:space="preserve"> </w:t>
      </w:r>
      <w:r>
        <w:rPr>
          <w:b/>
          <w:bCs/>
        </w:rPr>
        <w:t xml:space="preserve">Modulazione condizionata del dolore</w:t>
      </w:r>
      <w:r>
        <w:t xml:space="preserve"> </w:t>
      </w:r>
      <w:r>
        <w:t xml:space="preserve">— capacità di ridurre un dolore quando ne è presente un altro. È il</w:t>
      </w:r>
      <w:r>
        <w:t xml:space="preserve"> </w:t>
      </w:r>
      <w:r>
        <w:t xml:space="preserve">“freno discendente”</w:t>
      </w:r>
      <w:r>
        <w:t xml:space="preserve">, nell’artrosi spesso meno efficiente.</w:t>
      </w:r>
      <w:r>
        <w:t xml:space="preserve"> </w:t>
      </w:r>
      <w:r>
        <w:rPr>
          <w:b/>
          <w:bCs/>
        </w:rPr>
        <w:t xml:space="preserve">Moderatore</w:t>
      </w:r>
      <w:r>
        <w:t xml:space="preserve"> </w:t>
      </w:r>
      <w:r>
        <w:t xml:space="preserve">— caratteristica del paziente che cambia quanto un trattamento rende. Diverso dal predittore di decorso, che dice come andrà senza trattamento.</w:t>
      </w:r>
      <w:r>
        <w:t xml:space="preserve"> </w:t>
      </w:r>
      <w:r>
        <w:rPr>
          <w:b/>
          <w:bCs/>
        </w:rPr>
        <w:t xml:space="preserve">Momento adduttorio del ginocchio</w:t>
      </w:r>
      <w:r>
        <w:t xml:space="preserve"> </w:t>
      </w:r>
      <w:r>
        <w:t xml:space="preserve">— misura biomeccanica di quanto carico si concentra sul compartimento interno durante il cammino.</w:t>
      </w:r>
      <w:r>
        <w:t xml:space="preserve"> </w:t>
      </w:r>
      <w:r>
        <w:rPr>
          <w:b/>
          <w:bCs/>
        </w:rPr>
        <w:t xml:space="preserve">Osso subcondrale</w:t>
      </w:r>
      <w:r>
        <w:t xml:space="preserve"> </w:t>
      </w:r>
      <w:r>
        <w:t xml:space="preserve">— l’osso immediatamente sotto la cartilagine, ricco di terminazioni dolorifiche.</w:t>
      </w:r>
      <w:r>
        <w:t xml:space="preserve"> </w:t>
      </w:r>
      <w:r>
        <w:rPr>
          <w:b/>
          <w:bCs/>
        </w:rPr>
        <w:t xml:space="preserve">Osteofita</w:t>
      </w:r>
      <w:r>
        <w:t xml:space="preserve"> </w:t>
      </w:r>
      <w:r>
        <w:t xml:space="preserve">— escrescenza ossea ai margini articolari, tipica del rimodellamento artrosico.</w:t>
      </w:r>
      <w:r>
        <w:t xml:space="preserve"> </w:t>
      </w:r>
      <w:r>
        <w:rPr>
          <w:b/>
          <w:bCs/>
        </w:rPr>
        <w:t xml:space="preserve">PROBABILE</w:t>
      </w:r>
      <w:r>
        <w:t xml:space="preserve"> </w:t>
      </w:r>
      <w:r>
        <w:t xml:space="preserve">— etichetta di solidità: razionale forte, prove parziali.</w:t>
      </w:r>
      <w:r>
        <w:t xml:space="preserve"> </w:t>
      </w:r>
      <w:r>
        <w:rPr>
          <w:b/>
          <w:bCs/>
        </w:rPr>
        <w:t xml:space="preserve">RAGIONAMENTO</w:t>
      </w:r>
      <w:r>
        <w:t xml:space="preserve"> </w:t>
      </w:r>
      <w:r>
        <w:t xml:space="preserve">— etichetta di solidità: cornice clinica, non una prova.</w:t>
      </w:r>
      <w:r>
        <w:t xml:space="preserve"> </w:t>
      </w:r>
      <w:r>
        <w:rPr>
          <w:b/>
          <w:bCs/>
        </w:rPr>
        <w:t xml:space="preserve">Placebo attivo</w:t>
      </w:r>
      <w:r>
        <w:t xml:space="preserve"> </w:t>
      </w:r>
      <w:r>
        <w:t xml:space="preserve">— confronto che riproduce l’esperienza del trattamento senza il suo ingrediente attivo, così che il paziente non sappia in quale gruppo è.</w:t>
      </w:r>
      <w:r>
        <w:t xml:space="preserve"> </w:t>
      </w:r>
      <w:r>
        <w:rPr>
          <w:b/>
          <w:bCs/>
        </w:rPr>
        <w:t xml:space="preserve">Reperto disfunzionale</w:t>
      </w:r>
      <w:r>
        <w:t xml:space="preserve"> </w:t>
      </w:r>
      <w:r>
        <w:t xml:space="preserve">— quello che trovi con le mani e con i test, e scrivi in cartella. Non è la diagnosi: è il bersaglio del tuo lavoro.</w:t>
      </w:r>
      <w:r>
        <w:t xml:space="preserve"> </w:t>
      </w:r>
      <w:r>
        <w:rPr>
          <w:b/>
          <w:bCs/>
        </w:rPr>
        <w:t xml:space="preserve">Rizoartrosi</w:t>
      </w:r>
      <w:r>
        <w:t xml:space="preserve"> </w:t>
      </w:r>
      <w:r>
        <w:t xml:space="preserve">— artrosi della base del pollice.</w:t>
      </w:r>
      <w:r>
        <w:t xml:space="preserve"> </w:t>
      </w:r>
      <w:r>
        <w:rPr>
          <w:b/>
          <w:bCs/>
        </w:rPr>
        <w:t xml:space="preserve">Sensibilizzazione centrale</w:t>
      </w:r>
      <w:r>
        <w:t xml:space="preserve"> </w:t>
      </w:r>
      <w:r>
        <w:t xml:space="preserve">— aumentata eccitabilità dei neuroni centrali: uno stimolo normale produce più dolore del previsto.</w:t>
      </w:r>
      <w:r>
        <w:t xml:space="preserve"> </w:t>
      </w:r>
      <w:r>
        <w:rPr>
          <w:b/>
          <w:bCs/>
        </w:rPr>
        <w:t xml:space="preserve">Sinovia</w:t>
      </w:r>
      <w:r>
        <w:t xml:space="preserve"> </w:t>
      </w:r>
      <w:r>
        <w:t xml:space="preserve">— la membrana che riveste internamente l’articolazione e produce il liquido sinoviale.</w:t>
      </w:r>
      <w:r>
        <w:t xml:space="preserve"> </w:t>
      </w:r>
      <w:r>
        <w:rPr>
          <w:b/>
          <w:bCs/>
        </w:rPr>
        <w:t xml:space="preserve">Sinovite</w:t>
      </w:r>
      <w:r>
        <w:t xml:space="preserve"> </w:t>
      </w:r>
      <w:r>
        <w:t xml:space="preserve">— infiammazione della membrana sinoviale. È una delle due sorgenti di dolore dell’artrosi.</w:t>
      </w:r>
      <w:r>
        <w:t xml:space="preserve"> </w:t>
      </w:r>
      <w:r>
        <w:rPr>
          <w:b/>
          <w:bCs/>
        </w:rPr>
        <w:t xml:space="preserve">Sistema dominante</w:t>
      </w:r>
      <w:r>
        <w:t xml:space="preserve"> </w:t>
      </w:r>
      <w:r>
        <w:t xml:space="preserve">— il piano che consuma più capacità di adattamento degli altri in questo paziente. Ipotesi di lavoro, non fatto misurato: porta sempre l’etichetta RAGIONAMENTO.</w:t>
      </w:r>
      <w:r>
        <w:t xml:space="preserve"> </w:t>
      </w:r>
      <w:r>
        <w:rPr>
          <w:b/>
          <w:bCs/>
        </w:rPr>
        <w:t xml:space="preserve">SMD</w:t>
      </w:r>
      <w:r>
        <w:t xml:space="preserve"> </w:t>
      </w:r>
      <w:r>
        <w:t xml:space="preserve">— misura di quanto un trattamento batte il suo confronto, in deviazioni standard. Sotto 0,2 trascurabile, intorno a 0,5 medio, sopra 0,8 grande.</w:t>
      </w:r>
      <w:r>
        <w:t xml:space="preserve"> </w:t>
      </w:r>
      <w:r>
        <w:rPr>
          <w:b/>
          <w:bCs/>
        </w:rPr>
        <w:t xml:space="preserve">Soglia dolorosa alla pressione</w:t>
      </w:r>
      <w:r>
        <w:t xml:space="preserve"> </w:t>
      </w:r>
      <w:r>
        <w:t xml:space="preserve">— la pressione minima percepita come dolorosa, misurata con un algometro.</w:t>
      </w:r>
      <w:r>
        <w:t xml:space="preserve"> </w:t>
      </w:r>
      <w:r>
        <w:rPr>
          <w:b/>
          <w:bCs/>
        </w:rPr>
        <w:t xml:space="preserve">Sommazione temporale</w:t>
      </w:r>
      <w:r>
        <w:t xml:space="preserve"> </w:t>
      </w:r>
      <w:r>
        <w:t xml:space="preserve">— aumento progressivo del dolore percepito quando uno stimolo identico viene ripetuto.</w:t>
      </w:r>
      <w:r>
        <w:t xml:space="preserve"> </w:t>
      </w:r>
      <w:r>
        <w:rPr>
          <w:b/>
          <w:bCs/>
        </w:rPr>
        <w:t xml:space="preserve">Stato irritabile</w:t>
      </w:r>
      <w:r>
        <w:t xml:space="preserve"> </w:t>
      </w:r>
      <w:r>
        <w:t xml:space="preserve">— riacutizzazione artrosica temporanea: dolore oltre le 24 ore dopo il carico, versamento che va e viene. Non è l’articolazione calda della bandiera rossa.</w:t>
      </w:r>
      <w:r>
        <w:t xml:space="preserve"> </w:t>
      </w:r>
      <w:r>
        <w:rPr>
          <w:b/>
          <w:bCs/>
        </w:rPr>
        <w:t xml:space="preserve">Traiettoria</w:t>
      </w:r>
      <w:r>
        <w:t xml:space="preserve"> </w:t>
      </w:r>
      <w:r>
        <w:t xml:space="preserve">— l’andamento del dolore nel tempo. Quasi metà dei pazienti l’ha lieve stabile o in miglioramento.</w:t>
      </w:r>
      <w:r>
        <w:t xml:space="preserve"> </w:t>
      </w:r>
      <w:r>
        <w:rPr>
          <w:b/>
          <w:bCs/>
        </w:rPr>
        <w:t xml:space="preserve">Trombosi venosa profonda</w:t>
      </w:r>
      <w:r>
        <w:t xml:space="preserve"> </w:t>
      </w:r>
      <w:r>
        <w:t xml:space="preserve">— coagulo in una vena profonda dell’arto. Gonfiore che non è dentro l’articolazione: non si tocca, si manda.</w:t>
      </w:r>
      <w:r>
        <w:t xml:space="preserve"> </w:t>
      </w:r>
      <w:r>
        <w:rPr>
          <w:b/>
          <w:bCs/>
        </w:rPr>
        <w:t xml:space="preserve">Versamento</w:t>
      </w:r>
      <w:r>
        <w:t xml:space="preserve"> </w:t>
      </w:r>
      <w:r>
        <w:t xml:space="preserve">— accumulo di liquido dentro l’articolazione.</w:t>
      </w:r>
      <w:r>
        <w:t xml:space="preserve"> </w:t>
      </w:r>
      <w:r>
        <w:rPr>
          <w:b/>
          <w:bCs/>
        </w:rPr>
        <w:t xml:space="preserve">WOMAC</w:t>
      </w:r>
      <w:r>
        <w:t xml:space="preserve"> </w:t>
      </w:r>
      <w:r>
        <w:t xml:space="preserve">— questionario sull’artrosi di anca e ginocchio, scala 0-240, su dolore, rigidità e funzione.</w:t>
      </w:r>
    </w:p>
    <w:p>
      <w:r>
        <w:pict>
          <v:rect style="width:0;height:1.5pt" o:hralign="center" o:hrstd="t" o:hr="t"/>
        </w:pict>
      </w:r>
    </w:p>
    <w:bookmarkEnd w:id="82"/>
    <w:bookmarkStart w:id="148" w:name="appendice-b-le-fonti"/>
    <w:p>
      <w:pPr>
        <w:pStyle w:val="Heading2"/>
      </w:pPr>
      <w:r>
        <w:t xml:space="preserve">Appendice B — Le fonti</w:t>
      </w:r>
    </w:p>
    <w:p>
      <w:pPr>
        <w:pStyle w:val="FirstParagraph"/>
      </w:pPr>
      <w:r>
        <w:t xml:space="preserve">Tutti i PMID sono verificati, e</w:t>
      </w:r>
      <w:r>
        <w:t xml:space="preserve"> </w:t>
      </w:r>
      <w:r>
        <w:rPr>
          <w:b/>
          <w:bCs/>
        </w:rPr>
        <w:t xml:space="preserve">ogni fonte elencata qui compare nel corpo del documento</w:t>
      </w:r>
      <w:r>
        <w:t xml:space="preserve">. Le voci</w:t>
      </w:r>
      <w:r>
        <w:t xml:space="preserve"> </w:t>
      </w:r>
      <w:r>
        <w:rPr>
          <w:b/>
          <w:bCs/>
        </w:rPr>
        <w:t xml:space="preserve">in grassetto</w:t>
      </w:r>
      <w:r>
        <w:t xml:space="preserve"> </w:t>
      </w:r>
      <w:r>
        <w:t xml:space="preserve">sono nuove in questa versione.</w:t>
      </w:r>
    </w:p>
    <w:p>
      <w:pPr>
        <w:pStyle w:val="Compact"/>
        <w:numPr>
          <w:ilvl w:val="0"/>
          <w:numId w:val="1030"/>
        </w:numPr>
      </w:pPr>
      <w:r>
        <w:t xml:space="preserve">Zou K, et al. </w:t>
      </w:r>
      <w:r>
        <w:rPr>
          <w:i/>
          <w:iCs/>
        </w:rPr>
        <w:t xml:space="preserve">Ann Rheum Dis</w:t>
      </w:r>
      <w:r>
        <w:t xml:space="preserve"> </w:t>
      </w:r>
      <w:r>
        <w:t xml:space="preserve">2016 —</w:t>
      </w:r>
      <w:r>
        <w:t xml:space="preserve"> </w:t>
      </w:r>
      <w:hyperlink r:id="rId83">
        <w:r>
          <w:rPr>
            <w:rStyle w:val="Hyperlink"/>
          </w:rPr>
          <w:t xml:space="preserve">PMID 26882927</w:t>
        </w:r>
      </w:hyperlink>
    </w:p>
    <w:p>
      <w:pPr>
        <w:pStyle w:val="Compact"/>
        <w:numPr>
          <w:ilvl w:val="0"/>
          <w:numId w:val="1030"/>
        </w:numPr>
      </w:pPr>
      <w:r>
        <w:t xml:space="preserve">Bunzli S, et al. </w:t>
      </w:r>
      <w:r>
        <w:rPr>
          <w:i/>
          <w:iCs/>
        </w:rPr>
        <w:t xml:space="preserve">Clin Orthop Relat Res</w:t>
      </w:r>
      <w:r>
        <w:t xml:space="preserve"> </w:t>
      </w:r>
      <w:r>
        <w:t xml:space="preserve">2019 —</w:t>
      </w:r>
      <w:r>
        <w:t xml:space="preserve"> </w:t>
      </w:r>
      <w:hyperlink r:id="rId84">
        <w:r>
          <w:rPr>
            <w:rStyle w:val="Hyperlink"/>
          </w:rPr>
          <w:t xml:space="preserve">PMID 31192807</w:t>
        </w:r>
      </w:hyperlink>
    </w:p>
    <w:p>
      <w:pPr>
        <w:pStyle w:val="Compact"/>
        <w:numPr>
          <w:ilvl w:val="0"/>
          <w:numId w:val="1030"/>
        </w:numPr>
      </w:pPr>
      <w:r>
        <w:t xml:space="preserve">Dieppe PA, Lohmander LS.</w:t>
      </w:r>
      <w:r>
        <w:t xml:space="preserve"> </w:t>
      </w:r>
      <w:r>
        <w:rPr>
          <w:i/>
          <w:iCs/>
        </w:rPr>
        <w:t xml:space="preserve">Lancet</w:t>
      </w:r>
      <w:r>
        <w:t xml:space="preserve"> </w:t>
      </w:r>
      <w:r>
        <w:t xml:space="preserve">2005 —</w:t>
      </w:r>
      <w:r>
        <w:t xml:space="preserve"> </w:t>
      </w:r>
      <w:hyperlink r:id="rId85">
        <w:r>
          <w:rPr>
            <w:rStyle w:val="Hyperlink"/>
          </w:rPr>
          <w:t xml:space="preserve">PMID 15766999</w:t>
        </w:r>
      </w:hyperlink>
    </w:p>
    <w:p>
      <w:pPr>
        <w:pStyle w:val="Compact"/>
        <w:numPr>
          <w:ilvl w:val="0"/>
          <w:numId w:val="1030"/>
        </w:numPr>
      </w:pPr>
      <w:r>
        <w:t xml:space="preserve">NICE.</w:t>
      </w:r>
      <w:r>
        <w:t xml:space="preserve"> </w:t>
      </w:r>
      <w:r>
        <w:rPr>
          <w:i/>
          <w:iCs/>
        </w:rPr>
        <w:t xml:space="preserve">Osteoarthritis in over 16s.</w:t>
      </w:r>
      <w:r>
        <w:t xml:space="preserve"> </w:t>
      </w:r>
      <w:r>
        <w:t xml:space="preserve">NG226, 2022 —</w:t>
      </w:r>
      <w:r>
        <w:t xml:space="preserve"> </w:t>
      </w:r>
      <w:hyperlink r:id="rId86">
        <w:r>
          <w:rPr>
            <w:rStyle w:val="Hyperlink"/>
          </w:rPr>
          <w:t xml:space="preserve">NG226</w:t>
        </w:r>
      </w:hyperlink>
    </w:p>
    <w:p>
      <w:pPr>
        <w:pStyle w:val="Compact"/>
        <w:numPr>
          <w:ilvl w:val="0"/>
          <w:numId w:val="1030"/>
        </w:numPr>
      </w:pPr>
      <w:r>
        <w:rPr>
          <w:b/>
          <w:bCs/>
        </w:rPr>
        <w:t xml:space="preserve">NICE.</w:t>
      </w:r>
      <w:r>
        <w:rPr>
          <w:b/>
          <w:bCs/>
        </w:rPr>
        <w:t xml:space="preserve"> </w:t>
      </w:r>
      <w:r>
        <w:rPr>
          <w:b/>
          <w:bCs/>
          <w:i/>
          <w:iCs/>
        </w:rPr>
        <w:t xml:space="preserve">Rheumatoid arthritis in adults.</w:t>
      </w:r>
      <w:r>
        <w:rPr>
          <w:b/>
          <w:bCs/>
        </w:rPr>
        <w:t xml:space="preserve"> </w:t>
      </w:r>
      <w:r>
        <w:rPr>
          <w:b/>
          <w:bCs/>
        </w:rPr>
        <w:t xml:space="preserve">NG100, 2018, e standard di qualità QS33</w:t>
      </w:r>
      <w:r>
        <w:t xml:space="preserve"> </w:t>
      </w:r>
      <w:r>
        <w:t xml:space="preserve">—</w:t>
      </w:r>
      <w:r>
        <w:t xml:space="preserve"> </w:t>
      </w:r>
      <w:hyperlink r:id="rId87">
        <w:r>
          <w:rPr>
            <w:rStyle w:val="Hyperlink"/>
          </w:rPr>
          <w:t xml:space="preserve">NG100</w:t>
        </w:r>
      </w:hyperlink>
    </w:p>
    <w:p>
      <w:pPr>
        <w:pStyle w:val="Compact"/>
        <w:numPr>
          <w:ilvl w:val="0"/>
          <w:numId w:val="1030"/>
        </w:numPr>
      </w:pPr>
      <w:r>
        <w:t xml:space="preserve">GBD 2021 Osteoarthritis Collaborators.</w:t>
      </w:r>
      <w:r>
        <w:t xml:space="preserve"> </w:t>
      </w:r>
      <w:r>
        <w:rPr>
          <w:i/>
          <w:iCs/>
        </w:rPr>
        <w:t xml:space="preserve">Lancet Rheumatol</w:t>
      </w:r>
      <w:r>
        <w:t xml:space="preserve"> </w:t>
      </w:r>
      <w:r>
        <w:t xml:space="preserve">2023 —</w:t>
      </w:r>
      <w:r>
        <w:t xml:space="preserve"> </w:t>
      </w:r>
      <w:hyperlink r:id="rId88">
        <w:r>
          <w:rPr>
            <w:rStyle w:val="Hyperlink"/>
          </w:rPr>
          <w:t xml:space="preserve">PMID 37675071</w:t>
        </w:r>
      </w:hyperlink>
    </w:p>
    <w:p>
      <w:pPr>
        <w:pStyle w:val="Compact"/>
        <w:numPr>
          <w:ilvl w:val="0"/>
          <w:numId w:val="1030"/>
        </w:numPr>
      </w:pPr>
      <w:r>
        <w:t xml:space="preserve">Ferreira ML, et al. </w:t>
      </w:r>
      <w:r>
        <w:rPr>
          <w:i/>
          <w:iCs/>
        </w:rPr>
        <w:t xml:space="preserve">Osteoarthritis Cartilage</w:t>
      </w:r>
      <w:r>
        <w:t xml:space="preserve"> </w:t>
      </w:r>
      <w:r>
        <w:t xml:space="preserve">2016 —</w:t>
      </w:r>
      <w:r>
        <w:t xml:space="preserve"> </w:t>
      </w:r>
      <w:hyperlink r:id="rId89">
        <w:r>
          <w:rPr>
            <w:rStyle w:val="Hyperlink"/>
          </w:rPr>
          <w:t xml:space="preserve">PMID 27492467</w:t>
        </w:r>
      </w:hyperlink>
    </w:p>
    <w:p>
      <w:pPr>
        <w:pStyle w:val="Compact"/>
        <w:numPr>
          <w:ilvl w:val="0"/>
          <w:numId w:val="1030"/>
        </w:numPr>
      </w:pPr>
      <w:r>
        <w:rPr>
          <w:b/>
          <w:bCs/>
        </w:rPr>
        <w:t xml:space="preserve">Nicholls E, et al. </w:t>
      </w:r>
      <w:r>
        <w:rPr>
          <w:b/>
          <w:bCs/>
          <w:i/>
          <w:iCs/>
        </w:rPr>
        <w:t xml:space="preserve">Osteoarthritis Cartilage</w:t>
      </w:r>
      <w:r>
        <w:rPr>
          <w:b/>
          <w:bCs/>
        </w:rPr>
        <w:t xml:space="preserve"> </w:t>
      </w:r>
      <w:r>
        <w:rPr>
          <w:b/>
          <w:bCs/>
        </w:rPr>
        <w:t xml:space="preserve">2014</w:t>
      </w:r>
      <w:r>
        <w:t xml:space="preserve"> </w:t>
      </w:r>
      <w:r>
        <w:t xml:space="preserve">—</w:t>
      </w:r>
      <w:r>
        <w:t xml:space="preserve"> </w:t>
      </w:r>
      <w:hyperlink r:id="rId90">
        <w:r>
          <w:rPr>
            <w:rStyle w:val="Hyperlink"/>
          </w:rPr>
          <w:t xml:space="preserve">PMID 25305072</w:t>
        </w:r>
      </w:hyperlink>
    </w:p>
    <w:p>
      <w:pPr>
        <w:pStyle w:val="Compact"/>
        <w:numPr>
          <w:ilvl w:val="0"/>
          <w:numId w:val="1030"/>
        </w:numPr>
      </w:pPr>
      <w:r>
        <w:rPr>
          <w:b/>
          <w:bCs/>
        </w:rPr>
        <w:t xml:space="preserve">Previtali D, et al. </w:t>
      </w:r>
      <w:r>
        <w:rPr>
          <w:b/>
          <w:bCs/>
          <w:i/>
          <w:iCs/>
        </w:rPr>
        <w:t xml:space="preserve">J Clin Med</w:t>
      </w:r>
      <w:r>
        <w:rPr>
          <w:b/>
          <w:bCs/>
        </w:rPr>
        <w:t xml:space="preserve"> </w:t>
      </w:r>
      <w:r>
        <w:rPr>
          <w:b/>
          <w:bCs/>
        </w:rPr>
        <w:t xml:space="preserve">2020</w:t>
      </w:r>
      <w:r>
        <w:t xml:space="preserve"> </w:t>
      </w:r>
      <w:r>
        <w:t xml:space="preserve">—</w:t>
      </w:r>
      <w:r>
        <w:t xml:space="preserve"> </w:t>
      </w:r>
      <w:hyperlink r:id="rId91">
        <w:r>
          <w:rPr>
            <w:rStyle w:val="Hyperlink"/>
          </w:rPr>
          <w:t xml:space="preserve">PMID 32882828</w:t>
        </w:r>
      </w:hyperlink>
    </w:p>
    <w:p>
      <w:pPr>
        <w:pStyle w:val="Compact"/>
        <w:numPr>
          <w:ilvl w:val="0"/>
          <w:numId w:val="1030"/>
        </w:numPr>
      </w:pPr>
      <w:r>
        <w:t xml:space="preserve">Bedson J, Croft PR.</w:t>
      </w:r>
      <w:r>
        <w:t xml:space="preserve"> </w:t>
      </w:r>
      <w:r>
        <w:rPr>
          <w:i/>
          <w:iCs/>
        </w:rPr>
        <w:t xml:space="preserve">BMC Musculoskelet Disord</w:t>
      </w:r>
      <w:r>
        <w:t xml:space="preserve"> </w:t>
      </w:r>
      <w:r>
        <w:t xml:space="preserve">2008 —</w:t>
      </w:r>
      <w:r>
        <w:t xml:space="preserve"> </w:t>
      </w:r>
      <w:hyperlink r:id="rId92">
        <w:r>
          <w:rPr>
            <w:rStyle w:val="Hyperlink"/>
          </w:rPr>
          <w:t xml:space="preserve">PMID 18764949</w:t>
        </w:r>
      </w:hyperlink>
    </w:p>
    <w:p>
      <w:pPr>
        <w:pStyle w:val="Compact"/>
        <w:numPr>
          <w:ilvl w:val="0"/>
          <w:numId w:val="1030"/>
        </w:numPr>
      </w:pPr>
      <w:r>
        <w:rPr>
          <w:b/>
          <w:bCs/>
        </w:rPr>
        <w:t xml:space="preserve">Abhishek A, et al. </w:t>
      </w:r>
      <w:r>
        <w:rPr>
          <w:b/>
          <w:bCs/>
          <w:i/>
          <w:iCs/>
        </w:rPr>
        <w:t xml:space="preserve">Arthritis Rheumatol</w:t>
      </w:r>
      <w:r>
        <w:rPr>
          <w:b/>
          <w:bCs/>
        </w:rPr>
        <w:t xml:space="preserve"> </w:t>
      </w:r>
      <w:r>
        <w:rPr>
          <w:b/>
          <w:bCs/>
        </w:rPr>
        <w:t xml:space="preserve">2023 (criteri CPPD)</w:t>
      </w:r>
      <w:r>
        <w:t xml:space="preserve"> </w:t>
      </w:r>
      <w:r>
        <w:t xml:space="preserve">—</w:t>
      </w:r>
      <w:r>
        <w:t xml:space="preserve"> </w:t>
      </w:r>
      <w:hyperlink r:id="rId93">
        <w:r>
          <w:rPr>
            <w:rStyle w:val="Hyperlink"/>
          </w:rPr>
          <w:t xml:space="preserve">PMID 37494275</w:t>
        </w:r>
      </w:hyperlink>
    </w:p>
    <w:p>
      <w:pPr>
        <w:pStyle w:val="Compact"/>
        <w:numPr>
          <w:ilvl w:val="0"/>
          <w:numId w:val="1030"/>
        </w:numPr>
      </w:pPr>
      <w:r>
        <w:t xml:space="preserve">Rice DA, McNair PJ.</w:t>
      </w:r>
      <w:r>
        <w:t xml:space="preserve"> </w:t>
      </w:r>
      <w:r>
        <w:rPr>
          <w:i/>
          <w:iCs/>
        </w:rPr>
        <w:t xml:space="preserve">Semin Arthritis Rheum</w:t>
      </w:r>
      <w:r>
        <w:t xml:space="preserve"> </w:t>
      </w:r>
      <w:r>
        <w:t xml:space="preserve">2010 —</w:t>
      </w:r>
      <w:r>
        <w:t xml:space="preserve"> </w:t>
      </w:r>
      <w:hyperlink r:id="rId94">
        <w:r>
          <w:rPr>
            <w:rStyle w:val="Hyperlink"/>
          </w:rPr>
          <w:t xml:space="preserve">PMID 19954822</w:t>
        </w:r>
      </w:hyperlink>
    </w:p>
    <w:p>
      <w:pPr>
        <w:pStyle w:val="Compact"/>
        <w:numPr>
          <w:ilvl w:val="0"/>
          <w:numId w:val="1030"/>
        </w:numPr>
      </w:pPr>
      <w:r>
        <w:rPr>
          <w:b/>
          <w:bCs/>
        </w:rPr>
        <w:t xml:space="preserve">Lepley LK, et al. </w:t>
      </w:r>
      <w:r>
        <w:rPr>
          <w:b/>
          <w:bCs/>
          <w:i/>
          <w:iCs/>
        </w:rPr>
        <w:t xml:space="preserve">Knee Surg Sports Traumatol Arthrosc</w:t>
      </w:r>
      <w:r>
        <w:rPr>
          <w:b/>
          <w:bCs/>
        </w:rPr>
        <w:t xml:space="preserve"> </w:t>
      </w:r>
      <w:r>
        <w:rPr>
          <w:b/>
          <w:bCs/>
        </w:rPr>
        <w:t xml:space="preserve">2015</w:t>
      </w:r>
      <w:r>
        <w:t xml:space="preserve"> </w:t>
      </w:r>
      <w:r>
        <w:t xml:space="preserve">—</w:t>
      </w:r>
      <w:r>
        <w:t xml:space="preserve"> </w:t>
      </w:r>
      <w:hyperlink r:id="rId95">
        <w:r>
          <w:rPr>
            <w:rStyle w:val="Hyperlink"/>
          </w:rPr>
          <w:t xml:space="preserve">PMID 24326780</w:t>
        </w:r>
      </w:hyperlink>
    </w:p>
    <w:p>
      <w:pPr>
        <w:pStyle w:val="Compact"/>
        <w:numPr>
          <w:ilvl w:val="0"/>
          <w:numId w:val="1030"/>
        </w:numPr>
      </w:pPr>
      <w:r>
        <w:rPr>
          <w:b/>
          <w:bCs/>
        </w:rPr>
        <w:t xml:space="preserve">Rice DA, et al. </w:t>
      </w:r>
      <w:r>
        <w:rPr>
          <w:b/>
          <w:bCs/>
          <w:i/>
          <w:iCs/>
        </w:rPr>
        <w:t xml:space="preserve">Arthritis Res Ther</w:t>
      </w:r>
      <w:r>
        <w:rPr>
          <w:b/>
          <w:bCs/>
        </w:rPr>
        <w:t xml:space="preserve"> </w:t>
      </w:r>
      <w:r>
        <w:rPr>
          <w:b/>
          <w:bCs/>
        </w:rPr>
        <w:t xml:space="preserve">2014</w:t>
      </w:r>
      <w:r>
        <w:t xml:space="preserve"> </w:t>
      </w:r>
      <w:r>
        <w:t xml:space="preserve">—</w:t>
      </w:r>
      <w:r>
        <w:t xml:space="preserve"> </w:t>
      </w:r>
      <w:hyperlink r:id="rId96">
        <w:r>
          <w:rPr>
            <w:rStyle w:val="Hyperlink"/>
          </w:rPr>
          <w:t xml:space="preserve">PMID 25497133</w:t>
        </w:r>
      </w:hyperlink>
    </w:p>
    <w:p>
      <w:pPr>
        <w:pStyle w:val="Compact"/>
        <w:numPr>
          <w:ilvl w:val="0"/>
          <w:numId w:val="1030"/>
        </w:numPr>
      </w:pPr>
      <w:r>
        <w:rPr>
          <w:b/>
          <w:bCs/>
        </w:rPr>
        <w:t xml:space="preserve">Campbell TM, McGonagle D.</w:t>
      </w:r>
      <w:r>
        <w:rPr>
          <w:b/>
          <w:bCs/>
        </w:rPr>
        <w:t xml:space="preserve"> </w:t>
      </w:r>
      <w:r>
        <w:rPr>
          <w:b/>
          <w:bCs/>
          <w:i/>
          <w:iCs/>
        </w:rPr>
        <w:t xml:space="preserve">Ann Phys Rehabil Med</w:t>
      </w:r>
      <w:r>
        <w:rPr>
          <w:b/>
          <w:bCs/>
        </w:rPr>
        <w:t xml:space="preserve"> </w:t>
      </w:r>
      <w:r>
        <w:rPr>
          <w:b/>
          <w:bCs/>
        </w:rPr>
        <w:t xml:space="preserve">2021 (contrattura in flessione)</w:t>
      </w:r>
      <w:r>
        <w:t xml:space="preserve"> </w:t>
      </w:r>
      <w:r>
        <w:t xml:space="preserve">—</w:t>
      </w:r>
      <w:r>
        <w:t xml:space="preserve"> </w:t>
      </w:r>
      <w:hyperlink r:id="rId97">
        <w:r>
          <w:rPr>
            <w:rStyle w:val="Hyperlink"/>
          </w:rPr>
          <w:t xml:space="preserve">PMID 33065299</w:t>
        </w:r>
      </w:hyperlink>
    </w:p>
    <w:p>
      <w:pPr>
        <w:pStyle w:val="Compact"/>
        <w:numPr>
          <w:ilvl w:val="0"/>
          <w:numId w:val="1030"/>
        </w:numPr>
      </w:pPr>
      <w:r>
        <w:t xml:space="preserve">Bennell KL, et al. </w:t>
      </w:r>
      <w:r>
        <w:rPr>
          <w:i/>
          <w:iCs/>
        </w:rPr>
        <w:t xml:space="preserve">Osteoarthritis Cartilage</w:t>
      </w:r>
      <w:r>
        <w:t xml:space="preserve"> </w:t>
      </w:r>
      <w:r>
        <w:t xml:space="preserve">2010 —</w:t>
      </w:r>
      <w:r>
        <w:t xml:space="preserve"> </w:t>
      </w:r>
      <w:hyperlink r:id="rId98">
        <w:r>
          <w:rPr>
            <w:rStyle w:val="Hyperlink"/>
          </w:rPr>
          <w:t xml:space="preserve">PMID 20175973</w:t>
        </w:r>
      </w:hyperlink>
    </w:p>
    <w:p>
      <w:pPr>
        <w:pStyle w:val="Compact"/>
        <w:numPr>
          <w:ilvl w:val="0"/>
          <w:numId w:val="1030"/>
        </w:numPr>
      </w:pPr>
      <w:r>
        <w:rPr>
          <w:b/>
          <w:bCs/>
        </w:rPr>
        <w:t xml:space="preserve">Cornelis FMF, et al. </w:t>
      </w:r>
      <w:r>
        <w:rPr>
          <w:b/>
          <w:bCs/>
          <w:i/>
          <w:iCs/>
        </w:rPr>
        <w:t xml:space="preserve">J Exp Orthop</w:t>
      </w:r>
      <w:r>
        <w:rPr>
          <w:b/>
          <w:bCs/>
        </w:rPr>
        <w:t xml:space="preserve"> </w:t>
      </w:r>
      <w:r>
        <w:rPr>
          <w:b/>
          <w:bCs/>
        </w:rPr>
        <w:t xml:space="preserve">2025 (dolore d’anca riferito al ginocchio)</w:t>
      </w:r>
      <w:r>
        <w:t xml:space="preserve"> </w:t>
      </w:r>
      <w:r>
        <w:t xml:space="preserve">—</w:t>
      </w:r>
      <w:r>
        <w:t xml:space="preserve"> </w:t>
      </w:r>
      <w:hyperlink r:id="rId99">
        <w:r>
          <w:rPr>
            <w:rStyle w:val="Hyperlink"/>
          </w:rPr>
          <w:t xml:space="preserve">PMID 41245703</w:t>
        </w:r>
      </w:hyperlink>
    </w:p>
    <w:p>
      <w:pPr>
        <w:pStyle w:val="Compact"/>
        <w:numPr>
          <w:ilvl w:val="0"/>
          <w:numId w:val="1030"/>
        </w:numPr>
      </w:pPr>
      <w:r>
        <w:t xml:space="preserve">Felson DT, et al. </w:t>
      </w:r>
      <w:r>
        <w:rPr>
          <w:i/>
          <w:iCs/>
        </w:rPr>
        <w:t xml:space="preserve">Ann Intern Med</w:t>
      </w:r>
      <w:r>
        <w:t xml:space="preserve"> </w:t>
      </w:r>
      <w:r>
        <w:t xml:space="preserve">2001 —</w:t>
      </w:r>
      <w:r>
        <w:t xml:space="preserve"> </w:t>
      </w:r>
      <w:hyperlink r:id="rId100">
        <w:r>
          <w:rPr>
            <w:rStyle w:val="Hyperlink"/>
          </w:rPr>
          <w:t xml:space="preserve">PMID 11281736</w:t>
        </w:r>
      </w:hyperlink>
    </w:p>
    <w:p>
      <w:pPr>
        <w:pStyle w:val="Compact"/>
        <w:numPr>
          <w:ilvl w:val="0"/>
          <w:numId w:val="1030"/>
        </w:numPr>
      </w:pPr>
      <w:r>
        <w:t xml:space="preserve">Øiestad BE, et al. </w:t>
      </w:r>
      <w:r>
        <w:rPr>
          <w:i/>
          <w:iCs/>
        </w:rPr>
        <w:t xml:space="preserve">Br J Sports Med</w:t>
      </w:r>
      <w:r>
        <w:t xml:space="preserve"> </w:t>
      </w:r>
      <w:r>
        <w:t xml:space="preserve">2022 —</w:t>
      </w:r>
      <w:r>
        <w:t xml:space="preserve"> </w:t>
      </w:r>
      <w:hyperlink r:id="rId101">
        <w:r>
          <w:rPr>
            <w:rStyle w:val="Hyperlink"/>
          </w:rPr>
          <w:t xml:space="preserve">PMID 34916210</w:t>
        </w:r>
      </w:hyperlink>
    </w:p>
    <w:p>
      <w:pPr>
        <w:pStyle w:val="Compact"/>
        <w:numPr>
          <w:ilvl w:val="0"/>
          <w:numId w:val="1030"/>
        </w:numPr>
      </w:pPr>
      <w:r>
        <w:t xml:space="preserve">Arendt-Nielsen L, et al. </w:t>
      </w:r>
      <w:r>
        <w:rPr>
          <w:i/>
          <w:iCs/>
        </w:rPr>
        <w:t xml:space="preserve">Pain</w:t>
      </w:r>
      <w:r>
        <w:t xml:space="preserve"> </w:t>
      </w:r>
      <w:r>
        <w:t xml:space="preserve">2010 —</w:t>
      </w:r>
      <w:r>
        <w:t xml:space="preserve"> </w:t>
      </w:r>
      <w:hyperlink r:id="rId102">
        <w:r>
          <w:rPr>
            <w:rStyle w:val="Hyperlink"/>
          </w:rPr>
          <w:t xml:space="preserve">PMID 20418016</w:t>
        </w:r>
      </w:hyperlink>
    </w:p>
    <w:p>
      <w:pPr>
        <w:pStyle w:val="Compact"/>
        <w:numPr>
          <w:ilvl w:val="0"/>
          <w:numId w:val="1030"/>
        </w:numPr>
      </w:pPr>
      <w:r>
        <w:rPr>
          <w:b/>
          <w:bCs/>
        </w:rPr>
        <w:t xml:space="preserve">Soni A, et al. </w:t>
      </w:r>
      <w:r>
        <w:rPr>
          <w:b/>
          <w:bCs/>
          <w:i/>
          <w:iCs/>
        </w:rPr>
        <w:t xml:space="preserve">Arthritis Rheumatol</w:t>
      </w:r>
      <w:r>
        <w:rPr>
          <w:b/>
          <w:bCs/>
        </w:rPr>
        <w:t xml:space="preserve"> </w:t>
      </w:r>
      <w:r>
        <w:rPr>
          <w:b/>
          <w:bCs/>
        </w:rPr>
        <w:t xml:space="preserve">2019 (profilo neuropatico-simile, RVM)</w:t>
      </w:r>
      <w:r>
        <w:t xml:space="preserve"> </w:t>
      </w:r>
      <w:r>
        <w:t xml:space="preserve">—</w:t>
      </w:r>
      <w:r>
        <w:t xml:space="preserve"> </w:t>
      </w:r>
      <w:hyperlink r:id="rId103">
        <w:r>
          <w:rPr>
            <w:rStyle w:val="Hyperlink"/>
          </w:rPr>
          <w:t xml:space="preserve">PMID 30295432</w:t>
        </w:r>
      </w:hyperlink>
    </w:p>
    <w:p>
      <w:pPr>
        <w:pStyle w:val="Compact"/>
        <w:numPr>
          <w:ilvl w:val="0"/>
          <w:numId w:val="1030"/>
        </w:numPr>
      </w:pPr>
      <w:r>
        <w:rPr>
          <w:b/>
          <w:bCs/>
        </w:rPr>
        <w:t xml:space="preserve">Arant KR, et al. </w:t>
      </w:r>
      <w:r>
        <w:rPr>
          <w:b/>
          <w:bCs/>
          <w:i/>
          <w:iCs/>
        </w:rPr>
        <w:t xml:space="preserve">Osteoarthritis Cartilage</w:t>
      </w:r>
      <w:r>
        <w:rPr>
          <w:b/>
          <w:bCs/>
        </w:rPr>
        <w:t xml:space="preserve"> </w:t>
      </w:r>
      <w:r>
        <w:rPr>
          <w:b/>
          <w:bCs/>
        </w:rPr>
        <w:t xml:space="preserve">2022</w:t>
      </w:r>
      <w:r>
        <w:t xml:space="preserve"> </w:t>
      </w:r>
      <w:r>
        <w:t xml:space="preserve">—</w:t>
      </w:r>
      <w:r>
        <w:t xml:space="preserve"> </w:t>
      </w:r>
      <w:hyperlink r:id="rId104">
        <w:r>
          <w:rPr>
            <w:rStyle w:val="Hyperlink"/>
          </w:rPr>
          <w:t xml:space="preserve">PMID 34597800</w:t>
        </w:r>
      </w:hyperlink>
    </w:p>
    <w:p>
      <w:pPr>
        <w:pStyle w:val="Compact"/>
        <w:numPr>
          <w:ilvl w:val="0"/>
          <w:numId w:val="1030"/>
        </w:numPr>
      </w:pPr>
      <w:r>
        <w:t xml:space="preserve">Messier SP, et al. </w:t>
      </w:r>
      <w:r>
        <w:rPr>
          <w:i/>
          <w:iCs/>
        </w:rPr>
        <w:t xml:space="preserve">Arthritis Rheum</w:t>
      </w:r>
      <w:r>
        <w:t xml:space="preserve"> </w:t>
      </w:r>
      <w:r>
        <w:t xml:space="preserve">2005 —</w:t>
      </w:r>
      <w:r>
        <w:t xml:space="preserve"> </w:t>
      </w:r>
      <w:hyperlink r:id="rId105">
        <w:r>
          <w:rPr>
            <w:rStyle w:val="Hyperlink"/>
          </w:rPr>
          <w:t xml:space="preserve">PMID 15986358</w:t>
        </w:r>
      </w:hyperlink>
    </w:p>
    <w:p>
      <w:pPr>
        <w:pStyle w:val="Compact"/>
        <w:numPr>
          <w:ilvl w:val="0"/>
          <w:numId w:val="1030"/>
        </w:numPr>
      </w:pPr>
      <w:r>
        <w:rPr>
          <w:b/>
          <w:bCs/>
        </w:rPr>
        <w:t xml:space="preserve">Kobayashi S, et al. </w:t>
      </w:r>
      <w:r>
        <w:rPr>
          <w:b/>
          <w:bCs/>
          <w:i/>
          <w:iCs/>
        </w:rPr>
        <w:t xml:space="preserve">Osteoarthritis Cartilage</w:t>
      </w:r>
      <w:r>
        <w:rPr>
          <w:b/>
          <w:bCs/>
        </w:rPr>
        <w:t xml:space="preserve"> </w:t>
      </w:r>
      <w:r>
        <w:rPr>
          <w:b/>
          <w:bCs/>
        </w:rPr>
        <w:t xml:space="preserve">2016 (artrosi femoro-rotulea)</w:t>
      </w:r>
      <w:r>
        <w:t xml:space="preserve"> </w:t>
      </w:r>
      <w:r>
        <w:t xml:space="preserve">—</w:t>
      </w:r>
      <w:r>
        <w:t xml:space="preserve"> </w:t>
      </w:r>
      <w:hyperlink r:id="rId106">
        <w:r>
          <w:rPr>
            <w:rStyle w:val="Hyperlink"/>
          </w:rPr>
          <w:t xml:space="preserve">PMID 27188684</w:t>
        </w:r>
      </w:hyperlink>
    </w:p>
    <w:p>
      <w:pPr>
        <w:pStyle w:val="Compact"/>
        <w:numPr>
          <w:ilvl w:val="0"/>
          <w:numId w:val="1030"/>
        </w:numPr>
      </w:pPr>
      <w:r>
        <w:rPr>
          <w:b/>
          <w:bCs/>
        </w:rPr>
        <w:t xml:space="preserve">Manlapaz DG, et al. </w:t>
      </w:r>
      <w:r>
        <w:rPr>
          <w:b/>
          <w:bCs/>
          <w:i/>
          <w:iCs/>
        </w:rPr>
        <w:t xml:space="preserve">PM R</w:t>
      </w:r>
      <w:r>
        <w:rPr>
          <w:b/>
          <w:bCs/>
        </w:rPr>
        <w:t xml:space="preserve"> </w:t>
      </w:r>
      <w:r>
        <w:rPr>
          <w:b/>
          <w:bCs/>
        </w:rPr>
        <w:t xml:space="preserve">2019 (rischio di caduta)</w:t>
      </w:r>
      <w:r>
        <w:t xml:space="preserve"> </w:t>
      </w:r>
      <w:r>
        <w:t xml:space="preserve">—</w:t>
      </w:r>
      <w:r>
        <w:t xml:space="preserve"> </w:t>
      </w:r>
      <w:hyperlink r:id="rId107">
        <w:r>
          <w:rPr>
            <w:rStyle w:val="Hyperlink"/>
          </w:rPr>
          <w:t xml:space="preserve">PMID 30609282</w:t>
        </w:r>
      </w:hyperlink>
    </w:p>
    <w:p>
      <w:pPr>
        <w:pStyle w:val="Compact"/>
        <w:numPr>
          <w:ilvl w:val="0"/>
          <w:numId w:val="1030"/>
        </w:numPr>
      </w:pPr>
      <w:r>
        <w:rPr>
          <w:b/>
          <w:bCs/>
        </w:rPr>
        <w:t xml:space="preserve">Swain S, et al. </w:t>
      </w:r>
      <w:r>
        <w:rPr>
          <w:b/>
          <w:bCs/>
          <w:i/>
          <w:iCs/>
        </w:rPr>
        <w:t xml:space="preserve">Arthritis Care Res</w:t>
      </w:r>
      <w:r>
        <w:rPr>
          <w:b/>
          <w:bCs/>
        </w:rPr>
        <w:t xml:space="preserve"> </w:t>
      </w:r>
      <w:r>
        <w:rPr>
          <w:b/>
          <w:bCs/>
        </w:rPr>
        <w:t xml:space="preserve">2020 (comorbilità)</w:t>
      </w:r>
      <w:r>
        <w:t xml:space="preserve"> </w:t>
      </w:r>
      <w:r>
        <w:t xml:space="preserve">—</w:t>
      </w:r>
      <w:r>
        <w:t xml:space="preserve"> </w:t>
      </w:r>
      <w:hyperlink r:id="rId108">
        <w:r>
          <w:rPr>
            <w:rStyle w:val="Hyperlink"/>
          </w:rPr>
          <w:t xml:space="preserve">PMID 31207113</w:t>
        </w:r>
      </w:hyperlink>
    </w:p>
    <w:p>
      <w:pPr>
        <w:pStyle w:val="Compact"/>
        <w:numPr>
          <w:ilvl w:val="0"/>
          <w:numId w:val="1030"/>
        </w:numPr>
      </w:pPr>
      <w:r>
        <w:t xml:space="preserve">Bennell KL, et al. </w:t>
      </w:r>
      <w:r>
        <w:rPr>
          <w:i/>
          <w:iCs/>
        </w:rPr>
        <w:t xml:space="preserve">JAMA</w:t>
      </w:r>
      <w:r>
        <w:t xml:space="preserve"> </w:t>
      </w:r>
      <w:r>
        <w:t xml:space="preserve">2014 —</w:t>
      </w:r>
      <w:r>
        <w:t xml:space="preserve"> </w:t>
      </w:r>
      <w:hyperlink r:id="rId109">
        <w:r>
          <w:rPr>
            <w:rStyle w:val="Hyperlink"/>
          </w:rPr>
          <w:t xml:space="preserve">PMID 24846036</w:t>
        </w:r>
      </w:hyperlink>
    </w:p>
    <w:p>
      <w:pPr>
        <w:pStyle w:val="Compact"/>
        <w:numPr>
          <w:ilvl w:val="0"/>
          <w:numId w:val="1030"/>
        </w:numPr>
      </w:pPr>
      <w:r>
        <w:t xml:space="preserve">Hoeksma HL, et al. </w:t>
      </w:r>
      <w:r>
        <w:rPr>
          <w:i/>
          <w:iCs/>
        </w:rPr>
        <w:t xml:space="preserve">Arthritis Rheum</w:t>
      </w:r>
      <w:r>
        <w:t xml:space="preserve"> </w:t>
      </w:r>
      <w:r>
        <w:t xml:space="preserve">2004 —</w:t>
      </w:r>
      <w:r>
        <w:t xml:space="preserve"> </w:t>
      </w:r>
      <w:hyperlink r:id="rId110">
        <w:r>
          <w:rPr>
            <w:rStyle w:val="Hyperlink"/>
          </w:rPr>
          <w:t xml:space="preserve">PMID 15478147</w:t>
        </w:r>
      </w:hyperlink>
    </w:p>
    <w:p>
      <w:pPr>
        <w:pStyle w:val="Compact"/>
        <w:numPr>
          <w:ilvl w:val="0"/>
          <w:numId w:val="1030"/>
        </w:numPr>
      </w:pPr>
      <w:r>
        <w:t xml:space="preserve">Skou ST, et al. </w:t>
      </w:r>
      <w:r>
        <w:rPr>
          <w:i/>
          <w:iCs/>
        </w:rPr>
        <w:t xml:space="preserve">N Engl J Med</w:t>
      </w:r>
      <w:r>
        <w:t xml:space="preserve"> </w:t>
      </w:r>
      <w:r>
        <w:t xml:space="preserve">2015 —</w:t>
      </w:r>
      <w:r>
        <w:t xml:space="preserve"> </w:t>
      </w:r>
      <w:hyperlink r:id="rId111">
        <w:r>
          <w:rPr>
            <w:rStyle w:val="Hyperlink"/>
          </w:rPr>
          <w:t xml:space="preserve">PMID 26488691</w:t>
        </w:r>
      </w:hyperlink>
    </w:p>
    <w:p>
      <w:pPr>
        <w:pStyle w:val="Compact"/>
        <w:numPr>
          <w:ilvl w:val="0"/>
          <w:numId w:val="1030"/>
        </w:numPr>
      </w:pPr>
      <w:r>
        <w:t xml:space="preserve">Kolasinski SL, et al. </w:t>
      </w:r>
      <w:r>
        <w:rPr>
          <w:i/>
          <w:iCs/>
        </w:rPr>
        <w:t xml:space="preserve">Arthritis Care Res</w:t>
      </w:r>
      <w:r>
        <w:t xml:space="preserve"> </w:t>
      </w:r>
      <w:r>
        <w:t xml:space="preserve">2020 —</w:t>
      </w:r>
      <w:r>
        <w:t xml:space="preserve"> </w:t>
      </w:r>
      <w:hyperlink r:id="rId112">
        <w:r>
          <w:rPr>
            <w:rStyle w:val="Hyperlink"/>
          </w:rPr>
          <w:t xml:space="preserve">PMID 31908149</w:t>
        </w:r>
      </w:hyperlink>
    </w:p>
    <w:p>
      <w:pPr>
        <w:pStyle w:val="Compact"/>
        <w:numPr>
          <w:ilvl w:val="0"/>
          <w:numId w:val="1030"/>
        </w:numPr>
      </w:pPr>
      <w:r>
        <w:rPr>
          <w:b/>
          <w:bCs/>
        </w:rPr>
        <w:t xml:space="preserve">Lawford BJ, et al. </w:t>
      </w:r>
      <w:r>
        <w:rPr>
          <w:b/>
          <w:bCs/>
          <w:i/>
          <w:iCs/>
        </w:rPr>
        <w:t xml:space="preserve">Exercise for osteoarthritis of the knee.</w:t>
      </w:r>
      <w:r>
        <w:rPr>
          <w:b/>
          <w:bCs/>
        </w:rPr>
        <w:t xml:space="preserve"> </w:t>
      </w:r>
      <w:r>
        <w:rPr>
          <w:b/>
          <w:bCs/>
        </w:rPr>
        <w:t xml:space="preserve">Cochrane 2024;12:CD004376.pub4</w:t>
      </w:r>
      <w:r>
        <w:t xml:space="preserve"> </w:t>
      </w:r>
      <w:r>
        <w:t xml:space="preserve">—</w:t>
      </w:r>
      <w:r>
        <w:t xml:space="preserve"> </w:t>
      </w:r>
      <w:hyperlink r:id="rId113">
        <w:r>
          <w:rPr>
            <w:rStyle w:val="Hyperlink"/>
          </w:rPr>
          <w:t xml:space="preserve">PMID 39625083</w:t>
        </w:r>
      </w:hyperlink>
    </w:p>
    <w:p>
      <w:pPr>
        <w:pStyle w:val="Compact"/>
        <w:numPr>
          <w:ilvl w:val="0"/>
          <w:numId w:val="1030"/>
        </w:numPr>
      </w:pPr>
      <w:r>
        <w:rPr>
          <w:b/>
          <w:bCs/>
        </w:rPr>
        <w:t xml:space="preserve">Hall M, et al. </w:t>
      </w:r>
      <w:r>
        <w:rPr>
          <w:b/>
          <w:bCs/>
          <w:i/>
          <w:iCs/>
        </w:rPr>
        <w:t xml:space="preserve">Exercise for osteoarthritis of the hip.</w:t>
      </w:r>
      <w:r>
        <w:rPr>
          <w:b/>
          <w:bCs/>
        </w:rPr>
        <w:t xml:space="preserve"> </w:t>
      </w:r>
      <w:r>
        <w:rPr>
          <w:b/>
          <w:bCs/>
        </w:rPr>
        <w:t xml:space="preserve">Cochrane 2026;7:CD007912.pub3</w:t>
      </w:r>
      <w:r>
        <w:t xml:space="preserve"> </w:t>
      </w:r>
      <w:r>
        <w:t xml:space="preserve">—</w:t>
      </w:r>
      <w:r>
        <w:t xml:space="preserve"> </w:t>
      </w:r>
      <w:hyperlink r:id="rId114">
        <w:r>
          <w:rPr>
            <w:rStyle w:val="Hyperlink"/>
          </w:rPr>
          <w:t xml:space="preserve">PMID 42486497</w:t>
        </w:r>
      </w:hyperlink>
    </w:p>
    <w:p>
      <w:pPr>
        <w:pStyle w:val="Compact"/>
        <w:numPr>
          <w:ilvl w:val="0"/>
          <w:numId w:val="1030"/>
        </w:numPr>
      </w:pPr>
      <w:r>
        <w:t xml:space="preserve">Fransen M, et al. </w:t>
      </w:r>
      <w:r>
        <w:rPr>
          <w:i/>
          <w:iCs/>
        </w:rPr>
        <w:t xml:space="preserve">Cochrane</w:t>
      </w:r>
      <w:r>
        <w:t xml:space="preserve"> </w:t>
      </w:r>
      <w:r>
        <w:t xml:space="preserve">2015 (ginocchio, superata da 31; tenuta per il decadimento) —</w:t>
      </w:r>
      <w:r>
        <w:t xml:space="preserve"> </w:t>
      </w:r>
      <w:hyperlink r:id="rId115">
        <w:r>
          <w:rPr>
            <w:rStyle w:val="Hyperlink"/>
          </w:rPr>
          <w:t xml:space="preserve">PMID 25569281</w:t>
        </w:r>
      </w:hyperlink>
    </w:p>
    <w:p>
      <w:pPr>
        <w:pStyle w:val="Compact"/>
        <w:numPr>
          <w:ilvl w:val="0"/>
          <w:numId w:val="1030"/>
        </w:numPr>
      </w:pPr>
      <w:r>
        <w:t xml:space="preserve">Juhl C, et al. </w:t>
      </w:r>
      <w:r>
        <w:rPr>
          <w:i/>
          <w:iCs/>
        </w:rPr>
        <w:t xml:space="preserve">Arthritis Rheumatol</w:t>
      </w:r>
      <w:r>
        <w:t xml:space="preserve"> </w:t>
      </w:r>
      <w:r>
        <w:t xml:space="preserve">2014 —</w:t>
      </w:r>
      <w:r>
        <w:t xml:space="preserve"> </w:t>
      </w:r>
      <w:hyperlink r:id="rId116">
        <w:r>
          <w:rPr>
            <w:rStyle w:val="Hyperlink"/>
          </w:rPr>
          <w:t xml:space="preserve">PMID 24574223</w:t>
        </w:r>
      </w:hyperlink>
    </w:p>
    <w:p>
      <w:pPr>
        <w:pStyle w:val="Compact"/>
        <w:numPr>
          <w:ilvl w:val="0"/>
          <w:numId w:val="1030"/>
        </w:numPr>
      </w:pPr>
      <w:r>
        <w:rPr>
          <w:b/>
          <w:bCs/>
        </w:rPr>
        <w:t xml:space="preserve">Kroon FPB, et al. </w:t>
      </w:r>
      <w:r>
        <w:rPr>
          <w:b/>
          <w:bCs/>
          <w:i/>
          <w:iCs/>
        </w:rPr>
        <w:t xml:space="preserve">Self-management education programmes for osteoarthritis.</w:t>
      </w:r>
      <w:r>
        <w:rPr>
          <w:b/>
          <w:bCs/>
        </w:rPr>
        <w:t xml:space="preserve"> </w:t>
      </w:r>
      <w:r>
        <w:rPr>
          <w:b/>
          <w:bCs/>
        </w:rPr>
        <w:t xml:space="preserve">Cochrane 2014</w:t>
      </w:r>
      <w:r>
        <w:t xml:space="preserve"> </w:t>
      </w:r>
      <w:r>
        <w:t xml:space="preserve">—</w:t>
      </w:r>
      <w:r>
        <w:t xml:space="preserve"> </w:t>
      </w:r>
      <w:hyperlink r:id="rId117">
        <w:r>
          <w:rPr>
            <w:rStyle w:val="Hyperlink"/>
          </w:rPr>
          <w:t xml:space="preserve">PMID 24425500</w:t>
        </w:r>
      </w:hyperlink>
    </w:p>
    <w:p>
      <w:pPr>
        <w:pStyle w:val="Compact"/>
        <w:numPr>
          <w:ilvl w:val="0"/>
          <w:numId w:val="1030"/>
        </w:numPr>
      </w:pPr>
      <w:r>
        <w:rPr>
          <w:b/>
          <w:bCs/>
        </w:rPr>
        <w:t xml:space="preserve">Nicolson PJA, et al. </w:t>
      </w:r>
      <w:r>
        <w:rPr>
          <w:b/>
          <w:bCs/>
          <w:i/>
          <w:iCs/>
        </w:rPr>
        <w:t xml:space="preserve">Br J Sports Med</w:t>
      </w:r>
      <w:r>
        <w:rPr>
          <w:b/>
          <w:bCs/>
        </w:rPr>
        <w:t xml:space="preserve"> </w:t>
      </w:r>
      <w:r>
        <w:rPr>
          <w:b/>
          <w:bCs/>
        </w:rPr>
        <w:t xml:space="preserve">2017 (aderenza)</w:t>
      </w:r>
      <w:r>
        <w:t xml:space="preserve"> </w:t>
      </w:r>
      <w:r>
        <w:t xml:space="preserve">—</w:t>
      </w:r>
      <w:r>
        <w:t xml:space="preserve"> </w:t>
      </w:r>
      <w:hyperlink r:id="rId118">
        <w:r>
          <w:rPr>
            <w:rStyle w:val="Hyperlink"/>
          </w:rPr>
          <w:t xml:space="preserve">PMID 28087567</w:t>
        </w:r>
      </w:hyperlink>
    </w:p>
    <w:p>
      <w:pPr>
        <w:pStyle w:val="Compact"/>
        <w:numPr>
          <w:ilvl w:val="0"/>
          <w:numId w:val="1030"/>
        </w:numPr>
      </w:pPr>
      <w:r>
        <w:rPr>
          <w:b/>
          <w:bCs/>
        </w:rPr>
        <w:t xml:space="preserve">Fingleton C, et al. </w:t>
      </w:r>
      <w:r>
        <w:rPr>
          <w:b/>
          <w:bCs/>
          <w:i/>
          <w:iCs/>
        </w:rPr>
        <w:t xml:space="preserve">Clin J Pain</w:t>
      </w:r>
      <w:r>
        <w:rPr>
          <w:b/>
          <w:bCs/>
        </w:rPr>
        <w:t xml:space="preserve"> </w:t>
      </w:r>
      <w:r>
        <w:rPr>
          <w:b/>
          <w:bCs/>
        </w:rPr>
        <w:t xml:space="preserve">2017 (iperalgesia da esercizio con CPM alterata)</w:t>
      </w:r>
      <w:r>
        <w:t xml:space="preserve"> </w:t>
      </w:r>
      <w:r>
        <w:t xml:space="preserve">—</w:t>
      </w:r>
      <w:r>
        <w:t xml:space="preserve"> </w:t>
      </w:r>
      <w:hyperlink r:id="rId119">
        <w:r>
          <w:rPr>
            <w:rStyle w:val="Hyperlink"/>
          </w:rPr>
          <w:t xml:space="preserve">PMID 27518487</w:t>
        </w:r>
      </w:hyperlink>
    </w:p>
    <w:p>
      <w:pPr>
        <w:pStyle w:val="Compact"/>
        <w:numPr>
          <w:ilvl w:val="0"/>
          <w:numId w:val="1030"/>
        </w:numPr>
      </w:pPr>
      <w:r>
        <w:rPr>
          <w:b/>
          <w:bCs/>
        </w:rPr>
        <w:t xml:space="preserve">Bossenger NR, et al. </w:t>
      </w:r>
      <w:r>
        <w:rPr>
          <w:b/>
          <w:bCs/>
          <w:i/>
          <w:iCs/>
        </w:rPr>
        <w:t xml:space="preserve">Neurobiol Pain</w:t>
      </w:r>
      <w:r>
        <w:rPr>
          <w:b/>
          <w:bCs/>
        </w:rPr>
        <w:t xml:space="preserve"> </w:t>
      </w:r>
      <w:r>
        <w:rPr>
          <w:b/>
          <w:bCs/>
        </w:rPr>
        <w:t xml:space="preserve">2023</w:t>
      </w:r>
      <w:r>
        <w:t xml:space="preserve"> </w:t>
      </w:r>
      <w:r>
        <w:t xml:space="preserve">—</w:t>
      </w:r>
      <w:r>
        <w:t xml:space="preserve"> </w:t>
      </w:r>
      <w:hyperlink r:id="rId120">
        <w:r>
          <w:rPr>
            <w:rStyle w:val="Hyperlink"/>
          </w:rPr>
          <w:t xml:space="preserve">PMID 36711216</w:t>
        </w:r>
      </w:hyperlink>
    </w:p>
    <w:p>
      <w:pPr>
        <w:pStyle w:val="Compact"/>
        <w:numPr>
          <w:ilvl w:val="0"/>
          <w:numId w:val="1030"/>
        </w:numPr>
      </w:pPr>
      <w:r>
        <w:t xml:space="preserve">Bricca A, et al. </w:t>
      </w:r>
      <w:r>
        <w:rPr>
          <w:i/>
          <w:iCs/>
        </w:rPr>
        <w:t xml:space="preserve">Br J Sports Med</w:t>
      </w:r>
      <w:r>
        <w:t xml:space="preserve"> </w:t>
      </w:r>
      <w:r>
        <w:t xml:space="preserve">2019 —</w:t>
      </w:r>
      <w:r>
        <w:t xml:space="preserve"> </w:t>
      </w:r>
      <w:hyperlink r:id="rId121">
        <w:r>
          <w:rPr>
            <w:rStyle w:val="Hyperlink"/>
          </w:rPr>
          <w:t xml:space="preserve">PMID 29934429</w:t>
        </w:r>
      </w:hyperlink>
    </w:p>
    <w:p>
      <w:pPr>
        <w:pStyle w:val="Compact"/>
        <w:numPr>
          <w:ilvl w:val="0"/>
          <w:numId w:val="1030"/>
        </w:numPr>
      </w:pPr>
      <w:r>
        <w:t xml:space="preserve">Messier SP, et al. </w:t>
      </w:r>
      <w:r>
        <w:rPr>
          <w:i/>
          <w:iCs/>
        </w:rPr>
        <w:t xml:space="preserve">JAMA</w:t>
      </w:r>
      <w:r>
        <w:t xml:space="preserve"> </w:t>
      </w:r>
      <w:r>
        <w:t xml:space="preserve">2013 (IDEA) —</w:t>
      </w:r>
      <w:r>
        <w:t xml:space="preserve"> </w:t>
      </w:r>
      <w:hyperlink r:id="rId122">
        <w:r>
          <w:rPr>
            <w:rStyle w:val="Hyperlink"/>
          </w:rPr>
          <w:t xml:space="preserve">PMID 24065013</w:t>
        </w:r>
      </w:hyperlink>
    </w:p>
    <w:p>
      <w:pPr>
        <w:pStyle w:val="Compact"/>
        <w:numPr>
          <w:ilvl w:val="0"/>
          <w:numId w:val="1030"/>
        </w:numPr>
      </w:pPr>
      <w:r>
        <w:t xml:space="preserve">Skou ST, Roos EM.</w:t>
      </w:r>
      <w:r>
        <w:t xml:space="preserve"> </w:t>
      </w:r>
      <w:r>
        <w:rPr>
          <w:i/>
          <w:iCs/>
        </w:rPr>
        <w:t xml:space="preserve">BMC Musculoskelet Disord</w:t>
      </w:r>
      <w:r>
        <w:t xml:space="preserve"> </w:t>
      </w:r>
      <w:r>
        <w:t xml:space="preserve">2017 (GLA:D) —</w:t>
      </w:r>
      <w:r>
        <w:t xml:space="preserve"> </w:t>
      </w:r>
      <w:hyperlink r:id="rId123">
        <w:r>
          <w:rPr>
            <w:rStyle w:val="Hyperlink"/>
          </w:rPr>
          <w:t xml:space="preserve">PMID 28173795</w:t>
        </w:r>
      </w:hyperlink>
    </w:p>
    <w:p>
      <w:pPr>
        <w:pStyle w:val="Compact"/>
        <w:numPr>
          <w:ilvl w:val="0"/>
          <w:numId w:val="1030"/>
        </w:numPr>
      </w:pPr>
      <w:r>
        <w:t xml:space="preserve">Bialosky JE, et al. </w:t>
      </w:r>
      <w:r>
        <w:rPr>
          <w:i/>
          <w:iCs/>
        </w:rPr>
        <w:t xml:space="preserve">Man Ther</w:t>
      </w:r>
      <w:r>
        <w:t xml:space="preserve"> </w:t>
      </w:r>
      <w:r>
        <w:t xml:space="preserve">2009 —</w:t>
      </w:r>
      <w:r>
        <w:t xml:space="preserve"> </w:t>
      </w:r>
      <w:hyperlink r:id="rId124">
        <w:r>
          <w:rPr>
            <w:rStyle w:val="Hyperlink"/>
          </w:rPr>
          <w:t xml:space="preserve">PMID 19027342</w:t>
        </w:r>
      </w:hyperlink>
    </w:p>
    <w:p>
      <w:pPr>
        <w:pStyle w:val="Compact"/>
        <w:numPr>
          <w:ilvl w:val="0"/>
          <w:numId w:val="1030"/>
        </w:numPr>
      </w:pPr>
      <w:r>
        <w:rPr>
          <w:b/>
          <w:bCs/>
        </w:rPr>
        <w:t xml:space="preserve">Courtney CA, et al. </w:t>
      </w:r>
      <w:r>
        <w:rPr>
          <w:b/>
          <w:bCs/>
          <w:i/>
          <w:iCs/>
        </w:rPr>
        <w:t xml:space="preserve">J Orthop Sports Phys Ther</w:t>
      </w:r>
      <w:r>
        <w:rPr>
          <w:b/>
          <w:bCs/>
        </w:rPr>
        <w:t xml:space="preserve"> </w:t>
      </w:r>
      <w:r>
        <w:rPr>
          <w:b/>
          <w:bCs/>
        </w:rPr>
        <w:t xml:space="preserve">2016 (mobilizzazione e CPM nell’artrosi)</w:t>
      </w:r>
      <w:r>
        <w:t xml:space="preserve"> </w:t>
      </w:r>
      <w:r>
        <w:t xml:space="preserve">—</w:t>
      </w:r>
      <w:r>
        <w:t xml:space="preserve"> </w:t>
      </w:r>
      <w:hyperlink r:id="rId125">
        <w:r>
          <w:rPr>
            <w:rStyle w:val="Hyperlink"/>
          </w:rPr>
          <w:t xml:space="preserve">PMID 26721229</w:t>
        </w:r>
      </w:hyperlink>
    </w:p>
    <w:p>
      <w:pPr>
        <w:pStyle w:val="Compact"/>
        <w:numPr>
          <w:ilvl w:val="0"/>
          <w:numId w:val="1030"/>
        </w:numPr>
      </w:pPr>
      <w:r>
        <w:rPr>
          <w:b/>
          <w:bCs/>
        </w:rPr>
        <w:t xml:space="preserve">Grindstaff TL, et al. </w:t>
      </w:r>
      <w:r>
        <w:rPr>
          <w:b/>
          <w:bCs/>
          <w:i/>
          <w:iCs/>
        </w:rPr>
        <w:t xml:space="preserve">Man Ther</w:t>
      </w:r>
      <w:r>
        <w:rPr>
          <w:b/>
          <w:bCs/>
        </w:rPr>
        <w:t xml:space="preserve"> </w:t>
      </w:r>
      <w:r>
        <w:rPr>
          <w:b/>
          <w:bCs/>
        </w:rPr>
        <w:t xml:space="preserve">2014 (terapia manuale ed eccitabilità riflessa)</w:t>
      </w:r>
      <w:r>
        <w:t xml:space="preserve"> </w:t>
      </w:r>
      <w:r>
        <w:t xml:space="preserve">—</w:t>
      </w:r>
      <w:r>
        <w:t xml:space="preserve"> </w:t>
      </w:r>
      <w:hyperlink r:id="rId126">
        <w:r>
          <w:rPr>
            <w:rStyle w:val="Hyperlink"/>
          </w:rPr>
          <w:t xml:space="preserve">PMID 24793076</w:t>
        </w:r>
      </w:hyperlink>
    </w:p>
    <w:p>
      <w:pPr>
        <w:pStyle w:val="Compact"/>
        <w:numPr>
          <w:ilvl w:val="0"/>
          <w:numId w:val="1030"/>
        </w:numPr>
      </w:pPr>
      <w:r>
        <w:t xml:space="preserve">Gordon TC, et al. </w:t>
      </w:r>
      <w:r>
        <w:rPr>
          <w:i/>
          <w:iCs/>
        </w:rPr>
        <w:t xml:space="preserve">BMJ Open</w:t>
      </w:r>
      <w:r>
        <w:t xml:space="preserve"> </w:t>
      </w:r>
      <w:r>
        <w:t xml:space="preserve">2025 —</w:t>
      </w:r>
      <w:r>
        <w:t xml:space="preserve"> </w:t>
      </w:r>
      <w:hyperlink r:id="rId127">
        <w:r>
          <w:rPr>
            <w:rStyle w:val="Hyperlink"/>
          </w:rPr>
          <w:t xml:space="preserve">PMID 39920074</w:t>
        </w:r>
      </w:hyperlink>
    </w:p>
    <w:p>
      <w:pPr>
        <w:pStyle w:val="Compact"/>
        <w:numPr>
          <w:ilvl w:val="0"/>
          <w:numId w:val="1030"/>
        </w:numPr>
      </w:pPr>
      <w:r>
        <w:t xml:space="preserve">Runge N, et al. </w:t>
      </w:r>
      <w:r>
        <w:rPr>
          <w:i/>
          <w:iCs/>
        </w:rPr>
        <w:t xml:space="preserve">J Orthop Sports Phys Ther</w:t>
      </w:r>
      <w:r>
        <w:t xml:space="preserve"> </w:t>
      </w:r>
      <w:r>
        <w:t xml:space="preserve">2022 —</w:t>
      </w:r>
      <w:r>
        <w:t xml:space="preserve"> </w:t>
      </w:r>
      <w:hyperlink r:id="rId128">
        <w:r>
          <w:rPr>
            <w:rStyle w:val="Hyperlink"/>
          </w:rPr>
          <w:t xml:space="preserve">PMID 35881705</w:t>
        </w:r>
      </w:hyperlink>
    </w:p>
    <w:p>
      <w:pPr>
        <w:pStyle w:val="Compact"/>
        <w:numPr>
          <w:ilvl w:val="0"/>
          <w:numId w:val="1030"/>
        </w:numPr>
      </w:pPr>
      <w:r>
        <w:t xml:space="preserve">Abbott JH, et al. </w:t>
      </w:r>
      <w:r>
        <w:rPr>
          <w:i/>
          <w:iCs/>
        </w:rPr>
        <w:t xml:space="preserve">Osteoarthritis Cartilage</w:t>
      </w:r>
      <w:r>
        <w:t xml:space="preserve"> </w:t>
      </w:r>
      <w:r>
        <w:t xml:space="preserve">2013 —</w:t>
      </w:r>
      <w:r>
        <w:t xml:space="preserve"> </w:t>
      </w:r>
      <w:hyperlink r:id="rId129">
        <w:r>
          <w:rPr>
            <w:rStyle w:val="Hyperlink"/>
          </w:rPr>
          <w:t xml:space="preserve">PMID 23313532</w:t>
        </w:r>
      </w:hyperlink>
    </w:p>
    <w:p>
      <w:pPr>
        <w:pStyle w:val="Compact"/>
        <w:numPr>
          <w:ilvl w:val="0"/>
          <w:numId w:val="1030"/>
        </w:numPr>
      </w:pPr>
      <w:r>
        <w:t xml:space="preserve">Altınbilek T, et al. </w:t>
      </w:r>
      <w:r>
        <w:rPr>
          <w:i/>
          <w:iCs/>
        </w:rPr>
        <w:t xml:space="preserve">Turk J Phys Med Rehabil</w:t>
      </w:r>
      <w:r>
        <w:t xml:space="preserve"> </w:t>
      </w:r>
      <w:r>
        <w:t xml:space="preserve">2018 —</w:t>
      </w:r>
      <w:r>
        <w:t xml:space="preserve"> </w:t>
      </w:r>
      <w:hyperlink r:id="rId130">
        <w:r>
          <w:rPr>
            <w:rStyle w:val="Hyperlink"/>
          </w:rPr>
          <w:t xml:space="preserve">PMID 31453500</w:t>
        </w:r>
      </w:hyperlink>
    </w:p>
    <w:p>
      <w:pPr>
        <w:pStyle w:val="Compact"/>
        <w:numPr>
          <w:ilvl w:val="0"/>
          <w:numId w:val="1030"/>
        </w:numPr>
      </w:pPr>
      <w:r>
        <w:t xml:space="preserve">Dobson F, et al. </w:t>
      </w:r>
      <w:r>
        <w:rPr>
          <w:i/>
          <w:iCs/>
        </w:rPr>
        <w:t xml:space="preserve">Osteoarthritis Cartilage</w:t>
      </w:r>
      <w:r>
        <w:t xml:space="preserve"> </w:t>
      </w:r>
      <w:r>
        <w:t xml:space="preserve">2013 (test OARSI) —</w:t>
      </w:r>
      <w:r>
        <w:t xml:space="preserve"> </w:t>
      </w:r>
      <w:hyperlink r:id="rId131">
        <w:r>
          <w:rPr>
            <w:rStyle w:val="Hyperlink"/>
          </w:rPr>
          <w:t xml:space="preserve">PMID 23680877</w:t>
        </w:r>
      </w:hyperlink>
    </w:p>
    <w:p>
      <w:pPr>
        <w:pStyle w:val="Compact"/>
        <w:numPr>
          <w:ilvl w:val="0"/>
          <w:numId w:val="1030"/>
        </w:numPr>
      </w:pPr>
      <w:r>
        <w:t xml:space="preserve">Wright AA, et al. </w:t>
      </w:r>
      <w:r>
        <w:rPr>
          <w:i/>
          <w:iCs/>
        </w:rPr>
        <w:t xml:space="preserve">J Orthop Sports Phys Ther</w:t>
      </w:r>
      <w:r>
        <w:t xml:space="preserve"> </w:t>
      </w:r>
      <w:r>
        <w:t xml:space="preserve">2011 —</w:t>
      </w:r>
      <w:r>
        <w:t xml:space="preserve"> </w:t>
      </w:r>
      <w:hyperlink r:id="rId132">
        <w:r>
          <w:rPr>
            <w:rStyle w:val="Hyperlink"/>
          </w:rPr>
          <w:t xml:space="preserve">PMID 21335930</w:t>
        </w:r>
      </w:hyperlink>
    </w:p>
    <w:p>
      <w:pPr>
        <w:pStyle w:val="Compact"/>
        <w:numPr>
          <w:ilvl w:val="0"/>
          <w:numId w:val="1030"/>
        </w:numPr>
      </w:pPr>
      <w:r>
        <w:t xml:space="preserve">Hu Z, et al. </w:t>
      </w:r>
      <w:r>
        <w:rPr>
          <w:i/>
          <w:iCs/>
        </w:rPr>
        <w:t xml:space="preserve">Physiother Theory Pract</w:t>
      </w:r>
      <w:r>
        <w:t xml:space="preserve"> </w:t>
      </w:r>
      <w:r>
        <w:t xml:space="preserve">2026 —</w:t>
      </w:r>
      <w:r>
        <w:t xml:space="preserve"> </w:t>
      </w:r>
      <w:hyperlink r:id="rId133">
        <w:r>
          <w:rPr>
            <w:rStyle w:val="Hyperlink"/>
          </w:rPr>
          <w:t xml:space="preserve">PMID 42371695</w:t>
        </w:r>
      </w:hyperlink>
    </w:p>
    <w:p>
      <w:pPr>
        <w:pStyle w:val="Compact"/>
        <w:numPr>
          <w:ilvl w:val="0"/>
          <w:numId w:val="1030"/>
        </w:numPr>
      </w:pPr>
      <w:r>
        <w:rPr>
          <w:b/>
          <w:bCs/>
        </w:rPr>
        <w:t xml:space="preserve">Margaretten ME, et al. </w:t>
      </w:r>
      <w:r>
        <w:rPr>
          <w:b/>
          <w:bCs/>
          <w:i/>
          <w:iCs/>
        </w:rPr>
        <w:t xml:space="preserve">JAMA</w:t>
      </w:r>
      <w:r>
        <w:rPr>
          <w:b/>
          <w:bCs/>
        </w:rPr>
        <w:t xml:space="preserve"> </w:t>
      </w:r>
      <w:r>
        <w:rPr>
          <w:b/>
          <w:bCs/>
        </w:rPr>
        <w:t xml:space="preserve">2007 (artrite settica: febbre, sensibilità 57%)</w:t>
      </w:r>
      <w:r>
        <w:t xml:space="preserve"> </w:t>
      </w:r>
      <w:r>
        <w:t xml:space="preserve">—</w:t>
      </w:r>
      <w:r>
        <w:t xml:space="preserve"> </w:t>
      </w:r>
      <w:hyperlink r:id="rId134">
        <w:r>
          <w:rPr>
            <w:rStyle w:val="Hyperlink"/>
          </w:rPr>
          <w:t xml:space="preserve">PMID 17405973</w:t>
        </w:r>
      </w:hyperlink>
    </w:p>
    <w:p>
      <w:pPr>
        <w:pStyle w:val="Compact"/>
        <w:numPr>
          <w:ilvl w:val="0"/>
          <w:numId w:val="1030"/>
        </w:numPr>
      </w:pPr>
      <w:r>
        <w:rPr>
          <w:b/>
          <w:bCs/>
        </w:rPr>
        <w:t xml:space="preserve">Coakley G, et al. </w:t>
      </w:r>
      <w:r>
        <w:rPr>
          <w:b/>
          <w:bCs/>
          <w:i/>
          <w:iCs/>
        </w:rPr>
        <w:t xml:space="preserve">Rheumatology</w:t>
      </w:r>
      <w:r>
        <w:rPr>
          <w:b/>
          <w:bCs/>
        </w:rPr>
        <w:t xml:space="preserve"> </w:t>
      </w:r>
      <w:r>
        <w:rPr>
          <w:b/>
          <w:bCs/>
        </w:rPr>
        <w:t xml:space="preserve">2006 (hot swollen joint, BSR/BOA/RCGP/BSAC)</w:t>
      </w:r>
      <w:r>
        <w:t xml:space="preserve"> </w:t>
      </w:r>
      <w:r>
        <w:t xml:space="preserve">—</w:t>
      </w:r>
      <w:r>
        <w:t xml:space="preserve"> </w:t>
      </w:r>
      <w:hyperlink r:id="rId135">
        <w:r>
          <w:rPr>
            <w:rStyle w:val="Hyperlink"/>
          </w:rPr>
          <w:t xml:space="preserve">PMID 16857687</w:t>
        </w:r>
      </w:hyperlink>
    </w:p>
    <w:p>
      <w:pPr>
        <w:pStyle w:val="Compact"/>
        <w:numPr>
          <w:ilvl w:val="0"/>
          <w:numId w:val="1030"/>
        </w:numPr>
      </w:pPr>
      <w:r>
        <w:rPr>
          <w:b/>
          <w:bCs/>
        </w:rPr>
        <w:t xml:space="preserve">Fuqua A, et al. </w:t>
      </w:r>
      <w:r>
        <w:rPr>
          <w:b/>
          <w:bCs/>
          <w:i/>
          <w:iCs/>
        </w:rPr>
        <w:t xml:space="preserve">Reg Anesth Pain Med</w:t>
      </w:r>
      <w:r>
        <w:rPr>
          <w:b/>
          <w:bCs/>
        </w:rPr>
        <w:t xml:space="preserve"> </w:t>
      </w:r>
      <w:r>
        <w:rPr>
          <w:b/>
          <w:bCs/>
        </w:rPr>
        <w:t xml:space="preserve">2025 (rischi post-infiltrativi)</w:t>
      </w:r>
      <w:r>
        <w:t xml:space="preserve"> </w:t>
      </w:r>
      <w:r>
        <w:t xml:space="preserve">—</w:t>
      </w:r>
      <w:r>
        <w:t xml:space="preserve"> </w:t>
      </w:r>
      <w:hyperlink r:id="rId136">
        <w:r>
          <w:rPr>
            <w:rStyle w:val="Hyperlink"/>
          </w:rPr>
          <w:t xml:space="preserve">PMID 38302251</w:t>
        </w:r>
      </w:hyperlink>
    </w:p>
    <w:p>
      <w:pPr>
        <w:pStyle w:val="Compact"/>
        <w:numPr>
          <w:ilvl w:val="0"/>
          <w:numId w:val="1030"/>
        </w:numPr>
      </w:pPr>
      <w:r>
        <w:rPr>
          <w:b/>
          <w:bCs/>
        </w:rPr>
        <w:t xml:space="preserve">Schmidt M, et al. </w:t>
      </w:r>
      <w:r>
        <w:rPr>
          <w:b/>
          <w:bCs/>
          <w:i/>
          <w:iCs/>
        </w:rPr>
        <w:t xml:space="preserve">BMJ</w:t>
      </w:r>
      <w:r>
        <w:rPr>
          <w:b/>
          <w:bCs/>
        </w:rPr>
        <w:t xml:space="preserve"> </w:t>
      </w:r>
      <w:r>
        <w:rPr>
          <w:b/>
          <w:bCs/>
        </w:rPr>
        <w:t xml:space="preserve">2018 (diclofenac, rischio cardiovascolare e GI)</w:t>
      </w:r>
      <w:r>
        <w:t xml:space="preserve"> </w:t>
      </w:r>
      <w:r>
        <w:t xml:space="preserve">—</w:t>
      </w:r>
      <w:r>
        <w:t xml:space="preserve"> </w:t>
      </w:r>
      <w:hyperlink r:id="rId137">
        <w:r>
          <w:rPr>
            <w:rStyle w:val="Hyperlink"/>
          </w:rPr>
          <w:t xml:space="preserve">PMID 30181258</w:t>
        </w:r>
      </w:hyperlink>
    </w:p>
    <w:p>
      <w:pPr>
        <w:pStyle w:val="Compact"/>
        <w:numPr>
          <w:ilvl w:val="0"/>
          <w:numId w:val="1030"/>
        </w:numPr>
      </w:pPr>
      <w:r>
        <w:rPr>
          <w:b/>
          <w:bCs/>
        </w:rPr>
        <w:t xml:space="preserve">Lapi F, et al. </w:t>
      </w:r>
      <w:r>
        <w:rPr>
          <w:b/>
          <w:bCs/>
          <w:i/>
          <w:iCs/>
        </w:rPr>
        <w:t xml:space="preserve">BMJ</w:t>
      </w:r>
      <w:r>
        <w:rPr>
          <w:b/>
          <w:bCs/>
        </w:rPr>
        <w:t xml:space="preserve"> </w:t>
      </w:r>
      <w:r>
        <w:rPr>
          <w:b/>
          <w:bCs/>
        </w:rPr>
        <w:t xml:space="preserve">2013 (tripla terapia e insufficienza renale acuta)</w:t>
      </w:r>
      <w:r>
        <w:t xml:space="preserve"> </w:t>
      </w:r>
      <w:r>
        <w:t xml:space="preserve">—</w:t>
      </w:r>
      <w:r>
        <w:t xml:space="preserve"> </w:t>
      </w:r>
      <w:hyperlink r:id="rId138">
        <w:r>
          <w:rPr>
            <w:rStyle w:val="Hyperlink"/>
          </w:rPr>
          <w:t xml:space="preserve">PMID 23299844</w:t>
        </w:r>
      </w:hyperlink>
    </w:p>
    <w:p>
      <w:pPr>
        <w:pStyle w:val="Compact"/>
        <w:numPr>
          <w:ilvl w:val="0"/>
          <w:numId w:val="1030"/>
        </w:numPr>
      </w:pPr>
      <w:r>
        <w:t xml:space="preserve">da Costa BR, et al. </w:t>
      </w:r>
      <w:r>
        <w:rPr>
          <w:i/>
          <w:iCs/>
        </w:rPr>
        <w:t xml:space="preserve">Lancet</w:t>
      </w:r>
      <w:r>
        <w:t xml:space="preserve"> </w:t>
      </w:r>
      <w:r>
        <w:t xml:space="preserve">2017 —</w:t>
      </w:r>
      <w:r>
        <w:t xml:space="preserve"> </w:t>
      </w:r>
      <w:hyperlink r:id="rId139">
        <w:r>
          <w:rPr>
            <w:rStyle w:val="Hyperlink"/>
          </w:rPr>
          <w:t xml:space="preserve">PMID 28699595</w:t>
        </w:r>
      </w:hyperlink>
    </w:p>
    <w:p>
      <w:pPr>
        <w:pStyle w:val="Compact"/>
        <w:numPr>
          <w:ilvl w:val="0"/>
          <w:numId w:val="1030"/>
        </w:numPr>
      </w:pPr>
      <w:r>
        <w:t xml:space="preserve">Beswick AD, et al. </w:t>
      </w:r>
      <w:r>
        <w:rPr>
          <w:i/>
          <w:iCs/>
        </w:rPr>
        <w:t xml:space="preserve">BMJ Open</w:t>
      </w:r>
      <w:r>
        <w:t xml:space="preserve"> </w:t>
      </w:r>
      <w:r>
        <w:t xml:space="preserve">2012 —</w:t>
      </w:r>
      <w:r>
        <w:t xml:space="preserve"> </w:t>
      </w:r>
      <w:hyperlink r:id="rId140">
        <w:r>
          <w:rPr>
            <w:rStyle w:val="Hyperlink"/>
          </w:rPr>
          <w:t xml:space="preserve">PMID 22357571</w:t>
        </w:r>
      </w:hyperlink>
    </w:p>
    <w:p>
      <w:pPr>
        <w:pStyle w:val="Compact"/>
        <w:numPr>
          <w:ilvl w:val="0"/>
          <w:numId w:val="1030"/>
        </w:numPr>
      </w:pPr>
      <w:r>
        <w:rPr>
          <w:b/>
          <w:bCs/>
        </w:rPr>
        <w:t xml:space="preserve">Holden MA, et al. </w:t>
      </w:r>
      <w:r>
        <w:rPr>
          <w:b/>
          <w:bCs/>
          <w:i/>
          <w:iCs/>
        </w:rPr>
        <w:t xml:space="preserve">Lancet Rheumatol</w:t>
      </w:r>
      <w:r>
        <w:rPr>
          <w:b/>
          <w:bCs/>
        </w:rPr>
        <w:t xml:space="preserve"> </w:t>
      </w:r>
      <w:r>
        <w:rPr>
          <w:b/>
          <w:bCs/>
        </w:rPr>
        <w:t xml:space="preserve">2023 (moderatori dell’esercizio, IPD 31 RCT)</w:t>
      </w:r>
      <w:r>
        <w:t xml:space="preserve"> </w:t>
      </w:r>
      <w:r>
        <w:t xml:space="preserve">—</w:t>
      </w:r>
      <w:r>
        <w:t xml:space="preserve"> </w:t>
      </w:r>
      <w:hyperlink r:id="rId141">
        <w:r>
          <w:rPr>
            <w:rStyle w:val="Hyperlink"/>
          </w:rPr>
          <w:t xml:space="preserve">PMID 38251550</w:t>
        </w:r>
      </w:hyperlink>
    </w:p>
    <w:p>
      <w:pPr>
        <w:pStyle w:val="Compact"/>
        <w:numPr>
          <w:ilvl w:val="0"/>
          <w:numId w:val="1030"/>
        </w:numPr>
      </w:pPr>
      <w:r>
        <w:rPr>
          <w:b/>
          <w:bCs/>
        </w:rPr>
        <w:t xml:space="preserve">van Middelkoop M, et al. </w:t>
      </w:r>
      <w:r>
        <w:rPr>
          <w:b/>
          <w:bCs/>
          <w:i/>
          <w:iCs/>
        </w:rPr>
        <w:t xml:space="preserve">Osteoarthritis Cartilage</w:t>
      </w:r>
      <w:r>
        <w:rPr>
          <w:b/>
          <w:bCs/>
        </w:rPr>
        <w:t xml:space="preserve"> </w:t>
      </w:r>
      <w:r>
        <w:rPr>
          <w:b/>
          <w:bCs/>
        </w:rPr>
        <w:t xml:space="preserve">2024 (durata dei sintomi come moderatore)</w:t>
      </w:r>
      <w:r>
        <w:t xml:space="preserve"> </w:t>
      </w:r>
      <w:r>
        <w:t xml:space="preserve">—</w:t>
      </w:r>
      <w:r>
        <w:t xml:space="preserve"> </w:t>
      </w:r>
      <w:hyperlink r:id="rId142">
        <w:r>
          <w:rPr>
            <w:rStyle w:val="Hyperlink"/>
          </w:rPr>
          <w:t xml:space="preserve">PMID 39032625</w:t>
        </w:r>
      </w:hyperlink>
    </w:p>
    <w:p>
      <w:pPr>
        <w:pStyle w:val="Compact"/>
        <w:numPr>
          <w:ilvl w:val="0"/>
          <w:numId w:val="1030"/>
        </w:numPr>
      </w:pPr>
      <w:r>
        <w:rPr>
          <w:b/>
          <w:bCs/>
        </w:rPr>
        <w:t xml:space="preserve">Smith MT, et al. </w:t>
      </w:r>
      <w:r>
        <w:rPr>
          <w:b/>
          <w:bCs/>
          <w:i/>
          <w:iCs/>
        </w:rPr>
        <w:t xml:space="preserve">Arthritis Rheumatol</w:t>
      </w:r>
      <w:r>
        <w:rPr>
          <w:b/>
          <w:bCs/>
        </w:rPr>
        <w:t xml:space="preserve"> </w:t>
      </w:r>
      <w:r>
        <w:rPr>
          <w:b/>
          <w:bCs/>
        </w:rPr>
        <w:t xml:space="preserve">2015 (CBT per l’insonnia nell’artrosi di ginocchio)</w:t>
      </w:r>
      <w:r>
        <w:t xml:space="preserve"> </w:t>
      </w:r>
      <w:r>
        <w:t xml:space="preserve">—</w:t>
      </w:r>
      <w:r>
        <w:t xml:space="preserve"> </w:t>
      </w:r>
      <w:hyperlink r:id="rId143">
        <w:r>
          <w:rPr>
            <w:rStyle w:val="Hyperlink"/>
          </w:rPr>
          <w:t xml:space="preserve">PMID 25623343</w:t>
        </w:r>
      </w:hyperlink>
    </w:p>
    <w:p>
      <w:pPr>
        <w:pStyle w:val="Compact"/>
        <w:numPr>
          <w:ilvl w:val="0"/>
          <w:numId w:val="1030"/>
        </w:numPr>
      </w:pPr>
      <w:r>
        <w:rPr>
          <w:b/>
          <w:bCs/>
        </w:rPr>
        <w:t xml:space="preserve">Liljencrantz J, et al. </w:t>
      </w:r>
      <w:r>
        <w:rPr>
          <w:b/>
          <w:bCs/>
          <w:i/>
          <w:iCs/>
        </w:rPr>
        <w:t xml:space="preserve">Eur J Pain</w:t>
      </w:r>
      <w:r>
        <w:rPr>
          <w:b/>
          <w:bCs/>
        </w:rPr>
        <w:t xml:space="preserve"> </w:t>
      </w:r>
      <w:r>
        <w:rPr>
          <w:b/>
          <w:bCs/>
        </w:rPr>
        <w:t xml:space="preserve">2017 (tocco lento CT-ottimale e dolore sperimentale)</w:t>
      </w:r>
      <w:r>
        <w:t xml:space="preserve"> </w:t>
      </w:r>
      <w:r>
        <w:t xml:space="preserve">—</w:t>
      </w:r>
      <w:r>
        <w:t xml:space="preserve"> </w:t>
      </w:r>
      <w:hyperlink r:id="rId144">
        <w:r>
          <w:rPr>
            <w:rStyle w:val="Hyperlink"/>
          </w:rPr>
          <w:t xml:space="preserve">PMID 28263013</w:t>
        </w:r>
      </w:hyperlink>
    </w:p>
    <w:p>
      <w:pPr>
        <w:pStyle w:val="Compact"/>
        <w:numPr>
          <w:ilvl w:val="0"/>
          <w:numId w:val="1030"/>
        </w:numPr>
      </w:pPr>
      <w:r>
        <w:rPr>
          <w:b/>
          <w:bCs/>
        </w:rPr>
        <w:t xml:space="preserve">Ferreira PH, et al. </w:t>
      </w:r>
      <w:r>
        <w:rPr>
          <w:b/>
          <w:bCs/>
          <w:i/>
          <w:iCs/>
        </w:rPr>
        <w:t xml:space="preserve">Phys Ther</w:t>
      </w:r>
      <w:r>
        <w:rPr>
          <w:b/>
          <w:bCs/>
        </w:rPr>
        <w:t xml:space="preserve"> </w:t>
      </w:r>
      <w:r>
        <w:rPr>
          <w:b/>
          <w:bCs/>
        </w:rPr>
        <w:t xml:space="preserve">2013 (alleanza terapeutica ed esiti)</w:t>
      </w:r>
      <w:r>
        <w:t xml:space="preserve"> </w:t>
      </w:r>
      <w:r>
        <w:t xml:space="preserve">—</w:t>
      </w:r>
      <w:r>
        <w:t xml:space="preserve"> </w:t>
      </w:r>
      <w:hyperlink r:id="rId145">
        <w:r>
          <w:rPr>
            <w:rStyle w:val="Hyperlink"/>
          </w:rPr>
          <w:t xml:space="preserve">PMID 23139428</w:t>
        </w:r>
      </w:hyperlink>
    </w:p>
    <w:p>
      <w:pPr>
        <w:pStyle w:val="Compact"/>
        <w:numPr>
          <w:ilvl w:val="0"/>
          <w:numId w:val="1030"/>
        </w:numPr>
      </w:pPr>
      <w:r>
        <w:rPr>
          <w:b/>
          <w:bCs/>
        </w:rPr>
        <w:t xml:space="preserve">Kim KM, et al. </w:t>
      </w:r>
      <w:r>
        <w:rPr>
          <w:b/>
          <w:bCs/>
          <w:i/>
          <w:iCs/>
        </w:rPr>
        <w:t xml:space="preserve">Disabil Rehabil</w:t>
      </w:r>
      <w:r>
        <w:rPr>
          <w:b/>
          <w:bCs/>
        </w:rPr>
        <w:t xml:space="preserve"> </w:t>
      </w:r>
      <w:r>
        <w:rPr>
          <w:b/>
          <w:bCs/>
        </w:rPr>
        <w:t xml:space="preserve">2024 (interventi sull’inibizione muscolare artrogena)</w:t>
      </w:r>
      <w:r>
        <w:t xml:space="preserve"> </w:t>
      </w:r>
      <w:r>
        <w:t xml:space="preserve">—</w:t>
      </w:r>
      <w:r>
        <w:t xml:space="preserve"> </w:t>
      </w:r>
      <w:hyperlink r:id="rId146">
        <w:r>
          <w:rPr>
            <w:rStyle w:val="Hyperlink"/>
          </w:rPr>
          <w:t xml:space="preserve">PMID 36650898</w:t>
        </w:r>
      </w:hyperlink>
    </w:p>
    <w:p>
      <w:pPr>
        <w:pStyle w:val="Compact"/>
        <w:numPr>
          <w:ilvl w:val="0"/>
          <w:numId w:val="1030"/>
        </w:numPr>
      </w:pPr>
      <w:r>
        <w:rPr>
          <w:b/>
          <w:bCs/>
        </w:rPr>
        <w:t xml:space="preserve">Lin LH, et al. </w:t>
      </w:r>
      <w:r>
        <w:rPr>
          <w:b/>
          <w:bCs/>
          <w:i/>
          <w:iCs/>
        </w:rPr>
        <w:t xml:space="preserve">J Man Manip Ther</w:t>
      </w:r>
      <w:r>
        <w:rPr>
          <w:b/>
          <w:bCs/>
        </w:rPr>
        <w:t xml:space="preserve"> </w:t>
      </w:r>
      <w:r>
        <w:rPr>
          <w:b/>
          <w:bCs/>
        </w:rPr>
        <w:t xml:space="preserve">2026 (terapia manuale al ginocchio, 23 RCT)</w:t>
      </w:r>
      <w:r>
        <w:t xml:space="preserve"> </w:t>
      </w:r>
      <w:r>
        <w:t xml:space="preserve">—</w:t>
      </w:r>
      <w:r>
        <w:t xml:space="preserve"> </w:t>
      </w:r>
      <w:hyperlink r:id="rId147">
        <w:r>
          <w:rPr>
            <w:rStyle w:val="Hyperlink"/>
          </w:rPr>
          <w:t xml:space="preserve">PMID 40265821</w:t>
        </w:r>
      </w:hyperlink>
    </w:p>
    <w:p>
      <w:pPr>
        <w:pStyle w:val="FirstParagraph"/>
      </w:pPr>
      <w:r>
        <w:rPr>
          <w:b/>
          <w:bCs/>
        </w:rPr>
        <w:t xml:space="preserve">Fonti normative.</w:t>
      </w:r>
      <w:r>
        <w:t xml:space="preserve"> </w:t>
      </w:r>
      <w:r>
        <w:t xml:space="preserve">DPR 7 luglio 2021 n. 131, Allegato 1 (profilo professionale dell’osteopata; ambito: disfunzioni somatiche non riconducibili a patologie). DPCM 25 marzo 2026, G.U. n. 117 del 22 maggio 2026 (osteopata professionista sanitario).</w:t>
      </w:r>
    </w:p>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0" Target="https://pubmed.ncbi.nlm.nih.gov/11281736/" TargetMode="External" /><Relationship Type="http://schemas.openxmlformats.org/officeDocument/2006/relationships/hyperlink" Id="rId110" Target="https://pubmed.ncbi.nlm.nih.gov/15478147/" TargetMode="External" /><Relationship Type="http://schemas.openxmlformats.org/officeDocument/2006/relationships/hyperlink" Id="rId85" Target="https://pubmed.ncbi.nlm.nih.gov/15766999/" TargetMode="External" /><Relationship Type="http://schemas.openxmlformats.org/officeDocument/2006/relationships/hyperlink" Id="rId105" Target="https://pubmed.ncbi.nlm.nih.gov/15986358/" TargetMode="External" /><Relationship Type="http://schemas.openxmlformats.org/officeDocument/2006/relationships/hyperlink" Id="rId135" Target="https://pubmed.ncbi.nlm.nih.gov/16857687/" TargetMode="External" /><Relationship Type="http://schemas.openxmlformats.org/officeDocument/2006/relationships/hyperlink" Id="rId134" Target="https://pubmed.ncbi.nlm.nih.gov/17405973/" TargetMode="External" /><Relationship Type="http://schemas.openxmlformats.org/officeDocument/2006/relationships/hyperlink" Id="rId92" Target="https://pubmed.ncbi.nlm.nih.gov/18764949/" TargetMode="External" /><Relationship Type="http://schemas.openxmlformats.org/officeDocument/2006/relationships/hyperlink" Id="rId124" Target="https://pubmed.ncbi.nlm.nih.gov/19027342/" TargetMode="External" /><Relationship Type="http://schemas.openxmlformats.org/officeDocument/2006/relationships/hyperlink" Id="rId94" Target="https://pubmed.ncbi.nlm.nih.gov/19954822/" TargetMode="External" /><Relationship Type="http://schemas.openxmlformats.org/officeDocument/2006/relationships/hyperlink" Id="rId98" Target="https://pubmed.ncbi.nlm.nih.gov/20175973/" TargetMode="External" /><Relationship Type="http://schemas.openxmlformats.org/officeDocument/2006/relationships/hyperlink" Id="rId102" Target="https://pubmed.ncbi.nlm.nih.gov/20418016/" TargetMode="External" /><Relationship Type="http://schemas.openxmlformats.org/officeDocument/2006/relationships/hyperlink" Id="rId132" Target="https://pubmed.ncbi.nlm.nih.gov/21335930/" TargetMode="External" /><Relationship Type="http://schemas.openxmlformats.org/officeDocument/2006/relationships/hyperlink" Id="rId140" Target="https://pubmed.ncbi.nlm.nih.gov/22357571/" TargetMode="External" /><Relationship Type="http://schemas.openxmlformats.org/officeDocument/2006/relationships/hyperlink" Id="rId145" Target="https://pubmed.ncbi.nlm.nih.gov/23139428/" TargetMode="External" /><Relationship Type="http://schemas.openxmlformats.org/officeDocument/2006/relationships/hyperlink" Id="rId138" Target="https://pubmed.ncbi.nlm.nih.gov/23299844/" TargetMode="External" /><Relationship Type="http://schemas.openxmlformats.org/officeDocument/2006/relationships/hyperlink" Id="rId129" Target="https://pubmed.ncbi.nlm.nih.gov/23313532/" TargetMode="External" /><Relationship Type="http://schemas.openxmlformats.org/officeDocument/2006/relationships/hyperlink" Id="rId131" Target="https://pubmed.ncbi.nlm.nih.gov/23680877/" TargetMode="External" /><Relationship Type="http://schemas.openxmlformats.org/officeDocument/2006/relationships/hyperlink" Id="rId122" Target="https://pubmed.ncbi.nlm.nih.gov/24065013/" TargetMode="External" /><Relationship Type="http://schemas.openxmlformats.org/officeDocument/2006/relationships/hyperlink" Id="rId95" Target="https://pubmed.ncbi.nlm.nih.gov/24326780/" TargetMode="External" /><Relationship Type="http://schemas.openxmlformats.org/officeDocument/2006/relationships/hyperlink" Id="rId117" Target="https://pubmed.ncbi.nlm.nih.gov/24425500/" TargetMode="External" /><Relationship Type="http://schemas.openxmlformats.org/officeDocument/2006/relationships/hyperlink" Id="rId116" Target="https://pubmed.ncbi.nlm.nih.gov/24574223/" TargetMode="External" /><Relationship Type="http://schemas.openxmlformats.org/officeDocument/2006/relationships/hyperlink" Id="rId126" Target="https://pubmed.ncbi.nlm.nih.gov/24793076/" TargetMode="External" /><Relationship Type="http://schemas.openxmlformats.org/officeDocument/2006/relationships/hyperlink" Id="rId109" Target="https://pubmed.ncbi.nlm.nih.gov/24846036/" TargetMode="External" /><Relationship Type="http://schemas.openxmlformats.org/officeDocument/2006/relationships/hyperlink" Id="rId90" Target="https://pubmed.ncbi.nlm.nih.gov/25305072/" TargetMode="External" /><Relationship Type="http://schemas.openxmlformats.org/officeDocument/2006/relationships/hyperlink" Id="rId96" Target="https://pubmed.ncbi.nlm.nih.gov/25497133/" TargetMode="External" /><Relationship Type="http://schemas.openxmlformats.org/officeDocument/2006/relationships/hyperlink" Id="rId115" Target="https://pubmed.ncbi.nlm.nih.gov/25569281/" TargetMode="External" /><Relationship Type="http://schemas.openxmlformats.org/officeDocument/2006/relationships/hyperlink" Id="rId143" Target="https://pubmed.ncbi.nlm.nih.gov/25623343/" TargetMode="External" /><Relationship Type="http://schemas.openxmlformats.org/officeDocument/2006/relationships/hyperlink" Id="rId111" Target="https://pubmed.ncbi.nlm.nih.gov/26488691/" TargetMode="External" /><Relationship Type="http://schemas.openxmlformats.org/officeDocument/2006/relationships/hyperlink" Id="rId125" Target="https://pubmed.ncbi.nlm.nih.gov/26721229/" TargetMode="External" /><Relationship Type="http://schemas.openxmlformats.org/officeDocument/2006/relationships/hyperlink" Id="rId83" Target="https://pubmed.ncbi.nlm.nih.gov/26882927/" TargetMode="External" /><Relationship Type="http://schemas.openxmlformats.org/officeDocument/2006/relationships/hyperlink" Id="rId106" Target="https://pubmed.ncbi.nlm.nih.gov/27188684/" TargetMode="External" /><Relationship Type="http://schemas.openxmlformats.org/officeDocument/2006/relationships/hyperlink" Id="rId89" Target="https://pubmed.ncbi.nlm.nih.gov/27492467/" TargetMode="External" /><Relationship Type="http://schemas.openxmlformats.org/officeDocument/2006/relationships/hyperlink" Id="rId119" Target="https://pubmed.ncbi.nlm.nih.gov/27518487/" TargetMode="External" /><Relationship Type="http://schemas.openxmlformats.org/officeDocument/2006/relationships/hyperlink" Id="rId118" Target="https://pubmed.ncbi.nlm.nih.gov/28087567/" TargetMode="External" /><Relationship Type="http://schemas.openxmlformats.org/officeDocument/2006/relationships/hyperlink" Id="rId123" Target="https://pubmed.ncbi.nlm.nih.gov/28173795/" TargetMode="External" /><Relationship Type="http://schemas.openxmlformats.org/officeDocument/2006/relationships/hyperlink" Id="rId144" Target="https://pubmed.ncbi.nlm.nih.gov/28263013/" TargetMode="External" /><Relationship Type="http://schemas.openxmlformats.org/officeDocument/2006/relationships/hyperlink" Id="rId139" Target="https://pubmed.ncbi.nlm.nih.gov/28699595/" TargetMode="External" /><Relationship Type="http://schemas.openxmlformats.org/officeDocument/2006/relationships/hyperlink" Id="rId121" Target="https://pubmed.ncbi.nlm.nih.gov/29934429/" TargetMode="External" /><Relationship Type="http://schemas.openxmlformats.org/officeDocument/2006/relationships/hyperlink" Id="rId137" Target="https://pubmed.ncbi.nlm.nih.gov/30181258/" TargetMode="External" /><Relationship Type="http://schemas.openxmlformats.org/officeDocument/2006/relationships/hyperlink" Id="rId103" Target="https://pubmed.ncbi.nlm.nih.gov/30295432/" TargetMode="External" /><Relationship Type="http://schemas.openxmlformats.org/officeDocument/2006/relationships/hyperlink" Id="rId107" Target="https://pubmed.ncbi.nlm.nih.gov/30609282/" TargetMode="External" /><Relationship Type="http://schemas.openxmlformats.org/officeDocument/2006/relationships/hyperlink" Id="rId84" Target="https://pubmed.ncbi.nlm.nih.gov/31192807/" TargetMode="External" /><Relationship Type="http://schemas.openxmlformats.org/officeDocument/2006/relationships/hyperlink" Id="rId108" Target="https://pubmed.ncbi.nlm.nih.gov/31207113/" TargetMode="External" /><Relationship Type="http://schemas.openxmlformats.org/officeDocument/2006/relationships/hyperlink" Id="rId130" Target="https://pubmed.ncbi.nlm.nih.gov/31453500/" TargetMode="External" /><Relationship Type="http://schemas.openxmlformats.org/officeDocument/2006/relationships/hyperlink" Id="rId112" Target="https://pubmed.ncbi.nlm.nih.gov/31908149/" TargetMode="External" /><Relationship Type="http://schemas.openxmlformats.org/officeDocument/2006/relationships/hyperlink" Id="rId91" Target="https://pubmed.ncbi.nlm.nih.gov/32882828/" TargetMode="External" /><Relationship Type="http://schemas.openxmlformats.org/officeDocument/2006/relationships/hyperlink" Id="rId97" Target="https://pubmed.ncbi.nlm.nih.gov/33065299/" TargetMode="External" /><Relationship Type="http://schemas.openxmlformats.org/officeDocument/2006/relationships/hyperlink" Id="rId104" Target="https://pubmed.ncbi.nlm.nih.gov/34597800/" TargetMode="External" /><Relationship Type="http://schemas.openxmlformats.org/officeDocument/2006/relationships/hyperlink" Id="rId101" Target="https://pubmed.ncbi.nlm.nih.gov/34916210/" TargetMode="External" /><Relationship Type="http://schemas.openxmlformats.org/officeDocument/2006/relationships/hyperlink" Id="rId128" Target="https://pubmed.ncbi.nlm.nih.gov/35881705/" TargetMode="External" /><Relationship Type="http://schemas.openxmlformats.org/officeDocument/2006/relationships/hyperlink" Id="rId146" Target="https://pubmed.ncbi.nlm.nih.gov/36650898/" TargetMode="External" /><Relationship Type="http://schemas.openxmlformats.org/officeDocument/2006/relationships/hyperlink" Id="rId120" Target="https://pubmed.ncbi.nlm.nih.gov/36711216/" TargetMode="External" /><Relationship Type="http://schemas.openxmlformats.org/officeDocument/2006/relationships/hyperlink" Id="rId93" Target="https://pubmed.ncbi.nlm.nih.gov/37494275/" TargetMode="External" /><Relationship Type="http://schemas.openxmlformats.org/officeDocument/2006/relationships/hyperlink" Id="rId88" Target="https://pubmed.ncbi.nlm.nih.gov/37675071/" TargetMode="External" /><Relationship Type="http://schemas.openxmlformats.org/officeDocument/2006/relationships/hyperlink" Id="rId141" Target="https://pubmed.ncbi.nlm.nih.gov/38251550/" TargetMode="External" /><Relationship Type="http://schemas.openxmlformats.org/officeDocument/2006/relationships/hyperlink" Id="rId136" Target="https://pubmed.ncbi.nlm.nih.gov/38302251/" TargetMode="External" /><Relationship Type="http://schemas.openxmlformats.org/officeDocument/2006/relationships/hyperlink" Id="rId142" Target="https://pubmed.ncbi.nlm.nih.gov/39032625/" TargetMode="External" /><Relationship Type="http://schemas.openxmlformats.org/officeDocument/2006/relationships/hyperlink" Id="rId113" Target="https://pubmed.ncbi.nlm.nih.gov/39625083/" TargetMode="External" /><Relationship Type="http://schemas.openxmlformats.org/officeDocument/2006/relationships/hyperlink" Id="rId127" Target="https://pubmed.ncbi.nlm.nih.gov/39920074/" TargetMode="External" /><Relationship Type="http://schemas.openxmlformats.org/officeDocument/2006/relationships/hyperlink" Id="rId147" Target="https://pubmed.ncbi.nlm.nih.gov/40265821/" TargetMode="External" /><Relationship Type="http://schemas.openxmlformats.org/officeDocument/2006/relationships/hyperlink" Id="rId99" Target="https://pubmed.ncbi.nlm.nih.gov/41245703/" TargetMode="External" /><Relationship Type="http://schemas.openxmlformats.org/officeDocument/2006/relationships/hyperlink" Id="rId133" Target="https://pubmed.ncbi.nlm.nih.gov/42371695/" TargetMode="External" /><Relationship Type="http://schemas.openxmlformats.org/officeDocument/2006/relationships/hyperlink" Id="rId114" Target="https://pubmed.ncbi.nlm.nih.gov/42486497/" TargetMode="External" /><Relationship Type="http://schemas.openxmlformats.org/officeDocument/2006/relationships/hyperlink" Id="rId87" Target="https://www.nice.org.uk/guidance/ng100" TargetMode="External" /><Relationship Type="http://schemas.openxmlformats.org/officeDocument/2006/relationships/hyperlink" Id="rId86" Target="https://www.nice.org.uk/guidance/ng226" TargetMode="External" /></Relationships>
</file>

<file path=word/_rels/footnotes.xml.rels><?xml version="1.0" encoding="UTF-8"?><Relationships xmlns="http://schemas.openxmlformats.org/package/2006/relationships"><Relationship Type="http://schemas.openxmlformats.org/officeDocument/2006/relationships/hyperlink" Id="rId100" Target="https://pubmed.ncbi.nlm.nih.gov/11281736/" TargetMode="External" /><Relationship Type="http://schemas.openxmlformats.org/officeDocument/2006/relationships/hyperlink" Id="rId110" Target="https://pubmed.ncbi.nlm.nih.gov/15478147/" TargetMode="External" /><Relationship Type="http://schemas.openxmlformats.org/officeDocument/2006/relationships/hyperlink" Id="rId85" Target="https://pubmed.ncbi.nlm.nih.gov/15766999/" TargetMode="External" /><Relationship Type="http://schemas.openxmlformats.org/officeDocument/2006/relationships/hyperlink" Id="rId105" Target="https://pubmed.ncbi.nlm.nih.gov/15986358/" TargetMode="External" /><Relationship Type="http://schemas.openxmlformats.org/officeDocument/2006/relationships/hyperlink" Id="rId135" Target="https://pubmed.ncbi.nlm.nih.gov/16857687/" TargetMode="External" /><Relationship Type="http://schemas.openxmlformats.org/officeDocument/2006/relationships/hyperlink" Id="rId134" Target="https://pubmed.ncbi.nlm.nih.gov/17405973/" TargetMode="External" /><Relationship Type="http://schemas.openxmlformats.org/officeDocument/2006/relationships/hyperlink" Id="rId92" Target="https://pubmed.ncbi.nlm.nih.gov/18764949/" TargetMode="External" /><Relationship Type="http://schemas.openxmlformats.org/officeDocument/2006/relationships/hyperlink" Id="rId124" Target="https://pubmed.ncbi.nlm.nih.gov/19027342/" TargetMode="External" /><Relationship Type="http://schemas.openxmlformats.org/officeDocument/2006/relationships/hyperlink" Id="rId94" Target="https://pubmed.ncbi.nlm.nih.gov/19954822/" TargetMode="External" /><Relationship Type="http://schemas.openxmlformats.org/officeDocument/2006/relationships/hyperlink" Id="rId98" Target="https://pubmed.ncbi.nlm.nih.gov/20175973/" TargetMode="External" /><Relationship Type="http://schemas.openxmlformats.org/officeDocument/2006/relationships/hyperlink" Id="rId102" Target="https://pubmed.ncbi.nlm.nih.gov/20418016/" TargetMode="External" /><Relationship Type="http://schemas.openxmlformats.org/officeDocument/2006/relationships/hyperlink" Id="rId132" Target="https://pubmed.ncbi.nlm.nih.gov/21335930/" TargetMode="External" /><Relationship Type="http://schemas.openxmlformats.org/officeDocument/2006/relationships/hyperlink" Id="rId140" Target="https://pubmed.ncbi.nlm.nih.gov/22357571/" TargetMode="External" /><Relationship Type="http://schemas.openxmlformats.org/officeDocument/2006/relationships/hyperlink" Id="rId145" Target="https://pubmed.ncbi.nlm.nih.gov/23139428/" TargetMode="External" /><Relationship Type="http://schemas.openxmlformats.org/officeDocument/2006/relationships/hyperlink" Id="rId138" Target="https://pubmed.ncbi.nlm.nih.gov/23299844/" TargetMode="External" /><Relationship Type="http://schemas.openxmlformats.org/officeDocument/2006/relationships/hyperlink" Id="rId129" Target="https://pubmed.ncbi.nlm.nih.gov/23313532/" TargetMode="External" /><Relationship Type="http://schemas.openxmlformats.org/officeDocument/2006/relationships/hyperlink" Id="rId131" Target="https://pubmed.ncbi.nlm.nih.gov/23680877/" TargetMode="External" /><Relationship Type="http://schemas.openxmlformats.org/officeDocument/2006/relationships/hyperlink" Id="rId122" Target="https://pubmed.ncbi.nlm.nih.gov/24065013/" TargetMode="External" /><Relationship Type="http://schemas.openxmlformats.org/officeDocument/2006/relationships/hyperlink" Id="rId95" Target="https://pubmed.ncbi.nlm.nih.gov/24326780/" TargetMode="External" /><Relationship Type="http://schemas.openxmlformats.org/officeDocument/2006/relationships/hyperlink" Id="rId117" Target="https://pubmed.ncbi.nlm.nih.gov/24425500/" TargetMode="External" /><Relationship Type="http://schemas.openxmlformats.org/officeDocument/2006/relationships/hyperlink" Id="rId116" Target="https://pubmed.ncbi.nlm.nih.gov/24574223/" TargetMode="External" /><Relationship Type="http://schemas.openxmlformats.org/officeDocument/2006/relationships/hyperlink" Id="rId126" Target="https://pubmed.ncbi.nlm.nih.gov/24793076/" TargetMode="External" /><Relationship Type="http://schemas.openxmlformats.org/officeDocument/2006/relationships/hyperlink" Id="rId109" Target="https://pubmed.ncbi.nlm.nih.gov/24846036/" TargetMode="External" /><Relationship Type="http://schemas.openxmlformats.org/officeDocument/2006/relationships/hyperlink" Id="rId90" Target="https://pubmed.ncbi.nlm.nih.gov/25305072/" TargetMode="External" /><Relationship Type="http://schemas.openxmlformats.org/officeDocument/2006/relationships/hyperlink" Id="rId96" Target="https://pubmed.ncbi.nlm.nih.gov/25497133/" TargetMode="External" /><Relationship Type="http://schemas.openxmlformats.org/officeDocument/2006/relationships/hyperlink" Id="rId115" Target="https://pubmed.ncbi.nlm.nih.gov/25569281/" TargetMode="External" /><Relationship Type="http://schemas.openxmlformats.org/officeDocument/2006/relationships/hyperlink" Id="rId143" Target="https://pubmed.ncbi.nlm.nih.gov/25623343/" TargetMode="External" /><Relationship Type="http://schemas.openxmlformats.org/officeDocument/2006/relationships/hyperlink" Id="rId111" Target="https://pubmed.ncbi.nlm.nih.gov/26488691/" TargetMode="External" /><Relationship Type="http://schemas.openxmlformats.org/officeDocument/2006/relationships/hyperlink" Id="rId125" Target="https://pubmed.ncbi.nlm.nih.gov/26721229/" TargetMode="External" /><Relationship Type="http://schemas.openxmlformats.org/officeDocument/2006/relationships/hyperlink" Id="rId83" Target="https://pubmed.ncbi.nlm.nih.gov/26882927/" TargetMode="External" /><Relationship Type="http://schemas.openxmlformats.org/officeDocument/2006/relationships/hyperlink" Id="rId106" Target="https://pubmed.ncbi.nlm.nih.gov/27188684/" TargetMode="External" /><Relationship Type="http://schemas.openxmlformats.org/officeDocument/2006/relationships/hyperlink" Id="rId89" Target="https://pubmed.ncbi.nlm.nih.gov/27492467/" TargetMode="External" /><Relationship Type="http://schemas.openxmlformats.org/officeDocument/2006/relationships/hyperlink" Id="rId119" Target="https://pubmed.ncbi.nlm.nih.gov/27518487/" TargetMode="External" /><Relationship Type="http://schemas.openxmlformats.org/officeDocument/2006/relationships/hyperlink" Id="rId118" Target="https://pubmed.ncbi.nlm.nih.gov/28087567/" TargetMode="External" /><Relationship Type="http://schemas.openxmlformats.org/officeDocument/2006/relationships/hyperlink" Id="rId123" Target="https://pubmed.ncbi.nlm.nih.gov/28173795/" TargetMode="External" /><Relationship Type="http://schemas.openxmlformats.org/officeDocument/2006/relationships/hyperlink" Id="rId144" Target="https://pubmed.ncbi.nlm.nih.gov/28263013/" TargetMode="External" /><Relationship Type="http://schemas.openxmlformats.org/officeDocument/2006/relationships/hyperlink" Id="rId139" Target="https://pubmed.ncbi.nlm.nih.gov/28699595/" TargetMode="External" /><Relationship Type="http://schemas.openxmlformats.org/officeDocument/2006/relationships/hyperlink" Id="rId121" Target="https://pubmed.ncbi.nlm.nih.gov/29934429/" TargetMode="External" /><Relationship Type="http://schemas.openxmlformats.org/officeDocument/2006/relationships/hyperlink" Id="rId137" Target="https://pubmed.ncbi.nlm.nih.gov/30181258/" TargetMode="External" /><Relationship Type="http://schemas.openxmlformats.org/officeDocument/2006/relationships/hyperlink" Id="rId103" Target="https://pubmed.ncbi.nlm.nih.gov/30295432/" TargetMode="External" /><Relationship Type="http://schemas.openxmlformats.org/officeDocument/2006/relationships/hyperlink" Id="rId107" Target="https://pubmed.ncbi.nlm.nih.gov/30609282/" TargetMode="External" /><Relationship Type="http://schemas.openxmlformats.org/officeDocument/2006/relationships/hyperlink" Id="rId84" Target="https://pubmed.ncbi.nlm.nih.gov/31192807/" TargetMode="External" /><Relationship Type="http://schemas.openxmlformats.org/officeDocument/2006/relationships/hyperlink" Id="rId108" Target="https://pubmed.ncbi.nlm.nih.gov/31207113/" TargetMode="External" /><Relationship Type="http://schemas.openxmlformats.org/officeDocument/2006/relationships/hyperlink" Id="rId130" Target="https://pubmed.ncbi.nlm.nih.gov/31453500/" TargetMode="External" /><Relationship Type="http://schemas.openxmlformats.org/officeDocument/2006/relationships/hyperlink" Id="rId112" Target="https://pubmed.ncbi.nlm.nih.gov/31908149/" TargetMode="External" /><Relationship Type="http://schemas.openxmlformats.org/officeDocument/2006/relationships/hyperlink" Id="rId91" Target="https://pubmed.ncbi.nlm.nih.gov/32882828/" TargetMode="External" /><Relationship Type="http://schemas.openxmlformats.org/officeDocument/2006/relationships/hyperlink" Id="rId97" Target="https://pubmed.ncbi.nlm.nih.gov/33065299/" TargetMode="External" /><Relationship Type="http://schemas.openxmlformats.org/officeDocument/2006/relationships/hyperlink" Id="rId104" Target="https://pubmed.ncbi.nlm.nih.gov/34597800/" TargetMode="External" /><Relationship Type="http://schemas.openxmlformats.org/officeDocument/2006/relationships/hyperlink" Id="rId101" Target="https://pubmed.ncbi.nlm.nih.gov/34916210/" TargetMode="External" /><Relationship Type="http://schemas.openxmlformats.org/officeDocument/2006/relationships/hyperlink" Id="rId128" Target="https://pubmed.ncbi.nlm.nih.gov/35881705/" TargetMode="External" /><Relationship Type="http://schemas.openxmlformats.org/officeDocument/2006/relationships/hyperlink" Id="rId146" Target="https://pubmed.ncbi.nlm.nih.gov/36650898/" TargetMode="External" /><Relationship Type="http://schemas.openxmlformats.org/officeDocument/2006/relationships/hyperlink" Id="rId120" Target="https://pubmed.ncbi.nlm.nih.gov/36711216/" TargetMode="External" /><Relationship Type="http://schemas.openxmlformats.org/officeDocument/2006/relationships/hyperlink" Id="rId93" Target="https://pubmed.ncbi.nlm.nih.gov/37494275/" TargetMode="External" /><Relationship Type="http://schemas.openxmlformats.org/officeDocument/2006/relationships/hyperlink" Id="rId88" Target="https://pubmed.ncbi.nlm.nih.gov/37675071/" TargetMode="External" /><Relationship Type="http://schemas.openxmlformats.org/officeDocument/2006/relationships/hyperlink" Id="rId141" Target="https://pubmed.ncbi.nlm.nih.gov/38251550/" TargetMode="External" /><Relationship Type="http://schemas.openxmlformats.org/officeDocument/2006/relationships/hyperlink" Id="rId136" Target="https://pubmed.ncbi.nlm.nih.gov/38302251/" TargetMode="External" /><Relationship Type="http://schemas.openxmlformats.org/officeDocument/2006/relationships/hyperlink" Id="rId142" Target="https://pubmed.ncbi.nlm.nih.gov/39032625/" TargetMode="External" /><Relationship Type="http://schemas.openxmlformats.org/officeDocument/2006/relationships/hyperlink" Id="rId113" Target="https://pubmed.ncbi.nlm.nih.gov/39625083/" TargetMode="External" /><Relationship Type="http://schemas.openxmlformats.org/officeDocument/2006/relationships/hyperlink" Id="rId127" Target="https://pubmed.ncbi.nlm.nih.gov/39920074/" TargetMode="External" /><Relationship Type="http://schemas.openxmlformats.org/officeDocument/2006/relationships/hyperlink" Id="rId147" Target="https://pubmed.ncbi.nlm.nih.gov/40265821/" TargetMode="External" /><Relationship Type="http://schemas.openxmlformats.org/officeDocument/2006/relationships/hyperlink" Id="rId99" Target="https://pubmed.ncbi.nlm.nih.gov/41245703/" TargetMode="External" /><Relationship Type="http://schemas.openxmlformats.org/officeDocument/2006/relationships/hyperlink" Id="rId133" Target="https://pubmed.ncbi.nlm.nih.gov/42371695/" TargetMode="External" /><Relationship Type="http://schemas.openxmlformats.org/officeDocument/2006/relationships/hyperlink" Id="rId114" Target="https://pubmed.ncbi.nlm.nih.gov/42486497/" TargetMode="External" /><Relationship Type="http://schemas.openxmlformats.org/officeDocument/2006/relationships/hyperlink" Id="rId87" Target="https://www.nice.org.uk/guidance/ng100" TargetMode="External" /><Relationship Type="http://schemas.openxmlformats.org/officeDocument/2006/relationships/hyperlink" Id="rId86" Target="https://www.nice.org.uk/guidance/ng2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Artrosi</dc:title>
  <dc:creator>Mobilitas — Direzione Osteopatica</dc:creator>
  <dc:language>it-IT</dc:language>
  <cp:keywords/>
  <dcterms:created xsi:type="dcterms:W3CDTF">2026-08-19T11:00:16Z</dcterms:created>
  <dcterms:modified xsi:type="dcterms:W3CDTF">2026-08-19T11:00:16Z</dcterms:modified>
</cp:coreProperties>
</file>

<file path=docProps/custom.xml><?xml version="1.0" encoding="utf-8"?>
<Properties xmlns="http://schemas.openxmlformats.org/officeDocument/2006/custom-properties" xmlns:vt="http://schemas.openxmlformats.org/officeDocument/2006/docPropsVTypes"/>
</file>