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Bruxismo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3" w:name="bibbia-mobilitas-bruxismo"/>
    <w:p>
      <w:pPr>
        <w:pStyle w:val="Heading1"/>
      </w:pPr>
      <w:r>
        <w:t xml:space="preserve">Bibbia Mobilitas — Bruxismo</w:t>
      </w:r>
    </w:p>
    <w:p>
      <w:pPr>
        <w:pStyle w:val="FirstParagraph"/>
      </w:pPr>
      <w:r>
        <w:rPr>
          <w:b/>
          <w:bCs/>
        </w:rPr>
        <w:t xml:space="preserve">Condizione:</w:t>
      </w:r>
      <w:r>
        <w:t xml:space="preserve"> </w:t>
      </w:r>
      <w:r>
        <w:t xml:space="preserve">Bruxismo (del sonno e della veglia) ·</w:t>
      </w:r>
      <w:r>
        <w:t xml:space="preserve"> </w:t>
      </w:r>
      <w:r>
        <w:rPr>
          <w:b/>
          <w:bCs/>
        </w:rPr>
        <w:t xml:space="preserve">Ancora fisiologica:</w:t>
      </w:r>
      <w:r>
        <w:t xml:space="preserve"> </w:t>
      </w:r>
      <w:r>
        <w:t xml:space="preserve">Gilles Lavigne, Université de Montréal ·</w:t>
      </w:r>
      <w:r>
        <w:t xml:space="preserve"> </w:t>
      </w:r>
      <w:r>
        <w:rPr>
          <w:b/>
          <w:bCs/>
        </w:rPr>
        <w:t xml:space="preserve">Ancora clinica in terapia manuale:</w:t>
      </w:r>
      <w:r>
        <w:t xml:space="preserve"> </w:t>
      </w:r>
      <w:r>
        <w:t xml:space="preserve">Susan Armijo-Olivo, University of Alberta / Osnabrück University of Applied Sciences ·</w:t>
      </w:r>
      <w:r>
        <w:t xml:space="preserve"> </w:t>
      </w:r>
      <w:r>
        <w:rPr>
          <w:b/>
          <w:bCs/>
        </w:rPr>
        <w:t xml:space="preserve">Versione:</w:t>
      </w:r>
      <w:r>
        <w:t xml:space="preserve"> </w:t>
      </w:r>
      <w:r>
        <w:t xml:space="preserve">v7 finale ·</w:t>
      </w:r>
      <w:r>
        <w:t xml:space="preserve"> </w:t>
      </w:r>
      <w:r>
        <w:rPr>
          <w:b/>
          <w:bCs/>
        </w:rPr>
        <w:t xml:space="preserve">Data:</w:t>
      </w:r>
      <w:r>
        <w:t xml:space="preserve"> </w:t>
      </w:r>
      <w:r>
        <w:t xml:space="preserve">agosto 2026</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c’è tutto quello che devi sapere sul bruxismo per lavorarci bene, e niente di quello che devi fare con le mani.</w:t>
      </w:r>
    </w:p>
    <w:p>
      <w:pPr>
        <w:pStyle w:val="FirstParagraph"/>
      </w:pPr>
      <w:r>
        <w:rPr>
          <w:b/>
          <w:bCs/>
        </w:rPr>
        <w:t xml:space="preserve">A chi parla.</w:t>
      </w:r>
      <w:r>
        <w:t xml:space="preserve"> </w:t>
      </w:r>
      <w:r>
        <w:t xml:space="preserve">All’osteopata del team. Qui non trovi cos’è il massetere. Trovi cosa fa il massetere in questa condizione, e perché finora nessuno ha guardato il collo di questo paziente.</w:t>
      </w:r>
    </w:p>
    <w:p>
      <w:pPr>
        <w:pStyle w:val="BodyText"/>
      </w:pPr>
      <w:r>
        <w:rPr>
          <w:b/>
          <w:bCs/>
        </w:rPr>
        <w:t xml:space="preserve">Cosa c’è qui e cosa no.</w:t>
      </w:r>
      <w:r>
        <w:t xml:space="preserve"> </w:t>
      </w:r>
      <w:r>
        <w:t xml:space="preserve">La Bibbia risponde a quattro domande:</w:t>
      </w:r>
      <w:r>
        <w:t xml:space="preserve"> </w:t>
      </w:r>
      <w:r>
        <w:rPr>
          <w:i/>
          <w:iCs/>
        </w:rPr>
        <w:t xml:space="preserve">che cos’è</w:t>
      </w:r>
      <w:r>
        <w:t xml:space="preserve">,</w:t>
      </w:r>
      <w:r>
        <w:t xml:space="preserve"> </w:t>
      </w:r>
      <w:r>
        <w:rPr>
          <w:i/>
          <w:iCs/>
        </w:rPr>
        <w:t xml:space="preserve">perché succede</w:t>
      </w:r>
      <w:r>
        <w:t xml:space="preserve">,</w:t>
      </w:r>
      <w:r>
        <w:t xml:space="preserve"> </w:t>
      </w:r>
      <w:r>
        <w:rPr>
          <w:i/>
          <w:iCs/>
        </w:rPr>
        <w:t xml:space="preserve">quali meccanismi la tengono in piedi</w:t>
      </w:r>
      <w:r>
        <w:t xml:space="preserve">,</w:t>
      </w:r>
      <w:r>
        <w:t xml:space="preserve"> </w:t>
      </w:r>
      <w:r>
        <w:rPr>
          <w:i/>
          <w:iCs/>
        </w:rPr>
        <w:t xml:space="preserve">quanto è solido tutto questo</w:t>
      </w:r>
      <w:r>
        <w:t xml:space="preserve">. La Procedura di Bruxismo risponde ad altre quattro:</w:t>
      </w:r>
      <w:r>
        <w:t xml:space="preserve"> </w:t>
      </w:r>
      <w:r>
        <w:rPr>
          <w:i/>
          <w:iCs/>
        </w:rPr>
        <w:t xml:space="preserve">cosa fai alla prima seduta</w:t>
      </w:r>
      <w:r>
        <w:t xml:space="preserve">,</w:t>
      </w:r>
      <w:r>
        <w:t xml:space="preserve"> </w:t>
      </w:r>
      <w:r>
        <w:rPr>
          <w:i/>
          <w:iCs/>
        </w:rPr>
        <w:t xml:space="preserve">quali tecniche</w:t>
      </w:r>
      <w:r>
        <w:t xml:space="preserve">,</w:t>
      </w:r>
      <w:r>
        <w:t xml:space="preserve"> </w:t>
      </w:r>
      <w:r>
        <w:rPr>
          <w:i/>
          <w:iCs/>
        </w:rPr>
        <w:t xml:space="preserve">con che dose</w:t>
      </w:r>
      <w:r>
        <w:t xml:space="preserve">,</w:t>
      </w:r>
      <w:r>
        <w:t xml:space="preserve"> </w:t>
      </w:r>
      <w:r>
        <w:rPr>
          <w:i/>
          <w:iCs/>
        </w:rPr>
        <w:t xml:space="preserve">quando rivaluti</w:t>
      </w:r>
      <w:r>
        <w:t xml:space="preserve">. È un documento separato, due pagine.</w:t>
      </w:r>
    </w:p>
    <w:p>
      <w:pPr>
        <w:pStyle w:val="BodyText"/>
      </w:pPr>
      <w:r>
        <w:rPr>
          <w:b/>
          <w:bCs/>
        </w:rPr>
        <w:t xml:space="preserve">Come si leggono le etichette.</w:t>
      </w:r>
      <w:r>
        <w:t xml:space="preserve"> </w:t>
      </w:r>
      <w:r>
        <w:t xml:space="preserve">Ogni meccanismo, ogni modello e ogni leva porta un box che dichiara quanto è solido. Le etichette sono quattro, e non ce n’è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Un’estensione dichiarata, valida in tutto il documento:</w:t>
      </w:r>
      <w:r>
        <w:t xml:space="preserve"> </w:t>
      </w:r>
      <w:r>
        <w:rPr>
          <w:b/>
          <w:bCs/>
        </w:rPr>
        <w:t xml:space="preserve">DIMOSTRATO</w:t>
      </w:r>
      <w:r>
        <w:t xml:space="preserve"> </w:t>
      </w:r>
      <w:r>
        <w:t xml:space="preserve">copre anche due casi che non sono studi randomizzati. Il primo sono gli studi che seguono nel tempo molte persone e mostrano che più esposizione dà più effetto. Il secondo è la misura fisica presa direttamente su persone.</w:t>
      </w:r>
    </w:p>
    <w:p>
      <w:pPr>
        <w:pStyle w:val="BodyText"/>
      </w:pPr>
      <w:r>
        <w:t xml:space="preserve">Su questa condizione il dato più duro che esista è del secondo tipo. È una misura di forza fatta con trasduttori nella bocca di dieci persone che dormivano. Non è uno studio randomizzato, ed è più solido di molti studi randomizzati. Dove uso l’etichetta in questo senso, lo scrivo nel punto d’uso.</w:t>
      </w:r>
    </w:p>
    <w:p>
      <w:pPr>
        <w:pStyle w:val="BodyText"/>
      </w:pPr>
      <w:r>
        <w:rPr>
          <w:b/>
          <w:bCs/>
        </w:rPr>
        <w:t xml:space="preserve">Come si studia questa Bibbia.</w:t>
      </w:r>
      <w:r>
        <w:t xml:space="preserve"> </w:t>
      </w:r>
      <w:r>
        <w:t xml:space="preserve">In tre passaggi.</w:t>
      </w:r>
    </w:p>
    <w:p>
      <w:pPr>
        <w:pStyle w:val="Compact"/>
        <w:numPr>
          <w:ilvl w:val="0"/>
          <w:numId w:val="1001"/>
        </w:numPr>
      </w:pPr>
      <w:r>
        <w:rPr>
          <w:b/>
          <w:bCs/>
        </w:rPr>
        <w:t xml:space="preserve">Prima lettura tutta di fila</w:t>
      </w:r>
      <w:r>
        <w:t xml:space="preserve">, senza appunti.</w:t>
      </w:r>
    </w:p>
    <w:p>
      <w:pPr>
        <w:pStyle w:val="Compact"/>
        <w:numPr>
          <w:ilvl w:val="0"/>
          <w:numId w:val="1001"/>
        </w:numPr>
      </w:pPr>
      <w:r>
        <w:rPr>
          <w:b/>
          <w:bCs/>
        </w:rPr>
        <w:t xml:space="preserve">Seconda passata con un paziente in testa</w:t>
      </w:r>
      <w:r>
        <w:t xml:space="preserve"> </w:t>
      </w:r>
      <w:r>
        <w:t xml:space="preserve">— uno vero, che hai già visto stringere. Rileggi solo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Di’ ad alta voce i cinque meccanismi e da cosa si riconosce ciascuno. Quello che non sai dire non l’hai imparato, e torni solo lì.</w:t>
      </w:r>
    </w:p>
    <w:p>
      <w:pPr>
        <w:pStyle w:val="FirstParagraph"/>
      </w:pPr>
      <w:r>
        <w:t xml:space="preserve">Prima del primo paziente e a sei mesi basta la Mappa concettuale.</w:t>
      </w:r>
    </w:p>
    <w:p>
      <w:pPr>
        <w:pStyle w:val="BodyText"/>
      </w:pPr>
      <w:r>
        <w:t xml:space="preserve">Il principio:</w:t>
      </w:r>
      <w:r>
        <w:t xml:space="preserve"> </w:t>
      </w:r>
      <w:r>
        <w:rPr>
          <w:b/>
          <w:bCs/>
        </w:rPr>
        <w:t xml:space="preserve">questa Bibbia si studia contro i pazienti, non contro l’orologio.</w:t>
      </w:r>
    </w:p>
    <w:p>
      <w:pPr>
        <w:pStyle w:val="BodyText"/>
      </w:pPr>
      <w:r>
        <w:t xml:space="preserve">Buon nutrimento!</w:t>
      </w:r>
    </w:p>
    <w:p>
      <w:pPr>
        <w:pStyle w:val="BodyText"/>
      </w:pPr>
      <w:r>
        <w:rPr>
          <w:b/>
          <w:bCs/>
        </w:rPr>
        <w:t xml:space="preserve">Le tre cose da ricordare, più una</w:t>
      </w:r>
    </w:p>
    <w:p>
      <w:pPr>
        <w:pStyle w:val="Compact"/>
        <w:numPr>
          <w:ilvl w:val="0"/>
          <w:numId w:val="1002"/>
        </w:numPr>
      </w:pPr>
      <w:r>
        <w:t xml:space="preserve">Le etichette non sono decorazione: cambiano quello che puoi dire al paziente e quello che devi tacere.</w:t>
      </w:r>
    </w:p>
    <w:p>
      <w:pPr>
        <w:pStyle w:val="Compact"/>
        <w:numPr>
          <w:ilvl w:val="0"/>
          <w:numId w:val="1002"/>
        </w:numPr>
      </w:pPr>
      <w:r>
        <w:t xml:space="preserve">Il confine con la Procedura è netto. Se qui trovi un minuto o una dose, è un errore da segnalare.</w:t>
      </w:r>
    </w:p>
    <w:p>
      <w:pPr>
        <w:pStyle w:val="Compact"/>
        <w:numPr>
          <w:ilvl w:val="0"/>
          <w:numId w:val="1002"/>
        </w:numPr>
      </w:pPr>
      <w:r>
        <w:t xml:space="preserve">Su questa condizione il dato migliore non è randomizzato. Sapere perché è comunque solido è metà del tuo vantaggio davanti a un collega critico.</w:t>
      </w:r>
    </w:p>
    <w:p>
      <w:pPr>
        <w:pStyle w:val="Compact"/>
        <w:numPr>
          <w:ilvl w:val="0"/>
          <w:numId w:val="1002"/>
        </w:numPr>
      </w:pPr>
      <w:r>
        <w:rPr>
          <w:b/>
          <w:bCs/>
        </w:rPr>
        <w:t xml:space="preserve">Perché ci sei tu.</w:t>
      </w:r>
      <w:r>
        <w:t xml:space="preserve"> </w:t>
      </w:r>
      <w:r>
        <w:t xml:space="preserve">Il bite è la risposta standard, e sulla riduzione dell’attività notturna le prove non lo sostengono. La revisione Cochrane su cinque studi controllati non trovò prove che riducesse il bruxismo del sonno (Macedo, 2007 — PMID 17943862). La sintesi più recente conferma la direzione: gli apparecchi occlusali non modificano l’attività di massetere e temporale, né la forza morsicatoria nei bruxisti del sonno (Ferreira,</w:t>
      </w:r>
      <w:r>
        <w:t xml:space="preserve"> </w:t>
      </w:r>
      <w:r>
        <w:rPr>
          <w:i/>
          <w:iCs/>
        </w:rPr>
        <w:t xml:space="preserve">Eur J Oral Sci</w:t>
      </w:r>
      <w:r>
        <w:t xml:space="preserve"> </w:t>
      </w:r>
      <w:r>
        <w:t xml:space="preserve">2024 — PMID 38421263). La sua funzione protettiva sui denti non è in discussione. Questo ti autorizza a esistere accanto al bite, su un bersaglio diverso. Non ti autorizza a dire al paziente che il bite non serve, né a suggerirgli di toglierlo.</w:t>
      </w:r>
    </w:p>
    <w:p>
      <w:r>
        <w:pict>
          <v:rect style="width:0;height:1.5pt" o:hralign="center" o:hrstd="t" o:hr="t"/>
        </w:pict>
      </w:r>
    </w:p>
    <w:bookmarkEnd w:id="9"/>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persona che ha già speso soldi per proteggere i denti e continua a svegliarsi con la testa che stringe — oppure una persona venuta per il collo, e il bruxismo lo trovi tu.</w:t>
      </w:r>
    </w:p>
    <w:bookmarkStart w:id="10" w:name="come-lo-racconta-lui"/>
    <w:p>
      <w:pPr>
        <w:pStyle w:val="Heading3"/>
      </w:pPr>
      <w:r>
        <w:t xml:space="preserve">Come lo racconta lui</w:t>
      </w:r>
    </w:p>
    <w:p>
      <w:pPr>
        <w:pStyle w:val="FirstParagraph"/>
      </w:pPr>
      <w:r>
        <w:t xml:space="preserve">Non dice</w:t>
      </w:r>
      <w:r>
        <w:t xml:space="preserve"> </w:t>
      </w:r>
      <w:r>
        <w:t xml:space="preserve">“bruxismo”</w:t>
      </w:r>
      <w:r>
        <w:t xml:space="preserve">. Dice</w:t>
      </w:r>
      <w:r>
        <w:t xml:space="preserve"> </w:t>
      </w:r>
      <w:r>
        <w:rPr>
          <w:i/>
          <w:iCs/>
        </w:rPr>
        <w:t xml:space="preserve">“mi sveglio già stanco, come se avessi lavorato tutta la notte”</w:t>
      </w:r>
      <w:r>
        <w:t xml:space="preserve">. Dice</w:t>
      </w:r>
      <w:r>
        <w:t xml:space="preserve"> </w:t>
      </w:r>
      <w:r>
        <w:rPr>
          <w:i/>
          <w:iCs/>
        </w:rPr>
        <w:t xml:space="preserve">“mi fa male la mascella appena apro gli occhi”</w:t>
      </w:r>
      <w:r>
        <w:t xml:space="preserve">. Dice</w:t>
      </w:r>
      <w:r>
        <w:t xml:space="preserve"> </w:t>
      </w:r>
      <w:r>
        <w:rPr>
          <w:i/>
          <w:iCs/>
        </w:rPr>
        <w:t xml:space="preserve">“ho una pressione ai lati della testa che c’è già prima di alzarmi”</w:t>
      </w:r>
      <w:r>
        <w:t xml:space="preserve">.</w:t>
      </w:r>
    </w:p>
    <w:p>
      <w:pPr>
        <w:pStyle w:val="BodyText"/>
      </w:pPr>
      <w:r>
        <w:t xml:space="preserve">Poi dice</w:t>
      </w:r>
      <w:r>
        <w:t xml:space="preserve"> </w:t>
      </w:r>
      <w:r>
        <w:rPr>
          <w:i/>
          <w:iCs/>
        </w:rPr>
        <w:t xml:space="preserve">“me lo ha detto chi dorme con me, io non me ne accorgo”</w:t>
      </w:r>
      <w:r>
        <w:t xml:space="preserve">. È la frase che gli fa più paura di tutte, perché descrive qualcosa che succede nel suo corpo senza di lui.</w:t>
      </w:r>
    </w:p>
    <w:p>
      <w:pPr>
        <w:pStyle w:val="BodyText"/>
      </w:pPr>
      <w:r>
        <w:t xml:space="preserve">Dice anche</w:t>
      </w:r>
      <w:r>
        <w:t xml:space="preserve"> </w:t>
      </w:r>
      <w:r>
        <w:rPr>
          <w:i/>
          <w:iCs/>
        </w:rPr>
        <w:t xml:space="preserve">“il dentista mi ha detto che sto limando i denti”</w:t>
      </w:r>
      <w:r>
        <w:t xml:space="preserve"> </w:t>
      </w:r>
      <w:r>
        <w:t xml:space="preserve">e</w:t>
      </w:r>
      <w:r>
        <w:t xml:space="preserve"> </w:t>
      </w:r>
      <w:r>
        <w:rPr>
          <w:i/>
          <w:iCs/>
        </w:rPr>
        <w:t xml:space="preserve">“la faccia mi si è squadrata”</w:t>
      </w:r>
      <w:r>
        <w:t xml:space="preserve">. E quasi sempre alla fine arriva l’ultima:</w:t>
      </w:r>
      <w:r>
        <w:t xml:space="preserve"> </w:t>
      </w:r>
      <w:r>
        <w:rPr>
          <w:i/>
          <w:iCs/>
        </w:rPr>
        <w:t xml:space="preserve">“mi sono accorto che stringo anche di giorno, alla scrivania, in macchina”</w:t>
      </w:r>
      <w:r>
        <w:t xml:space="preserve">.</w:t>
      </w:r>
    </w:p>
    <w:p>
      <w:pPr>
        <w:pStyle w:val="BodyText"/>
      </w:pPr>
      <w:r>
        <w:rPr>
          <w:b/>
          <w:bCs/>
        </w:rPr>
        <w:t xml:space="preserve">E poi c’è chi non lo dice affatto.</w:t>
      </w:r>
      <w:r>
        <w:t xml:space="preserve"> </w:t>
      </w:r>
      <w:r>
        <w:t xml:space="preserve">Una buona parte arriva per un’altra cosa — cervicalgia, mal di testa al risveglio, orecchio pieno — e il bruxismo lo trovi tu. Se aspetti che sia il paziente a nominarlo, vedi solo quelli che se lo sono già sentito dire.</w:t>
      </w:r>
    </w:p>
    <w:bookmarkEnd w:id="10"/>
    <w:bookmarkStart w:id="11" w:name="cosa-ha-già-fatto"/>
    <w:p>
      <w:pPr>
        <w:pStyle w:val="Heading3"/>
      </w:pPr>
      <w:r>
        <w:t xml:space="preserve">Cosa ha già fatto</w:t>
      </w:r>
    </w:p>
    <w:p>
      <w:pPr>
        <w:pStyle w:val="FirstParagraph"/>
      </w:pPr>
      <w:r>
        <w:t xml:space="preserve">Il percorso è quasi sempre lo stesso. È stato dall’odontoiatra, che ha visto le superfici appiattite e ha prescritto il</w:t>
      </w:r>
      <w:r>
        <w:t xml:space="preserve"> </w:t>
      </w:r>
      <w:r>
        <w:rPr>
          <w:b/>
          <w:bCs/>
        </w:rPr>
        <w:t xml:space="preserve">bite notturno</w:t>
      </w:r>
      <w:r>
        <w:t xml:space="preserve">. Lo mette ogni notte, e poi scopre da solo quello che nessuno gli ha spiegato: i denti sono protetti, la mascella fa male uguale.</w:t>
      </w:r>
    </w:p>
    <w:p>
      <w:pPr>
        <w:pStyle w:val="BodyText"/>
      </w:pPr>
      <w:r>
        <w:t xml:space="preserve">Può essere andato dal</w:t>
      </w:r>
      <w:r>
        <w:t xml:space="preserve"> </w:t>
      </w:r>
      <w:r>
        <w:rPr>
          <w:b/>
          <w:bCs/>
        </w:rPr>
        <w:t xml:space="preserve">gnatologo</w:t>
      </w:r>
      <w:r>
        <w:t xml:space="preserve">, il dentista che si occupa dei rapporti fra denti, muscoli e articolazione della mandibola. Lui ha guardato l’occlusione. Il paziente può aver preso</w:t>
      </w:r>
      <w:r>
        <w:t xml:space="preserve"> </w:t>
      </w:r>
      <w:r>
        <w:rPr>
          <w:b/>
          <w:bCs/>
        </w:rPr>
        <w:t xml:space="preserve">miorilassanti</w:t>
      </w:r>
      <w:r>
        <w:t xml:space="preserve"> </w:t>
      </w:r>
      <w:r>
        <w:t xml:space="preserve">la sera o</w:t>
      </w:r>
      <w:r>
        <w:t xml:space="preserve"> </w:t>
      </w:r>
      <w:r>
        <w:rPr>
          <w:b/>
          <w:bCs/>
        </w:rPr>
        <w:t xml:space="preserve">antinfiammatori</w:t>
      </w:r>
      <w:r>
        <w:t xml:space="preserve"> </w:t>
      </w:r>
      <w:r>
        <w:t xml:space="preserve">al mattino. A qualcuno hanno proposto la</w:t>
      </w:r>
      <w:r>
        <w:t xml:space="preserve"> </w:t>
      </w:r>
      <w:r>
        <w:rPr>
          <w:b/>
          <w:bCs/>
        </w:rPr>
        <w:t xml:space="preserve">tossina botulinica</w:t>
      </w:r>
      <w:r>
        <w:t xml:space="preserve">. Molti hanno fatto una</w:t>
      </w:r>
      <w:r>
        <w:t xml:space="preserve"> </w:t>
      </w:r>
      <w:r>
        <w:rPr>
          <w:b/>
          <w:bCs/>
        </w:rPr>
        <w:t xml:space="preserve">panoramica dentale</w:t>
      </w:r>
      <w:r>
        <w:t xml:space="preserve">, alcuni una</w:t>
      </w:r>
      <w:r>
        <w:t xml:space="preserve"> </w:t>
      </w:r>
      <w:r>
        <w:rPr>
          <w:b/>
          <w:bCs/>
        </w:rPr>
        <w:t xml:space="preserve">risonanza dell’articolazione</w:t>
      </w:r>
      <w:r>
        <w:t xml:space="preserve">. E tutti si sono sentiti dire:</w:t>
      </w:r>
      <w:r>
        <w:t xml:space="preserve"> </w:t>
      </w:r>
      <w:r>
        <w:rPr>
          <w:i/>
          <w:iCs/>
        </w:rPr>
        <w:t xml:space="preserve">“è lo stress, devi rilassarti”</w:t>
      </w:r>
      <w:r>
        <w:t xml:space="preserve">.</w:t>
      </w:r>
    </w:p>
    <w:p>
      <w:pPr>
        <w:pStyle w:val="BlockText"/>
      </w:pPr>
      <w:r>
        <w:rPr>
          <w:b/>
          <w:bCs/>
        </w:rPr>
        <w:t xml:space="preserve">Cosa cambia per te.</w:t>
      </w:r>
      <w:r>
        <w:t xml:space="preserve"> </w:t>
      </w:r>
      <w:r>
        <w:t xml:space="preserve">Quella frase non è sbagliata: è incompleta, e il paziente lo sente. Se gliela ripeti senza aggiungere un meccanismo e una misura, sei l’ennesimo che gli dice di rilassarsi.</w:t>
      </w:r>
    </w:p>
    <w:p>
      <w:pPr>
        <w:pStyle w:val="FirstParagraph"/>
      </w:pPr>
      <w:r>
        <w:rPr>
          <w:b/>
          <w:bCs/>
        </w:rPr>
        <w:t xml:space="preserve">Due domande che il percorso standard non fa.</w:t>
      </w:r>
      <w:r>
        <w:t xml:space="preserve"> </w:t>
      </w:r>
      <w:r>
        <w:t xml:space="preserve">La prima:</w:t>
      </w:r>
      <w:r>
        <w:t xml:space="preserve"> </w:t>
      </w:r>
      <w:r>
        <w:rPr>
          <w:i/>
          <w:iCs/>
        </w:rPr>
        <w:t xml:space="preserve">è cominciato dopo qualcosa?</w:t>
      </w:r>
      <w:r>
        <w:t xml:space="preserve"> </w:t>
      </w:r>
      <w:r>
        <w:t xml:space="preserve">Un colpo di frusta, una caduta, un intervento con la bocca aperta a lungo, un’ortodonzia, un lavoro odontoiatrico recente. La seconda:</w:t>
      </w:r>
      <w:r>
        <w:t xml:space="preserve"> </w:t>
      </w:r>
      <w:r>
        <w:rPr>
          <w:i/>
          <w:iCs/>
        </w:rPr>
        <w:t xml:space="preserve">quali farmaci prendi, e da quando?</w:t>
      </w:r>
      <w:r>
        <w:t xml:space="preserve"> </w:t>
      </w:r>
      <w:r>
        <w:t xml:space="preserve">Vuoi l’elenco scritto, non</w:t>
      </w:r>
      <w:r>
        <w:t xml:space="preserve"> </w:t>
      </w:r>
      <w:r>
        <w:t xml:space="preserve">“niente di particolare”</w:t>
      </w:r>
      <w:r>
        <w:t xml:space="preserve">.</w:t>
      </w:r>
    </w:p>
    <w:p>
      <w:pPr>
        <w:pStyle w:val="BodyText"/>
      </w:pPr>
      <w:r>
        <w:rPr>
          <w:b/>
          <w:bCs/>
        </w:rPr>
        <w:t xml:space="preserve">L’adulto sano di quarant’anni non è l’unico che entra.</w:t>
      </w:r>
      <w:r>
        <w:t xml:space="preserve"> </w:t>
      </w:r>
      <w:r>
        <w:t xml:space="preserve">Entra anche chi ha più di settant’anni, con protesi o impianti, in politerapia, in terapia per l’osteoporosi, con una storia oncologica testa-collo o una malattia neurodegenerativa. Su di lui il quadro spesso non è un comportamento, ma un’altra cosa che gli somiglia. Vedi «Non è una condizione sola» e «Dove finisce il nostro campo».</w:t>
      </w:r>
    </w:p>
    <w:bookmarkEnd w:id="11"/>
    <w:bookmarkStart w:id="12" w:name="cosa-nessuno-ha-guardato"/>
    <w:p>
      <w:pPr>
        <w:pStyle w:val="Heading3"/>
      </w:pPr>
      <w:r>
        <w:t xml:space="preserve">Cosa nessuno ha guardato</w:t>
      </w:r>
    </w:p>
    <w:p>
      <w:pPr>
        <w:pStyle w:val="FirstParagraph"/>
      </w:pPr>
      <w:r>
        <w:rPr>
          <w:b/>
          <w:bCs/>
        </w:rPr>
        <w:t xml:space="preserve">Il collo.</w:t>
      </w:r>
      <w:r>
        <w:t xml:space="preserve"> </w:t>
      </w:r>
      <w:r>
        <w:t xml:space="preserve">L’apertura della bocca non è un movimento della sola mandibola: la testa si muove insieme, e comincia prima. Nessuno del percorso standard lo ha testato.</w:t>
      </w:r>
    </w:p>
    <w:p>
      <w:pPr>
        <w:pStyle w:val="BodyText"/>
      </w:pPr>
      <w:r>
        <w:rPr>
          <w:b/>
          <w:bCs/>
        </w:rPr>
        <w:t xml:space="preserve">La quantità di serramento da sveglio.</w:t>
      </w:r>
      <w:r>
        <w:t xml:space="preserve"> </w:t>
      </w:r>
      <w:r>
        <w:t xml:space="preserve">Circa un adulto su quattro stringe di giorno. Il percorso dentale non misura quel comportamento: tratta la notte, perché la notte lascia un segno sui denti.</w:t>
      </w:r>
    </w:p>
    <w:p>
      <w:pPr>
        <w:pStyle w:val="BodyText"/>
      </w:pPr>
      <w:r>
        <w:rPr>
          <w:b/>
          <w:bCs/>
        </w:rPr>
        <w:t xml:space="preserve">Lo stato di attivazione da cui il sintomo si accende.</w:t>
      </w:r>
      <w:r>
        <w:t xml:space="preserve"> </w:t>
      </w:r>
      <w:r>
        <w:t xml:space="preserve">Il bruxismo del sonno parte da un risveglio breve del sistema nervoso, e i denti sono l’ultimo anello.</w:t>
      </w:r>
    </w:p>
    <w:p>
      <w:pPr>
        <w:pStyle w:val="BodyText"/>
      </w:pPr>
      <w:r>
        <w:rPr>
          <w:b/>
          <w:bCs/>
        </w:rPr>
        <w:t xml:space="preserve">I due segni che si vedono in cinque secondi a bocca aperta.</w:t>
      </w:r>
      <w:r>
        <w:t xml:space="preserve"> </w:t>
      </w:r>
      <w:r>
        <w:t xml:space="preserve">Il primo è la</w:t>
      </w:r>
      <w:r>
        <w:t xml:space="preserve"> </w:t>
      </w:r>
      <w:r>
        <w:rPr>
          <w:b/>
          <w:bCs/>
        </w:rPr>
        <w:t xml:space="preserve">linea alba</w:t>
      </w:r>
      <w:r>
        <w:t xml:space="preserve">, una striscia biancastra sulla mucosa della guancia, all’altezza del piano dove le arcate si incontrano. Il secondo sono le</w:t>
      </w:r>
      <w:r>
        <w:t xml:space="preserve"> </w:t>
      </w:r>
      <w:r>
        <w:rPr>
          <w:b/>
          <w:bCs/>
        </w:rPr>
        <w:t xml:space="preserve">indentazioni sui bordi laterali della lingua</w:t>
      </w:r>
      <w:r>
        <w:t xml:space="preserve">. Niente strumenti, niente contatto.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il valore diagnostico dei due segni. Sono indizi di attività, non prove, e non sostituiscono la domanda diretta.</w:t>
      </w:r>
    </w:p>
    <w:bookmarkEnd w:id="12"/>
    <w:bookmarkStart w:id="13" w:name="le-tre-domande-che-ti-farà"/>
    <w:p>
      <w:pPr>
        <w:pStyle w:val="Heading3"/>
      </w:pPr>
      <w:r>
        <w:t xml:space="preserve">Le tre domande che ti farà</w:t>
      </w:r>
    </w:p>
    <w:p>
      <w:pPr>
        <w:pStyle w:val="Compact"/>
        <w:numPr>
          <w:ilvl w:val="0"/>
          <w:numId w:val="1003"/>
        </w:numPr>
      </w:pPr>
      <w:r>
        <w:rPr>
          <w:i/>
          <w:iCs/>
        </w:rPr>
        <w:t xml:space="preserve">“Ho già il bite: non basta?”</w:t>
      </w:r>
      <w:r>
        <w:t xml:space="preserve"> </w:t>
      </w:r>
      <w:r>
        <w:t xml:space="preserve">— risposta in «Cosa dire al paziente».</w:t>
      </w:r>
    </w:p>
    <w:p>
      <w:pPr>
        <w:pStyle w:val="Compact"/>
        <w:numPr>
          <w:ilvl w:val="0"/>
          <w:numId w:val="1003"/>
        </w:numPr>
      </w:pPr>
      <w:r>
        <w:rPr>
          <w:i/>
          <w:iCs/>
        </w:rPr>
        <w:t xml:space="preserve">“Come faccio a controllarmi mentre dormo?”</w:t>
      </w:r>
      <w:r>
        <w:t xml:space="preserve"> </w:t>
      </w:r>
      <w:r>
        <w:t xml:space="preserve">— il meccanismo sta in «Cosa si rompe», la risposta da dire a lui in «Cosa dire al paziente».</w:t>
      </w:r>
    </w:p>
    <w:p>
      <w:pPr>
        <w:pStyle w:val="Compact"/>
        <w:numPr>
          <w:ilvl w:val="0"/>
          <w:numId w:val="1003"/>
        </w:numPr>
      </w:pPr>
      <w:r>
        <w:rPr>
          <w:i/>
          <w:iCs/>
        </w:rPr>
        <w:t xml:space="preserve">“Mi hanno proposto il botulino.”</w:t>
      </w:r>
      <w:r>
        <w:t xml:space="preserve"> </w:t>
      </w:r>
      <w:r>
        <w:t xml:space="preserve">— risposta in «Dove finisce il nostro campo». È un confine, non un’opinione.</w:t>
      </w:r>
    </w:p>
    <w:p>
      <w:pPr>
        <w:pStyle w:val="FirstParagraph"/>
      </w:pPr>
      <w:r>
        <w:rPr>
          <w:b/>
          <w:bCs/>
        </w:rPr>
        <w:t xml:space="preserve">Le tre cose da ricordare, più una</w:t>
      </w:r>
    </w:p>
    <w:p>
      <w:pPr>
        <w:pStyle w:val="Compact"/>
        <w:numPr>
          <w:ilvl w:val="0"/>
          <w:numId w:val="1004"/>
        </w:numPr>
      </w:pPr>
      <w:r>
        <w:t xml:space="preserve">Arriva con i denti protetti e il problema intatto: parti da lì. E spesso non arriva per il bruxismo: guarda la guancia e la lingua di chi ti porta un collo.</w:t>
      </w:r>
    </w:p>
    <w:p>
      <w:pPr>
        <w:pStyle w:val="Compact"/>
        <w:numPr>
          <w:ilvl w:val="0"/>
          <w:numId w:val="1004"/>
        </w:numPr>
      </w:pPr>
      <w:r>
        <w:t xml:space="preserve">La sua paura vera è non controllare qualcosa che succede nel suo corpo. Rispondi a quella, non all’usura.</w:t>
      </w:r>
    </w:p>
    <w:p>
      <w:pPr>
        <w:pStyle w:val="Compact"/>
        <w:numPr>
          <w:ilvl w:val="0"/>
          <w:numId w:val="1004"/>
        </w:numPr>
      </w:pPr>
      <w:r>
        <w:t xml:space="preserve">Il serramento diurno esce spontaneamente tardi, e spesso non esce. Chiedilo tu, prima.</w:t>
      </w:r>
    </w:p>
    <w:p>
      <w:pPr>
        <w:pStyle w:val="Compact"/>
        <w:numPr>
          <w:ilvl w:val="0"/>
          <w:numId w:val="1004"/>
        </w:numPr>
      </w:pPr>
      <w:r>
        <w:rPr>
          <w:b/>
          <w:bCs/>
        </w:rPr>
        <w:t xml:space="preserve">Perché ci sei tu.</w:t>
      </w:r>
      <w:r>
        <w:t xml:space="preserve"> </w:t>
      </w:r>
      <w:r>
        <w:t xml:space="preserve">Circa</w:t>
      </w:r>
      <w:r>
        <w:t xml:space="preserve"> </w:t>
      </w:r>
      <w:r>
        <w:rPr>
          <w:b/>
          <w:bCs/>
        </w:rPr>
        <w:t xml:space="preserve">un adulto su quattro</w:t>
      </w:r>
      <w:r>
        <w:t xml:space="preserve"> </w:t>
      </w:r>
      <w:r>
        <w:t xml:space="preserve">riferisce di serrare i denti da sveglio. Nella sintesi che ha messo insieme vent’anni di studi di prevalenza la quota è del 23%, stimata su popolazioni pediatriche e adulte insieme, e nessuno del percorso odontoiatrico standard la misura. Questo ti autorizza a essere il primo che quella quota la conta su questo paziente. Non ti autorizza a chiamarla diagnosi: contare un comportamento non è porre una diagnosi. (Zieliński,</w:t>
      </w:r>
      <w:r>
        <w:t xml:space="preserve"> </w:t>
      </w:r>
      <w:r>
        <w:rPr>
          <w:i/>
          <w:iCs/>
        </w:rPr>
        <w:t xml:space="preserve">J Clin Med</w:t>
      </w:r>
      <w:r>
        <w:t xml:space="preserve"> </w:t>
      </w:r>
      <w:r>
        <w:t xml:space="preserve">2024 — PMID 39064299)</w:t>
      </w:r>
    </w:p>
    <w:bookmarkEnd w:id="13"/>
    <w:bookmarkEnd w:id="14"/>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il bruxismo non è una malattia dei denti: è un’attività dei muscoli masticatori, che il consenso internazionale descrive come un comportamento con conseguenze, non come una diagnosi da curare.</w:t>
      </w:r>
    </w:p>
    <w:bookmarkStart w:id="15" w:name="X5c1ddfdff721afab2bd9ff73933eb756e7ca0ba"/>
    <w:p>
      <w:pPr>
        <w:pStyle w:val="Heading3"/>
      </w:pPr>
      <w:r>
        <w:t xml:space="preserve">La definizione, e perché è la cosa più importante del capitolo</w:t>
      </w:r>
    </w:p>
    <w:p>
      <w:pPr>
        <w:pStyle w:val="FirstParagraph"/>
      </w:pPr>
      <w:r>
        <w:t xml:space="preserve">Il consenso internazionale definisce il bruxismo come</w:t>
      </w:r>
      <w:r>
        <w:t xml:space="preserve"> </w:t>
      </w:r>
      <w:r>
        <w:rPr>
          <w:b/>
          <w:bCs/>
        </w:rPr>
        <w:t xml:space="preserve">un’attività ripetitiva dei muscoli masticatori, con serramento o digrignamento dei denti oppure con irrigidimento o spinta in avanti della mandibola</w:t>
      </w:r>
      <w:r>
        <w:t xml:space="preserve"> </w:t>
      </w:r>
      <w:r>
        <w:t xml:space="preserve">(Lobbezoo,</w:t>
      </w:r>
      <w:r>
        <w:t xml:space="preserve"> </w:t>
      </w:r>
      <w:r>
        <w:rPr>
          <w:i/>
          <w:iCs/>
        </w:rPr>
        <w:t xml:space="preserve">J Oral Rehabil</w:t>
      </w:r>
      <w:r>
        <w:t xml:space="preserve"> </w:t>
      </w:r>
      <w:r>
        <w:t xml:space="preserve">2013 — PMID 23121262).</w:t>
      </w:r>
    </w:p>
    <w:p>
      <w:pPr>
        <w:pStyle w:val="BodyText"/>
      </w:pPr>
      <w:r>
        <w:t xml:space="preserve">Nel 2018 lo stesso gruppo aggiunse che, in individui per il resto sani, il bruxismo non era un disturbo ma un comportamento (PMID 29926505).</w:t>
      </w:r>
    </w:p>
    <w:p>
      <w:pPr>
        <w:pStyle w:val="BodyText"/>
      </w:pPr>
      <w:r>
        <w:rPr>
          <w:b/>
          <w:bCs/>
        </w:rPr>
        <w:t xml:space="preserve">Nel 2025 le definizioni sono state aggiornate, e due cose sono cambiate.</w:t>
      </w:r>
      <w:r>
        <w:t xml:space="preserve"> </w:t>
      </w:r>
      <w:r>
        <w:t xml:space="preserve">La prima: l’addendum</w:t>
      </w:r>
      <w:r>
        <w:t xml:space="preserve"> </w:t>
      </w:r>
      <w:r>
        <w:rPr>
          <w:i/>
          <w:iCs/>
        </w:rPr>
        <w:t xml:space="preserve">“in individui per il resto sani”</w:t>
      </w:r>
      <w:r>
        <w:t xml:space="preserve"> </w:t>
      </w:r>
      <w:r>
        <w:t xml:space="preserve">è stato</w:t>
      </w:r>
      <w:r>
        <w:t xml:space="preserve"> </w:t>
      </w:r>
      <w:r>
        <w:rPr>
          <w:b/>
          <w:bCs/>
        </w:rPr>
        <w:t xml:space="preserve">rimosso</w:t>
      </w:r>
      <w:r>
        <w:t xml:space="preserve">, perché escludeva proprio i pazienti con altre condizioni. La seconda: la gradazione è stata riformulata su tre livelli di accertamento —</w:t>
      </w:r>
      <w:r>
        <w:t xml:space="preserve"> </w:t>
      </w:r>
      <w:r>
        <w:rPr>
          <w:i/>
          <w:iCs/>
        </w:rPr>
        <w:t xml:space="preserve">riferito</w:t>
      </w:r>
      <w:r>
        <w:t xml:space="preserve">,</w:t>
      </w:r>
      <w:r>
        <w:t xml:space="preserve"> </w:t>
      </w:r>
      <w:r>
        <w:rPr>
          <w:i/>
          <w:iCs/>
        </w:rPr>
        <w:t xml:space="preserve">rilevato all’esame clinico</w:t>
      </w:r>
      <w:r>
        <w:t xml:space="preserve">,</w:t>
      </w:r>
      <w:r>
        <w:t xml:space="preserve"> </w:t>
      </w:r>
      <w:r>
        <w:rPr>
          <w:i/>
          <w:iCs/>
        </w:rPr>
        <w:t xml:space="preserve">registrato con strumento</w:t>
      </w:r>
      <w:r>
        <w:t xml:space="preserve"> </w:t>
      </w:r>
      <w:r>
        <w:t xml:space="preserve">— in linea con lo strumento standardizzato STAB (Lobbezoo &amp; Manfredini,</w:t>
      </w:r>
      <w:r>
        <w:t xml:space="preserve"> </w:t>
      </w:r>
      <w:r>
        <w:rPr>
          <w:i/>
          <w:iCs/>
        </w:rPr>
        <w:t xml:space="preserve">J Oral Rehabil</w:t>
      </w:r>
      <w:r>
        <w:t xml:space="preserve"> </w:t>
      </w:r>
      <w:r>
        <w:t xml:space="preserve">2025 — PMID 40312776).</w:t>
      </w:r>
    </w:p>
    <w:p>
      <w:pPr>
        <w:pStyle w:val="BodyText"/>
      </w:pPr>
      <w:r>
        <w:t xml:space="preserve">Quello che resta è la frase che cambia il tuo mestiere:</w:t>
      </w:r>
      <w:r>
        <w:t xml:space="preserve"> </w:t>
      </w:r>
      <w:r>
        <w:rPr>
          <w:b/>
          <w:bCs/>
        </w:rPr>
        <w:t xml:space="preserve">il bruxismo è un’attività muscolare, non una malattia dei denti.</w:t>
      </w:r>
      <w:r>
        <w:t xml:space="preserve"> </w:t>
      </w:r>
      <w:r>
        <w:t xml:space="preserve">Non lo curi, e non è un fallimento. Tratti le sue conseguenze — dolore muscolare, apertura limitata, tensione cervicale — e il livello di attivazione da cui parte.</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Il consenso separa due manifestazioni con orari diversi. Il</w:t>
      </w:r>
      <w:r>
        <w:t xml:space="preserve"> </w:t>
      </w:r>
      <w:r>
        <w:rPr>
          <w:b/>
          <w:bCs/>
        </w:rPr>
        <w:t xml:space="preserve">bruxismo del sonno</w:t>
      </w:r>
      <w:r>
        <w:t xml:space="preserve"> </w:t>
      </w:r>
      <w:r>
        <w:t xml:space="preserve">è attività dei masticatori durante il sonno. Il</w:t>
      </w:r>
      <w:r>
        <w:t xml:space="preserve"> </w:t>
      </w:r>
      <w:r>
        <w:rPr>
          <w:b/>
          <w:bCs/>
        </w:rPr>
        <w:t xml:space="preserve">bruxismo della veglia</w:t>
      </w:r>
      <w:r>
        <w:t xml:space="preserve"> </w:t>
      </w:r>
      <w:r>
        <w:t xml:space="preserve">è contatto dentale ripetuto o mantenuto, irrigidimento o spinta della mandibola. Non sono lo stesso fenomeno a due orari: hanno generatori diversi, e per te sono due condizioni.</w:t>
      </w:r>
    </w:p>
    <w:bookmarkEnd w:id="15"/>
    <w:bookmarkStart w:id="16" w:name="quanto-è-diffusa"/>
    <w:p>
      <w:pPr>
        <w:pStyle w:val="Heading3"/>
      </w:pPr>
      <w:r>
        <w:t xml:space="preserve">Quanto è diffusa</w:t>
      </w:r>
    </w:p>
    <w:p>
      <w:pPr>
        <w:pStyle w:val="FirstParagraph"/>
      </w:pPr>
      <w:r>
        <w:t xml:space="preserve">La sintesi degli studi di prevalenza pubblicati dal 2003 al 2023 stima il 21% per il bruxismo del sonno e il 23% per quello della veglia, su popolazioni pediatriche e adulte insieme. Quando invece di chiedere si misura con la polisonnografia, la quota di chi mostra l’attività sale al 43%.</w:t>
      </w:r>
      <w:r>
        <w:t xml:space="preserve"> </w:t>
      </w:r>
      <w:r>
        <w:rPr>
          <w:b/>
          <w:bCs/>
        </w:rPr>
        <w:t xml:space="preserve">La polisonnografia trova l’attività muscolare, il questionario trova chi se n’è accorto</w:t>
      </w:r>
      <w:r>
        <w:t xml:space="preserve">, e la maggior parte di chi digrigna non se ne accorge.</w:t>
      </w:r>
    </w:p>
    <w:p>
      <w:pPr>
        <w:pStyle w:val="BodyText"/>
      </w:pPr>
      <w:r>
        <w:rPr>
          <w:b/>
          <w:bCs/>
        </w:rPr>
        <w:t xml:space="preserve">Per te:</w:t>
      </w:r>
      <w:r>
        <w:t xml:space="preserve"> </w:t>
      </w:r>
      <w:r>
        <w:t xml:space="preserve">il numero che ti riguarda in stanza è quello riferito, perché i tuoi pazienti arrivano perché qualcuno gliel’ha detto o perché hanno male. Ma il 43% ti dice un’altra cosa. Se quasi metà delle persone mostra l’attività e solo una minoranza ha sintomi, allora</w:t>
      </w:r>
      <w:r>
        <w:t xml:space="preserve"> </w:t>
      </w:r>
      <w:r>
        <w:rPr>
          <w:b/>
          <w:bCs/>
        </w:rPr>
        <w:t xml:space="preserve">l’attività non è il tuo bersaglio — il tuo bersaglio è ciò che la rende sintomatica.</w:t>
      </w:r>
      <w:r>
        <w:t xml:space="preserve"> </w:t>
      </w:r>
      <w:r>
        <w:t xml:space="preserve">È il rumore di fondo dell’ufficio: c’è per tutti, e solo qualcuno non riesce a lavorarci. (Zieliński,</w:t>
      </w:r>
      <w:r>
        <w:t xml:space="preserve"> </w:t>
      </w:r>
      <w:r>
        <w:rPr>
          <w:i/>
          <w:iCs/>
        </w:rPr>
        <w:t xml:space="preserve">J Clin Med</w:t>
      </w:r>
      <w:r>
        <w:t xml:space="preserve"> </w:t>
      </w:r>
      <w:r>
        <w:t xml:space="preserve">2024 — PMID 39064299)</w:t>
      </w:r>
    </w:p>
    <w:bookmarkEnd w:id="16"/>
    <w:bookmarkStart w:id="17" w:name="come-evolve-se-non-fai-nulla"/>
    <w:p>
      <w:pPr>
        <w:pStyle w:val="Heading3"/>
      </w:pPr>
      <w:r>
        <w:t xml:space="preserve">Come evolve se non fai nulla</w:t>
      </w:r>
    </w:p>
    <w:p>
      <w:pPr>
        <w:pStyle w:val="FirstParagraph"/>
      </w:pPr>
      <w:r>
        <w:t xml:space="preserve">Il bruxismo del sonno</w:t>
      </w:r>
      <w:r>
        <w:t xml:space="preserve"> </w:t>
      </w:r>
      <w:r>
        <w:rPr>
          <w:b/>
          <w:bCs/>
        </w:rPr>
        <w:t xml:space="preserve">oscilla</w:t>
      </w:r>
      <w:r>
        <w:t xml:space="preserve">. Cala con l’età negli anziani, e nel singolo cambia da notte a notte. Cambia al punto che servono cinque o sei notti di registrazione per stimare il livello medio di una sola persona (Minakuchi,</w:t>
      </w:r>
      <w:r>
        <w:t xml:space="preserve"> </w:t>
      </w:r>
      <w:r>
        <w:rPr>
          <w:i/>
          <w:iCs/>
        </w:rPr>
        <w:t xml:space="preserve">Sleep Breath</w:t>
      </w:r>
      <w:r>
        <w:t xml:space="preserve"> </w:t>
      </w:r>
      <w:r>
        <w:t xml:space="preserve">2012 — PMID 22278147). Quello della veglia varia poco da un giorno all’altro nella stessa persona, e molto da persona a persona.</w:t>
      </w:r>
    </w:p>
    <w:p>
      <w:pPr>
        <w:pStyle w:val="BodyText"/>
      </w:pPr>
      <w:r>
        <w:t xml:space="preserve">Anche il dolore si muove da solo. Nel dolore miofasciale masticatorio seguito per cinque anni</w:t>
      </w:r>
      <w:r>
        <w:t xml:space="preserve"> </w:t>
      </w:r>
      <w:r>
        <w:rPr>
          <w:b/>
          <w:bCs/>
        </w:rPr>
        <w:t xml:space="preserve">il 33% è andato in remissione e il 36% è risultato ricorrente</w:t>
      </w:r>
      <w:r>
        <w:t xml:space="preserve">, e solo il 31% è rimasto persistente (Rammelsberg,</w:t>
      </w:r>
      <w:r>
        <w:t xml:space="preserve"> </w:t>
      </w:r>
      <w:r>
        <w:rPr>
          <w:i/>
          <w:iCs/>
        </w:rPr>
        <w:t xml:space="preserve">J Orofac Pain</w:t>
      </w:r>
      <w:r>
        <w:t xml:space="preserve"> </w:t>
      </w:r>
      <w:r>
        <w:t xml:space="preserve">2003 — PMID 12756926). Due pazienti su tre migliorano almeno una volta senza di te.</w:t>
      </w:r>
    </w:p>
    <w:p>
      <w:pPr>
        <w:pStyle w:val="BlockText"/>
      </w:pPr>
      <w:r>
        <w:rPr>
          <w:b/>
          <w:bCs/>
        </w:rPr>
        <w:t xml:space="preserve">Cosa cambia per te.</w:t>
      </w:r>
      <w:r>
        <w:t xml:space="preserve"> </w:t>
      </w:r>
      <w:r>
        <w:t xml:space="preserve">Questi numeri sono il termine di paragone di ogni verifica che farai.</w:t>
      </w:r>
      <w:r>
        <w:t xml:space="preserve"> </w:t>
      </w:r>
      <w:r>
        <w:rPr>
          <w:b/>
          <w:bCs/>
        </w:rPr>
        <w:t xml:space="preserve">Un paziente che migliora dopo tre sedute può essere un paziente che stava per migliorare comunque</w:t>
      </w:r>
      <w:r>
        <w:t xml:space="preserve">, e il racconto di una singola notte non è un dato.</w:t>
      </w:r>
    </w:p>
    <w:p>
      <w:pPr>
        <w:pStyle w:val="FirstParagraph"/>
      </w:pPr>
      <w:r>
        <w:t xml:space="preserve">Le conseguenze, invece, evolvono in due modi diversi. L’</w:t>
      </w:r>
      <w:r>
        <w:rPr>
          <w:b/>
          <w:bCs/>
        </w:rPr>
        <w:t xml:space="preserve">usura dentale</w:t>
      </w:r>
      <w:r>
        <w:t xml:space="preserve"> </w:t>
      </w:r>
      <w:r>
        <w:t xml:space="preserve">non torna indietro, ed è il motivo per cui l’odontoiatra ha ragione a proteggere. Il</w:t>
      </w:r>
      <w:r>
        <w:t xml:space="preserve"> </w:t>
      </w:r>
      <w:r>
        <w:rPr>
          <w:b/>
          <w:bCs/>
        </w:rPr>
        <w:t xml:space="preserve">dolore muscolare</w:t>
      </w:r>
      <w:r>
        <w:t xml:space="preserve"> </w:t>
      </w:r>
      <w:r>
        <w:t xml:space="preserve">fluttua, migliora e ricompare, e su di lui il tuo lavoro ha uno spazio reale.</w:t>
      </w:r>
    </w:p>
    <w:bookmarkEnd w:id="17"/>
    <w:bookmarkStart w:id="18" w:name="X61a7c67f01d1f1c8025e23fca8fa1dae96323aa"/>
    <w:p>
      <w:pPr>
        <w:pStyle w:val="Heading3"/>
      </w:pPr>
      <w:r>
        <w:t xml:space="preserve">Cosa dicono le etichette che il paziente porta</w:t>
      </w:r>
    </w:p>
    <w:p>
      <w:pPr>
        <w:pStyle w:val="FirstParagraph"/>
      </w:pPr>
      <w:r>
        <w:rPr>
          <w:b/>
          <w:bCs/>
        </w:rPr>
        <w:t xml:space="preserve">“Bruxismo possibile, probabile, definito”</w:t>
      </w:r>
      <w:r>
        <w:rPr>
          <w:b/>
          <w:bCs/>
        </w:rPr>
        <w:t xml:space="preserve">.</w:t>
      </w:r>
      <w:r>
        <w:t xml:space="preserve"> </w:t>
      </w:r>
      <w:r>
        <w:t xml:space="preserve">È la vecchia scala, sostituita nel 2025 e ancora presente nei referti più datati.</w:t>
      </w:r>
      <w:r>
        <w:t xml:space="preserve"> </w:t>
      </w:r>
      <w:r>
        <w:rPr>
          <w:i/>
          <w:iCs/>
        </w:rPr>
        <w:t xml:space="preserve">Possibile</w:t>
      </w:r>
      <w:r>
        <w:t xml:space="preserve"> </w:t>
      </w:r>
      <w:r>
        <w:t xml:space="preserve">è solo riferito,</w:t>
      </w:r>
      <w:r>
        <w:t xml:space="preserve"> </w:t>
      </w:r>
      <w:r>
        <w:rPr>
          <w:i/>
          <w:iCs/>
        </w:rPr>
        <w:t xml:space="preserve">probabile</w:t>
      </w:r>
      <w:r>
        <w:t xml:space="preserve"> </w:t>
      </w:r>
      <w:r>
        <w:t xml:space="preserve">aggiunge l’esame clinico,</w:t>
      </w:r>
      <w:r>
        <w:t xml:space="preserve"> </w:t>
      </w:r>
      <w:r>
        <w:rPr>
          <w:i/>
          <w:iCs/>
        </w:rPr>
        <w:t xml:space="preserve">definito</w:t>
      </w:r>
      <w:r>
        <w:t xml:space="preserve"> </w:t>
      </w:r>
      <w:r>
        <w:t xml:space="preserve">la registrazione strumentale. Quasi tutti i tuoi pazienti stanno al secondo livello: nessuno ha contato gli episodi, e l’assenza di quel conteggio non rende il quadro dubbio.</w:t>
      </w:r>
    </w:p>
    <w:p>
      <w:pPr>
        <w:pStyle w:val="BodyText"/>
      </w:pPr>
      <w:r>
        <w:rPr>
          <w:b/>
          <w:bCs/>
        </w:rPr>
        <w:t xml:space="preserve">Le diagnosi che porta dallo gnatologo.</w:t>
      </w:r>
      <w:r>
        <w:t xml:space="preserve"> </w:t>
      </w:r>
      <w:r>
        <w:t xml:space="preserve">Il riferimento internazionale sono i</w:t>
      </w:r>
      <w:r>
        <w:t xml:space="preserve"> </w:t>
      </w:r>
      <w:r>
        <w:rPr>
          <w:b/>
          <w:bCs/>
        </w:rPr>
        <w:t xml:space="preserve">DC/TMD</w:t>
      </w:r>
      <w:r>
        <w:t xml:space="preserve"> </w:t>
      </w:r>
      <w:r>
        <w:t xml:space="preserve">(Schiffman,</w:t>
      </w:r>
      <w:r>
        <w:t xml:space="preserve"> </w:t>
      </w:r>
      <w:r>
        <w:rPr>
          <w:i/>
          <w:iCs/>
        </w:rPr>
        <w:t xml:space="preserve">J Oral Facial Pain Headache</w:t>
      </w:r>
      <w:r>
        <w:t xml:space="preserve"> </w:t>
      </w:r>
      <w:r>
        <w:t xml:space="preserve">2014 — PMID 24482784). Le etichette che puoi trovarti in mano sono</w:t>
      </w:r>
      <w:r>
        <w:t xml:space="preserve"> </w:t>
      </w:r>
      <w:r>
        <w:rPr>
          <w:b/>
          <w:bCs/>
        </w:rPr>
        <w:t xml:space="preserve">mialgia locale</w:t>
      </w:r>
      <w:r>
        <w:t xml:space="preserve">,</w:t>
      </w:r>
      <w:r>
        <w:t xml:space="preserve"> </w:t>
      </w:r>
      <w:r>
        <w:rPr>
          <w:b/>
          <w:bCs/>
        </w:rPr>
        <w:t xml:space="preserve">dolore miofasciale con riferimento</w:t>
      </w:r>
      <w:r>
        <w:t xml:space="preserve">,</w:t>
      </w:r>
      <w:r>
        <w:t xml:space="preserve"> </w:t>
      </w:r>
      <w:r>
        <w:rPr>
          <w:b/>
          <w:bCs/>
        </w:rPr>
        <w:t xml:space="preserve">artralgia</w:t>
      </w:r>
      <w:r>
        <w:t xml:space="preserve">,</w:t>
      </w:r>
      <w:r>
        <w:t xml:space="preserve"> </w:t>
      </w:r>
      <w:r>
        <w:rPr>
          <w:b/>
          <w:bCs/>
        </w:rPr>
        <w:t xml:space="preserve">spostamento del disco</w:t>
      </w:r>
      <w:r>
        <w:t xml:space="preserve"> </w:t>
      </w:r>
      <w:r>
        <w:t xml:space="preserve">con o senza riduzione e con o senza limitazione dell’apertura. Ti servono a leggere il referto e a parlare la stessa lingua del medico che te lo manda. Non a formularle:</w:t>
      </w:r>
      <w:r>
        <w:t xml:space="preserve"> </w:t>
      </w:r>
      <w:r>
        <w:rPr>
          <w:b/>
          <w:bCs/>
        </w:rPr>
        <w:t xml:space="preserve">la diagnosi resta atto medico.</w:t>
      </w:r>
    </w:p>
    <w:p>
      <w:pPr>
        <w:pStyle w:val="BodyText"/>
      </w:pPr>
      <w:r>
        <w:rPr>
          <w:b/>
          <w:bCs/>
        </w:rPr>
        <w:t xml:space="preserve">Polisonnografia con elettromiografia dei masseteri.</w:t>
      </w:r>
      <w:r>
        <w:t xml:space="preserve"> </w:t>
      </w:r>
      <w:r>
        <w:t xml:space="preserve">È l’unico esame che documenta davvero il bruxismo del sonno, e quasi nessuno l’ha fatto. Chi ce l’ha, l’ha fatta per un sospetto respiratorio.</w:t>
      </w:r>
    </w:p>
    <w:p>
      <w:pPr>
        <w:pStyle w:val="BodyText"/>
      </w:pPr>
      <w:r>
        <w:rPr>
          <w:b/>
          <w:bCs/>
        </w:rPr>
        <w:t xml:space="preserve">Panoramica dentale.</w:t>
      </w:r>
      <w:r>
        <w:t xml:space="preserve"> </w:t>
      </w:r>
      <w:r>
        <w:t xml:space="preserve">Dice il danno, non la causa.</w:t>
      </w:r>
      <w:r>
        <w:t xml:space="preserve"> </w:t>
      </w:r>
      <w:r>
        <w:rPr>
          <w:b/>
          <w:bCs/>
        </w:rPr>
        <w:t xml:space="preserve">Risonanza dell’articolazione:</w:t>
      </w:r>
      <w:r>
        <w:t xml:space="preserve"> </w:t>
      </w:r>
      <w:r>
        <w:t xml:space="preserve">descrive la posizione del disco. La leggi come informazione e non la interpreti.</w:t>
      </w:r>
    </w:p>
    <w:bookmarkEnd w:id="18"/>
    <w:bookmarkStart w:id="19" w:name="cosa-non-è"/>
    <w:p>
      <w:pPr>
        <w:pStyle w:val="Heading3"/>
      </w:pPr>
      <w:r>
        <w:t xml:space="preserve">Cosa non è</w:t>
      </w:r>
    </w:p>
    <w:p>
      <w:pPr>
        <w:pStyle w:val="Compact"/>
        <w:numPr>
          <w:ilvl w:val="0"/>
          <w:numId w:val="1005"/>
        </w:numPr>
      </w:pPr>
      <w:r>
        <w:rPr>
          <w:b/>
          <w:bCs/>
        </w:rPr>
        <w:t xml:space="preserve">Non è un disturbo dell’occlusione.</w:t>
      </w:r>
      <w:r>
        <w:t xml:space="preserve"> </w:t>
      </w:r>
      <w:r>
        <w:t xml:space="preserve">Il consenso colloca la regolazione del bruxismo del sonno a livello centrale, non nei fattori morfologici (Yap &amp; Chua,</w:t>
      </w:r>
      <w:r>
        <w:t xml:space="preserve"> </w:t>
      </w:r>
      <w:r>
        <w:rPr>
          <w:i/>
          <w:iCs/>
        </w:rPr>
        <w:t xml:space="preserve">J Conserv Dent</w:t>
      </w:r>
      <w:r>
        <w:t xml:space="preserve"> </w:t>
      </w:r>
      <w:r>
        <w:t xml:space="preserve">2016 — PMID 27656052).</w:t>
      </w:r>
    </w:p>
    <w:p>
      <w:pPr>
        <w:pStyle w:val="Compact"/>
        <w:numPr>
          <w:ilvl w:val="0"/>
          <w:numId w:val="1005"/>
        </w:numPr>
      </w:pPr>
      <w:r>
        <w:rPr>
          <w:b/>
          <w:bCs/>
        </w:rPr>
        <w:t xml:space="preserve">Non è un disturbo dell’articolazione</w:t>
      </w:r>
      <w:r>
        <w:t xml:space="preserve">, anche se spesso ci convive: ne parla «Cosa si rompe».</w:t>
      </w:r>
    </w:p>
    <w:p>
      <w:pPr>
        <w:pStyle w:val="Compact"/>
        <w:numPr>
          <w:ilvl w:val="0"/>
          <w:numId w:val="1005"/>
        </w:numPr>
      </w:pPr>
      <w:r>
        <w:rPr>
          <w:b/>
          <w:bCs/>
        </w:rPr>
        <w:t xml:space="preserve">Non è l’apnea notturna.</w:t>
      </w:r>
      <w:r>
        <w:t xml:space="preserve"> </w:t>
      </w:r>
      <w:r>
        <w:t xml:space="preserve">Convivono nella stessa persona, e la sintesi più ampia non trova un’associazione: ne parla «Dove finisce il nostro campo».</w:t>
      </w:r>
    </w:p>
    <w:p>
      <w:pPr>
        <w:pStyle w:val="Compact"/>
        <w:numPr>
          <w:ilvl w:val="0"/>
          <w:numId w:val="1005"/>
        </w:numPr>
      </w:pPr>
      <w:r>
        <w:rPr>
          <w:b/>
          <w:bCs/>
        </w:rPr>
        <w:t xml:space="preserve">Non è la distonia oromandibolare</w:t>
      </w:r>
      <w:r>
        <w:t xml:space="preserve">, che è un disturbo del movimento e va dal neurologo.</w:t>
      </w:r>
    </w:p>
    <w:p>
      <w:pPr>
        <w:pStyle w:val="Compact"/>
        <w:numPr>
          <w:ilvl w:val="0"/>
          <w:numId w:val="1005"/>
        </w:numPr>
      </w:pPr>
      <w:r>
        <w:rPr>
          <w:b/>
          <w:bCs/>
        </w:rPr>
        <w:t xml:space="preserve">Non è un’altra attività motoria notturna</w:t>
      </w:r>
      <w:r>
        <w:t xml:space="preserve">, ed è la distinzione che il percorso dentale sbaglia più spesso.</w:t>
      </w:r>
      <w:r>
        <w:t xml:space="preserve"> </w:t>
      </w:r>
      <w:r>
        <w:rPr>
          <w:b/>
          <w:bCs/>
        </w:rPr>
        <w:t xml:space="preserve">Epilessia correlata al sonno</w:t>
      </w:r>
      <w:r>
        <w:t xml:space="preserve">,</w:t>
      </w:r>
      <w:r>
        <w:t xml:space="preserve"> </w:t>
      </w:r>
      <w:r>
        <w:rPr>
          <w:b/>
          <w:bCs/>
        </w:rPr>
        <w:t xml:space="preserve">mioclono facio-mandibolare</w:t>
      </w:r>
      <w:r>
        <w:t xml:space="preserve"> </w:t>
      </w:r>
      <w:r>
        <w:t xml:space="preserve">e</w:t>
      </w:r>
      <w:r>
        <w:t xml:space="preserve"> </w:t>
      </w:r>
      <w:r>
        <w:rPr>
          <w:b/>
          <w:bCs/>
        </w:rPr>
        <w:t xml:space="preserve">disturbo comportamentale del sonno REM</w:t>
      </w:r>
      <w:r>
        <w:t xml:space="preserve"> </w:t>
      </w:r>
      <w:r>
        <w:t xml:space="preserve">si presentano tutti come</w:t>
      </w:r>
      <w:r>
        <w:t xml:space="preserve"> </w:t>
      </w:r>
      <w:r>
        <w:t xml:space="preserve">“muove la mandibola di notte”</w:t>
      </w:r>
      <w:r>
        <w:t xml:space="preserve">, e si gestiscono in modo completamente diverso. Due segni li separano, e si raccolgono in anamnesi:</w:t>
      </w:r>
      <w:r>
        <w:t xml:space="preserve"> </w:t>
      </w:r>
      <w:r>
        <w:rPr>
          <w:b/>
          <w:bCs/>
        </w:rPr>
        <w:t xml:space="preserve">morsicatura della lingua o della guancia con sangue al risveglio</w:t>
      </w:r>
      <w:r>
        <w:t xml:space="preserve">, e</w:t>
      </w:r>
      <w:r>
        <w:t xml:space="preserve"> </w:t>
      </w:r>
      <w:r>
        <w:rPr>
          <w:b/>
          <w:bCs/>
        </w:rPr>
        <w:t xml:space="preserve">movimenti complessi o vocalizzazioni notturne</w:t>
      </w:r>
      <w:r>
        <w:t xml:space="preserve"> </w:t>
      </w:r>
      <w:r>
        <w:t xml:space="preserve">riferiti dal partner.</w:t>
      </w:r>
    </w:p>
    <w:p>
      <w:pPr>
        <w:pStyle w:val="FirstParagraph"/>
      </w:pPr>
      <w:r>
        <w:rPr>
          <w:b/>
          <w:bCs/>
        </w:rPr>
        <w:t xml:space="preserve">Le tre cose da ricordare, più una</w:t>
      </w:r>
    </w:p>
    <w:p>
      <w:pPr>
        <w:pStyle w:val="Compact"/>
        <w:numPr>
          <w:ilvl w:val="0"/>
          <w:numId w:val="1006"/>
        </w:numPr>
      </w:pPr>
      <w:r>
        <w:t xml:space="preserve">Il bruxismo è un’attività muscolare, non una malattia dei denti: tratti le conseguenze e il terreno, non il comportamento in sé.</w:t>
      </w:r>
    </w:p>
    <w:p>
      <w:pPr>
        <w:pStyle w:val="Compact"/>
        <w:numPr>
          <w:ilvl w:val="0"/>
          <w:numId w:val="1006"/>
        </w:numPr>
      </w:pPr>
      <w:r>
        <w:t xml:space="preserve">Sonno e veglia sono due condizioni diverse con due generatori diversi. Chiedi sempre entrambe.</w:t>
      </w:r>
    </w:p>
    <w:p>
      <w:pPr>
        <w:pStyle w:val="Compact"/>
        <w:numPr>
          <w:ilvl w:val="0"/>
          <w:numId w:val="1006"/>
        </w:numPr>
      </w:pPr>
      <w:r>
        <w:t xml:space="preserve">Due pazienti su tre migliorano almeno una volta da soli. È il motivo per cui misuri prima di toccare, non dopo.</w:t>
      </w:r>
    </w:p>
    <w:p>
      <w:pPr>
        <w:pStyle w:val="Compact"/>
        <w:numPr>
          <w:ilvl w:val="0"/>
          <w:numId w:val="1006"/>
        </w:numPr>
      </w:pPr>
      <w:r>
        <w:rPr>
          <w:b/>
          <w:bCs/>
        </w:rPr>
        <w:t xml:space="preserve">Perché ci sei tu.</w:t>
      </w:r>
      <w:r>
        <w:t xml:space="preserve"> </w:t>
      </w:r>
      <w:r>
        <w:t xml:space="preserve">L’unico esame che documenta il bruxismo del sonno è la polisonnografia con elettromiografia dei masseteri, e quasi nessuno dei tuoi pazienti l’ha fatta: la gradazione internazionale si ferma per questo al livello dell’esame clinico. Questo ti autorizza a lavorare su un quadro non strumentato, purché tu misuri qualcosa di tuo. Non ti autorizza a scrivere in cartella che il paziente</w:t>
      </w:r>
      <w:r>
        <w:t xml:space="preserve"> </w:t>
      </w:r>
      <w:r>
        <w:rPr>
          <w:i/>
          <w:iCs/>
        </w:rPr>
        <w:t xml:space="preserve">ha</w:t>
      </w:r>
      <w:r>
        <w:t xml:space="preserve"> </w:t>
      </w:r>
      <w:r>
        <w:t xml:space="preserve">il bruxismo del sonno: quello che hai è un riferito e un esame clinico. (Lobbezoo &amp; Manfredini,</w:t>
      </w:r>
      <w:r>
        <w:t xml:space="preserve"> </w:t>
      </w:r>
      <w:r>
        <w:rPr>
          <w:i/>
          <w:iCs/>
        </w:rPr>
        <w:t xml:space="preserve">J Oral Rehabil</w:t>
      </w:r>
      <w:r>
        <w:t xml:space="preserve"> </w:t>
      </w:r>
      <w:r>
        <w:t xml:space="preserve">2025 — PMID 40312776)</w:t>
      </w:r>
    </w:p>
    <w:bookmarkEnd w:id="19"/>
    <w:bookmarkEnd w:id="20"/>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otto strutture spiegano quasi tutto il quadro, tre non stanno nella bocca, e una ha un profilo di rischio che devi conoscere prima di appoggiarci le mani.</w:t>
      </w:r>
    </w:p>
    <w:p>
      <w:pPr>
        <w:pStyle w:val="FirstParagraph"/>
      </w:pPr>
      <w:r>
        <w:rPr>
          <w:b/>
          <w:bCs/>
        </w:rPr>
        <w:t xml:space="preserve">Massetere.</w:t>
      </w:r>
      <w:r>
        <w:t xml:space="preserve"> </w:t>
      </w:r>
      <w:r>
        <w:t xml:space="preserve">Elevatore della mandibola, spesso e superficiale, palpabile fra arcata zigomatica e angolo mandibolare.</w:t>
      </w:r>
      <w:r>
        <w:t xml:space="preserve"> </w:t>
      </w:r>
      <w:r>
        <w:rPr>
          <w:b/>
          <w:bCs/>
        </w:rPr>
        <w:t xml:space="preserve">Perché conta qui:</w:t>
      </w:r>
      <w:r>
        <w:t xml:space="preserve"> </w:t>
      </w:r>
      <w:r>
        <w:t xml:space="preserve">è l’esecutore finale di ogni episodio. È il muscolo su cui gli studi misurano l’elettromiografia, è il punto in cui il paziente indica il dolore, e la faccia che si squadra è la sua ipertrofia.</w:t>
      </w:r>
    </w:p>
    <w:p>
      <w:pPr>
        <w:pStyle w:val="BodyText"/>
      </w:pPr>
      <w:r>
        <w:rPr>
          <w:b/>
          <w:bCs/>
        </w:rPr>
        <w:t xml:space="preserve">Temporale.</w:t>
      </w:r>
      <w:r>
        <w:t xml:space="preserve"> </w:t>
      </w:r>
      <w:r>
        <w:t xml:space="preserve">Ventaglio muscolare che dalla fossa temporale converge sul processo coronoideo; chiude e retrae la mandibola.</w:t>
      </w:r>
      <w:r>
        <w:t xml:space="preserve"> </w:t>
      </w:r>
      <w:r>
        <w:rPr>
          <w:b/>
          <w:bCs/>
        </w:rPr>
        <w:t xml:space="preserve">Perché conta qui:</w:t>
      </w:r>
      <w:r>
        <w:t xml:space="preserve"> </w:t>
      </w:r>
      <w:r>
        <w:t xml:space="preserve">il</w:t>
      </w:r>
      <w:r>
        <w:t xml:space="preserve"> </w:t>
      </w:r>
      <w:r>
        <w:t xml:space="preserve">“mal di testa alle tempie al risveglio”</w:t>
      </w:r>
      <w:r>
        <w:t xml:space="preserve"> </w:t>
      </w:r>
      <w:r>
        <w:t xml:space="preserve">è molto spesso dolore del temporale letto come cefalea.</w:t>
      </w:r>
    </w:p>
    <w:p>
      <w:pPr>
        <w:pStyle w:val="BodyText"/>
      </w:pPr>
      <w:r>
        <w:rPr>
          <w:b/>
          <w:bCs/>
        </w:rPr>
        <w:t xml:space="preserve">Pterigoideo laterale.</w:t>
      </w:r>
      <w:r>
        <w:t xml:space="preserve"> </w:t>
      </w:r>
      <w:r>
        <w:t xml:space="preserve">Il capo inferiore protrude e abbassa la mandibola, quello superiore si inserisce su capsula e disco.</w:t>
      </w:r>
      <w:r>
        <w:t xml:space="preserve"> </w:t>
      </w:r>
      <w:r>
        <w:rPr>
          <w:b/>
          <w:bCs/>
        </w:rPr>
        <w:t xml:space="preserve">Perché conta qui:</w:t>
      </w:r>
      <w:r>
        <w:t xml:space="preserve"> </w:t>
      </w:r>
      <w:r>
        <w:t xml:space="preserve">è l’unico muscolo con un aggancio diretto sul disco. Il metodo storico invitava a raggiungerlo per via intra-orale,</w:t>
      </w:r>
      <w:r>
        <w:t xml:space="preserve"> </w:t>
      </w:r>
      <w:r>
        <w:rPr>
          <w:b/>
          <w:bCs/>
        </w:rPr>
        <w:t xml:space="preserve">e quel gesto qui non si fa</w:t>
      </w:r>
      <w:r>
        <w:t xml:space="preserve">: sta fuori dal profilo professionale, e il bersaglio non è nemmeno raggiungibile. Vedi «Dove finisce il nostro campo».</w:t>
      </w:r>
    </w:p>
    <w:p>
      <w:pPr>
        <w:pStyle w:val="BodyText"/>
      </w:pPr>
      <w:r>
        <w:rPr>
          <w:b/>
          <w:bCs/>
        </w:rPr>
        <w:t xml:space="preserve">Articolazione temporo-mandibolare e disco.</w:t>
      </w:r>
      <w:r>
        <w:t xml:space="preserve"> </w:t>
      </w:r>
      <w:r>
        <w:t xml:space="preserve">Articolazione doppia, con un disco fibrocartilagineo che traduce una rotazione in una traslazione.</w:t>
      </w:r>
      <w:r>
        <w:t xml:space="preserve"> </w:t>
      </w:r>
      <w:r>
        <w:rPr>
          <w:b/>
          <w:bCs/>
        </w:rPr>
        <w:t xml:space="preserve">Perché conta qui:</w:t>
      </w:r>
      <w:r>
        <w:t xml:space="preserve"> </w:t>
      </w:r>
      <w:r>
        <w:t xml:space="preserve">click, scatto e blocco sono eventi del disco, non del muscolo. Distinguerli dal dolore muscolare cambia il sottotipo.</w:t>
      </w:r>
    </w:p>
    <w:p>
      <w:pPr>
        <w:pStyle w:val="BodyText"/>
      </w:pPr>
      <w:r>
        <w:rPr>
          <w:b/>
          <w:bCs/>
        </w:rPr>
        <w:t xml:space="preserve">Sopraioidei e pavimento della bocca.</w:t>
      </w:r>
      <w:r>
        <w:t xml:space="preserve"> </w:t>
      </w:r>
      <w:r>
        <w:t xml:space="preserve">Sono i muscoli fra osso ioide e mandibola, che la abbassano e la aprono.</w:t>
      </w:r>
      <w:r>
        <w:t xml:space="preserve"> </w:t>
      </w:r>
      <w:r>
        <w:rPr>
          <w:b/>
          <w:bCs/>
        </w:rPr>
        <w:t xml:space="preserve">Perché conta qui:</w:t>
      </w:r>
      <w:r>
        <w:t xml:space="preserve"> </w:t>
      </w:r>
      <w:r>
        <w:t xml:space="preserve">sono i primi a partire in ogni episodio notturno, prima degli elevatori, e stanno anteriormente in equilibrio con i sotto-occipitali sullo ioide. Sono attori del meccanismo,</w:t>
      </w:r>
      <w:r>
        <w:t xml:space="preserve"> </w:t>
      </w:r>
      <w:r>
        <w:rPr>
          <w:b/>
          <w:bCs/>
        </w:rPr>
        <w:t xml:space="preserve">non un bersaglio</w:t>
      </w:r>
      <w:r>
        <w:t xml:space="preserve">: la regione contiene la guaina carotidea.</w:t>
      </w:r>
    </w:p>
    <w:p>
      <w:pPr>
        <w:pStyle w:val="BodyText"/>
      </w:pPr>
      <w:r>
        <w:rPr>
          <w:b/>
          <w:bCs/>
        </w:rPr>
        <w:t xml:space="preserve">Lingua, palato e via aerea nasale.</w:t>
      </w:r>
      <w:r>
        <w:t xml:space="preserve"> </w:t>
      </w:r>
      <w:r>
        <w:t xml:space="preserve">La lingua a riposo appoggia sul palato, e un naso libero lascia passare aria. È così che le arcate restano separate tutto il giorno.</w:t>
      </w:r>
      <w:r>
        <w:t xml:space="preserve"> </w:t>
      </w:r>
      <w:r>
        <w:rPr>
          <w:b/>
          <w:bCs/>
        </w:rPr>
        <w:t xml:space="preserve">Perché conta qui:</w:t>
      </w:r>
      <w:r>
        <w:t xml:space="preserve"> </w:t>
      </w:r>
      <w:r>
        <w:t xml:space="preserve">c’è chi dorme a bocca aperta, chi ha una rinite cronica, chi ha un setto deviato. Per lui la posizione di riposo che lo strumento diurno gli chiede di ritrovare non esiste. Chiedere come respira dal naso costa dieci secondi e decide se quello strumento ha un bersaglio.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il legame fra assetto orale a riposo e bruxismo. Nessuno l’ha misurato su questa condizione, e alzare questa etichetta rifarebbe l’errore che «La chicca», qui sotto, esiste per impedire.</w:t>
      </w:r>
    </w:p>
    <w:p>
      <w:pPr>
        <w:pStyle w:val="FirstParagraph"/>
      </w:pPr>
      <w:r>
        <w:rPr>
          <w:b/>
          <w:bCs/>
        </w:rPr>
        <w:t xml:space="preserve">Rachide cervicale alto.</w:t>
      </w:r>
      <w:r>
        <w:t xml:space="preserve"> </w:t>
      </w:r>
      <w:r>
        <w:t xml:space="preserve">Occipite, atlante, epistrofeo e muscolatura sotto-occipitale.</w:t>
      </w:r>
      <w:r>
        <w:t xml:space="preserve"> </w:t>
      </w:r>
      <w:r>
        <w:rPr>
          <w:b/>
          <w:bCs/>
        </w:rPr>
        <w:t xml:space="preserve">Perché conta qui:</w:t>
      </w:r>
      <w:r>
        <w:t xml:space="preserve"> </w:t>
      </w:r>
      <w:r>
        <w:t xml:space="preserve">l’apertura della bocca è un movimento a due articolazioni, e il movimento della testa comincia</w:t>
      </w:r>
      <w:r>
        <w:t xml:space="preserve"> </w:t>
      </w:r>
      <w:r>
        <w:rPr>
          <w:b/>
          <w:bCs/>
        </w:rPr>
        <w:t xml:space="preserve">prima</w:t>
      </w:r>
      <w:r>
        <w:t xml:space="preserve"> </w:t>
      </w:r>
      <w:r>
        <w:t xml:space="preserve">di quello della mandibola (Eriksson,</w:t>
      </w:r>
      <w:r>
        <w:t xml:space="preserve"> </w:t>
      </w:r>
      <w:r>
        <w:rPr>
          <w:i/>
          <w:iCs/>
        </w:rPr>
        <w:t xml:space="preserve">J Dent Res</w:t>
      </w:r>
      <w:r>
        <w:t xml:space="preserve"> </w:t>
      </w:r>
      <w:r>
        <w:t xml:space="preserve">2000 — PMID 10890716). Un collo che non concede quell’estensione cambia la meccanica dell’apertura.</w:t>
      </w:r>
    </w:p>
    <w:p>
      <w:pPr>
        <w:pStyle w:val="BlockText"/>
      </w:pPr>
      <w:r>
        <w:rPr>
          <w:b/>
          <w:bCs/>
        </w:rPr>
        <w:t xml:space="preserve">Attenzione.</w:t>
      </w:r>
      <w:r>
        <w:t xml:space="preserve"> </w:t>
      </w:r>
      <w:r>
        <w:t xml:space="preserve">Il rachide cervicale alto è l’unico distretto di questa Bibbia con un profilo di rischio vascolare noto. Le fasi precoci di una dissezione dell’arteria vertebrale o carotidea si presentano come dolore cervicale e cefalea di recente insorgenza, cioè come il quadro che stai leggendo (Thomas,</w:t>
      </w:r>
      <w:r>
        <w:t xml:space="preserve"> </w:t>
      </w:r>
      <w:r>
        <w:rPr>
          <w:i/>
          <w:iCs/>
        </w:rPr>
        <w:t xml:space="preserve">Man Ther</w:t>
      </w:r>
      <w:r>
        <w:t xml:space="preserve"> </w:t>
      </w:r>
      <w:r>
        <w:t xml:space="preserve">2016 — PMID 26250600). Nella revisione di 334 eventi avversi gravi dopo procedure fisiche sul collo il 58% è vascolare, e alcuni casi seguono una mobilizzazione gentile o un esercizio, non solo la manipolazione ad alta velocità (Leung, 2025 — PMID 39663097). Prima di qualunque intervento su questo distretto vale il quadro di riferimento internazionale IFOMPT: serve un ragionamento clinico che consideri la disfunzione arteriosa cervicale, e nessun singolo test posizionale la esclude (Rushton,</w:t>
      </w:r>
      <w:r>
        <w:t xml:space="preserve"> </w:t>
      </w:r>
      <w:r>
        <w:rPr>
          <w:i/>
          <w:iCs/>
        </w:rPr>
        <w:t xml:space="preserve">Man Ther</w:t>
      </w:r>
      <w:r>
        <w:t xml:space="preserve"> </w:t>
      </w:r>
      <w:r>
        <w:t xml:space="preserve">2014 — PMID 24378471).</w:t>
      </w:r>
      <w:r>
        <w:t xml:space="preserve"> </w:t>
      </w:r>
      <w:r>
        <w:rPr>
          <w:b/>
          <w:bCs/>
        </w:rPr>
        <w:t xml:space="preserve">La valutazione sta nella Procedura; la consapevolezza che serve sta qui.</w:t>
      </w:r>
    </w:p>
    <w:p>
      <w:pPr>
        <w:pStyle w:val="FirstParagraph"/>
      </w:pPr>
      <w:r>
        <w:rPr>
          <w:b/>
          <w:bCs/>
        </w:rPr>
        <w:t xml:space="preserve">Nucleo trigemino-cervicale.</w:t>
      </w:r>
      <w:r>
        <w:t xml:space="preserve"> </w:t>
      </w:r>
      <w:r>
        <w:t xml:space="preserve">È il punto in cui due gruppi di fibre terminano sugli stessi neuroni: quelle del trigemino — denti, articolazione, masticatori — e quelle delle prime radici cervicali.</w:t>
      </w:r>
      <w:r>
        <w:t xml:space="preserve"> </w:t>
      </w:r>
      <w:r>
        <w:rPr>
          <w:b/>
          <w:bCs/>
        </w:rPr>
        <w:t xml:space="preserve">Perché conta qui:</w:t>
      </w:r>
      <w:r>
        <w:t xml:space="preserve"> </w:t>
      </w:r>
      <w:r>
        <w:t xml:space="preserve">un ingresso cervicale può cambiare la sensibilità di un territorio trigeminale, e viceversa. È registrato neurone per neurone nel ratto, nelle due direzioni (Bartsch &amp; Goadsby,</w:t>
      </w:r>
      <w:r>
        <w:t xml:space="preserve"> </w:t>
      </w:r>
      <w:r>
        <w:rPr>
          <w:i/>
          <w:iCs/>
        </w:rPr>
        <w:t xml:space="preserve">Brain</w:t>
      </w:r>
      <w:r>
        <w:t xml:space="preserve"> </w:t>
      </w:r>
      <w:r>
        <w:t xml:space="preserve">2002 — PMID 12077000; 2003 — PMID 12821523).</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l’integrazione cinematica mandibola-collo, misurata con sistema optoelettronico su dodici adulti sani. PROBABILE</w:t>
      </w:r>
      <w:r>
        <w:t xml:space="preserve"> </w:t>
      </w:r>
      <w:r>
        <w:rPr>
          <w:i/>
          <w:iCs/>
        </w:rPr>
        <w:t xml:space="preserve">(razionale forte, prove parziali)</w:t>
      </w:r>
      <w:r>
        <w:t xml:space="preserve"> </w:t>
      </w:r>
      <w:r>
        <w:t xml:space="preserve">per la convergenza trigemino-cervicale: registrata nell’animale, non nell’uomo.</w:t>
      </w:r>
    </w:p>
    <w:p>
      <w:pPr>
        <w:pStyle w:val="FirstParagraph"/>
      </w:pPr>
      <w:r>
        <w:t xml:space="preserve">Un punto cambia il modo di leggere il collo di questo paziente. L’apertura della bocca recluta il rachide cervicale</w:t>
      </w:r>
      <w:r>
        <w:t xml:space="preserve"> </w:t>
      </w:r>
      <w:r>
        <w:rPr>
          <w:b/>
          <w:bCs/>
        </w:rPr>
        <w:t xml:space="preserve">per costruzione</w:t>
      </w:r>
      <w:r>
        <w:t xml:space="preserve">, non per compenso. Il collo non entra perché la mandibola ha smesso di funzionare: entra sempre, anche nel sano. Come la porta e i suoi cardini: si muovono insieme da sempre, non perché qualcosa si sia rotto.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bookmarkStart w:id="21" w:name="X661914300efc9734146957efae67ec271fcdf57"/>
    <w:p>
      <w:pPr>
        <w:pStyle w:val="Heading3"/>
      </w:pPr>
      <w:r>
        <w:t xml:space="preserve">Come si distingue il dolore articolare da quello muscolare</w:t>
      </w:r>
    </w:p>
    <w:p>
      <w:pPr>
        <w:pStyle w:val="FirstParagraph"/>
      </w:pPr>
      <w:r>
        <w:t xml:space="preserve">È la distinzione su cui poggia l’assegnazione del sottotipo.</w:t>
      </w:r>
    </w:p>
    <w:p>
      <w:pPr>
        <w:pStyle w:val="BodyText"/>
      </w:pPr>
      <w:r>
        <w:t xml:space="preserve">Il</w:t>
      </w:r>
      <w:r>
        <w:t xml:space="preserve"> </w:t>
      </w:r>
      <w:r>
        <w:rPr>
          <w:b/>
          <w:bCs/>
        </w:rPr>
        <w:t xml:space="preserve">dolore muscolare</w:t>
      </w:r>
      <w:r>
        <w:t xml:space="preserve"> </w:t>
      </w:r>
      <w:r>
        <w:t xml:space="preserve">il paziente lo indica con il palmo e copre un’area. È massimo al risveglio e cala nella mattinata. Si riproduce premendo sul ventre del massetere o del temporale, e non porta rumore.</w:t>
      </w:r>
    </w:p>
    <w:p>
      <w:pPr>
        <w:pStyle w:val="BodyText"/>
      </w:pPr>
      <w:r>
        <w:t xml:space="preserve">Il</w:t>
      </w:r>
      <w:r>
        <w:t xml:space="preserve"> </w:t>
      </w:r>
      <w:r>
        <w:rPr>
          <w:b/>
          <w:bCs/>
        </w:rPr>
        <w:t xml:space="preserve">dolore articolare</w:t>
      </w:r>
      <w:r>
        <w:t xml:space="preserve"> </w:t>
      </w:r>
      <w:r>
        <w:t xml:space="preserve">lo indica con un dito, e sta davanti al trago. Si accende in un punto preciso del movimento, invece che in tutta l’escursione, e spesso porta con sé un click.</w:t>
      </w:r>
    </w:p>
    <w:p>
      <w:pPr>
        <w:pStyle w:val="BodyText"/>
      </w:pPr>
      <w:r>
        <w:t xml:space="preserve">I due dolori convivono spesso. Quello che cambia il sottotipo è</w:t>
      </w:r>
      <w:r>
        <w:t xml:space="preserve"> </w:t>
      </w:r>
      <w:r>
        <w:rPr>
          <w:b/>
          <w:bCs/>
        </w:rPr>
        <w:t xml:space="preserve">quale dei due comanda il racconto</w:t>
      </w:r>
      <w:r>
        <w:t xml:space="preserve">.</w:t>
      </w:r>
    </w:p>
    <w:bookmarkEnd w:id="21"/>
    <w:bookmarkStart w:id="22" w:name="la-chicca"/>
    <w:p>
      <w:pPr>
        <w:pStyle w:val="Heading3"/>
      </w:pPr>
      <w:r>
        <w:t xml:space="preserve">La chicca</w:t>
      </w:r>
    </w:p>
    <w:p>
      <w:pPr>
        <w:pStyle w:val="FirstParagraph"/>
      </w:pPr>
      <w:r>
        <w:t xml:space="preserve">Un legamento collega il disco dell’articolazione temporo-mandibolare al martello dell’orecchio medio: è il</w:t>
      </w:r>
      <w:r>
        <w:t xml:space="preserve"> </w:t>
      </w:r>
      <w:r>
        <w:rPr>
          <w:b/>
          <w:bCs/>
        </w:rPr>
        <w:t xml:space="preserve">legamento discomalleolare</w:t>
      </w:r>
      <w:r>
        <w:t xml:space="preserve">, o legamento di Pinto. Esiste, ed è affascinante. Lo studio anatomico più completo conclude che</w:t>
      </w:r>
      <w:r>
        <w:t xml:space="preserve"> </w:t>
      </w:r>
      <w:r>
        <w:rPr>
          <w:b/>
          <w:bCs/>
        </w:rPr>
        <w:t xml:space="preserve">non ha alcun ruolo nelle manifestazioni otologiche della disfunzione mandibolare</w:t>
      </w:r>
      <w:r>
        <w:t xml:space="preserve"> </w:t>
      </w:r>
      <w:r>
        <w:t xml:space="preserve">(Cheynet,</w:t>
      </w:r>
      <w:r>
        <w:t xml:space="preserve"> </w:t>
      </w:r>
      <w:r>
        <w:rPr>
          <w:i/>
          <w:iCs/>
        </w:rPr>
        <w:t xml:space="preserve">Surg Radiol Anat</w:t>
      </w:r>
      <w:r>
        <w:t xml:space="preserve"> </w:t>
      </w:r>
      <w:r>
        <w:t xml:space="preserve">2003 — PMID 12802513).</w:t>
      </w:r>
    </w:p>
    <w:p>
      <w:pPr>
        <w:pStyle w:val="BlockText"/>
      </w:pPr>
      <w:r>
        <w:rPr>
          <w:b/>
          <w:bCs/>
        </w:rPr>
        <w:t xml:space="preserve">Attenzione.</w:t>
      </w:r>
      <w:r>
        <w:t xml:space="preserve"> </w:t>
      </w:r>
      <w:r>
        <w:t xml:space="preserve">È la struttura più usata per costruire spiegazioni suggestive e non verificate. Se ti viene voglia di raccontarla al paziente per spiegargli un acufene, hai appena fatto quello che questo documento esiste per impedire.</w:t>
      </w:r>
    </w:p>
    <w:p>
      <w:pPr>
        <w:pStyle w:val="FirstParagraph"/>
      </w:pPr>
      <w:r>
        <w:rPr>
          <w:b/>
          <w:bCs/>
        </w:rPr>
        <w:t xml:space="preserve">Le tre cose da ricordare, più una</w:t>
      </w:r>
    </w:p>
    <w:p>
      <w:pPr>
        <w:pStyle w:val="Compact"/>
        <w:numPr>
          <w:ilvl w:val="0"/>
          <w:numId w:val="1007"/>
        </w:numPr>
      </w:pPr>
      <w:r>
        <w:t xml:space="preserve">Il mal di testa alle tempie al risveglio è spesso il temporale: palpalo prima di chiamarlo altro. E il dolore indicato con un dito davanti al trago è dell’articolazione, non del muscolo.</w:t>
      </w:r>
    </w:p>
    <w:p>
      <w:pPr>
        <w:pStyle w:val="Compact"/>
        <w:numPr>
          <w:ilvl w:val="0"/>
          <w:numId w:val="1007"/>
        </w:numPr>
      </w:pPr>
      <w:r>
        <w:t xml:space="preserve">L’apertura della bocca coinvolge il collo per costruzione, non per compenso — ed è anche il solo distretto qui con un rischio vascolare noto.</w:t>
      </w:r>
    </w:p>
    <w:p>
      <w:pPr>
        <w:pStyle w:val="Compact"/>
        <w:numPr>
          <w:ilvl w:val="0"/>
          <w:numId w:val="1007"/>
        </w:numPr>
      </w:pPr>
      <w:r>
        <w:t xml:space="preserve">Prima di consegnare uno strumento diurno, chiedi come respira dal naso. Se le arcate non hanno un posto dove stare separate, quello strumento non ha bersaglio.</w:t>
      </w:r>
    </w:p>
    <w:p>
      <w:pPr>
        <w:pStyle w:val="Compact"/>
        <w:numPr>
          <w:ilvl w:val="0"/>
          <w:numId w:val="1007"/>
        </w:numPr>
      </w:pPr>
      <w:r>
        <w:rPr>
          <w:b/>
          <w:bCs/>
        </w:rPr>
        <w:t xml:space="preserve">Perché ci sei tu.</w:t>
      </w:r>
      <w:r>
        <w:t xml:space="preserve"> </w:t>
      </w:r>
      <w:r>
        <w:t xml:space="preserve">La struttura che genera il sintomo è muscolo-scheletrica e sta dentro la fisiopatologia. Durante gli episodi notturni la forza fra i denti arriva in media a 22,5 chilogrammi-forza per circa sette secondi, e nel singolo soggetto può superare la massima forza volontaria che quella stessa persona produce da sveglia. Questo ti autorizza a trattare un muscolo davvero sovraccarico, non metaforicamente. Non ti autorizza a dire che riduci quella forza: nessuno l’ha misurata prima e dopo un trattamento manuale. (Nishigawa,</w:t>
      </w:r>
      <w:r>
        <w:t xml:space="preserve"> </w:t>
      </w:r>
      <w:r>
        <w:rPr>
          <w:i/>
          <w:iCs/>
        </w:rPr>
        <w:t xml:space="preserve">J Oral Rehabil</w:t>
      </w:r>
      <w:r>
        <w:t xml:space="preserve"> </w:t>
      </w:r>
      <w:r>
        <w:t xml:space="preserve">2001 — PMID 11380790)</w:t>
      </w:r>
    </w:p>
    <w:bookmarkEnd w:id="22"/>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nel sonno normale la mandibola non è ferma, e sapere quanto si muove in una notte sana ti impedisce di scambiare la norma per un guasto.</w:t>
      </w:r>
    </w:p>
    <w:p>
      <w:pPr>
        <w:pStyle w:val="FirstParagraph"/>
      </w:pPr>
      <w:r>
        <w:t xml:space="preserve">La funzione da conoscere qui non è la masticazione. È il</w:t>
      </w:r>
      <w:r>
        <w:t xml:space="preserve"> </w:t>
      </w:r>
      <w:r>
        <w:rPr>
          <w:b/>
          <w:bCs/>
        </w:rPr>
        <w:t xml:space="preserve">controllo del tono dei masticatori attraverso le fasi del sonno</w:t>
      </w:r>
      <w:r>
        <w:t xml:space="preserve">, perché è quella che si rompe.</w:t>
      </w:r>
    </w:p>
    <w:p>
      <w:pPr>
        <w:pStyle w:val="Compact"/>
        <w:numPr>
          <w:ilvl w:val="0"/>
          <w:numId w:val="1008"/>
        </w:numPr>
      </w:pPr>
      <w:r>
        <w:rPr>
          <w:b/>
          <w:bCs/>
        </w:rPr>
        <w:t xml:space="preserve">Da sveglio, a riposo, i denti non si toccano.</w:t>
      </w:r>
      <w:r>
        <w:t xml:space="preserve"> </w:t>
      </w:r>
      <w:r>
        <w:t xml:space="preserve">La posizione di riposo mandibolare lascia uno spazio libero fra le arcate, e gli elevatori mantengono un tono minimo. Nella misura più diretta che esista — persone sane interrogate a orari casuali per una settimana — i muscoli mandibolari risultano rilassati nel 71,7% delle rilevazioni (Bracci,</w:t>
      </w:r>
      <w:r>
        <w:t xml:space="preserve"> </w:t>
      </w:r>
      <w:r>
        <w:rPr>
          <w:i/>
          <w:iCs/>
        </w:rPr>
        <w:t xml:space="preserve">J Oral Rehabil</w:t>
      </w:r>
      <w:r>
        <w:t xml:space="preserve"> </w:t>
      </w:r>
      <w:r>
        <w:t xml:space="preserve">2018 — PMID 29574964). Il resto è contatto dentale, irrigidimento, serramento.</w:t>
      </w:r>
    </w:p>
    <w:p>
      <w:pPr>
        <w:pStyle w:val="Compact"/>
        <w:numPr>
          <w:ilvl w:val="0"/>
          <w:numId w:val="1008"/>
        </w:numPr>
      </w:pPr>
      <w:r>
        <w:rPr>
          <w:b/>
          <w:bCs/>
        </w:rPr>
        <w:t xml:space="preserve">A tenere separate le arcate sono la lingua e il naso.</w:t>
      </w:r>
      <w:r>
        <w:t xml:space="preserve"> </w:t>
      </w:r>
      <w:r>
        <w:t xml:space="preserve">La lingua appoggiata al palato e una via aerea nasale libera mantengono quello spazio senza sforzo volontario. Ogni deglutizione richiama la mandibola e poi la lascia tornare lì.</w:t>
      </w:r>
    </w:p>
    <w:p>
      <w:pPr>
        <w:pStyle w:val="Compact"/>
        <w:numPr>
          <w:ilvl w:val="0"/>
          <w:numId w:val="1008"/>
        </w:numPr>
      </w:pPr>
      <w:r>
        <w:rPr>
          <w:b/>
          <w:bCs/>
        </w:rPr>
        <w:t xml:space="preserve">Ogni funzione della mandibola recluta anche il collo</w:t>
      </w:r>
      <w:r>
        <w:t xml:space="preserve">, e il movimento della testa comincia in genere prima — vedi «Le strutture in gioco».</w:t>
      </w:r>
    </w:p>
    <w:p>
      <w:pPr>
        <w:pStyle w:val="Compact"/>
        <w:numPr>
          <w:ilvl w:val="0"/>
          <w:numId w:val="1008"/>
        </w:numPr>
      </w:pPr>
      <w:r>
        <w:rPr>
          <w:b/>
          <w:bCs/>
        </w:rPr>
        <w:t xml:space="preserve">Nel sonno il tono muscolare scende, ma non si azzera.</w:t>
      </w:r>
      <w:r>
        <w:t xml:space="preserve"> </w:t>
      </w:r>
      <w:r>
        <w:t xml:space="preserve">L’attività ritmica dei masticatori compare una o due volte all’ora anche in soggetti normali, senza rumore e senza conseguenze.</w:t>
      </w:r>
    </w:p>
    <w:p>
      <w:pPr>
        <w:pStyle w:val="Compact"/>
        <w:numPr>
          <w:ilvl w:val="0"/>
          <w:numId w:val="1008"/>
        </w:numPr>
      </w:pPr>
      <w:r>
        <w:rPr>
          <w:b/>
          <w:bCs/>
        </w:rPr>
        <w:t xml:space="preserve">Il sonno è attraversato da microrisvegli.</w:t>
      </w:r>
      <w:r>
        <w:t xml:space="preserve"> </w:t>
      </w:r>
      <w:r>
        <w:t xml:space="preserve">Sono riattivazioni brevi di cervello e cuore, di pochi secondi, fisiologiche e ripetute tutta la notte. Mantengono la reattività dell’organismo mentre dorme.</w:t>
      </w:r>
    </w:p>
    <w:p>
      <w:pPr>
        <w:pStyle w:val="Compact"/>
        <w:numPr>
          <w:ilvl w:val="0"/>
          <w:numId w:val="1008"/>
        </w:numPr>
      </w:pPr>
      <w:r>
        <w:rPr>
          <w:b/>
          <w:bCs/>
        </w:rPr>
        <w:t xml:space="preserve">A ogni microrisveglio corrisponde una sequenza motoria ordinata.</w:t>
      </w:r>
      <w:r>
        <w:t xml:space="preserve"> </w:t>
      </w:r>
      <w:r>
        <w:t xml:space="preserve">Prima il sistema autonomico, poi la corteccia, poi i sopraioidei che aprono, e solo alla fine gli elevatori che chiudono. Nella persona sana la sequenza si esaurisce lì.</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sequenza registrata in laboratorio del sonno con polisonnografia ed elettromiografia (Huynh,</w:t>
      </w:r>
      <w:r>
        <w:t xml:space="preserve"> </w:t>
      </w:r>
      <w:r>
        <w:rPr>
          <w:i/>
          <w:iCs/>
        </w:rPr>
        <w:t xml:space="preserve">J Sleep Res</w:t>
      </w:r>
      <w:r>
        <w:t xml:space="preserve"> </w:t>
      </w:r>
      <w:r>
        <w:t xml:space="preserve">2006 — PMID 16911037), ripresa nella rassegna del gruppo di Montréal (Lavigne,</w:t>
      </w:r>
      <w:r>
        <w:t xml:space="preserve"> </w:t>
      </w:r>
      <w:r>
        <w:rPr>
          <w:i/>
          <w:iCs/>
        </w:rPr>
        <w:t xml:space="preserve">Arch Oral Biol</w:t>
      </w:r>
      <w:r>
        <w:t xml:space="preserve"> </w:t>
      </w:r>
      <w:r>
        <w:t xml:space="preserve">2007 — PMID 17313939), che è una rassegna breve con proposta di ipotesi e non il dato primario.</w:t>
      </w:r>
    </w:p>
    <w:p>
      <w:pPr>
        <w:pStyle w:val="BlockText"/>
      </w:pPr>
      <w:r>
        <w:rPr>
          <w:b/>
          <w:bCs/>
        </w:rPr>
        <w:t xml:space="preserve">Cosa cambia per te.</w:t>
      </w:r>
      <w:r>
        <w:t xml:space="preserve"> </w:t>
      </w:r>
      <w:r>
        <w:t xml:space="preserve">Il paziente che dice</w:t>
      </w:r>
      <w:r>
        <w:t xml:space="preserve"> </w:t>
      </w:r>
      <w:r>
        <w:rPr>
          <w:i/>
          <w:iCs/>
        </w:rPr>
        <w:t xml:space="preserve">“di notte muovo la mandibola”</w:t>
      </w:r>
      <w:r>
        <w:t xml:space="preserve"> </w:t>
      </w:r>
      <w:r>
        <w:t xml:space="preserve">non descrive una malattia. La descrive quando quella sequenza diventa più frequente, più forte e produce rumore. La differenza fra normale e patologico è quantitativa, ed è il motivo per cui il consenso internazionale parla di un continuum invece che di una soglia. È il rubinetto che gocciola: il problema non è che perda, è quanto perde.</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9"/>
        </w:numPr>
      </w:pPr>
      <w:r>
        <w:t xml:space="preserve">Muovere la mandibola nel sonno è normale. Il bruxismo è un eccesso di qualcosa di fisiologico, non la comparsa di qualcosa di nuovo.</w:t>
      </w:r>
    </w:p>
    <w:p>
      <w:pPr>
        <w:pStyle w:val="Compact"/>
        <w:numPr>
          <w:ilvl w:val="0"/>
          <w:numId w:val="1009"/>
        </w:numPr>
      </w:pPr>
      <w:r>
        <w:t xml:space="preserve">La sequenza va dall’autonomico ai denti, non nella direzione opposta. Chi tratta i denti tratta l’ultimo anello.</w:t>
      </w:r>
    </w:p>
    <w:p>
      <w:pPr>
        <w:pStyle w:val="Compact"/>
        <w:numPr>
          <w:ilvl w:val="0"/>
          <w:numId w:val="1009"/>
        </w:numPr>
      </w:pPr>
      <w:r>
        <w:t xml:space="preserve">Da svegli i denti non si toccano, e a tenerli separati sono la lingua e il naso.</w:t>
      </w:r>
    </w:p>
    <w:p>
      <w:pPr>
        <w:pStyle w:val="Compact"/>
        <w:numPr>
          <w:ilvl w:val="0"/>
          <w:numId w:val="1009"/>
        </w:numPr>
      </w:pPr>
      <w:r>
        <w:rPr>
          <w:b/>
          <w:bCs/>
        </w:rPr>
        <w:t xml:space="preserve">Perché ci sei tu.</w:t>
      </w:r>
      <w:r>
        <w:t xml:space="preserve"> </w:t>
      </w:r>
      <w:r>
        <w:t xml:space="preserve">L’apertura della bocca è un movimento a due articolazioni, e nella misura optoelettronica il movimento della testa comincia in genere</w:t>
      </w:r>
      <w:r>
        <w:t xml:space="preserve"> </w:t>
      </w:r>
      <w:r>
        <w:rPr>
          <w:b/>
          <w:bCs/>
        </w:rPr>
        <w:t xml:space="preserve">prima</w:t>
      </w:r>
      <w:r>
        <w:t xml:space="preserve"> </w:t>
      </w:r>
      <w:r>
        <w:t xml:space="preserve">di quello della mandibola. Questo ti autorizza a mettere il rachide cervicale dentro la valutazione di ogni bruxista, anche di quello che non lamenta il collo. Non ti autorizza a promettere che trattando il collo cambierà il digrignamento: quel passaggio nessuno lo ha misurato. (Eriksson,</w:t>
      </w:r>
      <w:r>
        <w:t xml:space="preserve"> </w:t>
      </w:r>
      <w:r>
        <w:rPr>
          <w:i/>
          <w:iCs/>
        </w:rPr>
        <w:t xml:space="preserve">J Dent Res</w:t>
      </w:r>
      <w:r>
        <w:t xml:space="preserve"> </w:t>
      </w:r>
      <w:r>
        <w:t xml:space="preserve">2000 — PMID 10890716)</w:t>
      </w:r>
    </w:p>
    <w:bookmarkEnd w:id="24"/>
    <w:bookmarkStart w:id="30" w:name="capitolo-5-cosa-si-rompe"/>
    <w:p>
      <w:pPr>
        <w:pStyle w:val="Heading2"/>
      </w:pPr>
      <w:r>
        <w:t xml:space="preserve">Capitolo 5 — Cosa si rompe</w:t>
      </w:r>
    </w:p>
    <w:p>
      <w:pPr>
        <w:pStyle w:val="BlockText"/>
      </w:pPr>
      <w:r>
        <w:rPr>
          <w:b/>
          <w:bCs/>
        </w:rPr>
        <w:t xml:space="preserve">In una riga:</w:t>
      </w:r>
      <w:r>
        <w:t xml:space="preserve"> </w:t>
      </w:r>
      <w:r>
        <w:t xml:space="preserve">cinque meccanismi tengono in piedi questo quadro, e il primo spiega perché lavorare sui denti non basta quasi mai.</w:t>
      </w:r>
    </w:p>
    <w:p>
      <w:pPr>
        <w:pStyle w:val="FirstParagraph"/>
      </w:pPr>
      <w:r>
        <w:rPr>
          <w:b/>
          <w:bCs/>
        </w:rPr>
        <w:t xml:space="preserve">La storia intera, prima dei pezzi.</w:t>
      </w:r>
      <w:r>
        <w:t xml:space="preserve"> </w:t>
      </w:r>
      <w:r>
        <w:rPr>
          <w:rStyle w:val="VerbatimChar"/>
        </w:rPr>
        <w:t xml:space="preserve">Carico della vita e ingressi esterni</w:t>
      </w:r>
      <w:r>
        <w:t xml:space="preserve"> </w:t>
      </w:r>
      <w:r>
        <w:rPr>
          <w:b/>
          <w:bCs/>
        </w:rPr>
        <w:t xml:space="preserve">→</w:t>
      </w:r>
      <w:r>
        <w:t xml:space="preserve"> </w:t>
      </w:r>
      <w:r>
        <w:rPr>
          <w:rStyle w:val="VerbatimChar"/>
        </w:rPr>
        <w:t xml:space="preserve">si abbassa la soglia a cui il microrisveglio arriva ai masticatori</w:t>
      </w:r>
      <w:r>
        <w:t xml:space="preserve"> </w:t>
      </w:r>
      <w:r>
        <w:rPr>
          <w:b/>
          <w:bCs/>
        </w:rPr>
        <w:t xml:space="preserve">→</w:t>
      </w:r>
      <w:r>
        <w:t xml:space="preserve"> </w:t>
      </w:r>
      <w:r>
        <w:rPr>
          <w:rStyle w:val="VerbatimChar"/>
        </w:rPr>
        <w:t xml:space="preserve">spostamento simpatico otto minuti prima dell'episodio</w:t>
      </w:r>
      <w:r>
        <w:t xml:space="preserve"> </w:t>
      </w:r>
      <w:r>
        <w:rPr>
          <w:b/>
          <w:bCs/>
        </w:rPr>
        <w:t xml:space="preserve">→</w:t>
      </w:r>
      <w:r>
        <w:t xml:space="preserve"> </w:t>
      </w:r>
      <w:r>
        <w:rPr>
          <w:rStyle w:val="VerbatimChar"/>
        </w:rPr>
        <w:t xml:space="preserve">sequenza corticale e motoria: prima i sopraioidei, per ultimi gli elevatori</w:t>
      </w:r>
      <w:r>
        <w:t xml:space="preserve"> </w:t>
      </w:r>
      <w:r>
        <w:rPr>
          <w:b/>
          <w:bCs/>
        </w:rPr>
        <w:t xml:space="preserve">→</w:t>
      </w:r>
      <w:r>
        <w:t xml:space="preserve"> </w:t>
      </w:r>
      <w:r>
        <w:rPr>
          <w:rStyle w:val="VerbatimChar"/>
        </w:rPr>
        <w:t xml:space="preserve">presa mantenuta di 22,5 kgf per circa sette secondi, decine di volte a notte</w:t>
      </w:r>
      <w:r>
        <w:t xml:space="preserve"> </w:t>
      </w:r>
      <w:r>
        <w:rPr>
          <w:b/>
          <w:bCs/>
        </w:rPr>
        <w:t xml:space="preserve">→</w:t>
      </w:r>
      <w:r>
        <w:t xml:space="preserve"> </w:t>
      </w:r>
      <w:r>
        <w:rPr>
          <w:rStyle w:val="VerbatimChar"/>
        </w:rPr>
        <w:t xml:space="preserve">dolore e rigidità al risveglio, apertura ridotta, collo che paga insieme</w:t>
      </w:r>
    </w:p>
    <w:p>
      <w:pPr>
        <w:pStyle w:val="BodyText"/>
      </w:pPr>
      <w:r>
        <w:t xml:space="preserve">I meccanismi sono ordinati dal più solido al meno solido, e ciascuno tiene un pezzo di quella catena. I primi due spiegano</w:t>
      </w:r>
      <w:r>
        <w:t xml:space="preserve"> </w:t>
      </w:r>
      <w:r>
        <w:rPr>
          <w:b/>
          <w:bCs/>
        </w:rPr>
        <w:t xml:space="preserve">perché il paziente ha male</w:t>
      </w:r>
      <w:r>
        <w:t xml:space="preserve">. Il terzo spiega</w:t>
      </w:r>
      <w:r>
        <w:t xml:space="preserve"> </w:t>
      </w:r>
      <w:r>
        <w:rPr>
          <w:b/>
          <w:bCs/>
        </w:rPr>
        <w:t xml:space="preserve">dove il dolore si diffonde</w:t>
      </w:r>
      <w:r>
        <w:t xml:space="preserve">. Il quarto decide</w:t>
      </w:r>
      <w:r>
        <w:t xml:space="preserve"> </w:t>
      </w:r>
      <w:r>
        <w:rPr>
          <w:b/>
          <w:bCs/>
        </w:rPr>
        <w:t xml:space="preserve">cosa misuri</w:t>
      </w:r>
      <w:r>
        <w:t xml:space="preserve">. Il quinto dice</w:t>
      </w:r>
      <w:r>
        <w:t xml:space="preserve"> </w:t>
      </w:r>
      <w:r>
        <w:rPr>
          <w:b/>
          <w:bCs/>
        </w:rPr>
        <w:t xml:space="preserve">cosa accende il motore da sotto</w:t>
      </w:r>
      <w:r>
        <w:t xml:space="preserve">.</w:t>
      </w:r>
    </w:p>
    <w:bookmarkStart w:id="25" w:name="Xf0e907e351e64955c6070cb5a04954c2515e12a"/>
    <w:p>
      <w:pPr>
        <w:pStyle w:val="Heading3"/>
      </w:pPr>
      <w:r>
        <w:t xml:space="preserve">1. L’episodio nasce dentro un risveglio, ma il risveglio da solo non basta</w:t>
      </w:r>
    </w:p>
    <w:p>
      <w:pPr>
        <w:pStyle w:val="FirstParagraph"/>
      </w:pPr>
      <w:r>
        <w:rPr>
          <w:b/>
          <w:bCs/>
        </w:rPr>
        <w:t xml:space="preserve">La sequenza</w:t>
      </w:r>
    </w:p>
    <w:p>
      <w:pPr>
        <w:pStyle w:val="Compact"/>
        <w:numPr>
          <w:ilvl w:val="0"/>
          <w:numId w:val="1010"/>
        </w:numPr>
      </w:pPr>
      <w:r>
        <w:t xml:space="preserve">Nel sonno leggero il sistema autonomico si sposta verso l’attivazione simpatica. Nei soggetti con bruxismo da moderato a grave lo spostamento comincia</w:t>
      </w:r>
      <w:r>
        <w:t xml:space="preserve"> </w:t>
      </w:r>
      <w:r>
        <w:rPr>
          <w:b/>
          <w:bCs/>
        </w:rPr>
        <w:t xml:space="preserve">otto minuti prima</w:t>
      </w:r>
      <w:r>
        <w:t xml:space="preserve"> </w:t>
      </w:r>
      <w:r>
        <w:t xml:space="preserve">dell’episodio.</w:t>
      </w:r>
    </w:p>
    <w:p>
      <w:pPr>
        <w:pStyle w:val="Compact"/>
        <w:numPr>
          <w:ilvl w:val="0"/>
          <w:numId w:val="1010"/>
        </w:numPr>
      </w:pPr>
      <w:r>
        <w:t xml:space="preserve">Circa</w:t>
      </w:r>
      <w:r>
        <w:t xml:space="preserve"> </w:t>
      </w:r>
      <w:r>
        <w:rPr>
          <w:b/>
          <w:bCs/>
        </w:rPr>
        <w:t xml:space="preserve">quattro minuti prima</w:t>
      </w:r>
      <w:r>
        <w:t xml:space="preserve"> </w:t>
      </w:r>
      <w:r>
        <w:t xml:space="preserve">aumentano i microrisvegli, le riattivazioni brevi di cervello e cuore.</w:t>
      </w:r>
    </w:p>
    <w:p>
      <w:pPr>
        <w:pStyle w:val="Compact"/>
        <w:numPr>
          <w:ilvl w:val="0"/>
          <w:numId w:val="1010"/>
        </w:numPr>
      </w:pPr>
      <w:r>
        <w:rPr>
          <w:b/>
          <w:bCs/>
        </w:rPr>
        <w:t xml:space="preserve">Non tutti i microrisvegli arrivano ai masticatori</w:t>
      </w:r>
      <w:r>
        <w:t xml:space="preserve">, ed è il passaggio che spiega il paziente: sono decine per ora in chiunque dorma. A distinguere il risveglio che arriva ai denti è quanto è grande l’attivazione che ci passa dentro. Nei risvegli seguiti da attività ritmica dei masticatori l’ampiezza respiratoria sale del 60-82% un secondo prima dell’apertura,</w:t>
      </w:r>
      <w:r>
        <w:t xml:space="preserve"> </w:t>
      </w:r>
      <w:r>
        <w:rPr>
          <w:b/>
          <w:bCs/>
        </w:rPr>
        <w:t xml:space="preserve">undici volte più</w:t>
      </w:r>
      <w:r>
        <w:t xml:space="preserve"> </w:t>
      </w:r>
      <w:r>
        <w:t xml:space="preserve">che in un risveglio isolato (Khoury,</w:t>
      </w:r>
      <w:r>
        <w:t xml:space="preserve"> </w:t>
      </w:r>
      <w:r>
        <w:rPr>
          <w:i/>
          <w:iCs/>
        </w:rPr>
        <w:t xml:space="preserve">Sleep</w:t>
      </w:r>
      <w:r>
        <w:t xml:space="preserve"> </w:t>
      </w:r>
      <w:r>
        <w:t xml:space="preserve">2008 — PMID 18490400).</w:t>
      </w:r>
    </w:p>
    <w:p>
      <w:pPr>
        <w:pStyle w:val="Compact"/>
        <w:numPr>
          <w:ilvl w:val="0"/>
          <w:numId w:val="1010"/>
        </w:numPr>
      </w:pPr>
      <w:r>
        <w:t xml:space="preserve">Pochi secondi prima si attiva la corteccia, poi accelera il cuore, poi entrano i</w:t>
      </w:r>
      <w:r>
        <w:t xml:space="preserve"> </w:t>
      </w:r>
      <w:r>
        <w:rPr>
          <w:b/>
          <w:bCs/>
        </w:rPr>
        <w:t xml:space="preserve">sopraioidei</w:t>
      </w:r>
      <w:r>
        <w:t xml:space="preserve">, che aprono la mandibola.</w:t>
      </w:r>
    </w:p>
    <w:p>
      <w:pPr>
        <w:pStyle w:val="Compact"/>
        <w:numPr>
          <w:ilvl w:val="0"/>
          <w:numId w:val="1010"/>
        </w:numPr>
      </w:pPr>
      <w:r>
        <w:t xml:space="preserve">Solo alla fine entrano gli</w:t>
      </w:r>
      <w:r>
        <w:t xml:space="preserve"> </w:t>
      </w:r>
      <w:r>
        <w:rPr>
          <w:b/>
          <w:bCs/>
        </w:rPr>
        <w:t xml:space="preserve">elevatori</w:t>
      </w:r>
      <w:r>
        <w:t xml:space="preserve">, massetere e temporale, con un’attività ritmica intorno a un ciclo al secondo. È l’anello che produce il rumore e consuma lo smalto.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lo spostamento simpatico a otto minuti e per la sequenza motoria — due notti di polisonnografia su sessanta soggetti in tre gruppi (Huynh,</w:t>
      </w:r>
      <w:r>
        <w:t xml:space="preserve"> </w:t>
      </w:r>
      <w:r>
        <w:rPr>
          <w:i/>
          <w:iCs/>
        </w:rPr>
        <w:t xml:space="preserve">J Sleep Res</w:t>
      </w:r>
      <w:r>
        <w:t xml:space="preserve"> </w:t>
      </w:r>
      <w:r>
        <w:t xml:space="preserve">2006 — PMID 16911037). PROBABILE</w:t>
      </w:r>
      <w:r>
        <w:t xml:space="preserve"> </w:t>
      </w:r>
      <w:r>
        <w:rPr>
          <w:i/>
          <w:iCs/>
        </w:rPr>
        <w:t xml:space="preserve">(razionale forte, prove parziali)</w:t>
      </w:r>
      <w:r>
        <w:t xml:space="preserve"> </w:t>
      </w:r>
      <w:r>
        <w:t xml:space="preserve">per l’aumento dei microrisvegli a quattro minuti: nello stesso studio quel passaggio è al limite della significatività, con P = 0,06, mentre lo spostamento simpatico è a P = 0,03.</w:t>
      </w:r>
    </w:p>
    <w:p>
      <w:pPr>
        <w:pStyle w:val="BlockText"/>
      </w:pPr>
      <w:r>
        <w:rPr>
          <w:b/>
          <w:bCs/>
        </w:rPr>
        <w:t xml:space="preserve">Definizione.</w:t>
      </w:r>
      <w:r>
        <w:t xml:space="preserve"> </w:t>
      </w:r>
      <w:r>
        <w:t xml:space="preserve">Il microrisveglio è una</w:t>
      </w:r>
      <w:r>
        <w:t xml:space="preserve"> </w:t>
      </w:r>
      <w:r>
        <w:rPr>
          <w:b/>
          <w:bCs/>
        </w:rPr>
        <w:t xml:space="preserve">finestra permissiva</w:t>
      </w:r>
      <w:r>
        <w:t xml:space="preserve">, non un comando: apre la possibilità che la sequenza arrivi ai muscoli, non la impone. Il bersaglio non è quindi</w:t>
      </w:r>
      <w:r>
        <w:t xml:space="preserve"> </w:t>
      </w:r>
      <w:r>
        <w:t xml:space="preserve">“meno risvegli”</w:t>
      </w:r>
      <w:r>
        <w:t xml:space="preserve"> </w:t>
      </w:r>
      <w:r>
        <w:t xml:space="preserve">— è la soglia alla quale il risveglio arriva fino ai masticatori.</w:t>
      </w:r>
    </w:p>
    <w:p>
      <w:pPr>
        <w:pStyle w:val="FirstParagraph"/>
      </w:pPr>
      <w:r>
        <w:rPr>
          <w:b/>
          <w:bCs/>
        </w:rPr>
        <w:t xml:space="preserve">Per te:</w:t>
      </w:r>
      <w:r>
        <w:t xml:space="preserve"> </w:t>
      </w:r>
      <w:r>
        <w:t xml:space="preserve">due conseguenze. La prima riguarda la domanda</w:t>
      </w:r>
      <w:r>
        <w:t xml:space="preserve"> </w:t>
      </w:r>
      <w:r>
        <w:rPr>
          <w:i/>
          <w:iCs/>
        </w:rPr>
        <w:t xml:space="preserve">“come faccio a controllarmi mentre dormo?”</w:t>
      </w:r>
      <w:r>
        <w:t xml:space="preserve">: la risposta è che non puoi, e non è quello il piano su cui si lavora. La seconda riguarda la misura. Il fenomeno oscilla di notte in notte al punto che servono cinque o sei registrazioni per stimare il livello medio di una sola persona (Minakuchi,</w:t>
      </w:r>
      <w:r>
        <w:t xml:space="preserve"> </w:t>
      </w:r>
      <w:r>
        <w:rPr>
          <w:i/>
          <w:iCs/>
        </w:rPr>
        <w:t xml:space="preserve">Sleep Breath</w:t>
      </w:r>
      <w:r>
        <w:t xml:space="preserve"> </w:t>
      </w:r>
      <w:r>
        <w:t xml:space="preserve">2012 — PMID 22278147). Il racconto di una singola notte non è un dato.</w:t>
      </w:r>
      <w:r>
        <w:t xml:space="preserve"> </w:t>
      </w:r>
      <w:r>
        <w:rPr>
          <w:b/>
          <w:bCs/>
        </w:rPr>
        <w:t xml:space="preserve">Quando chiedi com’è andata, chiedi la settimana.</w:t>
      </w:r>
    </w:p>
    <w:p>
      <w:pPr>
        <w:pStyle w:val="BodyText"/>
      </w:pPr>
      <w:r>
        <w:rPr>
          <w:b/>
          <w:bCs/>
        </w:rPr>
        <w:t xml:space="preserve">Come si vede addosso al paziente</w:t>
      </w:r>
    </w:p>
    <w:p>
      <w:pPr>
        <w:pStyle w:val="BodyText"/>
      </w:pPr>
      <w:r>
        <w:t xml:space="preserve">Sonno non ristoratore a parità di ore. Risvegli brevi che non ricorda. Sintomo peggiore nella seconda metà della notte e al risveglio. Peggioramenti che seguono i periodi di carico, con un ritardo di giorni.</w:t>
      </w:r>
    </w:p>
    <w:p>
      <w:pPr>
        <w:pStyle w:val="BodyText"/>
      </w:pPr>
      <w:r>
        <w:rPr>
          <w:b/>
          <w:bCs/>
        </w:rPr>
        <w:t xml:space="preserve">L’ascensore che parte dal piano interrato: quando lo senti alla tua porta, ha già salito cinque piani.</w:t>
      </w:r>
    </w:p>
    <w:bookmarkEnd w:id="25"/>
    <w:bookmarkStart w:id="26" w:name="X0569388badc803c60f9f28875dbda1f1da58e7c"/>
    <w:p>
      <w:pPr>
        <w:pStyle w:val="Heading3"/>
      </w:pPr>
      <w:r>
        <w:t xml:space="preserve">2. Il carico che il muscolo scarica sui denti supera quello che il paziente potrebbe produrre da sveglio</w:t>
      </w:r>
    </w:p>
    <w:p>
      <w:pPr>
        <w:pStyle w:val="FirstParagraph"/>
      </w:pPr>
      <w:r>
        <w:rPr>
          <w:b/>
          <w:bCs/>
        </w:rPr>
        <w:t xml:space="preserve">La sequenza</w:t>
      </w:r>
    </w:p>
    <w:p>
      <w:pPr>
        <w:pStyle w:val="Compact"/>
        <w:numPr>
          <w:ilvl w:val="0"/>
          <w:numId w:val="1011"/>
        </w:numPr>
      </w:pPr>
      <w:r>
        <w:t xml:space="preserve">L’episodio non è un colpo: è una</w:t>
      </w:r>
      <w:r>
        <w:t xml:space="preserve"> </w:t>
      </w:r>
      <w:r>
        <w:rPr>
          <w:b/>
          <w:bCs/>
        </w:rPr>
        <w:t xml:space="preserve">presa mantenuta</w:t>
      </w:r>
      <w:r>
        <w:t xml:space="preserve">. Con trasduttori montati su dispositivi dentali la durata media di un evento è di 7,1 secondi.</w:t>
      </w:r>
    </w:p>
    <w:p>
      <w:pPr>
        <w:pStyle w:val="Compact"/>
        <w:numPr>
          <w:ilvl w:val="0"/>
          <w:numId w:val="1011"/>
        </w:numPr>
      </w:pPr>
      <w:r>
        <w:t xml:space="preserve">L’ampiezza media della forza è di 22,5 chilogrammi-forza.</w:t>
      </w:r>
    </w:p>
    <w:p>
      <w:pPr>
        <w:pStyle w:val="Compact"/>
        <w:numPr>
          <w:ilvl w:val="0"/>
          <w:numId w:val="1011"/>
        </w:numPr>
      </w:pPr>
      <w:r>
        <w:t xml:space="preserve">Il picco notturno arriva in media al 53,1% della massima forza volontaria diurna dello stesso soggetto. In un soggetto ha raggiunto il 111,6%:</w:t>
      </w:r>
      <w:r>
        <w:t xml:space="preserve"> </w:t>
      </w:r>
      <w:r>
        <w:rPr>
          <w:b/>
          <w:bCs/>
        </w:rPr>
        <w:t xml:space="preserve">più della massima forza che quella persona produce da sveglia</w:t>
      </w:r>
      <w:r>
        <w:t xml:space="preserve">.</w:t>
      </w:r>
    </w:p>
    <w:p>
      <w:pPr>
        <w:pStyle w:val="Compact"/>
        <w:numPr>
          <w:ilvl w:val="0"/>
          <w:numId w:val="1011"/>
        </w:numPr>
      </w:pPr>
      <w:r>
        <w:t xml:space="preserve">Ripetuta per decine di episodi a notte, quella presa lascia due segni. Sullo smalto un’usura irreversibile, e sul muscolo un carico isometrico prolungato senza recupero.</w:t>
      </w:r>
    </w:p>
    <w:p>
      <w:pPr>
        <w:pStyle w:val="Compact"/>
        <w:numPr>
          <w:ilvl w:val="0"/>
          <w:numId w:val="1011"/>
        </w:numPr>
      </w:pPr>
      <w:r>
        <w:rPr>
          <w:b/>
          <w:bCs/>
        </w:rPr>
        <w:t xml:space="preserve">Quel carico spiega il dolore in una parte dei pazienti, non in tutti.</w:t>
      </w:r>
      <w:r>
        <w:t xml:space="preserve"> </w:t>
      </w:r>
      <w:r>
        <w:t xml:space="preserve">Dei pazienti in cui non lo spiega si occupa il quarto meccanismo, e si riconoscono prima di trattare.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nel senso di misura sperimentale diretta nell’uomo dichiarato in «Come si usa questa Bibbia». Dieci soggetti, tre notti ciascuno a domicilio, 499 eventi analizzati (Nishigawa,</w:t>
      </w:r>
      <w:r>
        <w:t xml:space="preserve"> </w:t>
      </w:r>
      <w:r>
        <w:rPr>
          <w:i/>
          <w:iCs/>
        </w:rPr>
        <w:t xml:space="preserve">J Oral Rehabil</w:t>
      </w:r>
      <w:r>
        <w:t xml:space="preserve"> </w:t>
      </w:r>
      <w:r>
        <w:t xml:space="preserve">2001 — PMID 11380790). Non è uno studio randomizzato, ed è una misura fisica diretta.</w:t>
      </w:r>
    </w:p>
    <w:p>
      <w:pPr>
        <w:pStyle w:val="FirstParagraph"/>
      </w:pPr>
      <w:r>
        <w:rPr>
          <w:b/>
          <w:bCs/>
        </w:rPr>
        <w:t xml:space="preserve">Per te:</w:t>
      </w:r>
      <w:r>
        <w:t xml:space="preserve"> </w:t>
      </w:r>
      <w:r>
        <w:t xml:space="preserve">il dato serve a due cose opposte, da tenere insieme. Ti autorizza a dire che il dolore mattutino ha una causa meccanica reale e proporzionata, e non è</w:t>
      </w:r>
      <w:r>
        <w:t xml:space="preserve"> </w:t>
      </w:r>
      <w:r>
        <w:t xml:space="preserve">“solo tensione”</w:t>
      </w:r>
      <w:r>
        <w:t xml:space="preserve">. E ti impedisce di promettere che ridurrai quella forza: nessuno l’ha misurata prima e dopo un trattamento manuale. Quello che misuri è la tolleranza del muscolo, non il carico che riceve.</w:t>
      </w:r>
    </w:p>
    <w:p>
      <w:pPr>
        <w:pStyle w:val="BodyText"/>
      </w:pPr>
      <w:r>
        <w:rPr>
          <w:b/>
          <w:bCs/>
        </w:rPr>
        <w:t xml:space="preserve">Come si vede addosso al paziente</w:t>
      </w:r>
    </w:p>
    <w:p>
      <w:pPr>
        <w:pStyle w:val="BodyText"/>
      </w:pPr>
      <w:r>
        <w:t xml:space="preserve">Masseteri ipertrofici e mandibola squadrata. Dolore massimo al risveglio che cala nella mattinata: è il decorso di un muscolo affaticato, non di un’infiammazione articolare. Superfici dentali appiattite.</w:t>
      </w:r>
    </w:p>
    <w:p>
      <w:pPr>
        <w:pStyle w:val="BlockText"/>
      </w:pPr>
      <w:r>
        <w:rPr>
          <w:b/>
          <w:bCs/>
        </w:rPr>
        <w:t xml:space="preserve">Attenzione.</w:t>
      </w:r>
      <w:r>
        <w:t xml:space="preserve"> </w:t>
      </w:r>
      <w:r>
        <w:t xml:space="preserve">Un segno di questo elenco ha un sosia pericoloso.</w:t>
      </w:r>
      <w:r>
        <w:t xml:space="preserve"> </w:t>
      </w:r>
      <w:r>
        <w:rPr>
          <w:b/>
          <w:bCs/>
        </w:rPr>
        <w:t xml:space="preserve">L’affaticamento masticando</w:t>
      </w:r>
      <w:r>
        <w:t xml:space="preserve"> </w:t>
      </w:r>
      <w:r>
        <w:t xml:space="preserve">appartiene al muscolo sovraccarico quando è massimo al risveglio e cala nella giornata. Quando invece compare</w:t>
      </w:r>
      <w:r>
        <w:t xml:space="preserve"> </w:t>
      </w:r>
      <w:r>
        <w:rPr>
          <w:i/>
          <w:iCs/>
        </w:rPr>
        <w:t xml:space="preserve">con</w:t>
      </w:r>
      <w:r>
        <w:t xml:space="preserve"> </w:t>
      </w:r>
      <w:r>
        <w:t xml:space="preserve">la masticazione in qualunque momento, obbliga a fermarsi e recede col riposo — soprattutto oltre i cinquant’anni — si chiama claudicatio mandibolare. È il segno più specifico dell’arterite a cellule giganti, e va in «Dove finisce il nostro campo» prima di ogni altra considerazione.</w:t>
      </w:r>
    </w:p>
    <w:p>
      <w:pPr>
        <w:pStyle w:val="FirstParagraph"/>
      </w:pPr>
      <w:r>
        <w:rPr>
          <w:b/>
          <w:bCs/>
        </w:rPr>
        <w:t xml:space="preserve">Il morsetto da falegname: non colpisce, stringe — e sette secondi di morsetto tolgono più legno di un colpo di martello.</w:t>
      </w:r>
    </w:p>
    <w:bookmarkEnd w:id="26"/>
    <w:bookmarkStart w:id="27" w:name="X927e7f8b3defc803a3a47c90eeda97dee23be9f"/>
    <w:p>
      <w:pPr>
        <w:pStyle w:val="Heading3"/>
      </w:pPr>
      <w:r>
        <w:t xml:space="preserve">3. La mandibola e il collo sono un motore solo, e uno dei due paga per l’altro</w:t>
      </w:r>
    </w:p>
    <w:p>
      <w:pPr>
        <w:pStyle w:val="FirstParagraph"/>
      </w:pPr>
      <w:r>
        <w:rPr>
          <w:b/>
          <w:bCs/>
        </w:rPr>
        <w:t xml:space="preserve">La sequenza</w:t>
      </w:r>
    </w:p>
    <w:p>
      <w:pPr>
        <w:pStyle w:val="Compact"/>
        <w:numPr>
          <w:ilvl w:val="0"/>
          <w:numId w:val="1012"/>
        </w:numPr>
      </w:pPr>
      <w:r>
        <w:t xml:space="preserve">Ogni apertura e chiusura della bocca è accompagnata da un movimento della testa sul collo, e il movimento della testa in genere</w:t>
      </w:r>
      <w:r>
        <w:t xml:space="preserve"> </w:t>
      </w:r>
      <w:r>
        <w:rPr>
          <w:b/>
          <w:bCs/>
        </w:rPr>
        <w:t xml:space="preserve">precede</w:t>
      </w:r>
      <w:r>
        <w:t xml:space="preserve"> </w:t>
      </w:r>
      <w:r>
        <w:t xml:space="preserve">quello mandibolare. Bloccare la testa altera velocità e ampiezza del movimento della mandibola: il sistema non è</w:t>
      </w:r>
      <w:r>
        <w:t xml:space="preserve"> </w:t>
      </w:r>
      <w:r>
        <w:t xml:space="preserve">“mandibola più collo”</w:t>
      </w:r>
      <w:r>
        <w:t xml:space="preserve">, è un’unica funzione.</w:t>
      </w:r>
    </w:p>
    <w:p>
      <w:pPr>
        <w:pStyle w:val="Compact"/>
        <w:numPr>
          <w:ilvl w:val="0"/>
          <w:numId w:val="1012"/>
        </w:numPr>
      </w:pPr>
      <w:r>
        <w:t xml:space="preserve">Le afferenze del trigemino — masticatori, articolazione, denti — e quelle delle prime radici cervicali convergono sugli stessi neuroni di secondo ordine.</w:t>
      </w:r>
    </w:p>
    <w:p>
      <w:pPr>
        <w:pStyle w:val="Compact"/>
        <w:numPr>
          <w:ilvl w:val="0"/>
          <w:numId w:val="1012"/>
        </w:numPr>
      </w:pPr>
      <w:r>
        <w:t xml:space="preserve">Su quei neuroni un ingresso nocicettivo dai</w:t>
      </w:r>
      <w:r>
        <w:t xml:space="preserve"> </w:t>
      </w:r>
      <w:r>
        <w:rPr>
          <w:b/>
          <w:bCs/>
        </w:rPr>
        <w:t xml:space="preserve">muscoli sotto-occipitali e dal grande occipitale aumenta l’eccitabilità all’ingresso trigeminale</w:t>
      </w:r>
      <w:r>
        <w:t xml:space="preserve">, registrato su 67 neuroni del corno dorsale di C2 (Bartsch &amp; Goadsby,</w:t>
      </w:r>
      <w:r>
        <w:t xml:space="preserve"> </w:t>
      </w:r>
      <w:r>
        <w:rPr>
          <w:i/>
          <w:iCs/>
        </w:rPr>
        <w:t xml:space="preserve">Brain</w:t>
      </w:r>
      <w:r>
        <w:t xml:space="preserve"> </w:t>
      </w:r>
      <w:r>
        <w:t xml:space="preserve">2002 — PMID 12077000). La reciproca sta nel lavoro gemello: dalla dura verso il cervicale, con campi recettivi allargati nel 71% dei neuroni (2003 — PMID 12821523).</w:t>
      </w:r>
    </w:p>
    <w:p>
      <w:pPr>
        <w:pStyle w:val="Compact"/>
        <w:numPr>
          <w:ilvl w:val="0"/>
          <w:numId w:val="1012"/>
        </w:numPr>
      </w:pPr>
      <w:r>
        <w:t xml:space="preserve">Da qui il quadro che il paziente racconta come una cosa sola: mandibola, tempie, nuca e spalle che</w:t>
      </w:r>
      <w:r>
        <w:t xml:space="preserve"> </w:t>
      </w:r>
      <w:r>
        <w:t xml:space="preserve">“stringono insieme”</w:t>
      </w:r>
      <w:r>
        <w:t xml:space="preserve">.</w:t>
      </w:r>
    </w:p>
    <w:p>
      <w:pPr>
        <w:pStyle w:val="FirstParagraph"/>
      </w:pPr>
      <w:r>
        <w:t xml:space="preserve">Mandibola e collo sono, in senso proprio, una</w:t>
      </w:r>
      <w:r>
        <w:t xml:space="preserve"> </w:t>
      </w:r>
      <w:r>
        <w:rPr>
          <w:b/>
          <w:bCs/>
        </w:rPr>
        <w:t xml:space="preserve">catena</w:t>
      </w:r>
      <w:r>
        <w:t xml:space="preserv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rPr>
          <w:b/>
          <w:bCs/>
        </w:rPr>
        <w:t xml:space="preserve">E sui pazienti veri, non solo nel ratto e nella cinematica dei sani.</w:t>
      </w:r>
      <w:r>
        <w:t xml:space="preserve"> </w:t>
      </w:r>
      <w:r>
        <w:t xml:space="preserve">Nella sintesi di studi osservazionali su disturbi temporo-mandibolari la disabilità cervicale e quella mandibolare vanno insieme (differenza media standardizzata 0,72; IC 0,56-0,82), e l’escursione cervicale risulta ridotta con evidenza moderata.</w:t>
      </w:r>
      <w:r>
        <w:t xml:space="preserve"> </w:t>
      </w:r>
      <w:r>
        <w:rPr>
          <w:b/>
          <w:bCs/>
        </w:rPr>
        <w:t xml:space="preserve">Quello che invece non differisce è la postura del capo.</w:t>
      </w:r>
      <w:r>
        <w:t xml:space="preserve"> </w:t>
      </w:r>
      <w:r>
        <w:t xml:space="preserve">Né l’allineamento cervicale (SMD 0,02; IC −0,31/0,36) né la posizione cranio-cervicale (SMD −0,09; IC −0,27/0,09) separano i pazienti dai controlli (Cuenca-Martínez,</w:t>
      </w:r>
      <w:r>
        <w:t xml:space="preserve"> </w:t>
      </w:r>
      <w:r>
        <w:rPr>
          <w:i/>
          <w:iCs/>
        </w:rPr>
        <w:t xml:space="preserve">J Clin Med</w:t>
      </w:r>
      <w:r>
        <w:t xml:space="preserve"> </w:t>
      </w:r>
      <w:r>
        <w:t xml:space="preserve">2020 — PMID 32872670).</w:t>
      </w:r>
      <w:r>
        <w:t xml:space="preserve"> </w:t>
      </w:r>
      <w:r>
        <w:rPr>
          <w:b/>
          <w:bCs/>
        </w:rPr>
        <w:t xml:space="preserve">Misurato su pazienti con disturbo temporo-mandibolare e con disegno osservazionale, non su bruxisti e non in avanti nel tempo: dice che i due distretti stanno insieme, non chi dei due tira l’altro.</w:t>
      </w:r>
      <w:r>
        <w:t xml:space="preserve"> </w:t>
      </w:r>
      <w:r>
        <w:t xml:space="preserve">Un reperto che co-occorre resta un candidato bidirezionale finché nessuno lo ha stratificato nel tempo.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l’integrazione motoria mandibola-collo (Eriksson,</w:t>
      </w:r>
      <w:r>
        <w:t xml:space="preserve"> </w:t>
      </w:r>
      <w:r>
        <w:rPr>
          <w:i/>
          <w:iCs/>
        </w:rPr>
        <w:t xml:space="preserve">J Dent Res</w:t>
      </w:r>
      <w:r>
        <w:t xml:space="preserve"> </w:t>
      </w:r>
      <w:r>
        <w:t xml:space="preserve">2000 — PMID 10890716). PROBABILE</w:t>
      </w:r>
      <w:r>
        <w:t xml:space="preserve"> </w:t>
      </w:r>
      <w:r>
        <w:rPr>
          <w:i/>
          <w:iCs/>
        </w:rPr>
        <w:t xml:space="preserve">(razionale forte, prove parziali)</w:t>
      </w:r>
      <w:r>
        <w:t xml:space="preserve"> </w:t>
      </w:r>
      <w:r>
        <w:t xml:space="preserve">per l’associazione fra disabilità cervicale e mandibolare sui pazienti (Cuenca-Martínez, 2020 — PMID 32872670): disegno osservazionale, che non stabilisce la direzione. PROBABILE per la convergenza sensitiva: registrata nel ratto, mai nell’uomo.</w:t>
      </w:r>
      <w:r>
        <w:t xml:space="preserve"> </w:t>
      </w:r>
      <w:r>
        <w:rPr>
          <w:b/>
          <w:bCs/>
        </w:rPr>
        <w:t xml:space="preserve">Nessuna di queste alza l’etichetta della leva, che resta quella di Lam.</w:t>
      </w:r>
    </w:p>
    <w:p>
      <w:pPr>
        <w:pStyle w:val="FirstParagraph"/>
      </w:pPr>
      <w:r>
        <w:rPr>
          <w:b/>
          <w:bCs/>
        </w:rPr>
        <w:t xml:space="preserve">Come si vede addosso al paziente</w:t>
      </w:r>
    </w:p>
    <w:p>
      <w:pPr>
        <w:pStyle w:val="BodyText"/>
      </w:pPr>
      <w:r>
        <w:t xml:space="preserve">Apertura limitata che migliora correggendo la posizione della testa. Dolore che dalla mandibola scende a nuca e trapezi come un blocco unico. Rigidità cervicale alta con dolore alla palpazione dei sotto-occipitali.</w:t>
      </w:r>
    </w:p>
    <w:p>
      <w:pPr>
        <w:pStyle w:val="BodyText"/>
      </w:pPr>
      <w:r>
        <w:rPr>
          <w:b/>
          <w:bCs/>
        </w:rPr>
        <w:t xml:space="preserve">Le forbici: la lama che sembra ferma è quella che regge il taglio.</w:t>
      </w:r>
    </w:p>
    <w:bookmarkEnd w:id="27"/>
    <w:bookmarkStart w:id="28" w:name="Xcc7acecc355eb3d7ed946274c84188c540919d5"/>
    <w:p>
      <w:pPr>
        <w:pStyle w:val="Heading3"/>
      </w:pPr>
      <w:r>
        <w:t xml:space="preserve">4. Quanto stringe e quanto fa male sono due misure diverse</w:t>
      </w:r>
    </w:p>
    <w:p>
      <w:pPr>
        <w:pStyle w:val="FirstParagraph"/>
      </w:pPr>
      <w:r>
        <w:t xml:space="preserve">Questo è il meccanismo che i colleghi sbagliano più spesso, e che decide cosa misuri.</w:t>
      </w:r>
    </w:p>
    <w:p>
      <w:pPr>
        <w:pStyle w:val="BodyText"/>
      </w:pPr>
      <w:r>
        <w:rPr>
          <w:b/>
          <w:bCs/>
        </w:rPr>
        <w:t xml:space="preserve">La sequenza</w:t>
      </w:r>
    </w:p>
    <w:p>
      <w:pPr>
        <w:pStyle w:val="Compact"/>
        <w:numPr>
          <w:ilvl w:val="0"/>
          <w:numId w:val="1013"/>
        </w:numPr>
      </w:pPr>
      <w:r>
        <w:t xml:space="preserve">Rilevato con un questionario, il bruxismo del sonno risulta associato al dolore temporo-mandibolare.</w:t>
      </w:r>
    </w:p>
    <w:p>
      <w:pPr>
        <w:pStyle w:val="Compact"/>
        <w:numPr>
          <w:ilvl w:val="0"/>
          <w:numId w:val="1013"/>
        </w:numPr>
      </w:pPr>
      <w:r>
        <w:t xml:space="preserve">Se invece lo rilevi con elettromiografia o polisonnografia, l’associazione</w:t>
      </w:r>
      <w:r>
        <w:t xml:space="preserve"> </w:t>
      </w:r>
      <w:r>
        <w:rPr>
          <w:b/>
          <w:bCs/>
        </w:rPr>
        <w:t xml:space="preserve">si abbassa, e in alcuni studi si inverte</w:t>
      </w:r>
      <w:r>
        <w:t xml:space="preserve">.</w:t>
      </w:r>
    </w:p>
    <w:p>
      <w:pPr>
        <w:pStyle w:val="Compact"/>
        <w:numPr>
          <w:ilvl w:val="0"/>
          <w:numId w:val="1013"/>
        </w:numPr>
      </w:pPr>
      <w:r>
        <w:t xml:space="preserve">La spiegazione più semplice è questa: il questionario non misura l’attività muscolare, misura chi se n’è accorto. E chi se n’è accorto è chi ha male, o chi è più attento ai propri segnali.</w:t>
      </w:r>
    </w:p>
    <w:p>
      <w:pPr>
        <w:pStyle w:val="Compact"/>
        <w:numPr>
          <w:ilvl w:val="0"/>
          <w:numId w:val="1013"/>
        </w:numPr>
      </w:pPr>
      <w:r>
        <w:t xml:space="preserve">Ne segue che il dolore non è proporzionale alla quantità di digrignamento. È proporzionale alla</w:t>
      </w:r>
      <w:r>
        <w:t xml:space="preserve"> </w:t>
      </w:r>
      <w:r>
        <w:rPr>
          <w:b/>
          <w:bCs/>
        </w:rPr>
        <w:t xml:space="preserve">soglia con cui quel carico viene percepito e riferito</w:t>
      </w:r>
      <w:r>
        <w:t xml:space="preserve"> </w:t>
      </w:r>
      <w:r>
        <w:t xml:space="preserve">— e su quella soglia pesano attivazione, attenzione al corpo, ansia e umore: il piano comportamentale, non quello meccanico.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quarantasette studi passati in rassegna e classificati per strumento di rilevazione, con risultati che cambiano sistematicamente al cambiare dello strumento. È una</w:t>
      </w:r>
      <w:r>
        <w:t xml:space="preserve"> </w:t>
      </w:r>
      <w:r>
        <w:rPr>
          <w:b/>
          <w:bCs/>
        </w:rPr>
        <w:t xml:space="preserve">rassegna di portata, non una meta-analisi</w:t>
      </w:r>
      <w:r>
        <w:t xml:space="preserve">: mappa la letteratura, non ne aggrega i risultati né ne valuta la qualità (Manfredini &amp; Lobbezoo,</w:t>
      </w:r>
      <w:r>
        <w:t xml:space="preserve"> </w:t>
      </w:r>
      <w:r>
        <w:rPr>
          <w:i/>
          <w:iCs/>
        </w:rPr>
        <w:t xml:space="preserve">J Dent</w:t>
      </w:r>
      <w:r>
        <w:t xml:space="preserve"> </w:t>
      </w:r>
      <w:r>
        <w:t xml:space="preserve">2021 — PMID 34090993).</w:t>
      </w:r>
    </w:p>
    <w:p>
      <w:pPr>
        <w:pStyle w:val="FirstParagraph"/>
      </w:pPr>
      <w:r>
        <w:rPr>
          <w:b/>
          <w:bCs/>
        </w:rPr>
        <w:t xml:space="preserve">Come si vede addosso al paziente</w:t>
      </w:r>
    </w:p>
    <w:p>
      <w:pPr>
        <w:pStyle w:val="BodyText"/>
      </w:pPr>
      <w:r>
        <w:rPr>
          <w:b/>
          <w:bCs/>
        </w:rPr>
        <w:t xml:space="preserve">Due dolori diversi, e si riconoscono prima di trattare.</w:t>
      </w:r>
      <w:r>
        <w:t xml:space="preserve"> </w:t>
      </w:r>
      <w:r>
        <w:t xml:space="preserve">Il dolore</w:t>
      </w:r>
      <w:r>
        <w:t xml:space="preserve"> </w:t>
      </w:r>
      <w:r>
        <w:rPr>
          <w:b/>
          <w:bCs/>
        </w:rPr>
        <w:t xml:space="preserve">nocicettivo</w:t>
      </w:r>
      <w:r>
        <w:t xml:space="preserve"> </w:t>
      </w:r>
      <w:r>
        <w:t xml:space="preserve">è proporzionale al carico: locale, riproducibile alla palpazione, massimo al risveglio, in calo nella mattinata. Il dolore</w:t>
      </w:r>
      <w:r>
        <w:t xml:space="preserve"> </w:t>
      </w:r>
      <w:r>
        <w:rPr>
          <w:b/>
          <w:bCs/>
        </w:rPr>
        <w:t xml:space="preserve">nociplastico</w:t>
      </w:r>
      <w:r>
        <w:t xml:space="preserve"> </w:t>
      </w:r>
      <w:r>
        <w:t xml:space="preserve">nasce da un sistema che amplifica: diffuso oltre il territorio della faccia, con soglie basse anche lontano dalla mandibola, sonno cattivo, altre sindromi dolorose in anamnesi. La differenza è misurata su questa popolazione: i bruxisti</w:t>
      </w:r>
      <w:r>
        <w:t xml:space="preserve"> </w:t>
      </w:r>
      <w:r>
        <w:rPr>
          <w:b/>
          <w:bCs/>
        </w:rPr>
        <w:t xml:space="preserve">con</w:t>
      </w:r>
      <w:r>
        <w:t xml:space="preserve"> </w:t>
      </w:r>
      <w:r>
        <w:t xml:space="preserve">dolore temporo-mandibolare hanno soglie dolorose più basse dei bruxisti</w:t>
      </w:r>
      <w:r>
        <w:t xml:space="preserve"> </w:t>
      </w:r>
      <w:r>
        <w:rPr>
          <w:b/>
          <w:bCs/>
        </w:rPr>
        <w:t xml:space="preserve">senza</w:t>
      </w:r>
      <w:r>
        <w:t xml:space="preserve">, e gli autori concludono che</w:t>
      </w:r>
      <w:r>
        <w:t xml:space="preserve"> </w:t>
      </w:r>
      <w:r>
        <w:rPr>
          <w:b/>
          <w:bCs/>
        </w:rPr>
        <w:t xml:space="preserve">il solo sovraccarico muscolare non basta a spiegare il dolore</w:t>
      </w:r>
      <w:r>
        <w:t xml:space="preserve"> </w:t>
      </w:r>
      <w:r>
        <w:t xml:space="preserve">(Torino, Svensson &amp; Boscato,</w:t>
      </w:r>
      <w:r>
        <w:t xml:space="preserve"> </w:t>
      </w:r>
      <w:r>
        <w:rPr>
          <w:i/>
          <w:iCs/>
        </w:rPr>
        <w:t xml:space="preserve">J Dent</w:t>
      </w:r>
      <w:r>
        <w:t xml:space="preserve"> </w:t>
      </w:r>
      <w:r>
        <w:t xml:space="preserve">2026 — PMID 42556699).</w:t>
      </w:r>
    </w:p>
    <w:p>
      <w:pPr>
        <w:pStyle w:val="BlockText"/>
      </w:pPr>
      <w:r>
        <w:rPr>
          <w:b/>
          <w:bCs/>
        </w:rPr>
        <w:t xml:space="preserve">Definizione.</w:t>
      </w:r>
      <w:r>
        <w:t xml:space="preserve"> </w:t>
      </w:r>
      <w:r>
        <w:t xml:space="preserve">Il dolore</w:t>
      </w:r>
      <w:r>
        <w:t xml:space="preserve"> </w:t>
      </w:r>
      <w:r>
        <w:rPr>
          <w:b/>
          <w:bCs/>
        </w:rPr>
        <w:t xml:space="preserve">nociplastico</w:t>
      </w:r>
      <w:r>
        <w:t xml:space="preserve"> </w:t>
      </w:r>
      <w:r>
        <w:t xml:space="preserve">è dolore prodotto da un’alterazione del modo in cui il sistema nervoso elabora i segnali, senza un danno tissutale che lo giustifichi in quella misura.</w:t>
      </w:r>
    </w:p>
    <w:p>
      <w:pPr>
        <w:pStyle w:val="FirstParagraph"/>
      </w:pPr>
      <w:r>
        <w:rPr>
          <w:b/>
          <w:bCs/>
        </w:rPr>
        <w:t xml:space="preserve">E il segnale, quando c’è, non sta sulla faccia.</w:t>
      </w:r>
      <w:r>
        <w:t xml:space="preserve"> </w:t>
      </w:r>
      <w:r>
        <w:t xml:space="preserve">Nella sintesi dei test dinamici del dolore su 1.284 adulti con mialgia temporo-mandibolare cronica e 2.791 controlli, la sommazione temporale meccanica — il fenomeno più studiato — risulta aumentata</w:t>
      </w:r>
      <w:r>
        <w:t xml:space="preserve"> </w:t>
      </w:r>
      <w:r>
        <w:rPr>
          <w:b/>
          <w:bCs/>
        </w:rPr>
        <w:t xml:space="preserve">nell’arto superiore</w:t>
      </w:r>
      <w:r>
        <w:t xml:space="preserve"> </w:t>
      </w:r>
      <w:r>
        <w:t xml:space="preserve">(SMD 0,43; IC 0,11-0,75; p=0,009),</w:t>
      </w:r>
      <w:r>
        <w:t xml:space="preserve"> </w:t>
      </w:r>
      <w:r>
        <w:rPr>
          <w:b/>
          <w:bCs/>
        </w:rPr>
        <w:t xml:space="preserve">e non nell’area mandibolare (p=0,09) né in quella cervicale (p=0,29)</w:t>
      </w:r>
      <w:r>
        <w:t xml:space="preserve"> </w:t>
      </w:r>
      <w:r>
        <w:t xml:space="preserve">(Cayrol,</w:t>
      </w:r>
      <w:r>
        <w:t xml:space="preserve"> </w:t>
      </w:r>
      <w:r>
        <w:rPr>
          <w:i/>
          <w:iCs/>
        </w:rPr>
        <w:t xml:space="preserve">J Oral Rehabil</w:t>
      </w:r>
      <w:r>
        <w:t xml:space="preserve"> </w:t>
      </w:r>
      <w:r>
        <w:t xml:space="preserve">2022 — PMID 35342987).</w:t>
      </w:r>
      <w:r>
        <w:t xml:space="preserve"> </w:t>
      </w:r>
      <w:r>
        <w:rPr>
          <w:b/>
          <w:bCs/>
        </w:rPr>
        <w:t xml:space="preserve">Misurato su pazienti con mialgia temporo-mandibolare cronica e con studi giudicati ad alto rischio di errore sistematico in venti casi su ventitré, non su bruxisti: dice dove cercare il segnale, non che tu lo sposti.</w:t>
      </w:r>
      <w:r>
        <w:t xml:space="preserve"> </w:t>
      </w:r>
      <w:r>
        <w:t xml:space="preserve">È la ragione per cui la soglia dolorosa si misura anche fuori dalla mandibola, e non per prudenza.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distinzione applicata a questi pazienti: studi trasversali, campioni piccoli, nessuna sintesi quantitativa. PROBABILE per la localizzazione del segnale fuori dal territorio della faccia (Cayrol, 2022 — PMID 35342987).</w:t>
      </w:r>
    </w:p>
    <w:p>
      <w:pPr>
        <w:pStyle w:val="FirstParagraph"/>
      </w:pPr>
      <w:r>
        <w:rPr>
          <w:b/>
          <w:bCs/>
        </w:rPr>
        <w:t xml:space="preserve">Per te:</w:t>
      </w:r>
      <w:r>
        <w:t xml:space="preserve"> </w:t>
      </w:r>
      <w:r>
        <w:t xml:space="preserve">questa è la ragione per cui il tuo esito non può essere</w:t>
      </w:r>
      <w:r>
        <w:t xml:space="preserve"> </w:t>
      </w:r>
      <w:r>
        <w:t xml:space="preserve">“quanto stringe”</w:t>
      </w:r>
      <w:r>
        <w:t xml:space="preserve">. Il legame fra quantità e dolore si sfalda appena la misura diventa oggettiva. Ne segue che ridurre il dolore</w:t>
      </w:r>
      <w:r>
        <w:t xml:space="preserve"> </w:t>
      </w:r>
      <w:r>
        <w:rPr>
          <w:b/>
          <w:bCs/>
        </w:rPr>
        <w:t xml:space="preserve">non</w:t>
      </w:r>
      <w:r>
        <w:t xml:space="preserve"> </w:t>
      </w:r>
      <w:r>
        <w:t xml:space="preserve">richiede di ridurre gli episodi, e che ridurre gli episodi</w:t>
      </w:r>
      <w:r>
        <w:t xml:space="preserve"> </w:t>
      </w:r>
      <w:r>
        <w:rPr>
          <w:b/>
          <w:bCs/>
        </w:rPr>
        <w:t xml:space="preserve">non</w:t>
      </w:r>
      <w:r>
        <w:t xml:space="preserve"> </w:t>
      </w:r>
      <w:r>
        <w:t xml:space="preserve">garantisce di ridurre il dolore. Scegli l’esito sul dolore e sulla funzione, dichiaralo al paziente alla prima seduta, e non cambiarlo dopo. In studenti sani interrogati per una settimana, del resto, la frequenza dei comportamenti da sveglio cambia con ansia e umore, e l’unica voce che</w:t>
      </w:r>
      <w:r>
        <w:t xml:space="preserve"> </w:t>
      </w:r>
      <w:r>
        <w:rPr>
          <w:b/>
          <w:bCs/>
        </w:rPr>
        <w:t xml:space="preserve">non</w:t>
      </w:r>
      <w:r>
        <w:t xml:space="preserve"> </w:t>
      </w:r>
      <w:r>
        <w:t xml:space="preserve">cambia è proprio il digrignamento (Saracutu,</w:t>
      </w:r>
      <w:r>
        <w:t xml:space="preserve"> </w:t>
      </w:r>
      <w:r>
        <w:rPr>
          <w:i/>
          <w:iCs/>
        </w:rPr>
        <w:t xml:space="preserve">Cranio</w:t>
      </w:r>
      <w:r>
        <w:t xml:space="preserve"> </w:t>
      </w:r>
      <w:r>
        <w:t xml:space="preserve">2025 — PMID 38850025).</w:t>
      </w:r>
    </w:p>
    <w:p>
      <w:pPr>
        <w:pStyle w:val="BodyText"/>
      </w:pPr>
      <w:r>
        <w:rPr>
          <w:b/>
          <w:bCs/>
        </w:rPr>
        <w:t xml:space="preserve">Il rumore della caldaia e la bolletta: chi la sente di notte non è chi paga di più.</w:t>
      </w:r>
    </w:p>
    <w:bookmarkEnd w:id="28"/>
    <w:bookmarkStart w:id="29" w:name="X30e066266230ad97d7cab50de9a2a2de78f939a"/>
    <w:p>
      <w:pPr>
        <w:pStyle w:val="Heading3"/>
      </w:pPr>
      <w:r>
        <w:t xml:space="preserve">5. Ci sono ingressi che accendono il motore da sotto, e non passano dalla testa</w:t>
      </w:r>
    </w:p>
    <w:p>
      <w:pPr>
        <w:pStyle w:val="FirstParagraph"/>
      </w:pPr>
      <w:r>
        <w:rPr>
          <w:b/>
          <w:bCs/>
        </w:rPr>
        <w:t xml:space="preserve">La sequenza</w:t>
      </w:r>
    </w:p>
    <w:p>
      <w:pPr>
        <w:pStyle w:val="Compact"/>
        <w:numPr>
          <w:ilvl w:val="0"/>
          <w:numId w:val="1014"/>
        </w:numPr>
      </w:pPr>
      <w:r>
        <w:t xml:space="preserve">Un’infusione acida nell’esofago di uomini sani senza bruxismo aumenta tre cose, nei venti minuti successivi: le scariche elettromiografiche del massetere, gli episodi di attività ritmica e il rumore di digrignamento. L’ingresso viscerale entra quindi nella stessa via che genera l’episodio. Non serve un pensiero, un sogno o una malocclusione.</w:t>
      </w:r>
    </w:p>
    <w:p>
      <w:pPr>
        <w:pStyle w:val="Compact"/>
        <w:numPr>
          <w:ilvl w:val="0"/>
          <w:numId w:val="1014"/>
        </w:numPr>
      </w:pPr>
      <w:r>
        <w:t xml:space="preserve">Alcol e fumo agiscono per via chimica. Chi beve ha circa il doppio delle probabilità di riferire bruxismo del sonno, chi fuma poco più del doppio. Chi supera gli otto caffè al giorno — il livello di consumo misurato in quello studio — circa una volta e mezza.</w:t>
      </w:r>
    </w:p>
    <w:p>
      <w:pPr>
        <w:pStyle w:val="Compact"/>
        <w:numPr>
          <w:ilvl w:val="0"/>
          <w:numId w:val="1014"/>
        </w:numPr>
      </w:pPr>
      <w:r>
        <w:rPr>
          <w:b/>
          <w:bCs/>
        </w:rPr>
        <w:t xml:space="preserve">I farmaci sono un ingresso a sé, e la lista è più lunga degli antidepressivi serotoninergici:</w:t>
      </w:r>
      <w:r>
        <w:t xml:space="preserve"> </w:t>
      </w:r>
      <w:r>
        <w:t xml:space="preserve">anfetamine e metilfenidato, paroxetina, venlafaxina, duloxetina, aripiprazolo, atomoxetina, anticonvulsivanti e barbiturici, metadone; e fra le sostanze alcol, nicotina, cocaina, MDMA (de Baat,</w:t>
      </w:r>
      <w:r>
        <w:t xml:space="preserve"> </w:t>
      </w:r>
      <w:r>
        <w:rPr>
          <w:i/>
          <w:iCs/>
        </w:rPr>
        <w:t xml:space="preserve">J Oral Rehabil</w:t>
      </w:r>
      <w:r>
        <w:t xml:space="preserve"> </w:t>
      </w:r>
      <w:r>
        <w:t xml:space="preserve">2021 — PMID 32716523). Il quadro compare entro tre-quattro settimane dall’inizio e si risolve entro tre-quattro dalla sospensione o dalla modifica.</w:t>
      </w:r>
      <w:r>
        <w:t xml:space="preserve"> </w:t>
      </w:r>
      <w:r>
        <w:rPr>
          <w:b/>
          <w:bCs/>
        </w:rPr>
        <w:t xml:space="preserve">Vale anche il contrario:</w:t>
      </w:r>
      <w:r>
        <w:t xml:space="preserve"> </w:t>
      </w:r>
      <w:r>
        <w:t xml:space="preserve">clonazepam, clonidina, buspirone e levodopa possono attenuarlo. Serve a te, perché un marker che migliora può essere merito del prescrittore.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15"/>
        </w:numPr>
      </w:pPr>
      <w:r>
        <w:rPr>
          <w:b/>
          <w:bCs/>
        </w:rPr>
        <w:t xml:space="preserve">Un cambiamento recente dell’assetto dentale</w:t>
      </w:r>
      <w:r>
        <w:t xml:space="preserve"> </w:t>
      </w:r>
      <w:r>
        <w:t xml:space="preserve">è l’innesco più citato quando chiedi</w:t>
      </w:r>
      <w:r>
        <w:t xml:space="preserve"> </w:t>
      </w:r>
      <w:r>
        <w:rPr>
          <w:i/>
          <w:iCs/>
        </w:rPr>
        <w:t xml:space="preserve">quando è cominciato</w:t>
      </w:r>
      <w:r>
        <w:t xml:space="preserve">: ricostruzione alta, estrazione, impianto, ortodonzia, bite consegnato e non regolato. L’occlusione</w:t>
      </w:r>
      <w:r>
        <w:t xml:space="preserve"> </w:t>
      </w:r>
      <w:r>
        <w:rPr>
          <w:b/>
          <w:bCs/>
        </w:rPr>
        <w:t xml:space="preserve">non</w:t>
      </w:r>
      <w:r>
        <w:t xml:space="preserve"> </w:t>
      </w:r>
      <w:r>
        <w:t xml:space="preserve">è la causa del bruxismo del sonno. Ma un cambio occlusale recente è un innesco frequente della</w:t>
      </w:r>
      <w:r>
        <w:t xml:space="preserve"> </w:t>
      </w:r>
      <w:r>
        <w:rPr>
          <w:b/>
          <w:bCs/>
        </w:rPr>
        <w:t xml:space="preserve">riacutizzazione sintomatica</w:t>
      </w:r>
      <w:r>
        <w:t xml:space="preserve">, ed è l’unico della lista che si risolve con una telefonata all’odontoiatra.</w:t>
      </w:r>
    </w:p>
    <w:p>
      <w:pPr>
        <w:pStyle w:val="Compact"/>
        <w:numPr>
          <w:ilvl w:val="0"/>
          <w:numId w:val="1015"/>
        </w:numPr>
      </w:pPr>
      <w:r>
        <w:t xml:space="preserve">Tutti questi ingressi hanno una cosa in comune:</w:t>
      </w:r>
      <w:r>
        <w:t xml:space="preserve"> </w:t>
      </w:r>
      <w:r>
        <w:rPr>
          <w:b/>
          <w:bCs/>
        </w:rPr>
        <w:t xml:space="preserve">abbassano la soglia alla quale la sequenza del microrisveglio arriva fino ai masticatori.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l’ingresso acido — studio incrociato randomizzato su dodici maschi adulti sani senza bruxismo (Ohmure,</w:t>
      </w:r>
      <w:r>
        <w:t xml:space="preserve"> </w:t>
      </w:r>
      <w:r>
        <w:rPr>
          <w:i/>
          <w:iCs/>
        </w:rPr>
        <w:t xml:space="preserve">J Dent Res</w:t>
      </w:r>
      <w:r>
        <w:t xml:space="preserve"> </w:t>
      </w:r>
      <w:r>
        <w:t xml:space="preserve">2011 — PMID 21248360). PROBABILE per alcol, fumo e caffè: sette studi osservazionali, con la revisione che dichiara l’evidenza limitata (Bertazzo-Silveira,</w:t>
      </w:r>
      <w:r>
        <w:t xml:space="preserve"> </w:t>
      </w:r>
      <w:r>
        <w:rPr>
          <w:i/>
          <w:iCs/>
        </w:rPr>
        <w:t xml:space="preserve">JADA</w:t>
      </w:r>
      <w:r>
        <w:t xml:space="preserve"> </w:t>
      </w:r>
      <w:r>
        <w:t xml:space="preserve">2016 — PMID 27522154). PROBABILE per i farmaci, con qualità dell’evidenza dichiarata molto bassa dalle fonti stesse (de Baat 2021 — PMID 32716523; Garrett &amp; Hawley,</w:t>
      </w:r>
      <w:r>
        <w:t xml:space="preserve"> </w:t>
      </w:r>
      <w:r>
        <w:rPr>
          <w:i/>
          <w:iCs/>
        </w:rPr>
        <w:t xml:space="preserve">Neurol Clin Pract</w:t>
      </w:r>
      <w:r>
        <w:t xml:space="preserve"> </w:t>
      </w:r>
      <w:r>
        <w:t xml:space="preserve">2018 — PMID 29708207). RAGIONAMENTO</w:t>
      </w:r>
      <w:r>
        <w:t xml:space="preserve"> </w:t>
      </w:r>
      <w:r>
        <w:rPr>
          <w:i/>
          <w:iCs/>
        </w:rPr>
        <w:t xml:space="preserve">(cornice clinica, non una prova)</w:t>
      </w:r>
      <w:r>
        <w:t xml:space="preserve"> </w:t>
      </w:r>
      <w:r>
        <w:t xml:space="preserve">per l’innesco odontoiatrico recente.</w:t>
      </w:r>
    </w:p>
    <w:p>
      <w:pPr>
        <w:pStyle w:val="FirstParagraph"/>
      </w:pPr>
      <w:r>
        <w:rPr>
          <w:b/>
          <w:bCs/>
        </w:rPr>
        <w:t xml:space="preserve">Per te:</w:t>
      </w:r>
      <w:r>
        <w:t xml:space="preserve"> </w:t>
      </w:r>
      <w:r>
        <w:t xml:space="preserve">questi ingressi sono la parte del quadro in cui il numero di episodi si sposta davvero, e nessuno è tuo. Il tuo compito è</w:t>
      </w:r>
      <w:r>
        <w:t xml:space="preserve"> </w:t>
      </w:r>
      <w:r>
        <w:rPr>
          <w:b/>
          <w:bCs/>
        </w:rPr>
        <w:t xml:space="preserve">riconoscerli e nominarli</w:t>
      </w:r>
      <w:r>
        <w:t xml:space="preserve">: la cena tardi, il bicchiere della sera, il farmaco iniziato tre settimane fa, il dente rifatto il mese scorso. Poi mandi l’informazione per iscritto al prescrittore o all’odontoiatra.</w:t>
      </w:r>
    </w:p>
    <w:p>
      <w:pPr>
        <w:pStyle w:val="BodyText"/>
      </w:pPr>
      <w:r>
        <w:rPr>
          <w:b/>
          <w:bCs/>
        </w:rPr>
        <w:t xml:space="preserve">Come si vede addosso al paziente</w:t>
      </w:r>
    </w:p>
    <w:p>
      <w:pPr>
        <w:pStyle w:val="BodyText"/>
      </w:pPr>
      <w:r>
        <w:t xml:space="preserve">Peggioramento nelle notti dopo cena tarda, alcol o pasto abbondante. Sintomi digestivi anche modesti: rigurgito, bruciore, voce roca al mattino. Comparsa o peggioramento entro un mese da un farmaco nuovo o da un lavoro odontoiatrico.</w:t>
      </w:r>
    </w:p>
    <w:p>
      <w:pPr>
        <w:pStyle w:val="BlockText"/>
      </w:pPr>
      <w:r>
        <w:rPr>
          <w:b/>
          <w:bCs/>
        </w:rPr>
        <w:t xml:space="preserve">Cosa cambia per te.</w:t>
      </w:r>
      <w:r>
        <w:t xml:space="preserve"> </w:t>
      </w:r>
      <w:r>
        <w:t xml:space="preserve">Se il paziente riferisce anche sintomi da reflusso, non stai vedendo due problemi: stai vedendo due punte dello stesso ingresso. Vedi la Bibbia del Reflusso gastroesofageo, capitolo «Cosa si rompe».</w:t>
      </w:r>
    </w:p>
    <w:p>
      <w:pPr>
        <w:pStyle w:val="FirstParagraph"/>
      </w:pPr>
      <w:r>
        <w:rPr>
          <w:b/>
          <w:bCs/>
        </w:rPr>
        <w:t xml:space="preserve">Il rilevatore di fumo che suona per il vapore della doccia.</w:t>
      </w:r>
    </w:p>
    <w:p>
      <w:pPr>
        <w:pStyle w:val="BodyText"/>
      </w:pPr>
      <w:r>
        <w:rPr>
          <w:b/>
          <w:bCs/>
        </w:rPr>
        <w:t xml:space="preserve">Le tre cose da ricordare, più una</w:t>
      </w:r>
    </w:p>
    <w:p>
      <w:pPr>
        <w:pStyle w:val="Compact"/>
        <w:numPr>
          <w:ilvl w:val="0"/>
          <w:numId w:val="1016"/>
        </w:numPr>
      </w:pPr>
      <w:r>
        <w:t xml:space="preserve">L’episodio comincia otto minuti prima e tre piani sopra la mandibola, e il risveglio è una finestra, non un comando. Chi tratta solo il muscolo tratta l’esecutore.</w:t>
      </w:r>
    </w:p>
    <w:p>
      <w:pPr>
        <w:pStyle w:val="Compact"/>
        <w:numPr>
          <w:ilvl w:val="0"/>
          <w:numId w:val="1016"/>
        </w:numPr>
      </w:pPr>
      <w:r>
        <w:t xml:space="preserve">Quanto stringe e quanto fa male sono due misure diverse, e i due dolori si riconoscono prima di trattare: proporzionale al carico, o diffuso e amplificato.</w:t>
      </w:r>
    </w:p>
    <w:p>
      <w:pPr>
        <w:pStyle w:val="Compact"/>
        <w:numPr>
          <w:ilvl w:val="0"/>
          <w:numId w:val="1016"/>
        </w:numPr>
      </w:pPr>
      <w:r>
        <w:t xml:space="preserve">Quattro ingressi spostano davvero il numero di episodi — acido, sostanze, farmaci, lavoro odontoiatrico recente — e nessuno è nelle tue mani. Riconoscerli è comunque tuo.</w:t>
      </w:r>
    </w:p>
    <w:p>
      <w:pPr>
        <w:pStyle w:val="Compact"/>
        <w:numPr>
          <w:ilvl w:val="0"/>
          <w:numId w:val="1016"/>
        </w:numPr>
      </w:pPr>
      <w:r>
        <w:rPr>
          <w:b/>
          <w:bCs/>
        </w:rPr>
        <w:t xml:space="preserve">Perché ci sei tu.</w:t>
      </w:r>
      <w:r>
        <w:t xml:space="preserve"> </w:t>
      </w:r>
      <w:r>
        <w:t xml:space="preserve">Il meccanismo generatore è nel dominio della regolazione, non in quello dei denti: lo spostamento verso l’attivazione simpatica comincia</w:t>
      </w:r>
      <w:r>
        <w:t xml:space="preserve"> </w:t>
      </w:r>
      <w:r>
        <w:rPr>
          <w:b/>
          <w:bCs/>
        </w:rPr>
        <w:t xml:space="preserve">otto minuti prima</w:t>
      </w:r>
      <w:r>
        <w:t xml:space="preserve"> </w:t>
      </w:r>
      <w:r>
        <w:t xml:space="preserve">dell’episodio. Questo ti autorizza a lavorare sul livello di attivazione come bersaglio legittimo, con le sue etichette reali. Non ti autorizza a dire che spegni gli episodi: nessuno ha contato episodi prima e dopo un trattamento manuale. (Huynh,</w:t>
      </w:r>
      <w:r>
        <w:t xml:space="preserve"> </w:t>
      </w:r>
      <w:r>
        <w:rPr>
          <w:i/>
          <w:iCs/>
        </w:rPr>
        <w:t xml:space="preserve">J Sleep Res</w:t>
      </w:r>
      <w:r>
        <w:t xml:space="preserve"> </w:t>
      </w:r>
      <w:r>
        <w:t xml:space="preserve">2006 — PMID 16911037)</w:t>
      </w:r>
    </w:p>
    <w:bookmarkEnd w:id="29"/>
    <w:bookmarkEnd w:id="30"/>
    <w:bookmarkStart w:id="38" w:name="capitolo-6-non-è-una-condizione-sola"/>
    <w:p>
      <w:pPr>
        <w:pStyle w:val="Heading2"/>
      </w:pPr>
      <w:r>
        <w:t xml:space="preserve">Capitolo 6 — Non è una condizione sola</w:t>
      </w:r>
    </w:p>
    <w:p>
      <w:pPr>
        <w:pStyle w:val="BlockText"/>
      </w:pPr>
      <w:r>
        <w:rPr>
          <w:b/>
          <w:bCs/>
        </w:rPr>
        <w:t xml:space="preserve">In una riga:</w:t>
      </w:r>
      <w:r>
        <w:t xml:space="preserve"> </w:t>
      </w:r>
      <w:r>
        <w:t xml:space="preserve">sei pattern, e su due di loro il tuo spazio è piccolo o cambia completamente forma.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Modello che comanda</w:t>
            </w:r>
          </w:p>
        </w:tc>
        <w:tc>
          <w:tcPr/>
          <w:p>
            <w:pPr>
              <w:pStyle w:val="Compact"/>
            </w:pPr>
            <w:r>
              <w:t xml:space="preserve">Quanto puoi fare</w:t>
            </w:r>
          </w:p>
        </w:tc>
      </w:tr>
      <w:tr>
        <w:tc>
          <w:tcPr/>
          <w:p>
            <w:pPr>
              <w:pStyle w:val="Compact"/>
            </w:pPr>
            <w:r>
              <w:t xml:space="preserve">Notturno con dolore mattutino</w:t>
            </w:r>
          </w:p>
        </w:tc>
        <w:tc>
          <w:tcPr/>
          <w:p>
            <w:pPr>
              <w:pStyle w:val="Compact"/>
            </w:pPr>
            <w:r>
              <w:t xml:space="preserve">Dolore massimo al risveglio</w:t>
            </w:r>
          </w:p>
        </w:tc>
        <w:tc>
          <w:tcPr/>
          <w:p>
            <w:pPr>
              <w:pStyle w:val="Compact"/>
            </w:pPr>
            <w:r>
              <w:t xml:space="preserve">Neurologico</w:t>
            </w:r>
          </w:p>
        </w:tc>
        <w:tc>
          <w:tcPr/>
          <w:p>
            <w:pPr>
              <w:pStyle w:val="Compact"/>
            </w:pPr>
            <w:r>
              <w:t xml:space="preserve">Abbastanza</w:t>
            </w:r>
          </w:p>
        </w:tc>
      </w:tr>
      <w:tr>
        <w:tc>
          <w:tcPr/>
          <w:p>
            <w:pPr>
              <w:pStyle w:val="Compact"/>
            </w:pPr>
            <w:r>
              <w:t xml:space="preserve">Serramento diurno</w:t>
            </w:r>
          </w:p>
        </w:tc>
        <w:tc>
          <w:tcPr/>
          <w:p>
            <w:pPr>
              <w:pStyle w:val="Compact"/>
            </w:pPr>
            <w:r>
              <w:t xml:space="preserve">Se ne accorge lavorando</w:t>
            </w:r>
          </w:p>
        </w:tc>
        <w:tc>
          <w:tcPr/>
          <w:p>
            <w:pPr>
              <w:pStyle w:val="Compact"/>
            </w:pPr>
            <w:r>
              <w:t xml:space="preserve">Comportamentale</w:t>
            </w:r>
          </w:p>
        </w:tc>
        <w:tc>
          <w:tcPr/>
          <w:p>
            <w:pPr>
              <w:pStyle w:val="Compact"/>
            </w:pPr>
            <w:r>
              <w:t xml:space="preserve">Molto</w:t>
            </w:r>
          </w:p>
        </w:tc>
      </w:tr>
      <w:tr>
        <w:tc>
          <w:tcPr/>
          <w:p>
            <w:pPr>
              <w:pStyle w:val="Compact"/>
            </w:pPr>
            <w:r>
              <w:t xml:space="preserve">Con evento articolare</w:t>
            </w:r>
          </w:p>
        </w:tc>
        <w:tc>
          <w:tcPr/>
          <w:p>
            <w:pPr>
              <w:pStyle w:val="Compact"/>
            </w:pPr>
            <w:r>
              <w:t xml:space="preserve">Click, scatto o blocco</w:t>
            </w:r>
          </w:p>
        </w:tc>
        <w:tc>
          <w:tcPr/>
          <w:p>
            <w:pPr>
              <w:pStyle w:val="Compact"/>
            </w:pPr>
            <w:r>
              <w:t xml:space="preserve">Biomeccanico</w:t>
            </w:r>
          </w:p>
        </w:tc>
        <w:tc>
          <w:tcPr/>
          <w:p>
            <w:pPr>
              <w:pStyle w:val="Compact"/>
            </w:pPr>
            <w:r>
              <w:t xml:space="preserve">Abbastanza</w:t>
            </w:r>
          </w:p>
        </w:tc>
      </w:tr>
      <w:tr>
        <w:tc>
          <w:tcPr/>
          <w:p>
            <w:pPr>
              <w:pStyle w:val="Compact"/>
            </w:pPr>
            <w:r>
              <w:t xml:space="preserve">Con dolore sproporzionato e diffuso</w:t>
            </w:r>
          </w:p>
        </w:tc>
        <w:tc>
          <w:tcPr/>
          <w:p>
            <w:pPr>
              <w:pStyle w:val="Compact"/>
            </w:pPr>
            <w:r>
              <w:t xml:space="preserve">Dolore alto, digrignamento modesto</w:t>
            </w:r>
          </w:p>
        </w:tc>
        <w:tc>
          <w:tcPr/>
          <w:p>
            <w:pPr>
              <w:pStyle w:val="Compact"/>
            </w:pPr>
            <w:r>
              <w:t xml:space="preserve">Comportamentale</w:t>
            </w:r>
          </w:p>
        </w:tc>
        <w:tc>
          <w:tcPr/>
          <w:p>
            <w:pPr>
              <w:pStyle w:val="Compact"/>
            </w:pPr>
            <w:r>
              <w:t xml:space="preserve">Poco per seduta, molto nel tempo</w:t>
            </w:r>
          </w:p>
        </w:tc>
      </w:tr>
      <w:tr>
        <w:tc>
          <w:tcPr/>
          <w:p>
            <w:pPr>
              <w:pStyle w:val="Compact"/>
            </w:pPr>
            <w:r>
              <w:t xml:space="preserve">Da farmaco o sostanza</w:t>
            </w:r>
          </w:p>
        </w:tc>
        <w:tc>
          <w:tcPr/>
          <w:p>
            <w:pPr>
              <w:pStyle w:val="Compact"/>
            </w:pPr>
            <w:r>
              <w:t xml:space="preserve">Comparso dopo un cambio</w:t>
            </w:r>
          </w:p>
        </w:tc>
        <w:tc>
          <w:tcPr/>
          <w:p>
            <w:pPr>
              <w:pStyle w:val="Compact"/>
            </w:pPr>
            <w:r>
              <w:t xml:space="preserve">Neurologico, modificato</w:t>
            </w:r>
          </w:p>
        </w:tc>
        <w:tc>
          <w:tcPr/>
          <w:p>
            <w:pPr>
              <w:pStyle w:val="Compact"/>
            </w:pPr>
            <w:r>
              <w:t xml:space="preserve">Poco</w:t>
            </w:r>
          </w:p>
        </w:tc>
      </w:tr>
      <w:tr>
        <w:tc>
          <w:tcPr/>
          <w:p>
            <w:pPr>
              <w:pStyle w:val="Compact"/>
            </w:pPr>
            <w:r>
              <w:t xml:space="preserve">Con sospetto respiratorio nel sonno</w:t>
            </w:r>
          </w:p>
        </w:tc>
        <w:tc>
          <w:tcPr/>
          <w:p>
            <w:pPr>
              <w:pStyle w:val="Compact"/>
            </w:pPr>
            <w:r>
              <w:t xml:space="preserve">Pause riferite dal partner</w:t>
            </w:r>
          </w:p>
        </w:tc>
        <w:tc>
          <w:tcPr/>
          <w:p>
            <w:pPr>
              <w:pStyle w:val="Compact"/>
            </w:pPr>
            <w:r>
              <w:t xml:space="preserve">Nessuno — triage</w:t>
            </w:r>
          </w:p>
        </w:tc>
        <w:tc>
          <w:tcPr/>
          <w:p>
            <w:pPr>
              <w:pStyle w:val="Compact"/>
            </w:pPr>
            <w:r>
              <w:t xml:space="preserve">Invio prioritario, e intanto si lavora</w:t>
            </w:r>
          </w:p>
        </w:tc>
      </w:tr>
    </w:tbl>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Le caselle si sommano.</w:t>
      </w:r>
      <w:r>
        <w:t xml:space="preserve"> </w:t>
      </w:r>
      <w:r>
        <w:t xml:space="preserve">Il paziente più frequente stringe di giorno</w:t>
      </w:r>
      <w:r>
        <w:t xml:space="preserve"> </w:t>
      </w:r>
      <w:r>
        <w:rPr>
          <w:b/>
          <w:bCs/>
        </w:rPr>
        <w:t xml:space="preserve">e</w:t>
      </w:r>
      <w:r>
        <w:t xml:space="preserve"> </w:t>
      </w:r>
      <w:r>
        <w:t xml:space="preserve">digrigna di notte: ha due binari, con due bersagli e due marker. Chiedi sempre entrambi gli orari, e se le risposte sono due, i sottotipi sono due.</w:t>
      </w:r>
    </w:p>
    <w:bookmarkStart w:id="31" w:name="notturno-con-dolore-mattutino"/>
    <w:p>
      <w:pPr>
        <w:pStyle w:val="Heading3"/>
      </w:pPr>
      <w:r>
        <w:t xml:space="preserve">Notturno con dolore mattutino</w:t>
      </w:r>
    </w:p>
    <w:p>
      <w:pPr>
        <w:pStyle w:val="FirstParagraph"/>
      </w:pPr>
      <w:r>
        <w:t xml:space="preserve">Dolore e rigidità dei masseteri al risveglio, pressione alle tempie che si attenua nella mattinata, sonno non ristoratore, rumore segnalato dal partner. Comanda il</w:t>
      </w:r>
      <w:r>
        <w:t xml:space="preserve"> </w:t>
      </w:r>
      <w:r>
        <w:rPr>
          <w:b/>
          <w:bCs/>
        </w:rPr>
        <w:t xml:space="preserve">Neurologico</w:t>
      </w:r>
      <w:r>
        <w:t xml:space="preserve">: la sequenza del microrisveglio.</w:t>
      </w:r>
    </w:p>
    <w:p>
      <w:pPr>
        <w:pStyle w:val="BodyText"/>
      </w:pPr>
      <w:r>
        <w:rPr>
          <w:b/>
          <w:bCs/>
        </w:rPr>
        <w:t xml:space="preserve">Il raccordo che serve</w:t>
      </w:r>
      <w:r>
        <w:t xml:space="preserve">, perché è il sottotipo in cui il documento sembra dire due cose. Comanda il Neurologico</w:t>
      </w:r>
      <w:r>
        <w:t xml:space="preserve"> </w:t>
      </w:r>
      <w:r>
        <w:rPr>
          <w:b/>
          <w:bCs/>
        </w:rPr>
        <w:t xml:space="preserve">come generatore</w:t>
      </w:r>
      <w:r>
        <w:t xml:space="preserve">, ma la leva con le prove sta sull’esecutore. Il bersaglio delle mani è il muscolo e il collo, mentre il regolatore resta il criterio con cui scegli il marker e spieghi il quadro. C’è un caso in cui il bersaglio si sposta: quando il livello di attivazione è alto e ha una storia. È il Paziente C di «Come ragiono davanti a questo paziente». Lì il bersaglio diventa la dimensione affettiva del sintomo e l’attenzione alla mandibola, con l’etichetta più bassa che quella leva porta.</w:t>
      </w:r>
    </w:p>
    <w:p>
      <w:pPr>
        <w:pStyle w:val="BodyText"/>
      </w:pPr>
      <w:r>
        <w:t xml:space="preserve">E prima di trattarlo come muscolo sovraccarico, chiediti se il suo dolore è proporzionale al carico. La distinzione sta nel quarto meccanismo, e decide se il lavoro locale renderà. È il sottotipo con le prove migliori, e restano prove modeste.</w:t>
      </w:r>
    </w:p>
    <w:bookmarkEnd w:id="31"/>
    <w:bookmarkStart w:id="32" w:name="serramento-diurno"/>
    <w:p>
      <w:pPr>
        <w:pStyle w:val="Heading3"/>
      </w:pPr>
      <w:r>
        <w:t xml:space="preserve">Serramento diurno</w:t>
      </w:r>
    </w:p>
    <w:p>
      <w:pPr>
        <w:pStyle w:val="FirstParagraph"/>
      </w:pPr>
      <w:r>
        <w:t xml:space="preserve">Il paziente si accorge di avere i denti in contatto mentre lavora, guida o legge, e spesso nega, a ragione, il digrignamento notturno. Comanda il</w:t>
      </w:r>
      <w:r>
        <w:t xml:space="preserve"> </w:t>
      </w:r>
      <w:r>
        <w:rPr>
          <w:b/>
          <w:bCs/>
        </w:rPr>
        <w:t xml:space="preserve">Comportamentale</w:t>
      </w:r>
      <w:r>
        <w:t xml:space="preserve">. È il sottotipo su cui puoi fare di più, per una ragione precisa: è l’unico in cui il comportamento è accessibile alla coscienza, quindi misurabile e modificabile dal paziente. Vedi «Cosa può fare il paziente da solo».</w:t>
      </w:r>
    </w:p>
    <w:bookmarkEnd w:id="32"/>
    <w:bookmarkStart w:id="33" w:name="con-evento-articolare"/>
    <w:p>
      <w:pPr>
        <w:pStyle w:val="Heading3"/>
      </w:pPr>
      <w:r>
        <w:t xml:space="preserve">Con evento articolare</w:t>
      </w:r>
    </w:p>
    <w:p>
      <w:pPr>
        <w:pStyle w:val="FirstParagraph"/>
      </w:pPr>
      <w:r>
        <w:t xml:space="preserve">Click riproducibile, scatto reciproco, deviazione a scatto o episodi di blocco. Il protagonista non è il muscolo ma il</w:t>
      </w:r>
      <w:r>
        <w:t xml:space="preserve"> </w:t>
      </w:r>
      <w:r>
        <w:rPr>
          <w:b/>
          <w:bCs/>
        </w:rPr>
        <w:t xml:space="preserve">disco</w:t>
      </w:r>
      <w:r>
        <w:t xml:space="preserve">, e comanda il</w:t>
      </w:r>
      <w:r>
        <w:t xml:space="preserve"> </w:t>
      </w:r>
      <w:r>
        <w:rPr>
          <w:b/>
          <w:bCs/>
        </w:rPr>
        <w:t xml:space="preserve">Biomeccanico</w:t>
      </w:r>
      <w:r>
        <w:t xml:space="preserve">: il tuo spazio esiste su escursione e dolore. Ma un blocco acuto — la mandibola che non apre o non chiude — non è un sottotipo: è una bandiera rossa.</w:t>
      </w:r>
    </w:p>
    <w:bookmarkEnd w:id="33"/>
    <w:bookmarkStart w:id="34" w:name="con-dolore-sproporzionato-e-diffuso"/>
    <w:p>
      <w:pPr>
        <w:pStyle w:val="Heading3"/>
      </w:pPr>
      <w:r>
        <w:t xml:space="preserve">Con dolore sproporzionato e diffuso</w:t>
      </w:r>
    </w:p>
    <w:p>
      <w:pPr>
        <w:pStyle w:val="FirstParagraph"/>
      </w:pPr>
      <w:r>
        <w:t xml:space="preserve">Dolore alto con digrignamento modesto, dolore anche in altre sedi del corpo, sonno frammentato da anni, spesso più percorsi già falliti, e un modo di descrivere il proprio corpo con precisione insolita. Comanda il</w:t>
      </w:r>
      <w:r>
        <w:t xml:space="preserve"> </w:t>
      </w:r>
      <w:r>
        <w:rPr>
          <w:b/>
          <w:bCs/>
        </w:rPr>
        <w:t xml:space="preserve">Comportamentale</w:t>
      </w:r>
      <w:r>
        <w:t xml:space="preserve">, ma il meccanismo sotto è il quarto: qui il bersaglio è</w:t>
      </w:r>
      <w:r>
        <w:t xml:space="preserve"> </w:t>
      </w:r>
      <w:r>
        <w:rPr>
          <w:b/>
          <w:bCs/>
        </w:rPr>
        <w:t xml:space="preserve">la soglia, non il carico</w:t>
      </w:r>
      <w:r>
        <w:t xml:space="preserve">.</w:t>
      </w:r>
    </w:p>
    <w:p>
      <w:pPr>
        <w:pStyle w:val="BodyText"/>
      </w:pPr>
      <w:r>
        <w:t xml:space="preserve">Su questo paziente il lavoro locale rimbalza, e la prognosi va dichiarata diversa</w:t>
      </w:r>
      <w:r>
        <w:t xml:space="preserve"> </w:t>
      </w:r>
      <w:r>
        <w:rPr>
          <w:b/>
          <w:bCs/>
        </w:rPr>
        <w:t xml:space="preserve">prima</w:t>
      </w:r>
      <w:r>
        <w:t xml:space="preserve"> </w:t>
      </w:r>
      <w:r>
        <w:t xml:space="preserve">di cominciare: il ritmo è lungo, l’apertura si muove e il dolore no. Chi lo tratta come un</w:t>
      </w:r>
      <w:r>
        <w:t xml:space="preserve"> </w:t>
      </w:r>
      <w:r>
        <w:t xml:space="preserve">“notturno che non risponde”</w:t>
      </w:r>
      <w:r>
        <w:t xml:space="preserve"> </w:t>
      </w:r>
      <w:r>
        <w:t xml:space="preserve">conclude di aver sbagliato tecnica, e invece aveva sbagliato bersaglio.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il quadro clinico e per la prognosi. Il meccanismo che ci sta sotto porta la sua etichetta in «Cosa si rompe», e non è questa.</w:t>
      </w:r>
    </w:p>
    <w:bookmarkEnd w:id="34"/>
    <w:bookmarkStart w:id="35" w:name="da-farmaco-o-sostanza"/>
    <w:p>
      <w:pPr>
        <w:pStyle w:val="Heading3"/>
      </w:pPr>
      <w:r>
        <w:t xml:space="preserve">Da farmaco o sostanza</w:t>
      </w:r>
    </w:p>
    <w:p>
      <w:pPr>
        <w:pStyle w:val="FirstParagraph"/>
      </w:pPr>
      <w:r>
        <w:t xml:space="preserve">Il quadro è comparso o è nettamente peggiorato entro poche settimane da un farmaco nuovo. Oppure convive con un consumo elevato di alcol, tabacco o caffè. Non è solo un sottotipo:</w:t>
      </w:r>
      <w:r>
        <w:t xml:space="preserve"> </w:t>
      </w:r>
      <w:r>
        <w:rPr>
          <w:b/>
          <w:bCs/>
        </w:rPr>
        <w:t xml:space="preserve">è anche una bandiera rossa di Blocco B.</w:t>
      </w:r>
      <w:r>
        <w:t xml:space="preserve"> </w:t>
      </w:r>
      <w:r>
        <w:t xml:space="preserve">Si invia al prescrittore per iscritto, e nel frattempo si lavora sul muscolo dolente, dicendo con chiarezza che stai trattando la conseguenza mentre la causa è altrove.</w:t>
      </w:r>
    </w:p>
    <w:bookmarkEnd w:id="35"/>
    <w:bookmarkStart w:id="36" w:name="con-sospetto-respiratorio-nel-sonno"/>
    <w:p>
      <w:pPr>
        <w:pStyle w:val="Heading3"/>
      </w:pPr>
      <w:r>
        <w:t xml:space="preserve">Con sospetto respiratorio nel sonno</w:t>
      </w:r>
    </w:p>
    <w:p>
      <w:pPr>
        <w:pStyle w:val="FirstParagraph"/>
      </w:pPr>
      <w:r>
        <w:t xml:space="preserve">Russamento forte, pause respiratorie riferite dal partner, sonnolenza diurna, risvegli con soffocamento. Il bruxismo è la ragione per cui il paziente è arrivato, e non è il problema più importante che ha addosso.</w:t>
      </w:r>
    </w:p>
    <w:p>
      <w:pPr>
        <w:pStyle w:val="BodyText"/>
      </w:pPr>
      <w:r>
        <w:t xml:space="preserve">Qui il tuo comportamento ha</w:t>
      </w:r>
      <w:r>
        <w:t xml:space="preserve"> </w:t>
      </w:r>
      <w:r>
        <w:rPr>
          <w:b/>
          <w:bCs/>
        </w:rPr>
        <w:t xml:space="preserve">due tempi, non uno</w:t>
      </w:r>
      <w:r>
        <w:t xml:space="preserve">. L’invio per le apnee è prioritario e non differibile, perché le apnee sono pericolose di per sé. E nel frattempo il dolore mandibolare e cervicale resta un reperto tuo, autonomo, e si tratta in parallelo — come prevede il Blocco B. Dichiari al paziente che il quadro respiratorio non è il tuo bersaglio ed è in attesa di inquadramento.</w:t>
      </w:r>
    </w:p>
    <w:p>
      <w:pPr>
        <w:pStyle w:val="BodyText"/>
      </w:pPr>
      <w:r>
        <w:rPr>
          <w:b/>
          <w:bCs/>
        </w:rPr>
        <w:t xml:space="preserve">Attenzione a come lo giustifichi.</w:t>
      </w:r>
      <w:r>
        <w:t xml:space="preserve"> </w:t>
      </w:r>
      <w:r>
        <w:t xml:space="preserve">Non lo giustifica un dato di popolazione. Sul rapporto fra apnee e bruxismo</w:t>
      </w:r>
      <w:r>
        <w:t xml:space="preserve"> </w:t>
      </w:r>
      <w:r>
        <w:rPr>
          <w:i/>
          <w:iCs/>
        </w:rPr>
        <w:t xml:space="preserve">non è stata trovata un’associazione, con intervalli larghi e studi di bassa qualità</w:t>
      </w:r>
      <w:r>
        <w:t xml:space="preserve"> </w:t>
      </w:r>
      <w:r>
        <w:t xml:space="preserve">(Błaszczyk,</w:t>
      </w:r>
      <w:r>
        <w:t xml:space="preserve"> </w:t>
      </w:r>
      <w:r>
        <w:rPr>
          <w:i/>
          <w:iCs/>
        </w:rPr>
        <w:t xml:space="preserve">Sleep Med Rev</w:t>
      </w:r>
      <w:r>
        <w:t xml:space="preserve"> </w:t>
      </w:r>
      <w:r>
        <w:t xml:space="preserve">2024 — PMID 39182463).</w:t>
      </w:r>
      <w:r>
        <w:t xml:space="preserve"> </w:t>
      </w:r>
      <w:r>
        <w:rPr>
          <w:b/>
          <w:bCs/>
        </w:rPr>
        <w:t xml:space="preserve">La revisione ombrello più recente segnala invece una possibile associazione bidirezionale, con la stessa bassa qualità</w:t>
      </w:r>
      <w:r>
        <w:t xml:space="preserve"> </w:t>
      </w:r>
      <w:r>
        <w:t xml:space="preserve">(Pereira,</w:t>
      </w:r>
      <w:r>
        <w:t xml:space="preserve"> </w:t>
      </w:r>
      <w:r>
        <w:rPr>
          <w:i/>
          <w:iCs/>
        </w:rPr>
        <w:t xml:space="preserve">Sleep Med</w:t>
      </w:r>
      <w:r>
        <w:t xml:space="preserve"> </w:t>
      </w:r>
      <w:r>
        <w:t xml:space="preserve">2026 — PMID 42447651). Le due sintesi non si contraddicono sui dati: si contraddicono su come si legge un intervallo largo. Quel che ti autorizza a lavorare in parallelo non è un numero di popolazione. È</w:t>
      </w:r>
      <w:r>
        <w:t xml:space="preserve"> </w:t>
      </w:r>
      <w:r>
        <w:rPr>
          <w:b/>
          <w:bCs/>
        </w:rPr>
        <w:t xml:space="preserve">un reperto che hai su questo paziente e un marker che si muove</w:t>
      </w:r>
      <w:r>
        <w:t xml:space="preserve">. Se il quadro mandibolare fosse un epifenomeno dell’apnea, il marker te lo direbbe non muovendosi.</w:t>
      </w:r>
    </w:p>
    <w:bookmarkEnd w:id="36"/>
    <w:bookmarkStart w:id="37" w:name="cosa-cambia-dopo-i-settantanni"/>
    <w:p>
      <w:pPr>
        <w:pStyle w:val="Heading3"/>
      </w:pPr>
      <w:r>
        <w:t xml:space="preserve">Cosa cambia dopo i settant’anni</w:t>
      </w:r>
    </w:p>
    <w:p>
      <w:pPr>
        <w:pStyle w:val="FirstParagraph"/>
      </w:pPr>
      <w:r>
        <w:t xml:space="preserve">Non è un settimo pattern: è un terreno diverso sotto gli stessi pattern. Cambiano il substrato — edentulia parziale, protesi, impianti, densità ossea — e la farmacologia. E cambia il significato del sintomo: nelle malattie neurodegenerative l’attività mandibolare notturna è spesso un fenomeno del sistema dopaminergico, non un comportamento modificabile con l’autosservazione. Applicare a questo paziente il modello del quarantenne alla scrivania è l’errore più probabile che questo capitolo può farti fare.</w:t>
      </w:r>
    </w:p>
    <w:p>
      <w:pPr>
        <w:pStyle w:val="BodyText"/>
      </w:pPr>
      <w:r>
        <w:rPr>
          <w:b/>
          <w:bCs/>
        </w:rPr>
        <w:t xml:space="preserve">Condizioni spesso associate, e dove leggerle.</w:t>
      </w:r>
      <w:r>
        <w:t xml:space="preserve"> </w:t>
      </w:r>
      <w:r>
        <w:t xml:space="preserve">Dolore o rumore articolare persistente: la Bibbia dei Dolori mandibolari (ATM). Cefalea tensiva o cervicalgia: le Bibbie corrispondenti. Reflusso: la Bibbia del Reflusso gastroesofageo.</w:t>
      </w:r>
    </w:p>
    <w:p>
      <w:pPr>
        <w:pStyle w:val="BodyText"/>
      </w:pPr>
      <w:r>
        <w:rPr>
          <w:b/>
          <w:bCs/>
        </w:rPr>
        <w:t xml:space="preserve">Le tre cose da ricordare, più una</w:t>
      </w:r>
    </w:p>
    <w:p>
      <w:pPr>
        <w:pStyle w:val="Compact"/>
        <w:numPr>
          <w:ilvl w:val="0"/>
          <w:numId w:val="1017"/>
        </w:numPr>
      </w:pPr>
      <w:r>
        <w:t xml:space="preserve">Chiedi sempre entrambi gli orari, e ricorda che le caselle si sommano: il paziente più comune è misto.</w:t>
      </w:r>
    </w:p>
    <w:p>
      <w:pPr>
        <w:pStyle w:val="Compact"/>
        <w:numPr>
          <w:ilvl w:val="0"/>
          <w:numId w:val="1017"/>
        </w:numPr>
      </w:pPr>
      <w:r>
        <w:t xml:space="preserve">Il click è un sottotipo, il blocco è una bandiera rossa. Non confonderli.</w:t>
      </w:r>
    </w:p>
    <w:p>
      <w:pPr>
        <w:pStyle w:val="Compact"/>
        <w:numPr>
          <w:ilvl w:val="0"/>
          <w:numId w:val="1017"/>
        </w:numPr>
      </w:pPr>
      <w:r>
        <w:t xml:space="preserve">Il paziente che russa con pause non si manda via: si manda a valutare</w:t>
      </w:r>
      <w:r>
        <w:t xml:space="preserve"> </w:t>
      </w:r>
      <w:r>
        <w:rPr>
          <w:b/>
          <w:bCs/>
        </w:rPr>
        <w:t xml:space="preserve">e</w:t>
      </w:r>
      <w:r>
        <w:t xml:space="preserve"> </w:t>
      </w:r>
      <w:r>
        <w:t xml:space="preserve">si tratta in parallelo, dichiarando cosa non è il tuo bersaglio.</w:t>
      </w:r>
    </w:p>
    <w:p>
      <w:pPr>
        <w:pStyle w:val="Compact"/>
        <w:numPr>
          <w:ilvl w:val="0"/>
          <w:numId w:val="1017"/>
        </w:numPr>
      </w:pPr>
      <w:r>
        <w:rPr>
          <w:b/>
          <w:bCs/>
        </w:rPr>
        <w:t xml:space="preserve">Perché ci sei tu.</w:t>
      </w:r>
      <w:r>
        <w:t xml:space="preserve"> </w:t>
      </w:r>
      <w:r>
        <w:t xml:space="preserve">Su un sottotipo non ci sei: nel bruxismo associato ai farmaci i sintomi si risolvono entro tre-quattro settimane dalla sospensione o dalla sostituzione, cioè attraverso una leva interamente del prescrittore. Questo ti autorizza a riconoscerlo e a mandarlo. Non ti autorizza a trattarlo come se fosse un problema muscolare, né a commentare la terapia. (Garrett &amp; Hawley,</w:t>
      </w:r>
      <w:r>
        <w:t xml:space="preserve"> </w:t>
      </w:r>
      <w:r>
        <w:rPr>
          <w:i/>
          <w:iCs/>
        </w:rPr>
        <w:t xml:space="preserve">Neurol Clin Pract</w:t>
      </w:r>
      <w:r>
        <w:t xml:space="preserve"> </w:t>
      </w:r>
      <w:r>
        <w:t xml:space="preserve">2018 — PMID 29708207)</w:t>
      </w:r>
    </w:p>
    <w:bookmarkEnd w:id="37"/>
    <w:bookmarkEnd w:id="38"/>
    <w:bookmarkStart w:id="44" w:name="capitolo-7-la-lettura-osteopatica"/>
    <w:p>
      <w:pPr>
        <w:pStyle w:val="Heading2"/>
      </w:pPr>
      <w:r>
        <w:t xml:space="preserve">Capitolo 7 — La lettura osteopatica</w:t>
      </w:r>
    </w:p>
    <w:p>
      <w:pPr>
        <w:pStyle w:val="BlockText"/>
      </w:pPr>
      <w:r>
        <w:rPr>
          <w:b/>
          <w:bCs/>
        </w:rPr>
        <w:t xml:space="preserve">In una riga:</w:t>
      </w:r>
      <w:r>
        <w:t xml:space="preserve"> </w:t>
      </w:r>
      <w:r>
        <w:t xml:space="preserve">dei cinque modelli due comandano — il Neurologico regge il meccanismo, il Comportamentale la soglia — uno regge le uniche leve manuali, e due servono soprattutto a decidere cosa non è tuo.</w:t>
      </w:r>
    </w:p>
    <w:bookmarkStart w:id="39" w:name="neurologico"/>
    <w:p>
      <w:pPr>
        <w:pStyle w:val="Heading3"/>
      </w:pPr>
      <w:r>
        <w:t xml:space="preserve">Neurologico</w:t>
      </w:r>
    </w:p>
    <w:p>
      <w:pPr>
        <w:pStyle w:val="FirstParagraph"/>
      </w:pPr>
      <w:r>
        <w:rPr>
          <w:b/>
          <w:bCs/>
        </w:rPr>
        <w:t xml:space="preserve">Cosa governa qui.</w:t>
      </w:r>
      <w:r>
        <w:t xml:space="preserve"> </w:t>
      </w:r>
      <w:r>
        <w:t xml:space="preserve">Quattro cose. La sequenza del microrisveglio che genera l’episodio. La soglia alla quale quella sequenza arriva ai masticatori. La convergenza trigemino-cervicale che spiega la diffusione del dolore. E gli ingressi che quella soglia la abbassano: acido esofageo, alcol, tabacco, caffeina, farmaci. Questi ultimi sono</w:t>
      </w:r>
      <w:r>
        <w:t xml:space="preserve"> </w:t>
      </w:r>
      <w:r>
        <w:rPr>
          <w:b/>
          <w:bCs/>
        </w:rPr>
        <w:t xml:space="preserve">modificatori esogeni del modello</w:t>
      </w:r>
      <w:r>
        <w:t xml:space="preserve">, non un modello a parte, e nessuno di loro si lavora con le mani: si valutano, si nominano, si rinviano.</w:t>
      </w:r>
    </w:p>
    <w:p>
      <w:pPr>
        <w:pStyle w:val="BodyText"/>
      </w:pPr>
      <w:r>
        <w:rPr>
          <w:b/>
          <w:bCs/>
        </w:rPr>
        <w:t xml:space="preserve">Gli attori.</w:t>
      </w:r>
      <w:r>
        <w:t xml:space="preserve"> </w:t>
      </w:r>
      <w:r>
        <w:t xml:space="preserve">Sistema autonomico, nucleo trigemino-cervicale, afferenze esofagee, sopraioidei ed elevatori.</w:t>
      </w:r>
    </w:p>
    <w:p>
      <w:pPr>
        <w:pStyle w:val="BodyText"/>
      </w:pPr>
      <w:r>
        <w:rPr>
          <w:b/>
          <w:bCs/>
        </w:rPr>
        <w:t xml:space="preserve">I segnali che ti dicono che pesa in questo paziente.</w:t>
      </w:r>
      <w:r>
        <w:t xml:space="preserve"> </w:t>
      </w:r>
      <w:r>
        <w:t xml:space="preserve">Sono quelli dei meccanismi 1, 3 e 5 di «Cosa si rompe»: carico, sonno non ristoratore, dolore diffuso come blocco unico, sintomi digestivi, farmaco nuovo.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w:t>
      </w:r>
      <w:r>
        <w:t xml:space="preserve"> </w:t>
      </w:r>
      <w:r>
        <w:rPr>
          <w:b/>
          <w:bCs/>
        </w:rPr>
        <w:t xml:space="preserve">meccanismo generatore</w:t>
      </w:r>
      <w:r>
        <w:t xml:space="preserve">: la sequenza autonomico-corticale-motoria è registrata in laboratorio del sonno (Huynh, 2006 — PMID 16911037). PROBABILE</w:t>
      </w:r>
      <w:r>
        <w:t xml:space="preserve"> </w:t>
      </w:r>
      <w:r>
        <w:rPr>
          <w:i/>
          <w:iCs/>
        </w:rPr>
        <w:t xml:space="preserve">(razionale forte, prove parziali)</w:t>
      </w:r>
      <w:r>
        <w:t xml:space="preserve"> </w:t>
      </w:r>
      <w:r>
        <w:t xml:space="preserve">per i modificatori esogeni (Bertazzo-Silveira, 2016 — PMID 27522154).</w:t>
      </w:r>
      <w:r>
        <w:t xml:space="preserve"> </w:t>
      </w:r>
      <w:r>
        <w:rPr>
          <w:b/>
          <w:bCs/>
        </w:rPr>
        <w:t xml:space="preserve">L’etichetta vale sul meccanismo, non sulla leva: che una mano modifichi quella sequenza non è mai stato misurato.</w:t>
      </w:r>
    </w:p>
    <w:bookmarkEnd w:id="39"/>
    <w:bookmarkStart w:id="40"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La frequenza del serramento da sveglio. La soglia a cui il carico masticatorio diventa dolore riferito. L’aderenza a quello che il paziente fa da solo. E l’effetto del contesto in cui il trattamento avviene.</w:t>
      </w:r>
    </w:p>
    <w:p>
      <w:pPr>
        <w:pStyle w:val="BodyText"/>
      </w:pPr>
      <w:r>
        <w:rPr>
          <w:b/>
          <w:bCs/>
        </w:rPr>
        <w:t xml:space="preserve">Gli attori.</w:t>
      </w:r>
      <w:r>
        <w:t xml:space="preserve"> </w:t>
      </w:r>
      <w:r>
        <w:t xml:space="preserve">Attenzione al corpo, ansia e umore, credenze sul digrignamento, qualità del contatto e relazione terapeutica.</w:t>
      </w:r>
    </w:p>
    <w:p>
      <w:pPr>
        <w:pStyle w:val="BodyText"/>
      </w:pPr>
      <w:r>
        <w:rPr>
          <w:b/>
          <w:bCs/>
        </w:rPr>
        <w:t xml:space="preserve">I segnali che ti dicono che pesa in questo paziente.</w:t>
      </w:r>
      <w:r>
        <w:t xml:space="preserve"> </w:t>
      </w:r>
      <w:r>
        <w:t xml:space="preserve">Quelli dei sottotipi «Serramento diurno» e «Con dolore sproporzionato e diffuso». Più due che stanno solo qui: riferisce ansia o umore basso, e i sintomi cambiano in vacanza.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come</w:t>
      </w:r>
      <w:r>
        <w:t xml:space="preserve"> </w:t>
      </w:r>
      <w:r>
        <w:rPr>
          <w:b/>
          <w:bCs/>
        </w:rPr>
        <w:t xml:space="preserve">associazione</w:t>
      </w:r>
      <w:r>
        <w:t xml:space="preserve"> </w:t>
      </w:r>
      <w:r>
        <w:t xml:space="preserve">— la frequenza dei comportamenti da sveglio cambia fra gruppi di punteggio d’ansia e d’umore, ma la fonte è una sola indagine trasversale su studenti sani (Saracutu,</w:t>
      </w:r>
      <w:r>
        <w:t xml:space="preserve"> </w:t>
      </w:r>
      <w:r>
        <w:rPr>
          <w:i/>
          <w:iCs/>
        </w:rPr>
        <w:t xml:space="preserve">Cranio</w:t>
      </w:r>
      <w:r>
        <w:t xml:space="preserve"> </w:t>
      </w:r>
      <w:r>
        <w:t xml:space="preserve">2025 — PMID 38850025). PROBABILE anche come</w:t>
      </w:r>
      <w:r>
        <w:t xml:space="preserve"> </w:t>
      </w:r>
      <w:r>
        <w:rPr>
          <w:b/>
          <w:bCs/>
        </w:rPr>
        <w:t xml:space="preserve">leva</w:t>
      </w:r>
      <w:r>
        <w:t xml:space="preserve">: nove studi e 165 partecipanti con benefici suggeriti e non quantificati (Graham, 2026 — PMID 41735990), più uno studio randomizzato in cui informazione e autogestione hanno superato il bite consegnato senza spiegazioni sul dolore muscolare spontaneo (Michelotti, 2012 — PMID 22207667).</w:t>
      </w:r>
    </w:p>
    <w:bookmarkEnd w:id="40"/>
    <w:bookmarkStart w:id="41" w:name="biomeccanico-strutturale"/>
    <w:p>
      <w:pPr>
        <w:pStyle w:val="Heading3"/>
      </w:pPr>
      <w:r>
        <w:t xml:space="preserve">Biomeccanico-Strutturale</w:t>
      </w:r>
    </w:p>
    <w:p>
      <w:pPr>
        <w:pStyle w:val="FirstParagraph"/>
      </w:pPr>
      <w:r>
        <w:rPr>
          <w:b/>
          <w:bCs/>
        </w:rPr>
        <w:t xml:space="preserve">Cosa governa qui.</w:t>
      </w:r>
      <w:r>
        <w:t xml:space="preserve"> </w:t>
      </w:r>
      <w:r>
        <w:t xml:space="preserve">Escursione mandibolare, meccanica dell’articolazione e del disco, tolleranza dei masticatori al carico, disponibilità del collo a partecipare all’apertura.</w:t>
      </w:r>
    </w:p>
    <w:p>
      <w:pPr>
        <w:pStyle w:val="BodyText"/>
      </w:pPr>
      <w:r>
        <w:rPr>
          <w:b/>
          <w:bCs/>
        </w:rPr>
        <w:t xml:space="preserve">Gli attori.</w:t>
      </w:r>
      <w:r>
        <w:t xml:space="preserve"> </w:t>
      </w:r>
      <w:r>
        <w:t xml:space="preserve">Massetere, temporale, pterigoideo laterale, articolazione temporo-mandibolare e disco, rachide cervicale alto.</w:t>
      </w:r>
    </w:p>
    <w:p>
      <w:pPr>
        <w:pStyle w:val="BodyText"/>
      </w:pPr>
      <w:r>
        <w:rPr>
          <w:b/>
          <w:bCs/>
        </w:rPr>
        <w:t xml:space="preserve">I segnali che ti dicono che pesa in questo paziente.</w:t>
      </w:r>
      <w:r>
        <w:t xml:space="preserve"> </w:t>
      </w:r>
      <w:r>
        <w:t xml:space="preserve">Quelli dei meccanismi 2 e 3 di «Cosa si rompe», più il rumore articolare costante del sottotipo con evento articolare. Sui pazienti veri disabilità cervicale e mandibolare vanno insieme, e l’escursione cervicale è ridotta (Cuenca-Martínez, 2020 — PMID 32872670).</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contro trattamento finto la terapia manuale sul rachide cervicale alto abbassa il dolore e aumenta l’apertura, con intervalli di confidenza che sfiorano lo zero, beneficio dichiarato limitato dagli autori, e</w:t>
      </w:r>
      <w:r>
        <w:t xml:space="preserve"> </w:t>
      </w:r>
      <w:r>
        <w:rPr>
          <w:b/>
          <w:bCs/>
        </w:rPr>
        <w:t xml:space="preserve">misurato su pazienti con disturbo temporo-mandibolare, non con bruxismo</w:t>
      </w:r>
      <w:r>
        <w:t xml:space="preserve"> </w:t>
      </w:r>
      <w:r>
        <w:t xml:space="preserve">(Lam, 2023 — PMID 36968167; i numeri stanno in «Cosa dice la scienza»). Sul bruxismo come tale, la revisione dedicata trova quindici studi in decenni quasi tutti ad alto rischio di errore sistematico. E riporta, con quel rischio dichiarato, effetti positivi della terapia manuale associata al bite o al kinesiotaping su dolore orofacciale, qualità del sonno, trigger point e disabilità mandibolare (de Oliveira Souza, 2026 — PMID 42497348). È l’unico appoggio specifico di condizione che questo modello possiede.</w:t>
      </w:r>
    </w:p>
    <w:bookmarkEnd w:id="41"/>
    <w:bookmarkStart w:id="42" w:name="metabolico-energetico"/>
    <w:p>
      <w:pPr>
        <w:pStyle w:val="Heading3"/>
      </w:pPr>
      <w:r>
        <w:t xml:space="preserve">Metabolico-Energetico</w:t>
      </w:r>
    </w:p>
    <w:p>
      <w:pPr>
        <w:pStyle w:val="FirstParagraph"/>
      </w:pPr>
      <w:r>
        <w:rPr>
          <w:b/>
          <w:bCs/>
        </w:rPr>
        <w:t xml:space="preserve">Cosa governa qui.</w:t>
      </w:r>
      <w:r>
        <w:t xml:space="preserve"> </w:t>
      </w:r>
      <w:r>
        <w:t xml:space="preserve">Il recupero. Cioè il carico isometrico ripetuto</w:t>
      </w:r>
      <w:r>
        <w:t xml:space="preserve"> </w:t>
      </w:r>
      <w:r>
        <w:rPr>
          <w:b/>
          <w:bCs/>
        </w:rPr>
        <w:t xml:space="preserve">senza recupero</w:t>
      </w:r>
      <w:r>
        <w:t xml:space="preserve"> </w:t>
      </w:r>
      <w:r>
        <w:t xml:space="preserve">del secondo meccanismo, la quantità e la qualità del sonno, e il carico della vita, che precede di giorni i peggioramenti. È lo scoperto sul conto: ogni notte se ne aggiunge un po’, e in mezzo non entra niente.</w:t>
      </w:r>
    </w:p>
    <w:p>
      <w:pPr>
        <w:pStyle w:val="BodyText"/>
      </w:pPr>
      <w:r>
        <w:rPr>
          <w:b/>
          <w:bCs/>
        </w:rPr>
        <w:t xml:space="preserve">Gli attori.</w:t>
      </w:r>
      <w:r>
        <w:t xml:space="preserve"> </w:t>
      </w:r>
      <w:r>
        <w:t xml:space="preserve">Il muscolo come tessuto che si affatica e si ripara, e il sonno come finestra in cui quella riparazione avviene.</w:t>
      </w:r>
    </w:p>
    <w:p>
      <w:pPr>
        <w:pStyle w:val="BodyText"/>
      </w:pPr>
      <w:r>
        <w:rPr>
          <w:b/>
          <w:bCs/>
        </w:rPr>
        <w:t xml:space="preserve">I segnali che ti dicono che pesa in questo paziente.</w:t>
      </w:r>
      <w:r>
        <w:t xml:space="preserve"> </w:t>
      </w:r>
      <w:r>
        <w:t xml:space="preserve">Sonno breve o frammentato da mesi. Nessuna giornata senza carico. Il sintomo che non recupera fra un episodio e l’altro, invece di peggiorare in acuto.</w:t>
      </w:r>
    </w:p>
    <w:p>
      <w:pPr>
        <w:pStyle w:val="BodyText"/>
      </w:pPr>
      <w:r>
        <w:rPr>
          <w:b/>
          <w:bCs/>
        </w:rPr>
        <w:t xml:space="preserve">Il sonno non è fisiologia generale non misurata: è misurato, e in due modi diversi.</w:t>
      </w:r>
    </w:p>
    <w:p>
      <w:pPr>
        <w:pStyle w:val="BodyText"/>
      </w:pPr>
      <w:r>
        <w:t xml:space="preserve">Primo, un sonno frammentato abbassa la soglia del dolore. Nella sintesi di 31 studi sperimentali l’evidenza è da molto limitata a moderata che la frammentazione aumenti sensibilizzazione periferica e centrale (dimensione dell’effetto 0,42-0,79). Ed è il paradigma della frammentazione, non quello della privazione totale, a somigliare alla notte di questo paziente (Chang,</w:t>
      </w:r>
      <w:r>
        <w:t xml:space="preserve"> </w:t>
      </w:r>
      <w:r>
        <w:rPr>
          <w:i/>
          <w:iCs/>
        </w:rPr>
        <w:t xml:space="preserve">Sleep Med Rev</w:t>
      </w:r>
      <w:r>
        <w:t xml:space="preserve"> </w:t>
      </w:r>
      <w:r>
        <w:t xml:space="preserve">2022 — PMID 36334461).</w:t>
      </w:r>
      <w:r>
        <w:t xml:space="preserve"> </w:t>
      </w:r>
      <w:r>
        <w:rPr>
          <w:b/>
          <w:bCs/>
        </w:rPr>
        <w:t xml:space="preserve">Misurato con privazione sperimentale su volontari sani in laboratorio, non su bruxisti, e mai dopo un trattamento: dice che quel piano conta, non che le nostre mani lo raggiungano.</w:t>
      </w:r>
    </w:p>
    <w:p>
      <w:pPr>
        <w:pStyle w:val="BodyText"/>
      </w:pPr>
      <w:r>
        <w:t xml:space="preserve">Secondo, il sonno</w:t>
      </w:r>
      <w:r>
        <w:t xml:space="preserve"> </w:t>
      </w:r>
      <w:r>
        <w:rPr>
          <w:b/>
          <w:bCs/>
        </w:rPr>
        <w:t xml:space="preserve">precede</w:t>
      </w:r>
      <w:r>
        <w:t xml:space="preserve"> </w:t>
      </w:r>
      <w:r>
        <w:t xml:space="preserve">il dolore invece di accompagnarlo. In una coorte prospettica di 2.453 persone la qualità soggettiva del sonno peggiora progressivamente, ma solo in chi svilupperà poi un disturbo temporo-mandibolare doloroso. Il rischio è maggiore in chi peggiora durante il follow-up (rapporto di rischio aggiustato 1,73; IC 95% 1,29-2,32), e resta tale indipendentemente da sonno al basale, stress psicologico, consapevolezza somatica e comorbilità (Sanders,</w:t>
      </w:r>
      <w:r>
        <w:t xml:space="preserve"> </w:t>
      </w:r>
      <w:r>
        <w:rPr>
          <w:i/>
          <w:iCs/>
        </w:rPr>
        <w:t xml:space="preserve">J Pain</w:t>
      </w:r>
      <w:r>
        <w:t xml:space="preserve"> </w:t>
      </w:r>
      <w:r>
        <w:t xml:space="preserve">2016 — PMID 26902644).</w:t>
      </w:r>
      <w:r>
        <w:t xml:space="preserve"> </w:t>
      </w:r>
      <w:r>
        <w:rPr>
          <w:b/>
          <w:bCs/>
        </w:rPr>
        <w:t xml:space="preserve">Misurato su una coorte di persone che hanno sviluppato dolore temporo-mandibolare, non su bruxisti, e con la qualità del sonno riferita e non registrata: dice che il piano del sonno viene prima, non che tu lo sposti.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il</w:t>
      </w:r>
      <w:r>
        <w:t xml:space="preserve"> </w:t>
      </w:r>
      <w:r>
        <w:rPr>
          <w:b/>
          <w:bCs/>
        </w:rPr>
        <w:t xml:space="preserve">meccanismo</w:t>
      </w:r>
      <w:r>
        <w:t xml:space="preserve">: il piano del sonno pesa sul dolore, ed è stato misurato sull’uomo con un disegno sperimentale (Chang, 2022 — PMID 36334461) e con una coorte prospettica sulla popolazione vicina (Sanders, 2016 — PMID 26902644).</w:t>
      </w:r>
      <w:r>
        <w:t xml:space="preserve"> </w:t>
      </w:r>
      <w:r>
        <w:rPr>
          <w:b/>
          <w:bCs/>
        </w:rPr>
        <w:t xml:space="preserve">L’etichetta vale sul meccanismo e non sulla leva:</w:t>
      </w:r>
      <w:r>
        <w:t xml:space="preserve"> </w:t>
      </w:r>
      <w:r>
        <w:t xml:space="preserve">che il recupero misurato sposti il quadro del bruxista nessuno l’ha verificato.</w:t>
      </w:r>
    </w:p>
    <w:bookmarkEnd w:id="42"/>
    <w:bookmarkStart w:id="43" w:name="respiratorio-circolatorio"/>
    <w:p>
      <w:pPr>
        <w:pStyle w:val="Heading3"/>
      </w:pPr>
      <w:r>
        <w:t xml:space="preserve">Respiratorio-Circolatorio</w:t>
      </w:r>
    </w:p>
    <w:p>
      <w:pPr>
        <w:pStyle w:val="FirstParagraph"/>
      </w:pPr>
      <w:r>
        <w:rPr>
          <w:b/>
          <w:bCs/>
        </w:rPr>
        <w:t xml:space="preserve">Cosa governa qui.</w:t>
      </w:r>
      <w:r>
        <w:t xml:space="preserve"> </w:t>
      </w:r>
      <w:r>
        <w:t xml:space="preserve">Due cose sole, e la seconda è la più importante. La prima è il</w:t>
      </w:r>
      <w:r>
        <w:t xml:space="preserve"> </w:t>
      </w:r>
      <w:r>
        <w:rPr>
          <w:b/>
          <w:bCs/>
        </w:rPr>
        <w:t xml:space="preserve">ritmo respiratorio</w:t>
      </w:r>
      <w:r>
        <w:t xml:space="preserve"> </w:t>
      </w:r>
      <w:r>
        <w:t xml:space="preserve">come leva sul tono autonomico. La seconda è lo</w:t>
      </w:r>
      <w:r>
        <w:t xml:space="preserve"> </w:t>
      </w:r>
      <w:r>
        <w:rPr>
          <w:b/>
          <w:bCs/>
        </w:rPr>
        <w:t xml:space="preserve">screening del disturbo respiratorio nel sonno</w:t>
      </w:r>
      <w:r>
        <w:t xml:space="preserve">: russamento forte, pause riferite dal partner, sonnolenza diurna. Qui questo modello esiste soprattutto per farti fare una domanda e un invio.</w:t>
      </w:r>
    </w:p>
    <w:p>
      <w:pPr>
        <w:pStyle w:val="BodyText"/>
      </w:pPr>
      <w:r>
        <w:rPr>
          <w:b/>
          <w:bCs/>
        </w:rPr>
        <w:t xml:space="preserve">Restrizione di campo, dichiarata.</w:t>
      </w:r>
      <w:r>
        <w:t xml:space="preserve"> </w:t>
      </w:r>
      <w:r>
        <w:t xml:space="preserve">La metà circolatoria non si invoca — ritorno venoso, drenaggio, gradienti pressori cranici: nessuno ha misurato quelle variabili prima e dopo un trattamento manuale su questo distretto. E la metà posturale non entra: gli angoli misurati non si muovono e la postura del capo non separa i malati dai sani. I numeri stanno in «Cosa si rompe», meccanismo 3, e in «Cosa può fare il paziente da solo» (Karabicak, 2025 — PMID 40369740; Cuenca-Martínez, 2020 — PMID 32872670).</w:t>
      </w:r>
    </w:p>
    <w:p>
      <w:pPr>
        <w:pStyle w:val="BodyText"/>
      </w:pPr>
      <w:r>
        <w:rPr>
          <w:b/>
          <w:bCs/>
        </w:rPr>
        <w:t xml:space="preserve">Gli attori.</w:t>
      </w:r>
      <w:r>
        <w:t xml:space="preserve"> </w:t>
      </w:r>
      <w:r>
        <w:t xml:space="preserve">Diaframma, gabbia toracica, via aerea superiore.</w:t>
      </w:r>
    </w:p>
    <w:p>
      <w:pPr>
        <w:pStyle w:val="BodyText"/>
      </w:pPr>
      <w:r>
        <w:rPr>
          <w:b/>
          <w:bCs/>
        </w:rPr>
        <w:t xml:space="preserve">I segnali che ti dicono che pesa in questo paziente.</w:t>
      </w:r>
      <w:r>
        <w:t xml:space="preserve"> </w:t>
      </w:r>
      <w:r>
        <w:t xml:space="preserve">Respiro alto e corto durante il colloquio. Il respiro che si ferma mentre racconta. Frequenza respiratoria che sale rispetto alla sua base quando si parla del sintomo.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il</w:t>
      </w:r>
      <w:r>
        <w:t xml:space="preserve"> </w:t>
      </w:r>
      <w:r>
        <w:rPr>
          <w:b/>
          <w:bCs/>
        </w:rPr>
        <w:t xml:space="preserve">razionale</w:t>
      </w:r>
      <w:r>
        <w:t xml:space="preserve">: il respiro è dentro la sequenza generatrice di questa condizione, misurato in polisonnografia (Khoury,</w:t>
      </w:r>
      <w:r>
        <w:t xml:space="preserve"> </w:t>
      </w:r>
      <w:r>
        <w:rPr>
          <w:i/>
          <w:iCs/>
        </w:rPr>
        <w:t xml:space="preserve">Sleep</w:t>
      </w:r>
      <w:r>
        <w:t xml:space="preserve"> </w:t>
      </w:r>
      <w:r>
        <w:t xml:space="preserve">2008 — PMID 18490400). IPOTESI</w:t>
      </w:r>
      <w:r>
        <w:t xml:space="preserve"> </w:t>
      </w:r>
      <w:r>
        <w:rPr>
          <w:i/>
          <w:iCs/>
        </w:rPr>
        <w:t xml:space="preserve">(meccanismo coerente, nessuno studio)</w:t>
      </w:r>
      <w:r>
        <w:t xml:space="preserve"> </w:t>
      </w:r>
      <w:r>
        <w:t xml:space="preserve">per la</w:t>
      </w:r>
      <w:r>
        <w:t xml:space="preserve"> </w:t>
      </w:r>
      <w:r>
        <w:rPr>
          <w:b/>
          <w:bCs/>
        </w:rPr>
        <w:t xml:space="preserve">leva</w:t>
      </w:r>
      <w:r>
        <w:t xml:space="preserve">: il respiro lento aumenta gli indici di attività vagale, ma su soggetti sani (Laborde, 2022 — PMID 35623448), e un pacchetto di igiene del sonno e rilassamento provato sul bruxismo con polisonnografia non ha cambiato nessuna misura (Valiente López, 2015 — PMID 25413839).</w:t>
      </w:r>
    </w:p>
    <w:p>
      <w:pPr>
        <w:pStyle w:val="FirstParagraph"/>
      </w:pPr>
      <w:r>
        <w:rPr>
          <w:b/>
          <w:bCs/>
        </w:rPr>
        <w:t xml:space="preserve">Le tre cose da ricordare, più una</w:t>
      </w:r>
    </w:p>
    <w:p>
      <w:pPr>
        <w:pStyle w:val="Compact"/>
        <w:numPr>
          <w:ilvl w:val="0"/>
          <w:numId w:val="1018"/>
        </w:numPr>
      </w:pPr>
      <w:r>
        <w:t xml:space="preserve">Il Neurologico regge il meccanismo e il Comportamentale la soglia; il Biomeccanico regge le uniche leve manuali con un confronto pulito. Non invertire i ruoli.</w:t>
      </w:r>
    </w:p>
    <w:p>
      <w:pPr>
        <w:pStyle w:val="Compact"/>
        <w:numPr>
          <w:ilvl w:val="0"/>
          <w:numId w:val="1018"/>
        </w:numPr>
      </w:pPr>
      <w:r>
        <w:t xml:space="preserve">Sostanze e farmaci non sono materia metabolica: sono modificatori esogeni del generatore neurologico, e nessuno è nelle tue mani.</w:t>
      </w:r>
    </w:p>
    <w:p>
      <w:pPr>
        <w:pStyle w:val="Compact"/>
        <w:numPr>
          <w:ilvl w:val="0"/>
          <w:numId w:val="1018"/>
        </w:numPr>
      </w:pPr>
      <w:r>
        <w:t xml:space="preserve">Il Respiratorio, qui, ha un solo dovere clinico vero: farti chiedere del sonno e mandare a valutare chi ha pause.</w:t>
      </w:r>
    </w:p>
    <w:p>
      <w:pPr>
        <w:pStyle w:val="Compact"/>
        <w:numPr>
          <w:ilvl w:val="0"/>
          <w:numId w:val="1018"/>
        </w:numPr>
      </w:pPr>
      <w:r>
        <w:rPr>
          <w:b/>
          <w:bCs/>
        </w:rPr>
        <w:t xml:space="preserve">Perché ci sei tu.</w:t>
      </w:r>
      <w:r>
        <w:t xml:space="preserve"> </w:t>
      </w:r>
      <w:r>
        <w:t xml:space="preserve">Su una parte di questo campo non ci sei, e va dichiarato: nessuno ha misurato ritorno venoso o drenaggio linfatico cranico prima e dopo un trattamento manuale, e la componente posturale è stata misurata e non si è mossa. Questo ti autorizza a usare la sola meccanica ventilatoria e il ritmo del respiro, con la loro etichetta reale. Non ti autorizza a spiegare al paziente il sintomo con il drenaggio, né a vendergli una correzione posturale.</w:t>
      </w:r>
    </w:p>
    <w:bookmarkEnd w:id="43"/>
    <w:bookmarkEnd w:id="44"/>
    <w:bookmarkStart w:id="51"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decidere su quale modello agire per primo in questo paziente, prima di toccarlo — e darsi il modo di scoprire di essersi sbagliati.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tutto questo capitolo, senza eccezioni.</w:t>
      </w:r>
    </w:p>
    <w:bookmarkStart w:id="45" w:name="la-punta-e-il-sommerso"/>
    <w:p>
      <w:pPr>
        <w:pStyle w:val="Heading3"/>
      </w:pPr>
      <w:r>
        <w:t xml:space="preserve">La punta e il sommerso</w:t>
      </w:r>
    </w:p>
    <w:p>
      <w:pPr>
        <w:pStyle w:val="FirstParagraph"/>
      </w:pPr>
      <w:r>
        <w:t xml:space="preserve">Il paziente porta la punta: la mandibola che duole al risveglio. Il sommerso cambia da persona a persona, e decide cosa fai per primo.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 Se rimisuri anche il piano che hai trattato, quella misura ti dice se la mano ha funzionato, non se l’ipotesi era giusta.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Paziente A — sommerso articolare.</w:t>
      </w:r>
      <w:r>
        <w:t xml:space="preserve"> </w:t>
      </w:r>
      <w:r>
        <w:t xml:space="preserve">Quarantadue anni, dolore mattutino, click riproducibile, apertura a 34 millimetri con deviazione, sonno buono. Comanda il</w:t>
      </w:r>
      <w:r>
        <w:t xml:space="preserve"> </w:t>
      </w:r>
      <w:r>
        <w:rPr>
          <w:b/>
          <w:bCs/>
        </w:rPr>
        <w:t xml:space="preserve">Biomeccanico</w:t>
      </w:r>
      <w:r>
        <w:t xml:space="preserve">.</w:t>
      </w:r>
      <w:r>
        <w:t xml:space="preserve"> </w:t>
      </w:r>
      <w:r>
        <w:rPr>
          <w:i/>
          <w:iCs/>
        </w:rPr>
        <w:t xml:space="preserve">Cosa fai:</w:t>
      </w:r>
      <w:r>
        <w:t xml:space="preserve"> </w:t>
      </w:r>
      <w:r>
        <w:t xml:space="preserve">lavori su escursione, tolleranza dei masticatori e disponibilità cervicale.</w:t>
      </w:r>
      <w:r>
        <w:t xml:space="preserve"> </w:t>
      </w:r>
      <w:r>
        <w:rPr>
          <w:i/>
          <w:iCs/>
        </w:rPr>
        <w:t xml:space="preserve">Come verifichi:</w:t>
      </w:r>
      <w:r>
        <w:t xml:space="preserve"> </w:t>
      </w:r>
      <w:r>
        <w:t xml:space="preserve">il marker che decide non è l’apertura, che appartiene al piano appena trattato, ma il</w:t>
      </w:r>
      <w:r>
        <w:t xml:space="preserve"> </w:t>
      </w:r>
      <w:r>
        <w:rPr>
          <w:b/>
          <w:bCs/>
        </w:rPr>
        <w:t xml:space="preserve">conteggio dei muscoli mandibolari rilassati</w:t>
      </w:r>
      <w:r>
        <w:t xml:space="preserve">. L’apertura la misuri lo stesso: ti dice se la mano ha funzionato, non se l’ipotesi era giusta.</w:t>
      </w:r>
      <w:r>
        <w:t xml:space="preserve"> </w:t>
      </w:r>
      <w:r>
        <w:rPr>
          <w:i/>
          <w:iCs/>
        </w:rPr>
        <w:t xml:space="preserve">Entro quando:</w:t>
      </w:r>
      <w:r>
        <w:t xml:space="preserve"> </w:t>
      </w:r>
      <w:r>
        <w:t xml:space="preserve">entro le sedute previste dalla Procedura, o l’ipotesi non era giusta e si rientra nella Road Map al passo successivo.</w:t>
      </w:r>
    </w:p>
    <w:p>
      <w:pPr>
        <w:pStyle w:val="BodyText"/>
      </w:pPr>
      <w:r>
        <w:rPr>
          <w:b/>
          <w:bCs/>
        </w:rPr>
        <w:t xml:space="preserve">Il sosia di A.</w:t>
      </w:r>
      <w:r>
        <w:t xml:space="preserve"> </w:t>
      </w:r>
      <w:r>
        <w:t xml:space="preserve">Stesso dolore al risveglio, stessa apertura ridotta, stesso click. Ma il dolore sta anche a nuca e spalle e altrove da anni, il sonno è frammentato, e i percorsi già falliti sono più di uno. Non è il Paziente A, e il lavoro locale su di lui rende poco. A separarli è una misura sola, presa al basale su due punti: la soglia dolorosa sul massetere e su un punto fuori dalla faccia. Bassa</w:t>
      </w:r>
      <w:r>
        <w:t xml:space="preserve"> </w:t>
      </w:r>
      <w:r>
        <w:rPr>
          <w:b/>
          <w:bCs/>
        </w:rPr>
        <w:t xml:space="preserve">anche</w:t>
      </w:r>
      <w:r>
        <w:t xml:space="preserve"> </w:t>
      </w:r>
      <w:r>
        <w:t xml:space="preserve">fuori → comanda il Comportamentale, il bersaglio è la soglia e non il carico, e la prognosi si dichiara diversa prima di cominciare. Bassa</w:t>
      </w:r>
      <w:r>
        <w:t xml:space="preserve"> </w:t>
      </w:r>
      <w:r>
        <w:rPr>
          <w:b/>
          <w:bCs/>
        </w:rPr>
        <w:t xml:space="preserve">solo</w:t>
      </w:r>
      <w:r>
        <w:t xml:space="preserve"> </w:t>
      </w:r>
      <w:r>
        <w:t xml:space="preserve">sul massetere → il carico locale è il bersaglio giusto, ed è davvero il Paziente A.</w:t>
      </w:r>
    </w:p>
    <w:p>
      <w:pPr>
        <w:pStyle w:val="BodyText"/>
      </w:pPr>
      <w:r>
        <w:rPr>
          <w:b/>
          <w:bCs/>
        </w:rPr>
        <w:t xml:space="preserve">Paziente B — sommerso comportamentale.</w:t>
      </w:r>
      <w:r>
        <w:t xml:space="preserve"> </w:t>
      </w:r>
      <w:r>
        <w:t xml:space="preserve">Trentaquattro anni, si accorge di stringere alla scrivania decine di volte al giorno, dolore peggiore nel pomeriggio, nessun rumore notturno riferito. Comanda il</w:t>
      </w:r>
      <w:r>
        <w:t xml:space="preserve"> </w:t>
      </w:r>
      <w:r>
        <w:rPr>
          <w:b/>
          <w:bCs/>
        </w:rPr>
        <w:t xml:space="preserve">Comportamentale</w:t>
      </w:r>
      <w:r>
        <w:t xml:space="preserve">.</w:t>
      </w:r>
      <w:r>
        <w:t xml:space="preserve"> </w:t>
      </w:r>
      <w:r>
        <w:rPr>
          <w:i/>
          <w:iCs/>
        </w:rPr>
        <w:t xml:space="preserve">Cosa fai:</w:t>
      </w:r>
      <w:r>
        <w:t xml:space="preserve"> </w:t>
      </w:r>
      <w:r>
        <w:t xml:space="preserve">metti al centro l’autosservazione del serramento diurno, mentre il lavoro manuale accompagna il muscolo dolente.</w:t>
      </w:r>
      <w:r>
        <w:t xml:space="preserve"> </w:t>
      </w:r>
      <w:r>
        <w:rPr>
          <w:i/>
          <w:iCs/>
        </w:rPr>
        <w:t xml:space="preserve">Come verifichi:</w:t>
      </w:r>
      <w:r>
        <w:t xml:space="preserve"> </w:t>
      </w:r>
      <w:r>
        <w:t xml:space="preserve">qui il conteggio è il piano trattato, quindi il marker fuori piano è l’</w:t>
      </w:r>
      <w:r>
        <w:rPr>
          <w:b/>
          <w:bCs/>
        </w:rPr>
        <w:t xml:space="preserve">apertura attiva senza dolore</w:t>
      </w:r>
      <w:r>
        <w:t xml:space="preserve"> </w:t>
      </w:r>
      <w:r>
        <w:t xml:space="preserve">o la</w:t>
      </w:r>
      <w:r>
        <w:t xml:space="preserve"> </w:t>
      </w:r>
      <w:r>
        <w:rPr>
          <w:b/>
          <w:bCs/>
        </w:rPr>
        <w:t xml:space="preserve">rotazione cervicale in flessione</w:t>
      </w:r>
      <w:r>
        <w:t xml:space="preserve">.</w:t>
      </w:r>
      <w:r>
        <w:t xml:space="preserve"> </w:t>
      </w:r>
      <w:r>
        <w:rPr>
          <w:i/>
          <w:iCs/>
        </w:rPr>
        <w:t xml:space="preserve">Entro quando:</w:t>
      </w:r>
      <w:r>
        <w:t xml:space="preserve"> </w:t>
      </w:r>
      <w:r>
        <w:t xml:space="preserve">entro le sedute previste dalla Procedura, o l’ipotesi non era giusta e si rientra nella Road Map al passo successivo.</w:t>
      </w:r>
    </w:p>
    <w:p>
      <w:pPr>
        <w:pStyle w:val="BodyText"/>
      </w:pPr>
      <w:r>
        <w:rPr>
          <w:b/>
          <w:bCs/>
        </w:rPr>
        <w:t xml:space="preserve">Paziente C — stessa punta, sommerso nel livello di attivazione.</w:t>
      </w:r>
      <w:r>
        <w:t xml:space="preserve"> </w:t>
      </w:r>
      <w:r>
        <w:t xml:space="preserve">Quarantasette anni, quadro comparso o peggiorato in un periodo identificabile della vita, sonno non ristoratore, respiro alto durante il colloquio.</w:t>
      </w:r>
    </w:p>
    <w:p>
      <w:pPr>
        <w:pStyle w:val="BodyText"/>
      </w:pPr>
      <w:r>
        <w:t xml:space="preserve">Comanda il</w:t>
      </w:r>
      <w:r>
        <w:t xml:space="preserve"> </w:t>
      </w:r>
      <w:r>
        <w:rPr>
          <w:b/>
          <w:bCs/>
        </w:rPr>
        <w:t xml:space="preserve">Neurologico</w:t>
      </w:r>
      <w:r>
        <w:t xml:space="preserve">, e qui sta l’errore che questa Bibbia esiste per impedire.</w:t>
      </w:r>
      <w:r>
        <w:t xml:space="preserve"> </w:t>
      </w:r>
      <w:r>
        <w:rPr>
          <w:b/>
          <w:bCs/>
        </w:rPr>
        <w:t xml:space="preserve">Un sintomo legato allo stato di attivazione non è un capolinea: è l’indicazione più chiara che esista per la leva che agisce sull’attivazione.</w:t>
      </w:r>
      <w:r>
        <w:t xml:space="preserve"> </w:t>
      </w:r>
      <w:r>
        <w:rPr>
          <w:i/>
          <w:iCs/>
        </w:rPr>
        <w:t xml:space="preserve">Cosa fai:</w:t>
      </w:r>
      <w:r>
        <w:t xml:space="preserve"> </w:t>
      </w:r>
      <w:r>
        <w:t xml:space="preserve">lavori sulla dimensione affettiva del sintomo e sull’attenzione che porta alla mandibola — contatto lento, ritmo del respiro condotto, tempo dedicato. È lavoro manuale a tutti gli effetti, mirato altrove. Il tono autonomico non è il bersaglio: nessuno l’ha misurato dopo una mano. Nel capitolo delle leve quel lavoro porta l’etichetta IPOTESI, e resta IPOTESI.</w:t>
      </w:r>
      <w:r>
        <w:t xml:space="preserve"> </w:t>
      </w:r>
      <w:r>
        <w:rPr>
          <w:i/>
          <w:iCs/>
        </w:rPr>
        <w:t xml:space="preserve">Come verifichi:</w:t>
      </w:r>
      <w:r>
        <w:t xml:space="preserve"> </w:t>
      </w:r>
      <w:r>
        <w:t xml:space="preserve">il marker fuori piano è l’</w:t>
      </w:r>
      <w:r>
        <w:rPr>
          <w:b/>
          <w:bCs/>
        </w:rPr>
        <w:t xml:space="preserve">apertura</w:t>
      </w:r>
      <w:r>
        <w:t xml:space="preserve"> </w:t>
      </w:r>
      <w:r>
        <w:t xml:space="preserve">o la</w:t>
      </w:r>
      <w:r>
        <w:t xml:space="preserve"> </w:t>
      </w:r>
      <w:r>
        <w:rPr>
          <w:b/>
          <w:bCs/>
        </w:rPr>
        <w:t xml:space="preserve">rotazione cervicale</w:t>
      </w:r>
      <w:r>
        <w:t xml:space="preserve">; il marker del piano stesso è la</w:t>
      </w:r>
      <w:r>
        <w:t xml:space="preserve"> </w:t>
      </w:r>
      <w:r>
        <w:rPr>
          <w:b/>
          <w:bCs/>
        </w:rPr>
        <w:t xml:space="preserve">frequenza respiratoria a riposo</w:t>
      </w:r>
      <w:r>
        <w:t xml:space="preserve">.</w:t>
      </w:r>
      <w:r>
        <w:t xml:space="preserve"> </w:t>
      </w:r>
      <w:r>
        <w:rPr>
          <w:i/>
          <w:iCs/>
        </w:rPr>
        <w:t xml:space="preserve">Entro quando:</w:t>
      </w:r>
      <w:r>
        <w:t xml:space="preserve"> </w:t>
      </w:r>
      <w:r>
        <w:t xml:space="preserve">entro le sedute previste dalla Procedura, o l’ipotesi non era giusta e si rientra nella Road Map al passo successivo. È il paziente in cui hai più da fare — e anche quello in cui devi poterti accorgere di non stare facendo niente.</w:t>
      </w:r>
    </w:p>
    <w:bookmarkEnd w:id="45"/>
    <w:bookmarkStart w:id="46" w:name="perché-si-indaga-da-monte"/>
    <w:p>
      <w:pPr>
        <w:pStyle w:val="Heading3"/>
      </w:pPr>
      <w:r>
        <w:t xml:space="preserve">Perché si indaga da monte</w:t>
      </w:r>
    </w:p>
    <w:p>
      <w:pPr>
        <w:pStyle w:val="FirstParagraph"/>
      </w:pPr>
      <w:r>
        <w:t xml:space="preserve">Il corpo sacrifica il comfort — muscoli e articolazioni — per proteggere le funzioni vitali. Ne segue che il piano dominante è, di norma,</w:t>
      </w:r>
      <w:r>
        <w:t xml:space="preserve"> </w:t>
      </w:r>
      <w:r>
        <w:rPr>
          <w:b/>
          <w:bCs/>
        </w:rPr>
        <w:t xml:space="preserve">il più a monte sul piano funzionale</w:t>
      </w:r>
      <w:r>
        <w:t xml:space="preserve"> </w:t>
      </w:r>
      <w:r>
        <w:t xml:space="preserve">fra quelli disfunzionali. Su questa condizione l’argomento non è teorico, è cronometrato: lo spostamento simpatico comincia otto minuti prima dell’episodio, i microrisvegli quattro, i masseteri entrano per ultimi.</w:t>
      </w:r>
    </w:p>
    <w:p>
      <w:pPr>
        <w:pStyle w:val="BodyText"/>
      </w:pPr>
      <w:r>
        <w:rPr>
          <w:b/>
          <w:bCs/>
        </w:rPr>
        <w:t xml:space="preserve">«A monte» non è una coordinata anatomica: non vuol dire più vicino alla testa.</w:t>
      </w:r>
      <w:r>
        <w:t xml:space="preserve"> </w:t>
      </w:r>
      <w:r>
        <w:t xml:space="preserve">Qui la regolazione autonomica sta a monte del massetere, anche se il massetere è anatomicamente più in alto.</w:t>
      </w:r>
    </w:p>
    <w:bookmarkEnd w:id="46"/>
    <w:bookmarkStart w:id="47" w:name="la-prova-della-chiave-di-volta"/>
    <w:p>
      <w:pPr>
        <w:pStyle w:val="Heading3"/>
      </w:pPr>
      <w:r>
        <w:t xml:space="preserve">La prova della chiave di volta</w:t>
      </w:r>
    </w:p>
    <w:p>
      <w:pPr>
        <w:pStyle w:val="FirstParagraph"/>
      </w:pPr>
      <w:r>
        <w:t xml:space="preserve">Tratti in prova il piano che sospetti dominante, poi rimisuri. Se cede anche qualcosa che non hai toccato, hai trovato la chiave — ed è quella che nel metodo chiamiamo lesione primaria.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Il</w:t>
      </w:r>
      <w:r>
        <w:t xml:space="preserve"> </w:t>
      </w:r>
      <w:r>
        <w:rPr>
          <w:b/>
          <w:bCs/>
        </w:rPr>
        <w:t xml:space="preserve">marker della prova</w:t>
      </w:r>
      <w:r>
        <w:t xml:space="preserve"> </w:t>
      </w:r>
      <w:r>
        <w:t xml:space="preserve">funziona a quattro condizioni. Si misura in stanza in meno di un minuto, con lo stesso metodo prima e dopo. Si sceglie prima di trattare e non si cambia.</w:t>
      </w:r>
      <w:r>
        <w:t xml:space="preserve"> </w:t>
      </w:r>
      <w:r>
        <w:rPr>
          <w:b/>
          <w:bCs/>
        </w:rPr>
        <w:t xml:space="preserve">Appartiene a un piano che non hai trattato.</w:t>
      </w:r>
      <w:r>
        <w:t xml:space="preserve"> </w:t>
      </w:r>
      <w:r>
        <w:t xml:space="preserve">Ha una soglia dichiarata.</w:t>
      </w:r>
    </w:p>
    <w:p>
      <w:pPr>
        <w:pStyle w:val="BodyText"/>
      </w:pPr>
      <w:r>
        <w:rPr>
          <w:b/>
          <w:bCs/>
        </w:rPr>
        <w:t xml:space="preserve">Il metodo distingue due punti, e vanno nominati.</w:t>
      </w:r>
      <w:r>
        <w:t xml:space="preserve"> </w:t>
      </w:r>
      <w:r>
        <w:t xml:space="preserve">Il</w:t>
      </w:r>
      <w:r>
        <w:t xml:space="preserve"> </w:t>
      </w:r>
      <w:r>
        <w:rPr>
          <w:b/>
          <w:bCs/>
        </w:rPr>
        <w:t xml:space="preserve">Centro di Coordinazione</w:t>
      </w:r>
      <w:r>
        <w:t xml:space="preserve"> </w:t>
      </w:r>
      <w:r>
        <w:t xml:space="preserve">è il punto in cui la funzione si organizza: la causa, nella ricostruzione clinica. Il</w:t>
      </w:r>
      <w:r>
        <w:t xml:space="preserve"> </w:t>
      </w:r>
      <w:r>
        <w:rPr>
          <w:b/>
          <w:bCs/>
        </w:rPr>
        <w:t xml:space="preserve">Centro di Percezione</w:t>
      </w:r>
      <w:r>
        <w:t xml:space="preserve"> </w:t>
      </w:r>
      <w:r>
        <w:t xml:space="preserve">è il punto in cui il paziente sente il sintomo. La regola classica dice di cercare il primo e di non trattare il secondo.</w:t>
      </w:r>
    </w:p>
    <w:p>
      <w:pPr>
        <w:pStyle w:val="BodyText"/>
      </w:pPr>
      <w:r>
        <w:rPr>
          <w:b/>
          <w:bCs/>
        </w:rPr>
        <w:t xml:space="preserve">Su questa condizione la seconda metà di quella regola non si attenua: si toglie.</w:t>
      </w:r>
      <w:r>
        <w:t xml:space="preserve"> </w:t>
      </w:r>
      <w:r>
        <w:t xml:space="preserve">Gli interventi con le prove migliori si applicano proprio sul muscolo che fa male e sul collo che duole. Vietare di trattare dove il paziente sente escluderebbe qui l’unico intervento con studi controllati alle spalle.</w:t>
      </w:r>
    </w:p>
    <w:p>
      <w:pPr>
        <w:pStyle w:val="BodyText"/>
      </w:pPr>
      <w:r>
        <w:rPr>
          <w:b/>
          <w:bCs/>
        </w:rPr>
        <w:t xml:space="preserve">Resta intatta la regola di verifica: il marker della prova appartiene a un piano che non hai trattato.</w:t>
      </w:r>
      <w:r>
        <w:t xml:space="preserve"> </w:t>
      </w:r>
      <w:r>
        <w:t xml:space="preserve">È quella che separa una verifica da un auto-inganno. Pesarsi sulla bilancia che hai tarato tu dà sempre il numero che volevi. E resta intatta la regola di indagine: cerca a monte prima di concludere che la causa stia dove fa male.</w:t>
      </w:r>
    </w:p>
    <w:bookmarkEnd w:id="47"/>
    <w:bookmarkStart w:id="48" w:name="i-marker-di-questa-condizione"/>
    <w:p>
      <w:pPr>
        <w:pStyle w:val="Heading3"/>
      </w:pPr>
      <w:r>
        <w:t xml:space="preserve">I marker di questa condizione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r>
      <w:tr>
        <w:tc>
          <w:tcPr/>
          <w:p>
            <w:pPr>
              <w:pStyle w:val="Compact"/>
            </w:pPr>
            <w:r>
              <w:t xml:space="preserve">Apertura attiva senza dolore</w:t>
            </w:r>
          </w:p>
        </w:tc>
        <w:tc>
          <w:tcPr/>
          <w:p>
            <w:pPr>
              <w:pStyle w:val="Compact"/>
            </w:pPr>
            <w:r>
              <w:t xml:space="preserve">Calibro fra bordi incisali, più overbite</w:t>
            </w:r>
          </w:p>
        </w:tc>
        <w:tc>
          <w:tcPr/>
          <w:p>
            <w:pPr>
              <w:pStyle w:val="Compact"/>
            </w:pPr>
            <w:r>
              <w:t xml:space="preserve">+6 mm dal basale</w:t>
            </w:r>
          </w:p>
        </w:tc>
      </w:tr>
      <w:tr>
        <w:tc>
          <w:tcPr/>
          <w:p>
            <w:pPr>
              <w:pStyle w:val="Compact"/>
            </w:pPr>
            <w:r>
              <w:t xml:space="preserve">Rotazione cervicale in flessione</w:t>
            </w:r>
          </w:p>
        </w:tc>
        <w:tc>
          <w:tcPr/>
          <w:p>
            <w:pPr>
              <w:pStyle w:val="Compact"/>
            </w:pPr>
            <w:r>
              <w:t xml:space="preserve">Test di flessione-rotazione, gradi</w:t>
            </w:r>
          </w:p>
        </w:tc>
        <w:tc>
          <w:tcPr/>
          <w:p>
            <w:pPr>
              <w:pStyle w:val="Compact"/>
            </w:pPr>
            <w:r>
              <w:t xml:space="preserve">+10° o oltre 32°</w:t>
            </w:r>
          </w:p>
        </w:tc>
      </w:tr>
      <w:tr>
        <w:tc>
          <w:tcPr/>
          <w:p>
            <w:pPr>
              <w:pStyle w:val="Compact"/>
            </w:pPr>
            <w:r>
              <w:t xml:space="preserve">Muscoli mandibolari rilassati</w:t>
            </w:r>
          </w:p>
        </w:tc>
        <w:tc>
          <w:tcPr/>
          <w:p>
            <w:pPr>
              <w:pStyle w:val="Compact"/>
            </w:pPr>
            <w:r>
              <w:t xml:space="preserve">Conteggio a orari casuali, una settimana</w:t>
            </w:r>
          </w:p>
        </w:tc>
        <w:tc>
          <w:tcPr/>
          <w:p>
            <w:pPr>
              <w:pStyle w:val="Compact"/>
            </w:pPr>
            <w:r>
              <w:t xml:space="preserve">+10 punti percentuali</w:t>
            </w:r>
          </w:p>
        </w:tc>
      </w:tr>
      <w:tr>
        <w:tc>
          <w:tcPr/>
          <w:p>
            <w:pPr>
              <w:pStyle w:val="Compact"/>
            </w:pPr>
            <w:r>
              <w:t xml:space="preserve">Frequenza respiratoria a riposo</w:t>
            </w:r>
          </w:p>
        </w:tc>
        <w:tc>
          <w:tcPr/>
          <w:p>
            <w:pPr>
              <w:pStyle w:val="Compact"/>
            </w:pPr>
            <w:r>
              <w:t xml:space="preserve">Sessanta secondi, a inizio seduta</w:t>
            </w:r>
          </w:p>
        </w:tc>
        <w:tc>
          <w:tcPr/>
          <w:p>
            <w:pPr>
              <w:pStyle w:val="Compact"/>
            </w:pPr>
            <w:r>
              <w:t xml:space="preserve">−2 atti al minuto dal basale</w:t>
            </w:r>
          </w:p>
        </w:tc>
      </w:tr>
      <w:tr>
        <w:tc>
          <w:tcPr/>
          <w:p>
            <w:pPr>
              <w:pStyle w:val="Compact"/>
            </w:pPr>
            <w:r>
              <w:t xml:space="preserve">Soglia dolorosa massetere</w:t>
            </w:r>
          </w:p>
        </w:tc>
        <w:tc>
          <w:tcPr/>
          <w:p>
            <w:pPr>
              <w:pStyle w:val="Compact"/>
            </w:pPr>
            <w:r>
              <w:t xml:space="preserve">Algometro, media di tre misure</w:t>
            </w:r>
          </w:p>
        </w:tc>
        <w:tc>
          <w:tcPr/>
          <w:p>
            <w:pPr>
              <w:pStyle w:val="Compact"/>
            </w:pPr>
            <w:r>
              <w:rPr>
                <w:b/>
                <w:bCs/>
              </w:rPr>
              <w:t xml:space="preserve">Non è un esito: vedi sotto</w:t>
            </w:r>
          </w:p>
        </w:tc>
      </w:tr>
    </w:tbl>
    <w:p>
      <w:pPr>
        <w:pStyle w:val="BodyText"/>
      </w:pPr>
      <w:r>
        <w:rPr>
          <w:b/>
          <w:bCs/>
        </w:rPr>
        <w:t xml:space="preserve">Quanto è un’apertura normale.</w:t>
      </w:r>
      <w:r>
        <w:t xml:space="preserve"> </w:t>
      </w:r>
      <w:r>
        <w:t xml:space="preserve">Nell’adulto l’apertura attiva massima — bordi incisali più overbite — sta intorno ai 45-50 millimetri, e si considera limitata sotto i 40. I 34 del Paziente A sono quindi ridotti.</w:t>
      </w:r>
    </w:p>
    <w:p>
      <w:pPr>
        <w:pStyle w:val="BodyText"/>
      </w:pPr>
      <w:r>
        <w:rPr>
          <w:b/>
          <w:bCs/>
        </w:rPr>
        <w:t xml:space="preserve">La soglia dell’apertura è ancorata al rumore della misura, non all’effetto atteso.</w:t>
      </w:r>
      <w:r>
        <w:t xml:space="preserve"> </w:t>
      </w:r>
      <w:r>
        <w:t xml:space="preserve">La differenza minima rilevabile dell’apertura senza dolore è di circa 6 millimetri (Young,</w:t>
      </w:r>
      <w:r>
        <w:t xml:space="preserve"> </w:t>
      </w:r>
      <w:r>
        <w:rPr>
          <w:i/>
          <w:iCs/>
        </w:rPr>
        <w:t xml:space="preserve">Cranio</w:t>
      </w:r>
      <w:r>
        <w:t xml:space="preserve"> </w:t>
      </w:r>
      <w:r>
        <w:t xml:space="preserve">2025 — PMID 39927871): sotto quel valore non distingui il tuo effetto dall’errore di misura. Ed è più dell’effetto medio registrato dalla meta-analisi contro trattamento finto. Proprio per questo la soglia del marker non può coincidere con quell’effetto.</w:t>
      </w:r>
    </w:p>
    <w:p>
      <w:pPr>
        <w:pStyle w:val="BodyText"/>
      </w:pPr>
      <w:r>
        <w:rPr>
          <w:b/>
          <w:bCs/>
        </w:rPr>
        <w:t xml:space="preserve">Il test di flessione-rotazione.</w:t>
      </w:r>
      <w:r>
        <w:t xml:space="preserve"> </w:t>
      </w:r>
      <w:r>
        <w:t xml:space="preserve">Paziente supino, collo in flessione completa per bloccare i segmenti sotto C2, rotazione del capo in gradi. Circa 44° per lato è l’atteso nell’adulto; sotto 32° si considera positivo per una restrizione di C1-C2. È il primo contatto previsto con il rachide cervicale alto: vale già qui il box</w:t>
      </w:r>
      <w:r>
        <w:t xml:space="preserve"> </w:t>
      </w:r>
      <w:r>
        <w:rPr>
          <w:rStyle w:val="VerbatimChar"/>
        </w:rPr>
        <w:t xml:space="preserve">Attenzione</w:t>
      </w:r>
      <w:r>
        <w:t xml:space="preserve"> </w:t>
      </w:r>
      <w:r>
        <w:t xml:space="preserve">di «Le strutture in gioco».</w:t>
      </w:r>
    </w:p>
    <w:p>
      <w:pPr>
        <w:pStyle w:val="BodyText"/>
      </w:pPr>
      <w:r>
        <w:rPr>
          <w:b/>
          <w:bCs/>
        </w:rPr>
        <w:t xml:space="preserve">I due numeri di questo marker non sono convenzioni.</w:t>
      </w:r>
      <w:r>
        <w:t xml:space="preserve"> </w:t>
      </w:r>
      <w:r>
        <w:t xml:space="preserve">Il taglio di 32° è il valore che l’unico studio di accuratezza pubblicato ha calcolato (31,5°, indice di Youden), con sensibilità 82,1% e specificità 63,2% sul lato più ristretto:</w:t>
      </w:r>
      <w:r>
        <w:t xml:space="preserve"> </w:t>
      </w:r>
      <w:r>
        <w:rPr>
          <w:b/>
          <w:bCs/>
        </w:rPr>
        <w:t xml:space="preserve">è un test che orienta, non che decide</w:t>
      </w:r>
      <w:r>
        <w:t xml:space="preserve"> </w:t>
      </w:r>
      <w:r>
        <w:t xml:space="preserve">(Anarte-Lazo,</w:t>
      </w:r>
      <w:r>
        <w:t xml:space="preserve"> </w:t>
      </w:r>
      <w:r>
        <w:rPr>
          <w:i/>
          <w:iCs/>
        </w:rPr>
        <w:t xml:space="preserve">Braz J Phys Ther</w:t>
      </w:r>
      <w:r>
        <w:t xml:space="preserve"> </w:t>
      </w:r>
      <w:r>
        <w:t xml:space="preserve">2024 — PMID 39504635). E la soglia di +10° sta sopra la minima variazione rilevabile del test, che è fra 6,78° e 7,9°. L’errore standard di misura è 2,44°-2,85°, e l’affidabilità intra-operatore è eccellente (Oliveira-Souza,</w:t>
      </w:r>
      <w:r>
        <w:t xml:space="preserve"> </w:t>
      </w:r>
      <w:r>
        <w:rPr>
          <w:i/>
          <w:iCs/>
        </w:rPr>
        <w:t xml:space="preserve">J Manipulative Physiol Ther</w:t>
      </w:r>
      <w:r>
        <w:t xml:space="preserve"> </w:t>
      </w:r>
      <w:r>
        <w:t xml:space="preserve">2020 — PMID 32861519):</w:t>
      </w:r>
      <w:r>
        <w:t xml:space="preserve"> </w:t>
      </w:r>
      <w:r>
        <w:rPr>
          <w:b/>
          <w:bCs/>
        </w:rPr>
        <w:t xml:space="preserve">sotto quel valore non distingueresti il tuo effetto dall’errore dello strumento.</w:t>
      </w:r>
      <w:r>
        <w:t xml:space="preserve"> </w:t>
      </w:r>
      <w:r>
        <w:rPr>
          <w:b/>
          <w:bCs/>
        </w:rPr>
        <w:t xml:space="preserve">Misurato su donne con emicrania e su pazienti con colpo di frusta, non su bruxisti: la metrologia del test si trasferisce, la sua utilità diagnostica su questa condizione no.</w:t>
      </w:r>
    </w:p>
    <w:p>
      <w:pPr>
        <w:pStyle w:val="BodyText"/>
      </w:pPr>
      <w:r>
        <w:rPr>
          <w:b/>
          <w:bCs/>
        </w:rPr>
        <w:t xml:space="preserve">La soglia del quarto marker è una decisione, non una misura.</w:t>
      </w:r>
      <w:r>
        <w:t xml:space="preserve"> </w:t>
      </w:r>
      <w:r>
        <w:t xml:space="preserve">Dieci punti percentuali non hanno un ancoraggio pubblicato, stanno sopra la variabilità riportata dagli studi, e dichiararlo è ciò che li rende usabili. Il conteggio si prende come negli studi: allarmi a orari casuali, e a ogni allarme il paziente registra se i muscoli erano rilassati, i denti a contatto, la mandibola irrigidita o serrata. In quarantasei studenti sani interrogati quindici volte al giorno per sette giorni</w:t>
      </w:r>
      <w:r>
        <w:t xml:space="preserve"> </w:t>
      </w:r>
      <w:r>
        <w:t xml:space="preserve">“rilassati”</w:t>
      </w:r>
      <w:r>
        <w:t xml:space="preserve"> </w:t>
      </w:r>
      <w:r>
        <w:t xml:space="preserve">compare nel 71,7% delle rilevazioni e il contatto dentale nel 14,5% (Bracci,</w:t>
      </w:r>
      <w:r>
        <w:t xml:space="preserve"> </w:t>
      </w:r>
      <w:r>
        <w:rPr>
          <w:i/>
          <w:iCs/>
        </w:rPr>
        <w:t xml:space="preserve">J Oral Rehabil</w:t>
      </w:r>
      <w:r>
        <w:t xml:space="preserve"> </w:t>
      </w:r>
      <w:r>
        <w:t xml:space="preserve">2018 — PMID 29574964). In coorti più ampie i valori scendono poco sopra il 50%, quindi il riferimento è il basale di</w:t>
      </w:r>
      <w:r>
        <w:t xml:space="preserve"> </w:t>
      </w:r>
      <w:r>
        <w:rPr>
          <w:b/>
          <w:bCs/>
        </w:rPr>
        <w:t xml:space="preserve">questo</w:t>
      </w:r>
      <w:r>
        <w:t xml:space="preserve"> </w:t>
      </w:r>
      <w:r>
        <w:t xml:space="preserve">paziente.</w:t>
      </w:r>
      <w:r>
        <w:t xml:space="preserve"> </w:t>
      </w:r>
      <w:r>
        <w:rPr>
          <w:b/>
          <w:bCs/>
        </w:rPr>
        <w:t xml:space="preserve">Il metodo del conteggio e i suoi valori di riferimento stanno per esteso qui; negli altri capitoli si richiamano per nome.</w:t>
      </w:r>
    </w:p>
    <w:p>
      <w:pPr>
        <w:pStyle w:val="BlockText"/>
      </w:pPr>
      <w:r>
        <w:rPr>
          <w:b/>
          <w:bCs/>
        </w:rPr>
        <w:t xml:space="preserve">Attenzione.</w:t>
      </w:r>
      <w:r>
        <w:t xml:space="preserve"> </w:t>
      </w:r>
      <w:r>
        <w:t xml:space="preserve">La soglia dolorosa del massetere non va usata come esito: contro trattamento finto quella misura</w:t>
      </w:r>
      <w:r>
        <w:t xml:space="preserve"> </w:t>
      </w:r>
      <w:r>
        <w:rPr>
          <w:b/>
          <w:bCs/>
        </w:rPr>
        <w:t xml:space="preserve">non si è mossa</w:t>
      </w:r>
      <w:r>
        <w:t xml:space="preserve">. Sceglierla come marker principale significa scegliere la misura che ha più probabilità di restare piatta anche quando il paziente migliora. Serve a un’altra cosa:</w:t>
      </w:r>
      <w:r>
        <w:t xml:space="preserve"> </w:t>
      </w:r>
      <w:r>
        <w:rPr>
          <w:b/>
          <w:bCs/>
        </w:rPr>
        <w:t xml:space="preserve">misurala una volta sola, al basale, su due punti</w:t>
      </w:r>
      <w:r>
        <w:t xml:space="preserve"> </w:t>
      </w:r>
      <w:r>
        <w:t xml:space="preserve">— il massetere e un punto fuori dalla faccia. Il punto fuori dalla faccia non è una precauzione: nella sintesi dei test dinamici l’alterazione compare sull’arto superiore e non nell’area mandibolare né in quella cervicale (Cayrol, 2022 — PMID 35342987) — misurato su mialgia temporo-mandibolare cronica, non su bruxisti. Se è bassa</w:t>
      </w:r>
      <w:r>
        <w:t xml:space="preserve"> </w:t>
      </w:r>
      <w:r>
        <w:rPr>
          <w:b/>
          <w:bCs/>
        </w:rPr>
        <w:t xml:space="preserve">anche</w:t>
      </w:r>
      <w:r>
        <w:t xml:space="preserve"> </w:t>
      </w:r>
      <w:r>
        <w:t xml:space="preserve">lontano dalla mandibola, il quadro pesa verso il dolore diffuso e amplificato: il lavoro locale renderà poco e comanda il piano comportamentale. Se è bassa solo sul massetere, il carico locale è il bersaglio giusto.</w:t>
      </w:r>
    </w:p>
    <w:bookmarkEnd w:id="48"/>
    <w:bookmarkStart w:id="49" w:name="la-road-map"/>
    <w:p>
      <w:pPr>
        <w:pStyle w:val="Heading3"/>
      </w:pPr>
      <w:r>
        <w:t xml:space="preserve">La Road Map</w:t>
      </w:r>
    </w:p>
    <w:p>
      <w:pPr>
        <w:pStyle w:val="FirstParagraph"/>
      </w:pPr>
      <w:r>
        <w:t xml:space="preserve">Un solo criterio d’ordine:</w:t>
      </w:r>
      <w:r>
        <w:t xml:space="preserve"> </w:t>
      </w:r>
      <w:r>
        <w:rPr>
          <w:b/>
          <w:bCs/>
        </w:rPr>
        <w:t xml:space="preserve">dal regolatore all’esecutore.</w:t>
      </w:r>
      <w:r>
        <w:t xml:space="preserve"> </w:t>
      </w:r>
      <w:r>
        <w:t xml:space="preserve">Questa è la sequenza con cui</w:t>
      </w:r>
      <w:r>
        <w:t xml:space="preserve"> </w:t>
      </w:r>
      <w:r>
        <w:rPr>
          <w:b/>
          <w:bCs/>
        </w:rPr>
        <w:t xml:space="preserve">indaghi</w:t>
      </w:r>
      <w:r>
        <w:t xml:space="preserve">, non quella con cui tocchi. Il triage di sicurezza non è il primo passo di questa lista: sta in «Dove finisce il nostro campo» e viene prima di tutto.</w:t>
      </w:r>
    </w:p>
    <w:p>
      <w:pPr>
        <w:pStyle w:val="Compact"/>
        <w:numPr>
          <w:ilvl w:val="0"/>
          <w:numId w:val="1019"/>
        </w:numPr>
      </w:pPr>
      <w:r>
        <w:rPr>
          <w:b/>
          <w:bCs/>
        </w:rPr>
        <w:t xml:space="preserve">C’è un ingresso esterno che accende il motore?</w:t>
      </w:r>
      <w:r>
        <w:t xml:space="preserve"> </w:t>
      </w:r>
      <w:r>
        <w:t xml:space="preserve">Farmaco recente, alcol, tabacco, caffè, reflusso, lavoro odontoiatrico o ortodontico recente; e come respira dal naso.</w:t>
      </w:r>
      <w:r>
        <w:t xml:space="preserve"> </w:t>
      </w:r>
      <w:r>
        <w:rPr>
          <w:i/>
          <w:iCs/>
        </w:rPr>
        <w:t xml:space="preserve">Se pesa:</w:t>
      </w:r>
      <w:r>
        <w:t xml:space="preserve"> </w:t>
      </w:r>
      <w:r>
        <w:t xml:space="preserve">la leva è del prescrittore, dell’odontoiatra o dell’abitudine, e va nominata per iscritto.</w:t>
      </w:r>
    </w:p>
    <w:p>
      <w:pPr>
        <w:pStyle w:val="Compact"/>
        <w:numPr>
          <w:ilvl w:val="0"/>
          <w:numId w:val="1019"/>
        </w:numPr>
      </w:pPr>
      <w:r>
        <w:rPr>
          <w:b/>
          <w:bCs/>
        </w:rPr>
        <w:t xml:space="preserve">È cominciato dopo un evento meccanico?</w:t>
      </w:r>
      <w:r>
        <w:t xml:space="preserve"> </w:t>
      </w:r>
      <w:r>
        <w:t xml:space="preserve">Colpo di frusta, caduta, intervento con la bocca aperta a lungo.</w:t>
      </w:r>
      <w:r>
        <w:t xml:space="preserve"> </w:t>
      </w:r>
      <w:r>
        <w:rPr>
          <w:i/>
          <w:iCs/>
        </w:rPr>
        <w:t xml:space="preserve">Se pesa:</w:t>
      </w:r>
      <w:r>
        <w:t xml:space="preserve"> </w:t>
      </w:r>
      <w:r>
        <w:t xml:space="preserve">un esordio netto con un tessuto che non si modifica dice che il piano che comanda è un’interferenza e non un regolatore, e va cercata anche lontano dalla mandibola. Sul collo è il terzo meccanismo che comanda, cioè l’unità mandibola-collo. La leva è quella del rachide cervicale alto, e prima di toccarlo vale il box</w:t>
      </w:r>
      <w:r>
        <w:t xml:space="preserve"> </w:t>
      </w:r>
      <w:r>
        <w:rPr>
          <w:rStyle w:val="VerbatimChar"/>
        </w:rPr>
        <w:t xml:space="preserve">Attenzione</w:t>
      </w:r>
      <w:r>
        <w:t xml:space="preserve"> </w:t>
      </w:r>
      <w:r>
        <w:t xml:space="preserve">di «Le strutture in gioco».</w:t>
      </w:r>
    </w:p>
    <w:p>
      <w:pPr>
        <w:pStyle w:val="Compact"/>
        <w:numPr>
          <w:ilvl w:val="0"/>
          <w:numId w:val="1019"/>
        </w:numPr>
      </w:pPr>
      <w:r>
        <w:rPr>
          <w:b/>
          <w:bCs/>
        </w:rPr>
        <w:t xml:space="preserve">Qual è il livello di attivazione?</w:t>
      </w:r>
      <w:r>
        <w:t xml:space="preserve"> </w:t>
      </w:r>
      <w:r>
        <w:rPr>
          <w:i/>
          <w:iCs/>
        </w:rPr>
        <w:t xml:space="preserve">Se pesa:</w:t>
      </w:r>
      <w:r>
        <w:t xml:space="preserve"> </w:t>
      </w:r>
      <w:r>
        <w:t xml:space="preserve">parti da lì, e verifica con apertura o rotazione cervicale.</w:t>
      </w:r>
    </w:p>
    <w:p>
      <w:pPr>
        <w:pStyle w:val="Compact"/>
        <w:numPr>
          <w:ilvl w:val="0"/>
          <w:numId w:val="1019"/>
        </w:numPr>
      </w:pPr>
      <w:r>
        <w:rPr>
          <w:b/>
          <w:bCs/>
        </w:rPr>
        <w:t xml:space="preserve">Quanto pesa il piano comportamentale da sveglio?</w:t>
      </w:r>
      <w:r>
        <w:t xml:space="preserve"> </w:t>
      </w:r>
      <w:r>
        <w:rPr>
          <w:i/>
          <w:iCs/>
        </w:rPr>
        <w:t xml:space="preserve">Se pesa:</w:t>
      </w:r>
      <w:r>
        <w:t xml:space="preserve"> </w:t>
      </w:r>
      <w:r>
        <w:t xml:space="preserve">parti dal conteggio, e verifica con l’apertura.</w:t>
      </w:r>
    </w:p>
    <w:p>
      <w:pPr>
        <w:pStyle w:val="Compact"/>
        <w:numPr>
          <w:ilvl w:val="0"/>
          <w:numId w:val="1019"/>
        </w:numPr>
      </w:pPr>
      <w:r>
        <w:rPr>
          <w:b/>
          <w:bCs/>
        </w:rPr>
        <w:t xml:space="preserve">Il collo concede il movimento che l’apertura richiede?</w:t>
      </w:r>
      <w:r>
        <w:t xml:space="preserve"> </w:t>
      </w:r>
      <w:r>
        <w:rPr>
          <w:i/>
          <w:iCs/>
        </w:rPr>
        <w:t xml:space="preserve">Se pesa:</w:t>
      </w:r>
      <w:r>
        <w:t xml:space="preserve"> </w:t>
      </w:r>
      <w:r>
        <w:t xml:space="preserve">parti dal collo alto, e verifica con il conteggio diurno.</w:t>
      </w:r>
    </w:p>
    <w:p>
      <w:pPr>
        <w:pStyle w:val="Compact"/>
        <w:numPr>
          <w:ilvl w:val="0"/>
          <w:numId w:val="1019"/>
        </w:numPr>
      </w:pPr>
      <w:r>
        <w:rPr>
          <w:b/>
          <w:bCs/>
        </w:rPr>
        <w:t xml:space="preserve">Cosa fa l’articolazione, e quanto è tollerante il muscolo?</w:t>
      </w:r>
      <w:r>
        <w:t xml:space="preserve"> </w:t>
      </w:r>
      <w:r>
        <w:rPr>
          <w:i/>
          <w:iCs/>
        </w:rPr>
        <w:t xml:space="preserve">Se pesa:</w:t>
      </w:r>
      <w:r>
        <w:t xml:space="preserve"> </w:t>
      </w:r>
      <w:r>
        <w:t xml:space="preserve">parti dal distretto locale, e verifica con il conteggio diurno.</w:t>
      </w:r>
    </w:p>
    <w:p>
      <w:pPr>
        <w:pStyle w:val="FirstParagraph"/>
      </w:pPr>
      <w:r>
        <w:rPr>
          <w:b/>
          <w:bCs/>
        </w:rPr>
        <w:t xml:space="preserve">E quando il marker non si muove.</w:t>
      </w:r>
      <w:r>
        <w:t xml:space="preserve"> </w:t>
      </w:r>
      <w:r>
        <w:t xml:space="preserve">Non è una rinuncia: l’ipotesi era sbagliata, e si</w:t>
      </w:r>
      <w:r>
        <w:t xml:space="preserve"> </w:t>
      </w:r>
      <w:r>
        <w:rPr>
          <w:b/>
          <w:bCs/>
        </w:rPr>
        <w:t xml:space="preserve">rientra al passo successivo</w:t>
      </w:r>
      <w:r>
        <w:t xml:space="preserve"> </w:t>
      </w:r>
      <w:r>
        <w:t xml:space="preserve">con un nuovo bersaglio e un nuovo marker. Il canale medico si attiva se anche la seconda ipotesi non muove nulla, o subito se il quadro cambia carattere.</w:t>
      </w:r>
    </w:p>
    <w:bookmarkEnd w:id="49"/>
    <w:bookmarkStart w:id="50" w:name="i-tre-stati-del-paziente"/>
    <w:p>
      <w:pPr>
        <w:pStyle w:val="Heading3"/>
      </w:pPr>
      <w:r>
        <w:t xml:space="preserve">I tre stati del paziente</w:t>
      </w:r>
    </w:p>
    <w:p>
      <w:pPr>
        <w:pStyle w:val="FirstParagraph"/>
      </w:pPr>
      <w:r>
        <w:rPr>
          <w:b/>
          <w:bCs/>
        </w:rPr>
        <w:t xml:space="preserve">In difesa.</w:t>
      </w:r>
      <w:r>
        <w:t xml:space="preserve"> </w:t>
      </w:r>
      <w:r>
        <w:t xml:space="preserve">Teso, monosillabico, diffidente perché ha già speso soldi. Parla al bisogno di</w:t>
      </w:r>
      <w:r>
        <w:t xml:space="preserve"> </w:t>
      </w:r>
      <w:r>
        <w:rPr>
          <w:b/>
          <w:bCs/>
        </w:rPr>
        <w:t xml:space="preserve">sicurezza</w:t>
      </w:r>
      <w:r>
        <w:t xml:space="preserve">: tocco lento, ritmo calmo, nessuna promessa.</w:t>
      </w:r>
    </w:p>
    <w:p>
      <w:pPr>
        <w:pStyle w:val="BodyText"/>
      </w:pPr>
      <w:r>
        <w:rPr>
          <w:b/>
          <w:bCs/>
        </w:rPr>
        <w:t xml:space="preserve">Emotivo.</w:t>
      </w:r>
      <w:r>
        <w:t xml:space="preserve"> </w:t>
      </w:r>
      <w:r>
        <w:t xml:space="preserve">Racconta, collega il quadro a un periodo della vita, cerca ascolto. Parla al bisogno di</w:t>
      </w:r>
      <w:r>
        <w:t xml:space="preserve"> </w:t>
      </w:r>
      <w:r>
        <w:rPr>
          <w:b/>
          <w:bCs/>
        </w:rPr>
        <w:t xml:space="preserve">essere capito</w:t>
      </w:r>
      <w:r>
        <w:t xml:space="preserve">. E cambia una cosa concreta:</w:t>
      </w:r>
      <w:r>
        <w:t xml:space="preserve"> </w:t>
      </w:r>
      <w:r>
        <w:rPr>
          <w:b/>
          <w:bCs/>
        </w:rPr>
        <w:t xml:space="preserve">prendi il marker prima di lasciarlo raccontare</w:t>
      </w:r>
      <w:r>
        <w:t xml:space="preserve">, perché il racconto sposta lo stato, e lo stato sposta la misura.</w:t>
      </w:r>
    </w:p>
    <w:p>
      <w:pPr>
        <w:pStyle w:val="BodyText"/>
      </w:pPr>
      <w:r>
        <w:rPr>
          <w:b/>
          <w:bCs/>
        </w:rPr>
        <w:t xml:space="preserve">Razionale.</w:t>
      </w:r>
      <w:r>
        <w:t xml:space="preserve"> </w:t>
      </w:r>
      <w:r>
        <w:t xml:space="preserve">Chiede il perché, ha letto, vuole numeri. Parla al bisogno di</w:t>
      </w:r>
      <w:r>
        <w:t xml:space="preserve"> </w:t>
      </w:r>
      <w:r>
        <w:rPr>
          <w:b/>
          <w:bCs/>
        </w:rPr>
        <w:t xml:space="preserve">logica</w:t>
      </w:r>
      <w:r>
        <w:t xml:space="preserve">: mostragli le misure prima e dopo e digli quale etichetta hai davanti. Si fida di più quando dichiari un limite.</w:t>
      </w:r>
    </w:p>
    <w:p>
      <w:pPr>
        <w:pStyle w:val="BlockText"/>
      </w:pPr>
      <w:r>
        <w:rPr>
          <w:b/>
          <w:bCs/>
        </w:rPr>
        <w:t xml:space="preserve">Attenzione.</w:t>
      </w:r>
      <w:r>
        <w:t xml:space="preserve"> </w:t>
      </w:r>
      <w:r>
        <w:t xml:space="preserve">Espressioni come</w:t>
      </w:r>
      <w:r>
        <w:t xml:space="preserve"> </w:t>
      </w:r>
      <w:r>
        <w:t xml:space="preserve">“i tessuti che rimbalzano”</w:t>
      </w:r>
      <w:r>
        <w:t xml:space="preserve"> </w:t>
      </w:r>
      <w:r>
        <w:t xml:space="preserve">descrivono un’</w:t>
      </w:r>
      <w:r>
        <w:rPr>
          <w:b/>
          <w:bCs/>
        </w:rPr>
        <w:t xml:space="preserve">impressione clinica</w:t>
      </w:r>
      <w:r>
        <w:t xml:space="preserve">, non un segno. Non hanno misura, non hanno fonte, e non soddisfano nessuno dei quattro requisiti che questo capitolo impone ai marker. Orientano l’attenzione; non decidono quale modello comanda. Quella decisione la prendono i segnali osservabili e le misure.</w:t>
      </w:r>
    </w:p>
    <w:p>
      <w:pPr>
        <w:pStyle w:val="FirstParagraph"/>
      </w:pPr>
      <w:r>
        <w:rPr>
          <w:b/>
          <w:bCs/>
        </w:rPr>
        <w:t xml:space="preserve">Le tre cose da ricordare, più una</w:t>
      </w:r>
    </w:p>
    <w:p>
      <w:pPr>
        <w:pStyle w:val="Compact"/>
        <w:numPr>
          <w:ilvl w:val="0"/>
          <w:numId w:val="1020"/>
        </w:numPr>
      </w:pPr>
      <w:r>
        <w:t xml:space="preserve">Scegli il marker prima di toccare, su un piano che non tratterai, e non cambiarlo dopo. È l’unica cosa che separa una verifica da un auto-inganno.</w:t>
      </w:r>
    </w:p>
    <w:p>
      <w:pPr>
        <w:pStyle w:val="Compact"/>
        <w:numPr>
          <w:ilvl w:val="0"/>
          <w:numId w:val="1020"/>
        </w:numPr>
      </w:pPr>
      <w:r>
        <w:t xml:space="preserve">Il paziente il cui quadro dipende dal livello di attivazione è quello in cui hai più da fare, non meno — e adesso ha anche un marker e una scadenza.</w:t>
      </w:r>
    </w:p>
    <w:p>
      <w:pPr>
        <w:pStyle w:val="Compact"/>
        <w:numPr>
          <w:ilvl w:val="0"/>
          <w:numId w:val="1020"/>
        </w:numPr>
      </w:pPr>
      <w:r>
        <w:t xml:space="preserve">Quando il marker non si muove non esci dal ragionamento: rientri nella Road Map al passo successivo.</w:t>
      </w:r>
    </w:p>
    <w:p>
      <w:pPr>
        <w:pStyle w:val="Compact"/>
        <w:numPr>
          <w:ilvl w:val="0"/>
          <w:numId w:val="1020"/>
        </w:numPr>
      </w:pPr>
      <w:r>
        <w:rPr>
          <w:b/>
          <w:bCs/>
        </w:rPr>
        <w:t xml:space="preserve">Perché ci sei tu.</w:t>
      </w:r>
      <w:r>
        <w:t xml:space="preserve"> </w:t>
      </w:r>
      <w:r>
        <w:t xml:space="preserve">L’unica misura di questa condizione che regge come marker fuori piano è la frequenza dei comportamenti mandibolari da sveglio, e la ragione è metrologica: si conta con allarmi a orari casuali, e la sua variabilità da un giorno all’altro è bassa. Questo ti autorizza a usarla come marker fuori piano e come bersaglio. Non ti autorizza a leggerla come una misura del bruxismo del sonno: sono due binari diversi. (Bracci,</w:t>
      </w:r>
      <w:r>
        <w:t xml:space="preserve"> </w:t>
      </w:r>
      <w:r>
        <w:rPr>
          <w:i/>
          <w:iCs/>
        </w:rPr>
        <w:t xml:space="preserve">J Oral Rehabil</w:t>
      </w:r>
      <w:r>
        <w:t xml:space="preserve"> </w:t>
      </w:r>
      <w:r>
        <w:t xml:space="preserve">2018 — PMID 29574964)</w:t>
      </w:r>
    </w:p>
    <w:bookmarkEnd w:id="50"/>
    <w:bookmarkEnd w:id="51"/>
    <w:bookmarkStart w:id="57"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passa da quattro cose — un’arteria da escludere, un osso da non toccare, una mandibola bloccata, un farmaco che non commenti — più una che riguarda le tue mani e non il paziente.</w:t>
      </w:r>
    </w:p>
    <w:bookmarkStart w:id="52" w:name="le-bandiere-rosse"/>
    <w:p>
      <w:pPr>
        <w:pStyle w:val="Heading3"/>
      </w:pPr>
      <w:r>
        <w:t xml:space="preserve">Le bandiere rosse</w:t>
      </w:r>
    </w:p>
    <w:p>
      <w:pPr>
        <w:pStyle w:val="FirstParagraph"/>
      </w:pPr>
      <w:r>
        <w:t xml:space="preserve">Sono quelle che la letteratura di riferimento sul dolore orofacciale indica come motivo di accertamento specialistico (Moore,</w:t>
      </w:r>
      <w:r>
        <w:t xml:space="preserve"> </w:t>
      </w:r>
      <w:r>
        <w:rPr>
          <w:i/>
          <w:iCs/>
        </w:rPr>
        <w:t xml:space="preserve">Br Dent J</w:t>
      </w:r>
      <w:r>
        <w:t xml:space="preserve"> </w:t>
      </w:r>
      <w:r>
        <w:t xml:space="preserve">2021 — PMID 33712778).</w:t>
      </w:r>
    </w:p>
    <w:p>
      <w:pPr>
        <w:pStyle w:val="BodyText"/>
      </w:pPr>
      <w:r>
        <w:rPr>
          <w:b/>
          <w:bCs/>
        </w:rPr>
        <w:t xml:space="preserve">Blocco A —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temporale nuovo dopo i 50 anni</w:t>
            </w:r>
          </w:p>
        </w:tc>
        <w:tc>
          <w:tcPr/>
          <w:p>
            <w:pPr>
              <w:pStyle w:val="Compact"/>
            </w:pPr>
            <w:r>
              <w:t xml:space="preserve">Pronto soccorso</w:t>
            </w:r>
          </w:p>
        </w:tc>
        <w:tc>
          <w:tcPr/>
          <w:p>
            <w:pPr>
              <w:pStyle w:val="Compact"/>
            </w:pPr>
            <w:r>
              <w:t xml:space="preserve">Urgente</w:t>
            </w:r>
          </w:p>
        </w:tc>
      </w:tr>
      <w:tr>
        <w:tc>
          <w:tcPr/>
          <w:p>
            <w:pPr>
              <w:pStyle w:val="Compact"/>
            </w:pPr>
            <w:r>
              <w:t xml:space="preserve">Affaticamento masticando che obbliga a fermarsi</w:t>
            </w:r>
          </w:p>
        </w:tc>
        <w:tc>
          <w:tcPr/>
          <w:p>
            <w:pPr>
              <w:pStyle w:val="Compact"/>
            </w:pPr>
            <w:r>
              <w:t xml:space="preserve">Pronto soccorso, o curante per VES e PCR</w:t>
            </w:r>
          </w:p>
        </w:tc>
        <w:tc>
          <w:tcPr/>
          <w:p>
            <w:pPr>
              <w:pStyle w:val="Compact"/>
            </w:pPr>
            <w:r>
              <w:t xml:space="preserve">Urgente — oltre i 50 anni</w:t>
            </w:r>
          </w:p>
        </w:tc>
      </w:tr>
      <w:tr>
        <w:tc>
          <w:tcPr/>
          <w:p>
            <w:pPr>
              <w:pStyle w:val="Compact"/>
            </w:pPr>
            <w:r>
              <w:t xml:space="preserve">Dolore masticando con calo della vista</w:t>
            </w:r>
          </w:p>
        </w:tc>
        <w:tc>
          <w:tcPr/>
          <w:p>
            <w:pPr>
              <w:pStyle w:val="Compact"/>
            </w:pPr>
            <w:r>
              <w:t xml:space="preserve">Pronto soccorso</w:t>
            </w:r>
          </w:p>
        </w:tc>
        <w:tc>
          <w:tcPr/>
          <w:p>
            <w:pPr>
              <w:pStyle w:val="Compact"/>
            </w:pPr>
            <w:r>
              <w:t xml:space="preserve">112</w:t>
            </w:r>
          </w:p>
        </w:tc>
      </w:tr>
      <w:tr>
        <w:tc>
          <w:tcPr/>
          <w:p>
            <w:pPr>
              <w:pStyle w:val="Compact"/>
            </w:pPr>
            <w:r>
              <w:t xml:space="preserve">Gonfiore caldo preauricolare con febbre</w:t>
            </w:r>
          </w:p>
        </w:tc>
        <w:tc>
          <w:tcPr/>
          <w:p>
            <w:pPr>
              <w:pStyle w:val="Compact"/>
            </w:pPr>
            <w:r>
              <w:t xml:space="preserve">Curante o pronto soccorso</w:t>
            </w:r>
          </w:p>
        </w:tc>
        <w:tc>
          <w:tcPr/>
          <w:p>
            <w:pPr>
              <w:pStyle w:val="Compact"/>
            </w:pPr>
            <w:r>
              <w:t xml:space="preserve">Urgente</w:t>
            </w:r>
          </w:p>
        </w:tc>
      </w:tr>
    </w:tbl>
    <w:p>
      <w:pPr>
        <w:pStyle w:val="BodyText"/>
      </w:pPr>
      <w:r>
        <w:rPr>
          <w:b/>
          <w:bCs/>
        </w:rPr>
        <w:t xml:space="preserve">E una quinta uscita, che non è della condizione ma del trattamento.</w:t>
      </w:r>
      <w:r>
        <w:t xml:space="preserve"> </w:t>
      </w:r>
      <w:r>
        <w:t xml:space="preserve">Dopo una seduta sul collo: cefalea o dolore cervicale che aumentano bruscamente, vertigine, nausea, vomito, disturbi visivi o della parola, formicolii nuovi. Pronto soccorso, 112.</w:t>
      </w:r>
    </w:p>
    <w:p>
      <w:pPr>
        <w:pStyle w:val="BodyText"/>
      </w:pPr>
      <w:r>
        <w:t xml:space="preserve">Le prime tre righe descrivono lo stesso sospetto: l’arterite a cellule giganti. La seconda è la</w:t>
      </w:r>
      <w:r>
        <w:t xml:space="preserve"> </w:t>
      </w:r>
      <w:r>
        <w:rPr>
          <w:b/>
          <w:bCs/>
        </w:rPr>
        <w:t xml:space="preserve">claudicatio mandibolare</w:t>
      </w:r>
      <w:r>
        <w:t xml:space="preserve">, il segno più specifico che quella malattia abbia, e nella maggior parte dei casi</w:t>
      </w:r>
      <w:r>
        <w:t xml:space="preserve"> </w:t>
      </w:r>
      <w:r>
        <w:rPr>
          <w:b/>
          <w:bCs/>
        </w:rPr>
        <w:t xml:space="preserve">precede</w:t>
      </w:r>
      <w:r>
        <w:t xml:space="preserve"> </w:t>
      </w:r>
      <w:r>
        <w:t xml:space="preserve">la perdita visiva. Aspettare il disturbo visivo è aspettare troppo. Il criterio che la separa dal muscolo affaticato del bruxista:</w:t>
      </w:r>
      <w:r>
        <w:t xml:space="preserve"> </w:t>
      </w:r>
      <w:r>
        <w:rPr>
          <w:b/>
          <w:bCs/>
        </w:rPr>
        <w:t xml:space="preserve">l’affaticamento del bruxista è massimo al risveglio e cala nella giornata; quello ischemico compare masticando in qualunque momento e recede fermandosi.</w:t>
      </w:r>
    </w:p>
    <w:p>
      <w:pPr>
        <w:pStyle w:val="BodyText"/>
      </w:pPr>
      <w:r>
        <w:t xml:space="preserve">Quella quinta uscita non riguarda la condizione ma il trattamento. Gli eventi avversi gravi dopo procedure fisiche sul collo si annunciano con quei sintomi, durante la seduta o</w:t>
      </w:r>
      <w:r>
        <w:t xml:space="preserve"> </w:t>
      </w:r>
      <w:r>
        <w:rPr>
          <w:b/>
          <w:bCs/>
        </w:rPr>
        <w:t xml:space="preserve">entro quarantotto ore</w:t>
      </w:r>
      <w:r>
        <w:t xml:space="preserve">, prima dei segni neurologici (Leung,</w:t>
      </w:r>
      <w:r>
        <w:t xml:space="preserve"> </w:t>
      </w:r>
      <w:r>
        <w:rPr>
          <w:i/>
          <w:iCs/>
        </w:rPr>
        <w:t xml:space="preserve">J Bodyw Mov Ther</w:t>
      </w:r>
      <w:r>
        <w:t xml:space="preserve"> </w:t>
      </w:r>
      <w:r>
        <w:t xml:space="preserve">2025 — PMID 39663097). Il paziente deve riconoscerli a casa: la frase per dirglielo sta in «Cosa dire al paziente».</w:t>
      </w:r>
    </w:p>
    <w:p>
      <w:pPr>
        <w:pStyle w:val="BodyText"/>
      </w:pPr>
      <w:r>
        <w:rPr>
          <w:b/>
          <w:bCs/>
        </w:rPr>
        <w:t xml:space="preserve">Blocco B — invio non differibile, si può lavorare su un altro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Mandibola bloccata, non apre o non chiude</w:t>
            </w:r>
          </w:p>
        </w:tc>
        <w:tc>
          <w:tcPr/>
          <w:p>
            <w:pPr>
              <w:pStyle w:val="Compact"/>
            </w:pPr>
            <w:r>
              <w:t xml:space="preserve">Odontoiatra o maxillo-facciale</w:t>
            </w:r>
          </w:p>
        </w:tc>
        <w:tc>
          <w:tcPr/>
          <w:p>
            <w:pPr>
              <w:pStyle w:val="Compact"/>
            </w:pPr>
            <w:r>
              <w:t xml:space="preserve">Invio, non attendere</w:t>
            </w:r>
          </w:p>
        </w:tc>
      </w:tr>
      <w:tr>
        <w:tc>
          <w:tcPr/>
          <w:p>
            <w:pPr>
              <w:pStyle w:val="Compact"/>
            </w:pPr>
            <w:r>
              <w:t xml:space="preserve">Apertura che cala fra due misure</w:t>
            </w:r>
          </w:p>
        </w:tc>
        <w:tc>
          <w:tcPr/>
          <w:p>
            <w:pPr>
              <w:pStyle w:val="Compact"/>
            </w:pPr>
            <w:r>
              <w:t xml:space="preserve">Odontoiatra o maxillo-facciale</w:t>
            </w:r>
          </w:p>
        </w:tc>
        <w:tc>
          <w:tcPr/>
          <w:p>
            <w:pPr>
              <w:pStyle w:val="Compact"/>
            </w:pPr>
            <w:r>
              <w:t xml:space="preserve">Invio, non attendere</w:t>
            </w:r>
          </w:p>
        </w:tc>
      </w:tr>
      <w:tr>
        <w:tc>
          <w:tcPr/>
          <w:p>
            <w:pPr>
              <w:pStyle w:val="Compact"/>
            </w:pPr>
            <w:r>
              <w:t xml:space="preserve">Modifica recente dell’occlusione, o asimmetria comparsa</w:t>
            </w:r>
          </w:p>
        </w:tc>
        <w:tc>
          <w:tcPr/>
          <w:p>
            <w:pPr>
              <w:pStyle w:val="Compact"/>
            </w:pPr>
            <w:r>
              <w:t xml:space="preserve">Odontoiatra o maxillo-facciale</w:t>
            </w:r>
          </w:p>
        </w:tc>
        <w:tc>
          <w:tcPr/>
          <w:p>
            <w:pPr>
              <w:pStyle w:val="Compact"/>
            </w:pPr>
            <w:r>
              <w:t xml:space="preserve">Invio, non attendere</w:t>
            </w:r>
          </w:p>
        </w:tc>
      </w:tr>
      <w:tr>
        <w:tc>
          <w:tcPr/>
          <w:p>
            <w:pPr>
              <w:pStyle w:val="Compact"/>
            </w:pPr>
            <w:r>
              <w:t xml:space="preserve">Anestesia di mento, labbro inferiore o guancia</w:t>
            </w:r>
          </w:p>
        </w:tc>
        <w:tc>
          <w:tcPr/>
          <w:p>
            <w:pPr>
              <w:pStyle w:val="Compact"/>
            </w:pPr>
            <w:r>
              <w:t xml:space="preserve">Curante o maxillo-facciale</w:t>
            </w:r>
          </w:p>
        </w:tc>
        <w:tc>
          <w:tcPr/>
          <w:p>
            <w:pPr>
              <w:pStyle w:val="Compact"/>
            </w:pPr>
            <w:r>
              <w:t xml:space="preserve">Invio — non è un formicolio</w:t>
            </w:r>
          </w:p>
        </w:tc>
      </w:tr>
      <w:tr>
        <w:tc>
          <w:tcPr/>
          <w:p>
            <w:pPr>
              <w:pStyle w:val="Compact"/>
            </w:pPr>
            <w:r>
              <w:t xml:space="preserve">Dolore facciale neuropatico progressivo</w:t>
            </w:r>
          </w:p>
        </w:tc>
        <w:tc>
          <w:tcPr/>
          <w:p>
            <w:pPr>
              <w:pStyle w:val="Compact"/>
            </w:pPr>
            <w:r>
              <w:t xml:space="preserve">Curante, poi maxillo-facciale o neurologo</w:t>
            </w:r>
          </w:p>
        </w:tc>
        <w:tc>
          <w:tcPr/>
          <w:p>
            <w:pPr>
              <w:pStyle w:val="Compact"/>
            </w:pPr>
            <w:r>
              <w:t xml:space="preserve">Invio, non attendere</w:t>
            </w:r>
          </w:p>
        </w:tc>
      </w:tr>
      <w:tr>
        <w:tc>
          <w:tcPr/>
          <w:p>
            <w:pPr>
              <w:pStyle w:val="Compact"/>
            </w:pPr>
            <w:r>
              <w:t xml:space="preserve">Sintomi ORL unilaterali, o massa laterocervicale</w:t>
            </w:r>
          </w:p>
        </w:tc>
        <w:tc>
          <w:tcPr/>
          <w:p>
            <w:pPr>
              <w:pStyle w:val="Compact"/>
            </w:pPr>
            <w:r>
              <w:t xml:space="preserve">Curante, poi ORL</w:t>
            </w:r>
          </w:p>
        </w:tc>
        <w:tc>
          <w:tcPr/>
          <w:p>
            <w:pPr>
              <w:pStyle w:val="Compact"/>
            </w:pPr>
            <w:r>
              <w:t xml:space="preserve">Invio, non attendere</w:t>
            </w:r>
          </w:p>
        </w:tc>
      </w:tr>
      <w:tr>
        <w:tc>
          <w:tcPr/>
          <w:p>
            <w:pPr>
              <w:pStyle w:val="Compact"/>
            </w:pPr>
            <w:r>
              <w:t xml:space="preserve">Dolore osseo in terapia antiriassorbitiva</w:t>
            </w:r>
          </w:p>
        </w:tc>
        <w:tc>
          <w:tcPr/>
          <w:p>
            <w:pPr>
              <w:pStyle w:val="Compact"/>
            </w:pPr>
            <w:r>
              <w:t xml:space="preserve">Odontoiatra o maxillo-facciale</w:t>
            </w:r>
          </w:p>
        </w:tc>
        <w:tc>
          <w:tcPr/>
          <w:p>
            <w:pPr>
              <w:pStyle w:val="Compact"/>
            </w:pPr>
            <w:r>
              <w:t xml:space="preserve">Invio, non attendere</w:t>
            </w:r>
          </w:p>
        </w:tc>
      </w:tr>
      <w:tr>
        <w:tc>
          <w:tcPr/>
          <w:p>
            <w:pPr>
              <w:pStyle w:val="Compact"/>
            </w:pPr>
            <w:r>
              <w:t xml:space="preserve">Denti che si fratturano ripetutamente</w:t>
            </w:r>
          </w:p>
        </w:tc>
        <w:tc>
          <w:tcPr/>
          <w:p>
            <w:pPr>
              <w:pStyle w:val="Compact"/>
            </w:pPr>
            <w:r>
              <w:t xml:space="preserve">Odontoiatra</w:t>
            </w:r>
          </w:p>
        </w:tc>
        <w:tc>
          <w:tcPr/>
          <w:p>
            <w:pPr>
              <w:pStyle w:val="Compact"/>
            </w:pPr>
            <w:r>
              <w:t xml:space="preserve">Invio, non attendere</w:t>
            </w:r>
          </w:p>
        </w:tc>
      </w:tr>
      <w:tr>
        <w:tc>
          <w:tcPr/>
          <w:p>
            <w:pPr>
              <w:pStyle w:val="Compact"/>
            </w:pPr>
            <w:r>
              <w:t xml:space="preserve">Quadro comparso dopo un nuovo farmaco</w:t>
            </w:r>
          </w:p>
        </w:tc>
        <w:tc>
          <w:tcPr/>
          <w:p>
            <w:pPr>
              <w:pStyle w:val="Compact"/>
            </w:pPr>
            <w:r>
              <w:t xml:space="preserve">Medico prescrittore</w:t>
            </w:r>
          </w:p>
        </w:tc>
        <w:tc>
          <w:tcPr/>
          <w:p>
            <w:pPr>
              <w:pStyle w:val="Compact"/>
            </w:pPr>
            <w:r>
              <w:t xml:space="preserve">Invio, non attendere</w:t>
            </w:r>
          </w:p>
        </w:tc>
      </w:tr>
      <w:tr>
        <w:tc>
          <w:tcPr/>
          <w:p>
            <w:pPr>
              <w:pStyle w:val="Compact"/>
            </w:pPr>
            <w:r>
              <w:t xml:space="preserve">Morsicatura con sangue, o vocalizzazioni notturne</w:t>
            </w:r>
          </w:p>
        </w:tc>
        <w:tc>
          <w:tcPr/>
          <w:p>
            <w:pPr>
              <w:pStyle w:val="Compact"/>
            </w:pPr>
            <w:r>
              <w:t xml:space="preserve">Curante, poi neurologo o medicina del sonno</w:t>
            </w:r>
          </w:p>
        </w:tc>
        <w:tc>
          <w:tcPr/>
          <w:p>
            <w:pPr>
              <w:pStyle w:val="Compact"/>
            </w:pPr>
            <w:r>
              <w:t xml:space="preserve">Invio, non attendere</w:t>
            </w:r>
          </w:p>
        </w:tc>
      </w:tr>
      <w:tr>
        <w:tc>
          <w:tcPr/>
          <w:p>
            <w:pPr>
              <w:pStyle w:val="Compact"/>
            </w:pPr>
            <w:r>
              <w:t xml:space="preserve">Russamento con pause respiratorie riferite</w:t>
            </w:r>
          </w:p>
        </w:tc>
        <w:tc>
          <w:tcPr/>
          <w:p>
            <w:pPr>
              <w:pStyle w:val="Compact"/>
            </w:pPr>
            <w:r>
              <w:t xml:space="preserve">Curante, medicina del sonno</w:t>
            </w:r>
          </w:p>
        </w:tc>
        <w:tc>
          <w:tcPr/>
          <w:p>
            <w:pPr>
              <w:pStyle w:val="Compact"/>
            </w:pPr>
            <w:r>
              <w:t xml:space="preserve">Invio</w:t>
            </w:r>
          </w:p>
        </w:tc>
      </w:tr>
      <w:tr>
        <w:tc>
          <w:tcPr/>
          <w:p>
            <w:pPr>
              <w:pStyle w:val="Compact"/>
            </w:pPr>
            <w:r>
              <w:t xml:space="preserve">Movimenti mandibolari involontari da sveglio</w:t>
            </w:r>
          </w:p>
        </w:tc>
        <w:tc>
          <w:tcPr/>
          <w:p>
            <w:pPr>
              <w:pStyle w:val="Compact"/>
            </w:pPr>
            <w:r>
              <w:t xml:space="preserve">Neurologo</w:t>
            </w:r>
          </w:p>
        </w:tc>
        <w:tc>
          <w:tcPr/>
          <w:p>
            <w:pPr>
              <w:pStyle w:val="Compact"/>
            </w:pPr>
            <w:r>
              <w:t xml:space="preserve">Invio</w:t>
            </w:r>
          </w:p>
        </w:tc>
      </w:tr>
    </w:tbl>
    <w:p>
      <w:pPr>
        <w:pStyle w:val="BodyText"/>
      </w:pPr>
      <w:r>
        <w:t xml:space="preserve">Tre righe meritano una spiegazione, perché sono quelle che un osteopata non si aspetta.</w:t>
      </w:r>
    </w:p>
    <w:p>
      <w:pPr>
        <w:pStyle w:val="BodyText"/>
      </w:pPr>
      <w:r>
        <w:rPr>
          <w:b/>
          <w:bCs/>
        </w:rPr>
        <w:t xml:space="preserve">L’apertura che cala.</w:t>
      </w:r>
      <w:r>
        <w:t xml:space="preserve"> </w:t>
      </w:r>
      <w:r>
        <w:t xml:space="preserve">Sei l’unico di tutto il percorso che la misura in millimetri a ogni seduta. Un’apertura che scende fra due misure — o una limitazione che peggiora nell’arco di settimane — non è un peggioramento da trattare: è un evento, e torna al triage.</w:t>
      </w:r>
    </w:p>
    <w:p>
      <w:pPr>
        <w:pStyle w:val="BodyText"/>
      </w:pPr>
      <w:r>
        <w:rPr>
          <w:b/>
          <w:bCs/>
        </w:rPr>
        <w:t xml:space="preserve">Il dolore osseo in terapia antiriassorbitiva, o dopo radioterapia testa-collo.</w:t>
      </w:r>
      <w:r>
        <w:t xml:space="preserve"> </w:t>
      </w:r>
      <w:r>
        <w:t xml:space="preserve">Può essere il primo stadio di un’osteonecrosi della mandibola, che a quello stadio si presenta</w:t>
      </w:r>
      <w:r>
        <w:t xml:space="preserve"> </w:t>
      </w:r>
      <w:r>
        <w:rPr>
          <w:b/>
          <w:bCs/>
        </w:rPr>
        <w:t xml:space="preserve">senza osso esposto</w:t>
      </w:r>
      <w:r>
        <w:t xml:space="preserve">. Compare con dolore sordo che irradia alla regione temporo-mandibolare, sensibilità alterata e mobilità dentale non spiegata da parodontopatia (AAOMS,</w:t>
      </w:r>
      <w:r>
        <w:t xml:space="preserve"> </w:t>
      </w:r>
      <w:r>
        <w:rPr>
          <w:i/>
          <w:iCs/>
        </w:rPr>
        <w:t xml:space="preserve">position paper</w:t>
      </w:r>
      <w:r>
        <w:t xml:space="preserve"> </w:t>
      </w:r>
      <w:r>
        <w:t xml:space="preserve">2022).</w:t>
      </w:r>
    </w:p>
    <w:p>
      <w:pPr>
        <w:pStyle w:val="BodyText"/>
      </w:pPr>
      <w:r>
        <w:rPr>
          <w:b/>
          <w:bCs/>
        </w:rPr>
        <w:t xml:space="preserve">La morsicatura della lingua o della guancia con sangue al risveglio, e i movimenti o le vocalizzazioni notturne complesse.</w:t>
      </w:r>
      <w:r>
        <w:t xml:space="preserve"> </w:t>
      </w:r>
      <w:r>
        <w:t xml:space="preserve">Separano il bruxismo del sonno da tre altre cose: epilessia correlata al sonno, mioclono facio-mandibolare e disturbo comportamentale del sonno REM. Sono tre gestioni diverse, al prezzo di una domanda in anamnesi.</w:t>
      </w:r>
    </w:p>
    <w:p>
      <w:pPr>
        <w:pStyle w:val="BlockText"/>
      </w:pPr>
      <w:r>
        <w:rPr>
          <w:b/>
          <w:bCs/>
        </w:rPr>
        <w:t xml:space="preserve">Attenzione.</w:t>
      </w:r>
      <w:r>
        <w:t xml:space="preserve"> </w:t>
      </w:r>
      <w:r>
        <w:t xml:space="preserve">Su questa condizione «lavorare su un altro distretto» significa quasi sempre il rachide cervicale alto — la zona del box in «Le strutture in gioco». Quando la riga di Blocco B è un dolore facciale con formicolii o anestesia, quel distretto è</w:t>
      </w:r>
      <w:r>
        <w:t xml:space="preserve"> </w:t>
      </w:r>
      <w:r>
        <w:rPr>
          <w:b/>
          <w:bCs/>
        </w:rPr>
        <w:t xml:space="preserve">escluso</w:t>
      </w:r>
      <w:r>
        <w:t xml:space="preserve"> </w:t>
      </w:r>
      <w:r>
        <w:t xml:space="preserve">finché non arriva l’inquadramento: la stessa presentazione compare fra le forme precoci di patologia arteriosa cervicale.</w:t>
      </w:r>
    </w:p>
    <w:bookmarkEnd w:id="52"/>
    <w:bookmarkStart w:id="53" w:name="il-cancello-dingresso"/>
    <w:p>
      <w:pPr>
        <w:pStyle w:val="Heading3"/>
      </w:pPr>
      <w:r>
        <w:t xml:space="preserve">Il cancello d’ingresso</w:t>
      </w:r>
    </w:p>
    <w:p>
      <w:pPr>
        <w:pStyle w:val="FirstParagraph"/>
      </w:pPr>
      <w:r>
        <w:rPr>
          <w:b/>
          <w:bCs/>
        </w:rPr>
        <w:t xml:space="preserve">Il mandato clinico</w:t>
      </w:r>
      <w:r>
        <w:t xml:space="preserve"> </w:t>
      </w:r>
      <w:r>
        <w:t xml:space="preserve">— avere qualcosa da trattare oggi — nasce da due cose: un</w:t>
      </w:r>
      <w:r>
        <w:t xml:space="preserve"> </w:t>
      </w:r>
      <w:r>
        <w:rPr>
          <w:b/>
          <w:bCs/>
        </w:rPr>
        <w:t xml:space="preserve">reperto disfunzionale</w:t>
      </w:r>
      <w:r>
        <w:t xml:space="preserve"> </w:t>
      </w:r>
      <w:r>
        <w:t xml:space="preserve">documentato e un</w:t>
      </w:r>
      <w:r>
        <w:t xml:space="preserve"> </w:t>
      </w:r>
      <w:r>
        <w:rPr>
          <w:b/>
          <w:bCs/>
        </w:rPr>
        <w:t xml:space="preserve">marker</w:t>
      </w:r>
      <w:r>
        <w:t xml:space="preserve"> </w:t>
      </w:r>
      <w:r>
        <w:t xml:space="preserve">che si muove quando lo tratti.</w:t>
      </w:r>
      <w:r>
        <w:t xml:space="preserve"> </w:t>
      </w:r>
      <w:r>
        <w:rPr>
          <w:b/>
          <w:bCs/>
        </w:rPr>
        <w:t xml:space="preserve">Se non hai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è quella del profilo dell’osteopata — vedi «Il confine di atto, e il prescrittore». Quando l’inquadramento manca, il canale medico si attiva</w:t>
      </w:r>
      <w:r>
        <w:t xml:space="preserve"> </w:t>
      </w:r>
      <w:r>
        <w:rPr>
          <w:b/>
          <w:bCs/>
        </w:rPr>
        <w:t xml:space="preserve">contestualmente</w:t>
      </w:r>
      <w:r>
        <w:t xml:space="preserve">,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E il contrappeso, attaccato al principio:</w:t>
      </w:r>
      <w:r>
        <w:t xml:space="preserve"> </w:t>
      </w:r>
      <w:r>
        <w:rPr>
          <w:b/>
          <w:bCs/>
        </w:rPr>
        <w:t xml:space="preserve">un reperto positivo giustifica il tuo lavoro, non sostituisce l’inquadramento medico.</w:t>
      </w:r>
      <w:r>
        <w:t xml:space="preserve"> </w:t>
      </w:r>
      <w:r>
        <w:t xml:space="preserve">Masseteri dolenti, apertura ridotta e collo rigido non escludono nulla. 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rPr>
          <w:b/>
          <w:bCs/>
        </w:rPr>
        <w:t xml:space="preserve">🔴 ROSSO — Stop.</w:t>
      </w:r>
      <w:r>
        <w:t xml:space="preserve"> </w:t>
      </w:r>
      <w:r>
        <w:t xml:space="preserve">Anche una sola bandiera rossa. Non si apre un ciclo e non si rimanda alla prossima seduta: il paziente esce con un’indicazione medica</w:t>
      </w:r>
      <w:r>
        <w:t xml:space="preserve"> </w:t>
      </w:r>
      <w:r>
        <w:rPr>
          <w:b/>
          <w:bCs/>
        </w:rPr>
        <w:t xml:space="preserve">esplicita e scritta</w:t>
      </w:r>
      <w:r>
        <w:t xml:space="preserve"> </w:t>
      </w:r>
      <w:r>
        <w:t xml:space="preserve">e con i tempi dichiarati. Sulle righe del Blocco A non si tratta nulla, in nessun distretto. Su quelle del Blocco B, se coesiste una disfunzione muscolo-scheletrica autonoma la si può trattare, dichiarando che il quadro mandibolare è in attesa di inquadramento e</w:t>
      </w:r>
      <w:r>
        <w:t xml:space="preserve"> </w:t>
      </w:r>
      <w:r>
        <w:rPr>
          <w:b/>
          <w:bCs/>
        </w:rPr>
        <w:t xml:space="preserve">non è il bersaglio</w:t>
      </w:r>
      <w:r>
        <w:t xml:space="preserve">.</w:t>
      </w:r>
      <w:r>
        <w:t xml:space="preserve"> </w:t>
      </w: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 mai visto da un odontoiatra per questo quadro, visto più di dodici mesi fa, o usura in progressione senza presa in carico dentale attiva. Si lavora a quattro condizioni, tutte verificabili.</w:t>
      </w:r>
    </w:p>
    <w:p>
      <w:pPr>
        <w:pStyle w:val="Compact"/>
        <w:numPr>
          <w:ilvl w:val="0"/>
          <w:numId w:val="1021"/>
        </w:numPr>
      </w:pPr>
      <w:r>
        <w:rPr>
          <w:b/>
          <w:bCs/>
        </w:rPr>
        <w:t xml:space="preserve">Un reperto tuo, positivo e scritto in cartella</w:t>
      </w:r>
      <w:r>
        <w:t xml:space="preserve"> </w:t>
      </w:r>
      <w:r>
        <w:t xml:space="preserve">— non</w:t>
      </w:r>
      <w:r>
        <w:t xml:space="preserve"> </w:t>
      </w:r>
      <w:r>
        <w:t xml:space="preserve">“il paziente ha bruxismo”</w:t>
      </w:r>
      <w:r>
        <w:t xml:space="preserve">, ma l’apertura in millimetri, la palpazione dei masticatori, l’escursione cervicale.</w:t>
      </w:r>
    </w:p>
    <w:p>
      <w:pPr>
        <w:pStyle w:val="Compact"/>
        <w:numPr>
          <w:ilvl w:val="0"/>
          <w:numId w:val="1021"/>
        </w:numPr>
      </w:pPr>
      <w:r>
        <w:rPr>
          <w:b/>
          <w:bCs/>
        </w:rPr>
        <w:t xml:space="preserve">Il paziente sa cosa tratti e cosa no.</w:t>
      </w:r>
      <w:r>
        <w:t xml:space="preserve"> </w:t>
      </w:r>
      <w:r>
        <w:t xml:space="preserve">Frase da usare:</w:t>
      </w:r>
      <w:r>
        <w:t xml:space="preserve"> </w:t>
      </w:r>
      <w:r>
        <w:rPr>
          <w:i/>
          <w:iCs/>
        </w:rPr>
        <w:t xml:space="preserve">«io lavoro sulla componente muscolare e articolare che ho trovato. Lo stato dei tuoi denti e la protezione dall’usura vanno comunque valutati dall’odontoiatra, e nel frattempo io non aspetto.»</w:t>
      </w:r>
    </w:p>
    <w:p>
      <w:pPr>
        <w:pStyle w:val="Compact"/>
        <w:numPr>
          <w:ilvl w:val="0"/>
          <w:numId w:val="1021"/>
        </w:numPr>
      </w:pPr>
      <w:r>
        <w:rPr>
          <w:b/>
          <w:bCs/>
        </w:rPr>
        <w:t xml:space="preserve">Canale medico attivato senza interrompere il lavoro</w:t>
      </w:r>
      <w:r>
        <w:t xml:space="preserve"> </w:t>
      </w:r>
      <w:r>
        <w:t xml:space="preserve">— una comunicazione</w:t>
      </w:r>
      <w:r>
        <w:t xml:space="preserve"> </w:t>
      </w:r>
      <w:r>
        <w:rPr>
          <w:b/>
          <w:bCs/>
        </w:rPr>
        <w:t xml:space="preserve">scritta</w:t>
      </w:r>
      <w:r>
        <w:t xml:space="preserve"> </w:t>
      </w:r>
      <w:r>
        <w:t xml:space="preserve">all’odontoiatra o al curante, non un rinvio affidato al paziente,</w:t>
      </w:r>
      <w:r>
        <w:t xml:space="preserve"> </w:t>
      </w:r>
      <w:r>
        <w:rPr>
          <w:b/>
          <w:bCs/>
        </w:rPr>
        <w:t xml:space="preserve">e con il paziente informato e in copia</w:t>
      </w:r>
      <w:r>
        <w:t xml:space="preserve">.</w:t>
      </w:r>
    </w:p>
    <w:p>
      <w:pPr>
        <w:pStyle w:val="Compact"/>
        <w:numPr>
          <w:ilvl w:val="0"/>
          <w:numId w:val="1021"/>
        </w:numPr>
      </w:pPr>
      <w:r>
        <w:rPr>
          <w:b/>
          <w:bCs/>
        </w:rPr>
        <w:t xml:space="preserve">Tempo definito, e scritto come data.</w:t>
      </w:r>
      <w:r>
        <w:t xml:space="preserve"> </w:t>
      </w:r>
      <w:r>
        <w:t xml:space="preserve">La scadenza è una</w:t>
      </w:r>
      <w:r>
        <w:t xml:space="preserve"> </w:t>
      </w:r>
      <w:r>
        <w:rPr>
          <w:b/>
          <w:bCs/>
        </w:rPr>
        <w:t xml:space="preserve">data di calendario, scritta in cartella alla prima seduta</w:t>
      </w:r>
      <w:r>
        <w:t xml:space="preserve">, e non si sposta. Entro quella data il marker si muove o il quadro cambia uscita. Se il canale medico non ha prodotto niente, il lavoro si sospende finché l’inquadramento arriva.</w:t>
      </w:r>
    </w:p>
    <w:p>
      <w:pPr>
        <w:pStyle w:val="FirstParagraph"/>
      </w:pPr>
      <w:r>
        <w:rPr>
          <w:b/>
          <w:bCs/>
        </w:rPr>
        <w:t xml:space="preserve">Se il tempo scade e il marker non si è mosso</w:t>
      </w:r>
      <w:r>
        <w:t xml:space="preserve">, non è una rinuncia: è un’informazione. Il tuo reperto non era il piano che comandava, la spinta sul canale medico da parallela diventa prioritaria, e l’ipotesi caduta rientra nella Road Map al passo successivo.</w:t>
      </w:r>
    </w:p>
    <w:p>
      <w:pPr>
        <w:pStyle w:val="BodyText"/>
      </w:pPr>
      <w:r>
        <w:rPr>
          <w:b/>
          <w:bCs/>
        </w:rPr>
        <w:t xml:space="preserve">🟢 VERDE — Si procede.</w:t>
      </w:r>
      <w:r>
        <w:t xml:space="preserve"> </w:t>
      </w:r>
      <w:r>
        <w:t xml:space="preserve">Nessuna bandiera rossa, più due condizioni insieme. La prima è odontoiatrica, e ne basta una: valutazione recente per questo quadro, bite già in uso, valutazione gnatologica eseguita, accertamenti dell’articolazione coerenti. La seconda è medica, ed è il minimo che rende leggibile la prima:</w:t>
      </w:r>
      <w:r>
        <w:t xml:space="preserve"> </w:t>
      </w:r>
      <w:r>
        <w:rPr>
          <w:b/>
          <w:bCs/>
        </w:rPr>
        <w:t xml:space="preserve">età di esordio compatibile</w:t>
      </w:r>
      <w:r>
        <w:t xml:space="preserve">,</w:t>
      </w:r>
      <w:r>
        <w:t xml:space="preserve"> </w:t>
      </w:r>
      <w:r>
        <w:rPr>
          <w:b/>
          <w:bCs/>
        </w:rPr>
        <w:t xml:space="preserve">elenco dei farmaci raccolto e scritto</w:t>
      </w:r>
      <w:r>
        <w:t xml:space="preserve">,</w:t>
      </w:r>
      <w:r>
        <w:t xml:space="preserve"> </w:t>
      </w:r>
      <w:r>
        <w:rPr>
          <w:b/>
          <w:bCs/>
        </w:rPr>
        <w:t xml:space="preserve">assenza di segni di disturbo respiratorio nel sonno</w:t>
      </w:r>
      <w:r>
        <w:t xml:space="preserve">. Un ottantenne in politerapia che ha visto il dentista tre mesi fa non è un VERDE: è un paziente su cui nessuno ha ancora guardato niente di medico.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quadro cambia carattere, sede o intensità rispetto all’ultima valutazione medica. Una mandibola che comincia a bloccarsi, un dolore continuo anche di giorno, un formicolio nuovo, un’apertura che cala: sono quadri che cambiano forma, e</w:t>
      </w:r>
      <w:r>
        <w:t xml:space="preserve"> </w:t>
      </w:r>
      <w:r>
        <w:rPr>
          <w:b/>
          <w:bCs/>
        </w:rPr>
        <w:t xml:space="preserve">tornano al triage dall’inizio</w:t>
      </w:r>
      <w:r>
        <w:t xml:space="preserve">.</w:t>
      </w:r>
    </w:p>
    <w:bookmarkEnd w:id="53"/>
    <w:bookmarkStart w:id="54" w:name="i-farmaci-e-cosa-dichiari-nel-consenso"/>
    <w:p>
      <w:pPr>
        <w:pStyle w:val="Heading3"/>
      </w:pPr>
      <w:r>
        <w:t xml:space="preserve">I farmaci, e cosa dichiari nel consenso</w:t>
      </w:r>
    </w:p>
    <w:p>
      <w:pPr>
        <w:pStyle w:val="FirstParagraph"/>
      </w:pPr>
      <w:r>
        <w:t xml:space="preserve">Miorilassanti la sera, benzodiazepine a basso dosaggio, antinfiammatori per il dolore mattutino, tossina botulinica su indicazione specialistica. Nessuno di questi si commenta.</w:t>
      </w:r>
    </w:p>
    <w:p>
      <w:pPr>
        <w:pStyle w:val="BodyText"/>
      </w:pPr>
      <w:r>
        <w:t xml:space="preserve">Un’informazione che serve a te e non è un commento alla terapia: la tossina botulinica</w:t>
      </w:r>
      <w:r>
        <w:t xml:space="preserve"> </w:t>
      </w:r>
      <w:r>
        <w:rPr>
          <w:b/>
          <w:bCs/>
        </w:rPr>
        <w:t xml:space="preserve">riduce l’ampiezza dell’attività elettrica del massetere e non il numero di episodi</w:t>
      </w:r>
      <w:r>
        <w:t xml:space="preserve">. Nello studio randomizzato contro placebo con polisonnografia si è mossa solo l’ampiezza di picco, per dodici settimane (Shim,</w:t>
      </w:r>
      <w:r>
        <w:t xml:space="preserve"> </w:t>
      </w:r>
      <w:r>
        <w:rPr>
          <w:i/>
          <w:iCs/>
        </w:rPr>
        <w:t xml:space="preserve">Toxins</w:t>
      </w:r>
      <w:r>
        <w:t xml:space="preserve"> </w:t>
      </w:r>
      <w:r>
        <w:t xml:space="preserve">2020 — PMID 32182879). Agisce sull’esecutore, non sul generatore.</w:t>
      </w:r>
    </w:p>
    <w:p>
      <w:pPr>
        <w:pStyle w:val="BodyText"/>
      </w:pPr>
      <w:r>
        <w:t xml:space="preserve">Quattro cose che nel consenso dichiari qui, e che in un’altra Bibbia non scriveresti.</w:t>
      </w:r>
    </w:p>
    <w:p>
      <w:pPr>
        <w:pStyle w:val="Compact"/>
        <w:numPr>
          <w:ilvl w:val="0"/>
          <w:numId w:val="1022"/>
        </w:numPr>
      </w:pPr>
      <w:r>
        <w:rPr>
          <w:b/>
          <w:bCs/>
        </w:rPr>
        <w:t xml:space="preserve">L’oggetto del trattamento è il dolore e la funzione della mandibola e del collo, non la riduzione degli episodi di digrignamento</w:t>
      </w:r>
      <w:r>
        <w:t xml:space="preserve">, che nessuno strumento disponibile in studio è in grado di contare.</w:t>
      </w:r>
    </w:p>
    <w:p>
      <w:pPr>
        <w:pStyle w:val="Compact"/>
        <w:numPr>
          <w:ilvl w:val="0"/>
          <w:numId w:val="1022"/>
        </w:numPr>
      </w:pPr>
      <w:r>
        <w:rPr>
          <w:b/>
          <w:bCs/>
        </w:rPr>
        <w:t xml:space="preserve">Il bruxismo è un’attività dei muscoli masticatori, non una malattia dei denti:</w:t>
      </w:r>
      <w:r>
        <w:t xml:space="preserve"> </w:t>
      </w:r>
      <w:r>
        <w:t xml:space="preserve">non si tratta di eliminare l’attività, e la protezione dei denti resta in carico all’odontoiatra.</w:t>
      </w:r>
    </w:p>
    <w:p>
      <w:pPr>
        <w:pStyle w:val="Compact"/>
        <w:numPr>
          <w:ilvl w:val="0"/>
          <w:numId w:val="1022"/>
        </w:numPr>
      </w:pPr>
      <w:r>
        <w:rPr>
          <w:b/>
          <w:bCs/>
        </w:rPr>
        <w:t xml:space="preserve">L’usura dentale già avvenuta non è reversibile</w:t>
      </w:r>
      <w:r>
        <w:t xml:space="preserve"> </w:t>
      </w:r>
      <w:r>
        <w:t xml:space="preserve">con il trattamento manuale, che si affianca al percorso odontoiatrico senza sostituirlo.</w:t>
      </w:r>
    </w:p>
    <w:p>
      <w:pPr>
        <w:pStyle w:val="Compact"/>
        <w:numPr>
          <w:ilvl w:val="0"/>
          <w:numId w:val="1022"/>
        </w:numPr>
      </w:pPr>
      <w:r>
        <w:rPr>
          <w:b/>
          <w:bCs/>
        </w:rPr>
        <w:t xml:space="preserve">Il trattamento prevede una comunicazione scritta a terzi:</w:t>
      </w:r>
      <w:r>
        <w:t xml:space="preserve"> </w:t>
      </w:r>
      <w:r>
        <w:t xml:space="preserve">all’odontoiatra o al curante quando l’inquadramento manca, al prescrittore quando il quadro è comparso dopo un farmaco nuovo. Il paziente ne è informato prima, riceve copia di ciò che viene inviato, e può opporsi — con la conseguenza, dichiarata, che senza quel canale l’uscita GIALLO non si apre.</w:t>
      </w:r>
    </w:p>
    <w:bookmarkEnd w:id="54"/>
    <w:bookmarkStart w:id="55" w:name="il-confine-di-atto-e-il-prescrittore"/>
    <w:p>
      <w:pPr>
        <w:pStyle w:val="Heading3"/>
      </w:pPr>
      <w:r>
        <w:t xml:space="preserve">Il confine di atto, e il prescrittore</w:t>
      </w:r>
    </w:p>
    <w:p>
      <w:pPr>
        <w:pStyle w:val="FirstParagraph"/>
      </w:pPr>
      <w:r>
        <w:t xml:space="preserve">Il punto in cui questa condizione mette alla prova il perimetro ha un nome:</w:t>
      </w:r>
      <w:r>
        <w:t xml:space="preserve"> </w:t>
      </w:r>
      <w:r>
        <w:rPr>
          <w:b/>
          <w:bCs/>
        </w:rPr>
        <w:t xml:space="preserve">il lavoro intra-orale sui muscoli masticatori</w:t>
      </w:r>
      <w:r>
        <w:t xml:space="preserve">. Il DPR 131/2021 prevede tecniche</w:t>
      </w:r>
      <w:r>
        <w:t xml:space="preserve"> </w:t>
      </w:r>
      <w:r>
        <w:rPr>
          <w:b/>
          <w:bCs/>
        </w:rPr>
        <w:t xml:space="preserve">esclusivamente manuali, non invasive ed esterne</w:t>
      </w:r>
      <w:r>
        <w:t xml:space="preserve">, e riserva la diagnosi al medico. Una manovra dentro la cavità orale non è esterna:</w:t>
      </w:r>
      <w:r>
        <w:t xml:space="preserve"> </w:t>
      </w:r>
      <w:r>
        <w:rPr>
          <w:b/>
          <w:bCs/>
        </w:rPr>
        <w:t xml:space="preserve">in questo studio non si fa, e non esiste un consenso che la renda ammissibile.</w:t>
      </w:r>
    </w:p>
    <w:p>
      <w:pPr>
        <w:pStyle w:val="BodyText"/>
      </w:pPr>
      <w:r>
        <w:t xml:space="preserve">C’è anche una ragione tecnica, che rende la prima facile da spiegare: quel gesto punta a un bersaglio che non c’è. Lo pterigoideo laterale è</w:t>
      </w:r>
      <w:r>
        <w:t xml:space="preserve"> </w:t>
      </w:r>
      <w:r>
        <w:rPr>
          <w:b/>
          <w:bCs/>
        </w:rPr>
        <w:t xml:space="preserve">praticamente irraggiungibile</w:t>
      </w:r>
      <w:r>
        <w:t xml:space="preserve"> </w:t>
      </w:r>
      <w:r>
        <w:t xml:space="preserve">alla palpazione intra-orale, quello che si palpa è altro tessuto, e la regione è dolente anche nei sani. Un reperto positivo è quindi un falso positivo per costruzione, e gli autori concludono che la procedura va abbandonata (Türp &amp; Minagi,</w:t>
      </w:r>
      <w:r>
        <w:t xml:space="preserve"> </w:t>
      </w:r>
      <w:r>
        <w:rPr>
          <w:i/>
          <w:iCs/>
        </w:rPr>
        <w:t xml:space="preserve">J Dent</w:t>
      </w:r>
      <w:r>
        <w:t xml:space="preserve"> </w:t>
      </w:r>
      <w:r>
        <w:t xml:space="preserve">2001 — PMID 11809325). Se un paziente lo chiede, la risposta è che è fuori dal profilo professionale, non che è pericoloso.</w:t>
      </w:r>
    </w:p>
    <w:p>
      <w:pPr>
        <w:pStyle w:val="BodyText"/>
      </w:pPr>
      <w:r>
        <w:t xml:space="preserve">Tre affermazioni che sconfinerebbero: che l’occlusione è sbagliata e va corretta; che il bite è inutile o sostituibile; l’interpretazione di una panoramica o di una risonanza, che guardi come informazione senza refertarla.</w:t>
      </w:r>
    </w:p>
    <w:p>
      <w:pPr>
        <w:pStyle w:val="BodyText"/>
      </w:pPr>
      <w:r>
        <w:t xml:space="preserve">Il bite lo prescrive l’odontoiatra, la tossina botulinica lo specialista, i miorilassanti il medico. Tu non ne modifichi nessuno e non ne suggerisci la sospensione, nemmeno in forma dubitativa.</w:t>
      </w:r>
      <w:r>
        <w:t xml:space="preserve"> </w:t>
      </w:r>
      <w:r>
        <w:rPr>
          <w:b/>
          <w:bCs/>
        </w:rPr>
        <w:t xml:space="preserve">Le informazioni che partono da te e vanno al medico sono tre, tutte dati riferiti e non pareri.</w:t>
      </w:r>
      <w:r>
        <w:t xml:space="preserve"> </w:t>
      </w:r>
      <w:r>
        <w:t xml:space="preserve">La prima è il legame temporale fra la comparsa del quadro e un farmaco nuovo. La seconda è l’automedicazione antinfiammatoria quotidiana e protratta, soprattutto in un anticoagulato, iperteso o nefropatico. La terza è sonnolenza, instabilità o cadute in chi assume miorilassanti o benzodiazepine. La decisione resta del prescrittore — ma tu quel paziente lo vedi ogni settimana, e il suo medico ogni sei mesi.</w:t>
      </w:r>
    </w:p>
    <w:p>
      <w:pPr>
        <w:pStyle w:val="BodyText"/>
      </w:pPr>
      <w:r>
        <w:rPr>
          <w:b/>
          <w:bCs/>
        </w:rPr>
        <w:t xml:space="preserve">Una leva che non tocca a noi erogare.</w:t>
      </w:r>
      <w:r>
        <w:t xml:space="preserve"> </w:t>
      </w:r>
      <w:r>
        <w:t xml:space="preserve">Sul dolore cronico dei disturbi temporo-mandibolari la terapia cognitivo-comportamentale ha una raccomandazione forte a favore. Non è un atto osteopatico: si riconosce chi ne trarrebbe beneficio — tipicamente il sottotipo con dolore sproporzionato — e si segnala al curante.</w:t>
      </w:r>
    </w:p>
    <w:bookmarkEnd w:id="55"/>
    <w:bookmarkStart w:id="56" w:name="se-sbagli-campo"/>
    <w:p>
      <w:pPr>
        <w:pStyle w:val="Heading3"/>
      </w:pPr>
      <w:r>
        <w:t xml:space="preserve">Se sbagli campo</w:t>
      </w:r>
    </w:p>
    <w:p>
      <w:pPr>
        <w:pStyle w:val="FirstParagraph"/>
      </w:pPr>
      <w:r>
        <w:t xml:space="preserve">Il rischio concreto qui non è quasi mai un danno da manovra: è un ritardo. Un dolore temporale nuovo dopo i cinquant’anni scambiato per tensione muscolare costa la vista di un occhio. Un’anestesia del mento scambiata per un disturbo muscolare costa il tempo di una diagnosi oncologica. Pause respiratorie scambiate per bruxismo costano anni. Il rischio da manovra, raro, esiste su un distretto solo: quello del box in «Le strutture in gioco».</w:t>
      </w:r>
    </w:p>
    <w:p>
      <w:pPr>
        <w:pStyle w:val="BodyText"/>
      </w:pPr>
      <w:r>
        <w:rPr>
          <w:b/>
          <w:bCs/>
        </w:rPr>
        <w:t xml:space="preserve">Le tre cose da ricordare, più una</w:t>
      </w:r>
    </w:p>
    <w:p>
      <w:pPr>
        <w:pStyle w:val="Compact"/>
        <w:numPr>
          <w:ilvl w:val="0"/>
          <w:numId w:val="1023"/>
        </w:numPr>
      </w:pPr>
      <w:r>
        <w:t xml:space="preserve">Dolore temporale nuovo dopo i cinquant’anni, o affaticamento che compare masticando e obbliga a fermarsi: si esce, prima di ogni altra considerazione.</w:t>
      </w:r>
    </w:p>
    <w:p>
      <w:pPr>
        <w:pStyle w:val="Compact"/>
        <w:numPr>
          <w:ilvl w:val="0"/>
          <w:numId w:val="1023"/>
        </w:numPr>
      </w:pPr>
      <w:r>
        <w:t xml:space="preserve">Il GIALLO regge su quattro cose scritte, e la quarta è una data. Se ne manca una, non è un giallo: è un lavoro non documentato.</w:t>
      </w:r>
    </w:p>
    <w:p>
      <w:pPr>
        <w:pStyle w:val="Compact"/>
        <w:numPr>
          <w:ilvl w:val="0"/>
          <w:numId w:val="1023"/>
        </w:numPr>
      </w:pPr>
      <w:r>
        <w:t xml:space="preserve">Le informazioni che mandi al medico sono tre, e nessuna è un parere.</w:t>
      </w:r>
    </w:p>
    <w:p>
      <w:pPr>
        <w:pStyle w:val="Compact"/>
        <w:numPr>
          <w:ilvl w:val="0"/>
          <w:numId w:val="1023"/>
        </w:numPr>
      </w:pPr>
      <w:r>
        <w:rPr>
          <w:b/>
          <w:bCs/>
        </w:rPr>
        <w:t xml:space="preserve">Perché ci sei tu.</w:t>
      </w:r>
      <w:r>
        <w:t xml:space="preserve"> </w:t>
      </w:r>
      <w:r>
        <w:t xml:space="preserve">Su questo confine non ci sei, e va detto con precisione. Una sintesi non ha trovato un’associazione fra apnee notturne e bruxismo del sonno, con intervalli di confidenza molto larghi e studi di bassa qualità (Błaszczyk,</w:t>
      </w:r>
      <w:r>
        <w:t xml:space="preserve"> </w:t>
      </w:r>
      <w:r>
        <w:rPr>
          <w:i/>
          <w:iCs/>
        </w:rPr>
        <w:t xml:space="preserve">Sleep Med Rev</w:t>
      </w:r>
      <w:r>
        <w:t xml:space="preserve"> </w:t>
      </w:r>
      <w:r>
        <w:t xml:space="preserve">2024 — PMID 39182463). Una revisione ombrello più recente segnala invece una possibile associazione bidirezionale, con la stessa bassa qualità (Pereira,</w:t>
      </w:r>
      <w:r>
        <w:t xml:space="preserve"> </w:t>
      </w:r>
      <w:r>
        <w:rPr>
          <w:i/>
          <w:iCs/>
        </w:rPr>
        <w:t xml:space="preserve">Sleep Med</w:t>
      </w:r>
      <w:r>
        <w:t xml:space="preserve"> </w:t>
      </w:r>
      <w:r>
        <w:t xml:space="preserve">2026 — PMID 42447651). È imprecisione, in tutte e due le direzioni, non una risposta. Questo ti autorizza a mandare a valutare le apnee</w:t>
      </w:r>
      <w:r>
        <w:t xml:space="preserve"> </w:t>
      </w:r>
      <w:r>
        <w:rPr>
          <w:b/>
          <w:bCs/>
        </w:rPr>
        <w:t xml:space="preserve">per le apnee</w:t>
      </w:r>
      <w:r>
        <w:t xml:space="preserve">, che sono pericolose di per sé, e a trattare in parallelo il quadro mandibolo-cervicale sulla base di un tuo reperto. Non ti autorizza a spiegare il bruxismo con le apnee, né le apnee con il bruxismo.</w:t>
      </w:r>
    </w:p>
    <w:bookmarkEnd w:id="56"/>
    <w:bookmarkEnd w:id="57"/>
    <w:bookmarkStart w:id="64" w:name="capitolo-10-cosa-dice-la-scienza"/>
    <w:p>
      <w:pPr>
        <w:pStyle w:val="Heading2"/>
      </w:pPr>
      <w:r>
        <w:t xml:space="preserve">Capitolo 10 — Cosa dice la scienza</w:t>
      </w:r>
    </w:p>
    <w:p>
      <w:pPr>
        <w:pStyle w:val="BlockText"/>
      </w:pPr>
      <w:r>
        <w:rPr>
          <w:b/>
          <w:bCs/>
        </w:rPr>
        <w:t xml:space="preserve">In una riga:</w:t>
      </w:r>
      <w:r>
        <w:t xml:space="preserve"> </w:t>
      </w:r>
      <w:r>
        <w:t xml:space="preserve">il meccanismo di questa condizione è fra i meglio descritti della medicina del sonno, e il nostro intervento su di esso è fra i meno studiati che tu abbia in mano.</w:t>
      </w:r>
    </w:p>
    <w:bookmarkStart w:id="58" w:name="le-due-ancore"/>
    <w:p>
      <w:pPr>
        <w:pStyle w:val="Heading3"/>
      </w:pPr>
      <w:r>
        <w:t xml:space="preserve">Le due ancore</w:t>
      </w:r>
    </w:p>
    <w:p>
      <w:pPr>
        <w:pStyle w:val="FirstParagraph"/>
      </w:pPr>
      <w:r>
        <w:t xml:space="preserve">Su questa condizione non esiste un ricercatore che sia insieme la massima autorità sul meccanismo e sulla terapia manuale. Dichiararlo è più forte che gonfiarne una.</w:t>
      </w:r>
    </w:p>
    <w:p>
      <w:pPr>
        <w:pStyle w:val="BodyText"/>
      </w:pPr>
      <w:r>
        <w:rPr>
          <w:b/>
          <w:bCs/>
        </w:rPr>
        <w:t xml:space="preserve">L’ancora fisiologica: Gilles Lavigne</w:t>
      </w:r>
      <w:r>
        <w:t xml:space="preserve">, Université de Montréal. È il gruppo che ha stabilito che cosa sia il bruxismo del sonno, e il contributo sta in una frase:</w:t>
      </w:r>
      <w:r>
        <w:t xml:space="preserve"> </w:t>
      </w:r>
      <w:r>
        <w:rPr>
          <w:b/>
          <w:bCs/>
        </w:rPr>
        <w:t xml:space="preserve">è un evento del sonno, non un evento della bocca.</w:t>
      </w:r>
    </w:p>
    <w:p>
      <w:pPr>
        <w:pStyle w:val="BodyText"/>
      </w:pPr>
      <w:r>
        <w:rPr>
          <w:b/>
          <w:bCs/>
        </w:rPr>
        <w:t xml:space="preserve">L’ancora clinica in terapia manuale: Susan Armijo-Olivo</w:t>
      </w:r>
      <w:r>
        <w:t xml:space="preserve">, University of Alberta e Osnabrück. Il suo contributo è metodologico ed è scomodo:</w:t>
      </w:r>
      <w:r>
        <w:t xml:space="preserve"> </w:t>
      </w:r>
      <w:r>
        <w:rPr>
          <w:b/>
          <w:bCs/>
        </w:rPr>
        <w:t xml:space="preserve">è lei che dichiara quanto poco sappiamo.</w:t>
      </w:r>
      <w:r>
        <w:t xml:space="preserve"> </w:t>
      </w:r>
      <w:r>
        <w:t xml:space="preserve">Vale la pena riportare le sue parole, non solo il suo nome.</w:t>
      </w:r>
    </w:p>
    <w:p>
      <w:pPr>
        <w:pStyle w:val="BodyText"/>
      </w:pPr>
      <w:r>
        <w:t xml:space="preserve">Quarantotto studi randomizzati su adulti con disturbi temporo-mandibolari. Rischio di errore sistematico</w:t>
      </w:r>
      <w:r>
        <w:t xml:space="preserve"> </w:t>
      </w:r>
      <w:r>
        <w:rPr>
          <w:b/>
          <w:bCs/>
        </w:rPr>
        <w:t xml:space="preserve">non chiaro o alto in tutti</w:t>
      </w:r>
      <w:r>
        <w:t xml:space="preserve">. Evidenza complessiva</w:t>
      </w:r>
      <w:r>
        <w:t xml:space="preserve"> </w:t>
      </w:r>
      <w:r>
        <w:rPr>
          <w:b/>
          <w:bCs/>
        </w:rPr>
        <w:t xml:space="preserve">bassa</w:t>
      </w:r>
      <w:r>
        <w:t xml:space="preserve">. Effetti da bassi a moderati, e</w:t>
      </w:r>
      <w:r>
        <w:t xml:space="preserve"> </w:t>
      </w:r>
      <w:r>
        <w:rPr>
          <w:b/>
          <w:bCs/>
        </w:rPr>
        <w:t xml:space="preserve">nessuna indicazione chiara di superiorità dell’esercizio</w:t>
      </w:r>
      <w:r>
        <w:t xml:space="preserve"> </w:t>
      </w:r>
      <w:r>
        <w:t xml:space="preserve">su altri trattamenti conservativi. La terapia manuale, da sola o combinata con esercizio a livello mandibolare o cervicale, mostra effetti</w:t>
      </w:r>
      <w:r>
        <w:t xml:space="preserve"> </w:t>
      </w:r>
      <w:r>
        <w:rPr>
          <w:b/>
          <w:bCs/>
        </w:rPr>
        <w:t xml:space="preserve">promettenti</w:t>
      </w:r>
      <w:r>
        <w:t xml:space="preserve">:</w:t>
      </w:r>
      <w:r>
        <w:t xml:space="preserve"> </w:t>
      </w:r>
      <w:r>
        <w:rPr>
          <w:i/>
          <w:iCs/>
        </w:rPr>
        <w:t xml:space="preserve">«promettenti» è la parola dell’abstract, e non è «efficaci»</w:t>
      </w:r>
      <w:r>
        <w:t xml:space="preserve">. La conclusione testuale è che non è stata trovata evidenza di alta qualità, e che sull’efficacia di esercizio e terapia manuale nei disturbi temporo-mandibolari</w:t>
      </w:r>
      <w:r>
        <w:t xml:space="preserve"> </w:t>
      </w:r>
      <w:r>
        <w:rPr>
          <w:b/>
          <w:bCs/>
        </w:rPr>
        <w:t xml:space="preserve">c’è grande incertezza</w:t>
      </w:r>
      <w:r>
        <w:t xml:space="preserve"> </w:t>
      </w:r>
      <w:r>
        <w:t xml:space="preserve">(Armijo-Olivo,</w:t>
      </w:r>
      <w:r>
        <w:t xml:space="preserve"> </w:t>
      </w:r>
      <w:r>
        <w:rPr>
          <w:i/>
          <w:iCs/>
        </w:rPr>
        <w:t xml:space="preserve">Phys Ther</w:t>
      </w:r>
      <w:r>
        <w:t xml:space="preserve"> </w:t>
      </w:r>
      <w:r>
        <w:t xml:space="preserve">2016 — PMID 26294683).</w:t>
      </w:r>
      <w:r>
        <w:t xml:space="preserve"> </w:t>
      </w:r>
      <w:r>
        <w:rPr>
          <w:b/>
          <w:bCs/>
        </w:rPr>
        <w:t xml:space="preserve">Misurato su disturbi temporo-mandibolari, non su bruxismo, e su studi che gli autori stessi giudicano quasi tutti a rischio di errore sistematico non chiaro o alto.</w:t>
      </w:r>
    </w:p>
    <w:bookmarkEnd w:id="58"/>
    <w:bookmarkStart w:id="59" w:name="i-tre-cerchi"/>
    <w:p>
      <w:pPr>
        <w:pStyle w:val="Heading3"/>
      </w:pPr>
      <w:r>
        <w:t xml:space="preserve">I tre cerchi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Cerchio</w:t>
            </w:r>
          </w:p>
        </w:tc>
        <w:tc>
          <w:tcPr/>
          <w:p>
            <w:pPr>
              <w:pStyle w:val="Compact"/>
            </w:pPr>
            <w:r>
              <w:t xml:space="preserve">Cosa contiene qui</w:t>
            </w:r>
          </w:p>
        </w:tc>
        <w:tc>
          <w:tcPr/>
          <w:p>
            <w:pPr>
              <w:pStyle w:val="Compact"/>
            </w:pPr>
            <w:r>
              <w:t xml:space="preserve">Cosa può reggere</w:t>
            </w:r>
          </w:p>
        </w:tc>
      </w:tr>
      <w:tr>
        <w:tc>
          <w:tcPr/>
          <w:p>
            <w:pPr>
              <w:pStyle w:val="Compact"/>
            </w:pPr>
            <w:r>
              <w:t xml:space="preserve">1 — Specifico</w:t>
            </w:r>
          </w:p>
        </w:tc>
        <w:tc>
          <w:tcPr/>
          <w:p>
            <w:pPr>
              <w:pStyle w:val="Compact"/>
            </w:pPr>
            <w:r>
              <w:t xml:space="preserve">Terapia manuale ed esercizio sul bruxismo</w:t>
            </w:r>
          </w:p>
        </w:tc>
        <w:tc>
          <w:tcPr/>
          <w:p>
            <w:pPr>
              <w:pStyle w:val="Compact"/>
            </w:pPr>
            <w:r>
              <w:t xml:space="preserve">DIMOSTRATO su una leva</w:t>
            </w:r>
          </w:p>
        </w:tc>
      </w:tr>
      <w:tr>
        <w:tc>
          <w:tcPr/>
          <w:p>
            <w:pPr>
              <w:pStyle w:val="Compact"/>
            </w:pPr>
            <w:r>
              <w:t xml:space="preserve">2 — Trasversale</w:t>
            </w:r>
          </w:p>
        </w:tc>
        <w:tc>
          <w:tcPr/>
          <w:p>
            <w:pPr>
              <w:pStyle w:val="Compact"/>
            </w:pPr>
            <w:r>
              <w:t xml:space="preserve">Collo e masticatori, tocco, respiro, contesto</w:t>
            </w:r>
          </w:p>
        </w:tc>
        <w:tc>
          <w:tcPr/>
          <w:p>
            <w:pPr>
              <w:pStyle w:val="Compact"/>
            </w:pPr>
            <w:r>
              <w:t xml:space="preserve">DIMOSTRATO su un meccanismo</w:t>
            </w:r>
          </w:p>
        </w:tc>
      </w:tr>
      <w:tr>
        <w:tc>
          <w:tcPr/>
          <w:p>
            <w:pPr>
              <w:pStyle w:val="Compact"/>
            </w:pPr>
            <w:r>
              <w:t xml:space="preserve">3 — Fisiologico</w:t>
            </w:r>
          </w:p>
        </w:tc>
        <w:tc>
          <w:tcPr/>
          <w:p>
            <w:pPr>
              <w:pStyle w:val="Compact"/>
            </w:pPr>
            <w:r>
              <w:t xml:space="preserve">Sequenza del sonno, forza, cinematica</w:t>
            </w:r>
          </w:p>
        </w:tc>
        <w:tc>
          <w:tcPr/>
          <w:p>
            <w:pPr>
              <w:pStyle w:val="Compact"/>
            </w:pPr>
            <w:r>
              <w:t xml:space="preserve">Il razionale, mai l’efficacia</w:t>
            </w:r>
          </w:p>
        </w:tc>
      </w:tr>
    </w:tbl>
    <w:p>
      <w:pPr>
        <w:pStyle w:val="BlockText"/>
      </w:pPr>
      <w:r>
        <w:rPr>
          <w:b/>
          <w:bCs/>
        </w:rPr>
        <w:t xml:space="preserve">La regola del ponte.</w:t>
      </w:r>
      <w:r>
        <w:t xml:space="preserve"> </w:t>
      </w:r>
      <w:r>
        <w:t xml:space="preserve">L’evidenza del cerchio 2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Ogni fonte del cerchio 2 porta con sé la frase che dichiara il salto. Vale anche al contrario: la citazione di Armijo-Olivo non alza niente,</w:t>
      </w:r>
      <w:r>
        <w:t xml:space="preserve"> </w:t>
      </w:r>
      <w:r>
        <w:rPr>
          <w:b/>
          <w:bCs/>
        </w:rPr>
        <w:t xml:space="preserve">conferma</w:t>
      </w:r>
      <w:r>
        <w:t xml:space="preserve"> </w:t>
      </w:r>
      <w:r>
        <w:t xml:space="preserve">il PROBABILE del Biomeccanico e impedisce che una versione futura lo alzi.</w:t>
      </w:r>
    </w:p>
    <w:bookmarkEnd w:id="59"/>
    <w:bookmarkStart w:id="60"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Huynh, 2006 (16911037)</w:t>
            </w:r>
          </w:p>
        </w:tc>
        <w:tc>
          <w:tcPr/>
          <w:p>
            <w:pPr>
              <w:pStyle w:val="Compact"/>
            </w:pPr>
            <w:r>
              <w:t xml:space="preserve">Sequenza autonomica prima dell’episodio</w:t>
            </w:r>
          </w:p>
        </w:tc>
        <w:tc>
          <w:tcPr/>
          <w:p>
            <w:pPr>
              <w:pStyle w:val="Compact"/>
            </w:pPr>
            <w:r>
              <w:t xml:space="preserve">Trattare l’attivazione, non i denti</w:t>
            </w:r>
          </w:p>
        </w:tc>
      </w:tr>
      <w:tr>
        <w:tc>
          <w:tcPr/>
          <w:p>
            <w:pPr>
              <w:pStyle w:val="Compact"/>
            </w:pPr>
            <w:r>
              <w:t xml:space="preserve">Nishigawa, 2001 (11380790)</w:t>
            </w:r>
          </w:p>
        </w:tc>
        <w:tc>
          <w:tcPr/>
          <w:p>
            <w:pPr>
              <w:pStyle w:val="Compact"/>
            </w:pPr>
            <w:r>
              <w:t xml:space="preserve">Forza notturna, 499 eventi</w:t>
            </w:r>
          </w:p>
        </w:tc>
        <w:tc>
          <w:tcPr/>
          <w:p>
            <w:pPr>
              <w:pStyle w:val="Compact"/>
            </w:pPr>
            <w:r>
              <w:t xml:space="preserve">Dire che il carico è reale</w:t>
            </w:r>
          </w:p>
        </w:tc>
      </w:tr>
      <w:tr>
        <w:tc>
          <w:tcPr/>
          <w:p>
            <w:pPr>
              <w:pStyle w:val="Compact"/>
            </w:pPr>
            <w:r>
              <w:t xml:space="preserve">Manfredini, 2021 (34090993)</w:t>
            </w:r>
          </w:p>
        </w:tc>
        <w:tc>
          <w:tcPr/>
          <w:p>
            <w:pPr>
              <w:pStyle w:val="Compact"/>
            </w:pPr>
            <w:r>
              <w:t xml:space="preserve">Legame bruxismo-dolore per strumento</w:t>
            </w:r>
          </w:p>
        </w:tc>
        <w:tc>
          <w:tcPr/>
          <w:p>
            <w:pPr>
              <w:pStyle w:val="Compact"/>
            </w:pPr>
            <w:r>
              <w:t xml:space="preserve">Scegliere il dolore come esito</w:t>
            </w:r>
          </w:p>
        </w:tc>
      </w:tr>
      <w:tr>
        <w:tc>
          <w:tcPr/>
          <w:p>
            <w:pPr>
              <w:pStyle w:val="Compact"/>
            </w:pPr>
            <w:r>
              <w:t xml:space="preserve">Lam, 2023 (36968167)</w:t>
            </w:r>
          </w:p>
        </w:tc>
        <w:tc>
          <w:tcPr/>
          <w:p>
            <w:pPr>
              <w:pStyle w:val="Compact"/>
            </w:pPr>
            <w:r>
              <w:t xml:space="preserve">Collo alto contro finto trattamento</w:t>
            </w:r>
          </w:p>
        </w:tc>
        <w:tc>
          <w:tcPr/>
          <w:p>
            <w:pPr>
              <w:pStyle w:val="Compact"/>
            </w:pPr>
            <w:r>
              <w:t xml:space="preserve">Dichiarare dolore e apertura come esiti attesi</w:t>
            </w:r>
          </w:p>
        </w:tc>
      </w:tr>
      <w:tr>
        <w:tc>
          <w:tcPr/>
          <w:p>
            <w:pPr>
              <w:pStyle w:val="Compact"/>
            </w:pPr>
            <w:r>
              <w:t xml:space="preserve">Armijo-Olivo, 2016 (26294683)</w:t>
            </w:r>
          </w:p>
        </w:tc>
        <w:tc>
          <w:tcPr/>
          <w:p>
            <w:pPr>
              <w:pStyle w:val="Compact"/>
            </w:pPr>
            <w:r>
              <w:t xml:space="preserve">48 studi randomizzati, qualità bassa</w:t>
            </w:r>
          </w:p>
        </w:tc>
        <w:tc>
          <w:tcPr/>
          <w:p>
            <w:pPr>
              <w:pStyle w:val="Compact"/>
            </w:pPr>
            <w:r>
              <w:t xml:space="preserve">Non alzare l’etichetta della leva</w:t>
            </w:r>
          </w:p>
        </w:tc>
      </w:tr>
      <w:tr>
        <w:tc>
          <w:tcPr/>
          <w:p>
            <w:pPr>
              <w:pStyle w:val="Compact"/>
            </w:pPr>
            <w:r>
              <w:t xml:space="preserve">Busse, 2023 (38101929)</w:t>
            </w:r>
          </w:p>
        </w:tc>
        <w:tc>
          <w:tcPr/>
          <w:p>
            <w:pPr>
              <w:pStyle w:val="Compact"/>
            </w:pPr>
            <w:r>
              <w:t xml:space="preserve">Linea guida sul dolore cronico TMD</w:t>
            </w:r>
          </w:p>
        </w:tc>
        <w:tc>
          <w:tcPr/>
          <w:p>
            <w:pPr>
              <w:pStyle w:val="Compact"/>
            </w:pPr>
            <w:r>
              <w:t xml:space="preserve">Sapere quale leva attiva ha raccomandazione forte</w:t>
            </w:r>
          </w:p>
        </w:tc>
      </w:tr>
      <w:tr>
        <w:tc>
          <w:tcPr/>
          <w:p>
            <w:pPr>
              <w:pStyle w:val="Compact"/>
            </w:pPr>
            <w:r>
              <w:t xml:space="preserve">Graham, 2026 (41735990)</w:t>
            </w:r>
          </w:p>
        </w:tc>
        <w:tc>
          <w:tcPr/>
          <w:p>
            <w:pPr>
              <w:pStyle w:val="Compact"/>
            </w:pPr>
            <w:r>
              <w:t xml:space="preserve">Approcci comportamentali, nove studi</w:t>
            </w:r>
          </w:p>
        </w:tc>
        <w:tc>
          <w:tcPr/>
          <w:p>
            <w:pPr>
              <w:pStyle w:val="Compact"/>
            </w:pPr>
            <w:r>
              <w:t xml:space="preserve">Insegnare l’autosservazione diurna</w:t>
            </w:r>
          </w:p>
        </w:tc>
      </w:tr>
    </w:tbl>
    <w:p>
      <w:pPr>
        <w:pStyle w:val="BodyText"/>
      </w:pPr>
      <w:r>
        <w:t xml:space="preserve">Una di queste righe porta l’affermazione che regge tutto il capitolo, e va letta per esteso.</w:t>
      </w:r>
    </w:p>
    <w:p>
      <w:pPr>
        <w:pStyle w:val="BodyText"/>
      </w:pPr>
      <w:r>
        <w:rPr>
          <w:b/>
          <w:bCs/>
        </w:rPr>
        <w:t xml:space="preserve">Contro un trattamento finto, la terapia manuale sul rachide cervicale alto abbassa il dolore temporo-mandibolare di 1,93 punti su una scala di dieci e aumenta l’apertura di 2,11 millimetri. Non modifica la soglia dolorosa dei masseteri né quella dei temporali.</w:t>
      </w:r>
      <w:r>
        <w:t xml:space="preserve"> </w:t>
      </w:r>
      <w:r>
        <w:t xml:space="preserve">Il dato viene da otto studi randomizzati e 437 partecipanti con disfunzione temporo-mandibolare,</w:t>
      </w:r>
      <w:r>
        <w:t xml:space="preserve"> </w:t>
      </w:r>
      <w:r>
        <w:rPr>
          <w:b/>
          <w:bCs/>
        </w:rPr>
        <w:t xml:space="preserve">non con bruxismo diagnosticato</w:t>
      </w:r>
      <w:r>
        <w:t xml:space="preserve">. E vanno letti i limiti, che stanno nello stesso abstract:</w:t>
      </w:r>
      <w:r>
        <w:t xml:space="preserve"> </w:t>
      </w:r>
      <w:r>
        <w:rPr>
          <w:b/>
          <w:bCs/>
        </w:rPr>
        <w:t xml:space="preserve">entrambi gli intervalli di confidenza sfiorano lo zero</w:t>
      </w:r>
      <w:r>
        <w:t xml:space="preserve"> </w:t>
      </w:r>
      <w:r>
        <w:t xml:space="preserve">— da −3,61 a −0,24 punti, da 0,26 a 3,96 millimetri — e gli autori concludono che il beneficio appare</w:t>
      </w:r>
      <w:r>
        <w:t xml:space="preserve"> </w:t>
      </w:r>
      <w:r>
        <w:rPr>
          <w:b/>
          <w:bCs/>
        </w:rPr>
        <w:t xml:space="preserve">limitato</w:t>
      </w:r>
      <w:r>
        <w:t xml:space="preserve">. In parole povere: l’effetto vero potrebbe essere clinicamente trascurabile.</w:t>
      </w:r>
    </w:p>
    <w:p>
      <w:pPr>
        <w:pStyle w:val="BodyText"/>
      </w:pPr>
      <w:r>
        <w:rPr>
          <w:b/>
          <w:bCs/>
        </w:rPr>
        <w:t xml:space="preserve">Per te:</w:t>
      </w:r>
      <w:r>
        <w:t xml:space="preserve"> </w:t>
      </w:r>
      <w:r>
        <w:t xml:space="preserve">è il numero che ti dice cosa dichiarare e cosa no. Dolore e apertura sono gli esiti su cui verifichi, e li dichiari</w:t>
      </w:r>
      <w:r>
        <w:t xml:space="preserve"> </w:t>
      </w:r>
      <w:r>
        <w:rPr>
          <w:b/>
          <w:bCs/>
        </w:rPr>
        <w:t xml:space="preserve">con i numeri e con la popolazione da cui vengono</w:t>
      </w:r>
      <w:r>
        <w:t xml:space="preserve"> </w:t>
      </w:r>
      <w:r>
        <w:t xml:space="preserve">— medie di gruppo, su pazienti con disturbo temporo-mandibolare. Non sono un risultato promesso a questo paziente. E</w:t>
      </w:r>
      <w:r>
        <w:t xml:space="preserve"> </w:t>
      </w:r>
      <w:r>
        <w:t xml:space="preserve">“il muscolo diventerà più tollerante alla pressione”</w:t>
      </w:r>
      <w:r>
        <w:t xml:space="preserve"> </w:t>
      </w:r>
      <w:r>
        <w:t xml:space="preserve">non è nemmeno un esito atteso: nel confronto più pulito che esista quella misura non si è mossa. (Lam,</w:t>
      </w:r>
      <w:r>
        <w:t xml:space="preserve"> </w:t>
      </w:r>
      <w:r>
        <w:rPr>
          <w:i/>
          <w:iCs/>
        </w:rPr>
        <w:t xml:space="preserve">Arch Rehabil Res Clin Transl</w:t>
      </w:r>
      <w:r>
        <w:t xml:space="preserve"> </w:t>
      </w:r>
      <w:r>
        <w:t xml:space="preserve">2023 — PMID 36968167)</w:t>
      </w:r>
    </w:p>
    <w:p>
      <w:pPr>
        <w:pStyle w:val="BodyText"/>
      </w:pPr>
      <w:r>
        <w:t xml:space="preserve">Il confronto fra esercizio e bite su 63 pazienti sta in «Cosa può fare il paziente da solo». Sul biofeedback, la stimolazione elettrica erogata quando il muscolo si contrae riduce gli episodi dopo cinque notti (Jokubauskas,</w:t>
      </w:r>
      <w:r>
        <w:t xml:space="preserve"> </w:t>
      </w:r>
      <w:r>
        <w:rPr>
          <w:i/>
          <w:iCs/>
        </w:rPr>
        <w:t xml:space="preserve">J Oral Rehabil</w:t>
      </w:r>
      <w:r>
        <w:t xml:space="preserve"> </w:t>
      </w:r>
      <w:r>
        <w:t xml:space="preserve">2018 — PMID 29577362): serve a sapere che</w:t>
      </w:r>
      <w:r>
        <w:t xml:space="preserve"> </w:t>
      </w:r>
      <w:r>
        <w:rPr>
          <w:b/>
          <w:bCs/>
        </w:rPr>
        <w:t xml:space="preserve">il numero di episodi è modificabile</w:t>
      </w:r>
      <w:r>
        <w:t xml:space="preserve">. L’assenza di dati sulle nostre mani è un vuoto, non un risultato negativo.</w:t>
      </w:r>
    </w:p>
    <w:bookmarkEnd w:id="60"/>
    <w:bookmarkStart w:id="61" w:name="il-cerchio-2-con-i-suoi-ponti"/>
    <w:p>
      <w:pPr>
        <w:pStyle w:val="Heading3"/>
      </w:pPr>
      <w:r>
        <w:t xml:space="preserve">Il cerchio 2, con i suoi ponti</w:t>
      </w:r>
    </w:p>
    <w:p>
      <w:pPr>
        <w:pStyle w:val="FirstParagraph"/>
      </w:pPr>
      <w:r>
        <w:rPr>
          <w:b/>
          <w:bCs/>
        </w:rPr>
        <w:t xml:space="preserve">Il collo cambia la sensibilità dei masticatori.</w:t>
      </w:r>
      <w:r>
        <w:t xml:space="preserve"> </w:t>
      </w:r>
      <w:r>
        <w:t xml:space="preserve">Dieci sedute in cinque settimane di mobilizzazione ed esercizio sul rachide cervicale hanno aumentato due misure: la soglia dolorosa di massetere e temporale, e l’apertura senza dolore. Gli effetti si sono mantenuti a dodici settimane (La Touche,</w:t>
      </w:r>
      <w:r>
        <w:t xml:space="preserve"> </w:t>
      </w:r>
      <w:r>
        <w:rPr>
          <w:i/>
          <w:iCs/>
        </w:rPr>
        <w:t xml:space="preserve">J Oral Rehabil</w:t>
      </w:r>
      <w:r>
        <w:t xml:space="preserve"> </w:t>
      </w:r>
      <w:r>
        <w:t xml:space="preserve">2009 — PMID 19627454).</w:t>
      </w:r>
      <w:r>
        <w:t xml:space="preserve"> </w:t>
      </w:r>
      <w:r>
        <w:rPr>
          <w:b/>
          <w:bCs/>
        </w:rPr>
        <w:t xml:space="preserve">Diciannove pazienti con disturbo temporo-mandibolare miofasciale, senza gruppo di controllo, non con bruxismo.</w:t>
      </w:r>
    </w:p>
    <w:p>
      <w:pPr>
        <w:pStyle w:val="BodyText"/>
      </w:pPr>
      <w:r>
        <w:rPr>
          <w:b/>
          <w:bCs/>
        </w:rPr>
        <w:t xml:space="preserve">Il tocco lento ha un canale nervoso dedicato, e codifica il piacevole.</w:t>
      </w:r>
      <w:r>
        <w:t xml:space="preserve"> </w:t>
      </w:r>
      <w:r>
        <w:t xml:space="preserve">Nella microneurografia umana i meccanocettori amielinici rispondono al massimo fra 1 e 10 centimetri al secondo, le stesse velocità giudicate più piacevoli (Löken,</w:t>
      </w:r>
      <w:r>
        <w:t xml:space="preserve"> </w:t>
      </w:r>
      <w:r>
        <w:rPr>
          <w:i/>
          <w:iCs/>
        </w:rPr>
        <w:t xml:space="preserve">Nat Neurosci</w:t>
      </w:r>
      <w:r>
        <w:t xml:space="preserve"> </w:t>
      </w:r>
      <w:r>
        <w:t xml:space="preserve">2009 — PMID 19363489).</w:t>
      </w:r>
      <w:r>
        <w:t xml:space="preserve"> </w:t>
      </w:r>
      <w:r>
        <w:rPr>
          <w:b/>
          <w:bCs/>
        </w:rPr>
        <w:t xml:space="preserve">È un codice di piacevolezza a proiezione insulare, misurato su volontari sani: non è una via di spegnimento del simpatico, e non va usato come se lo fosse.</w:t>
      </w:r>
    </w:p>
    <w:p>
      <w:pPr>
        <w:pStyle w:val="BodyText"/>
      </w:pPr>
      <w:r>
        <w:rPr>
          <w:b/>
          <w:bCs/>
        </w:rPr>
        <w:t xml:space="preserve">Il respiro lento sposta gli indici vagali.</w:t>
      </w:r>
      <w:r>
        <w:t xml:space="preserve"> </w:t>
      </w:r>
      <w:r>
        <w:t xml:space="preserve">Il respiro volontariamente rallentato aumenta la variabilità della frequenza cardiaca di origine vagale. La finestra che conta per noi è quella misurata</w:t>
      </w:r>
      <w:r>
        <w:t xml:space="preserve"> </w:t>
      </w:r>
      <w:r>
        <w:rPr>
          <w:b/>
          <w:bCs/>
        </w:rPr>
        <w:t xml:space="preserve">dopo un ciclo di sedute</w:t>
      </w:r>
      <w:r>
        <w:t xml:space="preserve">, e la sintesi raccoglie 49 studi (Laborde,</w:t>
      </w:r>
      <w:r>
        <w:t xml:space="preserve"> </w:t>
      </w:r>
      <w:r>
        <w:rPr>
          <w:i/>
          <w:iCs/>
        </w:rPr>
        <w:t xml:space="preserve">Neurosci Biobehav Rev</w:t>
      </w:r>
      <w:r>
        <w:t xml:space="preserve"> </w:t>
      </w:r>
      <w:r>
        <w:t xml:space="preserve">2022 — PMID 35623448).</w:t>
      </w:r>
      <w:r>
        <w:t xml:space="preserve"> </w:t>
      </w:r>
      <w:r>
        <w:rPr>
          <w:b/>
          <w:bCs/>
        </w:rPr>
        <w:t xml:space="preserve">Misurato in larga parte su soggetti sani, e su un indice cardiaco, non sugli episodi notturni.</w:t>
      </w:r>
    </w:p>
    <w:p>
      <w:pPr>
        <w:pStyle w:val="BodyText"/>
      </w:pPr>
      <w:r>
        <w:rPr>
          <w:b/>
          <w:bCs/>
        </w:rPr>
        <w:t xml:space="preserve">Il contesto del trattamento non è un contorno.</w:t>
      </w:r>
      <w:r>
        <w:t xml:space="preserve"> </w:t>
      </w:r>
      <w:r>
        <w:t xml:space="preserve">Terapeuta, paziente, relazione e ambiente interagiscono con l’effetto specifico e possono aumentarlo o ridurlo (Testa &amp; Rossettini,</w:t>
      </w:r>
      <w:r>
        <w:t xml:space="preserve"> </w:t>
      </w:r>
      <w:r>
        <w:rPr>
          <w:i/>
          <w:iCs/>
        </w:rPr>
        <w:t xml:space="preserve">Man Ther</w:t>
      </w:r>
      <w:r>
        <w:t xml:space="preserve"> </w:t>
      </w:r>
      <w:r>
        <w:t xml:space="preserve">2016 — PMID 27133031; Rossettini,</w:t>
      </w:r>
      <w:r>
        <w:t xml:space="preserve"> </w:t>
      </w:r>
      <w:r>
        <w:rPr>
          <w:i/>
          <w:iCs/>
        </w:rPr>
        <w:t xml:space="preserve">BMC Musculoskelet Disord</w:t>
      </w:r>
      <w:r>
        <w:t xml:space="preserve"> </w:t>
      </w:r>
      <w:r>
        <w:t xml:space="preserve">2018 — PMID 29357856).</w:t>
      </w:r>
      <w:r>
        <w:t xml:space="preserve"> </w:t>
      </w:r>
      <w:r>
        <w:rPr>
          <w:b/>
          <w:bCs/>
        </w:rPr>
        <w:t xml:space="preserve">Descritto per il dolore muscolo-scheletrico in generale, non per il bruxismo.</w:t>
      </w:r>
    </w:p>
    <w:p>
      <w:pPr>
        <w:pStyle w:val="BodyText"/>
      </w:pPr>
      <w:r>
        <w:rPr>
          <w:b/>
          <w:bCs/>
        </w:rPr>
        <w:t xml:space="preserve">E una fonte che va contro di noi, e resta — riportata per intero.</w:t>
      </w:r>
      <w:r>
        <w:t xml:space="preserve"> </w:t>
      </w:r>
      <w:r>
        <w:t xml:space="preserve">La sintesi di venti studi randomizzati sugli effetti psicofisiologici del trattamento manuale osteopatico non trova effetto su ansia e stress. Trova invece un</w:t>
      </w:r>
      <w:r>
        <w:t xml:space="preserve"> </w:t>
      </w:r>
      <w:r>
        <w:rPr>
          <w:b/>
          <w:bCs/>
        </w:rPr>
        <w:t xml:space="preserve">aumento della conduttanza cutanea</w:t>
      </w:r>
      <w:r>
        <w:t xml:space="preserve">, cioè della sudorazione della pelle, che sale quando il sistema si attiva. La stessa revisione trova però anche una</w:t>
      </w:r>
      <w:r>
        <w:t xml:space="preserve"> </w:t>
      </w:r>
      <w:r>
        <w:rPr>
          <w:b/>
          <w:bCs/>
        </w:rPr>
        <w:t xml:space="preserve">riduzione dei punteggi di depressione</w:t>
      </w:r>
      <w:r>
        <w:t xml:space="preserve">, più marcata proprio nelle popolazioni con dolore (Gordon,</w:t>
      </w:r>
      <w:r>
        <w:t xml:space="preserve"> </w:t>
      </w:r>
      <w:r>
        <w:rPr>
          <w:i/>
          <w:iCs/>
        </w:rPr>
        <w:t xml:space="preserve">BMJ Open</w:t>
      </w:r>
      <w:r>
        <w:t xml:space="preserve"> </w:t>
      </w:r>
      <w:r>
        <w:t xml:space="preserve">2025 — PMID 39920074). Sulla cervicale la direzione è più netta: contro placebo e in doppio cieco la conduttanza sale e la temperatura cutanea scende, insieme a una riduzione del dolore (Sterling,</w:t>
      </w:r>
      <w:r>
        <w:t xml:space="preserve"> </w:t>
      </w:r>
      <w:r>
        <w:rPr>
          <w:i/>
          <w:iCs/>
        </w:rPr>
        <w:t xml:space="preserve">Man Ther</w:t>
      </w:r>
      <w:r>
        <w:t xml:space="preserve"> </w:t>
      </w:r>
      <w:r>
        <w:t xml:space="preserve">2001 — PMID 11414776).</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l’affermazione «dove la direzione è stata misurata, va verso l’attivazione e non verso la calma». L’aumento di conduttanza di Gordon ha un intervallo di confidenza che tocca lo zero, e Sterling è uno studio su trenta pazienti con cervicalgia, a misura immediata.</w:t>
      </w:r>
    </w:p>
    <w:p>
      <w:pPr>
        <w:pStyle w:val="BlockText"/>
      </w:pPr>
      <w:r>
        <w:rPr>
          <w:b/>
          <w:bCs/>
        </w:rPr>
        <w:t xml:space="preserve">Cosa cambia per te.</w:t>
      </w:r>
      <w:r>
        <w:t xml:space="preserve"> </w:t>
      </w:r>
      <w:r>
        <w:t xml:space="preserve">Non dire al paziente che il trattamento</w:t>
      </w:r>
      <w:r>
        <w:t xml:space="preserve"> </w:t>
      </w:r>
      <w:r>
        <w:t xml:space="preserve">“rilassa il sistema nervoso”</w:t>
      </w:r>
      <w:r>
        <w:t xml:space="preserve">: dove la direzione è stata misurata va dall’altra parte. Di’ che abbassa il dolore, perché è quello che è stato misurato. Non toglie la leva sul dolore, che negli stessi studi c’è: toglie la spiegazione.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bookmarkEnd w:id="61"/>
    <w:bookmarkStart w:id="62" w:name="cosa-possiamo-dire-e-cosa-no"/>
    <w:p>
      <w:pPr>
        <w:pStyle w:val="Heading3"/>
      </w:pPr>
      <w:r>
        <w:t xml:space="preserve">Cosa possiamo dire, e cosa no</w:t>
      </w:r>
    </w:p>
    <w:p>
      <w:pPr>
        <w:pStyle w:val="BlockText"/>
      </w:pPr>
      <w:r>
        <w:t xml:space="preserve">Questo elenco è ciò che possiamo sostenere</w:t>
      </w:r>
      <w:r>
        <w:t xml:space="preserve"> </w:t>
      </w:r>
      <w:r>
        <w:rPr>
          <w:b/>
          <w:bCs/>
        </w:rPr>
        <w:t xml:space="preserve">davanti a un collega</w:t>
      </w:r>
      <w:r>
        <w:t xml:space="preserve">. Ciò che si dice al paziente sta in «Cosa dire al paziente», ed è più stretto.</w:t>
      </w:r>
    </w:p>
    <w:p>
      <w:pPr>
        <w:pStyle w:val="FirstParagraph"/>
      </w:pPr>
      <w:r>
        <w:rPr>
          <w:b/>
          <w:bCs/>
        </w:rPr>
        <w:t xml:space="preserve">Possiamo dire</w:t>
      </w:r>
    </w:p>
    <w:p>
      <w:pPr>
        <w:pStyle w:val="Compact"/>
        <w:numPr>
          <w:ilvl w:val="0"/>
          <w:numId w:val="1024"/>
        </w:numPr>
      </w:pPr>
      <w:r>
        <w:t xml:space="preserve">Che il bruxismo del sonno nasce da una riattivazione del sonno, non dai denti né dall’occlusione.</w:t>
      </w:r>
    </w:p>
    <w:p>
      <w:pPr>
        <w:pStyle w:val="Compact"/>
        <w:numPr>
          <w:ilvl w:val="0"/>
          <w:numId w:val="1024"/>
        </w:numPr>
      </w:pPr>
      <w:r>
        <w:t xml:space="preserve">Che la forza esercitata di notte è misurata, elevata e talvolta superiore alla massima volontaria diurna.</w:t>
      </w:r>
    </w:p>
    <w:p>
      <w:pPr>
        <w:pStyle w:val="Compact"/>
        <w:numPr>
          <w:ilvl w:val="0"/>
          <w:numId w:val="1024"/>
        </w:numPr>
      </w:pPr>
      <w:r>
        <w:t xml:space="preserve">Che collo e mandibola formano un’unica funzione motoria.</w:t>
      </w:r>
    </w:p>
    <w:p>
      <w:pPr>
        <w:pStyle w:val="Compact"/>
        <w:numPr>
          <w:ilvl w:val="0"/>
          <w:numId w:val="1024"/>
        </w:numPr>
      </w:pPr>
      <w:r>
        <w:t xml:space="preserve">Che la terapia manuale sul collo alto riduce il dolore e aumenta l’apertura contro trattamento finto, con un beneficio che gli autori definiscono limitato e su pazienti con disturbo temporo-mandibolare.</w:t>
      </w:r>
    </w:p>
    <w:p>
      <w:pPr>
        <w:pStyle w:val="Compact"/>
        <w:numPr>
          <w:ilvl w:val="0"/>
          <w:numId w:val="1024"/>
        </w:numPr>
      </w:pPr>
      <w:r>
        <w:t xml:space="preserve">Che l’esercizio mandibolare regge il confronto con il bite su dolore e abitudini orali.</w:t>
      </w:r>
    </w:p>
    <w:p>
      <w:pPr>
        <w:pStyle w:val="Compact"/>
        <w:numPr>
          <w:ilvl w:val="0"/>
          <w:numId w:val="1024"/>
        </w:numPr>
      </w:pPr>
      <w:r>
        <w:t xml:space="preserve">Che le prove disponibili non dimostrano che il bite riduca il bruxismo del sonno, e che questo non toglie nulla alla sua funzione di protezione dei denti, che resta e va tenuta.</w:t>
      </w:r>
    </w:p>
    <w:p>
      <w:pPr>
        <w:pStyle w:val="Compact"/>
        <w:numPr>
          <w:ilvl w:val="0"/>
          <w:numId w:val="1024"/>
        </w:numPr>
      </w:pPr>
      <w:r>
        <w:t xml:space="preserve">Che alcol, tabacco, caffè, acido esofageo e diversi farmaci si associano a più attività notturna.</w:t>
      </w:r>
    </w:p>
    <w:p>
      <w:pPr>
        <w:pStyle w:val="Compact"/>
        <w:numPr>
          <w:ilvl w:val="0"/>
          <w:numId w:val="1024"/>
        </w:numPr>
      </w:pPr>
      <w:r>
        <w:t xml:space="preserve">Che il dolore di questi pazienti non è spiegato dal solo sovraccarico muscolare.</w:t>
      </w:r>
    </w:p>
    <w:p>
      <w:pPr>
        <w:pStyle w:val="FirstParagraph"/>
      </w:pPr>
      <w:r>
        <w:rPr>
          <w:b/>
          <w:bCs/>
        </w:rPr>
        <w:t xml:space="preserve">Non possiamo dire</w:t>
      </w:r>
    </w:p>
    <w:p>
      <w:pPr>
        <w:pStyle w:val="Compact"/>
        <w:numPr>
          <w:ilvl w:val="0"/>
          <w:numId w:val="1025"/>
        </w:numPr>
      </w:pPr>
      <w:r>
        <w:t xml:space="preserve">Che il trattamento manuale riduca il numero di episodi notturni.</w:t>
      </w:r>
      <w:r>
        <w:t xml:space="preserve"> </w:t>
      </w:r>
      <w:r>
        <w:rPr>
          <w:b/>
          <w:bCs/>
        </w:rPr>
        <w:t xml:space="preserve">Nessuno li ha contati prima e dopo.</w:t>
      </w:r>
    </w:p>
    <w:p>
      <w:pPr>
        <w:pStyle w:val="Compact"/>
        <w:numPr>
          <w:ilvl w:val="0"/>
          <w:numId w:val="1025"/>
        </w:numPr>
      </w:pPr>
      <w:r>
        <w:t xml:space="preserve">Che il trattamento</w:t>
      </w:r>
      <w:r>
        <w:t xml:space="preserve"> </w:t>
      </w:r>
      <w:r>
        <w:t xml:space="preserve">“rilassi il sistema nervoso”</w:t>
      </w:r>
      <w:r>
        <w:t xml:space="preserve">. Dove misurata, la direzione va verso l’attivazione.</w:t>
      </w:r>
    </w:p>
    <w:p>
      <w:pPr>
        <w:pStyle w:val="Compact"/>
        <w:numPr>
          <w:ilvl w:val="0"/>
          <w:numId w:val="1025"/>
        </w:numPr>
      </w:pPr>
      <w:r>
        <w:t xml:space="preserve">Che il bruxismo si curi o che smetta. È un’attività muscolare, e non ha una guarigione dichiarata.</w:t>
      </w:r>
    </w:p>
    <w:p>
      <w:pPr>
        <w:pStyle w:val="Compact"/>
        <w:numPr>
          <w:ilvl w:val="0"/>
          <w:numId w:val="1025"/>
        </w:numPr>
      </w:pPr>
      <w:r>
        <w:t xml:space="preserve">Che l’occlusione sia la causa, o che correggerla sia il trattamento.</w:t>
      </w:r>
    </w:p>
    <w:p>
      <w:pPr>
        <w:pStyle w:val="Compact"/>
        <w:numPr>
          <w:ilvl w:val="0"/>
          <w:numId w:val="1025"/>
        </w:numPr>
      </w:pPr>
      <w:r>
        <w:t xml:space="preserve">Che l’usura dentale si fermi grazie a noi.</w:t>
      </w:r>
    </w:p>
    <w:p>
      <w:pPr>
        <w:pStyle w:val="Compact"/>
        <w:numPr>
          <w:ilvl w:val="0"/>
          <w:numId w:val="1025"/>
        </w:numPr>
      </w:pPr>
      <w:r>
        <w:t xml:space="preserve">Che il legamento discomalleolare spieghi i sintomi dell’orecchio: lo studio che lo descrive nega quel ruolo.</w:t>
      </w:r>
    </w:p>
    <w:p>
      <w:pPr>
        <w:pStyle w:val="Compact"/>
        <w:numPr>
          <w:ilvl w:val="0"/>
          <w:numId w:val="1025"/>
        </w:numPr>
      </w:pPr>
      <w:r>
        <w:t xml:space="preserve">Che il sonno agisca abbassando la soglia del dolore: nella coorte che l’ha verificato la sensibilità sperimentale al dolore</w:t>
      </w:r>
      <w:r>
        <w:t xml:space="preserve"> </w:t>
      </w:r>
      <w:r>
        <w:rPr>
          <w:b/>
          <w:bCs/>
        </w:rPr>
        <w:t xml:space="preserve">non</w:t>
      </w:r>
      <w:r>
        <w:t xml:space="preserve"> </w:t>
      </w:r>
      <w:r>
        <w:t xml:space="preserve">mediava il rapporto fra sonno e comparsa del sintomo. La strada esiste; non è quella.</w:t>
      </w:r>
    </w:p>
    <w:p>
      <w:pPr>
        <w:pStyle w:val="Compact"/>
        <w:numPr>
          <w:ilvl w:val="0"/>
          <w:numId w:val="1025"/>
        </w:numPr>
      </w:pPr>
      <w:r>
        <w:t xml:space="preserve">Che questi pazienti abbiano una modulazione endogena del dolore compromessa: sui sette studi che l’hanno misurata l’evidenza è dichiarata molto scarsa.</w:t>
      </w:r>
    </w:p>
    <w:p>
      <w:pPr>
        <w:pStyle w:val="FirstParagraph"/>
      </w:pPr>
      <w:r>
        <w:rPr>
          <w:b/>
          <w:bCs/>
        </w:rPr>
        <w:t xml:space="preserve">E una cosa su cui la letteratura non è concorde.</w:t>
      </w:r>
      <w:r>
        <w:t xml:space="preserve"> </w:t>
      </w:r>
      <w:r>
        <w:t xml:space="preserve">Nella sintesi contro trattamento finto la soglia dolorosa dei masticatori non si è mossa. Due studi minori l’hanno però vista salire: uno senza gruppo di controllo (La Touche, PMID 19627454) e uno che confronta tre tecniche attive fra loro, senza braccio finto (El-Gendy,</w:t>
      </w:r>
      <w:r>
        <w:t xml:space="preserve"> </w:t>
      </w:r>
      <w:r>
        <w:rPr>
          <w:i/>
          <w:iCs/>
        </w:rPr>
        <w:t xml:space="preserve">Front Neurol</w:t>
      </w:r>
      <w:r>
        <w:t xml:space="preserve"> </w:t>
      </w:r>
      <w:r>
        <w:t xml:space="preserve">2022 — PMID 36570455). Non basta a promettere quell’effetto, e basta a non dichiararlo impossibile.</w:t>
      </w:r>
    </w:p>
    <w:bookmarkEnd w:id="62"/>
    <w:bookmarkStart w:id="63" w:name="quando-la-scienza-tace"/>
    <w:p>
      <w:pPr>
        <w:pStyle w:val="Heading3"/>
      </w:pPr>
      <w:r>
        <w:t xml:space="preserve">Quando la scienza tace</w:t>
      </w:r>
    </w:p>
    <w:p>
      <w:pPr>
        <w:pStyle w:val="FirstParagraph"/>
      </w:pPr>
      <w:r>
        <w:t xml:space="preserve">La letteratura specifica è sottile, e va detto con precisione: la revisione sistematica dedicata agli interventi di fisioterapia sul bruxismo ha trovato</w:t>
      </w:r>
      <w:r>
        <w:t xml:space="preserve"> </w:t>
      </w:r>
      <w:r>
        <w:rPr>
          <w:b/>
          <w:bCs/>
        </w:rPr>
        <w:t xml:space="preserve">quindici studi in tutto</w:t>
      </w:r>
      <w:r>
        <w:t xml:space="preserve">, quasi tutti ad alto rischio di errore sistematico (de Oliveira Souza,</w:t>
      </w:r>
      <w:r>
        <w:t xml:space="preserve"> </w:t>
      </w:r>
      <w:r>
        <w:rPr>
          <w:i/>
          <w:iCs/>
        </w:rPr>
        <w:t xml:space="preserve">Dent Med Probl</w:t>
      </w:r>
      <w:r>
        <w:t xml:space="preserve"> </w:t>
      </w:r>
      <w:r>
        <w:t xml:space="preserve">2026 — PMID 42497348).</w:t>
      </w:r>
    </w:p>
    <w:p>
      <w:pPr>
        <w:pStyle w:val="BodyText"/>
      </w:pPr>
      <w:r>
        <w:rPr>
          <w:b/>
          <w:bCs/>
        </w:rPr>
        <w:t xml:space="preserve">1. Assenza di prove non è prova di assenza.</w:t>
      </w:r>
      <w:r>
        <w:t xml:space="preserve"> </w:t>
      </w:r>
      <w:r>
        <w:t xml:space="preserve">Che nessuno abbia contato gli episodi notturni prima e dopo un trattamento manuale non dice niente sull’effetto di quel trattamento: dice che nessuno l’ha misurato. Vale anche contro di noi, ed è per questo che sulle apnee scriviamo</w:t>
      </w:r>
      <w:r>
        <w:t xml:space="preserve"> </w:t>
      </w:r>
      <w:r>
        <w:rPr>
          <w:i/>
          <w:iCs/>
        </w:rPr>
        <w:t xml:space="preserve">“non è stata trovata un’associazione, con intervalli larghi e studi di bassa qualità”</w:t>
      </w:r>
      <w:r>
        <w:t xml:space="preserve"> </w:t>
      </w:r>
      <w:r>
        <w:t xml:space="preserve">e non</w:t>
      </w:r>
      <w:r>
        <w:t xml:space="preserve"> </w:t>
      </w:r>
      <w:r>
        <w:rPr>
          <w:i/>
          <w:iCs/>
        </w:rPr>
        <w:t xml:space="preserve">“non c’è associazione”</w:t>
      </w:r>
      <w:r>
        <w:t xml:space="preserve">.</w:t>
      </w:r>
    </w:p>
    <w:p>
      <w:pPr>
        <w:pStyle w:val="BodyText"/>
      </w:pPr>
      <w:r>
        <w:rPr>
          <w:b/>
          <w:bCs/>
        </w:rPr>
        <w:t xml:space="preserve">2. Perché quella letteratura non esiste.</w:t>
      </w:r>
      <w:r>
        <w:t xml:space="preserve"> </w:t>
      </w:r>
      <w:r>
        <w:t xml:space="preserve">Non perché gli studi siano stati fatti e risultati negativi — quello sarebbe un dato, e starebbe in «cosa non possiamo dire». Non esiste perché quegli studi non sono stati fatti. Contare gli episodi richiede una notte in laboratorio del sonno per ogni misura, prima e dopo, per ogni paziente. E per il tocco non esiste un placebo credibile.</w:t>
      </w:r>
    </w:p>
    <w:p>
      <w:pPr>
        <w:pStyle w:val="BodyText"/>
      </w:pPr>
      <w:r>
        <w:rPr>
          <w:b/>
          <w:bCs/>
        </w:rPr>
        <w:t xml:space="preserve">3. Su cosa ti basi allora.</w:t>
      </w:r>
      <w:r>
        <w:t xml:space="preserve"> </w:t>
      </w:r>
      <w:r>
        <w:t xml:space="preserve">Su tre cose. Sul</w:t>
      </w:r>
      <w:r>
        <w:t xml:space="preserve"> </w:t>
      </w:r>
      <w:r>
        <w:rPr>
          <w:b/>
          <w:bCs/>
        </w:rPr>
        <w:t xml:space="preserve">meccanismo fisiologico</w:t>
      </w:r>
      <w:r>
        <w:t xml:space="preserve"> </w:t>
      </w:r>
      <w:r>
        <w:t xml:space="preserve">dei cerchi 2 e 3.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un marker scelto prima di trattare, su un piano che non tratterai, letto sapendo che due pazienti su tre migliorano almeno una volta da soli.</w:t>
      </w:r>
    </w:p>
    <w:p>
      <w:pPr>
        <w:pStyle w:val="BodyText"/>
      </w:pPr>
      <w:r>
        <w:rPr>
          <w:b/>
          <w:bCs/>
        </w:rPr>
        <w:t xml:space="preserve">4. Cosa separa tutto questo dal pensiero magico.</w:t>
      </w:r>
      <w:r>
        <w:t xml:space="preserve"> </w:t>
      </w:r>
      <w:r>
        <w:t xml:space="preserve">La verifica, e nient’altro. Scegliere l’apertura in millimetri prima di toccare e accettarne il verdetto è scienza applicata a un caso singolo. Sceglierla dopo aver visto il paziente sorridere non lo è.</w:t>
      </w:r>
    </w:p>
    <w:p>
      <w:pPr>
        <w:pStyle w:val="BodyText"/>
      </w:pPr>
      <w:r>
        <w:rPr>
          <w:b/>
          <w:bCs/>
        </w:rPr>
        <w:t xml:space="preserve">5. Cosa questo non autorizza.</w:t>
      </w:r>
      <w:r>
        <w:t xml:space="preserve"> </w:t>
      </w:r>
      <w:r>
        <w:t xml:space="preserve">Non a promettere un esito. Non a scrivere DIMOSTRATO dove c’è IPOTESI. Non a dire al paziente che</w:t>
      </w:r>
      <w:r>
        <w:t xml:space="preserve"> </w:t>
      </w:r>
      <w:r>
        <w:t xml:space="preserve">“gli studi lo confermano”</w:t>
      </w:r>
      <w:r>
        <w:t xml:space="preserve">.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6"/>
        </w:numPr>
      </w:pPr>
      <w:r>
        <w:t xml:space="preserve">Il meccanismo è solido, la leva è debole: tienile separate quando parli, e nessuno potrà smontarti.</w:t>
      </w:r>
    </w:p>
    <w:p>
      <w:pPr>
        <w:pStyle w:val="Compact"/>
        <w:numPr>
          <w:ilvl w:val="0"/>
          <w:numId w:val="1026"/>
        </w:numPr>
      </w:pPr>
      <w:r>
        <w:t xml:space="preserve">Contro trattamento finto abbiamo dolore e apertura, con intervalli che sfiorano lo zero e su un’altra popolazione. Sono esiti da dichiarare, non risultati da promettere.</w:t>
      </w:r>
    </w:p>
    <w:p>
      <w:pPr>
        <w:pStyle w:val="Compact"/>
        <w:numPr>
          <w:ilvl w:val="0"/>
          <w:numId w:val="1026"/>
        </w:numPr>
      </w:pPr>
      <w:r>
        <w:t xml:space="preserve">Nessuno ha mai contato gli episodi prima e dopo le nostre mani. È la frase che ti protegge di più, ed è vera.</w:t>
      </w:r>
    </w:p>
    <w:p>
      <w:pPr>
        <w:pStyle w:val="Compact"/>
        <w:numPr>
          <w:ilvl w:val="0"/>
          <w:numId w:val="1026"/>
        </w:numPr>
      </w:pPr>
      <w:r>
        <w:rPr>
          <w:b/>
          <w:bCs/>
        </w:rPr>
        <w:t xml:space="preserve">Perché ci sei tu.</w:t>
      </w:r>
      <w:r>
        <w:t xml:space="preserve"> </w:t>
      </w:r>
      <w:r>
        <w:t xml:space="preserve">La letteratura sul nostro intervento in questa condizione è una lacuna misurata: quindici studi in decenni, quasi tutti ad alto rischio di errore sistematico. Questo ti autorizza a dire che il campo è poco studiato e che il tuo lavoro poggia su meccanismo, ragionamento e verifica sul singolo paziente. Non ti autorizza a riempire quel vuoto con certezze: un campo poco studiato è un campo in cui misuri di più, non in cui prometti di più. (de Oliveira Souza,</w:t>
      </w:r>
      <w:r>
        <w:t xml:space="preserve"> </w:t>
      </w:r>
      <w:r>
        <w:rPr>
          <w:i/>
          <w:iCs/>
        </w:rPr>
        <w:t xml:space="preserve">Dent Med Probl</w:t>
      </w:r>
      <w:r>
        <w:t xml:space="preserve"> </w:t>
      </w:r>
      <w:r>
        <w:t xml:space="preserve">2026 — PMID 42497348)</w:t>
      </w:r>
    </w:p>
    <w:bookmarkEnd w:id="63"/>
    <w:bookmarkEnd w:id="64"/>
    <w:bookmarkStart w:id="70"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cinque meccanismi le mani ne raggiungono tre, e su nessuno dei tre l’effetto atteso è</w:t>
      </w:r>
      <w:r>
        <w:t xml:space="preserve"> </w:t>
      </w:r>
      <w:r>
        <w:t xml:space="preserve">“meno digrignamento”</w:t>
      </w:r>
      <w:r>
        <w:t xml:space="preser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bookmarkStart w:id="65" w:name="Xca4fd89b165f34bbdbec07d1def550d1b16442b"/>
    <w:p>
      <w:pPr>
        <w:pStyle w:val="Heading3"/>
      </w:pPr>
      <w:r>
        <w:t xml:space="preserve">Sul primo meccanismo — l’episodio che nasce dentro un risveglio</w:t>
      </w:r>
    </w:p>
    <w:p>
      <w:pPr>
        <w:pStyle w:val="FirstParagraph"/>
      </w:pPr>
      <w:r>
        <w:rPr>
          <w:b/>
          <w:bCs/>
        </w:rPr>
        <w:t xml:space="preserve">Su cosa può agire una mano.</w:t>
      </w:r>
      <w:r>
        <w:t xml:space="preserve"> </w:t>
      </w:r>
      <w:r>
        <w:t xml:space="preserve">Sulla dimensione affettiva del sintomo e sull’attenzione che il paziente porta alla mandibola, attraverso contatto lento, ritmo del respiro condotto e tempo dedicato.</w:t>
      </w:r>
      <w:r>
        <w:t xml:space="preserve"> </w:t>
      </w:r>
      <w:r>
        <w:rPr>
          <w:b/>
          <w:bCs/>
        </w:rPr>
        <w:t xml:space="preserve">Non sul tono autonomico:</w:t>
      </w:r>
      <w:r>
        <w:t xml:space="preserve"> </w:t>
      </w:r>
      <w:r>
        <w:t xml:space="preserve">la via documentata fra 1 e 10 centimetri al secondo è un codice di piacevolezza, non una via di spegnimento del simpatico. E dove l’autonomico è stato misurato sulla cervicale, la direzione va verso l’attivazione.</w:t>
      </w:r>
    </w:p>
    <w:p>
      <w:pPr>
        <w:pStyle w:val="BodyText"/>
      </w:pPr>
      <w:r>
        <w:rPr>
          <w:b/>
          <w:bCs/>
        </w:rPr>
        <w:t xml:space="preserve">Che effetto ci si aspetta.</w:t>
      </w:r>
      <w:r>
        <w:t xml:space="preserve"> </w:t>
      </w:r>
      <w:r>
        <w:t xml:space="preserve">Che il contatto diventi tollerabile e che la mandibola smetta di stare al centro dell’attenzione. Non una modifica della sequenza notturna.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Nessuno ha misurato indici autonomici del sonno o episodi notturni prima e dopo un trattamento manuale in pazienti con bruxismo.</w:t>
      </w:r>
    </w:p>
    <w:p>
      <w:pPr>
        <w:pStyle w:val="FirstParagraph"/>
      </w:pPr>
      <w:r>
        <w:rPr>
          <w:b/>
          <w:bCs/>
        </w:rPr>
        <w:t xml:space="preserve">In quanto tempo si vedrebbe.</w:t>
      </w:r>
      <w:r>
        <w:t xml:space="preserve"> </w:t>
      </w:r>
      <w:r>
        <w:t xml:space="preserve">Dentro la seduta, come effetto di stato. Uno spostamento durevole appartiene alla ripetizione.</w:t>
      </w:r>
      <w:r>
        <w:t xml:space="preserve"> </w:t>
      </w:r>
      <w:r>
        <w:rPr>
          <w:b/>
          <w:bCs/>
        </w:rPr>
        <w:t xml:space="preserve">Come lo verifichi:</w:t>
      </w:r>
      <w:r>
        <w:t xml:space="preserve"> </w:t>
      </w:r>
      <w:r>
        <w:t xml:space="preserve">con un marker su un altro piano — apertura o rotazione cervicale — più la frequenza respiratoria a inizio seduta per il piano stesso.</w:t>
      </w:r>
    </w:p>
    <w:bookmarkEnd w:id="65"/>
    <w:bookmarkStart w:id="66" w:name="X24557a1daeb613c27d67a27bb539c139136624c"/>
    <w:p>
      <w:pPr>
        <w:pStyle w:val="Heading3"/>
      </w:pPr>
      <w:r>
        <w:t xml:space="preserve">Sul secondo meccanismo — il muscolo sovraccarico</w:t>
      </w:r>
    </w:p>
    <w:p>
      <w:pPr>
        <w:pStyle w:val="FirstParagraph"/>
      </w:pPr>
      <w:r>
        <w:rPr>
          <w:b/>
          <w:bCs/>
        </w:rPr>
        <w:t xml:space="preserve">Su cosa può agire una mano.</w:t>
      </w:r>
      <w:r>
        <w:t xml:space="preserve"> </w:t>
      </w:r>
      <w:r>
        <w:t xml:space="preserve">Sul</w:t>
      </w:r>
      <w:r>
        <w:t xml:space="preserve"> </w:t>
      </w:r>
      <w:r>
        <w:rPr>
          <w:b/>
          <w:bCs/>
        </w:rPr>
        <w:t xml:space="preserve">comando motorio dei masticatori e sulla tolleranza allo stiramento</w:t>
      </w:r>
      <w:r>
        <w:t xml:space="preserve">, non sulle proprietà del tessuto. Un muscolo non cambia proprietà meccaniche in una seduta. E nella prova migliore che abbiamo il guadagno di apertura si ottiene agendo sul collo, cioè</w:t>
      </w:r>
      <w:r>
        <w:t xml:space="preserve"> </w:t>
      </w:r>
      <w:r>
        <w:rPr>
          <w:b/>
          <w:bCs/>
        </w:rPr>
        <w:t xml:space="preserve">a distanza</w:t>
      </w:r>
      <w:r>
        <w:t xml:space="preserve">: un guadagno immediato e a distanza è una modifica del comando, non del muscolo. Come il volume che alzi dal telecomando: cambia il comando, non l’apparecchio.</w:t>
      </w:r>
    </w:p>
    <w:p>
      <w:pPr>
        <w:pStyle w:val="BodyText"/>
      </w:pPr>
      <w:r>
        <w:rPr>
          <w:b/>
          <w:bCs/>
        </w:rPr>
        <w:t xml:space="preserve">Che effetto ci si aspetta.</w:t>
      </w:r>
      <w:r>
        <w:t xml:space="preserve"> </w:t>
      </w:r>
      <w:r>
        <w:t xml:space="preserve">Meno dolore riferito e più escursione.</w:t>
      </w:r>
      <w:r>
        <w:t xml:space="preserve"> </w:t>
      </w:r>
      <w:r>
        <w:rPr>
          <w:b/>
          <w:bCs/>
        </w:rPr>
        <w:t xml:space="preserve">Non</w:t>
      </w:r>
      <w:r>
        <w:t xml:space="preserve"> </w:t>
      </w:r>
      <w:r>
        <w:t xml:space="preserve">una riduzione della forza notturna, che nessuno ha misurato prima e dopo un trattamento manuale.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contro trattamento finto, in otto studi randomizzati su pazienti con disturbo temporo-mandibolare, con intervalli che sfiorano lo zero e beneficio dichiarato limitato dagli autori; i numeri stanno in «Cosa dice la scienza» (Lam, 2023 — PMID 36968167).</w:t>
      </w:r>
    </w:p>
    <w:p>
      <w:pPr>
        <w:pStyle w:val="FirstParagraph"/>
      </w:pPr>
      <w:r>
        <w:rPr>
          <w:b/>
          <w:bCs/>
        </w:rPr>
        <w:t xml:space="preserve">In quanto tempo si vedrebbe.</w:t>
      </w:r>
      <w:r>
        <w:t xml:space="preserve"> </w:t>
      </w:r>
      <w:r>
        <w:t xml:space="preserve">L’escursione entro la seduta, il dolore nell’arco di settimane. E il guadagno immediato</w:t>
      </w:r>
      <w:r>
        <w:t xml:space="preserve"> </w:t>
      </w:r>
      <w:r>
        <w:rPr>
          <w:b/>
          <w:bCs/>
        </w:rPr>
        <w:t xml:space="preserve">si perde se non viene ripetuto e caricato</w:t>
      </w:r>
      <w:r>
        <w:t xml:space="preserve">: la parte che appartiene al tessuto appartiene alle settimane, e la va a prendere l’esercizio mandibolare di «Cosa può fare il paziente da solo».</w:t>
      </w:r>
    </w:p>
    <w:bookmarkEnd w:id="66"/>
    <w:bookmarkStart w:id="67" w:name="X1a172b93f4771ed2559c335ea94a7782487de8f"/>
    <w:p>
      <w:pPr>
        <w:pStyle w:val="Heading3"/>
      </w:pPr>
      <w:r>
        <w:t xml:space="preserve">Sul terzo meccanismo — mandibola e collo come motore unico</w:t>
      </w:r>
    </w:p>
    <w:p>
      <w:pPr>
        <w:pStyle w:val="FirstParagraph"/>
      </w:pPr>
      <w:r>
        <w:rPr>
          <w:b/>
          <w:bCs/>
        </w:rPr>
        <w:t xml:space="preserve">Su cosa può agire una mano.</w:t>
      </w:r>
      <w:r>
        <w:t xml:space="preserve"> </w:t>
      </w:r>
      <w:r>
        <w:t xml:space="preserve">Sul rachide cervicale alto e sulla disponibilità della testa a estendersi durante l’apertura.</w:t>
      </w:r>
    </w:p>
    <w:p>
      <w:pPr>
        <w:pStyle w:val="BodyText"/>
      </w:pPr>
      <w:r>
        <w:rPr>
          <w:b/>
          <w:bCs/>
        </w:rPr>
        <w:t xml:space="preserve">Che effetto ci si aspetta.</w:t>
      </w:r>
      <w:r>
        <w:t xml:space="preserve"> </w:t>
      </w:r>
      <w:r>
        <w:t xml:space="preserve">Aumento dell’apertura senza dolore e riduzione del dolore temporo-mandibolare.</w:t>
      </w:r>
      <w:r>
        <w:t xml:space="preserve"> </w:t>
      </w:r>
      <w:r>
        <w:rPr>
          <w:b/>
          <w:bCs/>
        </w:rPr>
        <w:t xml:space="preserve">Non</w:t>
      </w:r>
      <w:r>
        <w:t xml:space="preserve"> </w:t>
      </w:r>
      <w:r>
        <w:t xml:space="preserve">un aumento della soglia dolorosa dei masticatori: contro trattamento finto quella misura non si è mossa.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l’effetto su dolore e apertura, con quella restrizione e su una popolazione con disturbo temporo-mandibolare (Lam, PMID 36968167). L’integrazione motoria mandibola-collo, che ne è il razionale, è DIMOSTRATO</w:t>
      </w:r>
      <w:r>
        <w:t xml:space="preserve"> </w:t>
      </w:r>
      <w:r>
        <w:rPr>
          <w:i/>
          <w:iCs/>
        </w:rPr>
        <w:t xml:space="preserve">(studi sull’uomo, solidi)</w:t>
      </w:r>
      <w:r>
        <w:t xml:space="preserve"> </w:t>
      </w:r>
      <w:r>
        <w:t xml:space="preserve">(Eriksson,</w:t>
      </w:r>
      <w:r>
        <w:t xml:space="preserve"> </w:t>
      </w:r>
      <w:r>
        <w:rPr>
          <w:i/>
          <w:iCs/>
        </w:rPr>
        <w:t xml:space="preserve">J Dent Res</w:t>
      </w:r>
      <w:r>
        <w:t xml:space="preserve"> </w:t>
      </w:r>
      <w:r>
        <w:t xml:space="preserve">2000 — PMID 10890716).</w:t>
      </w:r>
    </w:p>
    <w:p>
      <w:pPr>
        <w:pStyle w:val="FirstParagraph"/>
      </w:pPr>
      <w:r>
        <w:rPr>
          <w:b/>
          <w:bCs/>
        </w:rPr>
        <w:t xml:space="preserve">In quanto tempo si vedrebbe.</w:t>
      </w:r>
      <w:r>
        <w:t xml:space="preserve"> </w:t>
      </w:r>
      <w:r>
        <w:t xml:space="preserve">L’apertura si rimisura nella stessa seduta. Se non si muove entro le sedute previste dalla Procedura, l’ipotesi cervicale non era quella giusta.</w:t>
      </w:r>
    </w:p>
    <w:p>
      <w:pPr>
        <w:pStyle w:val="BlockText"/>
      </w:pPr>
      <w:r>
        <w:rPr>
          <w:b/>
          <w:bCs/>
        </w:rPr>
        <w:t xml:space="preserve">Attenzione.</w:t>
      </w:r>
      <w:r>
        <w:t xml:space="preserve"> </w:t>
      </w:r>
      <w:r>
        <w:t xml:space="preserve">È il distretto del box vascolare di «Le strutture in gioco», e il bilancio va fatto qui. È la leva con il confronto più pulito che questa condizione abbia, con un beneficio che gli autori stessi definiscono limitato, sull’unico distretto con un rischio raro ma catastrofico.</w:t>
      </w:r>
      <w:r>
        <w:t xml:space="preserve"> </w:t>
      </w:r>
      <w:r>
        <w:rPr>
          <w:b/>
          <w:bCs/>
        </w:rPr>
        <w:t xml:space="preserve">Le due cose si pesano insieme su ogni paziente, e non le decide una volta per tutte un documento.</w:t>
      </w:r>
    </w:p>
    <w:bookmarkEnd w:id="67"/>
    <w:bookmarkStart w:id="68" w:name="sui-meccanismi-quattro-e-cinque"/>
    <w:p>
      <w:pPr>
        <w:pStyle w:val="Heading3"/>
      </w:pPr>
      <w:r>
        <w:t xml:space="preserve">Sui meccanismi quattro e cinque</w:t>
      </w:r>
    </w:p>
    <w:p>
      <w:pPr>
        <w:pStyle w:val="FirstParagraph"/>
      </w:pPr>
      <w:r>
        <w:rPr>
          <w:b/>
          <w:bCs/>
        </w:rPr>
        <w:t xml:space="preserve">Sulla soglia di percezione</w:t>
      </w:r>
      <w:r>
        <w:t xml:space="preserve"> </w:t>
      </w:r>
      <w:r>
        <w:t xml:space="preserve">le mani agiscono solo insieme alle parole: quello che sposta la misura è il piano comportamentale, e sta in «Cosa può fare il paziente da solo».</w:t>
      </w:r>
      <w:r>
        <w:t xml:space="preserve"> </w:t>
      </w:r>
      <w:r>
        <w:rPr>
          <w:b/>
          <w:bCs/>
        </w:rPr>
        <w:t xml:space="preserve">Sugli ingressi esterni</w:t>
      </w:r>
      <w:r>
        <w:t xml:space="preserve"> </w:t>
      </w:r>
      <w:r>
        <w:t xml:space="preserve">— acido, sostanze, farmaci, lavoro odontoiatrico recente — le mani non agiscono: li riconosci, li nomini, e li mandi dove vanno.</w:t>
      </w:r>
    </w:p>
    <w:bookmarkEnd w:id="68"/>
    <w:bookmarkStart w:id="69" w:name="cosa-non-possono-fare-le-mani"/>
    <w:p>
      <w:pPr>
        <w:pStyle w:val="Heading3"/>
      </w:pPr>
      <w:r>
        <w:t xml:space="preserve">Cosa non possono fare le mani</w:t>
      </w:r>
    </w:p>
    <w:p>
      <w:pPr>
        <w:pStyle w:val="FirstParagraph"/>
      </w:pPr>
      <w:r>
        <w:t xml:space="preserve">Vale la pena dirlo per primo al paziente, non per ultimo.</w:t>
      </w:r>
    </w:p>
    <w:p>
      <w:pPr>
        <w:pStyle w:val="Compact"/>
        <w:numPr>
          <w:ilvl w:val="0"/>
          <w:numId w:val="1027"/>
        </w:numPr>
      </w:pPr>
      <w:r>
        <w:rPr>
          <w:b/>
          <w:bCs/>
        </w:rPr>
        <w:t xml:space="preserve">Non riducono il numero di episodi notturni.</w:t>
      </w:r>
      <w:r>
        <w:t xml:space="preserve"> </w:t>
      </w:r>
      <w:r>
        <w:t xml:space="preserve">Non perché si sia provato e non abbia funzionato: perché nessuno ha mai contato.</w:t>
      </w:r>
    </w:p>
    <w:p>
      <w:pPr>
        <w:pStyle w:val="Compact"/>
        <w:numPr>
          <w:ilvl w:val="0"/>
          <w:numId w:val="1027"/>
        </w:numPr>
      </w:pPr>
      <w:r>
        <w:rPr>
          <w:b/>
          <w:bCs/>
        </w:rPr>
        <w:t xml:space="preserve">Non fermano l’usura dentale.</w:t>
      </w:r>
      <w:r>
        <w:t xml:space="preserve"> </w:t>
      </w:r>
      <w:r>
        <w:t xml:space="preserve">Quella è del bite e dell’odontoiatra.</w:t>
      </w:r>
    </w:p>
    <w:p>
      <w:pPr>
        <w:pStyle w:val="Compact"/>
        <w:numPr>
          <w:ilvl w:val="0"/>
          <w:numId w:val="1027"/>
        </w:numPr>
      </w:pPr>
      <w:r>
        <w:rPr>
          <w:b/>
          <w:bCs/>
        </w:rPr>
        <w:t xml:space="preserve">Non modificano l’occlusione</w:t>
      </w:r>
      <w:r>
        <w:t xml:space="preserve">, e non devono provare a farlo.</w:t>
      </w:r>
    </w:p>
    <w:p>
      <w:pPr>
        <w:pStyle w:val="Compact"/>
        <w:numPr>
          <w:ilvl w:val="0"/>
          <w:numId w:val="1027"/>
        </w:numPr>
      </w:pPr>
      <w:r>
        <w:rPr>
          <w:b/>
          <w:bCs/>
        </w:rPr>
        <w:t xml:space="preserve">Non sostituiscono nessuno dei farmaci</w:t>
      </w:r>
      <w:r>
        <w:t xml:space="preserve"> </w:t>
      </w:r>
      <w:r>
        <w:t xml:space="preserve">che il paziente sta prendendo.</w:t>
      </w:r>
    </w:p>
    <w:p>
      <w:pPr>
        <w:pStyle w:val="Compact"/>
        <w:numPr>
          <w:ilvl w:val="0"/>
          <w:numId w:val="1027"/>
        </w:numPr>
      </w:pPr>
      <w:r>
        <w:rPr>
          <w:b/>
          <w:bCs/>
        </w:rPr>
        <w:t xml:space="preserve">Non lavorano dentro la bocca</w:t>
      </w:r>
      <w:r>
        <w:t xml:space="preserve">, né sul triangolo anteriore del collo o sul pavimento della bocca. I sopraioidei stanno qui come attori del meccanismo, non come bersaglio: quella regione contiene la guaina carotidea, e non c’è niente da guadagnarci che valga quel vicinato.</w:t>
      </w:r>
    </w:p>
    <w:p>
      <w:pPr>
        <w:pStyle w:val="FirstParagraph"/>
      </w:pPr>
      <w:r>
        <w:rPr>
          <w:i/>
          <w:iCs/>
        </w:rPr>
        <w:t xml:space="preserve">Il come si fa non è qui. Sta nella Procedura di Bruxismo: due pagine, tecniche, dosi e piano delle sedute.</w:t>
      </w:r>
    </w:p>
    <w:p>
      <w:pPr>
        <w:pStyle w:val="BodyText"/>
      </w:pPr>
      <w:r>
        <w:rPr>
          <w:b/>
          <w:bCs/>
        </w:rPr>
        <w:t xml:space="preserve">Le tre cose da ricordare, più una</w:t>
      </w:r>
    </w:p>
    <w:p>
      <w:pPr>
        <w:pStyle w:val="Compact"/>
        <w:numPr>
          <w:ilvl w:val="0"/>
          <w:numId w:val="1028"/>
        </w:numPr>
      </w:pPr>
      <w:r>
        <w:t xml:space="preserve">L’effetto atteso è su dolore ed escursione. Se prometti meno digrignamento, hai promesso l’unica cosa che non puoi misurare.</w:t>
      </w:r>
    </w:p>
    <w:p>
      <w:pPr>
        <w:pStyle w:val="Compact"/>
        <w:numPr>
          <w:ilvl w:val="0"/>
          <w:numId w:val="1028"/>
        </w:numPr>
      </w:pPr>
      <w:r>
        <w:t xml:space="preserve">Il collo alto è la leva con il confronto più pulito: se l’indagine non indica altro, è da lì che parti con le mani — pesando ogni volta beneficio limitato e rischio raro.</w:t>
      </w:r>
    </w:p>
    <w:p>
      <w:pPr>
        <w:pStyle w:val="Compact"/>
        <w:numPr>
          <w:ilvl w:val="0"/>
          <w:numId w:val="1028"/>
        </w:numPr>
      </w:pPr>
      <w:r>
        <w:t xml:space="preserve">Dire per primo cosa le mani non fanno è ciò che rende credibile tutto il resto.</w:t>
      </w:r>
    </w:p>
    <w:p>
      <w:pPr>
        <w:pStyle w:val="Compact"/>
        <w:numPr>
          <w:ilvl w:val="0"/>
          <w:numId w:val="1028"/>
        </w:numPr>
      </w:pPr>
      <w:r>
        <w:rPr>
          <w:b/>
          <w:bCs/>
        </w:rPr>
        <w:t xml:space="preserve">Perché ci sei tu.</w:t>
      </w:r>
      <w:r>
        <w:t xml:space="preserve"> </w:t>
      </w:r>
      <w:r>
        <w:t xml:space="preserve">Contro trattamento finto, la terapia manuale sul rachide cervicale alto abbassa il dolore di 1,93 punti su dieci e apre la bocca di 2,11 millimetri in più, e non muove la soglia dolorosa dei masseteri. Questo ti autorizza a dichiarare dolore e apertura come gli esiti su cui verifichi, con quei due numeri in bocca e con la popolazione da cui vengono. Non ti autorizza a prometterli a questo paziente: sono medie di gruppo, misurate su pazienti con disturbo temporo-mandibolare e non con bruxismo. (Lam, 2023 — PMID 36968167)</w:t>
      </w:r>
    </w:p>
    <w:bookmarkEnd w:id="69"/>
    <w:bookmarkEnd w:id="70"/>
    <w:bookmarkStart w:id="7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sul binario diurno esistono leve che il paziente esercita da solo e che studi controllati hanno visto muoversi; sul binario notturno la stessa famiglia di strumenti è stata provata e non ha mosso niente.</w:t>
      </w:r>
    </w:p>
    <w:bookmarkStart w:id="71" w:name="Xbebd31f46f910a16e470cb078d19de84f2a2514"/>
    <w:p>
      <w:pPr>
        <w:pStyle w:val="Heading3"/>
      </w:pPr>
      <w:r>
        <w:t xml:space="preserve">Strumento 1 — L’autosservazione del serramento diurno</w:t>
      </w:r>
    </w:p>
    <w:p>
      <w:pPr>
        <w:pStyle w:val="FirstParagraph"/>
      </w:pPr>
      <w:r>
        <w:rPr>
          <w:b/>
          <w:bCs/>
        </w:rPr>
        <w:t xml:space="preserve">Cos’è.</w:t>
      </w:r>
      <w:r>
        <w:t xml:space="preserve"> </w:t>
      </w:r>
      <w:r>
        <w:t xml:space="preserve">Il paziente riceve durante la giornata richiami a orari casuali. A ogni richiamo registra com’era la sua mandibola: muscoli rilassati, denti a contatto, mandibola irrigidita, denti serrati, denti che digrignano. È insieme la misura e l’intervento, perché ciò che si conta si nota. Come le spese quando cominci a segnarle: cambiano già prima che tu decida di tagliarle.</w:t>
      </w:r>
    </w:p>
    <w:p>
      <w:pPr>
        <w:pStyle w:val="BodyText"/>
      </w:pPr>
      <w:r>
        <w:rPr>
          <w:b/>
          <w:bCs/>
        </w:rPr>
        <w:t xml:space="preserve">Su quale meccanismo agisce.</w:t>
      </w:r>
      <w:r>
        <w:t xml:space="preserve"> </w:t>
      </w:r>
      <w:r>
        <w:t xml:space="preserve">Su due, distinti. La componente di</w:t>
      </w:r>
      <w:r>
        <w:t xml:space="preserve"> </w:t>
      </w:r>
      <w:r>
        <w:rPr>
          <w:b/>
          <w:bCs/>
        </w:rPr>
        <w:t xml:space="preserve">carico diurno</w:t>
      </w:r>
      <w:r>
        <w:t xml:space="preserve"> </w:t>
      </w:r>
      <w:r>
        <w:t xml:space="preserve">si aggancia al secondo meccanismo, il muscolo sovraccarico. Quella di</w:t>
      </w:r>
      <w:r>
        <w:t xml:space="preserve"> </w:t>
      </w:r>
      <w:r>
        <w:rPr>
          <w:b/>
          <w:bCs/>
        </w:rPr>
        <w:t xml:space="preserve">attenzione e soglia</w:t>
      </w:r>
      <w:r>
        <w:t xml:space="preserve"> </w:t>
      </w:r>
      <w:r>
        <w:t xml:space="preserve">si aggancia al quarto. Il legame fra riduzione della frequenza e riduzione del dolore</w:t>
      </w:r>
      <w:r>
        <w:t xml:space="preserve"> </w:t>
      </w:r>
      <w:r>
        <w:rPr>
          <w:b/>
          <w:bCs/>
        </w:rPr>
        <w:t xml:space="preserve">non è dimostrato</w:t>
      </w:r>
      <w:r>
        <w:t xml:space="preserve">: nessuno studio ha mostrato che contare meno significhi far male di meno.</w:t>
      </w:r>
    </w:p>
    <w:p>
      <w:pPr>
        <w:pStyle w:val="BodyText"/>
      </w:pPr>
      <w:r>
        <w:rPr>
          <w:b/>
          <w:bCs/>
        </w:rPr>
        <w:t xml:space="preserve">Cosa hanno misurato gli studi.</w:t>
      </w:r>
      <w:r>
        <w:t xml:space="preserve"> </w:t>
      </w:r>
      <w:r>
        <w:t xml:space="preserve">I valori di riferimento del conteggio stanno per esteso in «Come ragiono davanti a questo paziente», e lì sta anche la regola che il metro è il basale di questo paziente (Bracci,</w:t>
      </w:r>
      <w:r>
        <w:t xml:space="preserve"> </w:t>
      </w:r>
      <w:r>
        <w:rPr>
          <w:i/>
          <w:iCs/>
        </w:rPr>
        <w:t xml:space="preserve">J Oral Rehabil</w:t>
      </w:r>
      <w:r>
        <w:t xml:space="preserve"> </w:t>
      </w:r>
      <w:r>
        <w:t xml:space="preserve">2018 — PMID 29574964). Non si ripetono qui. Sulla popolazione con bruxismo della veglia la revisione dedicata ha incluso nove studi e 165 partecipanti, con beneficio suggerito sulla frequenza dei comportamenti (Graham,</w:t>
      </w:r>
      <w:r>
        <w:t xml:space="preserve"> </w:t>
      </w:r>
      <w:r>
        <w:rPr>
          <w:i/>
          <w:iCs/>
        </w:rPr>
        <w:t xml:space="preserve">BMC Oral Health</w:t>
      </w:r>
      <w:r>
        <w:t xml:space="preserve"> </w:t>
      </w:r>
      <w:r>
        <w:t xml:space="preserve">2026 — PMID 41735990). Quei nove studi comprendono anche farmaci e musica, mentre la leva nostra è il sottoinsieme fatto di richiami, inversione dell’abitudine e colloquio con autogestione. L’aderenza ai richiami, negli studi, è stata del 75,9% (Medina Flores,</w:t>
      </w:r>
      <w:r>
        <w:t xml:space="preserve"> </w:t>
      </w:r>
      <w:r>
        <w:rPr>
          <w:i/>
          <w:iCs/>
        </w:rPr>
        <w:t xml:space="preserve">J Prosthet Dent</w:t>
      </w:r>
      <w:r>
        <w:t xml:space="preserve"> </w:t>
      </w:r>
      <w:r>
        <w:t xml:space="preserve">2024 — PMID 37069016).</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più studi, in parte non randomizzati e in parte serie di casi, campioni piccoli, nessuna sintesi quantitativa possibile.</w:t>
      </w:r>
    </w:p>
    <w:p>
      <w:pPr>
        <w:pStyle w:val="FirstParagraph"/>
      </w:pPr>
      <w:r>
        <w:rPr>
          <w:b/>
          <w:bCs/>
        </w:rPr>
        <w:t xml:space="preserve">Cosa NON fa.</w:t>
      </w:r>
      <w:r>
        <w:t xml:space="preserve"> </w:t>
      </w:r>
      <w:r>
        <w:t xml:space="preserve">Non tocca il bruxismo del sonno: l’unico comportamento che</w:t>
      </w:r>
      <w:r>
        <w:t xml:space="preserve"> </w:t>
      </w:r>
      <w:r>
        <w:rPr>
          <w:b/>
          <w:bCs/>
        </w:rPr>
        <w:t xml:space="preserve">non</w:t>
      </w:r>
      <w:r>
        <w:t xml:space="preserve"> </w:t>
      </w:r>
      <w:r>
        <w:t xml:space="preserve">cambia con lo stato d’ansia è proprio il digrignamento, e nessuno studio comportamentale ha misurato esiti notturni. Su cosa succede quando il paziente smette di contare non esistono dati.</w:t>
      </w:r>
    </w:p>
    <w:bookmarkEnd w:id="71"/>
    <w:bookmarkStart w:id="72" w:name="strumento-2-lesercizio-mandibolare"/>
    <w:p>
      <w:pPr>
        <w:pStyle w:val="Heading3"/>
      </w:pPr>
      <w:r>
        <w:t xml:space="preserve">Strumento 2 — L’esercizio mandibolare</w:t>
      </w:r>
    </w:p>
    <w:p>
      <w:pPr>
        <w:pStyle w:val="FirstParagraph"/>
      </w:pPr>
      <w:r>
        <w:rPr>
          <w:b/>
          <w:bCs/>
        </w:rPr>
        <w:t xml:space="preserve">Cos’è.</w:t>
      </w:r>
      <w:r>
        <w:t xml:space="preserve"> </w:t>
      </w:r>
      <w:r>
        <w:t xml:space="preserve">Un programma di movimenti attivi della mandibola, con stiramento, in una versione solo mandibolare e in una che aggiunge il controllo posturale del capo.</w:t>
      </w:r>
    </w:p>
    <w:p>
      <w:pPr>
        <w:pStyle w:val="BodyText"/>
      </w:pPr>
      <w:r>
        <w:rPr>
          <w:b/>
          <w:bCs/>
        </w:rPr>
        <w:t xml:space="preserve">Su quale meccanismo agisce.</w:t>
      </w:r>
      <w:r>
        <w:t xml:space="preserve"> </w:t>
      </w:r>
      <w:r>
        <w:t xml:space="preserve">Sul secondo e sul terzo, cioè il muscolo sovraccarico e l’unità mandibola-collo. Il bersaglio è l’escursione e la tolleranza al carico, non la quantità di attività notturna.</w:t>
      </w:r>
    </w:p>
    <w:p>
      <w:pPr>
        <w:pStyle w:val="BodyText"/>
      </w:pPr>
      <w:r>
        <w:rPr>
          <w:b/>
          <w:bCs/>
        </w:rPr>
        <w:t xml:space="preserve">Cosa hanno misurato gli studi.</w:t>
      </w:r>
      <w:r>
        <w:t xml:space="preserve"> </w:t>
      </w:r>
      <w:r>
        <w:t xml:space="preserve">Sessantatré pazienti con bruxismo del sonno probabile hanno svolto sei settimane di esercizi mandibolari, di esercizi mandibolari più posturali, oppure hanno usato il bite. I risultati sono quattro. Tutti e tre i gruppi hanno ridotto il dolore, senza superiorità di nessuno. L’apertura è migliorata</w:t>
      </w:r>
      <w:r>
        <w:t xml:space="preserve"> </w:t>
      </w:r>
      <w:r>
        <w:rPr>
          <w:b/>
          <w:bCs/>
        </w:rPr>
        <w:t xml:space="preserve">dentro</w:t>
      </w:r>
      <w:r>
        <w:t xml:space="preserve"> </w:t>
      </w:r>
      <w:r>
        <w:t xml:space="preserve">il gruppo dei soli esercizi mandibolari, senza differenze fra i gruppi. Le abitudini orali sono migliorate nei due gruppi con esercizio. Gli angoli posturali non sono cambiati in nessun gruppo (Karabicak,</w:t>
      </w:r>
      <w:r>
        <w:t xml:space="preserve"> </w:t>
      </w:r>
      <w:r>
        <w:rPr>
          <w:i/>
          <w:iCs/>
        </w:rPr>
        <w:t xml:space="preserve">J Oral Rehabil</w:t>
      </w:r>
      <w:r>
        <w:t xml:space="preserve"> </w:t>
      </w:r>
      <w:r>
        <w:t xml:space="preserve">2025 — PMID 40369740).</w:t>
      </w:r>
    </w:p>
    <w:p>
      <w:pPr>
        <w:pStyle w:val="BodyText"/>
      </w:pPr>
      <w:r>
        <w:t xml:space="preserve">E poi c’è la sintesi con la certezza più alta sull’esito che questa Bibbia dichiara, cioè dolore e funzione.</w:t>
      </w:r>
      <w:r>
        <w:t xml:space="preserve"> </w:t>
      </w:r>
      <w:r>
        <w:rPr>
          <w:b/>
          <w:bCs/>
        </w:rPr>
        <w:t xml:space="preserve">Non è sul bruxismo:</w:t>
      </w:r>
      <w:r>
        <w:t xml:space="preserve"> </w:t>
      </w:r>
      <w:r>
        <w:t xml:space="preserve">è una meta-analisi in rete di 153 studi randomizzati e 8.713 partecipanti con</w:t>
      </w:r>
      <w:r>
        <w:t xml:space="preserve"> </w:t>
      </w:r>
      <w:r>
        <w:rPr>
          <w:b/>
          <w:bCs/>
        </w:rPr>
        <w:t xml:space="preserve">dolore cronico dei disturbi temporo-mandibolari</w:t>
      </w:r>
      <w:r>
        <w:t xml:space="preserve">, con certezza da moderata ad alta sul dolore (Yao &amp; Busse,</w:t>
      </w:r>
      <w:r>
        <w:t xml:space="preserve"> </w:t>
      </w:r>
      <w:r>
        <w:rPr>
          <w:i/>
          <w:iCs/>
        </w:rPr>
        <w:t xml:space="preserve">BMJ</w:t>
      </w:r>
      <w:r>
        <w:t xml:space="preserve"> </w:t>
      </w:r>
      <w:r>
        <w:t xml:space="preserve">2023 — PMID 38101924). La linea guida collegata raccomanda</w:t>
      </w:r>
      <w:r>
        <w:t xml:space="preserve"> </w:t>
      </w:r>
      <w:r>
        <w:rPr>
          <w:b/>
          <w:bCs/>
        </w:rPr>
        <w:t xml:space="preserve">fortemente a favore</w:t>
      </w:r>
      <w:r>
        <w:t xml:space="preserve"> </w:t>
      </w:r>
      <w:r>
        <w:t xml:space="preserve">quattro cose: esercizio mandibolare supervisionato con stiramento, esercizio posturale supervisionato, cure abituali con rassicurazione ed educazione, e terapia cognitivo-comportamentale. E raccomanda</w:t>
      </w:r>
      <w:r>
        <w:t xml:space="preserve"> </w:t>
      </w:r>
      <w:r>
        <w:rPr>
          <w:b/>
          <w:bCs/>
        </w:rPr>
        <w:t xml:space="preserve">condizionalmente contro</w:t>
      </w:r>
      <w:r>
        <w:t xml:space="preserve"> </w:t>
      </w:r>
      <w:r>
        <w:t xml:space="preserve">i bite reversibili per il dolore cronico (Busse,</w:t>
      </w:r>
      <w:r>
        <w:t xml:space="preserve"> </w:t>
      </w:r>
      <w:r>
        <w:rPr>
          <w:i/>
          <w:iCs/>
        </w:rPr>
        <w:t xml:space="preserve">BMJ</w:t>
      </w:r>
      <w:r>
        <w:t xml:space="preserve"> </w:t>
      </w:r>
      <w:r>
        <w:t xml:space="preserve">2023 — PMID 38101929).</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rPr>
          <w:b/>
          <w:bCs/>
        </w:rPr>
        <w:t xml:space="preserve">su questa condizione</w:t>
      </w:r>
      <w:r>
        <w:t xml:space="preserve">, e resta PROBABILE per una ragione dichiarata: la certezza alta esiste sul dolore cronico temporo-mandibolare, non sul bruxismo, e il passaggio fra le due popolazioni è un’estrapolazione. Sul bruxismo abbiamo uno studio randomizzato senza braccio non trattato.</w:t>
      </w:r>
    </w:p>
    <w:p>
      <w:pPr>
        <w:pStyle w:val="FirstParagraph"/>
      </w:pPr>
      <w:r>
        <w:rPr>
          <w:b/>
          <w:bCs/>
        </w:rPr>
        <w:t xml:space="preserve">Cosa NON fa.</w:t>
      </w:r>
      <w:r>
        <w:t xml:space="preserve"> </w:t>
      </w:r>
      <w:r>
        <w:t xml:space="preserve">Non cambia la postura misurata, nemmeno nel gruppo con esercizi posturali. E non è superiore al bite:</w:t>
      </w:r>
      <w:r>
        <w:t xml:space="preserve"> </w:t>
      </w:r>
      <w:r>
        <w:rPr>
          <w:b/>
          <w:bCs/>
        </w:rPr>
        <w:t xml:space="preserve">regge il confronto, non lo vince.</w:t>
      </w:r>
      <w:r>
        <w:t xml:space="preserve"> </w:t>
      </w:r>
      <w:r>
        <w:t xml:space="preserve">Serve un’avvertenza sul metro: sul</w:t>
      </w:r>
      <w:r>
        <w:t xml:space="preserve"> </w:t>
      </w:r>
      <w:r>
        <w:rPr>
          <w:b/>
          <w:bCs/>
        </w:rPr>
        <w:t xml:space="preserve">dolore</w:t>
      </w:r>
      <w:r>
        <w:t xml:space="preserve"> </w:t>
      </w:r>
      <w:r>
        <w:t xml:space="preserve">il bite non è un termine di paragone forte, mentre sulla</w:t>
      </w:r>
      <w:r>
        <w:t xml:space="preserve"> </w:t>
      </w:r>
      <w:r>
        <w:rPr>
          <w:b/>
          <w:bCs/>
        </w:rPr>
        <w:t xml:space="preserve">protezione dei denti</w:t>
      </w:r>
      <w:r>
        <w:t xml:space="preserve"> </w:t>
      </w:r>
      <w:r>
        <w:t xml:space="preserve">resta insostituibile ed è per quello che si difende. Oltre le dodici settimane di controllo non ci sono dati.</w:t>
      </w:r>
    </w:p>
    <w:bookmarkEnd w:id="72"/>
    <w:bookmarkStart w:id="73" w:name="Xcdafadbff59729eeaa31a77889915f8a79d2339"/>
    <w:p>
      <w:pPr>
        <w:pStyle w:val="Heading3"/>
      </w:pPr>
      <w:r>
        <w:t xml:space="preserve">Strumento 3 — L’informazione e l’autogestione</w:t>
      </w:r>
    </w:p>
    <w:p>
      <w:pPr>
        <w:pStyle w:val="FirstParagraph"/>
      </w:pPr>
      <w:r>
        <w:rPr>
          <w:b/>
          <w:bCs/>
        </w:rPr>
        <w:t xml:space="preserve">Cos’è.</w:t>
      </w:r>
      <w:r>
        <w:t xml:space="preserve"> </w:t>
      </w:r>
      <w:r>
        <w:t xml:space="preserve">Spiegare al paziente il meccanismo, cosa fa e cosa non fa il trattamento, e cosa può controllare lui.</w:t>
      </w:r>
      <w:r>
        <w:t xml:space="preserve"> </w:t>
      </w:r>
      <w:r>
        <w:rPr>
          <w:b/>
          <w:bCs/>
        </w:rPr>
        <w:t xml:space="preserve">Agisce sul quarto meccanismo:</w:t>
      </w:r>
      <w:r>
        <w:t xml:space="preserve"> </w:t>
      </w:r>
      <w:r>
        <w:t xml:space="preserve">la soglia con cui il carico viene percepito e riferito.</w:t>
      </w:r>
    </w:p>
    <w:p>
      <w:pPr>
        <w:pStyle w:val="BodyText"/>
      </w:pPr>
      <w:r>
        <w:rPr>
          <w:b/>
          <w:bCs/>
        </w:rPr>
        <w:t xml:space="preserve">Cosa hanno misurato gli studi.</w:t>
      </w:r>
      <w:r>
        <w:t xml:space="preserve"> </w:t>
      </w:r>
      <w:r>
        <w:t xml:space="preserve">Uno studio randomizzato ha arruolato quarantaquattro pazienti con dolore muscolare masticatorio, e ne ha completati quarantuno. Tre mesi di sola informazione e autogestione hanno</w:t>
      </w:r>
      <w:r>
        <w:t xml:space="preserve"> </w:t>
      </w:r>
      <w:r>
        <w:rPr>
          <w:b/>
          <w:bCs/>
        </w:rPr>
        <w:t xml:space="preserve">superato il bite consegnato senza spiegazioni</w:t>
      </w:r>
      <w:r>
        <w:t xml:space="preserve"> </w:t>
      </w:r>
      <w:r>
        <w:t xml:space="preserve">sul dolore muscolare spontaneo, con effetto piccolo (Michelotti,</w:t>
      </w:r>
      <w:r>
        <w:t xml:space="preserve"> </w:t>
      </w:r>
      <w:r>
        <w:rPr>
          <w:i/>
          <w:iCs/>
        </w:rPr>
        <w:t xml:space="preserve">JADA</w:t>
      </w:r>
      <w:r>
        <w:t xml:space="preserve"> </w:t>
      </w:r>
      <w:r>
        <w:t xml:space="preserve">2012 — PMID 22207667). E le cure abituali con rassicurazione ed educazione hanno raccomandazione forte nella linea guida più recente.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uno studio randomizzato con effetto piccolo su popolazione vicina, più una raccomandazione forte.</w:t>
      </w:r>
    </w:p>
    <w:p>
      <w:pPr>
        <w:pStyle w:val="FirstParagraph"/>
      </w:pPr>
      <w:r>
        <w:rPr>
          <w:b/>
          <w:bCs/>
        </w:rPr>
        <w:t xml:space="preserve">Cosa NON fa.</w:t>
      </w:r>
      <w:r>
        <w:t xml:space="preserve"> </w:t>
      </w:r>
      <w:r>
        <w:t xml:space="preserve">Non ha battuto il bite su tutto: su apertura, cefalea e dolore masticando i due gruppi non differivano. Non sostituisce il trattamento: lo accompagna.</w:t>
      </w:r>
    </w:p>
    <w:p>
      <w:pPr>
        <w:pStyle w:val="BodyText"/>
      </w:pPr>
      <w:r>
        <w:rPr>
          <w:i/>
          <w:iCs/>
        </w:rPr>
        <w:t xml:space="preserve">Come e quando consegnare questi tre strumenti al tuo paziente sta nella Procedura.</w:t>
      </w:r>
    </w:p>
    <w:bookmarkEnd w:id="73"/>
    <w:bookmarkStart w:id="74" w:name="Xe6ca1ef913e88407635a74c2dfa1697dd84cb9f"/>
    <w:p>
      <w:pPr>
        <w:pStyle w:val="Heading3"/>
      </w:pPr>
      <w:r>
        <w:t xml:space="preserve">Il limite che tiene insieme i tre strumenti</w:t>
      </w:r>
    </w:p>
    <w:p>
      <w:pPr>
        <w:pStyle w:val="FirstParagraph"/>
      </w:pPr>
      <w:r>
        <w:t xml:space="preserve">C’è una cosa che il paziente</w:t>
      </w:r>
      <w:r>
        <w:t xml:space="preserve"> </w:t>
      </w:r>
      <w:r>
        <w:rPr>
          <w:b/>
          <w:bCs/>
        </w:rPr>
        <w:t xml:space="preserve">non</w:t>
      </w:r>
      <w:r>
        <w:t xml:space="preserve"> </w:t>
      </w:r>
      <w:r>
        <w:t xml:space="preserve">può fare da solo, ed è la più richiesta: rilassarsi per smettere di digrignare di notte. Un pacchetto di igiene del sonno e rilassamento muscolare progressivo, svolto per quattro settimane, è stato valutato con polisonnografia prima e dopo.</w:t>
      </w:r>
      <w:r>
        <w:t xml:space="preserve"> </w:t>
      </w:r>
      <w:r>
        <w:rPr>
          <w:b/>
          <w:bCs/>
        </w:rPr>
        <w:t xml:space="preserve">Nessuna misura del bruxismo si è mossa, e nessuna misura del sonno.</w:t>
      </w:r>
      <w:r>
        <w:t xml:space="preserve"> </w:t>
      </w:r>
      <w:r>
        <w:t xml:space="preserve">Sedici partecipanti, disegno in doppio cieco (Valiente López,</w:t>
      </w:r>
      <w:r>
        <w:t xml:space="preserve"> </w:t>
      </w:r>
      <w:r>
        <w:rPr>
          <w:i/>
          <w:iCs/>
        </w:rPr>
        <w:t xml:space="preserve">J Oral Rehabil</w:t>
      </w:r>
      <w:r>
        <w:t xml:space="preserve"> </w:t>
      </w:r>
      <w:r>
        <w:t xml:space="preserve">2015 — PMID 25413839).</w:t>
      </w:r>
    </w:p>
    <w:p>
      <w:pPr>
        <w:pStyle w:val="BlockText"/>
      </w:pPr>
      <w:r>
        <w:rPr>
          <w:b/>
          <w:bCs/>
        </w:rPr>
        <w:t xml:space="preserve">Attenzione.</w:t>
      </w:r>
      <w:r>
        <w:t xml:space="preserve"> </w:t>
      </w:r>
      <w:r>
        <w:t xml:space="preserve">Uno studio negativo su sedici persone non dimostra che quella leva non esista: dimostra che, alla prova strumentale, non è stata trovata. Ed è l’unica prova strumentale che quella famiglia abbia su questa condizione. Chi promette il contrario promette più di quanto chiunque abbia misurato.</w:t>
      </w:r>
    </w:p>
    <w:p>
      <w:pPr>
        <w:pStyle w:val="FirstParagraph"/>
      </w:pPr>
      <w:r>
        <w:rPr>
          <w:b/>
          <w:bCs/>
        </w:rPr>
        <w:t xml:space="preserve">E qui va detto con precisione che cosa non funziona.</w:t>
      </w:r>
      <w:r>
        <w:t xml:space="preserve"> </w:t>
      </w:r>
      <w:r>
        <w:t xml:space="preserve">Quello che sul binario notturno è stato provato e non ha mosso niente è</w:t>
      </w:r>
      <w:r>
        <w:t xml:space="preserve"> </w:t>
      </w:r>
      <w:r>
        <w:rPr>
          <w:b/>
          <w:bCs/>
        </w:rPr>
        <w:t xml:space="preserve">la famiglia igiene del sonno più rilassamento progressivo</w:t>
      </w:r>
      <w:r>
        <w:t xml:space="preserve">, alla prova della polisonnografia. Resta invece la sola cosa che sposta davvero il numero di episodi, e non tocca a noi prescriverla: gli ingressi del quinto meccanismo — alcol, tabacco, caffè, cena tarda. Li riconosci e li nomini, poi rinvii a chi prescrive. Il paziente su quel binario non è senza leve: è senza leve</w:t>
      </w:r>
      <w:r>
        <w:t xml:space="preserve"> </w:t>
      </w:r>
      <w:r>
        <w:rPr>
          <w:b/>
          <w:bCs/>
        </w:rPr>
        <w:t xml:space="preserve">nostre</w:t>
      </w:r>
      <w:r>
        <w:t xml:space="preserve">.</w:t>
      </w:r>
    </w:p>
    <w:p>
      <w:pPr>
        <w:pStyle w:val="BodyText"/>
      </w:pPr>
      <w:r>
        <w:t xml:space="preserve">E un punto che gli osteopati sbagliano spesso:</w:t>
      </w:r>
      <w:r>
        <w:t xml:space="preserve"> </w:t>
      </w:r>
      <w:r>
        <w:rPr>
          <w:b/>
          <w:bCs/>
        </w:rPr>
        <w:t xml:space="preserve">l’effetto della singola seduta e quello della ripetizione sono cose diverse.</w:t>
      </w:r>
      <w:r>
        <w:t xml:space="preserve"> </w:t>
      </w:r>
      <w:r>
        <w:t xml:space="preserve">L’escursione che guadagni in stanza appartiene alla seduta; il calo del serramento diurno appartiene alle settimane di conteggio. Attribuire alla tecnica un guadagno che appartiene alla ripetizione porta a concludere, un mese dopo, che</w:t>
      </w:r>
      <w:r>
        <w:t xml:space="preserve"> </w:t>
      </w:r>
      <w:r>
        <w:t xml:space="preserve">“su questa condizione non funziona niente”</w:t>
      </w:r>
      <w:r>
        <w:t xml:space="preserve">.</w:t>
      </w:r>
    </w:p>
    <w:p>
      <w:pPr>
        <w:pStyle w:val="BodyText"/>
      </w:pPr>
      <w:r>
        <w:rPr>
          <w:b/>
          <w:bCs/>
        </w:rPr>
        <w:t xml:space="preserve">Le tre cose da ricordare, più una</w:t>
      </w:r>
    </w:p>
    <w:p>
      <w:pPr>
        <w:pStyle w:val="Compact"/>
        <w:numPr>
          <w:ilvl w:val="0"/>
          <w:numId w:val="1029"/>
        </w:numPr>
      </w:pPr>
      <w:r>
        <w:t xml:space="preserve">Sul binario diurno il paziente ha leve vere — contare, muovere, capire. Sul binario notturno restano solo gli ingressi che abbassano la soglia, e quelli si nominano e si rinviano, non si prescrivono.</w:t>
      </w:r>
    </w:p>
    <w:p>
      <w:pPr>
        <w:pStyle w:val="Compact"/>
        <w:numPr>
          <w:ilvl w:val="0"/>
          <w:numId w:val="1029"/>
        </w:numPr>
      </w:pPr>
      <w:r>
        <w:t xml:space="preserve">L’esercizio regge il confronto con il bite. Non lo batte, e sul dolore il bite non è nemmeno un metro forte.</w:t>
      </w:r>
    </w:p>
    <w:p>
      <w:pPr>
        <w:pStyle w:val="Compact"/>
        <w:numPr>
          <w:ilvl w:val="0"/>
          <w:numId w:val="1029"/>
        </w:numPr>
      </w:pPr>
      <w:r>
        <w:t xml:space="preserve">L’esercizio posturale non ha cambiato la postura misurata. Se lo proponi, proponilo per il dolore e per l’apertura.</w:t>
      </w:r>
    </w:p>
    <w:p>
      <w:pPr>
        <w:pStyle w:val="Compact"/>
        <w:numPr>
          <w:ilvl w:val="0"/>
          <w:numId w:val="1029"/>
        </w:numPr>
      </w:pPr>
      <w:r>
        <w:rPr>
          <w:b/>
          <w:bCs/>
        </w:rPr>
        <w:t xml:space="preserve">Perché ci sei tu.</w:t>
      </w:r>
      <w:r>
        <w:t xml:space="preserve"> </w:t>
      </w:r>
      <w:r>
        <w:t xml:space="preserve">La leva con le prove tocca a noi insegnarla: la frequenza dei comportamenti mandibolari da sveglio è l’unico bersaglio di questa condizione su cui studi controllati abbiano visto un cambiamento — nove studi e 165 partecipanti nella revisione dedicata. Questo ti autorizza a insegnare l’autosservazione e a metterla al centro del binario diurno. Non ti autorizza a estenderla alla notte: lì la stessa famiglia di strumenti è stata provata con la polisonnografia e non ha mosso nulla. (Graham,</w:t>
      </w:r>
      <w:r>
        <w:t xml:space="preserve"> </w:t>
      </w:r>
      <w:r>
        <w:rPr>
          <w:i/>
          <w:iCs/>
        </w:rPr>
        <w:t xml:space="preserve">BMC Oral Health</w:t>
      </w:r>
      <w:r>
        <w:t xml:space="preserve"> </w:t>
      </w:r>
      <w:r>
        <w:t xml:space="preserve">2026 — PMID 41735990)</w:t>
      </w:r>
    </w:p>
    <w:bookmarkEnd w:id="74"/>
    <w:bookmarkEnd w:id="75"/>
    <w:bookmarkStart w:id="79" w:name="capitolo-13-cosa-dire-al-paziente"/>
    <w:p>
      <w:pPr>
        <w:pStyle w:val="Heading2"/>
      </w:pPr>
      <w:r>
        <w:t xml:space="preserve">Capitolo 13 — Cosa dire al paziente</w:t>
      </w:r>
    </w:p>
    <w:p>
      <w:pPr>
        <w:pStyle w:val="BlockText"/>
      </w:pPr>
      <w:r>
        <w:rPr>
          <w:b/>
          <w:bCs/>
        </w:rPr>
        <w:t xml:space="preserve">In una riga:</w:t>
      </w:r>
      <w:r>
        <w:t xml:space="preserve"> </w:t>
      </w:r>
      <w:r>
        <w:t xml:space="preserve">una frase che spiega perché il bite non basta senza dire che il bite non serve.</w:t>
      </w:r>
    </w:p>
    <w:bookmarkStart w:id="76" w:name="lo-script"/>
    <w:p>
      <w:pPr>
        <w:pStyle w:val="Heading3"/>
      </w:pPr>
      <w:r>
        <w:t xml:space="preserve">Lo script</w:t>
      </w:r>
    </w:p>
    <w:p>
      <w:pPr>
        <w:pStyle w:val="FirstParagraph"/>
      </w:pPr>
      <w:r>
        <w:rPr>
          <w:i/>
          <w:iCs/>
        </w:rPr>
        <w:t xml:space="preserve">“Quello che senti al mattino comincia molto prima, e molto più in basso di quanto pensi. Di notte il tuo corpo si riattiva per pochi secondi, decine di volte. In quei momenti la mandibola stringe, e stringe forte: è l’ultimo gradino di una scala che parte da lontano. Il bite protegge i denti da quella forza, e va tenuto. Io lavoro su un’altra cosa: sul muscolo che quella forza la produce, e sul collo che lavora insieme a lui. Non ti prometto che smetterai di stringere. Ti prometto che misuriamo insieme, dall’inizio, se qualcosa si muove.”</w:t>
      </w:r>
    </w:p>
    <w:bookmarkEnd w:id="76"/>
    <w:bookmarkStart w:id="77" w:name="le-obiezioni-e-le-risposte-oneste"/>
    <w:p>
      <w:pPr>
        <w:pStyle w:val="Heading3"/>
      </w:pPr>
      <w:r>
        <w:t xml:space="preserve">Le obiezioni, e le risposte oneste</w:t>
      </w:r>
    </w:p>
    <w:p>
      <w:pPr>
        <w:pStyle w:val="FirstParagraph"/>
      </w:pPr>
      <w:r>
        <w:rPr>
          <w:b/>
          <w:bCs/>
        </w:rPr>
        <w:t xml:space="preserve">“Ho già il bite: non basta?”</w:t>
      </w:r>
      <w:r>
        <w:t xml:space="preserve"> </w:t>
      </w:r>
      <w:r>
        <w:t xml:space="preserve">Il bite protegge i denti dallo scontro e va tenuto: quel lavoro lo fa bene. Il muscolo dietro però continua a spingere, e il dolore al risveglio viene da lui. Due bersagli diversi, e nessuno sostituisce l’altro.</w:t>
      </w:r>
    </w:p>
    <w:p>
      <w:pPr>
        <w:pStyle w:val="BodyText"/>
      </w:pPr>
      <w:r>
        <w:rPr>
          <w:b/>
          <w:bCs/>
        </w:rPr>
        <w:t xml:space="preserve">“Il dentista dice che i denti sono a posto.”</w:t>
      </w:r>
      <w:r>
        <w:t xml:space="preserve"> </w:t>
      </w:r>
      <w:r>
        <w:t xml:space="preserve">È la notizia migliore che potevi avere: il danno è sotto controllo. Resta il motivo per cui stringi, che non sta nei denti: sta nei muscoli e nel livello a cui il sistema si riattiva di notte.</w:t>
      </w:r>
    </w:p>
    <w:p>
      <w:pPr>
        <w:pStyle w:val="BodyText"/>
      </w:pPr>
      <w:r>
        <w:rPr>
          <w:b/>
          <w:bCs/>
        </w:rPr>
        <w:t xml:space="preserve">“Come faccio a controllarmi mentre dormo?”</w:t>
      </w:r>
      <w:r>
        <w:t xml:space="preserve"> </w:t>
      </w:r>
      <w:r>
        <w:t xml:space="preserve">Non puoi, ed è il punto. Nessuno controlla con la volontà una cosa che comincia otto minuti prima che i denti si tocchino. Si lavora sul muscolo, sul collo e su quanto stringi di giorno, che invece puoi vedere.</w:t>
      </w:r>
    </w:p>
    <w:p>
      <w:pPr>
        <w:pStyle w:val="BodyText"/>
      </w:pPr>
      <w:r>
        <w:rPr>
          <w:b/>
          <w:bCs/>
        </w:rPr>
        <w:t xml:space="preserve">“Mi hanno proposto il botulino.”</w:t>
      </w:r>
      <w:r>
        <w:t xml:space="preserve"> </w:t>
      </w:r>
      <w:r>
        <w:t xml:space="preserve">Ha le sue indicazioni e lo prescrive uno specialista. È una scelta fra te e chi te l’ha proposto: le domande sull’effetto falle a lui, che è la persona giusta. Io non entro nella prescrizione, e qualunque cosa decidi il mio lavoro resta lo stesso.</w:t>
      </w:r>
    </w:p>
    <w:p>
      <w:pPr>
        <w:pStyle w:val="BodyText"/>
      </w:pPr>
      <w:r>
        <w:rPr>
          <w:b/>
          <w:bCs/>
        </w:rPr>
        <w:t xml:space="preserve">E la frase sulla convivenza, la stessa del cancello d’ingresso — parola per parola.</w:t>
      </w:r>
      <w:r>
        <w:t xml:space="preserve"> </w:t>
      </w:r>
      <w:r>
        <w:rPr>
          <w:i/>
          <w:iCs/>
        </w:rPr>
        <w:t xml:space="preserve">“Io lavoro sulla componente muscolare e articolare che ho trovato. Lo stato dei tuoi denti e la protezione dall’usura vanno comunque valutati dall’odontoiatra, e nel frattempo io non aspetto.”</w:t>
      </w:r>
      <w:r>
        <w:t xml:space="preserve"> </w:t>
      </w:r>
      <w:r>
        <w:t xml:space="preserve">Avere qualcosa da trattare e sapere cosa ha il paziente sono due cose diverse:</w:t>
      </w:r>
      <w:r>
        <w:t xml:space="preserve"> </w:t>
      </w:r>
      <w:r>
        <w:rPr>
          <w:b/>
          <w:bCs/>
        </w:rPr>
        <w:t xml:space="preserve">convivono, e vanno dette come conviventi.</w:t>
      </w:r>
    </w:p>
    <w:p>
      <w:pPr>
        <w:pStyle w:val="BodyText"/>
      </w:pPr>
      <w:r>
        <w:rPr>
          <w:b/>
          <w:bCs/>
        </w:rPr>
        <w:t xml:space="preserve">E la frase da dire ogni volta dopo un lavoro sul collo.</w:t>
      </w:r>
      <w:r>
        <w:t xml:space="preserve"> </w:t>
      </w:r>
      <w:r>
        <w:rPr>
          <w:i/>
          <w:iCs/>
        </w:rPr>
        <w:t xml:space="preserve">“Nelle prossime quarantott’ore, se ti viene un mal di testa o un dolore al collo che aumenta all’improvviso, oppure capogiro, nausea, vomito, disturbi della vista o della parola, o formicolii nuovi, non aspettare la prossima seduta e non chiamare me: vai in pronto soccorso. È molto raro, e va detto lo stesso.”</w:t>
      </w:r>
    </w:p>
    <w:bookmarkEnd w:id="77"/>
    <w:bookmarkStart w:id="78" w:name="cosa-non-promettere-mai"/>
    <w:p>
      <w:pPr>
        <w:pStyle w:val="Heading3"/>
      </w:pPr>
      <w:r>
        <w:t xml:space="preserve">Cosa non promettere mai</w:t>
      </w:r>
    </w:p>
    <w:p>
      <w:pPr>
        <w:pStyle w:val="FirstParagraph"/>
      </w:pPr>
      <w:r>
        <w:t xml:space="preserve">Non promettere che smetterà di digrignare: nessuno lo ha mai misurato prima e dopo le nostre mani. Non promettere che i denti smetteranno di consumarsi: quella è la protezione dell’odontoiatra. Non dire che il trattamento</w:t>
      </w:r>
      <w:r>
        <w:t xml:space="preserve"> </w:t>
      </w:r>
      <w:r>
        <w:t xml:space="preserve">“rilassa il sistema nervoso”</w:t>
      </w:r>
      <w:r>
        <w:t xml:space="preserve">: dove è stato misurato va nella direzione opposta. E non promettere i numeri degli studi a questo paziente: sono medie di gruppo, misurate su un’altra popolazione.</w:t>
      </w:r>
    </w:p>
    <w:p>
      <w:pPr>
        <w:pStyle w:val="BodyText"/>
      </w:pPr>
      <w:r>
        <w:rPr>
          <w:b/>
          <w:bCs/>
        </w:rPr>
        <w:t xml:space="preserve">Le tre cose da ricordare, più una</w:t>
      </w:r>
    </w:p>
    <w:p>
      <w:pPr>
        <w:pStyle w:val="Compact"/>
        <w:numPr>
          <w:ilvl w:val="0"/>
          <w:numId w:val="1030"/>
        </w:numPr>
      </w:pPr>
      <w:r>
        <w:t xml:space="preserve">Difendi il bite prima di spiegare cosa fai tu. Ti fa guadagnare tutta la credibilità che ti serve dopo.</w:t>
      </w:r>
    </w:p>
    <w:p>
      <w:pPr>
        <w:pStyle w:val="Compact"/>
        <w:numPr>
          <w:ilvl w:val="0"/>
          <w:numId w:val="1030"/>
        </w:numPr>
      </w:pPr>
      <w:r>
        <w:t xml:space="preserve">“Non ti prometto che smetterai, ti prometto che misuriamo”</w:t>
      </w:r>
      <w:r>
        <w:t xml:space="preserve"> </w:t>
      </w:r>
      <w:r>
        <w:t xml:space="preserve">è la frase più forte che hai. Non è modestia: è metodo.</w:t>
      </w:r>
    </w:p>
    <w:p>
      <w:pPr>
        <w:pStyle w:val="Compact"/>
        <w:numPr>
          <w:ilvl w:val="0"/>
          <w:numId w:val="1030"/>
        </w:numPr>
      </w:pPr>
      <w:r>
        <w:t xml:space="preserve">Dopo un lavoro sul collo, la frase delle quarantott’ore si dice ogni volta. È rara la cosa, non è opzionale la frase.</w:t>
      </w:r>
    </w:p>
    <w:p>
      <w:pPr>
        <w:pStyle w:val="Compact"/>
        <w:numPr>
          <w:ilvl w:val="0"/>
          <w:numId w:val="1030"/>
        </w:numPr>
      </w:pPr>
      <w:r>
        <w:rPr>
          <w:b/>
          <w:bCs/>
        </w:rPr>
        <w:t xml:space="preserve">Perché ci sei tu.</w:t>
      </w:r>
      <w:r>
        <w:t xml:space="preserve"> </w:t>
      </w:r>
      <w:r>
        <w:t xml:space="preserve">L’informazione al paziente non è un contorno del trattamento: in uno studio randomizzato su pazienti con dolore muscolare masticatorio, tre mesi di sola informazione e autogestione hanno superato il bite consegnato senza spiegazioni sul dolore muscolare spontaneo, con un effetto piccolo. Questo ti autorizza a considerare il colloquio parte del trattamento e non un preambolo. Non ti autorizza a sostituirlo al trattamento: su apertura, cefalea e dolore masticando non c’era differenza fra i due gruppi. (Michelotti,</w:t>
      </w:r>
      <w:r>
        <w:t xml:space="preserve"> </w:t>
      </w:r>
      <w:r>
        <w:rPr>
          <w:i/>
          <w:iCs/>
        </w:rPr>
        <w:t xml:space="preserve">JADA</w:t>
      </w:r>
      <w:r>
        <w:t xml:space="preserve"> </w:t>
      </w:r>
      <w:r>
        <w:t xml:space="preserve">2012 — PMID 22207667)</w:t>
      </w:r>
    </w:p>
    <w:bookmarkEnd w:id="78"/>
    <w:bookmarkEnd w:id="79"/>
    <w:bookmarkStart w:id="80" w:name="capitolo-14-cosa-fare-adesso"/>
    <w:p>
      <w:pPr>
        <w:pStyle w:val="Heading2"/>
      </w:pPr>
      <w:r>
        <w:t xml:space="preserve">Capitolo 14 — Cosa fare adesso</w:t>
      </w:r>
    </w:p>
    <w:p>
      <w:pPr>
        <w:pStyle w:val="BlockText"/>
      </w:pPr>
      <w:r>
        <w:rPr>
          <w:b/>
          <w:bCs/>
        </w:rPr>
        <w:t xml:space="preserve">In una riga:</w:t>
      </w:r>
      <w:r>
        <w:t xml:space="preserve"> </w:t>
      </w:r>
      <w:r>
        <w:t xml:space="preserve">hai in mano un meccanismo solido, una leva modesta e una misura. Basta, se le usi in quest’ordine.</w:t>
      </w:r>
    </w:p>
    <w:p>
      <w:pPr>
        <w:pStyle w:val="FirstParagraph"/>
      </w:pPr>
      <w:r>
        <w:t xml:space="preserve">Ti arriva una persona con i denti già protetti e il problema intatto — o una persona venuta per il collo, e il bruxismo lo trovi tu. Quello che la fa svegliare dolorante non nasce nella bocca. Nasce da una riattivazione del sonno che parte dal cuore, passa dal cervello e ai masticatori arriva per ultima, con una forza che può superare quella che quella stessa persona produce da sveglia. Ma non tutti i risvegli ci arrivano, e non tutto il dolore viene dal carico: in una parte dei pazienti è la soglia ad essere abbassata, e lì il lavoro locale rende poco. Mandibola e collo lavorano come un motore unico, e il dolore si diffonde lungo la convergenza nervosa che li unisce. Le tue mani raggiungono muscolo, articolazione e collo, e lì hanno un effetto misurato contro trattamento finto, limitato e su un’altra popolazione: meno dolore, più apertura. Non raggiungono il numero di episodi né l’usura. Dove il tuo campo finisce ci sono un’arteria da escludere dopo i cinquant’anni, una mandibola che si blocca, un osso in terapia antiriassorbitiva, un farmaco che non commenti — e un collo che va conosciuto prima di essere toccato.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Quando sei autonomo su questa condizione.</w:t>
      </w:r>
      <w:r>
        <w:t xml:space="preserve"> </w:t>
      </w:r>
      <w:r>
        <w:t xml:space="preserve">Tre segni. Quando distingui senza esitare il dolore proporzionale al carico da quello diffuso e amplificato. Quando riconosci il paziente su cui puoi poco: quello comparso dopo un farmaco, quello con pause respiratorie riferite dal partner, quello oltre i settant’anni, su cui il modello del quarantenne alla scrivania non si applica. E quando sai dire a un medico quali due numeri puoi dichiarare e quali frasi non puoi pronunciare, cioè quando reciti i due elenchi di «Cosa dice la scienza» senza doverli rileggere. Finché uno dei tre ti fa esitare, il documento si riapre lì.</w:t>
      </w:r>
    </w:p>
    <w:p>
      <w:pPr>
        <w:pStyle w:val="BodyText"/>
      </w:pPr>
      <w:r>
        <w:rPr>
          <w:b/>
          <w:bCs/>
        </w:rPr>
        <w:t xml:space="preserve">Le tre cose che cambi da lunedì</w:t>
      </w:r>
    </w:p>
    <w:p>
      <w:pPr>
        <w:pStyle w:val="Compact"/>
        <w:numPr>
          <w:ilvl w:val="0"/>
          <w:numId w:val="1031"/>
        </w:numPr>
      </w:pPr>
      <w:r>
        <w:rPr>
          <w:b/>
          <w:bCs/>
        </w:rPr>
        <w:t xml:space="preserve">Guarda il collo di ogni bruxista, anche di quello che non ti parla del collo — sapendo cos’è quel distretto.</w:t>
      </w:r>
      <w:r>
        <w:t xml:space="preserve"> </w:t>
      </w:r>
      <w:r>
        <w:t xml:space="preserve">Misura l’apertura in millimetri e l’escursione cervicale prima di toccare, e riscrivile dopo.</w:t>
      </w:r>
    </w:p>
    <w:p>
      <w:pPr>
        <w:pStyle w:val="Compact"/>
        <w:numPr>
          <w:ilvl w:val="0"/>
          <w:numId w:val="1031"/>
        </w:numPr>
      </w:pPr>
      <w:r>
        <w:rPr>
          <w:b/>
          <w:bCs/>
        </w:rPr>
        <w:t xml:space="preserve">Di’ al paziente, alla prima seduta, che non misurerai quanto stringe ma quanto gli fa male e quanto apre</w:t>
      </w:r>
      <w:r>
        <w:t xml:space="preserve">, e scegli il marker su un piano che non tratterai.</w:t>
      </w:r>
    </w:p>
    <w:p>
      <w:pPr>
        <w:pStyle w:val="Compact"/>
        <w:numPr>
          <w:ilvl w:val="0"/>
          <w:numId w:val="1031"/>
        </w:numPr>
      </w:pPr>
      <w:r>
        <w:rPr>
          <w:b/>
          <w:bCs/>
        </w:rPr>
        <w:t xml:space="preserve">Smetti di dire che il trattamento rilassa il sistema nervoso.</w:t>
      </w:r>
      <w:r>
        <w:t xml:space="preserve"> </w:t>
      </w:r>
      <w:r>
        <w:t xml:space="preserve">Dove è stato misurato va nella direzione opposta: di’ che abbassa il dolore.</w:t>
      </w:r>
    </w:p>
    <w:p>
      <w:pPr>
        <w:pStyle w:val="FirstParagraph"/>
      </w:pPr>
      <w:r>
        <w:rPr>
          <w:i/>
          <w:iCs/>
        </w:rPr>
        <w:t xml:space="preserve">Su questa condizione nessuno ti chiede di essere il più bravo del mondo. Ti chiede di prendere una misura prima di intervenire e di riprenderla dopo — una cosa piccola, che prima di te, in tutto il percorso di quel paziente, fa raramente qualcuno. Sii cauto nelle promesse verbali, e iper-competente nelle mani.</w:t>
      </w:r>
    </w:p>
    <w:p>
      <w:pPr>
        <w:pStyle w:val="BodyText"/>
      </w:pPr>
      <w:r>
        <w:rPr>
          <w:b/>
          <w:bCs/>
        </w:rPr>
        <w:t xml:space="preserve">Le tre cose da ricordare, più una</w:t>
      </w:r>
    </w:p>
    <w:p>
      <w:pPr>
        <w:pStyle w:val="Compact"/>
        <w:numPr>
          <w:ilvl w:val="0"/>
          <w:numId w:val="1032"/>
        </w:numPr>
      </w:pPr>
      <w:r>
        <w:t xml:space="preserve">Guarda il collo di ogni bruxista, e misura l’apertura prima di toccare.</w:t>
      </w:r>
    </w:p>
    <w:p>
      <w:pPr>
        <w:pStyle w:val="Compact"/>
        <w:numPr>
          <w:ilvl w:val="0"/>
          <w:numId w:val="1032"/>
        </w:numPr>
      </w:pPr>
      <w:r>
        <w:t xml:space="preserve">Dichiara l’esito alla prima seduta: dolore e apertura, non quantità di digrignamento.</w:t>
      </w:r>
    </w:p>
    <w:p>
      <w:pPr>
        <w:pStyle w:val="Compact"/>
        <w:numPr>
          <w:ilvl w:val="0"/>
          <w:numId w:val="1032"/>
        </w:numPr>
      </w:pPr>
      <w:r>
        <w:t xml:space="preserve">Smetti di dire che il trattamento rilassa il sistema nervoso.</w:t>
      </w:r>
    </w:p>
    <w:p>
      <w:pPr>
        <w:pStyle w:val="Compact"/>
        <w:numPr>
          <w:ilvl w:val="0"/>
          <w:numId w:val="1032"/>
        </w:numPr>
      </w:pPr>
      <w:r>
        <w:rPr>
          <w:b/>
          <w:bCs/>
        </w:rPr>
        <w:t xml:space="preserve">Perché ci sei tu.</w:t>
      </w:r>
      <w:r>
        <w:t xml:space="preserve"> </w:t>
      </w:r>
      <w:r>
        <w:t xml:space="preserve">Quando il bruxismo si misura con lo strumento invece che con il questionario, il legame fra quanto una persona digrigna e quanto le fa male si indebolisce, e in alcuni studi si inverte. Questo ti autorizza a puntare tutto sul dolore e sulla funzione come esito del tuo lavoro. Non ti autorizza a promettere che il paziente smetterà di stringere: quella è la misura che, anche quando migliora tutto il resto, potrebbe non muoversi affatto. (Manfredini &amp; Lobbezoo,</w:t>
      </w:r>
      <w:r>
        <w:t xml:space="preserve"> </w:t>
      </w:r>
      <w:r>
        <w:rPr>
          <w:i/>
          <w:iCs/>
        </w:rPr>
        <w:t xml:space="preserve">J Dent</w:t>
      </w:r>
      <w:r>
        <w:t xml:space="preserve"> </w:t>
      </w:r>
      <w:r>
        <w:t xml:space="preserve">2021 — PMID 34090993)</w:t>
      </w:r>
    </w:p>
    <w:bookmarkEnd w:id="80"/>
    <w:bookmarkStart w:id="81" w:name="appendice-a-glossario"/>
    <w:p>
      <w:pPr>
        <w:pStyle w:val="Heading2"/>
      </w:pPr>
      <w:r>
        <w:t xml:space="preserve">Appendice A — Glossario</w:t>
      </w:r>
    </w:p>
    <w:p>
      <w:pPr>
        <w:pStyle w:val="Compact"/>
        <w:numPr>
          <w:ilvl w:val="0"/>
          <w:numId w:val="1033"/>
        </w:numPr>
      </w:pPr>
      <w:r>
        <w:rPr>
          <w:b/>
          <w:bCs/>
        </w:rPr>
        <w:t xml:space="preserve">Angoli cranio-vertebrali e cranio-orizzontali</w:t>
      </w:r>
      <w:r>
        <w:t xml:space="preserve"> </w:t>
      </w:r>
      <w:r>
        <w:t xml:space="preserve">— misure fotografiche della posizione della testa rispetto al collo e all’orizzonte; usate come indicatori di postura del capo.</w:t>
      </w:r>
    </w:p>
    <w:p>
      <w:pPr>
        <w:pStyle w:val="Compact"/>
        <w:numPr>
          <w:ilvl w:val="0"/>
          <w:numId w:val="1033"/>
        </w:numPr>
      </w:pPr>
      <w:r>
        <w:rPr>
          <w:b/>
          <w:bCs/>
        </w:rPr>
        <w:t xml:space="preserve">Apertura attiva</w:t>
      </w:r>
      <w:r>
        <w:t xml:space="preserve"> </w:t>
      </w:r>
      <w:r>
        <w:t xml:space="preserve">— distanza fra i bordi degli incisivi a bocca aperta al massimo, più l’overbite. Nell’adulto sta di norma fra 45 e 50 millimetri; sotto i 40 si considera limitata.</w:t>
      </w:r>
    </w:p>
    <w:p>
      <w:pPr>
        <w:pStyle w:val="Compact"/>
        <w:numPr>
          <w:ilvl w:val="0"/>
          <w:numId w:val="1033"/>
        </w:numPr>
      </w:pPr>
      <w:r>
        <w:rPr>
          <w:b/>
          <w:bCs/>
        </w:rPr>
        <w:t xml:space="preserve">Arterite a cellule giganti</w:t>
      </w:r>
      <w:r>
        <w:t xml:space="preserve"> </w:t>
      </w:r>
      <w:r>
        <w:t xml:space="preserve">— infiammazione delle arterie del capo che può dare dolore alle tempie e perdita della vista; va esclusa nel dolore temporale nuovo dopo i cinquant’anni.</w:t>
      </w:r>
    </w:p>
    <w:p>
      <w:pPr>
        <w:pStyle w:val="Compact"/>
        <w:numPr>
          <w:ilvl w:val="0"/>
          <w:numId w:val="1033"/>
        </w:numPr>
      </w:pPr>
      <w:r>
        <w:rPr>
          <w:b/>
          <w:bCs/>
        </w:rPr>
        <w:t xml:space="preserve">Attività ritmica dei muscoli masticatori</w:t>
      </w:r>
      <w:r>
        <w:t xml:space="preserve"> </w:t>
      </w:r>
      <w:r>
        <w:t xml:space="preserve">— contrazioni ripetute degli elevatori della mandibola durante il sonno, a circa un ciclo al secondo; è la forma motoria del bruxismo del sonno.</w:t>
      </w:r>
    </w:p>
    <w:p>
      <w:pPr>
        <w:pStyle w:val="Compact"/>
        <w:numPr>
          <w:ilvl w:val="0"/>
          <w:numId w:val="1033"/>
        </w:numPr>
      </w:pPr>
      <w:r>
        <w:rPr>
          <w:b/>
          <w:bCs/>
        </w:rPr>
        <w:t xml:space="preserve">Bruxismo della veglia</w:t>
      </w:r>
      <w:r>
        <w:t xml:space="preserve"> </w:t>
      </w:r>
      <w:r>
        <w:t xml:space="preserve">— contatto dentale ripetuto o mantenuto, oppure irrigidimento e spinta della mandibola, durante la veglia.</w:t>
      </w:r>
    </w:p>
    <w:p>
      <w:pPr>
        <w:pStyle w:val="Compact"/>
        <w:numPr>
          <w:ilvl w:val="0"/>
          <w:numId w:val="1033"/>
        </w:numPr>
      </w:pPr>
      <w:r>
        <w:rPr>
          <w:b/>
          <w:bCs/>
        </w:rPr>
        <w:t xml:space="preserve">Bruxismo del sonno</w:t>
      </w:r>
      <w:r>
        <w:t xml:space="preserve"> </w:t>
      </w:r>
      <w:r>
        <w:t xml:space="preserve">— attività dei muscoli masticatori durante il sonno, ritmica o non ritmica.</w:t>
      </w:r>
    </w:p>
    <w:p>
      <w:pPr>
        <w:pStyle w:val="Compact"/>
        <w:numPr>
          <w:ilvl w:val="0"/>
          <w:numId w:val="1033"/>
        </w:numPr>
      </w:pPr>
      <w:r>
        <w:rPr>
          <w:b/>
          <w:bCs/>
        </w:rPr>
        <w:t xml:space="preserve">Buspirone</w:t>
      </w:r>
      <w:r>
        <w:t xml:space="preserve"> </w:t>
      </w:r>
      <w:r>
        <w:t xml:space="preserve">— farmaco ansiolitico, citato fra quelli che possono attenuare il bruxismo indotto da altri farmaci; lo prescrive il medico.</w:t>
      </w:r>
    </w:p>
    <w:p>
      <w:pPr>
        <w:pStyle w:val="Compact"/>
        <w:numPr>
          <w:ilvl w:val="0"/>
          <w:numId w:val="1033"/>
        </w:numPr>
      </w:pPr>
      <w:r>
        <w:rPr>
          <w:b/>
          <w:bCs/>
        </w:rPr>
        <w:t xml:space="preserve">Catena</w:t>
      </w:r>
      <w:r>
        <w:t xml:space="preserve"> </w:t>
      </w:r>
      <w:r>
        <w:t xml:space="preserve">— insieme di strutture collegate che si influenzano a distanza, per continuità meccanica o per via nervosa. Spiega perché un problema in un punto può manifestarsi in un altro.</w:t>
      </w:r>
    </w:p>
    <w:p>
      <w:pPr>
        <w:pStyle w:val="Compact"/>
        <w:numPr>
          <w:ilvl w:val="0"/>
          <w:numId w:val="1033"/>
        </w:numPr>
      </w:pPr>
      <w:r>
        <w:rPr>
          <w:b/>
          <w:bCs/>
        </w:rPr>
        <w:t xml:space="preserve">Centro di Coordinazione</w:t>
      </w:r>
      <w:r>
        <w:t xml:space="preserve"> </w:t>
      </w:r>
      <w:r>
        <w:t xml:space="preserve">— nel metodo, il punto in cui la funzione si organizza: la causa nella ricostruzione clinica. Si cerca a monte del punto che duole.</w:t>
      </w:r>
    </w:p>
    <w:p>
      <w:pPr>
        <w:pStyle w:val="Compact"/>
        <w:numPr>
          <w:ilvl w:val="0"/>
          <w:numId w:val="1033"/>
        </w:numPr>
      </w:pPr>
      <w:r>
        <w:rPr>
          <w:b/>
          <w:bCs/>
        </w:rPr>
        <w:t xml:space="preserve">Centro di Percezione</w:t>
      </w:r>
      <w:r>
        <w:t xml:space="preserve"> </w:t>
      </w:r>
      <w:r>
        <w:t xml:space="preserve">— nel metodo, il punto in cui il paziente sente il sintomo. Su questa condizione il divieto di trattarlo non si applica, e il motivo è scritto in «Come ragiono davanti a questo paziente».</w:t>
      </w:r>
    </w:p>
    <w:p>
      <w:pPr>
        <w:pStyle w:val="Compact"/>
        <w:numPr>
          <w:ilvl w:val="0"/>
          <w:numId w:val="1033"/>
        </w:numPr>
      </w:pPr>
      <w:r>
        <w:rPr>
          <w:b/>
          <w:bCs/>
        </w:rPr>
        <w:t xml:space="preserve">Chilogrammo-forza</w:t>
      </w:r>
      <w:r>
        <w:t xml:space="preserve"> </w:t>
      </w:r>
      <w:r>
        <w:t xml:space="preserve">— la forza che una massa di un chilogrammo esercita per effetto della gravità; serve a dire quanto pesa la spinta fra i denti.</w:t>
      </w:r>
    </w:p>
    <w:p>
      <w:pPr>
        <w:pStyle w:val="Compact"/>
        <w:numPr>
          <w:ilvl w:val="0"/>
          <w:numId w:val="1033"/>
        </w:numPr>
      </w:pPr>
      <w:r>
        <w:rPr>
          <w:b/>
          <w:bCs/>
        </w:rPr>
        <w:t xml:space="preserve">Cieco singolo, doppio cieco</w:t>
      </w:r>
      <w:r>
        <w:t xml:space="preserve"> </w:t>
      </w:r>
      <w:r>
        <w:t xml:space="preserve">— negli studi, il fatto che il paziente (singolo) o il paziente e chi misura (doppio) non sappiano quale trattamento è stato dato.</w:t>
      </w:r>
    </w:p>
    <w:p>
      <w:pPr>
        <w:pStyle w:val="Compact"/>
        <w:numPr>
          <w:ilvl w:val="0"/>
          <w:numId w:val="1033"/>
        </w:numPr>
      </w:pPr>
      <w:r>
        <w:rPr>
          <w:b/>
          <w:bCs/>
        </w:rPr>
        <w:t xml:space="preserve">Claudicatio mandibolare</w:t>
      </w:r>
      <w:r>
        <w:t xml:space="preserve"> </w:t>
      </w:r>
      <w:r>
        <w:t xml:space="preserve">— dolore o affaticamento dei masticatori che compare masticando, obbliga a fermarsi e recede col riposo; segno più specifico dell’arterite a cellule giganti.</w:t>
      </w:r>
    </w:p>
    <w:p>
      <w:pPr>
        <w:pStyle w:val="Compact"/>
        <w:numPr>
          <w:ilvl w:val="0"/>
          <w:numId w:val="1033"/>
        </w:numPr>
      </w:pPr>
      <w:r>
        <w:rPr>
          <w:b/>
          <w:bCs/>
        </w:rPr>
        <w:t xml:space="preserve">Compenso</w:t>
      </w:r>
      <w:r>
        <w:t xml:space="preserve"> </w:t>
      </w:r>
      <w:r>
        <w:t xml:space="preserve">— adattamento che il corpo mette in atto per continuare a funzionare nonostante un problema. Costa qualcosa e regge finché può; il sintomo compare spesso dove il compenso ha ceduto.</w:t>
      </w:r>
    </w:p>
    <w:p>
      <w:pPr>
        <w:pStyle w:val="Compact"/>
        <w:numPr>
          <w:ilvl w:val="0"/>
          <w:numId w:val="1033"/>
        </w:numPr>
      </w:pPr>
      <w:r>
        <w:rPr>
          <w:b/>
          <w:bCs/>
        </w:rPr>
        <w:t xml:space="preserve">Conduttanza cutanea</w:t>
      </w:r>
      <w:r>
        <w:t xml:space="preserve"> </w:t>
      </w:r>
      <w:r>
        <w:t xml:space="preserve">— quanto la pelle conduce elettricità, che dipende dalla sudorazione: sale quando il sistema nervoso si attiva.</w:t>
      </w:r>
    </w:p>
    <w:p>
      <w:pPr>
        <w:pStyle w:val="Compact"/>
        <w:numPr>
          <w:ilvl w:val="0"/>
          <w:numId w:val="1033"/>
        </w:numPr>
      </w:pPr>
      <w:r>
        <w:rPr>
          <w:b/>
          <w:bCs/>
        </w:rPr>
        <w:t xml:space="preserve">Convergenza trigemino-cervicale</w:t>
      </w:r>
      <w:r>
        <w:t xml:space="preserve"> </w:t>
      </w:r>
      <w:r>
        <w:t xml:space="preserve">— il fatto che le fibre del trigemino e quelle delle prime radici cervicali terminino sugli stessi neuroni.</w:t>
      </w:r>
    </w:p>
    <w:p>
      <w:pPr>
        <w:pStyle w:val="Compact"/>
        <w:numPr>
          <w:ilvl w:val="0"/>
          <w:numId w:val="1033"/>
        </w:numPr>
      </w:pPr>
      <w:r>
        <w:rPr>
          <w:b/>
          <w:bCs/>
        </w:rPr>
        <w:t xml:space="preserve">DC/TMD</w:t>
      </w:r>
      <w:r>
        <w:t xml:space="preserve"> </w:t>
      </w:r>
      <w:r>
        <w:t xml:space="preserve">— i criteri diagnostici internazionali per i disturbi temporo-mandibolari; sono il riferimento con cui lo gnatologo formula le sue etichette.</w:t>
      </w:r>
    </w:p>
    <w:p>
      <w:pPr>
        <w:pStyle w:val="Compact"/>
        <w:numPr>
          <w:ilvl w:val="0"/>
          <w:numId w:val="1033"/>
        </w:numPr>
      </w:pPr>
      <w:r>
        <w:rPr>
          <w:b/>
          <w:bCs/>
        </w:rPr>
        <w:t xml:space="preserve">DIMOSTRATO</w:t>
      </w:r>
      <w:r>
        <w:t xml:space="preserve"> </w:t>
      </w:r>
      <w:r>
        <w:t xml:space="preserve">— etichetta di solidità: studi sull’uomo, solidi. In questa Bibbia copre anche gli studi che seguono nel tempo molte persone mostrando che più esposizione dà più effetto, e la misura fisica presa direttamente su persone.</w:t>
      </w:r>
    </w:p>
    <w:p>
      <w:pPr>
        <w:pStyle w:val="Compact"/>
        <w:numPr>
          <w:ilvl w:val="0"/>
          <w:numId w:val="1033"/>
        </w:numPr>
      </w:pPr>
      <w:r>
        <w:rPr>
          <w:b/>
          <w:bCs/>
        </w:rPr>
        <w:t xml:space="preserve">Disco</w:t>
      </w:r>
      <w:r>
        <w:t xml:space="preserve"> </w:t>
      </w:r>
      <w:r>
        <w:t xml:space="preserve">— cuscinetto fibrocartilagineo dell’articolazione temporo-mandibolare che traduce la rotazione in traslazione.</w:t>
      </w:r>
    </w:p>
    <w:p>
      <w:pPr>
        <w:pStyle w:val="Compact"/>
        <w:numPr>
          <w:ilvl w:val="0"/>
          <w:numId w:val="1033"/>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 In questa Bibbia il termine operativo è</w:t>
      </w:r>
      <w:r>
        <w:t xml:space="preserve"> </w:t>
      </w:r>
      <w:r>
        <w:rPr>
          <w:b/>
          <w:bCs/>
        </w:rPr>
        <w:t xml:space="preserve">reperto disfunzionale</w:t>
      </w:r>
      <w:r>
        <w:t xml:space="preserve">.</w:t>
      </w:r>
    </w:p>
    <w:p>
      <w:pPr>
        <w:pStyle w:val="Compact"/>
        <w:numPr>
          <w:ilvl w:val="0"/>
          <w:numId w:val="1033"/>
        </w:numPr>
      </w:pPr>
      <w:r>
        <w:rPr>
          <w:b/>
          <w:bCs/>
        </w:rPr>
        <w:t xml:space="preserve">Dissezione arteriosa cervicale</w:t>
      </w:r>
      <w:r>
        <w:t xml:space="preserve"> </w:t>
      </w:r>
      <w:r>
        <w:t xml:space="preserve">— lacerazione della parete di un’arteria del collo, che può portare a ictus; nelle fasi precoci si presenta come dolore cervicale e cefalea di recente insorgenza.</w:t>
      </w:r>
    </w:p>
    <w:p>
      <w:pPr>
        <w:pStyle w:val="Compact"/>
        <w:numPr>
          <w:ilvl w:val="0"/>
          <w:numId w:val="1033"/>
        </w:numPr>
      </w:pPr>
      <w:r>
        <w:rPr>
          <w:b/>
          <w:bCs/>
        </w:rPr>
        <w:t xml:space="preserve">Distonia oromandibolare</w:t>
      </w:r>
      <w:r>
        <w:t xml:space="preserve"> </w:t>
      </w:r>
      <w:r>
        <w:t xml:space="preserve">— disturbo del movimento con contrazioni involontarie dei muscoli della bocca e della mandibola; è di competenza neurologica.</w:t>
      </w:r>
    </w:p>
    <w:p>
      <w:pPr>
        <w:pStyle w:val="Compact"/>
        <w:numPr>
          <w:ilvl w:val="0"/>
          <w:numId w:val="1033"/>
        </w:numPr>
      </w:pPr>
      <w:r>
        <w:rPr>
          <w:b/>
          <w:bCs/>
        </w:rPr>
        <w:t xml:space="preserve">Elettromiografia</w:t>
      </w:r>
      <w:r>
        <w:t xml:space="preserve"> </w:t>
      </w:r>
      <w:r>
        <w:t xml:space="preserve">— registrazione dell’attività elettrica di un muscolo.</w:t>
      </w:r>
    </w:p>
    <w:p>
      <w:pPr>
        <w:pStyle w:val="Compact"/>
        <w:numPr>
          <w:ilvl w:val="0"/>
          <w:numId w:val="1033"/>
        </w:numPr>
      </w:pPr>
      <w:r>
        <w:rPr>
          <w:b/>
          <w:bCs/>
        </w:rPr>
        <w:t xml:space="preserve">Finestra permissiva</w:t>
      </w:r>
      <w:r>
        <w:t xml:space="preserve"> </w:t>
      </w:r>
      <w:r>
        <w:t xml:space="preserve">— condizione che rende possibile un evento senza provocarlo. Il microrisveglio è una finestra permissiva del bruxismo: apre la porta, non dà il comando.</w:t>
      </w:r>
    </w:p>
    <w:p>
      <w:pPr>
        <w:pStyle w:val="Compact"/>
        <w:numPr>
          <w:ilvl w:val="0"/>
          <w:numId w:val="1033"/>
        </w:numPr>
      </w:pPr>
      <w:r>
        <w:rPr>
          <w:b/>
          <w:bCs/>
        </w:rPr>
        <w:t xml:space="preserve">Gnatologo</w:t>
      </w:r>
      <w:r>
        <w:t xml:space="preserve"> </w:t>
      </w:r>
      <w:r>
        <w:t xml:space="preserve">— odontoiatra che si occupa dei rapporti fra denti, muscoli masticatori e articolazione della mandibola.</w:t>
      </w:r>
    </w:p>
    <w:p>
      <w:pPr>
        <w:pStyle w:val="Compact"/>
        <w:numPr>
          <w:ilvl w:val="0"/>
          <w:numId w:val="1033"/>
        </w:numPr>
      </w:pPr>
      <w:r>
        <w:rPr>
          <w:b/>
          <w:bCs/>
        </w:rPr>
        <w:t xml:space="preserve">IFOMPT</w:t>
      </w:r>
      <w:r>
        <w:t xml:space="preserve"> </w:t>
      </w:r>
      <w:r>
        <w:t xml:space="preserve">— la federazione internazionale di terapisti manuali che ha pubblicato il quadro di riferimento per la valutazione del rachide cervicale prima di un intervento manuale.</w:t>
      </w:r>
    </w:p>
    <w:p>
      <w:pPr>
        <w:pStyle w:val="Compact"/>
        <w:numPr>
          <w:ilvl w:val="0"/>
          <w:numId w:val="1033"/>
        </w:numPr>
      </w:pPr>
      <w:r>
        <w:rPr>
          <w:b/>
          <w:bCs/>
        </w:rPr>
        <w:t xml:space="preserve">IPOTESI</w:t>
      </w:r>
      <w:r>
        <w:t xml:space="preserve"> </w:t>
      </w:r>
      <w:r>
        <w:t xml:space="preserve">— etichetta di solidità: meccanismo coerente, nessuno studio.</w:t>
      </w:r>
    </w:p>
    <w:p>
      <w:pPr>
        <w:pStyle w:val="Compact"/>
        <w:numPr>
          <w:ilvl w:val="0"/>
          <w:numId w:val="1033"/>
        </w:numPr>
      </w:pPr>
      <w:r>
        <w:rPr>
          <w:b/>
          <w:bCs/>
        </w:rPr>
        <w:t xml:space="preserve">Legamento discomalleolare</w:t>
      </w:r>
      <w:r>
        <w:t xml:space="preserve"> </w:t>
      </w:r>
      <w:r>
        <w:t xml:space="preserve">— legamento che collega il disco dell’articolazione temporo-mandibolare al martello dell’orecchio medio; noto come legamento di Pinto.</w:t>
      </w:r>
    </w:p>
    <w:p>
      <w:pPr>
        <w:pStyle w:val="Compact"/>
        <w:numPr>
          <w:ilvl w:val="0"/>
          <w:numId w:val="1033"/>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33"/>
        </w:numPr>
      </w:pPr>
      <w:r>
        <w:rPr>
          <w:b/>
          <w:bCs/>
        </w:rPr>
        <w:t xml:space="preserve">Linea alba</w:t>
      </w:r>
      <w:r>
        <w:t xml:space="preserve"> </w:t>
      </w:r>
      <w:r>
        <w:t xml:space="preserve">— striscia biancastra sulla mucosa della guancia, all’altezza del piano dove le arcate si incontrano; indizio di serramento.</w:t>
      </w:r>
    </w:p>
    <w:p>
      <w:pPr>
        <w:pStyle w:val="Compact"/>
        <w:numPr>
          <w:ilvl w:val="0"/>
          <w:numId w:val="1033"/>
        </w:numPr>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3"/>
        </w:numPr>
      </w:pPr>
      <w:r>
        <w:rPr>
          <w:b/>
          <w:bCs/>
        </w:rPr>
        <w:t xml:space="preserve">Massetere</w:t>
      </w:r>
      <w:r>
        <w:t xml:space="preserve"> </w:t>
      </w:r>
      <w:r>
        <w:t xml:space="preserve">— muscolo elevatore della mandibola, spesso e superficiale, palpabile sotto lo zigomo.</w:t>
      </w:r>
    </w:p>
    <w:p>
      <w:pPr>
        <w:pStyle w:val="Compact"/>
        <w:numPr>
          <w:ilvl w:val="0"/>
          <w:numId w:val="1033"/>
        </w:numPr>
      </w:pPr>
      <w:r>
        <w:rPr>
          <w:b/>
          <w:bCs/>
        </w:rPr>
        <w:t xml:space="preserve">Meccanocettori amielinici</w:t>
      </w:r>
      <w:r>
        <w:t xml:space="preserve"> </w:t>
      </w:r>
      <w:r>
        <w:t xml:space="preserve">— fibre nervose lente e prive di guaina che rispondono al tocco leggero e ne codificano la piacevolezza.</w:t>
      </w:r>
    </w:p>
    <w:p>
      <w:pPr>
        <w:pStyle w:val="Compact"/>
        <w:numPr>
          <w:ilvl w:val="0"/>
          <w:numId w:val="1033"/>
        </w:numPr>
      </w:pPr>
      <w:r>
        <w:rPr>
          <w:b/>
          <w:bCs/>
        </w:rPr>
        <w:t xml:space="preserve">Microneurografia</w:t>
      </w:r>
      <w:r>
        <w:t xml:space="preserve"> </w:t>
      </w:r>
      <w:r>
        <w:t xml:space="preserve">— registrazione dell’attività di una singola fibra nervosa attraverso un ago sottile infilato nel nervo di una persona sveglia.</w:t>
      </w:r>
    </w:p>
    <w:p>
      <w:pPr>
        <w:pStyle w:val="Compact"/>
        <w:numPr>
          <w:ilvl w:val="0"/>
          <w:numId w:val="1033"/>
        </w:numPr>
      </w:pPr>
      <w:r>
        <w:rPr>
          <w:b/>
          <w:bCs/>
        </w:rPr>
        <w:t xml:space="preserve">Microrisveglio</w:t>
      </w:r>
      <w:r>
        <w:t xml:space="preserve"> </w:t>
      </w:r>
      <w:r>
        <w:t xml:space="preserve">— riattivazione breve del cervello e del cuore durante il sonno, della durata di pochi secondi.</w:t>
      </w:r>
    </w:p>
    <w:p>
      <w:pPr>
        <w:pStyle w:val="Compact"/>
        <w:numPr>
          <w:ilvl w:val="0"/>
          <w:numId w:val="1033"/>
        </w:numPr>
      </w:pPr>
      <w:r>
        <w:rPr>
          <w:b/>
          <w:bCs/>
        </w:rPr>
        <w:t xml:space="preserve">Minima variazione rilevabile</w:t>
      </w:r>
      <w:r>
        <w:t xml:space="preserve"> </w:t>
      </w:r>
      <w:r>
        <w:t xml:space="preserve">— il cambiamento più piccolo che una misura può registrare senza confondersi con il proprio errore. Sotto quel valore, un miglioramento non è distinguibile dal rumore dello strumento.</w:t>
      </w:r>
    </w:p>
    <w:p>
      <w:pPr>
        <w:pStyle w:val="Compact"/>
        <w:numPr>
          <w:ilvl w:val="0"/>
          <w:numId w:val="1033"/>
        </w:numPr>
      </w:pPr>
      <w:r>
        <w:rPr>
          <w:b/>
          <w:bCs/>
        </w:rPr>
        <w:t xml:space="preserve">Modulazione condizionata del dolore</w:t>
      </w:r>
      <w:r>
        <w:t xml:space="preserve">, detta anche modulazione endogena del dolore — la capacità del sistema nervoso di ridurre un dolore quando un secondo stimolo doloroso è attivo altrove; è una misura del freno endogeno.</w:t>
      </w:r>
    </w:p>
    <w:p>
      <w:pPr>
        <w:pStyle w:val="Compact"/>
        <w:numPr>
          <w:ilvl w:val="0"/>
          <w:numId w:val="1033"/>
        </w:numPr>
      </w:pPr>
      <w:r>
        <w:rPr>
          <w:b/>
          <w:bCs/>
        </w:rPr>
        <w:t xml:space="preserve">Nociplastico</w:t>
      </w:r>
      <w:r>
        <w:t xml:space="preserve"> </w:t>
      </w:r>
      <w:r>
        <w:t xml:space="preserve">— dolore prodotto da un’alterazione del modo in cui il sistema nervoso elabora i segnali, senza un danno tissutale che lo giustifichi in quella misura.</w:t>
      </w:r>
    </w:p>
    <w:p>
      <w:pPr>
        <w:pStyle w:val="Compact"/>
        <w:numPr>
          <w:ilvl w:val="0"/>
          <w:numId w:val="1033"/>
        </w:numPr>
      </w:pPr>
      <w:r>
        <w:rPr>
          <w:b/>
          <w:bCs/>
        </w:rPr>
        <w:t xml:space="preserve">Osteonecrosi della mandibola da farmaci</w:t>
      </w:r>
      <w:r>
        <w:t xml:space="preserve"> </w:t>
      </w:r>
      <w:r>
        <w:t xml:space="preserve">— morte del tessuto osseo mandibolare associata a bisfosfonati, denosumab o antiangiogenici; nello stadio iniziale si presenta senza osso esposto.</w:t>
      </w:r>
    </w:p>
    <w:p>
      <w:pPr>
        <w:pStyle w:val="Compact"/>
        <w:numPr>
          <w:ilvl w:val="0"/>
          <w:numId w:val="1033"/>
        </w:numPr>
      </w:pPr>
      <w:r>
        <w:rPr>
          <w:b/>
          <w:bCs/>
        </w:rPr>
        <w:t xml:space="preserve">Overbite</w:t>
      </w:r>
      <w:r>
        <w:t xml:space="preserve"> </w:t>
      </w:r>
      <w:r>
        <w:t xml:space="preserve">— quanto gli incisivi superiori coprono gli inferiori a bocca chiusa; si somma alla distanza fra i bordi incisali per ottenere l’apertura reale.</w:t>
      </w:r>
    </w:p>
    <w:p>
      <w:pPr>
        <w:pStyle w:val="Compact"/>
        <w:numPr>
          <w:ilvl w:val="0"/>
          <w:numId w:val="1033"/>
        </w:numPr>
      </w:pPr>
      <w:r>
        <w:rPr>
          <w:b/>
          <w:bCs/>
        </w:rPr>
        <w:t xml:space="preserve">Polisonnografia</w:t>
      </w:r>
      <w:r>
        <w:t xml:space="preserve"> </w:t>
      </w:r>
      <w:r>
        <w:t xml:space="preserve">— registrazione notturna in laboratorio del sonno di più segnali contemporaneamente, fra cui l’attività dei muscoli masticatori.</w:t>
      </w:r>
    </w:p>
    <w:p>
      <w:pPr>
        <w:pStyle w:val="Compact"/>
        <w:numPr>
          <w:ilvl w:val="0"/>
          <w:numId w:val="1033"/>
        </w:numPr>
      </w:pPr>
      <w:r>
        <w:rPr>
          <w:b/>
          <w:bCs/>
        </w:rPr>
        <w:t xml:space="preserve">PROBABILE</w:t>
      </w:r>
      <w:r>
        <w:t xml:space="preserve"> </w:t>
      </w:r>
      <w:r>
        <w:t xml:space="preserve">— etichetta di solidità: razionale forte, prove parziali.</w:t>
      </w:r>
    </w:p>
    <w:p>
      <w:pPr>
        <w:pStyle w:val="Compact"/>
        <w:numPr>
          <w:ilvl w:val="0"/>
          <w:numId w:val="1033"/>
        </w:numPr>
      </w:pPr>
      <w:r>
        <w:rPr>
          <w:b/>
          <w:bCs/>
        </w:rPr>
        <w:t xml:space="preserve">Pterigoideo laterale</w:t>
      </w:r>
      <w:r>
        <w:t xml:space="preserve"> </w:t>
      </w:r>
      <w:r>
        <w:t xml:space="preserve">— muscolo con due capi; quello superiore si inserisce sulla capsula e sul disco dell’articolazione temporo-mandibolare. Non è raggiungibile per via intra-orale, e quel gesto è comunque fuori perimetro.</w:t>
      </w:r>
    </w:p>
    <w:p>
      <w:pPr>
        <w:pStyle w:val="Compact"/>
        <w:numPr>
          <w:ilvl w:val="0"/>
          <w:numId w:val="1033"/>
        </w:numPr>
      </w:pPr>
      <w:r>
        <w:rPr>
          <w:b/>
          <w:bCs/>
        </w:rPr>
        <w:t xml:space="preserve">RAGIONAMENTO</w:t>
      </w:r>
      <w:r>
        <w:t xml:space="preserve"> </w:t>
      </w:r>
      <w:r>
        <w:t xml:space="preserve">— etichetta di solidità: cornice clinica, non una prova.</w:t>
      </w:r>
    </w:p>
    <w:p>
      <w:pPr>
        <w:pStyle w:val="Compact"/>
        <w:numPr>
          <w:ilvl w:val="0"/>
          <w:numId w:val="1033"/>
        </w:numPr>
      </w:pPr>
      <w:r>
        <w:rPr>
          <w:b/>
          <w:bCs/>
        </w:rPr>
        <w:t xml:space="preserve">Revisione ombrello</w:t>
      </w:r>
      <w:r>
        <w:t xml:space="preserve"> </w:t>
      </w:r>
      <w:r>
        <w:t xml:space="preserve">— sintesi che riassume più revisioni sistematiche già pubblicate, invece dei singoli studi.</w:t>
      </w:r>
    </w:p>
    <w:p>
      <w:pPr>
        <w:pStyle w:val="Compact"/>
        <w:numPr>
          <w:ilvl w:val="0"/>
          <w:numId w:val="1033"/>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33"/>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33"/>
        </w:numPr>
      </w:pPr>
      <w:r>
        <w:rPr>
          <w:b/>
          <w:bCs/>
        </w:rPr>
        <w:t xml:space="preserve">Sommazione temporale</w:t>
      </w:r>
      <w:r>
        <w:t xml:space="preserve"> </w:t>
      </w:r>
      <w:r>
        <w:t xml:space="preserve">— l’aumento del dolore percepito quando uno stimolo identico viene ripetuto; è un test dinamico dell’amplificazione centrale.</w:t>
      </w:r>
    </w:p>
    <w:p>
      <w:pPr>
        <w:pStyle w:val="Compact"/>
        <w:numPr>
          <w:ilvl w:val="0"/>
          <w:numId w:val="1033"/>
        </w:numPr>
      </w:pPr>
      <w:r>
        <w:rPr>
          <w:b/>
          <w:bCs/>
        </w:rPr>
        <w:t xml:space="preserve">Sistema optoelettronico</w:t>
      </w:r>
      <w:r>
        <w:t xml:space="preserve"> </w:t>
      </w:r>
      <w:r>
        <w:t xml:space="preserve">— sistema di telecamere che segue marcatori luminosi applicati al corpo per misurare i movimenti nello spazio.</w:t>
      </w:r>
    </w:p>
    <w:p>
      <w:pPr>
        <w:pStyle w:val="Compact"/>
        <w:numPr>
          <w:ilvl w:val="0"/>
          <w:numId w:val="1033"/>
        </w:numPr>
      </w:pPr>
      <w:r>
        <w:rPr>
          <w:b/>
          <w:bCs/>
        </w:rPr>
        <w:t xml:space="preserve">Soglia dolorosa alla pressione</w:t>
      </w:r>
      <w:r>
        <w:t xml:space="preserve"> </w:t>
      </w:r>
      <w:r>
        <w:t xml:space="preserve">— la pressione minima che il paziente riferisce come dolorosa, misurata con un algometro.</w:t>
      </w:r>
    </w:p>
    <w:p>
      <w:pPr>
        <w:pStyle w:val="Compact"/>
        <w:numPr>
          <w:ilvl w:val="0"/>
          <w:numId w:val="1033"/>
        </w:numPr>
      </w:pPr>
      <w:r>
        <w:rPr>
          <w:b/>
          <w:bCs/>
        </w:rPr>
        <w:t xml:space="preserve">Sopraioidei</w:t>
      </w:r>
      <w:r>
        <w:t xml:space="preserve"> </w:t>
      </w:r>
      <w:r>
        <w:t xml:space="preserve">— muscoli fra osso ioide e mandibola che abbassano e aprono la mandibola; nella sequenza notturna si attivano prima degli elevatori.</w:t>
      </w:r>
    </w:p>
    <w:p>
      <w:pPr>
        <w:pStyle w:val="Compact"/>
        <w:numPr>
          <w:ilvl w:val="0"/>
          <w:numId w:val="1033"/>
        </w:numPr>
      </w:pPr>
      <w:r>
        <w:rPr>
          <w:b/>
          <w:bCs/>
        </w:rPr>
        <w:t xml:space="preserve">STAB</w:t>
      </w:r>
      <w:r>
        <w:t xml:space="preserve"> </w:t>
      </w:r>
      <w:r>
        <w:t xml:space="preserve">— strumento standardizzato internazionale per la valutazione del bruxismo, che ha sostituito la vecchia gradazione possibile/probabile/definito.</w:t>
      </w:r>
    </w:p>
    <w:p>
      <w:pPr>
        <w:pStyle w:val="Compact"/>
        <w:numPr>
          <w:ilvl w:val="0"/>
          <w:numId w:val="1033"/>
        </w:numPr>
      </w:pPr>
      <w:r>
        <w:rPr>
          <w:b/>
          <w:bCs/>
        </w:rPr>
        <w:t xml:space="preserve">Studio incrociato</w:t>
      </w:r>
      <w:r>
        <w:t xml:space="preserve"> </w:t>
      </w:r>
      <w:r>
        <w:t xml:space="preserve">— studio in cui ogni partecipante riceve entrambe le condizioni a confronto, in ordine casuale, ed è quindi controllo di se stesso.</w:t>
      </w:r>
    </w:p>
    <w:p>
      <w:pPr>
        <w:pStyle w:val="Compact"/>
        <w:numPr>
          <w:ilvl w:val="0"/>
          <w:numId w:val="1033"/>
        </w:numPr>
      </w:pPr>
      <w:r>
        <w:rPr>
          <w:b/>
          <w:bCs/>
        </w:rPr>
        <w:t xml:space="preserve">Temporale</w:t>
      </w:r>
      <w:r>
        <w:t xml:space="preserve"> </w:t>
      </w:r>
      <w:r>
        <w:t xml:space="preserve">— muscolo a ventaglio della fossa temporale che chiude e retrae la mandibola; il suo dolore viene spesso riferito come mal di testa alle tempie.</w:t>
      </w:r>
    </w:p>
    <w:p>
      <w:pPr>
        <w:pStyle w:val="Compact"/>
        <w:numPr>
          <w:ilvl w:val="0"/>
          <w:numId w:val="1033"/>
        </w:numPr>
      </w:pPr>
      <w:r>
        <w:rPr>
          <w:b/>
          <w:bCs/>
        </w:rPr>
        <w:t xml:space="preserve">Test di flessione-rotazione</w:t>
      </w:r>
      <w:r>
        <w:t xml:space="preserve"> </w:t>
      </w:r>
      <w:r>
        <w:t xml:space="preserve">— test dell’escursione rotatoria di C1-C2: paziente supino, collo in flessione completa, rotazione del capo misurata in gradi. Circa 44° per lato è l’atteso nell’adulto; sotto 32° si considera positivo.</w:t>
      </w:r>
    </w:p>
    <w:p>
      <w:pPr>
        <w:pStyle w:val="Compact"/>
        <w:numPr>
          <w:ilvl w:val="0"/>
          <w:numId w:val="1033"/>
        </w:numPr>
      </w:pPr>
      <w:r>
        <w:rPr>
          <w:b/>
          <w:bCs/>
        </w:rPr>
        <w:t xml:space="preserve">Tossina botulinica</w:t>
      </w:r>
      <w:r>
        <w:t xml:space="preserve"> </w:t>
      </w:r>
      <w:r>
        <w:t xml:space="preserve">— farmaco iniettabile che riduce la forza di contrazione del muscolo; su prescrizione specialistica.</w:t>
      </w:r>
    </w:p>
    <w:p>
      <w:pPr>
        <w:pStyle w:val="Compact"/>
        <w:numPr>
          <w:ilvl w:val="0"/>
          <w:numId w:val="1033"/>
        </w:numPr>
      </w:pPr>
      <w:r>
        <w:rPr>
          <w:b/>
          <w:bCs/>
        </w:rPr>
        <w:t xml:space="preserve">Variabilità della frequenza cardiaca di origine vagale</w:t>
      </w:r>
      <w:r>
        <w:t xml:space="preserve"> </w:t>
      </w:r>
      <w:r>
        <w:t xml:space="preserve">— quanto varia l’intervallo fra un battito e l’altro per effetto del nervo vago; sale quando prevale il freno parasimpatico.</w:t>
      </w:r>
    </w:p>
    <w:p>
      <w:r>
        <w:pict>
          <v:rect style="width:0;height:1.5pt" o:hralign="center" o:hrstd="t" o:hr="t"/>
        </w:pict>
      </w:r>
    </w:p>
    <w:bookmarkEnd w:id="81"/>
    <w:bookmarkStart w:id="142" w:name="appendice-b-le-fonti"/>
    <w:p>
      <w:pPr>
        <w:pStyle w:val="Heading2"/>
      </w:pPr>
      <w:r>
        <w:t xml:space="preserve">Appendice B — Le fonti</w:t>
      </w:r>
    </w:p>
    <w:p>
      <w:pPr>
        <w:pStyle w:val="FirstParagraph"/>
      </w:pPr>
      <w:r>
        <w:t xml:space="preserve">Nell’ordine in cui compaiono nel testo.</w:t>
      </w:r>
    </w:p>
    <w:p>
      <w:pPr>
        <w:pStyle w:val="Compact"/>
        <w:numPr>
          <w:ilvl w:val="0"/>
          <w:numId w:val="1034"/>
        </w:numPr>
      </w:pPr>
      <w:r>
        <w:t xml:space="preserve">Macedo CR, Silva AB, Machado MA, Saconato H, Prado GF.</w:t>
      </w:r>
      <w:r>
        <w:t xml:space="preserve"> </w:t>
      </w:r>
      <w:r>
        <w:rPr>
          <w:i/>
          <w:iCs/>
        </w:rPr>
        <w:t xml:space="preserve">Occlusal splints for treating sleep bruxism (tooth grinding).</w:t>
      </w:r>
      <w:r>
        <w:t xml:space="preserve"> </w:t>
      </w:r>
      <w:r>
        <w:t xml:space="preserve">Cochrane Database Syst Rev. 2007;(4):CD005514.</w:t>
      </w:r>
      <w:r>
        <w:t xml:space="preserve"> </w:t>
      </w:r>
      <w:hyperlink r:id="rId82">
        <w:r>
          <w:rPr>
            <w:rStyle w:val="Hyperlink"/>
          </w:rPr>
          <w:t xml:space="preserve">PMID 17943862</w:t>
        </w:r>
      </w:hyperlink>
    </w:p>
    <w:p>
      <w:pPr>
        <w:pStyle w:val="Compact"/>
        <w:numPr>
          <w:ilvl w:val="0"/>
          <w:numId w:val="1034"/>
        </w:numPr>
      </w:pPr>
      <w:r>
        <w:t xml:space="preserve">Ferreira AP, et al. </w:t>
      </w:r>
      <w:r>
        <w:rPr>
          <w:i/>
          <w:iCs/>
        </w:rPr>
        <w:t xml:space="preserve">Effect of occlusal splints on masticatory muscle activity and bite force in sleep bruxism.</w:t>
      </w:r>
      <w:r>
        <w:t xml:space="preserve"> </w:t>
      </w:r>
      <w:r>
        <w:t xml:space="preserve">Eur J Oral Sci. 2024.</w:t>
      </w:r>
      <w:r>
        <w:t xml:space="preserve"> </w:t>
      </w:r>
      <w:hyperlink r:id="rId83">
        <w:r>
          <w:rPr>
            <w:rStyle w:val="Hyperlink"/>
          </w:rPr>
          <w:t xml:space="preserve">PMID 38421263</w:t>
        </w:r>
      </w:hyperlink>
    </w:p>
    <w:p>
      <w:pPr>
        <w:pStyle w:val="Compact"/>
        <w:numPr>
          <w:ilvl w:val="0"/>
          <w:numId w:val="1034"/>
        </w:numPr>
      </w:pPr>
      <w:r>
        <w:t xml:space="preserve">Zieliński G, Pająk A, Wójcicki M.</w:t>
      </w:r>
      <w:r>
        <w:t xml:space="preserve"> </w:t>
      </w:r>
      <w:r>
        <w:rPr>
          <w:i/>
          <w:iCs/>
        </w:rPr>
        <w:t xml:space="preserve">Global Prevalence of Sleep Bruxism and Awake Bruxism in Pediatric and Adult Populations: A Systematic Review and Meta-Analysis.</w:t>
      </w:r>
      <w:r>
        <w:t xml:space="preserve"> </w:t>
      </w:r>
      <w:r>
        <w:t xml:space="preserve">J Clin Med. 2024;13(14):4259.</w:t>
      </w:r>
      <w:r>
        <w:t xml:space="preserve"> </w:t>
      </w:r>
      <w:hyperlink r:id="rId84">
        <w:r>
          <w:rPr>
            <w:rStyle w:val="Hyperlink"/>
          </w:rPr>
          <w:t xml:space="preserve">PMID 39064299</w:t>
        </w:r>
      </w:hyperlink>
    </w:p>
    <w:p>
      <w:pPr>
        <w:pStyle w:val="Compact"/>
        <w:numPr>
          <w:ilvl w:val="0"/>
          <w:numId w:val="1034"/>
        </w:numPr>
      </w:pPr>
      <w:r>
        <w:t xml:space="preserve">Lobbezoo F, Ahlberg J, Glaros AG, et al. </w:t>
      </w:r>
      <w:r>
        <w:rPr>
          <w:i/>
          <w:iCs/>
        </w:rPr>
        <w:t xml:space="preserve">Bruxism defined and graded: an international consensus.</w:t>
      </w:r>
      <w:r>
        <w:t xml:space="preserve"> </w:t>
      </w:r>
      <w:r>
        <w:t xml:space="preserve">J Oral Rehabil. 2013;40(1):2-4.</w:t>
      </w:r>
      <w:r>
        <w:t xml:space="preserve"> </w:t>
      </w:r>
      <w:hyperlink r:id="rId85">
        <w:r>
          <w:rPr>
            <w:rStyle w:val="Hyperlink"/>
          </w:rPr>
          <w:t xml:space="preserve">PMID 23121262</w:t>
        </w:r>
      </w:hyperlink>
    </w:p>
    <w:p>
      <w:pPr>
        <w:pStyle w:val="Compact"/>
        <w:numPr>
          <w:ilvl w:val="0"/>
          <w:numId w:val="1034"/>
        </w:numPr>
      </w:pPr>
      <w:r>
        <w:t xml:space="preserve">Lobbezoo F, Ahlberg J, Raphael KG, et al. </w:t>
      </w:r>
      <w:r>
        <w:rPr>
          <w:i/>
          <w:iCs/>
        </w:rPr>
        <w:t xml:space="preserve">International consensus on the assessment of bruxism: Report of a work in progress.</w:t>
      </w:r>
      <w:r>
        <w:t xml:space="preserve"> </w:t>
      </w:r>
      <w:r>
        <w:t xml:space="preserve">J Oral Rehabil. 2018;45(11):837-844.</w:t>
      </w:r>
      <w:r>
        <w:t xml:space="preserve"> </w:t>
      </w:r>
      <w:hyperlink r:id="rId86">
        <w:r>
          <w:rPr>
            <w:rStyle w:val="Hyperlink"/>
          </w:rPr>
          <w:t xml:space="preserve">PMID 29926505</w:t>
        </w:r>
      </w:hyperlink>
    </w:p>
    <w:p>
      <w:pPr>
        <w:pStyle w:val="Compact"/>
        <w:numPr>
          <w:ilvl w:val="0"/>
          <w:numId w:val="1034"/>
        </w:numPr>
      </w:pPr>
      <w:r>
        <w:t xml:space="preserve">Lobbezoo F, Manfredini D, et al. </w:t>
      </w:r>
      <w:r>
        <w:rPr>
          <w:i/>
          <w:iCs/>
        </w:rPr>
        <w:t xml:space="preserve">Updating the Bruxism Definitions: Report of an International Consensus Meeting.</w:t>
      </w:r>
      <w:r>
        <w:t xml:space="preserve"> </w:t>
      </w:r>
      <w:r>
        <w:t xml:space="preserve">J Oral Rehabil. 2025.</w:t>
      </w:r>
      <w:r>
        <w:t xml:space="preserve"> </w:t>
      </w:r>
      <w:hyperlink r:id="rId87">
        <w:r>
          <w:rPr>
            <w:rStyle w:val="Hyperlink"/>
          </w:rPr>
          <w:t xml:space="preserve">PMID 40312776</w:t>
        </w:r>
      </w:hyperlink>
    </w:p>
    <w:p>
      <w:pPr>
        <w:pStyle w:val="Compact"/>
        <w:numPr>
          <w:ilvl w:val="0"/>
          <w:numId w:val="1034"/>
        </w:numPr>
      </w:pPr>
      <w:r>
        <w:t xml:space="preserve">Minakuchi H, et al. </w:t>
      </w:r>
      <w:r>
        <w:rPr>
          <w:i/>
          <w:iCs/>
        </w:rPr>
        <w:t xml:space="preserve">Night-to-night variability of sleep bruxism.</w:t>
      </w:r>
      <w:r>
        <w:t xml:space="preserve"> </w:t>
      </w:r>
      <w:r>
        <w:t xml:space="preserve">Sleep Breath. 2012.</w:t>
      </w:r>
      <w:r>
        <w:t xml:space="preserve"> </w:t>
      </w:r>
      <w:hyperlink r:id="rId88">
        <w:r>
          <w:rPr>
            <w:rStyle w:val="Hyperlink"/>
          </w:rPr>
          <w:t xml:space="preserve">PMID 22278147</w:t>
        </w:r>
      </w:hyperlink>
    </w:p>
    <w:p>
      <w:pPr>
        <w:pStyle w:val="Compact"/>
        <w:numPr>
          <w:ilvl w:val="0"/>
          <w:numId w:val="1034"/>
        </w:numPr>
      </w:pPr>
      <w:r>
        <w:t xml:space="preserve">Rammelsberg P, LeResche L, Dworkin S, Mancl L.</w:t>
      </w:r>
      <w:r>
        <w:t xml:space="preserve"> </w:t>
      </w:r>
      <w:r>
        <w:rPr>
          <w:i/>
          <w:iCs/>
        </w:rPr>
        <w:t xml:space="preserve">Longitudinal outcome of temporomandibular disorders: a 5-year epidemiologic study of muscle disorders defined by research diagnostic criteria.</w:t>
      </w:r>
      <w:r>
        <w:t xml:space="preserve"> </w:t>
      </w:r>
      <w:r>
        <w:t xml:space="preserve">J Orofac Pain. 2003;17(1):9-20.</w:t>
      </w:r>
      <w:r>
        <w:t xml:space="preserve"> </w:t>
      </w:r>
      <w:hyperlink r:id="rId89">
        <w:r>
          <w:rPr>
            <w:rStyle w:val="Hyperlink"/>
          </w:rPr>
          <w:t xml:space="preserve">PMID 12756926</w:t>
        </w:r>
      </w:hyperlink>
    </w:p>
    <w:p>
      <w:pPr>
        <w:pStyle w:val="Compact"/>
        <w:numPr>
          <w:ilvl w:val="0"/>
          <w:numId w:val="1034"/>
        </w:numPr>
      </w:pPr>
      <w:r>
        <w:t xml:space="preserve">Schiffman E, Ohrbach R, Truelove E, et al. </w:t>
      </w:r>
      <w:r>
        <w:rPr>
          <w:i/>
          <w:iCs/>
        </w:rPr>
        <w:t xml:space="preserve">Diagnostic Criteria for Temporomandibular Disorders (DC/TMD).</w:t>
      </w:r>
      <w:r>
        <w:t xml:space="preserve"> </w:t>
      </w:r>
      <w:r>
        <w:t xml:space="preserve">J Oral Facial Pain Headache. 2014;28(1):6-27.</w:t>
      </w:r>
      <w:r>
        <w:t xml:space="preserve"> </w:t>
      </w:r>
      <w:hyperlink r:id="rId90">
        <w:r>
          <w:rPr>
            <w:rStyle w:val="Hyperlink"/>
          </w:rPr>
          <w:t xml:space="preserve">PMID 24482784</w:t>
        </w:r>
      </w:hyperlink>
    </w:p>
    <w:p>
      <w:pPr>
        <w:pStyle w:val="Compact"/>
        <w:numPr>
          <w:ilvl w:val="0"/>
          <w:numId w:val="1034"/>
        </w:numPr>
      </w:pPr>
      <w:r>
        <w:t xml:space="preserve">Yap AU, Chua AP.</w:t>
      </w:r>
      <w:r>
        <w:t xml:space="preserve"> </w:t>
      </w:r>
      <w:r>
        <w:rPr>
          <w:i/>
          <w:iCs/>
        </w:rPr>
        <w:t xml:space="preserve">Sleep bruxism: Current knowledge and contemporary management.</w:t>
      </w:r>
      <w:r>
        <w:t xml:space="preserve"> </w:t>
      </w:r>
      <w:r>
        <w:t xml:space="preserve">J Conserv Dent. 2016;19(5):383-9.</w:t>
      </w:r>
      <w:r>
        <w:t xml:space="preserve"> </w:t>
      </w:r>
      <w:hyperlink r:id="rId91">
        <w:r>
          <w:rPr>
            <w:rStyle w:val="Hyperlink"/>
          </w:rPr>
          <w:t xml:space="preserve">PMID 27656052</w:t>
        </w:r>
      </w:hyperlink>
    </w:p>
    <w:p>
      <w:pPr>
        <w:pStyle w:val="Compact"/>
        <w:numPr>
          <w:ilvl w:val="0"/>
          <w:numId w:val="1034"/>
        </w:numPr>
      </w:pPr>
      <w:r>
        <w:t xml:space="preserve">Eriksson PO, Häggman-Henrikson B, Nordh E, Zafar H.</w:t>
      </w:r>
      <w:r>
        <w:t xml:space="preserve"> </w:t>
      </w:r>
      <w:r>
        <w:rPr>
          <w:i/>
          <w:iCs/>
        </w:rPr>
        <w:t xml:space="preserve">Co-ordinated mandibular and head-neck movements during rhythmic jaw activities in man.</w:t>
      </w:r>
      <w:r>
        <w:t xml:space="preserve"> </w:t>
      </w:r>
      <w:r>
        <w:t xml:space="preserve">J Dent Res. 2000;79(6):1378-84.</w:t>
      </w:r>
      <w:r>
        <w:t xml:space="preserve"> </w:t>
      </w:r>
      <w:hyperlink r:id="rId92">
        <w:r>
          <w:rPr>
            <w:rStyle w:val="Hyperlink"/>
          </w:rPr>
          <w:t xml:space="preserve">PMID 10890716</w:t>
        </w:r>
      </w:hyperlink>
    </w:p>
    <w:p>
      <w:pPr>
        <w:pStyle w:val="Compact"/>
        <w:numPr>
          <w:ilvl w:val="0"/>
          <w:numId w:val="1034"/>
        </w:numPr>
      </w:pPr>
      <w:r>
        <w:t xml:space="preserve">Bartsch T, Goadsby PJ.</w:t>
      </w:r>
      <w:r>
        <w:t xml:space="preserve"> </w:t>
      </w:r>
      <w:r>
        <w:rPr>
          <w:i/>
          <w:iCs/>
        </w:rPr>
        <w:t xml:space="preserve">Stimulation of the greater occipital nerve induces increased central excitability of dural afferent input.</w:t>
      </w:r>
      <w:r>
        <w:t xml:space="preserve"> </w:t>
      </w:r>
      <w:r>
        <w:t xml:space="preserve">Brain. 2002;125(Pt 7):1496-509.</w:t>
      </w:r>
      <w:r>
        <w:t xml:space="preserve"> </w:t>
      </w:r>
      <w:hyperlink r:id="rId93">
        <w:r>
          <w:rPr>
            <w:rStyle w:val="Hyperlink"/>
          </w:rPr>
          <w:t xml:space="preserve">PMID 12077000</w:t>
        </w:r>
      </w:hyperlink>
    </w:p>
    <w:p>
      <w:pPr>
        <w:pStyle w:val="Compact"/>
        <w:numPr>
          <w:ilvl w:val="0"/>
          <w:numId w:val="1034"/>
        </w:numPr>
      </w:pPr>
      <w:r>
        <w:t xml:space="preserve">Bartsch T, Goadsby PJ.</w:t>
      </w:r>
      <w:r>
        <w:t xml:space="preserve"> </w:t>
      </w:r>
      <w:r>
        <w:rPr>
          <w:i/>
          <w:iCs/>
        </w:rPr>
        <w:t xml:space="preserve">Increased responses in trigeminocervical nociceptive neurons to cervical input after stimulation of the dura mater.</w:t>
      </w:r>
      <w:r>
        <w:t xml:space="preserve"> </w:t>
      </w:r>
      <w:r>
        <w:t xml:space="preserve">Brain. 2003;126(Pt 8):1801-13.</w:t>
      </w:r>
      <w:r>
        <w:t xml:space="preserve"> </w:t>
      </w:r>
      <w:hyperlink r:id="rId94">
        <w:r>
          <w:rPr>
            <w:rStyle w:val="Hyperlink"/>
          </w:rPr>
          <w:t xml:space="preserve">PMID 12821523</w:t>
        </w:r>
      </w:hyperlink>
    </w:p>
    <w:p>
      <w:pPr>
        <w:pStyle w:val="Compact"/>
        <w:numPr>
          <w:ilvl w:val="0"/>
          <w:numId w:val="1034"/>
        </w:numPr>
      </w:pPr>
      <w:r>
        <w:t xml:space="preserve">Rushton A, Rivett D, Carlesso L, Flynn T, Hing W, Kerry R.</w:t>
      </w:r>
      <w:r>
        <w:t xml:space="preserve"> </w:t>
      </w:r>
      <w:r>
        <w:rPr>
          <w:i/>
          <w:iCs/>
        </w:rPr>
        <w:t xml:space="preserve">International Framework for Examination of the Cervical Region for potential of Cervical Arterial Dysfunction prior to Orthopaedic Manual Therapy Intervention.</w:t>
      </w:r>
      <w:r>
        <w:t xml:space="preserve"> </w:t>
      </w:r>
      <w:r>
        <w:t xml:space="preserve">Man Ther. 2014;19(3):222-8.</w:t>
      </w:r>
      <w:r>
        <w:t xml:space="preserve"> </w:t>
      </w:r>
      <w:hyperlink r:id="rId95">
        <w:r>
          <w:rPr>
            <w:rStyle w:val="Hyperlink"/>
          </w:rPr>
          <w:t xml:space="preserve">PMID 24378471</w:t>
        </w:r>
      </w:hyperlink>
      <w:r>
        <w:t xml:space="preserve"> </w:t>
      </w:r>
      <w:r>
        <w:t xml:space="preserve">— versione aggiornata in J Orthop Sports Phys Ther 2023;53(1):7-22.</w:t>
      </w:r>
    </w:p>
    <w:p>
      <w:pPr>
        <w:pStyle w:val="Compact"/>
        <w:numPr>
          <w:ilvl w:val="0"/>
          <w:numId w:val="1034"/>
        </w:numPr>
      </w:pPr>
      <w:r>
        <w:t xml:space="preserve">Thomas LC.</w:t>
      </w:r>
      <w:r>
        <w:t xml:space="preserve"> </w:t>
      </w:r>
      <w:r>
        <w:rPr>
          <w:i/>
          <w:iCs/>
        </w:rPr>
        <w:t xml:space="preserve">Cervical arterial dissection: an overview and implications for manipulative therapy practice.</w:t>
      </w:r>
      <w:r>
        <w:t xml:space="preserve"> </w:t>
      </w:r>
      <w:r>
        <w:t xml:space="preserve">Man Ther. 2016;21:2-9.</w:t>
      </w:r>
      <w:r>
        <w:t xml:space="preserve"> </w:t>
      </w:r>
      <w:hyperlink r:id="rId96">
        <w:r>
          <w:rPr>
            <w:rStyle w:val="Hyperlink"/>
          </w:rPr>
          <w:t xml:space="preserve">PMID 26250600</w:t>
        </w:r>
      </w:hyperlink>
    </w:p>
    <w:p>
      <w:pPr>
        <w:pStyle w:val="Compact"/>
        <w:numPr>
          <w:ilvl w:val="0"/>
          <w:numId w:val="1034"/>
        </w:numPr>
      </w:pPr>
      <w:r>
        <w:t xml:space="preserve">Leung K, Treleaven J, Dinsdale A, Marsh L, Thomas L.</w:t>
      </w:r>
      <w:r>
        <w:t xml:space="preserve"> </w:t>
      </w:r>
      <w:r>
        <w:rPr>
          <w:i/>
          <w:iCs/>
        </w:rPr>
        <w:t xml:space="preserve">Serious adverse events following cervical spine physical procedures: a systematic review.</w:t>
      </w:r>
      <w:r>
        <w:t xml:space="preserve"> </w:t>
      </w:r>
      <w:r>
        <w:t xml:space="preserve">J Bodyw Mov Ther. 2025;41:e1.</w:t>
      </w:r>
      <w:r>
        <w:t xml:space="preserve"> </w:t>
      </w:r>
      <w:hyperlink r:id="rId97">
        <w:r>
          <w:rPr>
            <w:rStyle w:val="Hyperlink"/>
          </w:rPr>
          <w:t xml:space="preserve">PMID 39663097</w:t>
        </w:r>
      </w:hyperlink>
    </w:p>
    <w:p>
      <w:pPr>
        <w:pStyle w:val="Compact"/>
        <w:numPr>
          <w:ilvl w:val="0"/>
          <w:numId w:val="1034"/>
        </w:numPr>
      </w:pPr>
      <w:r>
        <w:t xml:space="preserve">Cheynet F, Guyot L, Richard O, Layoun W, Gola R.</w:t>
      </w:r>
      <w:r>
        <w:t xml:space="preserve"> </w:t>
      </w:r>
      <w:r>
        <w:rPr>
          <w:i/>
          <w:iCs/>
        </w:rPr>
        <w:t xml:space="preserve">Discomallear and malleomandibular ligaments: anatomical study and clinical applications.</w:t>
      </w:r>
      <w:r>
        <w:t xml:space="preserve"> </w:t>
      </w:r>
      <w:r>
        <w:t xml:space="preserve">Surg Radiol Anat. 2003;25(2):152-7.</w:t>
      </w:r>
      <w:r>
        <w:t xml:space="preserve"> </w:t>
      </w:r>
      <w:hyperlink r:id="rId98">
        <w:r>
          <w:rPr>
            <w:rStyle w:val="Hyperlink"/>
          </w:rPr>
          <w:t xml:space="preserve">PMID 12802513</w:t>
        </w:r>
      </w:hyperlink>
    </w:p>
    <w:p>
      <w:pPr>
        <w:pStyle w:val="Compact"/>
        <w:numPr>
          <w:ilvl w:val="0"/>
          <w:numId w:val="1034"/>
        </w:numPr>
      </w:pPr>
      <w:r>
        <w:t xml:space="preserve">Nishigawa K, Bando E, Nakano M.</w:t>
      </w:r>
      <w:r>
        <w:t xml:space="preserve"> </w:t>
      </w:r>
      <w:r>
        <w:rPr>
          <w:i/>
          <w:iCs/>
        </w:rPr>
        <w:t xml:space="preserve">Quantitative study of bite force during sleep associated bruxism.</w:t>
      </w:r>
      <w:r>
        <w:t xml:space="preserve"> </w:t>
      </w:r>
      <w:r>
        <w:t xml:space="preserve">J Oral Rehabil. 2001;28(5):485-91.</w:t>
      </w:r>
      <w:r>
        <w:t xml:space="preserve"> </w:t>
      </w:r>
      <w:hyperlink r:id="rId99">
        <w:r>
          <w:rPr>
            <w:rStyle w:val="Hyperlink"/>
          </w:rPr>
          <w:t xml:space="preserve">PMID 11380790</w:t>
        </w:r>
      </w:hyperlink>
    </w:p>
    <w:p>
      <w:pPr>
        <w:pStyle w:val="Compact"/>
        <w:numPr>
          <w:ilvl w:val="0"/>
          <w:numId w:val="1034"/>
        </w:numPr>
      </w:pPr>
      <w:r>
        <w:t xml:space="preserve">Bracci A, Djukic G, Favero L, Salmaso L, Guarda-Nardini L, Manfredini D.</w:t>
      </w:r>
      <w:r>
        <w:t xml:space="preserve"> </w:t>
      </w:r>
      <w:r>
        <w:rPr>
          <w:i/>
          <w:iCs/>
        </w:rPr>
        <w:t xml:space="preserve">Frequency of awake bruxism behaviours in the natural environment.</w:t>
      </w:r>
      <w:r>
        <w:t xml:space="preserve"> </w:t>
      </w:r>
      <w:r>
        <w:t xml:space="preserve">J Oral Rehabil. 2018;45(6):423-429.</w:t>
      </w:r>
      <w:r>
        <w:t xml:space="preserve"> </w:t>
      </w:r>
      <w:hyperlink r:id="rId100">
        <w:r>
          <w:rPr>
            <w:rStyle w:val="Hyperlink"/>
          </w:rPr>
          <w:t xml:space="preserve">PMID 29574964</w:t>
        </w:r>
      </w:hyperlink>
    </w:p>
    <w:p>
      <w:pPr>
        <w:pStyle w:val="Compact"/>
        <w:numPr>
          <w:ilvl w:val="0"/>
          <w:numId w:val="1034"/>
        </w:numPr>
      </w:pPr>
      <w:r>
        <w:t xml:space="preserve">Huynh N, Kato T, Rompré PH, et al. </w:t>
      </w:r>
      <w:r>
        <w:rPr>
          <w:i/>
          <w:iCs/>
        </w:rPr>
        <w:t xml:space="preserve">Sleep bruxism is associated to micro-arousals and an increase in cardiac sympathetic activity.</w:t>
      </w:r>
      <w:r>
        <w:t xml:space="preserve"> </w:t>
      </w:r>
      <w:r>
        <w:t xml:space="preserve">J Sleep Res. 2006;15(3):339-46.</w:t>
      </w:r>
      <w:r>
        <w:t xml:space="preserve"> </w:t>
      </w:r>
      <w:hyperlink r:id="rId101">
        <w:r>
          <w:rPr>
            <w:rStyle w:val="Hyperlink"/>
          </w:rPr>
          <w:t xml:space="preserve">PMID 16911037</w:t>
        </w:r>
      </w:hyperlink>
    </w:p>
    <w:p>
      <w:pPr>
        <w:pStyle w:val="Compact"/>
        <w:numPr>
          <w:ilvl w:val="0"/>
          <w:numId w:val="1034"/>
        </w:numPr>
      </w:pPr>
      <w:r>
        <w:t xml:space="preserve">Lavigne GJ, Huynh N, Kato T, et al. </w:t>
      </w:r>
      <w:r>
        <w:rPr>
          <w:i/>
          <w:iCs/>
        </w:rPr>
        <w:t xml:space="preserve">Genesis of sleep bruxism: motor and autonomic-cardiac interactions.</w:t>
      </w:r>
      <w:r>
        <w:t xml:space="preserve"> </w:t>
      </w:r>
      <w:r>
        <w:t xml:space="preserve">Arch Oral Biol. 2007;52(4):381-4.</w:t>
      </w:r>
      <w:r>
        <w:t xml:space="preserve"> </w:t>
      </w:r>
      <w:hyperlink r:id="rId102">
        <w:r>
          <w:rPr>
            <w:rStyle w:val="Hyperlink"/>
          </w:rPr>
          <w:t xml:space="preserve">PMID 17313939</w:t>
        </w:r>
      </w:hyperlink>
    </w:p>
    <w:p>
      <w:pPr>
        <w:pStyle w:val="Compact"/>
        <w:numPr>
          <w:ilvl w:val="0"/>
          <w:numId w:val="1034"/>
        </w:numPr>
      </w:pPr>
      <w:r>
        <w:t xml:space="preserve">Khoury S, Rouleau GA, Rompré PH, Mayer P, Montplaisir JY, Lavigne GJ.</w:t>
      </w:r>
      <w:r>
        <w:t xml:space="preserve"> </w:t>
      </w:r>
      <w:r>
        <w:rPr>
          <w:i/>
          <w:iCs/>
        </w:rPr>
        <w:t xml:space="preserve">A significant increase in breathing amplitude precedes sleep bruxism.</w:t>
      </w:r>
      <w:r>
        <w:t xml:space="preserve"> </w:t>
      </w:r>
      <w:r>
        <w:t xml:space="preserve">Chest / Sleep. 2008.</w:t>
      </w:r>
      <w:r>
        <w:t xml:space="preserve"> </w:t>
      </w:r>
      <w:hyperlink r:id="rId103">
        <w:r>
          <w:rPr>
            <w:rStyle w:val="Hyperlink"/>
          </w:rPr>
          <w:t xml:space="preserve">PMID 18490400</w:t>
        </w:r>
      </w:hyperlink>
    </w:p>
    <w:p>
      <w:pPr>
        <w:pStyle w:val="Compact"/>
        <w:numPr>
          <w:ilvl w:val="0"/>
          <w:numId w:val="1034"/>
        </w:numPr>
      </w:pPr>
      <w:r>
        <w:t xml:space="preserve">Cuenca-Martínez F, Herranz-Gómez A, Madroñero-Miguel B, et al. </w:t>
      </w:r>
      <w:r>
        <w:rPr>
          <w:i/>
          <w:iCs/>
        </w:rPr>
        <w:t xml:space="preserve">Craniocervical and Cervical Spine Features of Patients with Temporomandibular Disorders: A Systematic Review and Meta-Analysis of Observational Studies.</w:t>
      </w:r>
      <w:r>
        <w:t xml:space="preserve"> </w:t>
      </w:r>
      <w:r>
        <w:t xml:space="preserve">J Clin Med. 2020;9(9):2806.</w:t>
      </w:r>
      <w:r>
        <w:t xml:space="preserve"> </w:t>
      </w:r>
      <w:hyperlink r:id="rId104">
        <w:r>
          <w:rPr>
            <w:rStyle w:val="Hyperlink"/>
          </w:rPr>
          <w:t xml:space="preserve">PMID 32872670</w:t>
        </w:r>
      </w:hyperlink>
    </w:p>
    <w:p>
      <w:pPr>
        <w:pStyle w:val="Compact"/>
        <w:numPr>
          <w:ilvl w:val="0"/>
          <w:numId w:val="1034"/>
        </w:numPr>
      </w:pPr>
      <w:r>
        <w:t xml:space="preserve">Manfredini D, Lobbezoo F.</w:t>
      </w:r>
      <w:r>
        <w:t xml:space="preserve"> </w:t>
      </w:r>
      <w:r>
        <w:rPr>
          <w:i/>
          <w:iCs/>
        </w:rPr>
        <w:t xml:space="preserve">Sleep bruxism and temporomandibular disorders: A scoping review of the literature.</w:t>
      </w:r>
      <w:r>
        <w:t xml:space="preserve"> </w:t>
      </w:r>
      <w:r>
        <w:t xml:space="preserve">J Dent. 2021;111:103711.</w:t>
      </w:r>
      <w:r>
        <w:t xml:space="preserve"> </w:t>
      </w:r>
      <w:hyperlink r:id="rId105">
        <w:r>
          <w:rPr>
            <w:rStyle w:val="Hyperlink"/>
          </w:rPr>
          <w:t xml:space="preserve">PMID 34090993</w:t>
        </w:r>
      </w:hyperlink>
    </w:p>
    <w:p>
      <w:pPr>
        <w:pStyle w:val="Compact"/>
        <w:numPr>
          <w:ilvl w:val="0"/>
          <w:numId w:val="1034"/>
        </w:numPr>
      </w:pPr>
      <w:r>
        <w:t xml:space="preserve">Torino M, Svensson P, Boscato N.</w:t>
      </w:r>
      <w:r>
        <w:t xml:space="preserve"> </w:t>
      </w:r>
      <w:r>
        <w:rPr>
          <w:i/>
          <w:iCs/>
        </w:rPr>
        <w:t xml:space="preserve">Pressure pain thresholds and central sensitization in bruxers with and without temporomandibular pain.</w:t>
      </w:r>
      <w:r>
        <w:t xml:space="preserve"> </w:t>
      </w:r>
      <w:r>
        <w:t xml:space="preserve">J Dent. 2026.</w:t>
      </w:r>
      <w:r>
        <w:t xml:space="preserve"> </w:t>
      </w:r>
      <w:hyperlink r:id="rId106">
        <w:r>
          <w:rPr>
            <w:rStyle w:val="Hyperlink"/>
          </w:rPr>
          <w:t xml:space="preserve">PMID 42556699</w:t>
        </w:r>
      </w:hyperlink>
    </w:p>
    <w:p>
      <w:pPr>
        <w:pStyle w:val="Compact"/>
        <w:numPr>
          <w:ilvl w:val="0"/>
          <w:numId w:val="1034"/>
        </w:numPr>
      </w:pPr>
      <w:r>
        <w:t xml:space="preserve">Cayrol T, Meeus M, Aron V, et al. </w:t>
      </w:r>
      <w:r>
        <w:rPr>
          <w:i/>
          <w:iCs/>
        </w:rPr>
        <w:t xml:space="preserve">Evidence for alterations to dynamic quantitative sensory tests in patients with chronic temporomandibular myalgia: A systematic review of observational studies with meta-analysis.</w:t>
      </w:r>
      <w:r>
        <w:t xml:space="preserve"> </w:t>
      </w:r>
      <w:r>
        <w:t xml:space="preserve">J Oral Rehabil. 2022;49(6):654-670.</w:t>
      </w:r>
      <w:r>
        <w:t xml:space="preserve"> </w:t>
      </w:r>
      <w:hyperlink r:id="rId107">
        <w:r>
          <w:rPr>
            <w:rStyle w:val="Hyperlink"/>
          </w:rPr>
          <w:t xml:space="preserve">PMID 35342987</w:t>
        </w:r>
      </w:hyperlink>
    </w:p>
    <w:p>
      <w:pPr>
        <w:pStyle w:val="Compact"/>
        <w:numPr>
          <w:ilvl w:val="0"/>
          <w:numId w:val="1034"/>
        </w:numPr>
      </w:pPr>
      <w:r>
        <w:t xml:space="preserve">Saracutu OI, Manfredini D, Bracci A, Ferrari Cagidiaco E, Ferrari M, Colonna A.</w:t>
      </w:r>
      <w:r>
        <w:t xml:space="preserve"> </w:t>
      </w:r>
      <w:r>
        <w:rPr>
          <w:i/>
          <w:iCs/>
        </w:rPr>
        <w:t xml:space="preserve">Awake bruxism behaviors frequency in a group of healthy young adults with different psychological scores.</w:t>
      </w:r>
      <w:r>
        <w:t xml:space="preserve"> </w:t>
      </w:r>
      <w:r>
        <w:t xml:space="preserve">Cranio. 2025;43(5):827-834.</w:t>
      </w:r>
      <w:r>
        <w:t xml:space="preserve"> </w:t>
      </w:r>
      <w:hyperlink r:id="rId108">
        <w:r>
          <w:rPr>
            <w:rStyle w:val="Hyperlink"/>
          </w:rPr>
          <w:t xml:space="preserve">PMID 38850025</w:t>
        </w:r>
      </w:hyperlink>
    </w:p>
    <w:p>
      <w:pPr>
        <w:pStyle w:val="Compact"/>
        <w:numPr>
          <w:ilvl w:val="0"/>
          <w:numId w:val="1034"/>
        </w:numPr>
      </w:pPr>
      <w:r>
        <w:t xml:space="preserve">Ohmure H, Oikawa K, Kanematsu K, et al. </w:t>
      </w:r>
      <w:r>
        <w:rPr>
          <w:i/>
          <w:iCs/>
        </w:rPr>
        <w:t xml:space="preserve">Influence of experimental esophageal acidification on sleep bruxism: a randomized trial.</w:t>
      </w:r>
      <w:r>
        <w:t xml:space="preserve"> </w:t>
      </w:r>
      <w:r>
        <w:t xml:space="preserve">J Dent Res. 2011;90(5):665-71.</w:t>
      </w:r>
      <w:r>
        <w:t xml:space="preserve"> </w:t>
      </w:r>
      <w:hyperlink r:id="rId109">
        <w:r>
          <w:rPr>
            <w:rStyle w:val="Hyperlink"/>
          </w:rPr>
          <w:t xml:space="preserve">PMID 21248360</w:t>
        </w:r>
      </w:hyperlink>
    </w:p>
    <w:p>
      <w:pPr>
        <w:pStyle w:val="Compact"/>
        <w:numPr>
          <w:ilvl w:val="0"/>
          <w:numId w:val="1034"/>
        </w:numPr>
      </w:pPr>
      <w:r>
        <w:t xml:space="preserve">Bertazzo-Silveira E, Kruger CM, Porto De Toledo I, et al. </w:t>
      </w:r>
      <w:r>
        <w:rPr>
          <w:i/>
          <w:iCs/>
        </w:rPr>
        <w:t xml:space="preserve">Association between sleep bruxism and alcohol, caffeine, tobacco, and drug abuse: A systematic review.</w:t>
      </w:r>
      <w:r>
        <w:t xml:space="preserve"> </w:t>
      </w:r>
      <w:r>
        <w:t xml:space="preserve">J Am Dent Assoc. 2016;147(11):859-866.</w:t>
      </w:r>
      <w:r>
        <w:t xml:space="preserve"> </w:t>
      </w:r>
      <w:hyperlink r:id="rId110">
        <w:r>
          <w:rPr>
            <w:rStyle w:val="Hyperlink"/>
          </w:rPr>
          <w:t xml:space="preserve">PMID 27522154</w:t>
        </w:r>
      </w:hyperlink>
    </w:p>
    <w:p>
      <w:pPr>
        <w:pStyle w:val="Compact"/>
        <w:numPr>
          <w:ilvl w:val="0"/>
          <w:numId w:val="1034"/>
        </w:numPr>
      </w:pPr>
      <w:r>
        <w:t xml:space="preserve">de Baat C, Verhoeff M, Ahlberg J, et al. </w:t>
      </w:r>
      <w:r>
        <w:rPr>
          <w:i/>
          <w:iCs/>
        </w:rPr>
        <w:t xml:space="preserve">Medications and addictive substances potentially inducing or attenuating sleep bruxism and/or awake bruxism.</w:t>
      </w:r>
      <w:r>
        <w:t xml:space="preserve"> </w:t>
      </w:r>
      <w:r>
        <w:t xml:space="preserve">J Oral Rehabil. 2021;48(3):343-354.</w:t>
      </w:r>
      <w:r>
        <w:t xml:space="preserve"> </w:t>
      </w:r>
      <w:hyperlink r:id="rId111">
        <w:r>
          <w:rPr>
            <w:rStyle w:val="Hyperlink"/>
          </w:rPr>
          <w:t xml:space="preserve">PMID 32716523</w:t>
        </w:r>
      </w:hyperlink>
    </w:p>
    <w:p>
      <w:pPr>
        <w:pStyle w:val="Compact"/>
        <w:numPr>
          <w:ilvl w:val="0"/>
          <w:numId w:val="1034"/>
        </w:numPr>
      </w:pPr>
      <w:r>
        <w:t xml:space="preserve">Garrett AR, Hawley JS.</w:t>
      </w:r>
      <w:r>
        <w:t xml:space="preserve"> </w:t>
      </w:r>
      <w:r>
        <w:rPr>
          <w:i/>
          <w:iCs/>
        </w:rPr>
        <w:t xml:space="preserve">SSRI-associated bruxism: A systematic review of published case reports.</w:t>
      </w:r>
      <w:r>
        <w:t xml:space="preserve"> </w:t>
      </w:r>
      <w:r>
        <w:t xml:space="preserve">Neurol Clin Pract. 2018;8(2):135-141.</w:t>
      </w:r>
      <w:r>
        <w:t xml:space="preserve"> </w:t>
      </w:r>
      <w:hyperlink r:id="rId112">
        <w:r>
          <w:rPr>
            <w:rStyle w:val="Hyperlink"/>
          </w:rPr>
          <w:t xml:space="preserve">PMID 29708207</w:t>
        </w:r>
      </w:hyperlink>
    </w:p>
    <w:p>
      <w:pPr>
        <w:pStyle w:val="Compact"/>
        <w:numPr>
          <w:ilvl w:val="0"/>
          <w:numId w:val="1034"/>
        </w:numPr>
      </w:pPr>
      <w:r>
        <w:t xml:space="preserve">Pereira KK, Pereira IF, Machado Júnior AJ.</w:t>
      </w:r>
      <w:r>
        <w:t xml:space="preserve"> </w:t>
      </w:r>
      <w:r>
        <w:rPr>
          <w:i/>
          <w:iCs/>
        </w:rPr>
        <w:t xml:space="preserve">Possible association between obstructive sleep apnea syndrome and sleep bruxism in adults: an umbrella review.</w:t>
      </w:r>
      <w:r>
        <w:t xml:space="preserve"> </w:t>
      </w:r>
      <w:r>
        <w:t xml:space="preserve">Sleep Med. 2026;147:109129.</w:t>
      </w:r>
      <w:r>
        <w:t xml:space="preserve"> </w:t>
      </w:r>
      <w:hyperlink r:id="rId113">
        <w:r>
          <w:rPr>
            <w:rStyle w:val="Hyperlink"/>
          </w:rPr>
          <w:t xml:space="preserve">PMID 42447651</w:t>
        </w:r>
      </w:hyperlink>
    </w:p>
    <w:p>
      <w:pPr>
        <w:pStyle w:val="Compact"/>
        <w:numPr>
          <w:ilvl w:val="0"/>
          <w:numId w:val="1034"/>
        </w:numPr>
      </w:pPr>
      <w:r>
        <w:t xml:space="preserve">Lam AC, Liddle LJ, MacLellan CL.</w:t>
      </w:r>
      <w:r>
        <w:t xml:space="preserve"> </w:t>
      </w:r>
      <w:r>
        <w:rPr>
          <w:i/>
          <w:iCs/>
        </w:rPr>
        <w:t xml:space="preserve">The Effect of Upper Cervical Mobilization/Manipulation on Temporomandibular Joint Pain, Maximal Mouth Opening, and Pressure Pain Thresholds: A Systematic Review and Meta-Analysis.</w:t>
      </w:r>
      <w:r>
        <w:t xml:space="preserve"> </w:t>
      </w:r>
      <w:r>
        <w:t xml:space="preserve">Arch Rehabil Res Clin Transl. 2023;5(1):100242.</w:t>
      </w:r>
      <w:r>
        <w:t xml:space="preserve"> </w:t>
      </w:r>
      <w:hyperlink r:id="rId114">
        <w:r>
          <w:rPr>
            <w:rStyle w:val="Hyperlink"/>
          </w:rPr>
          <w:t xml:space="preserve">PMID 36968167</w:t>
        </w:r>
      </w:hyperlink>
    </w:p>
    <w:p>
      <w:pPr>
        <w:pStyle w:val="Compact"/>
        <w:numPr>
          <w:ilvl w:val="0"/>
          <w:numId w:val="1034"/>
        </w:numPr>
      </w:pPr>
      <w:r>
        <w:t xml:space="preserve">de Oliveira Souza AIS, Raposo J, da Silva JB, et al. </w:t>
      </w:r>
      <w:r>
        <w:rPr>
          <w:i/>
          <w:iCs/>
        </w:rPr>
        <w:t xml:space="preserve">Physical therapy interventions for awake and sleep bruxism: a systematic review of the evidence and research gaps.</w:t>
      </w:r>
      <w:r>
        <w:t xml:space="preserve"> </w:t>
      </w:r>
      <w:r>
        <w:t xml:space="preserve">Dent Med Probl. 2026;63(3):707-733.</w:t>
      </w:r>
      <w:r>
        <w:t xml:space="preserve"> </w:t>
      </w:r>
      <w:hyperlink r:id="rId115">
        <w:r>
          <w:rPr>
            <w:rStyle w:val="Hyperlink"/>
          </w:rPr>
          <w:t xml:space="preserve">PMID 42497348</w:t>
        </w:r>
      </w:hyperlink>
    </w:p>
    <w:p>
      <w:pPr>
        <w:pStyle w:val="Compact"/>
        <w:numPr>
          <w:ilvl w:val="0"/>
          <w:numId w:val="1034"/>
        </w:numPr>
      </w:pPr>
      <w:r>
        <w:t xml:space="preserve">Chang JR, Fu SN, Li X, et al. </w:t>
      </w:r>
      <w:r>
        <w:rPr>
          <w:i/>
          <w:iCs/>
        </w:rPr>
        <w:t xml:space="preserve">The differential effects of sleep deprivation on pain perception in individuals with or without chronic pain: A systematic review and meta-analysis.</w:t>
      </w:r>
      <w:r>
        <w:t xml:space="preserve"> </w:t>
      </w:r>
      <w:r>
        <w:t xml:space="preserve">Sleep Med Rev. 2022;66:101695.</w:t>
      </w:r>
      <w:r>
        <w:t xml:space="preserve"> </w:t>
      </w:r>
      <w:hyperlink r:id="rId116">
        <w:r>
          <w:rPr>
            <w:rStyle w:val="Hyperlink"/>
          </w:rPr>
          <w:t xml:space="preserve">PMID 36334461</w:t>
        </w:r>
      </w:hyperlink>
    </w:p>
    <w:p>
      <w:pPr>
        <w:pStyle w:val="Compact"/>
        <w:numPr>
          <w:ilvl w:val="0"/>
          <w:numId w:val="1034"/>
        </w:numPr>
      </w:pPr>
      <w:r>
        <w:t xml:space="preserve">Sanders AE, Akinkugbe AA, Bair E, et al. </w:t>
      </w:r>
      <w:r>
        <w:rPr>
          <w:i/>
          <w:iCs/>
        </w:rPr>
        <w:t xml:space="preserve">Subjective Sleep Quality Deteriorates Before Development of Painful Temporomandibular Disorder.</w:t>
      </w:r>
      <w:r>
        <w:t xml:space="preserve"> </w:t>
      </w:r>
      <w:r>
        <w:t xml:space="preserve">J Pain. 2016;17(6):669-77.</w:t>
      </w:r>
      <w:r>
        <w:t xml:space="preserve"> </w:t>
      </w:r>
      <w:hyperlink r:id="rId117">
        <w:r>
          <w:rPr>
            <w:rStyle w:val="Hyperlink"/>
          </w:rPr>
          <w:t xml:space="preserve">PMID 26902644</w:t>
        </w:r>
      </w:hyperlink>
    </w:p>
    <w:p>
      <w:pPr>
        <w:pStyle w:val="Compact"/>
        <w:numPr>
          <w:ilvl w:val="0"/>
          <w:numId w:val="1034"/>
        </w:numPr>
      </w:pPr>
      <w:r>
        <w:t xml:space="preserve">Karabicak GO, Alkan Demetoğlu G, Ozkan G, et al. </w:t>
      </w:r>
      <w:r>
        <w:rPr>
          <w:i/>
          <w:iCs/>
        </w:rPr>
        <w:t xml:space="preserve">Jaw Exercise Versus Jaw &amp; Posture Exercise Therapies in Comparison to Occlusal Splint Effectiveness in Probable Sleep Bruxism: A Randomised Controlled Study.</w:t>
      </w:r>
      <w:r>
        <w:t xml:space="preserve"> </w:t>
      </w:r>
      <w:r>
        <w:t xml:space="preserve">J Oral Rehabil. 2025;52(10):1629-1640.</w:t>
      </w:r>
      <w:r>
        <w:t xml:space="preserve"> </w:t>
      </w:r>
      <w:hyperlink r:id="rId118">
        <w:r>
          <w:rPr>
            <w:rStyle w:val="Hyperlink"/>
          </w:rPr>
          <w:t xml:space="preserve">PMID 40369740</w:t>
        </w:r>
      </w:hyperlink>
    </w:p>
    <w:p>
      <w:pPr>
        <w:pStyle w:val="Compact"/>
        <w:numPr>
          <w:ilvl w:val="0"/>
          <w:numId w:val="1034"/>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2022;138:104711.</w:t>
      </w:r>
      <w:r>
        <w:t xml:space="preserve"> </w:t>
      </w:r>
      <w:hyperlink r:id="rId119">
        <w:r>
          <w:rPr>
            <w:rStyle w:val="Hyperlink"/>
          </w:rPr>
          <w:t xml:space="preserve">PMID 35623448</w:t>
        </w:r>
      </w:hyperlink>
    </w:p>
    <w:p>
      <w:pPr>
        <w:pStyle w:val="Compact"/>
        <w:numPr>
          <w:ilvl w:val="0"/>
          <w:numId w:val="1034"/>
        </w:numPr>
      </w:pPr>
      <w:r>
        <w:t xml:space="preserve">Valiente López M, van Selms MK, van der Zaag J, Hamburger HL, Lobbezoo F.</w:t>
      </w:r>
      <w:r>
        <w:t xml:space="preserve"> </w:t>
      </w:r>
      <w:r>
        <w:rPr>
          <w:i/>
          <w:iCs/>
        </w:rPr>
        <w:t xml:space="preserve">Do sleep hygiene measures and progressive muscle relaxation influence sleep bruxism? Report of a randomised controlled trial.</w:t>
      </w:r>
      <w:r>
        <w:t xml:space="preserve"> </w:t>
      </w:r>
      <w:r>
        <w:t xml:space="preserve">J Oral Rehabil. 2015;42(4):259-65.</w:t>
      </w:r>
      <w:r>
        <w:t xml:space="preserve"> </w:t>
      </w:r>
      <w:hyperlink r:id="rId120">
        <w:r>
          <w:rPr>
            <w:rStyle w:val="Hyperlink"/>
          </w:rPr>
          <w:t xml:space="preserve">PMID 25413839</w:t>
        </w:r>
      </w:hyperlink>
    </w:p>
    <w:p>
      <w:pPr>
        <w:pStyle w:val="Compact"/>
        <w:numPr>
          <w:ilvl w:val="0"/>
          <w:numId w:val="1034"/>
        </w:numPr>
      </w:pPr>
      <w:r>
        <w:t xml:space="preserve">Graham DA, Lövgren A, Häggman-Henrikson B, Peck CC, Manfredini D, Saracutu OI.</w:t>
      </w:r>
      <w:r>
        <w:t xml:space="preserve"> </w:t>
      </w:r>
      <w:r>
        <w:rPr>
          <w:i/>
          <w:iCs/>
        </w:rPr>
        <w:t xml:space="preserve">Management of awake bruxism: a systematic review.</w:t>
      </w:r>
      <w:r>
        <w:t xml:space="preserve"> </w:t>
      </w:r>
      <w:r>
        <w:t xml:space="preserve">BMC Oral Health. 2026;26(1):559.</w:t>
      </w:r>
      <w:r>
        <w:t xml:space="preserve"> </w:t>
      </w:r>
      <w:hyperlink r:id="rId121">
        <w:r>
          <w:rPr>
            <w:rStyle w:val="Hyperlink"/>
          </w:rPr>
          <w:t xml:space="preserve">PMID 41735990</w:t>
        </w:r>
      </w:hyperlink>
    </w:p>
    <w:p>
      <w:pPr>
        <w:pStyle w:val="Compact"/>
        <w:numPr>
          <w:ilvl w:val="0"/>
          <w:numId w:val="1034"/>
        </w:numPr>
      </w:pPr>
      <w:r>
        <w:t xml:space="preserve">Oliveira-Souza AIS, Carvalho GF, Florêncio LL, Fernández-de-las-Peñas C, Dach F, Bevilaqua-Grossi D.</w:t>
      </w:r>
      <w:r>
        <w:t xml:space="preserve"> </w:t>
      </w:r>
      <w:r>
        <w:rPr>
          <w:i/>
          <w:iCs/>
        </w:rPr>
        <w:t xml:space="preserve">Intrarater and Interrater Reliability of the Flexion Rotation Test and Cervical Range of Motion in People With Migraine.</w:t>
      </w:r>
      <w:r>
        <w:t xml:space="preserve"> </w:t>
      </w:r>
      <w:r>
        <w:t xml:space="preserve">J Manipulative Physiol Ther. 2020;43(9):874-881.</w:t>
      </w:r>
      <w:r>
        <w:t xml:space="preserve"> </w:t>
      </w:r>
      <w:hyperlink r:id="rId122">
        <w:r>
          <w:rPr>
            <w:rStyle w:val="Hyperlink"/>
          </w:rPr>
          <w:t xml:space="preserve">PMID 32861519</w:t>
        </w:r>
      </w:hyperlink>
    </w:p>
    <w:p>
      <w:pPr>
        <w:pStyle w:val="Compact"/>
        <w:numPr>
          <w:ilvl w:val="0"/>
          <w:numId w:val="1034"/>
        </w:numPr>
      </w:pPr>
      <w:r>
        <w:t xml:space="preserve">Anarte-Lazo E, Rodriguez-Blanco C, Bernal-Utrera C.</w:t>
      </w:r>
      <w:r>
        <w:t xml:space="preserve"> </w:t>
      </w:r>
      <w:r>
        <w:rPr>
          <w:i/>
          <w:iCs/>
        </w:rPr>
        <w:t xml:space="preserve">Diagnostic accuracy of the flexion-rotation test and cut-off value in acute whiplash-associated disorders.</w:t>
      </w:r>
      <w:r>
        <w:t xml:space="preserve"> </w:t>
      </w:r>
      <w:r>
        <w:t xml:space="preserve">Braz J Phys Ther. 2024;28(6):101134.</w:t>
      </w:r>
      <w:r>
        <w:t xml:space="preserve"> </w:t>
      </w:r>
      <w:hyperlink r:id="rId123">
        <w:r>
          <w:rPr>
            <w:rStyle w:val="Hyperlink"/>
          </w:rPr>
          <w:t xml:space="preserve">PMID 39504635</w:t>
        </w:r>
      </w:hyperlink>
    </w:p>
    <w:p>
      <w:pPr>
        <w:pStyle w:val="Compact"/>
        <w:numPr>
          <w:ilvl w:val="0"/>
          <w:numId w:val="1034"/>
        </w:numPr>
      </w:pPr>
      <w:r>
        <w:t xml:space="preserve">Young IA, et al. </w:t>
      </w:r>
      <w:r>
        <w:rPr>
          <w:i/>
          <w:iCs/>
        </w:rPr>
        <w:t xml:space="preserve">Reliability, minimal detectable change and responsiveness of pain-free mouth opening in temporomandibular disorders.</w:t>
      </w:r>
      <w:r>
        <w:t xml:space="preserve"> </w:t>
      </w:r>
      <w:r>
        <w:t xml:space="preserve">Cranio. 2025.</w:t>
      </w:r>
      <w:r>
        <w:t xml:space="preserve"> </w:t>
      </w:r>
      <w:hyperlink r:id="rId124">
        <w:r>
          <w:rPr>
            <w:rStyle w:val="Hyperlink"/>
          </w:rPr>
          <w:t xml:space="preserve">PMID 39927871</w:t>
        </w:r>
      </w:hyperlink>
    </w:p>
    <w:p>
      <w:pPr>
        <w:pStyle w:val="Compact"/>
        <w:numPr>
          <w:ilvl w:val="0"/>
          <w:numId w:val="1034"/>
        </w:numPr>
      </w:pPr>
      <w:r>
        <w:t xml:space="preserve">Moore RJ, Dave M, Stocker J, Aggarwal VR.</w:t>
      </w:r>
      <w:r>
        <w:t xml:space="preserve"> </w:t>
      </w:r>
      <w:r>
        <w:rPr>
          <w:i/>
          <w:iCs/>
        </w:rPr>
        <w:t xml:space="preserve">Simplifying differential diagnoses of orofacial conditions - a guide to surgical sieves and red flags.</w:t>
      </w:r>
      <w:r>
        <w:t xml:space="preserve"> </w:t>
      </w:r>
      <w:r>
        <w:t xml:space="preserve">Br Dent J. 2021;230(5):289-293.</w:t>
      </w:r>
      <w:r>
        <w:t xml:space="preserve"> </w:t>
      </w:r>
      <w:hyperlink r:id="rId125">
        <w:r>
          <w:rPr>
            <w:rStyle w:val="Hyperlink"/>
          </w:rPr>
          <w:t xml:space="preserve">PMID 33712778</w:t>
        </w:r>
      </w:hyperlink>
    </w:p>
    <w:p>
      <w:pPr>
        <w:pStyle w:val="Compact"/>
        <w:numPr>
          <w:ilvl w:val="0"/>
          <w:numId w:val="1034"/>
        </w:numPr>
      </w:pPr>
      <w:r>
        <w:t xml:space="preserve">American Association of Oral and Maxillofacial Surgeons.</w:t>
      </w:r>
      <w:r>
        <w:t xml:space="preserve"> </w:t>
      </w:r>
      <w:r>
        <w:rPr>
          <w:i/>
          <w:iCs/>
        </w:rPr>
        <w:t xml:space="preserve">Position Paper on Medication-Related Osteonecrosis of the Jaws — 2022 Update.</w:t>
      </w:r>
      <w:r>
        <w:t xml:space="preserve"> </w:t>
      </w:r>
      <w:r>
        <w:t xml:space="preserve">J Oral Maxillofac Surg. 2022. (Position paper di società scientifica, non indicizzato come studio primario.)</w:t>
      </w:r>
    </w:p>
    <w:p>
      <w:pPr>
        <w:pStyle w:val="Compact"/>
        <w:numPr>
          <w:ilvl w:val="0"/>
          <w:numId w:val="1034"/>
        </w:numPr>
      </w:pPr>
      <w:r>
        <w:t xml:space="preserve">Türp JC, Minagi S.</w:t>
      </w:r>
      <w:r>
        <w:t xml:space="preserve"> </w:t>
      </w:r>
      <w:r>
        <w:rPr>
          <w:i/>
          <w:iCs/>
        </w:rPr>
        <w:t xml:space="preserve">Palpation of the lateral pterygoid region in TMD — where is the evidence?</w:t>
      </w:r>
      <w:r>
        <w:t xml:space="preserve"> </w:t>
      </w:r>
      <w:r>
        <w:t xml:space="preserve">J Dent. 2001;29(7):475-83.</w:t>
      </w:r>
      <w:r>
        <w:t xml:space="preserve"> </w:t>
      </w:r>
      <w:hyperlink r:id="rId126">
        <w:r>
          <w:rPr>
            <w:rStyle w:val="Hyperlink"/>
          </w:rPr>
          <w:t xml:space="preserve">PMID 11809325</w:t>
        </w:r>
      </w:hyperlink>
    </w:p>
    <w:p>
      <w:pPr>
        <w:pStyle w:val="Compact"/>
        <w:numPr>
          <w:ilvl w:val="0"/>
          <w:numId w:val="1034"/>
        </w:numPr>
      </w:pPr>
      <w:r>
        <w:t xml:space="preserve">Shim YJ, Lee HJ, Park KJ, Kim HT, Hong IH, Kim ST.</w:t>
      </w:r>
      <w:r>
        <w:t xml:space="preserve"> </w:t>
      </w:r>
      <w:r>
        <w:rPr>
          <w:i/>
          <w:iCs/>
        </w:rPr>
        <w:t xml:space="preserve">Botulinum Toxin Therapy for Managing Sleep Bruxism: A Randomized and Placebo-Controlled Trial.</w:t>
      </w:r>
      <w:r>
        <w:t xml:space="preserve"> </w:t>
      </w:r>
      <w:r>
        <w:t xml:space="preserve">Toxins (Basel). 2020;12(3):168.</w:t>
      </w:r>
      <w:r>
        <w:t xml:space="preserve"> </w:t>
      </w:r>
      <w:hyperlink r:id="rId127">
        <w:r>
          <w:rPr>
            <w:rStyle w:val="Hyperlink"/>
          </w:rPr>
          <w:t xml:space="preserve">PMID 32182879</w:t>
        </w:r>
      </w:hyperlink>
    </w:p>
    <w:p>
      <w:pPr>
        <w:pStyle w:val="Compact"/>
        <w:numPr>
          <w:ilvl w:val="0"/>
          <w:numId w:val="1034"/>
        </w:numPr>
      </w:pPr>
      <w:r>
        <w:t xml:space="preserve">Błaszczyk B, Waliszewska-Prosół M, Więckiewicz M, et al. </w:t>
      </w:r>
      <w:r>
        <w:rPr>
          <w:i/>
          <w:iCs/>
        </w:rPr>
        <w:t xml:space="preserve">Sleep bruxism may be not associated with obstructive sleep apnea: a systematic review and meta-analysis.</w:t>
      </w:r>
      <w:r>
        <w:t xml:space="preserve"> </w:t>
      </w:r>
      <w:r>
        <w:t xml:space="preserve">Sleep Med Rev. 2024;78:101994.</w:t>
      </w:r>
      <w:r>
        <w:t xml:space="preserve"> </w:t>
      </w:r>
      <w:hyperlink r:id="rId128">
        <w:r>
          <w:rPr>
            <w:rStyle w:val="Hyperlink"/>
          </w:rPr>
          <w:t xml:space="preserve">PMID 39182463</w:t>
        </w:r>
      </w:hyperlink>
    </w:p>
    <w:p>
      <w:pPr>
        <w:pStyle w:val="Compact"/>
        <w:numPr>
          <w:ilvl w:val="0"/>
          <w:numId w:val="1034"/>
        </w:numPr>
      </w:pPr>
      <w:r>
        <w:t xml:space="preserve">Armijo-Olivo S, Pitance L, Singh V, Neto F, Thie N, Michelotti A.</w:t>
      </w:r>
      <w:r>
        <w:t xml:space="preserve"> </w:t>
      </w:r>
      <w:r>
        <w:rPr>
          <w:i/>
          <w:iCs/>
        </w:rPr>
        <w:t xml:space="preserve">Effectiveness of Manual Therapy and Therapeutic Exercise for Temporomandibular Disorders: Systematic Review and Meta-Analysis.</w:t>
      </w:r>
      <w:r>
        <w:t xml:space="preserve"> </w:t>
      </w:r>
      <w:r>
        <w:t xml:space="preserve">Phys Ther. 2016;96(1):9-25.</w:t>
      </w:r>
      <w:r>
        <w:t xml:space="preserve"> </w:t>
      </w:r>
      <w:hyperlink r:id="rId129">
        <w:r>
          <w:rPr>
            <w:rStyle w:val="Hyperlink"/>
          </w:rPr>
          <w:t xml:space="preserve">PMID 26294683</w:t>
        </w:r>
      </w:hyperlink>
    </w:p>
    <w:p>
      <w:pPr>
        <w:pStyle w:val="Compact"/>
        <w:numPr>
          <w:ilvl w:val="0"/>
          <w:numId w:val="1034"/>
        </w:numPr>
      </w:pPr>
      <w:r>
        <w:t xml:space="preserve">Jokubauskas L, Baltrušaitytė A.</w:t>
      </w:r>
      <w:r>
        <w:t xml:space="preserve"> </w:t>
      </w:r>
      <w:r>
        <w:rPr>
          <w:i/>
          <w:iCs/>
        </w:rPr>
        <w:t xml:space="preserve">Efficacy of biofeedback therapy on sleep bruxism: A systematic review and meta-analysis.</w:t>
      </w:r>
      <w:r>
        <w:t xml:space="preserve"> </w:t>
      </w:r>
      <w:r>
        <w:t xml:space="preserve">J Oral Rehabil. 2018;45(6):485-495.</w:t>
      </w:r>
      <w:r>
        <w:t xml:space="preserve"> </w:t>
      </w:r>
      <w:hyperlink r:id="rId130">
        <w:r>
          <w:rPr>
            <w:rStyle w:val="Hyperlink"/>
          </w:rPr>
          <w:t xml:space="preserve">PMID 29577362</w:t>
        </w:r>
      </w:hyperlink>
    </w:p>
    <w:p>
      <w:pPr>
        <w:pStyle w:val="Compact"/>
        <w:numPr>
          <w:ilvl w:val="0"/>
          <w:numId w:val="1034"/>
        </w:numPr>
      </w:pPr>
      <w:r>
        <w:t xml:space="preserve">La Touche R, Fernández-de-las-Peñas C, Fernández-Carnero J, et al. </w:t>
      </w:r>
      <w:r>
        <w:rPr>
          <w:i/>
          <w:iCs/>
        </w:rPr>
        <w:t xml:space="preserve">The effects of manual therapy and exercise directed at the cervical spine on pain and pressure pain sensitivity in patients with myofascial temporomandibular disorders.</w:t>
      </w:r>
      <w:r>
        <w:t xml:space="preserve"> </w:t>
      </w:r>
      <w:r>
        <w:t xml:space="preserve">J Oral Rehabil. 2009;36(9):644-52.</w:t>
      </w:r>
      <w:r>
        <w:t xml:space="preserve"> </w:t>
      </w:r>
      <w:hyperlink r:id="rId131">
        <w:r>
          <w:rPr>
            <w:rStyle w:val="Hyperlink"/>
          </w:rPr>
          <w:t xml:space="preserve">PMID 19627454</w:t>
        </w:r>
      </w:hyperlink>
    </w:p>
    <w:p>
      <w:pPr>
        <w:pStyle w:val="Compact"/>
        <w:numPr>
          <w:ilvl w:val="0"/>
          <w:numId w:val="1034"/>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2009;12(5):547-8.</w:t>
      </w:r>
      <w:r>
        <w:t xml:space="preserve"> </w:t>
      </w:r>
      <w:hyperlink r:id="rId132">
        <w:r>
          <w:rPr>
            <w:rStyle w:val="Hyperlink"/>
          </w:rPr>
          <w:t xml:space="preserve">PMID 19363489</w:t>
        </w:r>
      </w:hyperlink>
    </w:p>
    <w:p>
      <w:pPr>
        <w:pStyle w:val="Compact"/>
        <w:numPr>
          <w:ilvl w:val="0"/>
          <w:numId w:val="1034"/>
        </w:numPr>
      </w:pPr>
      <w:r>
        <w:t xml:space="preserve">Testa M, Rossettini G.</w:t>
      </w:r>
      <w:r>
        <w:t xml:space="preserve"> </w:t>
      </w:r>
      <w:r>
        <w:rPr>
          <w:i/>
          <w:iCs/>
        </w:rPr>
        <w:t xml:space="preserve">Enhance placebo, avoid nocebo: How contextual factors affect physiotherapy outcomes.</w:t>
      </w:r>
      <w:r>
        <w:t xml:space="preserve"> </w:t>
      </w:r>
      <w:r>
        <w:t xml:space="preserve">Man Ther. 2016;24:65-74.</w:t>
      </w:r>
      <w:r>
        <w:t xml:space="preserve"> </w:t>
      </w:r>
      <w:hyperlink r:id="rId133">
        <w:r>
          <w:rPr>
            <w:rStyle w:val="Hyperlink"/>
          </w:rPr>
          <w:t xml:space="preserve">PMID 27133031</w:t>
        </w:r>
      </w:hyperlink>
      <w:r>
        <w:t xml:space="preserve"> </w:t>
      </w:r>
      <w:r>
        <w:t xml:space="preserve">— e 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2018;19(1):27.</w:t>
      </w:r>
      <w:r>
        <w:t xml:space="preserve"> </w:t>
      </w:r>
      <w:hyperlink r:id="rId134">
        <w:r>
          <w:rPr>
            <w:rStyle w:val="Hyperlink"/>
          </w:rPr>
          <w:t xml:space="preserve">PMID 29357856</w:t>
        </w:r>
      </w:hyperlink>
    </w:p>
    <w:p>
      <w:pPr>
        <w:pStyle w:val="Compact"/>
        <w:numPr>
          <w:ilvl w:val="0"/>
          <w:numId w:val="1034"/>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w:t>
      </w:r>
      <w:r>
        <w:t xml:space="preserve"> </w:t>
      </w:r>
      <w:r>
        <w:t xml:space="preserve">BMJ Open. 2025;15(2):e095933.</w:t>
      </w:r>
      <w:r>
        <w:t xml:space="preserve"> </w:t>
      </w:r>
      <w:hyperlink r:id="rId135">
        <w:r>
          <w:rPr>
            <w:rStyle w:val="Hyperlink"/>
          </w:rPr>
          <w:t xml:space="preserve">PMID 39920074</w:t>
        </w:r>
      </w:hyperlink>
    </w:p>
    <w:p>
      <w:pPr>
        <w:pStyle w:val="Compact"/>
        <w:numPr>
          <w:ilvl w:val="0"/>
          <w:numId w:val="1034"/>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w:t>
      </w:r>
      <w:r>
        <w:t xml:space="preserve"> </w:t>
      </w:r>
      <w:hyperlink r:id="rId136">
        <w:r>
          <w:rPr>
            <w:rStyle w:val="Hyperlink"/>
          </w:rPr>
          <w:t xml:space="preserve">PMID 11414776</w:t>
        </w:r>
      </w:hyperlink>
    </w:p>
    <w:p>
      <w:pPr>
        <w:pStyle w:val="Compact"/>
        <w:numPr>
          <w:ilvl w:val="0"/>
          <w:numId w:val="1034"/>
        </w:numPr>
      </w:pPr>
      <w:r>
        <w:t xml:space="preserve">El-Gendy MH, Ibrahim MM, Helmy ES, et al. </w:t>
      </w:r>
      <w:r>
        <w:rPr>
          <w:i/>
          <w:iCs/>
        </w:rPr>
        <w:t xml:space="preserve">Effect of manual physical therapy on sleep quality and jaw mobility in patients with bruxism: A biopsychosocial randomized controlled trial.</w:t>
      </w:r>
      <w:r>
        <w:t xml:space="preserve"> </w:t>
      </w:r>
      <w:r>
        <w:t xml:space="preserve">Front Neurol. 2022;13:1041928.</w:t>
      </w:r>
      <w:r>
        <w:t xml:space="preserve"> </w:t>
      </w:r>
      <w:hyperlink r:id="rId137">
        <w:r>
          <w:rPr>
            <w:rStyle w:val="Hyperlink"/>
          </w:rPr>
          <w:t xml:space="preserve">PMID 36570455</w:t>
        </w:r>
      </w:hyperlink>
    </w:p>
    <w:p>
      <w:pPr>
        <w:pStyle w:val="Compact"/>
        <w:numPr>
          <w:ilvl w:val="0"/>
          <w:numId w:val="1034"/>
        </w:numPr>
      </w:pPr>
      <w:r>
        <w:t xml:space="preserve">Medina Flores D, et al. </w:t>
      </w:r>
      <w:r>
        <w:rPr>
          <w:i/>
          <w:iCs/>
        </w:rPr>
        <w:t xml:space="preserve">Compliance with ecological momentary assessment protocols for awake bruxism.</w:t>
      </w:r>
      <w:r>
        <w:t xml:space="preserve"> </w:t>
      </w:r>
      <w:r>
        <w:t xml:space="preserve">J Prosthet Dent. 2024.</w:t>
      </w:r>
      <w:r>
        <w:t xml:space="preserve"> </w:t>
      </w:r>
      <w:hyperlink r:id="rId138">
        <w:r>
          <w:rPr>
            <w:rStyle w:val="Hyperlink"/>
          </w:rPr>
          <w:t xml:space="preserve">PMID 37069016</w:t>
        </w:r>
      </w:hyperlink>
    </w:p>
    <w:p>
      <w:pPr>
        <w:pStyle w:val="Compact"/>
        <w:numPr>
          <w:ilvl w:val="0"/>
          <w:numId w:val="1034"/>
        </w:numPr>
      </w:pPr>
      <w:r>
        <w:t xml:space="preserve">Yao L, Busse JW, et al. </w:t>
      </w:r>
      <w:r>
        <w:rPr>
          <w:i/>
          <w:iCs/>
        </w:rPr>
        <w:t xml:space="preserve">Management of chronic pain associated with temporomandibular disorders: a systematic review and network meta-analysis.</w:t>
      </w:r>
      <w:r>
        <w:t xml:space="preserve"> </w:t>
      </w:r>
      <w:r>
        <w:t xml:space="preserve">BMJ. 2023;383:e076226.</w:t>
      </w:r>
      <w:r>
        <w:t xml:space="preserve"> </w:t>
      </w:r>
      <w:hyperlink r:id="rId139">
        <w:r>
          <w:rPr>
            <w:rStyle w:val="Hyperlink"/>
          </w:rPr>
          <w:t xml:space="preserve">PMID 38101924</w:t>
        </w:r>
      </w:hyperlink>
    </w:p>
    <w:p>
      <w:pPr>
        <w:pStyle w:val="Compact"/>
        <w:numPr>
          <w:ilvl w:val="0"/>
          <w:numId w:val="1034"/>
        </w:numPr>
      </w:pPr>
      <w:r>
        <w:t xml:space="preserve">Busse JW, et al. </w:t>
      </w:r>
      <w:r>
        <w:rPr>
          <w:i/>
          <w:iCs/>
        </w:rPr>
        <w:t xml:space="preserve">Management of chronic pain associated with temporomandibular disorders: a clinical practice guideline.</w:t>
      </w:r>
      <w:r>
        <w:t xml:space="preserve"> </w:t>
      </w:r>
      <w:r>
        <w:t xml:space="preserve">BMJ. 2023;383:e076227.</w:t>
      </w:r>
      <w:r>
        <w:t xml:space="preserve"> </w:t>
      </w:r>
      <w:hyperlink r:id="rId140">
        <w:r>
          <w:rPr>
            <w:rStyle w:val="Hyperlink"/>
          </w:rPr>
          <w:t xml:space="preserve">PMID 38101929</w:t>
        </w:r>
      </w:hyperlink>
    </w:p>
    <w:p>
      <w:pPr>
        <w:pStyle w:val="Compact"/>
        <w:numPr>
          <w:ilvl w:val="0"/>
          <w:numId w:val="1034"/>
        </w:numPr>
      </w:pPr>
      <w:r>
        <w:t xml:space="preserve">Michelotti A, Iodice G, Vollaro S, Steenks MH, Farella M.</w:t>
      </w:r>
      <w:r>
        <w:t xml:space="preserve"> </w:t>
      </w:r>
      <w:r>
        <w:rPr>
          <w:i/>
          <w:iCs/>
        </w:rPr>
        <w:t xml:space="preserve">Evaluation of the short-term effectiveness of education versus an occlusal splint for the treatment of myofascial pain of the jaw muscles.</w:t>
      </w:r>
      <w:r>
        <w:t xml:space="preserve"> </w:t>
      </w:r>
      <w:r>
        <w:t xml:space="preserve">J Am Dent Assoc. 2012;143(1):47-53.</w:t>
      </w:r>
      <w:r>
        <w:t xml:space="preserve"> </w:t>
      </w:r>
      <w:hyperlink r:id="rId141">
        <w:r>
          <w:rPr>
            <w:rStyle w:val="Hyperlink"/>
          </w:rPr>
          <w:t xml:space="preserve">PMID 22207667</w:t>
        </w:r>
      </w:hyperlink>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2" Target="https://pubmed.ncbi.nlm.nih.gov/10890716/" TargetMode="External" /><Relationship Type="http://schemas.openxmlformats.org/officeDocument/2006/relationships/hyperlink" Id="rId99" Target="https://pubmed.ncbi.nlm.nih.gov/11380790/" TargetMode="External" /><Relationship Type="http://schemas.openxmlformats.org/officeDocument/2006/relationships/hyperlink" Id="rId136" Target="https://pubmed.ncbi.nlm.nih.gov/11414776/" TargetMode="External" /><Relationship Type="http://schemas.openxmlformats.org/officeDocument/2006/relationships/hyperlink" Id="rId126" Target="https://pubmed.ncbi.nlm.nih.gov/11809325/" TargetMode="External" /><Relationship Type="http://schemas.openxmlformats.org/officeDocument/2006/relationships/hyperlink" Id="rId93" Target="https://pubmed.ncbi.nlm.nih.gov/12077000/" TargetMode="External" /><Relationship Type="http://schemas.openxmlformats.org/officeDocument/2006/relationships/hyperlink" Id="rId89" Target="https://pubmed.ncbi.nlm.nih.gov/12756926/" TargetMode="External" /><Relationship Type="http://schemas.openxmlformats.org/officeDocument/2006/relationships/hyperlink" Id="rId98" Target="https://pubmed.ncbi.nlm.nih.gov/12802513/" TargetMode="External" /><Relationship Type="http://schemas.openxmlformats.org/officeDocument/2006/relationships/hyperlink" Id="rId94" Target="https://pubmed.ncbi.nlm.nih.gov/12821523/" TargetMode="External" /><Relationship Type="http://schemas.openxmlformats.org/officeDocument/2006/relationships/hyperlink" Id="rId101" Target="https://pubmed.ncbi.nlm.nih.gov/16911037/" TargetMode="External" /><Relationship Type="http://schemas.openxmlformats.org/officeDocument/2006/relationships/hyperlink" Id="rId102" Target="https://pubmed.ncbi.nlm.nih.gov/17313939/" TargetMode="External" /><Relationship Type="http://schemas.openxmlformats.org/officeDocument/2006/relationships/hyperlink" Id="rId82" Target="https://pubmed.ncbi.nlm.nih.gov/17943862/" TargetMode="External" /><Relationship Type="http://schemas.openxmlformats.org/officeDocument/2006/relationships/hyperlink" Id="rId103" Target="https://pubmed.ncbi.nlm.nih.gov/18490400/" TargetMode="External" /><Relationship Type="http://schemas.openxmlformats.org/officeDocument/2006/relationships/hyperlink" Id="rId132" Target="https://pubmed.ncbi.nlm.nih.gov/19363489/" TargetMode="External" /><Relationship Type="http://schemas.openxmlformats.org/officeDocument/2006/relationships/hyperlink" Id="rId131" Target="https://pubmed.ncbi.nlm.nih.gov/19627454/" TargetMode="External" /><Relationship Type="http://schemas.openxmlformats.org/officeDocument/2006/relationships/hyperlink" Id="rId109" Target="https://pubmed.ncbi.nlm.nih.gov/21248360/" TargetMode="External" /><Relationship Type="http://schemas.openxmlformats.org/officeDocument/2006/relationships/hyperlink" Id="rId141" Target="https://pubmed.ncbi.nlm.nih.gov/22207667/" TargetMode="External" /><Relationship Type="http://schemas.openxmlformats.org/officeDocument/2006/relationships/hyperlink" Id="rId88" Target="https://pubmed.ncbi.nlm.nih.gov/22278147/" TargetMode="External" /><Relationship Type="http://schemas.openxmlformats.org/officeDocument/2006/relationships/hyperlink" Id="rId85" Target="https://pubmed.ncbi.nlm.nih.gov/23121262/" TargetMode="External" /><Relationship Type="http://schemas.openxmlformats.org/officeDocument/2006/relationships/hyperlink" Id="rId95" Target="https://pubmed.ncbi.nlm.nih.gov/24378471/" TargetMode="External" /><Relationship Type="http://schemas.openxmlformats.org/officeDocument/2006/relationships/hyperlink" Id="rId90" Target="https://pubmed.ncbi.nlm.nih.gov/24482784/" TargetMode="External" /><Relationship Type="http://schemas.openxmlformats.org/officeDocument/2006/relationships/hyperlink" Id="rId120" Target="https://pubmed.ncbi.nlm.nih.gov/25413839/" TargetMode="External" /><Relationship Type="http://schemas.openxmlformats.org/officeDocument/2006/relationships/hyperlink" Id="rId96" Target="https://pubmed.ncbi.nlm.nih.gov/26250600/" TargetMode="External" /><Relationship Type="http://schemas.openxmlformats.org/officeDocument/2006/relationships/hyperlink" Id="rId129" Target="https://pubmed.ncbi.nlm.nih.gov/26294683/" TargetMode="External" /><Relationship Type="http://schemas.openxmlformats.org/officeDocument/2006/relationships/hyperlink" Id="rId117" Target="https://pubmed.ncbi.nlm.nih.gov/26902644/" TargetMode="External" /><Relationship Type="http://schemas.openxmlformats.org/officeDocument/2006/relationships/hyperlink" Id="rId133" Target="https://pubmed.ncbi.nlm.nih.gov/27133031/" TargetMode="External" /><Relationship Type="http://schemas.openxmlformats.org/officeDocument/2006/relationships/hyperlink" Id="rId110" Target="https://pubmed.ncbi.nlm.nih.gov/27522154/" TargetMode="External" /><Relationship Type="http://schemas.openxmlformats.org/officeDocument/2006/relationships/hyperlink" Id="rId91" Target="https://pubmed.ncbi.nlm.nih.gov/27656052/" TargetMode="External" /><Relationship Type="http://schemas.openxmlformats.org/officeDocument/2006/relationships/hyperlink" Id="rId134" Target="https://pubmed.ncbi.nlm.nih.gov/29357856/" TargetMode="External" /><Relationship Type="http://schemas.openxmlformats.org/officeDocument/2006/relationships/hyperlink" Id="rId100" Target="https://pubmed.ncbi.nlm.nih.gov/29574964/" TargetMode="External" /><Relationship Type="http://schemas.openxmlformats.org/officeDocument/2006/relationships/hyperlink" Id="rId130" Target="https://pubmed.ncbi.nlm.nih.gov/29577362/" TargetMode="External" /><Relationship Type="http://schemas.openxmlformats.org/officeDocument/2006/relationships/hyperlink" Id="rId112" Target="https://pubmed.ncbi.nlm.nih.gov/29708207/" TargetMode="External" /><Relationship Type="http://schemas.openxmlformats.org/officeDocument/2006/relationships/hyperlink" Id="rId86" Target="https://pubmed.ncbi.nlm.nih.gov/29926505/" TargetMode="External" /><Relationship Type="http://schemas.openxmlformats.org/officeDocument/2006/relationships/hyperlink" Id="rId127" Target="https://pubmed.ncbi.nlm.nih.gov/32182879/" TargetMode="External" /><Relationship Type="http://schemas.openxmlformats.org/officeDocument/2006/relationships/hyperlink" Id="rId111" Target="https://pubmed.ncbi.nlm.nih.gov/32716523/" TargetMode="External" /><Relationship Type="http://schemas.openxmlformats.org/officeDocument/2006/relationships/hyperlink" Id="rId122" Target="https://pubmed.ncbi.nlm.nih.gov/32861519/" TargetMode="External" /><Relationship Type="http://schemas.openxmlformats.org/officeDocument/2006/relationships/hyperlink" Id="rId104" Target="https://pubmed.ncbi.nlm.nih.gov/32872670/" TargetMode="External" /><Relationship Type="http://schemas.openxmlformats.org/officeDocument/2006/relationships/hyperlink" Id="rId125" Target="https://pubmed.ncbi.nlm.nih.gov/33712778/" TargetMode="External" /><Relationship Type="http://schemas.openxmlformats.org/officeDocument/2006/relationships/hyperlink" Id="rId105" Target="https://pubmed.ncbi.nlm.nih.gov/34090993/" TargetMode="External" /><Relationship Type="http://schemas.openxmlformats.org/officeDocument/2006/relationships/hyperlink" Id="rId107" Target="https://pubmed.ncbi.nlm.nih.gov/35342987/" TargetMode="External" /><Relationship Type="http://schemas.openxmlformats.org/officeDocument/2006/relationships/hyperlink" Id="rId119" Target="https://pubmed.ncbi.nlm.nih.gov/35623448/" TargetMode="External" /><Relationship Type="http://schemas.openxmlformats.org/officeDocument/2006/relationships/hyperlink" Id="rId116" Target="https://pubmed.ncbi.nlm.nih.gov/36334461/" TargetMode="External" /><Relationship Type="http://schemas.openxmlformats.org/officeDocument/2006/relationships/hyperlink" Id="rId137" Target="https://pubmed.ncbi.nlm.nih.gov/36570455/" TargetMode="External" /><Relationship Type="http://schemas.openxmlformats.org/officeDocument/2006/relationships/hyperlink" Id="rId114" Target="https://pubmed.ncbi.nlm.nih.gov/36968167/" TargetMode="External" /><Relationship Type="http://schemas.openxmlformats.org/officeDocument/2006/relationships/hyperlink" Id="rId138" Target="https://pubmed.ncbi.nlm.nih.gov/37069016/" TargetMode="External" /><Relationship Type="http://schemas.openxmlformats.org/officeDocument/2006/relationships/hyperlink" Id="rId139" Target="https://pubmed.ncbi.nlm.nih.gov/38101924/" TargetMode="External" /><Relationship Type="http://schemas.openxmlformats.org/officeDocument/2006/relationships/hyperlink" Id="rId140" Target="https://pubmed.ncbi.nlm.nih.gov/38101929/" TargetMode="External" /><Relationship Type="http://schemas.openxmlformats.org/officeDocument/2006/relationships/hyperlink" Id="rId83" Target="https://pubmed.ncbi.nlm.nih.gov/38421263/" TargetMode="External" /><Relationship Type="http://schemas.openxmlformats.org/officeDocument/2006/relationships/hyperlink" Id="rId108" Target="https://pubmed.ncbi.nlm.nih.gov/38850025/" TargetMode="External" /><Relationship Type="http://schemas.openxmlformats.org/officeDocument/2006/relationships/hyperlink" Id="rId84" Target="https://pubmed.ncbi.nlm.nih.gov/39064299/" TargetMode="External" /><Relationship Type="http://schemas.openxmlformats.org/officeDocument/2006/relationships/hyperlink" Id="rId128" Target="https://pubmed.ncbi.nlm.nih.gov/39182463/" TargetMode="External" /><Relationship Type="http://schemas.openxmlformats.org/officeDocument/2006/relationships/hyperlink" Id="rId123" Target="https://pubmed.ncbi.nlm.nih.gov/39504635/" TargetMode="External" /><Relationship Type="http://schemas.openxmlformats.org/officeDocument/2006/relationships/hyperlink" Id="rId97" Target="https://pubmed.ncbi.nlm.nih.gov/39663097/" TargetMode="External" /><Relationship Type="http://schemas.openxmlformats.org/officeDocument/2006/relationships/hyperlink" Id="rId135" Target="https://pubmed.ncbi.nlm.nih.gov/39920074/" TargetMode="External" /><Relationship Type="http://schemas.openxmlformats.org/officeDocument/2006/relationships/hyperlink" Id="rId124" Target="https://pubmed.ncbi.nlm.nih.gov/39927871/" TargetMode="External" /><Relationship Type="http://schemas.openxmlformats.org/officeDocument/2006/relationships/hyperlink" Id="rId87" Target="https://pubmed.ncbi.nlm.nih.gov/40312776/" TargetMode="External" /><Relationship Type="http://schemas.openxmlformats.org/officeDocument/2006/relationships/hyperlink" Id="rId118" Target="https://pubmed.ncbi.nlm.nih.gov/40369740/" TargetMode="External" /><Relationship Type="http://schemas.openxmlformats.org/officeDocument/2006/relationships/hyperlink" Id="rId121" Target="https://pubmed.ncbi.nlm.nih.gov/41735990/" TargetMode="External" /><Relationship Type="http://schemas.openxmlformats.org/officeDocument/2006/relationships/hyperlink" Id="rId113" Target="https://pubmed.ncbi.nlm.nih.gov/42447651/" TargetMode="External" /><Relationship Type="http://schemas.openxmlformats.org/officeDocument/2006/relationships/hyperlink" Id="rId115" Target="https://pubmed.ncbi.nlm.nih.gov/42497348/" TargetMode="External" /><Relationship Type="http://schemas.openxmlformats.org/officeDocument/2006/relationships/hyperlink" Id="rId106" Target="https://pubmed.ncbi.nlm.nih.gov/42556699/" TargetMode="External" /></Relationships>
</file>

<file path=word/_rels/footnotes.xml.rels><?xml version="1.0" encoding="UTF-8"?><Relationships xmlns="http://schemas.openxmlformats.org/package/2006/relationships"><Relationship Type="http://schemas.openxmlformats.org/officeDocument/2006/relationships/hyperlink" Id="rId92" Target="https://pubmed.ncbi.nlm.nih.gov/10890716/" TargetMode="External" /><Relationship Type="http://schemas.openxmlformats.org/officeDocument/2006/relationships/hyperlink" Id="rId99" Target="https://pubmed.ncbi.nlm.nih.gov/11380790/" TargetMode="External" /><Relationship Type="http://schemas.openxmlformats.org/officeDocument/2006/relationships/hyperlink" Id="rId136" Target="https://pubmed.ncbi.nlm.nih.gov/11414776/" TargetMode="External" /><Relationship Type="http://schemas.openxmlformats.org/officeDocument/2006/relationships/hyperlink" Id="rId126" Target="https://pubmed.ncbi.nlm.nih.gov/11809325/" TargetMode="External" /><Relationship Type="http://schemas.openxmlformats.org/officeDocument/2006/relationships/hyperlink" Id="rId93" Target="https://pubmed.ncbi.nlm.nih.gov/12077000/" TargetMode="External" /><Relationship Type="http://schemas.openxmlformats.org/officeDocument/2006/relationships/hyperlink" Id="rId89" Target="https://pubmed.ncbi.nlm.nih.gov/12756926/" TargetMode="External" /><Relationship Type="http://schemas.openxmlformats.org/officeDocument/2006/relationships/hyperlink" Id="rId98" Target="https://pubmed.ncbi.nlm.nih.gov/12802513/" TargetMode="External" /><Relationship Type="http://schemas.openxmlformats.org/officeDocument/2006/relationships/hyperlink" Id="rId94" Target="https://pubmed.ncbi.nlm.nih.gov/12821523/" TargetMode="External" /><Relationship Type="http://schemas.openxmlformats.org/officeDocument/2006/relationships/hyperlink" Id="rId101" Target="https://pubmed.ncbi.nlm.nih.gov/16911037/" TargetMode="External" /><Relationship Type="http://schemas.openxmlformats.org/officeDocument/2006/relationships/hyperlink" Id="rId102" Target="https://pubmed.ncbi.nlm.nih.gov/17313939/" TargetMode="External" /><Relationship Type="http://schemas.openxmlformats.org/officeDocument/2006/relationships/hyperlink" Id="rId82" Target="https://pubmed.ncbi.nlm.nih.gov/17943862/" TargetMode="External" /><Relationship Type="http://schemas.openxmlformats.org/officeDocument/2006/relationships/hyperlink" Id="rId103" Target="https://pubmed.ncbi.nlm.nih.gov/18490400/" TargetMode="External" /><Relationship Type="http://schemas.openxmlformats.org/officeDocument/2006/relationships/hyperlink" Id="rId132" Target="https://pubmed.ncbi.nlm.nih.gov/19363489/" TargetMode="External" /><Relationship Type="http://schemas.openxmlformats.org/officeDocument/2006/relationships/hyperlink" Id="rId131" Target="https://pubmed.ncbi.nlm.nih.gov/19627454/" TargetMode="External" /><Relationship Type="http://schemas.openxmlformats.org/officeDocument/2006/relationships/hyperlink" Id="rId109" Target="https://pubmed.ncbi.nlm.nih.gov/21248360/" TargetMode="External" /><Relationship Type="http://schemas.openxmlformats.org/officeDocument/2006/relationships/hyperlink" Id="rId141" Target="https://pubmed.ncbi.nlm.nih.gov/22207667/" TargetMode="External" /><Relationship Type="http://schemas.openxmlformats.org/officeDocument/2006/relationships/hyperlink" Id="rId88" Target="https://pubmed.ncbi.nlm.nih.gov/22278147/" TargetMode="External" /><Relationship Type="http://schemas.openxmlformats.org/officeDocument/2006/relationships/hyperlink" Id="rId85" Target="https://pubmed.ncbi.nlm.nih.gov/23121262/" TargetMode="External" /><Relationship Type="http://schemas.openxmlformats.org/officeDocument/2006/relationships/hyperlink" Id="rId95" Target="https://pubmed.ncbi.nlm.nih.gov/24378471/" TargetMode="External" /><Relationship Type="http://schemas.openxmlformats.org/officeDocument/2006/relationships/hyperlink" Id="rId90" Target="https://pubmed.ncbi.nlm.nih.gov/24482784/" TargetMode="External" /><Relationship Type="http://schemas.openxmlformats.org/officeDocument/2006/relationships/hyperlink" Id="rId120" Target="https://pubmed.ncbi.nlm.nih.gov/25413839/" TargetMode="External" /><Relationship Type="http://schemas.openxmlformats.org/officeDocument/2006/relationships/hyperlink" Id="rId96" Target="https://pubmed.ncbi.nlm.nih.gov/26250600/" TargetMode="External" /><Relationship Type="http://schemas.openxmlformats.org/officeDocument/2006/relationships/hyperlink" Id="rId129" Target="https://pubmed.ncbi.nlm.nih.gov/26294683/" TargetMode="External" /><Relationship Type="http://schemas.openxmlformats.org/officeDocument/2006/relationships/hyperlink" Id="rId117" Target="https://pubmed.ncbi.nlm.nih.gov/26902644/" TargetMode="External" /><Relationship Type="http://schemas.openxmlformats.org/officeDocument/2006/relationships/hyperlink" Id="rId133" Target="https://pubmed.ncbi.nlm.nih.gov/27133031/" TargetMode="External" /><Relationship Type="http://schemas.openxmlformats.org/officeDocument/2006/relationships/hyperlink" Id="rId110" Target="https://pubmed.ncbi.nlm.nih.gov/27522154/" TargetMode="External" /><Relationship Type="http://schemas.openxmlformats.org/officeDocument/2006/relationships/hyperlink" Id="rId91" Target="https://pubmed.ncbi.nlm.nih.gov/27656052/" TargetMode="External" /><Relationship Type="http://schemas.openxmlformats.org/officeDocument/2006/relationships/hyperlink" Id="rId134" Target="https://pubmed.ncbi.nlm.nih.gov/29357856/" TargetMode="External" /><Relationship Type="http://schemas.openxmlformats.org/officeDocument/2006/relationships/hyperlink" Id="rId100" Target="https://pubmed.ncbi.nlm.nih.gov/29574964/" TargetMode="External" /><Relationship Type="http://schemas.openxmlformats.org/officeDocument/2006/relationships/hyperlink" Id="rId130" Target="https://pubmed.ncbi.nlm.nih.gov/29577362/" TargetMode="External" /><Relationship Type="http://schemas.openxmlformats.org/officeDocument/2006/relationships/hyperlink" Id="rId112" Target="https://pubmed.ncbi.nlm.nih.gov/29708207/" TargetMode="External" /><Relationship Type="http://schemas.openxmlformats.org/officeDocument/2006/relationships/hyperlink" Id="rId86" Target="https://pubmed.ncbi.nlm.nih.gov/29926505/" TargetMode="External" /><Relationship Type="http://schemas.openxmlformats.org/officeDocument/2006/relationships/hyperlink" Id="rId127" Target="https://pubmed.ncbi.nlm.nih.gov/32182879/" TargetMode="External" /><Relationship Type="http://schemas.openxmlformats.org/officeDocument/2006/relationships/hyperlink" Id="rId111" Target="https://pubmed.ncbi.nlm.nih.gov/32716523/" TargetMode="External" /><Relationship Type="http://schemas.openxmlformats.org/officeDocument/2006/relationships/hyperlink" Id="rId122" Target="https://pubmed.ncbi.nlm.nih.gov/32861519/" TargetMode="External" /><Relationship Type="http://schemas.openxmlformats.org/officeDocument/2006/relationships/hyperlink" Id="rId104" Target="https://pubmed.ncbi.nlm.nih.gov/32872670/" TargetMode="External" /><Relationship Type="http://schemas.openxmlformats.org/officeDocument/2006/relationships/hyperlink" Id="rId125" Target="https://pubmed.ncbi.nlm.nih.gov/33712778/" TargetMode="External" /><Relationship Type="http://schemas.openxmlformats.org/officeDocument/2006/relationships/hyperlink" Id="rId105" Target="https://pubmed.ncbi.nlm.nih.gov/34090993/" TargetMode="External" /><Relationship Type="http://schemas.openxmlformats.org/officeDocument/2006/relationships/hyperlink" Id="rId107" Target="https://pubmed.ncbi.nlm.nih.gov/35342987/" TargetMode="External" /><Relationship Type="http://schemas.openxmlformats.org/officeDocument/2006/relationships/hyperlink" Id="rId119" Target="https://pubmed.ncbi.nlm.nih.gov/35623448/" TargetMode="External" /><Relationship Type="http://schemas.openxmlformats.org/officeDocument/2006/relationships/hyperlink" Id="rId116" Target="https://pubmed.ncbi.nlm.nih.gov/36334461/" TargetMode="External" /><Relationship Type="http://schemas.openxmlformats.org/officeDocument/2006/relationships/hyperlink" Id="rId137" Target="https://pubmed.ncbi.nlm.nih.gov/36570455/" TargetMode="External" /><Relationship Type="http://schemas.openxmlformats.org/officeDocument/2006/relationships/hyperlink" Id="rId114" Target="https://pubmed.ncbi.nlm.nih.gov/36968167/" TargetMode="External" /><Relationship Type="http://schemas.openxmlformats.org/officeDocument/2006/relationships/hyperlink" Id="rId138" Target="https://pubmed.ncbi.nlm.nih.gov/37069016/" TargetMode="External" /><Relationship Type="http://schemas.openxmlformats.org/officeDocument/2006/relationships/hyperlink" Id="rId139" Target="https://pubmed.ncbi.nlm.nih.gov/38101924/" TargetMode="External" /><Relationship Type="http://schemas.openxmlformats.org/officeDocument/2006/relationships/hyperlink" Id="rId140" Target="https://pubmed.ncbi.nlm.nih.gov/38101929/" TargetMode="External" /><Relationship Type="http://schemas.openxmlformats.org/officeDocument/2006/relationships/hyperlink" Id="rId83" Target="https://pubmed.ncbi.nlm.nih.gov/38421263/" TargetMode="External" /><Relationship Type="http://schemas.openxmlformats.org/officeDocument/2006/relationships/hyperlink" Id="rId108" Target="https://pubmed.ncbi.nlm.nih.gov/38850025/" TargetMode="External" /><Relationship Type="http://schemas.openxmlformats.org/officeDocument/2006/relationships/hyperlink" Id="rId84" Target="https://pubmed.ncbi.nlm.nih.gov/39064299/" TargetMode="External" /><Relationship Type="http://schemas.openxmlformats.org/officeDocument/2006/relationships/hyperlink" Id="rId128" Target="https://pubmed.ncbi.nlm.nih.gov/39182463/" TargetMode="External" /><Relationship Type="http://schemas.openxmlformats.org/officeDocument/2006/relationships/hyperlink" Id="rId123" Target="https://pubmed.ncbi.nlm.nih.gov/39504635/" TargetMode="External" /><Relationship Type="http://schemas.openxmlformats.org/officeDocument/2006/relationships/hyperlink" Id="rId97" Target="https://pubmed.ncbi.nlm.nih.gov/39663097/" TargetMode="External" /><Relationship Type="http://schemas.openxmlformats.org/officeDocument/2006/relationships/hyperlink" Id="rId135" Target="https://pubmed.ncbi.nlm.nih.gov/39920074/" TargetMode="External" /><Relationship Type="http://schemas.openxmlformats.org/officeDocument/2006/relationships/hyperlink" Id="rId124" Target="https://pubmed.ncbi.nlm.nih.gov/39927871/" TargetMode="External" /><Relationship Type="http://schemas.openxmlformats.org/officeDocument/2006/relationships/hyperlink" Id="rId87" Target="https://pubmed.ncbi.nlm.nih.gov/40312776/" TargetMode="External" /><Relationship Type="http://schemas.openxmlformats.org/officeDocument/2006/relationships/hyperlink" Id="rId118" Target="https://pubmed.ncbi.nlm.nih.gov/40369740/" TargetMode="External" /><Relationship Type="http://schemas.openxmlformats.org/officeDocument/2006/relationships/hyperlink" Id="rId121" Target="https://pubmed.ncbi.nlm.nih.gov/41735990/" TargetMode="External" /><Relationship Type="http://schemas.openxmlformats.org/officeDocument/2006/relationships/hyperlink" Id="rId113" Target="https://pubmed.ncbi.nlm.nih.gov/42447651/" TargetMode="External" /><Relationship Type="http://schemas.openxmlformats.org/officeDocument/2006/relationships/hyperlink" Id="rId115" Target="https://pubmed.ncbi.nlm.nih.gov/42497348/" TargetMode="External" /><Relationship Type="http://schemas.openxmlformats.org/officeDocument/2006/relationships/hyperlink" Id="rId106" Target="https://pubmed.ncbi.nlm.nih.gov/425566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Bruxismo</dc:title>
  <dc:creator>Mobilitas — Direzione Osteopatica</dc:creator>
  <dc:language>it-IT</dc:language>
  <cp:keywords/>
  <dcterms:created xsi:type="dcterms:W3CDTF">2026-08-19T12:29:06Z</dcterms:created>
  <dcterms:modified xsi:type="dcterms:W3CDTF">2026-08-19T12:29:06Z</dcterms:modified>
</cp:coreProperties>
</file>

<file path=docProps/custom.xml><?xml version="1.0" encoding="utf-8"?>
<Properties xmlns="http://schemas.openxmlformats.org/officeDocument/2006/custom-properties" xmlns:vt="http://schemas.openxmlformats.org/officeDocument/2006/docPropsVTypes"/>
</file>