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Cervicobrachialgia</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2" w:name="la-bibbia-della-cervicobrachialgia"/>
    <w:p>
      <w:pPr>
        <w:pStyle w:val="Heading1"/>
      </w:pPr>
      <w:r>
        <w:t xml:space="preserve">La Bibbia della Cervicobrachialgia</w:t>
      </w:r>
    </w:p>
    <w:p>
      <w:pPr>
        <w:pStyle w:val="FirstParagraph"/>
      </w:pPr>
      <w:r>
        <w:rPr>
          <w:b/>
          <w:bCs/>
        </w:rPr>
        <w:t xml:space="preserve">Mobilitas · OsteoTouch</w:t>
      </w:r>
      <w:r>
        <w:t xml:space="preserve"> </w:t>
      </w:r>
      <w:r>
        <w:t xml:space="preserve">— documento clinico interno</w:t>
      </w:r>
      <w:r>
        <w:t xml:space="preserve"> </w:t>
      </w:r>
      <w:r>
        <w:rPr>
          <w:b/>
          <w:bCs/>
        </w:rPr>
        <w:t xml:space="preserve">Ancora clinica:</w:t>
      </w:r>
      <w:r>
        <w:t xml:space="preserve"> </w:t>
      </w:r>
      <w:r>
        <w:t xml:space="preserve">Erik J. Thoomes (Fysio-Experts / University of Birmingham) —</w:t>
      </w:r>
      <w:r>
        <w:t xml:space="preserve"> </w:t>
      </w:r>
      <w:r>
        <w:rPr>
          <w:b/>
          <w:bCs/>
        </w:rPr>
        <w:t xml:space="preserve">Ancora fisiologica:</w:t>
      </w:r>
      <w:r>
        <w:t xml:space="preserve"> </w:t>
      </w:r>
      <w:r>
        <w:t xml:space="preserve">Michel W. Coppieters (Griffith University / Vrije Universiteit Amsterdam)</w:t>
      </w:r>
      <w:r>
        <w:t xml:space="preserve"> </w:t>
      </w:r>
      <w:r>
        <w:rPr>
          <w:b/>
          <w:bCs/>
        </w:rPr>
        <w:t xml:space="preserve">Versione:</w:t>
      </w:r>
      <w:r>
        <w:t xml:space="preserve"> </w:t>
      </w:r>
      <w:r>
        <w:t xml:space="preserve">v7.0 (revisione di lingua — 6º livello) —</w:t>
      </w:r>
      <w:r>
        <w:t xml:space="preserve"> </w:t>
      </w:r>
      <w:r>
        <w:rPr>
          <w:b/>
          <w:bCs/>
        </w:rPr>
        <w:t xml:space="preserve">Data:</w:t>
      </w:r>
      <w:r>
        <w:t xml:space="preserve"> </w:t>
      </w:r>
      <w:r>
        <w:t xml:space="preserve">agosto 2026</w:t>
      </w:r>
    </w:p>
    <w:p>
      <w:r>
        <w:pict>
          <v:rect style="width:0;height:1.5pt" o:hralign="center" o:hrstd="t" o:hr="t"/>
        </w:pict>
      </w:r>
    </w:p>
    <w:bookmarkStart w:id="10"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questa è la conoscenza del dolore che dal collo scende nel braccio, non il piano di trattamento.</w:t>
      </w:r>
    </w:p>
    <w:p>
      <w:pPr>
        <w:pStyle w:val="FirstParagraph"/>
      </w:pPr>
      <w:r>
        <w:rPr>
          <w:b/>
          <w:bCs/>
        </w:rPr>
        <w:t xml:space="preserve">A chi parla.</w:t>
      </w:r>
      <w:r>
        <w:t xml:space="preserve"> </w:t>
      </w:r>
      <w:r>
        <w:t xml:space="preserve">All’osteopata del team. Qui non trovi il decorso del nervo mediano. Trovi perché il punto in cui il paziente sente male è quasi sempre a trenta centimetri da dove nasce il problema, e cosa ci fai con questa informazione.</w:t>
      </w:r>
    </w:p>
    <w:p>
      <w:pPr>
        <w:pStyle w:val="BodyText"/>
      </w:pPr>
      <w:r>
        <w:rPr>
          <w:b/>
          <w:bCs/>
        </w:rPr>
        <w:t xml:space="preserve">Cosa c’è qui e cosa no.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Questa Bibbia</w:t>
            </w:r>
          </w:p>
        </w:tc>
        <w:tc>
          <w:tcPr/>
          <w:p>
            <w:pPr>
              <w:pStyle w:val="Compact"/>
            </w:pPr>
            <w:r>
              <w:t xml:space="preserve">La Procedura (2 pagine, a parte)</w:t>
            </w:r>
          </w:p>
        </w:tc>
      </w:tr>
      <w:tr>
        <w:tc>
          <w:tcPr/>
          <w:p>
            <w:pPr>
              <w:pStyle w:val="Compact"/>
            </w:pPr>
            <w:r>
              <w:t xml:space="preserve">Cos’è, perché succede, quanto è solido</w:t>
            </w:r>
          </w:p>
        </w:tc>
        <w:tc>
          <w:tcPr/>
          <w:p>
            <w:pPr>
              <w:pStyle w:val="Compact"/>
            </w:pPr>
            <w:r>
              <w:t xml:space="preserve">Tecniche, dosi, sequenze, piano sedute</w:t>
            </w:r>
          </w:p>
        </w:tc>
      </w:tr>
    </w:tbl>
    <w:p>
      <w:pPr>
        <w:pStyle w:val="BodyText"/>
      </w:pPr>
      <w:r>
        <w:rPr>
          <w:b/>
          <w:bCs/>
        </w:rPr>
        <w:t xml:space="preserve">Come si leggono le etichette.</w:t>
      </w:r>
      <w:r>
        <w:t xml:space="preserve"> </w:t>
      </w:r>
      <w:r>
        <w:t xml:space="preserve">Ogni meccanismo, modello e leva porta un box che dichiara quanto è solido.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Etichetta</w:t>
            </w:r>
          </w:p>
        </w:tc>
        <w:tc>
          <w:tcPr/>
          <w:p>
            <w:pPr>
              <w:pStyle w:val="Compact"/>
            </w:pPr>
            <w:r>
              <w:t xml:space="preserve">Significa</w:t>
            </w:r>
          </w:p>
        </w:tc>
      </w:tr>
      <w:tr>
        <w:tc>
          <w:tcPr/>
          <w:p>
            <w:pPr>
              <w:pStyle w:val="Compact"/>
            </w:pPr>
            <w:r>
              <w:rPr>
                <w:b/>
                <w:bCs/>
              </w:rPr>
              <w:t xml:space="preserve">DIMOSTRATO</w:t>
            </w:r>
          </w:p>
        </w:tc>
        <w:tc>
          <w:tcPr/>
          <w:p>
            <w:pPr>
              <w:pStyle w:val="Compact"/>
            </w:pPr>
            <w:r>
              <w:t xml:space="preserve">Studi sull’uomo, solidi</w:t>
            </w:r>
          </w:p>
        </w:tc>
      </w:tr>
      <w:tr>
        <w:tc>
          <w:tcPr/>
          <w:p>
            <w:pPr>
              <w:pStyle w:val="Compact"/>
            </w:pPr>
            <w:r>
              <w:rPr>
                <w:b/>
                <w:bCs/>
              </w:rPr>
              <w:t xml:space="preserve">PROBABILE</w:t>
            </w:r>
          </w:p>
        </w:tc>
        <w:tc>
          <w:tcPr/>
          <w:p>
            <w:pPr>
              <w:pStyle w:val="Compact"/>
            </w:pPr>
            <w:r>
              <w:t xml:space="preserve">Razionale forte, prove parziali</w:t>
            </w:r>
          </w:p>
        </w:tc>
      </w:tr>
      <w:tr>
        <w:tc>
          <w:tcPr/>
          <w:p>
            <w:pPr>
              <w:pStyle w:val="Compact"/>
            </w:pPr>
            <w:r>
              <w:rPr>
                <w:b/>
                <w:bCs/>
              </w:rPr>
              <w:t xml:space="preserve">IPOTESI</w:t>
            </w:r>
          </w:p>
        </w:tc>
        <w:tc>
          <w:tcPr/>
          <w:p>
            <w:pPr>
              <w:pStyle w:val="Compact"/>
            </w:pPr>
            <w:r>
              <w:t xml:space="preserve">Meccanismo coerente, nessuno studio</w:t>
            </w:r>
          </w:p>
        </w:tc>
      </w:tr>
      <w:tr>
        <w:tc>
          <w:tcPr/>
          <w:p>
            <w:pPr>
              <w:pStyle w:val="Compact"/>
            </w:pPr>
            <w:r>
              <w:rPr>
                <w:b/>
                <w:bCs/>
              </w:rPr>
              <w:t xml:space="preserve">RAGIONAMENTO</w:t>
            </w:r>
          </w:p>
        </w:tc>
        <w:tc>
          <w:tcPr/>
          <w:p>
            <w:pPr>
              <w:pStyle w:val="Compact"/>
            </w:pPr>
            <w:r>
              <w:t xml:space="preserve">Cornice clinica, non una prova</w:t>
            </w:r>
          </w:p>
        </w:tc>
      </w:tr>
    </w:tbl>
    <w:p>
      <w:pPr>
        <w:pStyle w:val="BodyText"/>
      </w:pPr>
      <w:r>
        <w:t xml:space="preserve">DIMOSTRATO copre tre cose: studi controllati, revisioni sistematiche solide, e misura sperimentale diretta nell’uomo. Quando l’etichetta poggia sulla terza, il testo lo dice.</w:t>
      </w:r>
    </w:p>
    <w:p>
      <w:pPr>
        <w:pStyle w:val="BodyText"/>
      </w:pPr>
      <w:r>
        <w:rPr>
          <w:b/>
          <w:bCs/>
        </w:rPr>
        <w:t xml:space="preserve">L’etichetta di un modello vale per il modello.</w:t>
      </w:r>
      <w:r>
        <w:t xml:space="preserve"> </w:t>
      </w:r>
      <w:r>
        <w:t xml:space="preserve">Non si trasferisce ai meccanismi che quel modello governa: quelli portano la propria.</w:t>
      </w:r>
    </w:p>
    <w:p>
      <w:pPr>
        <w:pStyle w:val="BodyText"/>
      </w:pPr>
      <w:r>
        <w:t xml:space="preserve">La prosa</w:t>
      </w:r>
      <w:r>
        <w:t xml:space="preserve"> </w:t>
      </w:r>
      <w:r>
        <w:rPr>
          <w:b/>
          <w:bCs/>
        </w:rPr>
        <w:t xml:space="preserve">afferma</w:t>
      </w:r>
      <w:r>
        <w:t xml:space="preserve">. L’onestà sta nell’etichetta, non nelle virgole.</w:t>
      </w:r>
    </w:p>
    <w:p>
      <w:pPr>
        <w:pStyle w:val="BodyText"/>
      </w:pPr>
      <w:r>
        <w:rPr>
          <w:b/>
          <w:bCs/>
        </w:rPr>
        <w:t xml:space="preserve">Una nota sulle parole del metodo.</w:t>
      </w:r>
      <w:r>
        <w:t xml:space="preserve"> </w:t>
      </w:r>
      <w:r>
        <w:t xml:space="preserve">Sette parole ricorrono in tutte le Bibbie: marker, reperto disfunzionale, disfunzione somatica, compenso, catena, sistema dominante, lesione primaria. Il testo completo di ciascuna sta in Appendice A. Nel corpo del documento il box</w:t>
      </w:r>
      <w:r>
        <w:t xml:space="preserve"> </w:t>
      </w:r>
      <w:r>
        <w:rPr>
          <w:rStyle w:val="VerbatimChar"/>
        </w:rPr>
        <w:t xml:space="preserve">Definizione</w:t>
      </w:r>
      <w:r>
        <w:t xml:space="preserve"> </w:t>
      </w:r>
      <w:r>
        <w:t xml:space="preserve">compare dove la parola regge una regola di condotta, non a ogni capitolo.</w:t>
      </w:r>
    </w:p>
    <w:bookmarkStart w:id="9" w:name="come-si-studia-questa-bibbia"/>
    <w:p>
      <w:pPr>
        <w:pStyle w:val="Heading3"/>
      </w:pPr>
      <w:r>
        <w:t xml:space="preserve">Come si studia questa Bibbia</w:t>
      </w:r>
    </w:p>
    <w:p>
      <w:pPr>
        <w:pStyle w:val="FirstParagraph"/>
      </w:pPr>
      <w:r>
        <w:t xml:space="preserve">Sei passi, in quest’ordine. Nessun capitolo è facoltativo: il saltabile è già stato tolto.</w:t>
      </w:r>
    </w:p>
    <w:p>
      <w:pPr>
        <w:pStyle w:val="Compact"/>
        <w:numPr>
          <w:ilvl w:val="0"/>
          <w:numId w:val="1001"/>
        </w:numPr>
      </w:pPr>
      <w:r>
        <w:rPr>
          <w:b/>
          <w:bCs/>
        </w:rPr>
        <w:t xml:space="preserve">Prima lettura, tutta di fila, senza appunti.</w:t>
      </w:r>
      <w:r>
        <w:t xml:space="preserve"> </w:t>
      </w:r>
      <w:r>
        <w:t xml:space="preserve">Quello che non torna si segna e si lascia lì.</w:t>
      </w:r>
    </w:p>
    <w:p>
      <w:pPr>
        <w:pStyle w:val="Compact"/>
        <w:numPr>
          <w:ilvl w:val="0"/>
          <w:numId w:val="1001"/>
        </w:numPr>
      </w:pPr>
      <w:r>
        <w:rPr>
          <w:b/>
          <w:bCs/>
        </w:rPr>
        <w:t xml:space="preserve">Seconda passata con un paziente vero in testa.</w:t>
      </w:r>
      <w:r>
        <w:t xml:space="preserve"> </w:t>
      </w:r>
      <w:r>
        <w:t xml:space="preserve">Leggi solo «Cosa si rompe» e «Come ragiono davanti a questo paziente». Su ogni meccanismo chiediti</w:t>
      </w:r>
      <w:r>
        <w:t xml:space="preserve"> </w:t>
      </w:r>
      <w:r>
        <w:rPr>
          <w:i/>
          <w:iCs/>
        </w:rPr>
        <w:t xml:space="preserve">era lui?</w:t>
      </w:r>
    </w:p>
    <w:p>
      <w:pPr>
        <w:pStyle w:val="Compact"/>
        <w:numPr>
          <w:ilvl w:val="0"/>
          <w:numId w:val="1001"/>
        </w:numPr>
      </w:pPr>
      <w:r>
        <w:rPr>
          <w:b/>
          <w:bCs/>
        </w:rPr>
        <w:t xml:space="preserve">La prova che conta: chiudi il documento e parla.</w:t>
      </w:r>
      <w:r>
        <w:t xml:space="preserve"> </w:t>
      </w:r>
      <w:r>
        <w:t xml:space="preserve">Di’ ad alta voce i sei meccanismi, e da cosa si riconosce ciascuno.</w:t>
      </w:r>
      <w:r>
        <w:t xml:space="preserve"> </w:t>
      </w:r>
      <w:r>
        <w:rPr>
          <w:b/>
          <w:bCs/>
        </w:rPr>
        <w:t xml:space="preserve">Quello che non sai dire, non l’hai imparato.</w:t>
      </w:r>
      <w:r>
        <w:t xml:space="preserve"> </w:t>
      </w:r>
      <w:r>
        <w:t xml:space="preserve">Poi viene il secondo livello, quello dei casi difficili: sono tre prove. So separare</w:t>
      </w:r>
      <w:r>
        <w:t xml:space="preserve"> </w:t>
      </w:r>
      <w:r>
        <w:rPr>
          <w:b/>
          <w:bCs/>
        </w:rPr>
        <w:t xml:space="preserve">il chimico irritativo dal sensibilizzato</w:t>
      </w:r>
      <w:r>
        <w:t xml:space="preserve">, e dire con quale osservazione. So riconoscere in anamnesi</w:t>
      </w:r>
      <w:r>
        <w:t xml:space="preserve"> </w:t>
      </w:r>
      <w:r>
        <w:rPr>
          <w:b/>
          <w:bCs/>
        </w:rPr>
        <w:t xml:space="preserve">il paziente su cui non metto le mani</w:t>
      </w:r>
      <w:r>
        <w:t xml:space="preserve">: mani goffe, andatura insicura, sintomi bilaterali, più la domanda sullo sforzo. So dire a un medico che lo Spurling positivo orienta e non chiude, e che il mio reperto mi dà qualcosa da trattare ma non dice cosa ha il paziente.</w:t>
      </w:r>
      <w:r>
        <w:t xml:space="preserve"> </w:t>
      </w:r>
      <w:r>
        <w:rPr>
          <w:b/>
          <w:bCs/>
        </w:rPr>
        <w:t xml:space="preserve">Finché una delle tre non regge, sei fermo al primo livello.</w:t>
      </w:r>
    </w:p>
    <w:p>
      <w:pPr>
        <w:pStyle w:val="Compact"/>
        <w:numPr>
          <w:ilvl w:val="0"/>
          <w:numId w:val="1001"/>
        </w:numPr>
      </w:pPr>
      <w:r>
        <w:rPr>
          <w:b/>
          <w:bCs/>
        </w:rPr>
        <w:t xml:space="preserve">Prima del primo paziente: la Mappa concettuale, due minuti.</w:t>
      </w:r>
      <w:r>
        <w:t xml:space="preserve"> </w:t>
      </w:r>
      <w:r>
        <w:t xml:space="preserve">Non la Bibbia.</w:t>
      </w:r>
    </w:p>
    <w:p>
      <w:pPr>
        <w:pStyle w:val="Compact"/>
        <w:numPr>
          <w:ilvl w:val="0"/>
          <w:numId w:val="1001"/>
        </w:numPr>
      </w:pPr>
      <w:r>
        <w:rPr>
          <w:b/>
          <w:bCs/>
        </w:rPr>
        <w:t xml:space="preserve">Dopo i primi tre pazienti: rileggi «Dove finisce il nostro campo» e «Cosa dice la scienza».</w:t>
      </w:r>
      <w:r>
        <w:t xml:space="preserve"> </w:t>
      </w:r>
      <w:r>
        <w:t xml:space="preserve">Dicono altro quando hai avuto qualcuno davanti.</w:t>
      </w:r>
    </w:p>
    <w:p>
      <w:pPr>
        <w:pStyle w:val="Compact"/>
        <w:numPr>
          <w:ilvl w:val="0"/>
          <w:numId w:val="1001"/>
        </w:numPr>
      </w:pPr>
      <w:r>
        <w:rPr>
          <w:b/>
          <w:bCs/>
        </w:rPr>
        <w:t xml:space="preserve">A sei mesi: solo la Mappa.</w:t>
      </w:r>
      <w:r>
        <w:t xml:space="preserve"> </w:t>
      </w:r>
      <w:r>
        <w:t xml:space="preserve">Il blocco che non ti riaccende il capitolo è il capitolo da rileggere.</w:t>
      </w:r>
    </w:p>
    <w:p>
      <w:pPr>
        <w:pStyle w:val="FirstParagraph"/>
      </w:pPr>
      <w:r>
        <w:rPr>
          <w:b/>
          <w:bCs/>
        </w:rPr>
        <w:t xml:space="preserve">Questa Bibbia si studia contro i pazienti, non contro l’orologio.</w:t>
      </w:r>
    </w:p>
    <w:p>
      <w:pPr>
        <w:pStyle w:val="BodyText"/>
      </w:pPr>
      <w:r>
        <w:rPr>
          <w:b/>
          <w:bCs/>
        </w:rPr>
        <w:t xml:space="preserve">Le tre cose da ricordare, più una</w:t>
      </w:r>
    </w:p>
    <w:p>
      <w:pPr>
        <w:pStyle w:val="Compact"/>
        <w:numPr>
          <w:ilvl w:val="0"/>
          <w:numId w:val="1002"/>
        </w:numPr>
      </w:pPr>
      <w:r>
        <w:t xml:space="preserve">Questa Bibbia arriva fino al razionale della leva e si ferma lì.</w:t>
      </w:r>
    </w:p>
    <w:p>
      <w:pPr>
        <w:pStyle w:val="Compact"/>
        <w:numPr>
          <w:ilvl w:val="0"/>
          <w:numId w:val="1002"/>
        </w:numPr>
      </w:pPr>
      <w:r>
        <w:t xml:space="preserve">Ogni affermazione importante ha la sua etichetta: se manca, l’affermazione è gonfiata.</w:t>
      </w:r>
    </w:p>
    <w:p>
      <w:pPr>
        <w:pStyle w:val="Compact"/>
        <w:numPr>
          <w:ilvl w:val="0"/>
          <w:numId w:val="1002"/>
        </w:numPr>
      </w:pPr>
      <w:r>
        <w:t xml:space="preserve">Su questa condizione gli studi non mancano. Manca la certezza: sono tanti, piccoli, e con rischio di errore alto.</w:t>
      </w:r>
    </w:p>
    <w:p>
      <w:pPr>
        <w:pStyle w:val="Compact"/>
        <w:numPr>
          <w:ilvl w:val="0"/>
          <w:numId w:val="1002"/>
        </w:numPr>
      </w:pPr>
      <w:r>
        <w:rPr>
          <w:b/>
          <w:bCs/>
        </w:rPr>
        <w:t xml:space="preserve">Perché ci sei tu.</w:t>
      </w:r>
      <w:r>
        <w:t xml:space="preserve"> </w:t>
      </w:r>
      <w:r>
        <w:t xml:space="preserve">La sintesi più ampia disponibile ha messo insieme cinquanta studi controllati sul dolore radicolare cervicale. Li ha giudicati di certezza da moderata a molto bassa (García-Juez,</w:t>
      </w:r>
      <w:r>
        <w:t xml:space="preserve"> </w:t>
      </w:r>
      <w:r>
        <w:rPr>
          <w:i/>
          <w:iCs/>
        </w:rPr>
        <w:t xml:space="preserve">JOSPT</w:t>
      </w:r>
      <w:r>
        <w:t xml:space="preserve"> </w:t>
      </w:r>
      <w:r>
        <w:t xml:space="preserve">2025, PMID 40576779). Questo ti autorizza a lavorare per verifica sul singolo paziente, con un marker scelto prima e una scadenza scritta. Non ti autorizza a dire che il tuo trattamento è provato.</w:t>
      </w:r>
    </w:p>
    <w:p>
      <w:pPr>
        <w:pStyle w:val="FirstParagraph"/>
      </w:pPr>
      <w:r>
        <w:t xml:space="preserve">Buon nutrimento!</w:t>
      </w:r>
    </w:p>
    <w:p>
      <w:r>
        <w:pict>
          <v:rect style="width:0;height:1.5pt" o:hralign="center" o:hrstd="t" o:hr="t"/>
        </w:pict>
      </w:r>
    </w:p>
    <w:bookmarkEnd w:id="9"/>
    <w:bookmarkEnd w:id="10"/>
    <w:bookmarkStart w:id="15" w:name="capitolo-1-chi-ti-trova-davanti"/>
    <w:p>
      <w:pPr>
        <w:pStyle w:val="Heading2"/>
      </w:pPr>
      <w:r>
        <w:t xml:space="preserve">Capitolo 1 — Chi ti trova davanti</w:t>
      </w:r>
    </w:p>
    <w:p>
      <w:pPr>
        <w:pStyle w:val="BlockText"/>
      </w:pPr>
      <w:r>
        <w:rPr>
          <w:b/>
          <w:bCs/>
        </w:rPr>
        <w:t xml:space="preserve">In una riga:</w:t>
      </w:r>
      <w:r>
        <w:t xml:space="preserve"> </w:t>
      </w:r>
      <w:r>
        <w:t xml:space="preserve">hai davanti una persona che si è fatta curare il braccio per mesi, e il braccio non c’entrava.</w:t>
      </w:r>
    </w:p>
    <w:bookmarkStart w:id="11" w:name="come-lo-racconta-lui"/>
    <w:p>
      <w:pPr>
        <w:pStyle w:val="Heading3"/>
      </w:pPr>
      <w:r>
        <w:t xml:space="preserve">Come lo racconta lui</w:t>
      </w:r>
    </w:p>
    <w:p>
      <w:pPr>
        <w:pStyle w:val="FirstParagraph"/>
      </w:pPr>
      <w:r>
        <w:t xml:space="preserve">Non dice</w:t>
      </w:r>
      <w:r>
        <w:t xml:space="preserve"> </w:t>
      </w:r>
      <w:r>
        <w:t xml:space="preserve">“cervicobrachialgia”</w:t>
      </w:r>
      <w:r>
        <w:t xml:space="preserve">. Dice</w:t>
      </w:r>
      <w:r>
        <w:t xml:space="preserve"> </w:t>
      </w:r>
      <w:r>
        <w:rPr>
          <w:i/>
          <w:iCs/>
        </w:rPr>
        <w:t xml:space="preserve">“mi parte da qui e scende”</w:t>
      </w:r>
      <w:r>
        <w:t xml:space="preserve">, e intanto si passa la mano dal collo al gomito e giù fino a due dita. Il gesto vale più della parola: quella mano disegna una</w:t>
      </w:r>
      <w:r>
        <w:t xml:space="preserve"> </w:t>
      </w:r>
      <w:r>
        <w:rPr>
          <w:b/>
          <w:bCs/>
        </w:rPr>
        <w:t xml:space="preserve">linea</w:t>
      </w:r>
      <w:r>
        <w:t xml:space="preserve">, sempre la stessa. È la prima informazione che devi prendere.</w:t>
      </w:r>
    </w:p>
    <w:p>
      <w:pPr>
        <w:pStyle w:val="BodyText"/>
      </w:pPr>
      <w:r>
        <w:t xml:space="preserve">Poi dice il formicolio, e lo dice con precisione:</w:t>
      </w:r>
      <w:r>
        <w:t xml:space="preserve"> </w:t>
      </w:r>
      <w:r>
        <w:rPr>
          <w:i/>
          <w:iCs/>
        </w:rPr>
        <w:t xml:space="preserve">“queste due dita, sempre queste”</w:t>
      </w:r>
      <w:r>
        <w:t xml:space="preserve">. Non tutta la mano. Vale più di mezza anamnesi.</w:t>
      </w:r>
    </w:p>
    <w:p>
      <w:pPr>
        <w:pStyle w:val="BodyText"/>
      </w:pPr>
      <w:r>
        <w:t xml:space="preserve">Poi dice la scossa.</w:t>
      </w:r>
      <w:r>
        <w:t xml:space="preserve"> </w:t>
      </w:r>
      <w:r>
        <w:rPr>
          <w:i/>
          <w:iCs/>
        </w:rPr>
        <w:t xml:space="preserve">“Mi giro per fare retromarcia e parte una scarica lungo il braccio.”</w:t>
      </w:r>
      <w:r>
        <w:t xml:space="preserve"> </w:t>
      </w:r>
      <w:r>
        <w:t xml:space="preserve">Da quel momento si gira col busto, non col collo. E peggiora</w:t>
      </w:r>
      <w:r>
        <w:t xml:space="preserve"> </w:t>
      </w:r>
      <w:r>
        <w:rPr>
          <w:b/>
          <w:bCs/>
        </w:rPr>
        <w:t xml:space="preserve">guardando in alto</w:t>
      </w:r>
      <w:r>
        <w:t xml:space="preserve">: cambiare una lampadina è diventato un problema.</w:t>
      </w:r>
    </w:p>
    <w:p>
      <w:pPr>
        <w:pStyle w:val="BodyText"/>
      </w:pPr>
      <w:r>
        <w:t xml:space="preserve">Infine dice la notte, e lo dice con vergogna:</w:t>
      </w:r>
      <w:r>
        <w:t xml:space="preserve"> </w:t>
      </w:r>
      <w:r>
        <w:rPr>
          <w:i/>
          <w:iCs/>
        </w:rPr>
        <w:t xml:space="preserve">“dormo col braccio sopra la testa, o con la mano sotto il cuscino.”</w:t>
      </w:r>
      <w:r>
        <w:t xml:space="preserve"> </w:t>
      </w:r>
      <w:r>
        <w:t xml:space="preserve">Non l’ha scelto. È l’unica posizione che regge, e la trova da solo, ogni notte, per tentativi.</w:t>
      </w:r>
    </w:p>
    <w:p>
      <w:pPr>
        <w:pStyle w:val="BodyText"/>
      </w:pPr>
      <w:r>
        <w:t xml:space="preserve">L’ultima cosa che dice — quasi sempre per ultima — è la debolezza.</w:t>
      </w:r>
      <w:r>
        <w:t xml:space="preserve"> </w:t>
      </w:r>
      <w:r>
        <w:rPr>
          <w:i/>
          <w:iCs/>
        </w:rPr>
        <w:t xml:space="preserve">“Le cose mi scivolano.”</w:t>
      </w:r>
      <w:r>
        <w:t xml:space="preserve"> </w:t>
      </w:r>
      <w:r>
        <w:t xml:space="preserve">Il dolore lo capisce. La forza che se ne va, no.</w:t>
      </w:r>
    </w:p>
    <w:bookmarkEnd w:id="11"/>
    <w:bookmarkStart w:id="12" w:name="cosa-ha-già-fatto"/>
    <w:p>
      <w:pPr>
        <w:pStyle w:val="Heading3"/>
      </w:pPr>
      <w:r>
        <w:t xml:space="preserve">Cosa ha già fatto</w:t>
      </w:r>
    </w:p>
    <w:p>
      <w:pPr>
        <w:pStyle w:val="FirstParagraph"/>
      </w:pPr>
      <w:r>
        <w:t xml:space="preserve">Ha preso antinfiammatori a dose piena. Poi il cortisone, che</w:t>
      </w:r>
      <w:r>
        <w:t xml:space="preserve"> </w:t>
      </w:r>
      <w:r>
        <w:rPr>
          <w:i/>
          <w:iCs/>
        </w:rPr>
        <w:t xml:space="preserve">“ha funzionato davvero, e quando è finito è tornato tutto”</w:t>
      </w:r>
      <w:r>
        <w:t xml:space="preserve">. Spesso un gabapentinoide per il bruciore e un miorilassante per la contrattura. Ha portato un collare, che lo aiutava mentre lo teneva.</w:t>
      </w:r>
    </w:p>
    <w:p>
      <w:pPr>
        <w:pStyle w:val="BodyText"/>
      </w:pPr>
      <w:r>
        <w:t xml:space="preserve">Ha fatto la risonanza cervicale, e gli hanno mostrato un’ernia o un’artrosi: da quel giorno si muove come se fosse di cristallo. Spesso qualcuno gli ha detto</w:t>
      </w:r>
      <w:r>
        <w:t xml:space="preserve"> </w:t>
      </w:r>
      <w:r>
        <w:rPr>
          <w:b/>
          <w:bCs/>
        </w:rPr>
        <w:t xml:space="preserve">tunnel carpale</w:t>
      </w:r>
      <w:r>
        <w:t xml:space="preserve">, e lui ha curato il polso mentre il formicolio scendeva dal collo. Molti hanno già sentito nominare l’intervento, e la parola è rimasta lì.</w:t>
      </w:r>
    </w:p>
    <w:bookmarkEnd w:id="12"/>
    <w:bookmarkStart w:id="13" w:name="cosa-nessuno-ha-guardato"/>
    <w:p>
      <w:pPr>
        <w:pStyle w:val="Heading3"/>
      </w:pPr>
      <w:r>
        <w:t xml:space="preserve">Cosa nessuno ha guardato</w:t>
      </w:r>
    </w:p>
    <w:p>
      <w:pPr>
        <w:pStyle w:val="FirstParagraph"/>
      </w:pPr>
      <w:r>
        <w:t xml:space="preserve">Il percorso che ha fatto è corretto. La risonanza serve a vedere le cose che contano, e l’elettromiografia dice quanto il nervo soffre. Ma tutte e due guardano</w:t>
      </w:r>
      <w:r>
        <w:t xml:space="preserve"> </w:t>
      </w:r>
      <w:r>
        <w:rPr>
          <w:b/>
          <w:bCs/>
        </w:rPr>
        <w:t xml:space="preserve">il contenitore fermo</w:t>
      </w:r>
      <w:r>
        <w:t xml:space="preserve">: quanto spazio c’è in un corpo immobile, dentro una macchina o sotto un elettrodo. È come provare una scarpa da seduto: sta larga, e poi fa male dopo cento metri.</w:t>
      </w:r>
    </w:p>
    <w:p>
      <w:pPr>
        <w:pStyle w:val="BodyText"/>
      </w:pPr>
      <w:r>
        <w:t xml:space="preserve">Nessuno ha guardato</w:t>
      </w:r>
      <w:r>
        <w:t xml:space="preserve"> </w:t>
      </w:r>
      <w:r>
        <w:rPr>
          <w:b/>
          <w:bCs/>
        </w:rPr>
        <w:t xml:space="preserve">il nervo che si muove</w:t>
      </w:r>
      <w:r>
        <w:t xml:space="preserve">. Quattro cose, che nessuno ha misurato: a che punto compare il sintomo nella mano quando gli estendi il gomito col braccio in fuori; se quel sintomo cambia muovendo soltanto il polso; quanto si muove la cerniera fra collo e torace; quanto stringe il dinamometro oggi.</w:t>
      </w:r>
    </w:p>
    <w:p>
      <w:pPr>
        <w:pStyle w:val="BodyText"/>
      </w:pPr>
      <w:r>
        <w:t xml:space="preserve">Nel percorso che questo paziente ha fatto, nessuno gli ha dato un</w:t>
      </w:r>
      <w:r>
        <w:t xml:space="preserve"> </w:t>
      </w:r>
      <w:r>
        <w:rPr>
          <w:b/>
          <w:bCs/>
        </w:rPr>
        <w:t xml:space="preserve">numero di funzione</w:t>
      </w:r>
      <w:r>
        <w:t xml:space="preserve"> </w:t>
      </w:r>
      <w:r>
        <w:t xml:space="preserve">misurato in stanza e da riguardare fra due settimane. Non per negligenza: i numeri lì ci sono — l’elettromiografia, la forza segmentaria — e li ha chiesti il medico. Manca la misura ripetibile in un minuto, che è del tuo campo.</w:t>
      </w:r>
    </w:p>
    <w:p>
      <w:pPr>
        <w:pStyle w:val="BodyText"/>
      </w:pPr>
      <w:r>
        <w:rPr>
          <w:b/>
          <w:bCs/>
        </w:rPr>
        <w:t xml:space="preserve">Ma non è sempre lui.</w:t>
      </w:r>
      <w:r>
        <w:t xml:space="preserve"> </w:t>
      </w:r>
      <w:r>
        <w:t xml:space="preserve">Quello che hai letto è l’adulto con dolore radicolare senza deficit importante. Quattro altri cambiano le regole.</w:t>
      </w:r>
    </w:p>
    <w:p>
      <w:pPr>
        <w:pStyle w:val="BodyText"/>
      </w:pPr>
      <w:r>
        <w:rPr>
          <w:b/>
          <w:bCs/>
        </w:rPr>
        <w:t xml:space="preserve">Chi perde forza di settimana in settimana</w:t>
      </w:r>
      <w:r>
        <w:t xml:space="preserve"> </w:t>
      </w:r>
      <w:r>
        <w:t xml:space="preserve">va inquadrato prima, non trattato meglio.</w:t>
      </w:r>
      <w:r>
        <w:t xml:space="preserve"> </w:t>
      </w:r>
      <w:r>
        <w:rPr>
          <w:b/>
          <w:bCs/>
        </w:rPr>
        <w:t xml:space="preserve">Chi ha formicolio a tutte e due le mani, le dita goffe e cammina insicuro</w:t>
      </w:r>
      <w:r>
        <w:t xml:space="preserve"> </w:t>
      </w:r>
      <w:r>
        <w:t xml:space="preserve">entra direttamente in «Dove finisce il nostro campo».</w:t>
      </w:r>
      <w:r>
        <w:t xml:space="preserve"> </w:t>
      </w:r>
      <w:r>
        <w:rPr>
          <w:b/>
          <w:bCs/>
        </w:rPr>
        <w:t xml:space="preserve">Chi ha un dolore largo, sordo, che si ferma sopra il gomito e non porta formicolio in dita precise</w:t>
      </w:r>
      <w:r>
        <w:t xml:space="preserve"> </w:t>
      </w:r>
      <w:r>
        <w:t xml:space="preserve">non ha un nervo irritato: ha un altro quadro, e risponde ad altro.</w:t>
      </w:r>
    </w:p>
    <w:p>
      <w:pPr>
        <w:pStyle w:val="BodyText"/>
      </w:pPr>
      <w:r>
        <w:rPr>
          <w:b/>
          <w:bCs/>
        </w:rPr>
        <w:t xml:space="preserve">E chi ha più di settant’anni.</w:t>
      </w:r>
      <w:r>
        <w:t xml:space="preserve"> </w:t>
      </w:r>
      <w:r>
        <w:t xml:space="preserve">Qui il rapporto si rovescia: la radicolopatia diventa meno frequente, la compressione midollare molto più frequente. La prevalenza stimata di mielopatia cervicale degenerativa è in media del 2,22%, con un picco del 4,16% sopra i 79 anni, contro lo 0,19% di casi registrati. La sottodiagnosi è massima proprio qui (Grodzinski,</w:t>
      </w:r>
      <w:r>
        <w:t xml:space="preserve"> </w:t>
      </w:r>
      <w:r>
        <w:rPr>
          <w:i/>
          <w:iCs/>
        </w:rPr>
        <w:t xml:space="preserve">J Neurol</w:t>
      </w:r>
      <w:r>
        <w:t xml:space="preserve"> </w:t>
      </w:r>
      <w:r>
        <w:t xml:space="preserve">2023, PMID 36056204). E l’andatura insicura non salta all’occhio, perché nell’anziano ha già altre spiegazioni: vista, neuropatia, farmaci, sarcopenia.</w:t>
      </w:r>
      <w:r>
        <w:t xml:space="preserve"> </w:t>
      </w:r>
      <w:r>
        <w:rPr>
          <w:b/>
          <w:bCs/>
        </w:rPr>
        <w:t xml:space="preserve">Sopra i settant’anni la terna si cerca a ogni controllo, non si aspetta che venga riferita.</w:t>
      </w:r>
    </w:p>
    <w:bookmarkEnd w:id="13"/>
    <w:bookmarkStart w:id="14" w:name="le-tre-domande-che-ti-farà"/>
    <w:p>
      <w:pPr>
        <w:pStyle w:val="Heading3"/>
      </w:pPr>
      <w:r>
        <w:t xml:space="preserve">Le tre domande che ti farà</w:t>
      </w:r>
    </w:p>
    <w:p>
      <w:pPr>
        <w:pStyle w:val="FirstParagraph"/>
      </w:pPr>
      <w:r>
        <w:rPr>
          <w:b/>
          <w:bCs/>
        </w:rPr>
        <w:t xml:space="preserve">“Ho un’ernia cervicale: c’è poco da fare?”</w:t>
      </w:r>
      <w:r>
        <w:t xml:space="preserve"> </w:t>
      </w:r>
      <w:r>
        <w:t xml:space="preserve">— rispondono «Che cos’è davvero» e «Cosa dire al paziente».</w:t>
      </w:r>
      <w:r>
        <w:t xml:space="preserve"> </w:t>
      </w:r>
      <w:r>
        <w:rPr>
          <w:b/>
          <w:bCs/>
        </w:rPr>
        <w:t xml:space="preserve">“Ho paura che toccandomi il collo peggiori.”</w:t>
      </w:r>
      <w:r>
        <w:t xml:space="preserve"> </w:t>
      </w:r>
      <w:r>
        <w:t xml:space="preserve">— rispondono «Perché le mani possono cambiare qualcosa» e «Cosa dire al paziente».</w:t>
      </w:r>
      <w:r>
        <w:t xml:space="preserve"> </w:t>
      </w:r>
      <w:r>
        <w:rPr>
          <w:b/>
          <w:bCs/>
        </w:rPr>
        <w:t xml:space="preserve">“Mi hanno detto che è il tunnel carpale.”</w:t>
      </w:r>
      <w:r>
        <w:t xml:space="preserve"> </w:t>
      </w:r>
      <w:r>
        <w:t xml:space="preserve">— rispondono «Non è una condizione sola» e «Le strutture in gioco».</w:t>
      </w:r>
    </w:p>
    <w:p>
      <w:pPr>
        <w:pStyle w:val="BodyText"/>
      </w:pPr>
      <w:r>
        <w:rPr>
          <w:b/>
          <w:bCs/>
        </w:rPr>
        <w:t xml:space="preserve">Le tre cose da ricordare, più una</w:t>
      </w:r>
    </w:p>
    <w:p>
      <w:pPr>
        <w:pStyle w:val="Compact"/>
        <w:numPr>
          <w:ilvl w:val="0"/>
          <w:numId w:val="1003"/>
        </w:numPr>
      </w:pPr>
      <w:r>
        <w:t xml:space="preserve">La prima cosa da guardare non è il referto: è la mano del paziente che disegna la linea sul braccio.</w:t>
      </w:r>
    </w:p>
    <w:p>
      <w:pPr>
        <w:pStyle w:val="Compact"/>
        <w:numPr>
          <w:ilvl w:val="0"/>
          <w:numId w:val="1003"/>
        </w:numPr>
      </w:pPr>
      <w:r>
        <w:t xml:space="preserve">Le dita coinvolte sono un dato clinico, non un dettaglio del racconto: falle nominare una per una.</w:t>
      </w:r>
    </w:p>
    <w:p>
      <w:pPr>
        <w:pStyle w:val="Compact"/>
        <w:numPr>
          <w:ilvl w:val="0"/>
          <w:numId w:val="1003"/>
        </w:numPr>
      </w:pPr>
      <w:r>
        <w:t xml:space="preserve">Il braccio sopra la testa la notte non è una stranezza: è un segno, e ha un nome.</w:t>
      </w:r>
    </w:p>
    <w:p>
      <w:pPr>
        <w:pStyle w:val="Compact"/>
        <w:numPr>
          <w:ilvl w:val="0"/>
          <w:numId w:val="1003"/>
        </w:numPr>
      </w:pPr>
      <w:r>
        <w:rPr>
          <w:b/>
          <w:bCs/>
        </w:rPr>
        <w:t xml:space="preserve">Perché ci sei tu.</w:t>
      </w:r>
      <w:r>
        <w:t xml:space="preserve"> </w:t>
      </w:r>
      <w:r>
        <w:t xml:space="preserve">Senza trattamento, nelle prime sei settimane il dolore al braccio cala da solo di circa tre millimetri a settimana su una scala di cento. Chi ha ricevuto fisioterapia con esercizi a casa ne ha guadagnati altri dodici in sei settimane, su 205 pazienti con sintomi da meno di un mese (Kuijper,</w:t>
      </w:r>
      <w:r>
        <w:t xml:space="preserve"> </w:t>
      </w:r>
      <w:r>
        <w:rPr>
          <w:i/>
          <w:iCs/>
        </w:rPr>
        <w:t xml:space="preserve">BMJ</w:t>
      </w:r>
      <w:r>
        <w:t xml:space="preserve"> </w:t>
      </w:r>
      <w:r>
        <w:t xml:space="preserve">2009, PMID 19812130).</w:t>
      </w:r>
      <w:r>
        <w:t xml:space="preserve"> </w:t>
      </w:r>
      <w:r>
        <w:rPr>
          <w:b/>
          <w:bCs/>
        </w:rPr>
        <w:t xml:space="preserve">Per te:</w:t>
      </w:r>
      <w:r>
        <w:t xml:space="preserve"> </w:t>
      </w:r>
      <w:r>
        <w:t xml:space="preserve">nella fase precoce il paziente migliorerà comunque, e una parte di quel miglioramento non è tua. Questo ti autorizza a prendere in carico chi è nelle prime settimane con un obiettivo di guadagno aggiuntivo e misurato. Non ti autorizza ad attribuirti la storia naturale.</w:t>
      </w:r>
    </w:p>
    <w:p>
      <w:r>
        <w:pict>
          <v:rect style="width:0;height:1.5pt" o:hralign="center" o:hrstd="t" o:hr="t"/>
        </w:pict>
      </w:r>
    </w:p>
    <w:bookmarkEnd w:id="14"/>
    <w:bookmarkEnd w:id="15"/>
    <w:bookmarkStart w:id="21" w:name="capitolo-2-che-cosè-davvero"/>
    <w:p>
      <w:pPr>
        <w:pStyle w:val="Heading2"/>
      </w:pPr>
      <w:r>
        <w:t xml:space="preserve">Capitolo 2 — Che cos’è davvero</w:t>
      </w:r>
    </w:p>
    <w:p>
      <w:pPr>
        <w:pStyle w:val="BlockText"/>
      </w:pPr>
      <w:r>
        <w:rPr>
          <w:b/>
          <w:bCs/>
        </w:rPr>
        <w:t xml:space="preserve">In una riga:</w:t>
      </w:r>
      <w:r>
        <w:t xml:space="preserve"> </w:t>
      </w:r>
      <w:r>
        <w:t xml:space="preserve">non è una malattia, è un sintomo di sofferenza di una radice nervosa cervicale — e nella grande maggioranza dei casi si risolve, molto più lentamente di quanto il paziente sopporti.</w:t>
      </w:r>
    </w:p>
    <w:bookmarkStart w:id="16" w:name="la-definizione"/>
    <w:p>
      <w:pPr>
        <w:pStyle w:val="Heading3"/>
      </w:pPr>
      <w:r>
        <w:t xml:space="preserve">La definizione</w:t>
      </w:r>
    </w:p>
    <w:p>
      <w:pPr>
        <w:pStyle w:val="FirstParagraph"/>
      </w:pPr>
      <w:r>
        <w:t xml:space="preserve">La</w:t>
      </w:r>
      <w:r>
        <w:t xml:space="preserve"> </w:t>
      </w:r>
      <w:r>
        <w:rPr>
          <w:b/>
          <w:bCs/>
        </w:rPr>
        <w:t xml:space="preserve">cervicobrachialgia</w:t>
      </w:r>
      <w:r>
        <w:t xml:space="preserve"> </w:t>
      </w:r>
      <w:r>
        <w:t xml:space="preserve">è dolore che dal collo si irradia lungo l’arto superiore. È una descrizione topografica, non una diagnosi. È come dire «rumore in cucina»: dice dove guardare, non cosa si è rotto.</w:t>
      </w:r>
    </w:p>
    <w:p>
      <w:pPr>
        <w:pStyle w:val="BodyText"/>
      </w:pPr>
      <w:r>
        <w:t xml:space="preserve">Sotto la stessa distribuzione ci stanno tre cose diverse, e distinguerle è la prima parte del tuo lavoro.</w:t>
      </w:r>
    </w:p>
    <w:p>
      <w:pPr>
        <w:pStyle w:val="Compact"/>
        <w:numPr>
          <w:ilvl w:val="0"/>
          <w:numId w:val="1004"/>
        </w:numPr>
      </w:pPr>
      <w:r>
        <w:t xml:space="preserve">Il</w:t>
      </w:r>
      <w:r>
        <w:t xml:space="preserve"> </w:t>
      </w:r>
      <w:r>
        <w:rPr>
          <w:b/>
          <w:bCs/>
        </w:rPr>
        <w:t xml:space="preserve">dolore neuropatico radicolare</w:t>
      </w:r>
      <w:r>
        <w:t xml:space="preserve"> </w:t>
      </w:r>
      <w:r>
        <w:t xml:space="preserve">nasce da una radice cervicale sofferente. Segue una linea stretta, scende sotto il gomito, porta formicolio o intorpidimento in dita precise.</w:t>
      </w:r>
    </w:p>
    <w:p>
      <w:pPr>
        <w:pStyle w:val="Compact"/>
        <w:numPr>
          <w:ilvl w:val="0"/>
          <w:numId w:val="1004"/>
        </w:numPr>
      </w:pPr>
      <w:r>
        <w:t xml:space="preserve">Il</w:t>
      </w:r>
      <w:r>
        <w:t xml:space="preserve"> </w:t>
      </w:r>
      <w:r>
        <w:rPr>
          <w:b/>
          <w:bCs/>
        </w:rPr>
        <w:t xml:space="preserve">dolore riferito somatico</w:t>
      </w:r>
      <w:r>
        <w:t xml:space="preserve"> </w:t>
      </w:r>
      <w:r>
        <w:t xml:space="preserve">nasce da disco, faccetta o muscolo. È sordo, largo, di regola si ferma sopra il gomito, e non porta formicolio in un territorio definito.</w:t>
      </w:r>
    </w:p>
    <w:p>
      <w:pPr>
        <w:pStyle w:val="Compact"/>
        <w:numPr>
          <w:ilvl w:val="0"/>
          <w:numId w:val="1004"/>
        </w:numPr>
      </w:pPr>
      <w:r>
        <w:t xml:space="preserve">Il</w:t>
      </w:r>
      <w:r>
        <w:t xml:space="preserve"> </w:t>
      </w:r>
      <w:r>
        <w:rPr>
          <w:b/>
          <w:bCs/>
        </w:rPr>
        <w:t xml:space="preserve">dolore nociplastico</w:t>
      </w:r>
      <w:r>
        <w:t xml:space="preserve"> </w:t>
      </w:r>
      <w:r>
        <w:t xml:space="preserve">è sproporzionato a quello che trovi, ed è spesso diffuso. Cambia con lo stato del paziente più che con la posizione del collo (Hage,</w:t>
      </w:r>
      <w:r>
        <w:t xml:space="preserve"> </w:t>
      </w:r>
      <w:r>
        <w:rPr>
          <w:i/>
          <w:iCs/>
        </w:rPr>
        <w:t xml:space="preserve">J Man Manip Ther</w:t>
      </w:r>
      <w:r>
        <w:t xml:space="preserve"> </w:t>
      </w:r>
      <w:r>
        <w:t xml:space="preserve">2024, PMID 38087995).</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 la classificazione è un quadro di ragionamento condiviso. I criteri esistono e sono clinici, non un test di laboratorio: per il dolore nociplastico chiedono un</w:t>
      </w:r>
      <w:r>
        <w:t xml:space="preserve"> </w:t>
      </w:r>
      <w:r>
        <w:rPr>
          <w:b/>
          <w:bCs/>
        </w:rPr>
        <w:t xml:space="preserve">segno positivo di ipersensibilità evocata</w:t>
      </w:r>
      <w:r>
        <w:t xml:space="preserve"> </w:t>
      </w:r>
      <w:r>
        <w:t xml:space="preserve">nella regione del dolore (Kosek,</w:t>
      </w:r>
      <w:r>
        <w:t xml:space="preserve"> </w:t>
      </w:r>
      <w:r>
        <w:rPr>
          <w:i/>
          <w:iCs/>
        </w:rPr>
        <w:t xml:space="preserve">Pain</w:t>
      </w:r>
      <w:r>
        <w:t xml:space="preserve"> </w:t>
      </w:r>
      <w:r>
        <w:t xml:space="preserve">2021, PMID 33974577). Quanto siano accurati su questo quadro non è stabilito.</w:t>
      </w:r>
    </w:p>
    <w:p>
      <w:pPr>
        <w:pStyle w:val="FirstParagraph"/>
      </w:pPr>
      <w:r>
        <w:t xml:space="preserve">Quando alla radicolopatia si aggiunge un deficit obiettivo — forza, riflessi, sensibilità — si parla di</w:t>
      </w:r>
      <w:r>
        <w:t xml:space="preserve"> </w:t>
      </w:r>
      <w:r>
        <w:rPr>
          <w:b/>
          <w:bCs/>
        </w:rPr>
        <w:t xml:space="preserve">radicolopatia cervicale</w:t>
      </w:r>
      <w:r>
        <w:t xml:space="preserve">. Quella è una diagnosi medica, e non la poni tu.</w:t>
      </w:r>
    </w:p>
    <w:bookmarkEnd w:id="16"/>
    <w:bookmarkStart w:id="17" w:name="quanto-è-diffusa-e-chi-colpisce"/>
    <w:p>
      <w:pPr>
        <w:pStyle w:val="Heading3"/>
      </w:pPr>
      <w:r>
        <w:t xml:space="preserve">Quanto è diffusa e chi colpisce</w:t>
      </w:r>
    </w:p>
    <w:p>
      <w:pPr>
        <w:pStyle w:val="FirstParagraph"/>
      </w:pPr>
      <w:r>
        <w:t xml:space="preserve">L’incidenza misurata su una popolazione intera, seguita per quindici anni, è di circa</w:t>
      </w:r>
      <w:r>
        <w:t xml:space="preserve"> </w:t>
      </w:r>
      <w:r>
        <w:rPr>
          <w:b/>
          <w:bCs/>
        </w:rPr>
        <w:t xml:space="preserve">83 nuovi casi ogni 100.000 persone all’anno</w:t>
      </w:r>
      <w:r>
        <w:t xml:space="preserve">. Il picco sta fra i 50 e i 54 anni. La radice più colpita è</w:t>
      </w:r>
      <w:r>
        <w:t xml:space="preserve"> </w:t>
      </w:r>
      <w:r>
        <w:rPr>
          <w:b/>
          <w:bCs/>
        </w:rPr>
        <w:t xml:space="preserve">C7</w:t>
      </w:r>
      <w:r>
        <w:t xml:space="preserve">, seguita da</w:t>
      </w:r>
      <w:r>
        <w:t xml:space="preserve"> </w:t>
      </w:r>
      <w:r>
        <w:rPr>
          <w:b/>
          <w:bCs/>
        </w:rPr>
        <w:t xml:space="preserve">C6</w:t>
      </w:r>
      <w:r>
        <w:t xml:space="preserve">. Un’ernia discale confermata spiegava il 22% dei casi; artrosi, disco o tutti e due insieme spiegavano il 68% (Radhakrishnan,</w:t>
      </w:r>
      <w:r>
        <w:t xml:space="preserve"> </w:t>
      </w:r>
      <w:r>
        <w:rPr>
          <w:i/>
          <w:iCs/>
        </w:rPr>
        <w:t xml:space="preserve">Brain</w:t>
      </w:r>
      <w:r>
        <w:t xml:space="preserve"> </w:t>
      </w:r>
      <w:r>
        <w:t xml:space="preserve">1994, PMID 8186959).</w:t>
      </w:r>
    </w:p>
    <w:p>
      <w:pPr>
        <w:pStyle w:val="BodyText"/>
      </w:pPr>
      <w:r>
        <w:rPr>
          <w:b/>
          <w:bCs/>
        </w:rPr>
        <w:t xml:space="preserve">Per te:</w:t>
      </w:r>
      <w:r>
        <w:t xml:space="preserve"> </w:t>
      </w:r>
      <w:r>
        <w:t xml:space="preserve">il paziente medio ha cinquant’anni, un collo irrigidito negli anni e un episodio partito dal niente. Cercare l’evento scatenante è quasi sempre tempo perso; cercare cosa ha ridotto lo spazio negli anni, no.</w:t>
      </w:r>
      <w:r>
        <w:t xml:space="preserve"> </w:t>
      </w:r>
      <w:r>
        <w:rPr>
          <w:b/>
          <w:bCs/>
        </w:rPr>
        <w:t xml:space="preserve">E sopra i settant’anni vale l’avvertenza del capitolo precedente.</w:t>
      </w:r>
    </w:p>
    <w:bookmarkEnd w:id="17"/>
    <w:bookmarkStart w:id="18" w:name="come-evolve-se-non-fai-niente"/>
    <w:p>
      <w:pPr>
        <w:pStyle w:val="Heading3"/>
      </w:pPr>
      <w:r>
        <w:t xml:space="preserve">Come evolve se non fai niente</w:t>
      </w:r>
    </w:p>
    <w:p>
      <w:pPr>
        <w:pStyle w:val="FirstParagraph"/>
      </w:pPr>
      <w:r>
        <w:t xml:space="preserve">Migliora. Nella stessa popolazione, al controllo finale il</w:t>
      </w:r>
      <w:r>
        <w:t xml:space="preserve"> </w:t>
      </w:r>
      <w:r>
        <w:rPr>
          <w:b/>
          <w:bCs/>
        </w:rPr>
        <w:t xml:space="preserve">90% dei pazienti era senza sintomi o solo lievemente disturbato</w:t>
      </w:r>
      <w:r>
        <w:t xml:space="preserve">. Il 26% era stato operato e il 32% aveva avuto almeno una recidiva (Radhakrishnan,</w:t>
      </w:r>
      <w:r>
        <w:t xml:space="preserve"> </w:t>
      </w:r>
      <w:r>
        <w:rPr>
          <w:i/>
          <w:iCs/>
        </w:rPr>
        <w:t xml:space="preserve">Brain</w:t>
      </w:r>
      <w:r>
        <w:t xml:space="preserve"> </w:t>
      </w:r>
      <w:r>
        <w:t xml:space="preserve">1994, PMID 8186959). Nella sintesi degli studi sull’ernia cervicale sintomatica, il miglioramento sostanziale arriva fra i quattro e i sei mesi dall’esordio. Il recupero completo richiede fra i due e i tre anni nella maggior parte dei soggetti (Wong,</w:t>
      </w:r>
      <w:r>
        <w:t xml:space="preserve"> </w:t>
      </w:r>
      <w:r>
        <w:rPr>
          <w:i/>
          <w:iCs/>
        </w:rPr>
        <w:t xml:space="preserve">Spine J</w:t>
      </w:r>
      <w:r>
        <w:t xml:space="preserve"> </w:t>
      </w:r>
      <w:r>
        <w:t xml:space="preserve">2014, PMID 24614255).</w:t>
      </w:r>
    </w:p>
    <w:p>
      <w:pPr>
        <w:pStyle w:val="BodyText"/>
      </w:pPr>
      <w:r>
        <w:rPr>
          <w:b/>
          <w:bCs/>
        </w:rPr>
        <w:t xml:space="preserve">Per te:</w:t>
      </w:r>
      <w:r>
        <w:t xml:space="preserve"> </w:t>
      </w:r>
      <w:r>
        <w:t xml:space="preserve">i due numeri vanno detti insieme e in quest’ordine. Nove su dieci stanno bene: puoi dare speranza senza mentire. Quattro-sei mesi per il grosso e anni per la coda: non prometti tempi corti. E il 32% di recidive dice che il lavoro non finisce quando il dolore se ne va.</w:t>
      </w:r>
    </w:p>
    <w:bookmarkEnd w:id="18"/>
    <w:bookmarkStart w:id="19" w:name="X74ccab85e006d9f4d3748aee9bfd0b54dd72a1e"/>
    <w:p>
      <w:pPr>
        <w:pStyle w:val="Heading3"/>
      </w:pPr>
      <w:r>
        <w:t xml:space="preserve">Cosa dicono le etichette che ti porta, e cosa non dicono</w:t>
      </w:r>
    </w:p>
    <w:p>
      <w:pPr>
        <w:pStyle w:val="FirstParagraph"/>
      </w:pPr>
      <w:r>
        <w:t xml:space="preserve">La</w:t>
      </w:r>
      <w:r>
        <w:t xml:space="preserve"> </w:t>
      </w:r>
      <w:r>
        <w:rPr>
          <w:b/>
          <w:bCs/>
        </w:rPr>
        <w:t xml:space="preserve">risonanza cervicale</w:t>
      </w:r>
      <w:r>
        <w:t xml:space="preserve"> </w:t>
      </w:r>
      <w:r>
        <w:t xml:space="preserve">mostra dischi, spazi di uscita e rapporto con la radice. Non dice se quello che vede fa male. Su 1.211 volontari sani senza alcun sintomo, l’</w:t>
      </w:r>
      <w:r>
        <w:rPr>
          <w:b/>
          <w:bCs/>
        </w:rPr>
        <w:t xml:space="preserve">87,6% aveva un bulging discale cervicale</w:t>
      </w:r>
      <w:r>
        <w:t xml:space="preserve">, il 5,3% aveva compressione del midollo e il 2,3% alterazioni di segnale midollare (Nakashima,</w:t>
      </w:r>
      <w:r>
        <w:t xml:space="preserve"> </w:t>
      </w:r>
      <w:r>
        <w:rPr>
          <w:i/>
          <w:iCs/>
        </w:rPr>
        <w:t xml:space="preserve">Spine</w:t>
      </w:r>
      <w:r>
        <w:t xml:space="preserve"> </w:t>
      </w:r>
      <w:r>
        <w:t xml:space="preserve">2015, PMID 25584950).</w:t>
      </w:r>
    </w:p>
    <w:p>
      <w:pPr>
        <w:pStyle w:val="BodyText"/>
      </w:pPr>
      <w:r>
        <w:rPr>
          <w:b/>
          <w:bCs/>
        </w:rPr>
        <w:t xml:space="preserve">Per te:</w:t>
      </w:r>
      <w:r>
        <w:t xml:space="preserve"> </w:t>
      </w:r>
      <w:r>
        <w:t xml:space="preserve">il referto che il paziente stringe in mano descrive una struttura che quasi nove persone su dieci hanno senza saperlo. Quei due numeri sono prevalenze</w:t>
      </w:r>
      <w:r>
        <w:t xml:space="preserve"> </w:t>
      </w:r>
      <w:r>
        <w:rPr>
          <w:b/>
          <w:bCs/>
        </w:rPr>
        <w:t xml:space="preserve">in persone senza sintomi</w:t>
      </w:r>
      <w:r>
        <w:t xml:space="preserve">: non sono la resa diagnostica della risonanza, e non vanno usati per dire quanto spesso l’immagine serve. L’immagine serve, e serve per quello che deve escludere: mielopatia, neoplasia, infezione. Il dato ti autorizza a togliere all’immagine il peso di sentenza che ha preso, dicendo la cosa vera —</w:t>
      </w:r>
      <w:r>
        <w:t xml:space="preserve"> </w:t>
      </w:r>
      <w:r>
        <w:rPr>
          <w:i/>
          <w:iCs/>
        </w:rPr>
        <w:t xml:space="preserve">quelle immagini sono comuni, e il dolore dipende anche da altro</w:t>
      </w:r>
      <w:r>
        <w:t xml:space="preserve">. Non ti autorizza a dire che il referto non conta.</w:t>
      </w:r>
    </w:p>
    <w:p>
      <w:pPr>
        <w:pStyle w:val="BodyText"/>
      </w:pPr>
      <w:r>
        <w:t xml:space="preserve">L’</w:t>
      </w:r>
      <w:r>
        <w:rPr>
          <w:b/>
          <w:bCs/>
        </w:rPr>
        <w:t xml:space="preserve">elettromiografia</w:t>
      </w:r>
      <w:r>
        <w:t xml:space="preserve"> </w:t>
      </w:r>
      <w:r>
        <w:t xml:space="preserve">misura quanto una radice soffre e distingue il collo dal polso. Non dice dove il nervo viene disturbato lungo la strada. La</w:t>
      </w:r>
      <w:r>
        <w:t xml:space="preserve"> </w:t>
      </w:r>
      <w:r>
        <w:rPr>
          <w:b/>
          <w:bCs/>
        </w:rPr>
        <w:t xml:space="preserve">radiografia</w:t>
      </w:r>
      <w:r>
        <w:t xml:space="preserve"> </w:t>
      </w:r>
      <w:r>
        <w:t xml:space="preserve">vede artrosi e spazi ridotti: la struttura attorno alla porta, non la porta.</w:t>
      </w:r>
    </w:p>
    <w:bookmarkEnd w:id="19"/>
    <w:bookmarkStart w:id="20" w:name="cosa-non-è"/>
    <w:p>
      <w:pPr>
        <w:pStyle w:val="Heading3"/>
      </w:pPr>
      <w:r>
        <w:t xml:space="preserve">Cosa non è</w:t>
      </w:r>
    </w:p>
    <w:p>
      <w:pPr>
        <w:pStyle w:val="FirstParagraph"/>
      </w:pPr>
      <w:r>
        <w:rPr>
          <w:b/>
          <w:bCs/>
        </w:rPr>
        <w:t xml:space="preserve">Non è il tunnel carpale</w:t>
      </w:r>
      <w:r>
        <w:t xml:space="preserve">, anche se si confondono ogni giorno. Lì il formicolio sta nelle prime tre dita e mezzo, si allevia scuotendo la mano, e il collo non lo cambia.</w:t>
      </w:r>
    </w:p>
    <w:p>
      <w:pPr>
        <w:pStyle w:val="BodyText"/>
      </w:pPr>
      <w:r>
        <w:rPr>
          <w:b/>
          <w:bCs/>
        </w:rPr>
        <w:t xml:space="preserve">Non è una tendinopatia di spalla o un’epicondilalgia.</w:t>
      </w:r>
      <w:r>
        <w:t xml:space="preserve"> </w:t>
      </w:r>
      <w:r>
        <w:t xml:space="preserve">Quelle fanno male al carico di quella struttura, non seguono una linea e non danno formicolio in dita precise.</w:t>
      </w:r>
    </w:p>
    <w:p>
      <w:pPr>
        <w:pStyle w:val="BodyText"/>
      </w:pPr>
      <w:r>
        <w:rPr>
          <w:b/>
          <w:bCs/>
        </w:rPr>
        <w:t xml:space="preserve">Non è una mielopatia</w:t>
      </w:r>
      <w:r>
        <w:t xml:space="preserve">, ed è la confusione che costa più cara. Lì i sintomi sono a tutte e due le mani, le dita diventano goffe, l’andatura si fa insicura.</w:t>
      </w:r>
    </w:p>
    <w:p>
      <w:pPr>
        <w:pStyle w:val="BodyText"/>
      </w:pPr>
      <w:r>
        <w:t xml:space="preserve">Tre altre cose non sono cervicobrachialgia, e arrivano già etichettate come tale.</w:t>
      </w:r>
    </w:p>
    <w:p>
      <w:pPr>
        <w:pStyle w:val="BodyText"/>
      </w:pPr>
      <w:r>
        <w:rPr>
          <w:b/>
          <w:bCs/>
        </w:rPr>
        <w:t xml:space="preserve">Non è un dolore di origine cardiaca.</w:t>
      </w:r>
      <w:r>
        <w:t xml:space="preserve"> </w:t>
      </w:r>
      <w:r>
        <w:t xml:space="preserve">Un dolore al braccio, soprattutto sinistro, che compare con lo sforzo e passa con il riposo è la presentazione atipica classica della sindrome coronarica acuta. Vale lo stesso se porta con sé oppressione toracica, affanno, sudorazione o nausea. Nei diabetici e negli anziani il dolore toracico può mancare del tutto (DeVon,</w:t>
      </w:r>
      <w:r>
        <w:t xml:space="preserve"> </w:t>
      </w:r>
      <w:r>
        <w:rPr>
          <w:i/>
          <w:iCs/>
        </w:rPr>
        <w:t xml:space="preserve">West J Nurs Res</w:t>
      </w:r>
      <w:r>
        <w:t xml:space="preserve"> </w:t>
      </w:r>
      <w:r>
        <w:t xml:space="preserve">2008, PMID 18182562).</w:t>
      </w:r>
      <w:r>
        <w:t xml:space="preserve"> </w:t>
      </w:r>
      <w:r>
        <w:rPr>
          <w:b/>
          <w:bCs/>
        </w:rPr>
        <w:t xml:space="preserve">Prima di chiamare somatico un dolore largo al braccio, chiedi cosa lo scatena e cosa lo fa passare.</w:t>
      </w:r>
    </w:p>
    <w:p>
      <w:pPr>
        <w:pStyle w:val="BodyText"/>
      </w:pPr>
      <w:r>
        <w:rPr>
          <w:b/>
          <w:bCs/>
        </w:rPr>
        <w:t xml:space="preserve">Non è uno zoster in fase prodromica.</w:t>
      </w:r>
      <w:r>
        <w:t xml:space="preserve"> </w:t>
      </w:r>
      <w:r>
        <w:t xml:space="preserve">Lì il bruciore sta in un dermatomero solo, nessun gesto lo scatena o lo calma, e il rash arriva giorni o settimane dopo. Il prodromo viene spesso scambiato per una radicolopatia (Dworkin,</w:t>
      </w:r>
      <w:r>
        <w:t xml:space="preserve"> </w:t>
      </w:r>
      <w:r>
        <w:rPr>
          <w:i/>
          <w:iCs/>
        </w:rPr>
        <w:t xml:space="preserve">J Pain</w:t>
      </w:r>
      <w:r>
        <w:t xml:space="preserve"> </w:t>
      </w:r>
      <w:r>
        <w:t xml:space="preserve">2008, PMID 18166464). Se compare un’eruzione lungo la stessa linea, si sospende e si scrive al curante lo stesso giorno.</w:t>
      </w:r>
    </w:p>
    <w:p>
      <w:pPr>
        <w:pStyle w:val="BodyText"/>
      </w:pPr>
      <w:r>
        <w:rPr>
          <w:b/>
          <w:bCs/>
        </w:rPr>
        <w:t xml:space="preserve">Non è un’amiotrofia nevralgica</w:t>
      </w:r>
      <w:r>
        <w:t xml:space="preserve"> </w:t>
      </w:r>
      <w:r>
        <w:t xml:space="preserve">(Parsonage-Turner). Lì il dolore a spalla e braccio è violentissimo e dura giorni o settimane; poi cala, e compare la debolezza, spesso con scapola alata. Quel pattern ha un nome, un’altra prognosi, e va inviato.</w:t>
      </w:r>
    </w:p>
    <w:p>
      <w:pPr>
        <w:pStyle w:val="BodyText"/>
      </w:pPr>
      <w:r>
        <w:rPr>
          <w:b/>
          <w:bCs/>
        </w:rPr>
        <w:t xml:space="preserve">E queste voci si escludono come</w:t>
      </w:r>
      <w:r>
        <w:rPr>
          <w:b/>
          <w:bCs/>
        </w:rPr>
        <w:t xml:space="preserve"> </w:t>
      </w:r>
      <w:r>
        <w:rPr>
          <w:b/>
          <w:bCs/>
          <w:i/>
          <w:iCs/>
        </w:rPr>
        <w:t xml:space="preserve">spiegazione</w:t>
      </w:r>
      <w:r>
        <w:rPr>
          <w:b/>
          <w:bCs/>
        </w:rPr>
        <w:t xml:space="preserve">, non come</w:t>
      </w:r>
      <w:r>
        <w:rPr>
          <w:b/>
          <w:bCs/>
        </w:rPr>
        <w:t xml:space="preserve"> </w:t>
      </w:r>
      <w:r>
        <w:rPr>
          <w:b/>
          <w:bCs/>
          <w:i/>
          <w:iCs/>
        </w:rPr>
        <w:t xml:space="preserve">coesistenza</w:t>
      </w:r>
      <w:r>
        <w:rPr>
          <w:b/>
          <w:bCs/>
        </w:rPr>
        <w:t xml:space="preserve">.</w:t>
      </w:r>
    </w:p>
    <w:p>
      <w:pPr>
        <w:pStyle w:val="BodyText"/>
      </w:pPr>
      <w:r>
        <w:rPr>
          <w:b/>
          <w:bCs/>
        </w:rPr>
        <w:t xml:space="preserve">Le tre cose da ricordare, più una</w:t>
      </w:r>
    </w:p>
    <w:p>
      <w:pPr>
        <w:pStyle w:val="Compact"/>
        <w:numPr>
          <w:ilvl w:val="0"/>
          <w:numId w:val="1005"/>
        </w:numPr>
      </w:pPr>
      <w:r>
        <w:t xml:space="preserve">Cervicobrachialgia è una topografia. Sotto ci stanno tre meccanismi di dolore diversi, e vanno separati prima di scegliere cosa fare.</w:t>
      </w:r>
    </w:p>
    <w:p>
      <w:pPr>
        <w:pStyle w:val="Compact"/>
        <w:numPr>
          <w:ilvl w:val="0"/>
          <w:numId w:val="1005"/>
        </w:numPr>
      </w:pPr>
      <w:r>
        <w:t xml:space="preserve">Il paziente tipico ha cinquant’anni e un’artrosi, non un trauma e un’ernia gigante.</w:t>
      </w:r>
    </w:p>
    <w:p>
      <w:pPr>
        <w:pStyle w:val="Compact"/>
        <w:numPr>
          <w:ilvl w:val="0"/>
          <w:numId w:val="1005"/>
        </w:numPr>
      </w:pPr>
      <w:r>
        <w:t xml:space="preserve">L’orizzonte reale è di mesi, non di settimane: dichiaralo prima di iniziare, non quando non succede niente.</w:t>
      </w:r>
    </w:p>
    <w:p>
      <w:pPr>
        <w:pStyle w:val="Compact"/>
        <w:numPr>
          <w:ilvl w:val="0"/>
          <w:numId w:val="1005"/>
        </w:numPr>
      </w:pPr>
      <w:r>
        <w:rPr>
          <w:b/>
          <w:bCs/>
        </w:rPr>
        <w:t xml:space="preserve">Perché ci sei tu.</w:t>
      </w:r>
      <w:r>
        <w:t xml:space="preserve"> </w:t>
      </w:r>
      <w:r>
        <w:t xml:space="preserve">Nella coorte di popolazione, un paziente su quattro con radicolopatia cervicale è stato operato, e al controllo finale nove su dieci stavano bene o quasi (Radhakrishnan,</w:t>
      </w:r>
      <w:r>
        <w:t xml:space="preserve"> </w:t>
      </w:r>
      <w:r>
        <w:rPr>
          <w:i/>
          <w:iCs/>
        </w:rPr>
        <w:t xml:space="preserve">Brain</w:t>
      </w:r>
      <w:r>
        <w:t xml:space="preserve"> </w:t>
      </w:r>
      <w:r>
        <w:t xml:space="preserve">1994, PMID 8186959).</w:t>
      </w:r>
      <w:r>
        <w:t xml:space="preserve"> </w:t>
      </w:r>
      <w:r>
        <w:rPr>
          <w:b/>
          <w:bCs/>
        </w:rPr>
        <w:t xml:space="preserve">Per te:</w:t>
      </w:r>
      <w:r>
        <w:t xml:space="preserve"> </w:t>
      </w:r>
      <w:r>
        <w:t xml:space="preserve">il paziente non chiede se guarirà, chiede quando. Questo ti autorizza a dare un orizzonte onesto e un obiettivo intermedio misurabile. Non ti autorizza a presentare il recupero naturale come il risultato del tuo lavoro.</w:t>
      </w:r>
    </w:p>
    <w:p>
      <w:r>
        <w:pict>
          <v:rect style="width:0;height:1.5pt" o:hralign="center" o:hrstd="t" o:hr="t"/>
        </w:pict>
      </w:r>
    </w:p>
    <w:bookmarkEnd w:id="20"/>
    <w:bookmarkEnd w:id="21"/>
    <w:bookmarkStart w:id="22" w:name="capitolo-3-le-strutture-in-gioco"/>
    <w:p>
      <w:pPr>
        <w:pStyle w:val="Heading2"/>
      </w:pPr>
      <w:r>
        <w:t xml:space="preserve">Capitolo 3 — Le strutture in gioco</w:t>
      </w:r>
    </w:p>
    <w:p>
      <w:pPr>
        <w:pStyle w:val="BlockText"/>
      </w:pPr>
      <w:r>
        <w:rPr>
          <w:b/>
          <w:bCs/>
        </w:rPr>
        <w:t xml:space="preserve">In una riga:</w:t>
      </w:r>
      <w:r>
        <w:t xml:space="preserve"> </w:t>
      </w:r>
      <w:r>
        <w:t xml:space="preserve">il nervo esce da una porta, poi percorre una strada con altri due punti stretti — e tu hai accesso a tutta la strada.</w:t>
      </w:r>
    </w:p>
    <w:p>
      <w:pPr>
        <w:pStyle w:val="BlockText"/>
      </w:pPr>
      <w:r>
        <w:rPr>
          <w:b/>
          <w:bCs/>
        </w:rPr>
        <w:t xml:space="preserve">Definizione.</w:t>
      </w:r>
      <w:r>
        <w:t xml:space="preserve"> </w:t>
      </w:r>
      <w:r>
        <w:t xml:space="preserve">Una</w:t>
      </w:r>
      <w:r>
        <w:t xml:space="preserve"> </w:t>
      </w:r>
      <w:r>
        <w:rPr>
          <w:b/>
          <w:bCs/>
        </w:rPr>
        <w:t xml:space="preserve">catena</w:t>
      </w:r>
      <w:r>
        <w:t xml:space="preserve"> </w:t>
      </w:r>
      <w:r>
        <w:t xml:space="preserve">è un insieme di strutture collegate che si influenzano a distanza.</w:t>
      </w:r>
    </w:p>
    <w:p>
      <w:pPr>
        <w:pStyle w:val="FirstParagraph"/>
      </w:pPr>
      <w:r>
        <w:rPr>
          <w:b/>
          <w:bCs/>
        </w:rPr>
        <w:t xml:space="preserve">Il forame intervertebrale cervicale.</w:t>
      </w:r>
      <w:r>
        <w:t xml:space="preserve"> </w:t>
      </w:r>
      <w:r>
        <w:t xml:space="preserve">È la porta di uscita della radice. Davanti lo delimitano l’uncoartrosi e il disco, dietro la faccetta articolare.</w:t>
      </w:r>
      <w:r>
        <w:t xml:space="preserve"> </w:t>
      </w:r>
      <w:r>
        <w:rPr>
          <w:b/>
          <w:bCs/>
        </w:rPr>
        <w:t xml:space="preserve">Cosa fa:</w:t>
      </w:r>
      <w:r>
        <w:t xml:space="preserve"> </w:t>
      </w:r>
      <w:r>
        <w:t xml:space="preserve">lascia passare la radice, i suoi vasi e il tessuto adiposo che la protegge.</w:t>
      </w:r>
      <w:r>
        <w:t xml:space="preserve"> </w:t>
      </w:r>
      <w:r>
        <w:rPr>
          <w:b/>
          <w:bCs/>
        </w:rPr>
        <w:t xml:space="preserve">Perché conta:</w:t>
      </w:r>
      <w:r>
        <w:t xml:space="preserve"> </w:t>
      </w:r>
      <w:r>
        <w:t xml:space="preserve">il suo diametro cambia con la posizione del collo, e cambia di poco. Ma la radice occupa già gran parte dello spazio.</w:t>
      </w:r>
    </w:p>
    <w:p>
      <w:pPr>
        <w:pStyle w:val="BodyText"/>
      </w:pPr>
      <w:r>
        <w:rPr>
          <w:b/>
          <w:bCs/>
        </w:rPr>
        <w:t xml:space="preserve">La radice nervosa e il suo ganglio.</w:t>
      </w:r>
      <w:r>
        <w:t xml:space="preserve"> </w:t>
      </w:r>
      <w:r>
        <w:t xml:space="preserve">La radice non ha il perinevrio, la guaina che protegge un nervo periferico. E il</w:t>
      </w:r>
      <w:r>
        <w:t xml:space="preserve"> </w:t>
      </w:r>
      <w:r>
        <w:rPr>
          <w:b/>
          <w:bCs/>
        </w:rPr>
        <w:t xml:space="preserve">ganglio della radice dorsale</w:t>
      </w:r>
      <w:r>
        <w:t xml:space="preserve"> </w:t>
      </w:r>
      <w:r>
        <w:t xml:space="preserve">— il grappolo di corpi cellulari sensitivi seduto dentro o appena fuori dal forame — è la struttura più meccanosensibile di tutto il percorso.</w:t>
      </w:r>
      <w:r>
        <w:t xml:space="preserve"> </w:t>
      </w:r>
      <w:r>
        <w:rPr>
          <w:b/>
          <w:bCs/>
        </w:rPr>
        <w:t xml:space="preserve">Perché conta:</w:t>
      </w:r>
      <w:r>
        <w:t xml:space="preserve"> </w:t>
      </w:r>
      <w:r>
        <w:t xml:space="preserve">è il punto in cui una pressione minima diventa una scarica lunga.</w:t>
      </w:r>
    </w:p>
    <w:p>
      <w:pPr>
        <w:pStyle w:val="BodyText"/>
      </w:pPr>
      <w:r>
        <w:rPr>
          <w:b/>
          <w:bCs/>
        </w:rPr>
        <w:t xml:space="preserve">Il tronco del plesso brachiale e lo stretto toracico superiore.</w:t>
      </w:r>
      <w:r>
        <w:t xml:space="preserve"> </w:t>
      </w:r>
      <w:r>
        <w:t xml:space="preserve">Le radici da C5 a T1 si uniscono in tronchi. Passano fra gli scaleni, sopra la prima costa, sotto la clavicola e sotto il piccolo pettorale. Gli scaleni sono anche inspiratori accessori; il piccolo pettorale tira la scapola in avanti e in basso.</w:t>
      </w:r>
      <w:r>
        <w:t xml:space="preserve"> </w:t>
      </w:r>
      <w:r>
        <w:rPr>
          <w:b/>
          <w:bCs/>
        </w:rPr>
        <w:t xml:space="preserve">Perché conta:</w:t>
      </w:r>
      <w:r>
        <w:t xml:space="preserve"> </w:t>
      </w:r>
      <w:r>
        <w:t xml:space="preserve">sono altri punti in cui lo spazio si può ridurre. Un respiro alto con una scapola protratta li chiude dall’alto e dal basso insieme.</w:t>
      </w:r>
    </w:p>
    <w:p>
      <w:pPr>
        <w:pStyle w:val="BlockText"/>
      </w:pPr>
      <w:r>
        <w:rPr>
          <w:b/>
          <w:bCs/>
        </w:rPr>
        <w:t xml:space="preserve">Attenzione.</w:t>
      </w:r>
      <w:r>
        <w:t xml:space="preserve"> </w:t>
      </w:r>
      <w:r>
        <w:t xml:space="preserve">In quel passaggio, insieme ai tronchi nervosi, corrono l’</w:t>
      </w:r>
      <w:r>
        <w:rPr>
          <w:b/>
          <w:bCs/>
        </w:rPr>
        <w:t xml:space="preserve">arteria e la vena succlavia</w:t>
      </w:r>
      <w:r>
        <w:t xml:space="preserve">, e l’apice del polmone gli sta sotto. Prima di considerarlo una leva, guarda il braccio e la mano. Se il braccio è gonfio, cianotico o pesante, o se la mano è fredda, pallida e si affatica, il quadro è</w:t>
      </w:r>
      <w:r>
        <w:t xml:space="preserve"> </w:t>
      </w:r>
      <w:r>
        <w:rPr>
          <w:b/>
          <w:bCs/>
        </w:rPr>
        <w:t xml:space="preserve">vascolare</w:t>
      </w:r>
      <w:r>
        <w:t xml:space="preserve"> </w:t>
      </w:r>
      <w:r>
        <w:t xml:space="preserve">e non è nostro. Le forme vascolari dello stretto toracico sono rare — venosa circa il 3%, arteriosa meno dell’1% del totale — e sono di gestione chirurgica (Hussain,</w:t>
      </w:r>
      <w:r>
        <w:t xml:space="preserve"> </w:t>
      </w:r>
      <w:r>
        <w:rPr>
          <w:i/>
          <w:iCs/>
        </w:rPr>
        <w:t xml:space="preserve">Semin Thorac Cardiovasc Surg</w:t>
      </w:r>
      <w:r>
        <w:t xml:space="preserve"> </w:t>
      </w:r>
      <w:r>
        <w:t xml:space="preserve">2016, PMID 27568153). Invio, non trattamento.</w:t>
      </w:r>
    </w:p>
    <w:p>
      <w:pPr>
        <w:pStyle w:val="FirstParagraph"/>
      </w:pPr>
      <w:r>
        <w:rPr>
          <w:b/>
          <w:bCs/>
        </w:rPr>
        <w:t xml:space="preserve">La prima costa e la cerniera cervico-toracica.</w:t>
      </w:r>
      <w:r>
        <w:t xml:space="preserve"> </w:t>
      </w:r>
      <w:r>
        <w:t xml:space="preserve">La prima costa è il pavimento del passaggio. La cerniera fra C7 e T1 è il punto in cui la colonna cambia mobilità.</w:t>
      </w:r>
      <w:r>
        <w:t xml:space="preserve"> </w:t>
      </w:r>
      <w:r>
        <w:rPr>
          <w:b/>
          <w:bCs/>
        </w:rPr>
        <w:t xml:space="preserve">Perché conta:</w:t>
      </w:r>
      <w:r>
        <w:t xml:space="preserve"> </w:t>
      </w:r>
      <w:r>
        <w:t xml:space="preserve">se la cerniera non si muove, il collo compensa proprio nei segmenti in cui la porta è più stretta.</w:t>
      </w:r>
    </w:p>
    <w:p>
      <w:pPr>
        <w:pStyle w:val="BodyText"/>
      </w:pPr>
      <w:r>
        <w:rPr>
          <w:b/>
          <w:bCs/>
        </w:rPr>
        <w:t xml:space="preserve">I flessori profondi del collo.</w:t>
      </w:r>
      <w:r>
        <w:t xml:space="preserve"> </w:t>
      </w:r>
      <w:r>
        <w:t xml:space="preserve">Lungo del collo e lungo della testa stanno davanti alla colonna e ne governano la posizione fine.</w:t>
      </w:r>
      <w:r>
        <w:t xml:space="preserve"> </w:t>
      </w:r>
      <w:r>
        <w:rPr>
          <w:b/>
          <w:bCs/>
        </w:rPr>
        <w:t xml:space="preserve">Perché conta:</w:t>
      </w:r>
      <w:r>
        <w:t xml:space="preserve"> </w:t>
      </w:r>
      <w:r>
        <w:t xml:space="preserve">quando si spengono, il collo lavora in estensione. E l’estensione è la posizione che stringe la porta.</w:t>
      </w:r>
    </w:p>
    <w:p>
      <w:pPr>
        <w:pStyle w:val="BodyText"/>
      </w:pPr>
      <w:r>
        <w:rPr>
          <w:b/>
          <w:bCs/>
        </w:rPr>
        <w:t xml:space="preserve">Il mediano e l’ulnare al gomito e al polso.</w:t>
      </w:r>
      <w:r>
        <w:t xml:space="preserve"> </w:t>
      </w:r>
      <w:r>
        <w:rPr>
          <w:b/>
          <w:bCs/>
        </w:rPr>
        <w:t xml:space="preserve">Perché conta:</w:t>
      </w:r>
      <w:r>
        <w:t xml:space="preserve"> </w:t>
      </w:r>
      <w:r>
        <w:t xml:space="preserve">sono le ultime fermate della stessa strada, e le uniche due che il paziente si è già fatto guardare.</w:t>
      </w:r>
    </w:p>
    <w:p>
      <w:pPr>
        <w:pStyle w:val="BodyText"/>
      </w:pPr>
      <w:r>
        <w:rPr>
          <w:b/>
          <w:bCs/>
        </w:rPr>
        <w:t xml:space="preserve">La chicca anatomica.</w:t>
      </w:r>
      <w:r>
        <w:t xml:space="preserve"> </w:t>
      </w:r>
      <w:r>
        <w:t xml:space="preserve">Il nervo, nella sua guaina, non è teso: è</w:t>
      </w:r>
      <w:r>
        <w:t xml:space="preserve"> </w:t>
      </w:r>
      <w:r>
        <w:rPr>
          <w:b/>
          <w:bCs/>
        </w:rPr>
        <w:t xml:space="preserve">ridondante</w:t>
      </w:r>
      <w:r>
        <w:t xml:space="preserve">, cioè sta lungo come un cavo lasciato con un po’ di gioco. Nei movimenti normali quel gioco si consuma e si ricrea. Quando in un punto il gioco si perde — per aderenza, edema o infiammazione — il resto del percorso deve allungarsi al posto suo. E il sintomo compare dove il nervo è più fragile, non dove ha perso il gioco.</w:t>
      </w:r>
    </w:p>
    <w:p>
      <w:pPr>
        <w:pStyle w:val="BodyText"/>
      </w:pPr>
      <w:r>
        <w:rPr>
          <w:b/>
          <w:bCs/>
        </w:rPr>
        <w:t xml:space="preserve">Le tre cose da ricordare, più una</w:t>
      </w:r>
    </w:p>
    <w:p>
      <w:pPr>
        <w:pStyle w:val="Compact"/>
        <w:numPr>
          <w:ilvl w:val="0"/>
          <w:numId w:val="1006"/>
        </w:numPr>
      </w:pPr>
      <w:r>
        <w:t xml:space="preserve">La porta è il forame, ma la strada continua per venti centimetri: scaleni, prima costa, clavicola, piccolo pettorale.</w:t>
      </w:r>
    </w:p>
    <w:p>
      <w:pPr>
        <w:pStyle w:val="Compact"/>
        <w:numPr>
          <w:ilvl w:val="0"/>
          <w:numId w:val="1006"/>
        </w:numPr>
      </w:pPr>
      <w:r>
        <w:t xml:space="preserve">Il ganglio della radice dorsale è la struttura più sensibile alla pressione dell’intero percorso.</w:t>
      </w:r>
    </w:p>
    <w:p>
      <w:pPr>
        <w:pStyle w:val="Compact"/>
        <w:numPr>
          <w:ilvl w:val="0"/>
          <w:numId w:val="1006"/>
        </w:numPr>
      </w:pPr>
      <w:r>
        <w:t xml:space="preserve">Se la cerniera cervico-toracica non si muove, il collo lavora dove la porta è più stretta.</w:t>
      </w:r>
    </w:p>
    <w:p>
      <w:pPr>
        <w:pStyle w:val="Compact"/>
        <w:numPr>
          <w:ilvl w:val="0"/>
          <w:numId w:val="1006"/>
        </w:numPr>
      </w:pPr>
      <w:r>
        <w:rPr>
          <w:b/>
          <w:bCs/>
        </w:rPr>
        <w:t xml:space="preserve">Perché ci sei tu.</w:t>
      </w:r>
      <w:r>
        <w:t xml:space="preserve"> </w:t>
      </w:r>
      <w:r>
        <w:t xml:space="preserve">Su 83 pazienti con dolore radicolare al braccio, la valutazione clinica ha individuato</w:t>
      </w:r>
      <w:r>
        <w:t xml:space="preserve"> </w:t>
      </w:r>
      <w:r>
        <w:rPr>
          <w:b/>
          <w:bCs/>
        </w:rPr>
        <w:t xml:space="preserve">la stessa radice della risonanza in 31 casi su cento</w:t>
      </w:r>
      <w:r>
        <w:t xml:space="preserve">, e una radice adiacente in altri 28. Fra due esaminatori clinici l’accordo era del 58% (Redebrandt,</w:t>
      </w:r>
      <w:r>
        <w:t xml:space="preserve"> </w:t>
      </w:r>
      <w:r>
        <w:rPr>
          <w:i/>
          <w:iCs/>
        </w:rPr>
        <w:t xml:space="preserve">Health Sci Rep</w:t>
      </w:r>
      <w:r>
        <w:t xml:space="preserve"> </w:t>
      </w:r>
      <w:r>
        <w:t xml:space="preserve">2022, PMID 35434382).</w:t>
      </w:r>
      <w:r>
        <w:t xml:space="preserve"> </w:t>
      </w:r>
      <w:r>
        <w:rPr>
          <w:b/>
          <w:bCs/>
        </w:rPr>
        <w:t xml:space="preserve">Per te:</w:t>
      </w:r>
      <w:r>
        <w:t xml:space="preserve"> </w:t>
      </w:r>
      <w:r>
        <w:t xml:space="preserve">qui il dato restringe. Riconoscere un pattern radicolare ti autorizza a dire</w:t>
      </w:r>
      <w:r>
        <w:t xml:space="preserve"> </w:t>
      </w:r>
      <w:r>
        <w:rPr>
          <w:i/>
          <w:iCs/>
        </w:rPr>
        <w:t xml:space="preserve">“questo viene dal collo”</w:t>
      </w:r>
      <w:r>
        <w:t xml:space="preserve"> </w:t>
      </w:r>
      <w:r>
        <w:t xml:space="preserve">e a trattare la strada. Non ti autorizza a dire quale radice: sette volte su dieci sbaglieresti, e sarebbe comunque un atto diagnostico.</w:t>
      </w:r>
    </w:p>
    <w:p>
      <w:r>
        <w:pict>
          <v:rect style="width:0;height:1.5pt" o:hralign="center" o:hrstd="t" o:hr="t"/>
        </w:pict>
      </w:r>
    </w:p>
    <w:bookmarkEnd w:id="22"/>
    <w:bookmarkStart w:id="23"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un nervo sano non è un cavo teso in un tubo fisso: è un cavo con gioco, dentro un tunnel che cambia forma a ogni movimento.</w:t>
      </w:r>
    </w:p>
    <w:p>
      <w:pPr>
        <w:pStyle w:val="FirstParagraph"/>
      </w:pPr>
      <w:r>
        <w:t xml:space="preserve">Ecco la catena, in ordine.</w:t>
      </w:r>
    </w:p>
    <w:p>
      <w:pPr>
        <w:pStyle w:val="Compact"/>
        <w:numPr>
          <w:ilvl w:val="0"/>
          <w:numId w:val="1007"/>
        </w:numPr>
      </w:pPr>
      <w:r>
        <w:rPr>
          <w:b/>
          <w:bCs/>
        </w:rPr>
        <w:t xml:space="preserve">La radice esce dal forame</w:t>
      </w:r>
      <w:r>
        <w:t xml:space="preserve"> </w:t>
      </w:r>
      <w:r>
        <w:t xml:space="preserve">immersa nel grasso e nei vasi, senza toccare le pareti. Il forame è più largo del contenuto.</w:t>
      </w:r>
    </w:p>
    <w:p>
      <w:pPr>
        <w:pStyle w:val="Compact"/>
        <w:numPr>
          <w:ilvl w:val="0"/>
          <w:numId w:val="1007"/>
        </w:numPr>
      </w:pPr>
      <w:r>
        <w:rPr>
          <w:b/>
          <w:bCs/>
        </w:rPr>
        <w:t xml:space="preserve">Il collo si muove, e il forame cambia misura.</w:t>
      </w:r>
      <w:r>
        <w:t xml:space="preserve"> </w:t>
      </w:r>
      <w:r>
        <w:t xml:space="preserve">In flessione si apre, in estensione si chiude. La misura viene da</w:t>
      </w:r>
      <w:r>
        <w:t xml:space="preserve"> </w:t>
      </w:r>
      <w:r>
        <w:rPr>
          <w:b/>
          <w:bCs/>
        </w:rPr>
        <w:t xml:space="preserve">cinque rachidi cervicali umani di cadavere</w:t>
      </w:r>
      <w:r>
        <w:t xml:space="preserve">: il diametro del forame diminuisce del</w:t>
      </w:r>
      <w:r>
        <w:t xml:space="preserve"> </w:t>
      </w:r>
      <w:r>
        <w:rPr>
          <w:b/>
          <w:bCs/>
        </w:rPr>
        <w:t xml:space="preserve">10% a 20 gradi di estensione e del 13% a 30 gradi</w:t>
      </w:r>
      <w:r>
        <w:t xml:space="preserve">, e aumenta dell’8% e del 10% agli stessi gradi di flessione. Nello stesso studio</w:t>
      </w:r>
      <w:r>
        <w:t xml:space="preserve"> </w:t>
      </w:r>
      <w:r>
        <w:rPr>
          <w:b/>
          <w:bCs/>
        </w:rPr>
        <w:t xml:space="preserve">la rotazione e i movimenti combinati non hanno prodotto variazioni significative</w:t>
      </w:r>
      <w:r>
        <w:t xml:space="preserve"> </w:t>
      </w:r>
      <w:r>
        <w:t xml:space="preserve">(Yoo,</w:t>
      </w:r>
      <w:r>
        <w:t xml:space="preserve"> </w:t>
      </w:r>
      <w:r>
        <w:rPr>
          <w:i/>
          <w:iCs/>
        </w:rPr>
        <w:t xml:space="preserve">Spine</w:t>
      </w:r>
      <w:r>
        <w:t xml:space="preserve"> </w:t>
      </w:r>
      <w:r>
        <w:t xml:space="preserve">1992, PMID 1440000).</w:t>
      </w:r>
    </w:p>
    <w:p>
      <w:pPr>
        <w:pStyle w:val="Compact"/>
        <w:numPr>
          <w:ilvl w:val="0"/>
          <w:numId w:val="1007"/>
        </w:numPr>
      </w:pPr>
      <w:r>
        <w:rPr>
          <w:b/>
          <w:bCs/>
        </w:rPr>
        <w:t xml:space="preserve">Il nervo assorbe il movimento scorrendo, non allungandosi.</w:t>
      </w:r>
      <w:r>
        <w:t xml:space="preserve"> </w:t>
      </w:r>
      <w:r>
        <w:t xml:space="preserve">Quando alzi il braccio, il tronco nervoso scivola di qualche millimetro nel suo letto. Lo scorrimento è la difesa; la tensione è l’ultima risorsa. È la cintura di sicurezza: ti lascia sporgere piano, e si blocca solo se strappi.</w:t>
      </w:r>
    </w:p>
    <w:p>
      <w:pPr>
        <w:pStyle w:val="Compact"/>
        <w:numPr>
          <w:ilvl w:val="0"/>
          <w:numId w:val="1007"/>
        </w:numPr>
      </w:pPr>
      <w:r>
        <w:rPr>
          <w:b/>
          <w:bCs/>
        </w:rPr>
        <w:t xml:space="preserve">Il tessuto attorno lascia scorrere.</w:t>
      </w:r>
      <w:r>
        <w:t xml:space="preserve"> </w:t>
      </w:r>
      <w:r>
        <w:t xml:space="preserve">Un connettivo lasso collega il nervo alle strutture vicine e permette il gioco, come una guaina larga.</w:t>
      </w:r>
    </w:p>
    <w:p>
      <w:pPr>
        <w:pStyle w:val="Compact"/>
        <w:numPr>
          <w:ilvl w:val="0"/>
          <w:numId w:val="1007"/>
        </w:numPr>
      </w:pPr>
      <w:r>
        <w:rPr>
          <w:b/>
          <w:bCs/>
        </w:rPr>
        <w:t xml:space="preserve">Il sangue attorno alla radice circola.</w:t>
      </w:r>
      <w:r>
        <w:t xml:space="preserve"> </w:t>
      </w:r>
      <w:r>
        <w:t xml:space="preserve">Il plesso venoso periradicolare drena, la barriera fra sangue e nervo tiene, e non si accumula liquido dentro uno spazio che non cede.</w:t>
      </w:r>
    </w:p>
    <w:p>
      <w:pPr>
        <w:pStyle w:val="FirstParagraph"/>
      </w:pPr>
      <w:r>
        <w:t xml:space="preserve">Questo è il sistema che funziona. Ora vediamo dove si rompe.</w:t>
      </w:r>
    </w:p>
    <w:p>
      <w:pPr>
        <w:pStyle w:val="BodyText"/>
      </w:pPr>
      <w:r>
        <w:rPr>
          <w:b/>
          <w:bCs/>
        </w:rPr>
        <w:t xml:space="preserve">Le tre cose da ricordare, più una</w:t>
      </w:r>
    </w:p>
    <w:p>
      <w:pPr>
        <w:pStyle w:val="Compact"/>
        <w:numPr>
          <w:ilvl w:val="0"/>
          <w:numId w:val="1008"/>
        </w:numPr>
      </w:pPr>
      <w:r>
        <w:t xml:space="preserve">Il forame perde spazio in estensione e ne guadagna in flessione; la rotazione, misurata, non lo cambia.</w:t>
      </w:r>
    </w:p>
    <w:p>
      <w:pPr>
        <w:pStyle w:val="Compact"/>
        <w:numPr>
          <w:ilvl w:val="0"/>
          <w:numId w:val="1008"/>
        </w:numPr>
      </w:pPr>
      <w:r>
        <w:t xml:space="preserve">Il nervo sopporta il movimento scorrendo. Quando smette di scorrere, comincia a tirare.</w:t>
      </w:r>
    </w:p>
    <w:p>
      <w:pPr>
        <w:pStyle w:val="Compact"/>
        <w:numPr>
          <w:ilvl w:val="0"/>
          <w:numId w:val="1008"/>
        </w:numPr>
      </w:pPr>
      <w:r>
        <w:t xml:space="preserve">Il sangue attorno alla radice deve poter circolare: quando il forame si stringe, le vene sono le prime a cedere.</w:t>
      </w:r>
    </w:p>
    <w:p>
      <w:pPr>
        <w:pStyle w:val="Compact"/>
        <w:numPr>
          <w:ilvl w:val="0"/>
          <w:numId w:val="1008"/>
        </w:numPr>
      </w:pPr>
      <w:r>
        <w:rPr>
          <w:b/>
          <w:bCs/>
        </w:rPr>
        <w:t xml:space="preserve">Perché ci sei tu.</w:t>
      </w:r>
      <w:r>
        <w:t xml:space="preserve"> </w:t>
      </w:r>
      <w:r>
        <w:t xml:space="preserve">Il forame perde il</w:t>
      </w:r>
      <w:r>
        <w:t xml:space="preserve"> </w:t>
      </w:r>
      <w:r>
        <w:rPr>
          <w:b/>
          <w:bCs/>
        </w:rPr>
        <w:t xml:space="preserve">13% del diametro a 30 gradi di estensione e ne guadagna il 10% a 30 gradi di flessione</w:t>
      </w:r>
      <w:r>
        <w:t xml:space="preserve">. È una misura diretta su cinque rachidi cervicali umani di cadavere (Yoo,</w:t>
      </w:r>
      <w:r>
        <w:t xml:space="preserve"> </w:t>
      </w:r>
      <w:r>
        <w:rPr>
          <w:i/>
          <w:iCs/>
        </w:rPr>
        <w:t xml:space="preserve">Spine</w:t>
      </w:r>
      <w:r>
        <w:t xml:space="preserve"> </w:t>
      </w:r>
      <w:r>
        <w:t xml:space="preserve">1992, PMID 1440000).</w:t>
      </w:r>
      <w:r>
        <w:t xml:space="preserve"> </w:t>
      </w:r>
      <w:r>
        <w:rPr>
          <w:b/>
          <w:bCs/>
        </w:rPr>
        <w:t xml:space="preserve">Per te:</w:t>
      </w:r>
      <w:r>
        <w:t xml:space="preserve"> </w:t>
      </w:r>
      <w:r>
        <w:t xml:space="preserve">hai un dato quantitativo su cui costruire tutto il discorso della posizione — il cuscino, lo schermo, il modo di guardare in alto. Questo ti autorizza a insegnare al paziente quali posizioni gli costano e quali gli rendono. Non ti autorizza a dire che con le mani apri il forame: quel dato è di geometria, non di trattamento.</w:t>
      </w:r>
    </w:p>
    <w:p>
      <w:r>
        <w:pict>
          <v:rect style="width:0;height:1.5pt" o:hralign="center" o:hrstd="t" o:hr="t"/>
        </w:pict>
      </w:r>
    </w:p>
    <w:bookmarkEnd w:id="23"/>
    <w:bookmarkStart w:id="31" w:name="capitolo-5-cosa-si-rompe-i-meccanismi"/>
    <w:p>
      <w:pPr>
        <w:pStyle w:val="Heading2"/>
      </w:pPr>
      <w:r>
        <w:t xml:space="preserve">Capitolo 5 — Cosa si rompe: i meccanismi</w:t>
      </w:r>
    </w:p>
    <w:p>
      <w:pPr>
        <w:pStyle w:val="BlockText"/>
      </w:pPr>
      <w:r>
        <w:rPr>
          <w:b/>
          <w:bCs/>
        </w:rPr>
        <w:t xml:space="preserve">In una riga:</w:t>
      </w:r>
      <w:r>
        <w:t xml:space="preserve"> </w:t>
      </w:r>
      <w:r>
        <w:t xml:space="preserve">cinque cose sul nervo, dalla più solida alla meno — la porta che si stringe, la chimica che resta accesa, il nervo che non scorre, il secondo restringimento, la difesa che si installa — più una sesta in cui nessun nervo soffre.</w:t>
      </w:r>
    </w:p>
    <w:p>
      <w:pPr>
        <w:pStyle w:val="BlockText"/>
      </w:pPr>
      <w:r>
        <w:rPr>
          <w:b/>
          <w:bCs/>
        </w:rPr>
        <w:t xml:space="preserve">Definizione.</w:t>
      </w:r>
      <w:r>
        <w:t xml:space="preserve"> </w:t>
      </w:r>
      <w:r>
        <w:t xml:space="preserve">Il</w:t>
      </w:r>
      <w:r>
        <w:t xml:space="preserve"> </w:t>
      </w:r>
      <w:r>
        <w:rPr>
          <w:b/>
          <w:bCs/>
        </w:rPr>
        <w:t xml:space="preserve">compenso</w:t>
      </w:r>
      <w:r>
        <w:t xml:space="preserve"> </w:t>
      </w:r>
      <w:r>
        <w:t xml:space="preserve">è un adattamento che regge finché può. Il sintomo compare spesso dove il compenso ha ceduto, non dove il problema è nato.</w:t>
      </w:r>
    </w:p>
    <w:bookmarkStart w:id="24" w:name="X8908b99365e1b1215e864144f9b9f99344e3463"/>
    <w:p>
      <w:pPr>
        <w:pStyle w:val="Heading3"/>
      </w:pPr>
      <w:r>
        <w:t xml:space="preserve">1. La porta che si stringe quando guardi in alto</w:t>
      </w:r>
    </w:p>
    <w:p>
      <w:pPr>
        <w:pStyle w:val="Compact"/>
        <w:numPr>
          <w:ilvl w:val="0"/>
          <w:numId w:val="1009"/>
        </w:numPr>
      </w:pPr>
      <w:r>
        <w:t xml:space="preserve">Disco che sporge, artrosi dell’uncus, faccetta ingrossata: lo spazio del forame si riduce negli anni, in silenzio.</w:t>
      </w:r>
    </w:p>
    <w:p>
      <w:pPr>
        <w:pStyle w:val="Compact"/>
        <w:numPr>
          <w:ilvl w:val="0"/>
          <w:numId w:val="1009"/>
        </w:numPr>
      </w:pPr>
      <w:r>
        <w:t xml:space="preserve">Il collo va in</w:t>
      </w:r>
      <w:r>
        <w:t xml:space="preserve"> </w:t>
      </w:r>
      <w:r>
        <w:rPr>
          <w:b/>
          <w:bCs/>
        </w:rPr>
        <w:t xml:space="preserve">estensione</w:t>
      </w:r>
      <w:r>
        <w:t xml:space="preserve">: guardare in alto, fare retromarcia, dormire su un cuscino sbagliato. È l’estensione la posizione misurata. La rotazione, nello stesso studio, non ha cambiato il forame.</w:t>
      </w:r>
    </w:p>
    <w:p>
      <w:pPr>
        <w:pStyle w:val="Compact"/>
        <w:numPr>
          <w:ilvl w:val="0"/>
          <w:numId w:val="1009"/>
        </w:numPr>
      </w:pPr>
      <w:r>
        <w:t xml:space="preserve">Il forame perde un altro decimo del suo diametro, e questa volta il contenuto lo sente.</w:t>
      </w:r>
    </w:p>
    <w:p>
      <w:pPr>
        <w:pStyle w:val="Compact"/>
        <w:numPr>
          <w:ilvl w:val="0"/>
          <w:numId w:val="1009"/>
        </w:numPr>
      </w:pPr>
      <w:r>
        <w:rPr>
          <w:b/>
          <w:bCs/>
        </w:rPr>
        <w:t xml:space="preserve">Il restringimento schiaccia per prime le vene.</w:t>
      </w:r>
      <w:r>
        <w:t xml:space="preserve"> </w:t>
      </w:r>
      <w:r>
        <w:t xml:space="preserve">Il sangue ristagna, la barriera fra sangue e nervo cede, il liquido esce. La radice si gonfia dentro uno spazio che non cede, e da lì partono ischemia e sensibilizzazione chimica.</w:t>
      </w:r>
    </w:p>
    <w:p>
      <w:pPr>
        <w:pStyle w:val="Compact"/>
        <w:numPr>
          <w:ilvl w:val="0"/>
          <w:numId w:val="1009"/>
        </w:numPr>
      </w:pPr>
      <w:r>
        <w:t xml:space="preserve">Ora la scarica parte, sempre lungo la stessa linea,</w:t>
      </w:r>
      <w:r>
        <w:t xml:space="preserve"> </w:t>
      </w:r>
      <w:r>
        <w:rPr>
          <w:b/>
          <w:bCs/>
        </w:rPr>
        <w:t xml:space="preserve">e non si spegne quando il paziente smette di guardare in alto.</w:t>
      </w:r>
      <w:r>
        <w:t xml:space="preserve"> </w:t>
      </w:r>
      <w:r>
        <w:t xml:space="preserve">Una radice sana schiacciata per un istante tace quasi subito: è l’anello vascolare a spiegare il dolore che resta.</w:t>
      </w:r>
    </w:p>
    <w:p>
      <w:pPr>
        <w:pStyle w:val="Compact"/>
        <w:numPr>
          <w:ilvl w:val="0"/>
          <w:numId w:val="1009"/>
        </w:numPr>
      </w:pPr>
      <w:r>
        <w:t xml:space="preserve">Il paziente scopre da solo che sollevando il braccio sopra la testa il dolore cala, e quella posizione se la tiene.</w:t>
      </w:r>
    </w:p>
    <w:p>
      <w:pPr>
        <w:pStyle w:val="BlockText"/>
      </w:pPr>
      <w:r>
        <w:rPr>
          <w:b/>
          <w:bCs/>
        </w:rPr>
        <w:t xml:space="preserve">Quanto è solido:</w:t>
      </w:r>
      <w:r>
        <w:t xml:space="preserve"> </w:t>
      </w:r>
      <w:r>
        <w:t xml:space="preserve">l’etichetta si spezza, perché i tre pezzi non hanno la stessa forza.</w:t>
      </w:r>
      <w:r>
        <w:t xml:space="preserve"> </w:t>
      </w:r>
      <w:r>
        <w:rPr>
          <w:b/>
          <w:bCs/>
        </w:rPr>
        <w:t xml:space="preserve">Geometria: DIMOSTRATO</w:t>
      </w:r>
      <w:r>
        <w:t xml:space="preserve"> </w:t>
      </w:r>
      <w:r>
        <w:rPr>
          <w:i/>
          <w:iCs/>
        </w:rPr>
        <w:t xml:space="preserve">(studi sull’uomo, solidi)</w:t>
      </w:r>
      <w:r>
        <w:t xml:space="preserve"> </w:t>
      </w:r>
      <w:r>
        <w:t xml:space="preserve">— misura sperimentale diretta, su</w:t>
      </w:r>
      <w:r>
        <w:t xml:space="preserve"> </w:t>
      </w:r>
      <w:r>
        <w:rPr>
          <w:b/>
          <w:bCs/>
        </w:rPr>
        <w:t xml:space="preserve">cinque rachidi cervicali di cadavere</w:t>
      </w:r>
      <w:r>
        <w:t xml:space="preserve"> </w:t>
      </w:r>
      <w:r>
        <w:t xml:space="preserve">(Yoo,</w:t>
      </w:r>
      <w:r>
        <w:t xml:space="preserve"> </w:t>
      </w:r>
      <w:r>
        <w:rPr>
          <w:i/>
          <w:iCs/>
        </w:rPr>
        <w:t xml:space="preserve">Spine</w:t>
      </w:r>
      <w:r>
        <w:t xml:space="preserve"> </w:t>
      </w:r>
      <w:r>
        <w:t xml:space="preserve">1992, PMID 1440000).</w:t>
      </w:r>
      <w:r>
        <w:t xml:space="preserve"> </w:t>
      </w:r>
      <w:r>
        <w:rPr>
          <w:b/>
          <w:bCs/>
        </w:rPr>
        <w:t xml:space="preserve">Anello vascolare: PROBABILE</w:t>
      </w:r>
      <w:r>
        <w:t xml:space="preserve"> </w:t>
      </w:r>
      <w:r>
        <w:rPr>
          <w:i/>
          <w:iCs/>
        </w:rPr>
        <w:t xml:space="preserve">(razionale forte, prove parziali)</w:t>
      </w:r>
      <w:r>
        <w:t xml:space="preserve"> </w:t>
      </w:r>
      <w:r>
        <w:t xml:space="preserve">— la congestione venosa rompe la barriera emato-nervosa e produce edema intraradicolare più facilmente dell’ischemia arteriosa, misurato su radici lombari animali (Olmarker,</w:t>
      </w:r>
      <w:r>
        <w:t xml:space="preserve"> </w:t>
      </w:r>
      <w:r>
        <w:rPr>
          <w:i/>
          <w:iCs/>
        </w:rPr>
        <w:t xml:space="preserve">Spine</w:t>
      </w:r>
      <w:r>
        <w:t xml:space="preserve"> </w:t>
      </w:r>
      <w:r>
        <w:t xml:space="preserve">1989, PMID 2546258; Kobayashi,</w:t>
      </w:r>
      <w:r>
        <w:t xml:space="preserve"> </w:t>
      </w:r>
      <w:r>
        <w:rPr>
          <w:i/>
          <w:iCs/>
        </w:rPr>
        <w:t xml:space="preserve">Spine</w:t>
      </w:r>
      <w:r>
        <w:t xml:space="preserve"> </w:t>
      </w:r>
      <w:r>
        <w:t xml:space="preserve">2008, PMID 18536056).</w:t>
      </w:r>
      <w:r>
        <w:t xml:space="preserve"> </w:t>
      </w:r>
      <w:r>
        <w:rPr>
          <w:b/>
          <w:bCs/>
        </w:rPr>
        <w:t xml:space="preserve">Misurato su radici lombari di animale, non su radici cervicali umane — e misura la formazione di edema, non il dolore di un paziente.</w:t>
      </w:r>
      <w:r>
        <w:t xml:space="preserve"> </w:t>
      </w:r>
      <w:r>
        <w:rPr>
          <w:b/>
          <w:bCs/>
        </w:rPr>
        <w:t xml:space="preserve">Passo clinico — che sia questo a far male a questo paziente: PROBABILE</w:t>
      </w:r>
      <w:r>
        <w:t xml:space="preserve"> </w:t>
      </w:r>
      <w:r>
        <w:rPr>
          <w:i/>
          <w:iCs/>
        </w:rPr>
        <w:t xml:space="preserve">(razionale forte, prove parziali)</w:t>
      </w:r>
      <w:r>
        <w:t xml:space="preserve"> </w:t>
      </w:r>
      <w:r>
        <w:t xml:space="preserve">— regge sullo Spurling, specificità da 0,84 a 1,00 ma con intervallo da 0,56 a 1,00 e certezza dell’evidenza da bassa a molto bassa (Thoomes,</w:t>
      </w:r>
      <w:r>
        <w:t xml:space="preserve"> </w:t>
      </w:r>
      <w:r>
        <w:rPr>
          <w:i/>
          <w:iCs/>
        </w:rPr>
        <w:t xml:space="preserve">BMC Musculoskelet Disord</w:t>
      </w:r>
      <w:r>
        <w:t xml:space="preserve"> </w:t>
      </w:r>
      <w:r>
        <w:t xml:space="preserve">2026, PMID 41680685).</w:t>
      </w:r>
    </w:p>
    <w:p>
      <w:pPr>
        <w:pStyle w:val="FirstParagraph"/>
      </w:pPr>
      <w:r>
        <w:rPr>
          <w:b/>
          <w:bCs/>
        </w:rPr>
        <w:t xml:space="preserve">Come si vede addosso al paziente.</w:t>
      </w:r>
      <w:r>
        <w:t xml:space="preserve"> </w:t>
      </w:r>
      <w:r>
        <w:t xml:space="preserve">Peggiora guardando in alto e girandosi da quel lato. Migliora in flessione, in trazione manuale leggera e con il braccio sopra la testa: è il</w:t>
      </w:r>
      <w:r>
        <w:t xml:space="preserve"> </w:t>
      </w:r>
      <w:r>
        <w:rPr>
          <w:b/>
          <w:bCs/>
        </w:rPr>
        <w:t xml:space="preserve">segno di sollievo per abduzione della spalla</w:t>
      </w:r>
      <w:r>
        <w:t xml:space="preserve">, descritto per la prima volta su 22 pazienti con radicolopatia da compressione, di cui 15 traevano beneficio (Davidson,</w:t>
      </w:r>
      <w:r>
        <w:t xml:space="preserve"> </w:t>
      </w:r>
      <w:r>
        <w:rPr>
          <w:i/>
          <w:iCs/>
        </w:rPr>
        <w:t xml:space="preserve">Spine</w:t>
      </w:r>
      <w:r>
        <w:t xml:space="preserve"> </w:t>
      </w:r>
      <w:r>
        <w:t xml:space="preserve">1981, PMID 7302677). Lo Spurling riproduce il sintomo distale, non solo il dolore locale.</w:t>
      </w:r>
    </w:p>
    <w:p>
      <w:pPr>
        <w:pStyle w:val="BlockText"/>
      </w:pPr>
      <w:r>
        <w:rPr>
          <w:b/>
          <w:bCs/>
        </w:rPr>
        <w:t xml:space="preserve">Attenzione.</w:t>
      </w:r>
      <w:r>
        <w:t xml:space="preserve"> </w:t>
      </w:r>
      <w:r>
        <w:t xml:space="preserve">La trazione, anche manuale e leggera, ha controindicazioni proprie: instabilità legamentosa e artrite reumatoide, mielopatia, insufficienza vertebro-basilare, neoplasia e infezione del rachide, osteoporosi severa. Vanno escluse prima, in anamnesi, non durante.</w:t>
      </w:r>
    </w:p>
    <w:p>
      <w:pPr>
        <w:pStyle w:val="FirstParagraph"/>
      </w:pPr>
      <w:r>
        <w:rPr>
          <w:b/>
          <w:bCs/>
        </w:rPr>
        <w:t xml:space="preserve">La fisarmonica che si chiude da dietro: davanti le pieghe si aprono, dietro si serrano — e il nervo esce da dietro.</w:t>
      </w:r>
    </w:p>
    <w:bookmarkEnd w:id="24"/>
    <w:bookmarkStart w:id="26" w:name="la-chimica-che-resta-accesa"/>
    <w:p>
      <w:pPr>
        <w:pStyle w:val="Heading3"/>
      </w:pPr>
      <w:r>
        <w:t xml:space="preserve">2. La chimica che resta accesa</w:t>
      </w:r>
    </w:p>
    <w:p>
      <w:pPr>
        <w:pStyle w:val="Compact"/>
        <w:numPr>
          <w:ilvl w:val="0"/>
          <w:numId w:val="1010"/>
        </w:numPr>
      </w:pPr>
      <w:r>
        <w:rPr>
          <w:b/>
          <w:bCs/>
        </w:rPr>
        <w:t xml:space="preserve">Il ganglio è meccanosensibile anche da sano.</w:t>
      </w:r>
      <w:r>
        <w:t xml:space="preserve"> </w:t>
      </w:r>
      <w:r>
        <w:t xml:space="preserve">Caricato per un istante, scarica per minuti. Nel modello animale, una compressione minima del ganglio normale produce</w:t>
      </w:r>
      <w:r>
        <w:t xml:space="preserve"> </w:t>
      </w:r>
      <w:r>
        <w:rPr>
          <w:b/>
          <w:bCs/>
        </w:rPr>
        <w:t xml:space="preserve">scariche ripetitive per 5-25 minuti</w:t>
      </w:r>
      <w:r>
        <w:t xml:space="preserve">, mentre la stessa compressione su una radice normale dà solo pochi secondi (Howe,</w:t>
      </w:r>
      <w:r>
        <w:t xml:space="preserve"> </w:t>
      </w:r>
      <w:r>
        <w:rPr>
          <w:i/>
          <w:iCs/>
        </w:rPr>
        <w:t xml:space="preserve">Pain</w:t>
      </w:r>
      <w:r>
        <w:t xml:space="preserve"> </w:t>
      </w:r>
      <w:r>
        <w:t xml:space="preserve">1977, PMID 195255). È una proprietà della struttura, non un effetto dell’infiammazione.</w:t>
      </w:r>
    </w:p>
    <w:p>
      <w:pPr>
        <w:pStyle w:val="Compact"/>
        <w:numPr>
          <w:ilvl w:val="0"/>
          <w:numId w:val="1010"/>
        </w:numPr>
      </w:pPr>
      <w:r>
        <w:t xml:space="preserve">Materiale discale e infiammazione mettono la radice e il suo ganglio in uno stato di irritazione chimica.</w:t>
      </w:r>
    </w:p>
    <w:p>
      <w:pPr>
        <w:pStyle w:val="Compact"/>
        <w:numPr>
          <w:ilvl w:val="0"/>
          <w:numId w:val="1010"/>
        </w:numPr>
      </w:pPr>
      <w:r>
        <w:rPr>
          <w:b/>
          <w:bCs/>
        </w:rPr>
        <w:t xml:space="preserve">L’infiammazione aggiunge due cose.</w:t>
      </w:r>
      <w:r>
        <w:t xml:space="preserve"> </w:t>
      </w:r>
      <w:r>
        <w:t xml:space="preserve">Rende meccanosensibile anche la radice, che da sana taceva. E apre un’</w:t>
      </w:r>
      <w:r>
        <w:rPr>
          <w:b/>
          <w:bCs/>
        </w:rPr>
        <w:t xml:space="preserve">attività spontanea che non ha bisogno del movimento</w:t>
      </w:r>
      <w:r>
        <w:t xml:space="preserve"> </w:t>
      </w:r>
      <w:r>
        <w:t xml:space="preserve">per esserci.</w:t>
      </w:r>
    </w:p>
    <w:p>
      <w:pPr>
        <w:pStyle w:val="Compact"/>
        <w:numPr>
          <w:ilvl w:val="0"/>
          <w:numId w:val="1010"/>
        </w:numPr>
      </w:pPr>
      <w:r>
        <w:t xml:space="preserve">Il paziente ha male a riposo, di notte, senza aver fatto niente. È questo il segno che discrimina la componente chimica, non la scossa lunga: la scossa lunga la dà anche un ganglio sano caricato dalla porta che si stringe.</w:t>
      </w:r>
    </w:p>
    <w:p>
      <w:pPr>
        <w:pStyle w:val="Compact"/>
        <w:numPr>
          <w:ilvl w:val="0"/>
          <w:numId w:val="1010"/>
        </w:numPr>
      </w:pPr>
      <w:r>
        <w:t xml:space="preserve">Il dolore non aggiunge contrazione ovunque:</w:t>
      </w:r>
      <w:r>
        <w:t xml:space="preserve"> </w:t>
      </w:r>
      <w:r>
        <w:rPr>
          <w:b/>
          <w:bCs/>
        </w:rPr>
        <w:t xml:space="preserve">ridistribuisce il lavoro.</w:t>
      </w:r>
      <w:r>
        <w:t xml:space="preserve"> </w:t>
      </w:r>
      <w:r>
        <w:t xml:space="preserve">Alcuni muscoli lavorano di più, altri di meno, e il movimento cambia forma. Protegge nel breve e costa nel lungo (Hodges e Tucker,</w:t>
      </w:r>
      <w:r>
        <w:t xml:space="preserve"> </w:t>
      </w:r>
      <w:r>
        <w:rPr>
          <w:i/>
          <w:iCs/>
        </w:rPr>
        <w:t xml:space="preserve">Pain</w:t>
      </w:r>
      <w:r>
        <w:t xml:space="preserve"> </w:t>
      </w:r>
      <w:r>
        <w:t xml:space="preserve">2011, PMID 21087823).</w:t>
      </w:r>
      <w:r>
        <w:t xml:space="preserve"> </w:t>
      </w:r>
      <w:r>
        <w:rPr>
          <w:b/>
          <w:bCs/>
        </w:rPr>
        <w:t xml:space="preserve">Misurato sul dolore muscoloscheletrico in generale, non su cervicobrachialgia — e descrive un adattamento motorio, non l’esito di un trattamento.</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la meccanosensibilità del ganglio è dimostrata nell’animale. Che l’infiammazione l’amplifichi nell’uomo non è misurato direttamente: il sostegno è indiretto. Circa la metà dei pazienti ottiene almeno il dimezzamento del dolore dopo infiltrazione peridurale di cortisone, in studi senza gruppo di controllo e di qualità molto bassa (Conger,</w:t>
      </w:r>
      <w:r>
        <w:t xml:space="preserve"> </w:t>
      </w:r>
      <w:r>
        <w:rPr>
          <w:i/>
          <w:iCs/>
        </w:rPr>
        <w:t xml:space="preserve">Pain Med</w:t>
      </w:r>
      <w:r>
        <w:t xml:space="preserve"> </w:t>
      </w:r>
      <w:r>
        <w:t xml:space="preserve">2020, PMID 31181148).</w:t>
      </w:r>
    </w:p>
    <w:p>
      <w:pPr>
        <w:pStyle w:val="FirstParagraph"/>
      </w:pPr>
      <w:r>
        <w:rPr>
          <w:b/>
          <w:bCs/>
        </w:rPr>
        <w:t xml:space="preserve">Come si vede addosso al paziente.</w:t>
      </w:r>
      <w:r>
        <w:t xml:space="preserve"> </w:t>
      </w:r>
      <w:r>
        <w:t xml:space="preserve">Il dolore c’è a riposo e di notte, non trova posizione, e non ha bisogno di un movimento per accendersi. Il cortisone ha funzionato bene e per poco. La contrattura torna identica entro un giorno o due da qualunque cosa tu faccia: non è un fallimento, è la firma del meccanismo.</w:t>
      </w:r>
    </w:p>
    <w:p>
      <w:pPr>
        <w:pStyle w:val="BodyText"/>
      </w:pPr>
      <w:r>
        <w:rPr>
          <w:b/>
          <w:bCs/>
        </w:rPr>
        <w:t xml:space="preserve">La piastra elettrica che hai spento: la corrente è andata via da un pezzo, e la pentola sopra continua a bollire.</w:t>
      </w:r>
    </w:p>
    <w:bookmarkStart w:id="25" w:name="X65e740aacd976c8b143f4422812f0b79455c5ba"/>
    <w:p>
      <w:pPr>
        <w:pStyle w:val="Heading4"/>
      </w:pPr>
      <w:r>
        <w:t xml:space="preserve">La coda che serve su ogni paziente: quanto è irritabile quel nervo oggi</w:t>
      </w:r>
    </w:p>
    <w:p>
      <w:pPr>
        <w:pStyle w:val="FirstParagraph"/>
      </w:pPr>
      <w:r>
        <w:t xml:space="preserve">L’irritabilità non è un sottotipo. È una</w:t>
      </w:r>
      <w:r>
        <w:t xml:space="preserve"> </w:t>
      </w:r>
      <w:r>
        <w:rPr>
          <w:b/>
          <w:bCs/>
        </w:rPr>
        <w:t xml:space="preserve">dimensione graduata</w:t>
      </w:r>
      <w:r>
        <w:t xml:space="preserve"> </w:t>
      </w:r>
      <w:r>
        <w:t xml:space="preserve">che li attraversa tutti, e decide direzione e ampiezza di quello che farai prima ancora del bersaglio. Si legge in cinque minuti di anamnesi, da quattro cose:</w:t>
      </w:r>
      <w:r>
        <w:t xml:space="preserve"> </w:t>
      </w:r>
      <w:r>
        <w:rPr>
          <w:b/>
          <w:bCs/>
        </w:rPr>
        <w:t xml:space="preserve">quanto poco movimento</w:t>
      </w:r>
      <w:r>
        <w:t xml:space="preserve"> </w:t>
      </w:r>
      <w:r>
        <w:t xml:space="preserve">serve ad accendere il sintomo,</w:t>
      </w:r>
      <w:r>
        <w:t xml:space="preserve"> </w:t>
      </w:r>
      <w:r>
        <w:rPr>
          <w:b/>
          <w:bCs/>
        </w:rPr>
        <w:t xml:space="preserve">quanto in fretta</w:t>
      </w:r>
      <w:r>
        <w:t xml:space="preserve"> </w:t>
      </w:r>
      <w:r>
        <w:t xml:space="preserve">compare,</w:t>
      </w:r>
      <w:r>
        <w:t xml:space="preserve"> </w:t>
      </w:r>
      <w:r>
        <w:rPr>
          <w:b/>
          <w:bCs/>
        </w:rPr>
        <w:t xml:space="preserve">quanto ci mette a spegnersi</w:t>
      </w:r>
      <w:r>
        <w:t xml:space="preserve"> </w:t>
      </w:r>
      <w:r>
        <w:t xml:space="preserve">dopo che il movimento è finito, e se c’è</w:t>
      </w:r>
      <w:r>
        <w:t xml:space="preserve"> </w:t>
      </w:r>
      <w:r>
        <w:rPr>
          <w:b/>
          <w:bCs/>
        </w:rPr>
        <w:t xml:space="preserve">sintomo a riposo o di notte</w:t>
      </w:r>
      <w:r>
        <w:t xml:space="preserve">. Poco movimento, spegnimento lento e dolore a riposo: nervo molto irritabile.</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 è una griglia di condotta, non un test validato.</w:t>
      </w:r>
    </w:p>
    <w:p>
      <w:pPr>
        <w:pStyle w:val="BlockText"/>
      </w:pPr>
      <w:r>
        <w:rPr>
          <w:b/>
          <w:bCs/>
        </w:rPr>
        <w:t xml:space="preserve">Cosa cambia per te.</w:t>
      </w:r>
      <w:r>
        <w:t xml:space="preserve"> </w:t>
      </w:r>
      <w:r>
        <w:t xml:space="preserve">Alta irritabilità significa lavorare</w:t>
      </w:r>
      <w:r>
        <w:t xml:space="preserve"> </w:t>
      </w:r>
      <w:r>
        <w:rPr>
          <w:b/>
          <w:bCs/>
        </w:rPr>
        <w:t xml:space="preserve">più lontano</w:t>
      </w:r>
      <w:r>
        <w:t xml:space="preserve"> </w:t>
      </w:r>
      <w:r>
        <w:t xml:space="preserve">dal punto e verificare su</w:t>
      </w:r>
      <w:r>
        <w:t xml:space="preserve"> </w:t>
      </w:r>
      <w:r>
        <w:rPr>
          <w:b/>
          <w:bCs/>
        </w:rPr>
        <w:t xml:space="preserve">meno</w:t>
      </w:r>
      <w:r>
        <w:t xml:space="preserve"> </w:t>
      </w:r>
      <w:r>
        <w:t xml:space="preserve">movimento. Non significa lavorare di meno. È l’unica lettura che, sbagliata, ti restituisce il paziente peggiorato per tre giorni — e spesso non te lo restituisce affatto.</w:t>
      </w:r>
    </w:p>
    <w:bookmarkEnd w:id="25"/>
    <w:bookmarkEnd w:id="26"/>
    <w:bookmarkStart w:id="27" w:name="il-nervo-che-non-scorre-più"/>
    <w:p>
      <w:pPr>
        <w:pStyle w:val="Heading3"/>
      </w:pPr>
      <w:r>
        <w:t xml:space="preserve">3. Il nervo che non scorre più</w:t>
      </w:r>
    </w:p>
    <w:p>
      <w:pPr>
        <w:pStyle w:val="Compact"/>
        <w:numPr>
          <w:ilvl w:val="0"/>
          <w:numId w:val="1011"/>
        </w:numPr>
      </w:pPr>
      <w:r>
        <w:t xml:space="preserve">In un punto della strada il tessuto attorno al nervo perde il gioco: edema, aderenza, ispessimento.</w:t>
      </w:r>
    </w:p>
    <w:p>
      <w:pPr>
        <w:pStyle w:val="Compact"/>
        <w:numPr>
          <w:ilvl w:val="0"/>
          <w:numId w:val="1011"/>
        </w:numPr>
      </w:pPr>
      <w:r>
        <w:t xml:space="preserve">Il nervo smette di scorrere lì e comincia a tendersi.</w:t>
      </w:r>
    </w:p>
    <w:p>
      <w:pPr>
        <w:pStyle w:val="Compact"/>
        <w:numPr>
          <w:ilvl w:val="0"/>
          <w:numId w:val="1011"/>
        </w:numPr>
      </w:pPr>
      <w:r>
        <w:t xml:space="preserve">Il resto del percorso si allunga per compensare. La differenza è misurabile: una tecnica di scorrimento produce</w:t>
      </w:r>
      <w:r>
        <w:t xml:space="preserve"> </w:t>
      </w:r>
      <w:r>
        <w:rPr>
          <w:b/>
          <w:bCs/>
        </w:rPr>
        <w:t xml:space="preserve">12,6 millimetri di escursione del mediano al polso contro 6,1 di una tecnica di tensione</w:t>
      </w:r>
      <w:r>
        <w:t xml:space="preserve">, e lo fa con</w:t>
      </w:r>
      <w:r>
        <w:t xml:space="preserve"> </w:t>
      </w:r>
      <w:r>
        <w:rPr>
          <w:b/>
          <w:bCs/>
        </w:rPr>
        <w:t xml:space="preserve">0,8% di deformazione contro 6,8%</w:t>
      </w:r>
      <w:r>
        <w:t xml:space="preserve"> </w:t>
      </w:r>
      <w:r>
        <w:t xml:space="preserve">(Coppieters e Butler,</w:t>
      </w:r>
      <w:r>
        <w:t xml:space="preserve"> </w:t>
      </w:r>
      <w:r>
        <w:rPr>
          <w:i/>
          <w:iCs/>
        </w:rPr>
        <w:t xml:space="preserve">Man Ther</w:t>
      </w:r>
      <w:r>
        <w:t xml:space="preserve"> </w:t>
      </w:r>
      <w:r>
        <w:t xml:space="preserve">2008, PMID 17398140). La stessa differenza è stata poi misurata</w:t>
      </w:r>
      <w:r>
        <w:t xml:space="preserve"> </w:t>
      </w:r>
      <w:r>
        <w:rPr>
          <w:b/>
          <w:bCs/>
        </w:rPr>
        <w:t xml:space="preserve">nel vivente</w:t>
      </w:r>
      <w:r>
        <w:t xml:space="preserve">, con l’ecografia dinamica su quindici volontari sani: una tecnica di scorrimento muove il mediano al braccio di</w:t>
      </w:r>
      <w:r>
        <w:t xml:space="preserve"> </w:t>
      </w:r>
      <w:r>
        <w:rPr>
          <w:b/>
          <w:bCs/>
        </w:rPr>
        <w:t xml:space="preserve">10,2 millimetri contro 1,8</w:t>
      </w:r>
      <w:r>
        <w:t xml:space="preserve"> </w:t>
      </w:r>
      <w:r>
        <w:t xml:space="preserve">di una tecnica di tensione (Coppieters,</w:t>
      </w:r>
      <w:r>
        <w:t xml:space="preserve"> </w:t>
      </w:r>
      <w:r>
        <w:rPr>
          <w:i/>
          <w:iCs/>
        </w:rPr>
        <w:t xml:space="preserve">JOSPT</w:t>
      </w:r>
      <w:r>
        <w:t xml:space="preserve"> </w:t>
      </w:r>
      <w:r>
        <w:t xml:space="preserve">2009, PMID 19252262).</w:t>
      </w:r>
      <w:r>
        <w:t xml:space="preserve"> </w:t>
      </w:r>
      <w:r>
        <w:rPr>
          <w:b/>
          <w:bCs/>
        </w:rPr>
        <w:t xml:space="preserve">Misurato su quindici volontari sani senza sintomi, non su pazienti con cervicobrachialgia — e misura un movimento del nervo, non un esito clinico.</w:t>
      </w:r>
    </w:p>
    <w:p>
      <w:pPr>
        <w:pStyle w:val="Compact"/>
        <w:numPr>
          <w:ilvl w:val="0"/>
          <w:numId w:val="1011"/>
        </w:numPr>
      </w:pPr>
      <w:r>
        <w:t xml:space="preserve">Il sistema nervoso, a monte, si sensibilizza: l’infiammazione si estende al ganglio e al midollo.</w:t>
      </w:r>
    </w:p>
    <w:p>
      <w:pPr>
        <w:pStyle w:val="Compact"/>
        <w:numPr>
          <w:ilvl w:val="0"/>
          <w:numId w:val="1011"/>
        </w:numPr>
      </w:pPr>
      <w:r>
        <w:t xml:space="preserve">I sintomi smettono di rispettare il territorio della radice e si allargano (Schmid, Nee e Coppieters,</w:t>
      </w:r>
      <w:r>
        <w:t xml:space="preserve"> </w:t>
      </w:r>
      <w:r>
        <w:rPr>
          <w:i/>
          <w:iCs/>
        </w:rPr>
        <w:t xml:space="preserve">Man Ther</w:t>
      </w:r>
      <w:r>
        <w:t xml:space="preserve"> </w:t>
      </w:r>
      <w:r>
        <w:t xml:space="preserve">2013, PMID 24008054).</w:t>
      </w:r>
    </w:p>
    <w:p>
      <w:pPr>
        <w:pStyle w:val="BlockText"/>
      </w:pPr>
      <w:r>
        <w:rPr>
          <w:b/>
          <w:bCs/>
        </w:rPr>
        <w:t xml:space="preserve">Quanto è solido:</w:t>
      </w:r>
      <w:r>
        <w:t xml:space="preserve"> </w:t>
      </w:r>
      <w:r>
        <w:t xml:space="preserve">l’etichetta si spezza, perché i due pezzi non hanno la stessa forza.</w:t>
      </w:r>
      <w:r>
        <w:t xml:space="preserve"> </w:t>
      </w:r>
      <w:r>
        <w:rPr>
          <w:b/>
          <w:bCs/>
        </w:rPr>
        <w:t xml:space="preserve">Che scorrimento e tensione producano effetti meccanici diversi sullo stesso nervo: DIMOSTRATO</w:t>
      </w:r>
      <w:r>
        <w:t xml:space="preserve"> </w:t>
      </w:r>
      <w:r>
        <w:rPr>
          <w:i/>
          <w:iCs/>
        </w:rPr>
        <w:t xml:space="preserve">(studi sull’uomo, solidi)</w:t>
      </w:r>
      <w:r>
        <w:t xml:space="preserve"> </w:t>
      </w:r>
      <w:r>
        <w:t xml:space="preserve">— misura sperimentale diretta, prima sul cadavere e poi nel vivente con l’ecografia dinamica (Coppieters e Butler,</w:t>
      </w:r>
      <w:r>
        <w:t xml:space="preserve"> </w:t>
      </w:r>
      <w:r>
        <w:rPr>
          <w:i/>
          <w:iCs/>
        </w:rPr>
        <w:t xml:space="preserve">Man Ther</w:t>
      </w:r>
      <w:r>
        <w:t xml:space="preserve"> </w:t>
      </w:r>
      <w:r>
        <w:t xml:space="preserve">2008, PMID 17398140; Coppieters,</w:t>
      </w:r>
      <w:r>
        <w:t xml:space="preserve"> </w:t>
      </w:r>
      <w:r>
        <w:rPr>
          <w:i/>
          <w:iCs/>
        </w:rPr>
        <w:t xml:space="preserve">JOSPT</w:t>
      </w:r>
      <w:r>
        <w:t xml:space="preserve"> </w:t>
      </w:r>
      <w:r>
        <w:t xml:space="preserve">2009, PMID 19252262).</w:t>
      </w:r>
      <w:r>
        <w:t xml:space="preserve"> </w:t>
      </w:r>
      <w:r>
        <w:rPr>
          <w:b/>
          <w:bCs/>
        </w:rPr>
        <w:t xml:space="preserve">L’etichetta della leva non si muove:</w:t>
      </w:r>
      <w:r>
        <w:t xml:space="preserve"> </w:t>
      </w:r>
      <w:r>
        <w:t xml:space="preserve">lo scorrimento come strumento del paziente resta PROBABILE in «Cosa può fare il paziente da solo».</w:t>
      </w:r>
      <w:r>
        <w:t xml:space="preserve"> </w:t>
      </w:r>
      <w:r>
        <w:rPr>
          <w:b/>
          <w:bCs/>
        </w:rPr>
        <w:t xml:space="preserve">Che sia questo a far male a questo paziente: PROBABILE</w:t>
      </w:r>
      <w:r>
        <w:t xml:space="preserve"> </w:t>
      </w:r>
      <w:r>
        <w:rPr>
          <w:i/>
          <w:iCs/>
        </w:rPr>
        <w:t xml:space="preserve">(razionale forte, prove parziali)</w:t>
      </w:r>
      <w:r>
        <w:t xml:space="preserve"> </w:t>
      </w:r>
      <w:r>
        <w:t xml:space="preserve">— l’estensione dei sintomi fuori dal territorio della radice ha un razionale sperimentale animale e un’osservazione clinica coerente.</w:t>
      </w:r>
    </w:p>
    <w:p>
      <w:pPr>
        <w:pStyle w:val="FirstParagraph"/>
      </w:pPr>
      <w:r>
        <w:rPr>
          <w:b/>
          <w:bCs/>
        </w:rPr>
        <w:t xml:space="preserve">Come si vede addosso al paziente.</w:t>
      </w:r>
      <w:r>
        <w:t xml:space="preserve"> </w:t>
      </w:r>
      <w:r>
        <w:t xml:space="preserve">Il test neurodinamico dell’arto superiore riproduce il sintomo, e il sintomo</w:t>
      </w:r>
      <w:r>
        <w:t xml:space="preserve"> </w:t>
      </w:r>
      <w:r>
        <w:rPr>
          <w:b/>
          <w:bCs/>
        </w:rPr>
        <w:t xml:space="preserve">cambia muovendo il collo o il polso a gomito fermo</w:t>
      </w:r>
      <w:r>
        <w:t xml:space="preserve">. I sintomi occupano un’area più larga di un dermatomero. Il paziente descrive un tirare, non solo un dolore.</w:t>
      </w:r>
    </w:p>
    <w:p>
      <w:pPr>
        <w:pStyle w:val="BodyText"/>
      </w:pPr>
      <w:r>
        <w:rPr>
          <w:b/>
          <w:bCs/>
        </w:rPr>
        <w:t xml:space="preserve">Il nastro della tapparella che ha perso il gioco nel cassonetto: la tapparella sale lo stesso, ma tira sempre nello stesso punto, e lì si consuma.</w:t>
      </w:r>
    </w:p>
    <w:bookmarkEnd w:id="27"/>
    <w:bookmarkStart w:id="28" w:name="X7000414f6d0686d2b16def777e72a15d2377796"/>
    <w:p>
      <w:pPr>
        <w:pStyle w:val="Heading3"/>
      </w:pPr>
      <w:r>
        <w:t xml:space="preserve">4. Il secondo restringimento lungo la strada</w:t>
      </w:r>
    </w:p>
    <w:p>
      <w:pPr>
        <w:pStyle w:val="Compact"/>
        <w:numPr>
          <w:ilvl w:val="0"/>
          <w:numId w:val="1012"/>
        </w:numPr>
      </w:pPr>
      <w:r>
        <w:t xml:space="preserve">Il tronco nervoso passa fra gli scaleni, sopra la prima costa, sotto la clavicola e sotto il piccolo pettorale.</w:t>
      </w:r>
    </w:p>
    <w:p>
      <w:pPr>
        <w:pStyle w:val="Compact"/>
        <w:numPr>
          <w:ilvl w:val="0"/>
          <w:numId w:val="1012"/>
        </w:numPr>
      </w:pPr>
      <w:r>
        <w:t xml:space="preserve">Un respiro alto tiene gli scaleni in lavoro continuo e la prima costa in alto; una scapola protratta e depressa chiude lo spazio sotto la clavicola.</w:t>
      </w:r>
    </w:p>
    <w:p>
      <w:pPr>
        <w:pStyle w:val="Compact"/>
        <w:numPr>
          <w:ilvl w:val="0"/>
          <w:numId w:val="1012"/>
        </w:numPr>
      </w:pPr>
      <w:r>
        <w:t xml:space="preserve">Nessuno di questi restringimenti, da solo, produrrebbe il sintomo. Sommato al primo, cambia la soglia a cui il braccio comincia a parlare.</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 l’idea che una sofferenza nervosa in un punto renda il nervo più vulnerabile in un altro divide gli esperti. Lo ha misurato uno</w:t>
      </w:r>
      <w:r>
        <w:t xml:space="preserve"> </w:t>
      </w:r>
      <w:r>
        <w:rPr>
          <w:b/>
          <w:bCs/>
        </w:rPr>
        <w:t xml:space="preserve">studio Delphi</w:t>
      </w:r>
      <w:r>
        <w:t xml:space="preserve">, cioè un sondaggio strutturato in cui un gruppo di esperti converge su un giudizio in più giri. Su</w:t>
      </w:r>
      <w:r>
        <w:t xml:space="preserve"> </w:t>
      </w:r>
      <w:r>
        <w:rPr>
          <w:b/>
          <w:bCs/>
        </w:rPr>
        <w:t xml:space="preserve">diciassette esperti internazionali</w:t>
      </w:r>
      <w:r>
        <w:t xml:space="preserve">, il 59% concordava, il 12% era indeciso e il 29% dissentiva: cioè dieci persone contro cinque, e il denominatore va scritto. Gli stessi esperti hanno giudicato altamente plausibili quattro meccanismi: trasporto assonale alterato, regolazione dei canali ionici, infiammazione del ganglio della radice dorsale, neuroma in continuità (Schmid e Coppieters,</w:t>
      </w:r>
      <w:r>
        <w:t xml:space="preserve"> </w:t>
      </w:r>
      <w:r>
        <w:rPr>
          <w:i/>
          <w:iCs/>
        </w:rPr>
        <w:t xml:space="preserve">Man Ther</w:t>
      </w:r>
      <w:r>
        <w:t xml:space="preserve"> </w:t>
      </w:r>
      <w:r>
        <w:t xml:space="preserve">2011, PMID 21646036).</w:t>
      </w:r>
    </w:p>
    <w:p>
      <w:pPr>
        <w:pStyle w:val="FirstParagraph"/>
      </w:pPr>
      <w:r>
        <w:rPr>
          <w:b/>
          <w:bCs/>
        </w:rPr>
        <w:t xml:space="preserve">Come si vede addosso al paziente.</w:t>
      </w:r>
      <w:r>
        <w:t xml:space="preserve"> </w:t>
      </w:r>
      <w:r>
        <w:t xml:space="preserve">Il sintomo cambia quando gli abbassi la spalla a collo fermo. La prima costa non scende in espirazione, il respiro è alto e corto, e il paziente lavora con le braccia in avanti tutto il giorno.</w:t>
      </w:r>
    </w:p>
    <w:p>
      <w:pPr>
        <w:pStyle w:val="BodyText"/>
      </w:pPr>
      <w:r>
        <w:rPr>
          <w:b/>
          <w:bCs/>
        </w:rPr>
        <w:t xml:space="preserve">Due trattenute sulla stessa busta paga: ciascuna sopportabile da sola, tutte e due insieme cambiano il mese.</w:t>
      </w:r>
    </w:p>
    <w:bookmarkEnd w:id="28"/>
    <w:bookmarkStart w:id="29" w:name="la-difesa-che-si-installa"/>
    <w:p>
      <w:pPr>
        <w:pStyle w:val="Heading3"/>
      </w:pPr>
      <w:r>
        <w:t xml:space="preserve">5. La difesa che si installa</w:t>
      </w:r>
    </w:p>
    <w:p>
      <w:pPr>
        <w:pStyle w:val="Compact"/>
        <w:numPr>
          <w:ilvl w:val="0"/>
          <w:numId w:val="1013"/>
        </w:numPr>
      </w:pPr>
      <w:r>
        <w:t xml:space="preserve">Il dolore radicolare rompe il sonno per settimane. La posizione che salva il braccio è scomoda per tutto il resto.</w:t>
      </w:r>
    </w:p>
    <w:p>
      <w:pPr>
        <w:pStyle w:val="Compact"/>
        <w:numPr>
          <w:ilvl w:val="0"/>
          <w:numId w:val="1013"/>
        </w:numPr>
      </w:pPr>
      <w:r>
        <w:t xml:space="preserve">Il movimento si ridistribuisce attorno alla difesa. Il collo perde escursione dal lato sintomatico, e il paziente smette di girare la testa, di alzare il braccio, di guidare in retromarcia.</w:t>
      </w:r>
    </w:p>
    <w:p>
      <w:pPr>
        <w:pStyle w:val="Compact"/>
        <w:numPr>
          <w:ilvl w:val="0"/>
          <w:numId w:val="1013"/>
        </w:numPr>
      </w:pPr>
      <w:r>
        <w:t xml:space="preserve">La soglia a cui un segnale diventa dolore si abbassa — è la</w:t>
      </w:r>
      <w:r>
        <w:t xml:space="preserve"> </w:t>
      </w:r>
      <w:r>
        <w:rPr>
          <w:b/>
          <w:bCs/>
        </w:rPr>
        <w:t xml:space="preserve">sensibilizzazione</w:t>
      </w:r>
      <w:r>
        <w:t xml:space="preserve">, definita in Appendice A — e compaiono aree dolenti che non c’entrano con la radice.</w:t>
      </w:r>
    </w:p>
    <w:p>
      <w:pPr>
        <w:pStyle w:val="Compact"/>
        <w:numPr>
          <w:ilvl w:val="0"/>
          <w:numId w:val="1013"/>
        </w:numPr>
      </w:pPr>
      <w:r>
        <w:t xml:space="preserve">A questo punto una parte del quadro non dipende più dalla porta né dalla strada: dipende dallo stato in cui è il paziente.</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che un quadro di dolore radiante possa evolvere verso una componente nociplastica è quadro condiviso e descritto (Hage,</w:t>
      </w:r>
      <w:r>
        <w:t xml:space="preserve"> </w:t>
      </w:r>
      <w:r>
        <w:rPr>
          <w:i/>
          <w:iCs/>
        </w:rPr>
        <w:t xml:space="preserve">J Man Manip Ther</w:t>
      </w:r>
      <w:r>
        <w:t xml:space="preserve"> </w:t>
      </w:r>
      <w:r>
        <w:t xml:space="preserve">2024, PMID 38087995). Quanto pesi in questo paziente non è misurabile con un test.</w:t>
      </w:r>
    </w:p>
    <w:p>
      <w:pPr>
        <w:pStyle w:val="FirstParagraph"/>
      </w:pPr>
      <w:r>
        <w:rPr>
          <w:b/>
          <w:bCs/>
        </w:rPr>
        <w:t xml:space="preserve">Come si vede addosso al paziente.</w:t>
      </w:r>
      <w:r>
        <w:t xml:space="preserve"> </w:t>
      </w:r>
      <w:r>
        <w:t xml:space="preserve">Il quadro è sproporzionato ai reperti, e il dolore ha perso il legame stretto con la posizione. Il paziente parla di sonno, di lavoro e di paura dell’intervento prima che del braccio, e i tessuti reagiscono appena appoggi le mani.</w:t>
      </w:r>
      <w:r>
        <w:t xml:space="preserve"> </w:t>
      </w:r>
      <w:r>
        <w:rPr>
          <w:b/>
          <w:bCs/>
        </w:rPr>
        <w:t xml:space="preserve">E c’è un segno positivo da cercare, non solo un’impressione da raccogliere:</w:t>
      </w:r>
      <w:r>
        <w:t xml:space="preserve"> </w:t>
      </w:r>
      <w:r>
        <w:t xml:space="preserve">un’ipersensibilità</w:t>
      </w:r>
      <w:r>
        <w:t xml:space="preserve"> </w:t>
      </w:r>
      <w:r>
        <w:rPr>
          <w:i/>
          <w:iCs/>
        </w:rPr>
        <w:t xml:space="preserve">evocata</w:t>
      </w:r>
      <w:r>
        <w:t xml:space="preserve"> </w:t>
      </w:r>
      <w:r>
        <w:t xml:space="preserve">almeno nella regione del dolore. Sono tre cose: dolore allo sfioramento leggero, dolore sproporzionato a una pressione modesta, o sensazione che continua dopo che hai tolto la mano. Costa trenta secondi, e trasforma il sottotipo da impressione in reperto (criteri IASP, Kosek,</w:t>
      </w:r>
      <w:r>
        <w:t xml:space="preserve"> </w:t>
      </w:r>
      <w:r>
        <w:rPr>
          <w:i/>
          <w:iCs/>
        </w:rPr>
        <w:t xml:space="preserve">Pain</w:t>
      </w:r>
      <w:r>
        <w:t xml:space="preserve"> </w:t>
      </w:r>
      <w:r>
        <w:t xml:space="preserve">2021, PMID 33974577).</w:t>
      </w:r>
    </w:p>
    <w:p>
      <w:pPr>
        <w:pStyle w:val="BodyText"/>
      </w:pPr>
      <w:r>
        <w:rPr>
          <w:b/>
          <w:bCs/>
        </w:rPr>
        <w:t xml:space="preserve">L’auto lasciata con le frecce accese: consuma pochissimo, e dopo tre notti la batteria è a terra lo stesso.</w:t>
      </w:r>
    </w:p>
    <w:bookmarkEnd w:id="29"/>
    <w:bookmarkStart w:id="30" w:name="X0064c2e56f700aa74026d658f7f0458243ad960"/>
    <w:p>
      <w:pPr>
        <w:pStyle w:val="Heading3"/>
      </w:pPr>
      <w:r>
        <w:t xml:space="preserve">6. Il segnale che sbaglia indirizzo — quando nessun nervo soffre</w:t>
      </w:r>
    </w:p>
    <w:p>
      <w:pPr>
        <w:pStyle w:val="FirstParagraph"/>
      </w:pPr>
      <w:r>
        <w:t xml:space="preserve">Questo meccanismo sta a parte perché non riguarda il nervo. Senza di esso, però, il sottotipo che risponde meglio secondo «Non è una condizione sola» resterebbe una riga vuota.</w:t>
      </w:r>
    </w:p>
    <w:p>
      <w:pPr>
        <w:pStyle w:val="Compact"/>
        <w:numPr>
          <w:ilvl w:val="0"/>
          <w:numId w:val="1014"/>
        </w:numPr>
      </w:pPr>
      <w:r>
        <w:t xml:space="preserve">Una struttura del rachide cervicale — faccetta, disco, muscolo profondo — genera un segnale nocicettivo.</w:t>
      </w:r>
    </w:p>
    <w:p>
      <w:pPr>
        <w:pStyle w:val="Compact"/>
        <w:numPr>
          <w:ilvl w:val="0"/>
          <w:numId w:val="1014"/>
        </w:numPr>
      </w:pPr>
      <w:r>
        <w:t xml:space="preserve">Quel segnale entra nel midollo nello stesso segmento in cui entrano i segnali dell’arto superiore.</w:t>
      </w:r>
    </w:p>
    <w:p>
      <w:pPr>
        <w:pStyle w:val="Compact"/>
        <w:numPr>
          <w:ilvl w:val="0"/>
          <w:numId w:val="1014"/>
        </w:numPr>
      </w:pPr>
      <w:r>
        <w:t xml:space="preserve">Il cervello riceve un ingresso condiviso, non ne localizza l’origine e lo attribuisce a un’area larga del braccio. Ne esce un dolore sordo e ampio, di regola sopra il gomito, senza formicolio in dita precise e senza deficit.</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 la convergenza segmentaria è la cornice condivisa con cui si spiega il dolore riferito somatico (Hage,</w:t>
      </w:r>
      <w:r>
        <w:t xml:space="preserve"> </w:t>
      </w:r>
      <w:r>
        <w:rPr>
          <w:i/>
          <w:iCs/>
        </w:rPr>
        <w:t xml:space="preserve">J Man Manip Ther</w:t>
      </w:r>
      <w:r>
        <w:t xml:space="preserve"> </w:t>
      </w:r>
      <w:r>
        <w:t xml:space="preserve">2024, PMID 38087995). Su questa condizione non è stata misurata.</w:t>
      </w:r>
    </w:p>
    <w:p>
      <w:pPr>
        <w:pStyle w:val="FirstParagraph"/>
      </w:pPr>
      <w:r>
        <w:rPr>
          <w:b/>
          <w:bCs/>
        </w:rPr>
        <w:t xml:space="preserve">Come si vede addosso al paziente.</w:t>
      </w:r>
      <w:r>
        <w:t xml:space="preserve"> </w:t>
      </w:r>
      <w:r>
        <w:t xml:space="preserve">Nessun formicolio in un territorio definito, Spurling che al più riproduce dolore locale, test neurodinamici negativi, forza normale — e vale l’avvertenza sullo sforzo. Per il resto di questa componente la Bibbia di riferimento è</w:t>
      </w:r>
      <w:r>
        <w:t xml:space="preserve"> </w:t>
      </w:r>
      <w:r>
        <w:rPr>
          <w:b/>
          <w:bCs/>
        </w:rPr>
        <w:t xml:space="preserve">Cervicalgia</w:t>
      </w:r>
      <w:r>
        <w:t xml:space="preserve">: qui c’è il meccanismo, lì c’è il seguito.</w:t>
      </w:r>
    </w:p>
    <w:p>
      <w:pPr>
        <w:pStyle w:val="BodyText"/>
      </w:pPr>
      <w:r>
        <w:rPr>
          <w:b/>
          <w:bCs/>
        </w:rPr>
        <w:t xml:space="preserve">Le tre cose da ricordare, più una</w:t>
      </w:r>
    </w:p>
    <w:p>
      <w:pPr>
        <w:pStyle w:val="Compact"/>
        <w:numPr>
          <w:ilvl w:val="0"/>
          <w:numId w:val="1015"/>
        </w:numPr>
      </w:pPr>
      <w:r>
        <w:t xml:space="preserve">I primi due meccanismi spiegano la scossa e la sua durata; il terzo e il quarto spiegano perché non basta lavorare sul collo.</w:t>
      </w:r>
    </w:p>
    <w:p>
      <w:pPr>
        <w:pStyle w:val="Compact"/>
        <w:numPr>
          <w:ilvl w:val="0"/>
          <w:numId w:val="1015"/>
        </w:numPr>
      </w:pPr>
      <w:r>
        <w:t xml:space="preserve">La contrattura che torna identica in ventiquattro ore non è un tuo fallimento: è il segno che comanda la chimica.</w:t>
      </w:r>
    </w:p>
    <w:p>
      <w:pPr>
        <w:pStyle w:val="Compact"/>
        <w:numPr>
          <w:ilvl w:val="0"/>
          <w:numId w:val="1015"/>
        </w:numPr>
      </w:pPr>
      <w:r>
        <w:t xml:space="preserve">Il quinto meccanismo non è un capolinea. È il caso in cui il bersaglio cambia, e in cui il tempo che dedichi conta più della tecnica.</w:t>
      </w:r>
    </w:p>
    <w:p>
      <w:pPr>
        <w:pStyle w:val="Compact"/>
        <w:numPr>
          <w:ilvl w:val="0"/>
          <w:numId w:val="1015"/>
        </w:numPr>
      </w:pPr>
      <w:r>
        <w:rPr>
          <w:b/>
          <w:bCs/>
        </w:rPr>
        <w:t xml:space="preserve">Perché ci sei tu.</w:t>
      </w:r>
      <w:r>
        <w:t xml:space="preserve"> </w:t>
      </w:r>
      <w:r>
        <w:t xml:space="preserve">La compressione minima di un ganglio della radice dorsale,</w:t>
      </w:r>
      <w:r>
        <w:t xml:space="preserve"> </w:t>
      </w:r>
      <w:r>
        <w:rPr>
          <w:b/>
          <w:bCs/>
        </w:rPr>
        <w:t xml:space="preserve">anche sano</w:t>
      </w:r>
      <w:r>
        <w:t xml:space="preserve">, produce scariche ripetitive che durano</w:t>
      </w:r>
      <w:r>
        <w:t xml:space="preserve"> </w:t>
      </w:r>
      <w:r>
        <w:rPr>
          <w:b/>
          <w:bCs/>
        </w:rPr>
        <w:t xml:space="preserve">fra cinque e venticinque minuti</w:t>
      </w:r>
      <w:r>
        <w:t xml:space="preserve">; la stessa compressione su una radice sana dà una scarica di pochi secondi (Howe,</w:t>
      </w:r>
      <w:r>
        <w:t xml:space="preserve"> </w:t>
      </w:r>
      <w:r>
        <w:rPr>
          <w:i/>
          <w:iCs/>
        </w:rPr>
        <w:t xml:space="preserve">Pain</w:t>
      </w:r>
      <w:r>
        <w:t xml:space="preserve"> </w:t>
      </w:r>
      <w:r>
        <w:t xml:space="preserve">1977, PMID 195255).</w:t>
      </w:r>
      <w:r>
        <w:t xml:space="preserve"> </w:t>
      </w:r>
      <w:r>
        <w:rPr>
          <w:b/>
          <w:bCs/>
        </w:rPr>
        <w:t xml:space="preserve">Per te:</w:t>
      </w:r>
      <w:r>
        <w:t xml:space="preserve"> </w:t>
      </w:r>
      <w:r>
        <w:t xml:space="preserve">hai la spiegazione fisiologica della domanda che il paziente ti fa per prima. Cioè perché una scossa di mezzo secondo lo lascia in fiamme per venti minuti, senza che si sia rotto niente di nuovo. Questo ti autorizza a spiegare, e a togliergli la paura di essersi danneggiato a ogni movimento. Non ti autorizza a dire che spegni l’infiammazione: quella la spegne il tempo, e in parte il farmaco che decide il medico.</w:t>
      </w:r>
    </w:p>
    <w:p>
      <w:r>
        <w:pict>
          <v:rect style="width:0;height:1.5pt" o:hralign="center" o:hrstd="t" o:hr="t"/>
        </w:pict>
      </w:r>
    </w:p>
    <w:bookmarkEnd w:id="30"/>
    <w:bookmarkEnd w:id="31"/>
    <w:bookmarkStart w:id="32" w:name="X29f5442375d67b8af6c73d4ac2525d92f2728e5"/>
    <w:p>
      <w:pPr>
        <w:pStyle w:val="Heading2"/>
      </w:pPr>
      <w:r>
        <w:t xml:space="preserve">Capitolo 6 — Non è una condizione sola: i sottotipi</w:t>
      </w:r>
    </w:p>
    <w:p>
      <w:pPr>
        <w:pStyle w:val="BlockText"/>
      </w:pPr>
      <w:r>
        <w:rPr>
          <w:b/>
          <w:bCs/>
        </w:rPr>
        <w:t xml:space="preserve">In una riga:</w:t>
      </w:r>
      <w:r>
        <w:t xml:space="preserve"> </w:t>
      </w:r>
      <w:r>
        <w:t xml:space="preserve">sotto la stessa linea di dolore ci stanno sei quadri, e su uno di questi non ci sei.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Sottotipo</w:t>
            </w:r>
          </w:p>
        </w:tc>
        <w:tc>
          <w:tcPr/>
          <w:p>
            <w:pPr>
              <w:pStyle w:val="Compact"/>
            </w:pPr>
            <w:r>
              <w:t xml:space="preserve">Segnale che lo riconosce</w:t>
            </w:r>
          </w:p>
        </w:tc>
        <w:tc>
          <w:tcPr/>
          <w:p>
            <w:pPr>
              <w:pStyle w:val="Compact"/>
            </w:pPr>
            <w:r>
              <w:t xml:space="preserve">Meccanismo che comanda</w:t>
            </w:r>
          </w:p>
        </w:tc>
        <w:tc>
          <w:tcPr/>
          <w:p>
            <w:pPr>
              <w:pStyle w:val="Compact"/>
            </w:pPr>
            <w:r>
              <w:t xml:space="preserve">Quanto puoi fare</w:t>
            </w:r>
          </w:p>
        </w:tc>
      </w:tr>
      <w:tr>
        <w:tc>
          <w:tcPr/>
          <w:p>
            <w:pPr>
              <w:pStyle w:val="Compact"/>
            </w:pPr>
            <w:r>
              <w:t xml:space="preserve">Meccanico posizionale</w:t>
            </w:r>
          </w:p>
        </w:tc>
        <w:tc>
          <w:tcPr/>
          <w:p>
            <w:pPr>
              <w:pStyle w:val="Compact"/>
            </w:pPr>
            <w:r>
              <w:t xml:space="preserve">Spurling netto, sollievo in flessione</w:t>
            </w:r>
          </w:p>
        </w:tc>
        <w:tc>
          <w:tcPr/>
          <w:p>
            <w:pPr>
              <w:pStyle w:val="Compact"/>
            </w:pPr>
            <w:r>
              <w:t xml:space="preserve">La porta</w:t>
            </w:r>
          </w:p>
        </w:tc>
        <w:tc>
          <w:tcPr/>
          <w:p>
            <w:pPr>
              <w:pStyle w:val="Compact"/>
            </w:pPr>
            <w:r>
              <w:t xml:space="preserve">Molto</w:t>
            </w:r>
          </w:p>
        </w:tc>
      </w:tr>
      <w:tr>
        <w:tc>
          <w:tcPr/>
          <w:p>
            <w:pPr>
              <w:pStyle w:val="Compact"/>
            </w:pPr>
            <w:r>
              <w:t xml:space="preserve">Chimico irritativo</w:t>
            </w:r>
          </w:p>
        </w:tc>
        <w:tc>
          <w:tcPr/>
          <w:p>
            <w:pPr>
              <w:pStyle w:val="Compact"/>
            </w:pPr>
            <w:r>
              <w:t xml:space="preserve">Dolore a riposo e di notte, senza movimento</w:t>
            </w:r>
          </w:p>
        </w:tc>
        <w:tc>
          <w:tcPr/>
          <w:p>
            <w:pPr>
              <w:pStyle w:val="Compact"/>
            </w:pPr>
            <w:r>
              <w:t xml:space="preserve">La chimica</w:t>
            </w:r>
          </w:p>
        </w:tc>
        <w:tc>
          <w:tcPr/>
          <w:p>
            <w:pPr>
              <w:pStyle w:val="Compact"/>
            </w:pPr>
            <w:r>
              <w:t xml:space="preserve">Abbastanza</w:t>
            </w:r>
          </w:p>
        </w:tc>
      </w:tr>
      <w:tr>
        <w:tc>
          <w:tcPr/>
          <w:p>
            <w:pPr>
              <w:pStyle w:val="Compact"/>
            </w:pPr>
            <w:r>
              <w:t xml:space="preserve">Neurodinamico</w:t>
            </w:r>
          </w:p>
        </w:tc>
        <w:tc>
          <w:tcPr/>
          <w:p>
            <w:pPr>
              <w:pStyle w:val="Compact"/>
            </w:pPr>
            <w:r>
              <w:t xml:space="preserve">Test positivo, cambia col polso</w:t>
            </w:r>
          </w:p>
        </w:tc>
        <w:tc>
          <w:tcPr/>
          <w:p>
            <w:pPr>
              <w:pStyle w:val="Compact"/>
            </w:pPr>
            <w:r>
              <w:t xml:space="preserve">Lo scorrimento</w:t>
            </w:r>
          </w:p>
        </w:tc>
        <w:tc>
          <w:tcPr/>
          <w:p>
            <w:pPr>
              <w:pStyle w:val="Compact"/>
            </w:pPr>
            <w:r>
              <w:t xml:space="preserve">Molto</w:t>
            </w:r>
          </w:p>
        </w:tc>
      </w:tr>
      <w:tr>
        <w:tc>
          <w:tcPr/>
          <w:p>
            <w:pPr>
              <w:pStyle w:val="Compact"/>
            </w:pPr>
            <w:r>
              <w:t xml:space="preserve">Riferito somatico</w:t>
            </w:r>
          </w:p>
        </w:tc>
        <w:tc>
          <w:tcPr/>
          <w:p>
            <w:pPr>
              <w:pStyle w:val="Compact"/>
            </w:pPr>
            <w:r>
              <w:t xml:space="preserve">Largo, sopra il gomito, niente dita</w:t>
            </w:r>
          </w:p>
        </w:tc>
        <w:tc>
          <w:tcPr/>
          <w:p>
            <w:pPr>
              <w:pStyle w:val="Compact"/>
            </w:pPr>
            <w:r>
              <w:t xml:space="preserve">Convergenza segmentaria</w:t>
            </w:r>
          </w:p>
        </w:tc>
        <w:tc>
          <w:tcPr/>
          <w:p>
            <w:pPr>
              <w:pStyle w:val="Compact"/>
            </w:pPr>
            <w:r>
              <w:t xml:space="preserve">Molto</w:t>
            </w:r>
          </w:p>
        </w:tc>
      </w:tr>
      <w:tr>
        <w:tc>
          <w:tcPr/>
          <w:p>
            <w:pPr>
              <w:pStyle w:val="Compact"/>
            </w:pPr>
            <w:r>
              <w:t xml:space="preserve">Sensibilizzato</w:t>
            </w:r>
          </w:p>
        </w:tc>
        <w:tc>
          <w:tcPr/>
          <w:p>
            <w:pPr>
              <w:pStyle w:val="Compact"/>
            </w:pPr>
            <w:r>
              <w:t xml:space="preserve">Ipersensibilità evocata nella zona</w:t>
            </w:r>
          </w:p>
        </w:tc>
        <w:tc>
          <w:tcPr/>
          <w:p>
            <w:pPr>
              <w:pStyle w:val="Compact"/>
            </w:pPr>
            <w:r>
              <w:t xml:space="preserve">La difesa</w:t>
            </w:r>
          </w:p>
        </w:tc>
        <w:tc>
          <w:tcPr/>
          <w:p>
            <w:pPr>
              <w:pStyle w:val="Compact"/>
            </w:pPr>
            <w:r>
              <w:t xml:space="preserve">Abbastanza</w:t>
            </w:r>
          </w:p>
        </w:tc>
      </w:tr>
      <w:tr>
        <w:tc>
          <w:tcPr/>
          <w:p>
            <w:pPr>
              <w:pStyle w:val="Compact"/>
            </w:pPr>
            <w:r>
              <w:t xml:space="preserve">Deficit progressivo</w:t>
            </w:r>
          </w:p>
        </w:tc>
        <w:tc>
          <w:tcPr/>
          <w:p>
            <w:pPr>
              <w:pStyle w:val="Compact"/>
            </w:pPr>
            <w:r>
              <w:t xml:space="preserve">Forza che cala ogni settimana</w:t>
            </w:r>
          </w:p>
        </w:tc>
        <w:tc>
          <w:tcPr/>
          <w:p>
            <w:pPr>
              <w:pStyle w:val="Compact"/>
            </w:pPr>
            <w:r>
              <w:t xml:space="preserve">Sofferenza assonale</w:t>
            </w:r>
          </w:p>
        </w:tc>
        <w:tc>
          <w:tcPr/>
          <w:p>
            <w:pPr>
              <w:pStyle w:val="Compact"/>
            </w:pPr>
            <w:r>
              <w:t xml:space="preserve">Niente: invio</w:t>
            </w:r>
          </w:p>
        </w:tc>
      </w:tr>
    </w:tbl>
    <w:p>
      <w:pPr>
        <w:pStyle w:val="BodyText"/>
      </w:pPr>
      <w:r>
        <w:rPr>
          <w:b/>
          <w:bCs/>
        </w:rPr>
        <w:t xml:space="preserve">Meccanico posizionale.</w:t>
      </w:r>
      <w:r>
        <w:t xml:space="preserve"> </w:t>
      </w:r>
      <w:r>
        <w:t xml:space="preserve">È il sottotipo in cui il lavoro sulla mobilità della cerniera, sulla scapola e sulla posizione di lavoro rende di più. È anche quello in cui il paziente capisce subito il legame causa-effetto.</w:t>
      </w:r>
    </w:p>
    <w:p>
      <w:pPr>
        <w:pStyle w:val="BodyText"/>
      </w:pPr>
      <w:r>
        <w:rPr>
          <w:b/>
          <w:bCs/>
        </w:rPr>
        <w:t xml:space="preserve">Chimico irritativo.</w:t>
      </w:r>
      <w:r>
        <w:t xml:space="preserve"> </w:t>
      </w:r>
      <w:r>
        <w:t xml:space="preserve">È la fase acuta. Qui la posizione conta meno della chimica, e il segno che lo distingue è il dolore che c’è</w:t>
      </w:r>
      <w:r>
        <w:t xml:space="preserve"> </w:t>
      </w:r>
      <w:r>
        <w:rPr>
          <w:b/>
          <w:bCs/>
        </w:rPr>
        <w:t xml:space="preserve">senza che il paziente abbia fatto niente</w:t>
      </w:r>
      <w:r>
        <w:t xml:space="preserve">: a riposo, di notte. La condotta e il punto in cui ti sei sbagliato stanno in «Come ragiono davanti a questo paziente».</w:t>
      </w:r>
    </w:p>
    <w:p>
      <w:pPr>
        <w:pStyle w:val="BodyText"/>
      </w:pPr>
      <w:r>
        <w:rPr>
          <w:b/>
          <w:bCs/>
        </w:rPr>
        <w:t xml:space="preserve">Neurodinamico.</w:t>
      </w:r>
      <w:r>
        <w:t xml:space="preserve"> </w:t>
      </w:r>
      <w:r>
        <w:t xml:space="preserve">È il sottotipo in cui la leva neurale ha il razionale più preciso, e in cui il paziente ha qualcosa da fare a casa.</w:t>
      </w:r>
    </w:p>
    <w:p>
      <w:pPr>
        <w:pStyle w:val="BodyText"/>
      </w:pPr>
      <w:r>
        <w:rPr>
          <w:b/>
          <w:bCs/>
        </w:rPr>
        <w:t xml:space="preserve">Riferito somatico.</w:t>
      </w:r>
      <w:r>
        <w:t xml:space="preserve"> </w:t>
      </w:r>
      <w:r>
        <w:t xml:space="preserve">Non è un nervo: è il sesto meccanismo, il segnale che sbaglia indirizzo. È il paziente che nessuno ha rassicurato, perché tutti hanno guardato la risonanza. Qui il tuo contributo più grande è informativo, e va detto con precisione.</w:t>
      </w:r>
      <w:r>
        <w:t xml:space="preserve"> </w:t>
      </w:r>
      <w:r>
        <w:rPr>
          <w:b/>
          <w:bCs/>
        </w:rPr>
        <w:t xml:space="preserve">Gli dici cosa hai trovato e cosa no</w:t>
      </w:r>
      <w:r>
        <w:t xml:space="preserve">: che oggi i segni di una radice irritata non ci sono. Non dichiari escluso quello che solo il medico può escludere, e non togli i controlli già in programma. Prima di assegnare un paziente a questo sottotipo, verifica che il dolore non compaia con lo sforzo fisico e non passi col riposo: quella è un’altra cosa, e va al 112. È anche il sottotipo che risponde meglio e più in fretta.</w:t>
      </w:r>
    </w:p>
    <w:p>
      <w:pPr>
        <w:pStyle w:val="BodyText"/>
      </w:pPr>
      <w:r>
        <w:rPr>
          <w:b/>
          <w:bCs/>
        </w:rPr>
        <w:t xml:space="preserve">Sensibilizzato.</w:t>
      </w:r>
      <w:r>
        <w:t xml:space="preserve"> </w:t>
      </w:r>
      <w:r>
        <w:t xml:space="preserve">Il quadro non torna con i reperti, il sonno è rotto da settimane, la paura dell’intervento occupa il campo. E c’è un’ipersensibilità evocata nella zona del dolore, che è il reperto e non l’impressione. La condotta e il punto in cui ti sei sbagliato stanno in «Come ragiono davanti a questo paziente».</w:t>
      </w:r>
    </w:p>
    <w:p>
      <w:pPr>
        <w:pStyle w:val="BodyText"/>
      </w:pPr>
      <w:r>
        <w:rPr>
          <w:b/>
          <w:bCs/>
        </w:rPr>
        <w:t xml:space="preserve">Deficit progressivo.</w:t>
      </w:r>
      <w:r>
        <w:t xml:space="preserve"> </w:t>
      </w:r>
      <w:r>
        <w:t xml:space="preserve">La forza cala di settimana in settimana, oppure compaiono segni a tutte e due le mani con andatura insicura. Qui non tratti: riconosci e mandi, con i tempi della tabella di «Dove finisce il nostro campo». Riconoscerlo per primo è il contributo clinico più prezioso che darai a quel paziente.</w:t>
      </w:r>
    </w:p>
    <w:p>
      <w:pPr>
        <w:pStyle w:val="BodyText"/>
      </w:pPr>
      <w:r>
        <w:rPr>
          <w:b/>
          <w:bCs/>
        </w:rPr>
        <w:t xml:space="preserve">E una combinazione, non un settimo sottotipo: il misto collo-spalla.</w:t>
      </w:r>
      <w:r>
        <w:t xml:space="preserve"> </w:t>
      </w:r>
      <w:r>
        <w:t xml:space="preserve">Nel paziente che protegge il braccio da settimane, la spalla si irrigidisce per conto suo, e resta limitata quando il nervo si è già calmato. Lo riconosci perché il sintomo distale risponde ai marker neurali e il dolore di spalla no. Chiudere il caso guardando solo il formicolio significa restituire un paziente a metà, e ritrovarselo come recidiva che non è una recidiva.</w:t>
      </w:r>
    </w:p>
    <w:p>
      <w:pPr>
        <w:pStyle w:val="BodyText"/>
      </w:pPr>
      <w:r>
        <w:rPr>
          <w:b/>
          <w:bCs/>
        </w:rPr>
        <w:t xml:space="preserve">Le condizioni che gli stanno accanto.</w:t>
      </w:r>
      <w:r>
        <w:t xml:space="preserve"> </w:t>
      </w:r>
      <w:r>
        <w:t xml:space="preserve">Se il paziente ha anche dolore cervicale senza irradiazione, vedi la Bibbia di</w:t>
      </w:r>
      <w:r>
        <w:t xml:space="preserve"> </w:t>
      </w:r>
      <w:r>
        <w:rPr>
          <w:b/>
          <w:bCs/>
        </w:rPr>
        <w:t xml:space="preserve">Cervicalgia</w:t>
      </w:r>
      <w:r>
        <w:t xml:space="preserve">: condividono cerniera cervico-toracica e flessori profondi. Se ha lo stesso quadro all’arto inferiore, vedi</w:t>
      </w:r>
      <w:r>
        <w:t xml:space="preserve"> </w:t>
      </w:r>
      <w:r>
        <w:rPr>
          <w:b/>
          <w:bCs/>
        </w:rPr>
        <w:t xml:space="preserve">Sciatalgia</w:t>
      </w:r>
      <w:r>
        <w:t xml:space="preserve"> </w:t>
      </w:r>
      <w:r>
        <w:t xml:space="preserve">ed</w:t>
      </w:r>
      <w:r>
        <w:t xml:space="preserve"> </w:t>
      </w:r>
      <w:r>
        <w:rPr>
          <w:b/>
          <w:bCs/>
        </w:rPr>
        <w:t xml:space="preserve">Ernia del disco</w:t>
      </w:r>
      <w:r>
        <w:t xml:space="preserve">: stesso meccanismo, altro distretto, e le tre Bibbie usano la stessa spiegazione del dolore radicolare.</w:t>
      </w:r>
    </w:p>
    <w:p>
      <w:pPr>
        <w:pStyle w:val="BodyText"/>
      </w:pPr>
      <w:r>
        <w:rPr>
          <w:b/>
          <w:bCs/>
        </w:rPr>
        <w:t xml:space="preserve">Le tre cose da ricordare, più una</w:t>
      </w:r>
    </w:p>
    <w:p>
      <w:pPr>
        <w:pStyle w:val="Compact"/>
        <w:numPr>
          <w:ilvl w:val="0"/>
          <w:numId w:val="1016"/>
        </w:numPr>
      </w:pPr>
      <w:r>
        <w:t xml:space="preserve">Prima di scegliere cosa fare, decidi se hai davanti un nervo, un riferimento somatico o un sistema sensibilizzato.</w:t>
      </w:r>
    </w:p>
    <w:p>
      <w:pPr>
        <w:pStyle w:val="Compact"/>
        <w:numPr>
          <w:ilvl w:val="0"/>
          <w:numId w:val="1016"/>
        </w:numPr>
      </w:pPr>
      <w:r>
        <w:t xml:space="preserve">Nella fase chimica lavori lontano dal punto, e dichiari un obiettivo diverso prima di iniziare.</w:t>
      </w:r>
    </w:p>
    <w:p>
      <w:pPr>
        <w:pStyle w:val="Compact"/>
        <w:numPr>
          <w:ilvl w:val="0"/>
          <w:numId w:val="1016"/>
        </w:numPr>
      </w:pPr>
      <w:r>
        <w:t xml:space="preserve">Il sottotipo con deficit progressivo esiste, arriva anche da te, e va riconosciuto in anamnesi.</w:t>
      </w:r>
    </w:p>
    <w:p>
      <w:pPr>
        <w:pStyle w:val="Compact"/>
        <w:numPr>
          <w:ilvl w:val="0"/>
          <w:numId w:val="1016"/>
        </w:numPr>
      </w:pPr>
      <w:r>
        <w:rPr>
          <w:b/>
          <w:bCs/>
        </w:rPr>
        <w:t xml:space="preserve">Perché ci sei tu.</w:t>
      </w:r>
      <w:r>
        <w:t xml:space="preserve"> </w:t>
      </w:r>
      <w:r>
        <w:t xml:space="preserve">Sotto una distribuzione del dolore praticamente identica possono esserci</w:t>
      </w:r>
      <w:r>
        <w:t xml:space="preserve"> </w:t>
      </w:r>
      <w:r>
        <w:rPr>
          <w:b/>
          <w:bCs/>
        </w:rPr>
        <w:t xml:space="preserve">tre meccanismi di dolore diversi</w:t>
      </w:r>
      <w:r>
        <w:t xml:space="preserve">: neuropatico, nocicettivo riferito, nociplastico. E la stessa persona può passare dall’uno all’altro nel tempo (Hage,</w:t>
      </w:r>
      <w:r>
        <w:t xml:space="preserve"> </w:t>
      </w:r>
      <w:r>
        <w:rPr>
          <w:i/>
          <w:iCs/>
        </w:rPr>
        <w:t xml:space="preserve">J Man Manip Ther</w:t>
      </w:r>
      <w:r>
        <w:t xml:space="preserve"> </w:t>
      </w:r>
      <w:r>
        <w:t xml:space="preserve">2024, PMID 38087995).</w:t>
      </w:r>
      <w:r>
        <w:t xml:space="preserve"> </w:t>
      </w:r>
      <w:r>
        <w:rPr>
          <w:b/>
          <w:bCs/>
        </w:rPr>
        <w:t xml:space="preserve">Per te:</w:t>
      </w:r>
      <w:r>
        <w:t xml:space="preserve"> </w:t>
      </w:r>
      <w:r>
        <w:t xml:space="preserve">la stratificazione è un lavoro clinico, e nel percorso del paziente non l’ha fatta nessuno. Questo ti autorizza a scegliere bersaglio e obiettivo in base al meccanismo, e a rivederli se il quadro cambia. Non ti autorizza a chiamare quella scelta una diagnosi.</w:t>
      </w:r>
    </w:p>
    <w:p>
      <w:r>
        <w:pict>
          <v:rect style="width:0;height:1.5pt" o:hralign="center" o:hrstd="t" o:hr="t"/>
        </w:pict>
      </w:r>
    </w:p>
    <w:bookmarkEnd w:id="32"/>
    <w:bookmarkStart w:id="38" w:name="X09247322a2da79841e87919ec6d62c213d7949d"/>
    <w:p>
      <w:pPr>
        <w:pStyle w:val="Heading2"/>
      </w:pPr>
      <w:r>
        <w:t xml:space="preserve">Capitolo 7 — La lettura osteopatica: i cinque modelli</w:t>
      </w:r>
    </w:p>
    <w:p>
      <w:pPr>
        <w:pStyle w:val="BlockText"/>
      </w:pPr>
      <w:r>
        <w:rPr>
          <w:b/>
          <w:bCs/>
        </w:rPr>
        <w:t xml:space="preserve">In una riga:</w:t>
      </w:r>
      <w:r>
        <w:t xml:space="preserve"> </w:t>
      </w:r>
      <w:r>
        <w:t xml:space="preserve">su questa condizione due modelli portano il peso all’inizio, un terzo sale accanto a loro quando la condizione si allunga, uno va usato solo per metà, e uno si valuta senza toccarlo.</w:t>
      </w:r>
    </w:p>
    <w:p>
      <w:pPr>
        <w:pStyle w:val="BlockText"/>
      </w:pPr>
      <w:r>
        <w:rPr>
          <w:b/>
          <w:bCs/>
        </w:rPr>
        <w:t xml:space="preserve">Definizione.</w:t>
      </w:r>
      <w:r>
        <w:t xml:space="preserve"> </w:t>
      </w:r>
      <w:r>
        <w:t xml:space="preserve">La</w:t>
      </w:r>
      <w:r>
        <w:t xml:space="preserve"> </w:t>
      </w:r>
      <w:r>
        <w:rPr>
          <w:b/>
          <w:bCs/>
        </w:rPr>
        <w:t xml:space="preserve">disfunzione somatica</w:t>
      </w:r>
      <w:r>
        <w:t xml:space="preserve"> </w:t>
      </w:r>
      <w:r>
        <w:t xml:space="preserve">è un’alterazione di funzione riconoscibile all’esame manuale: una descrizione di funzione, non una diagnosi di malattia.</w:t>
      </w:r>
    </w:p>
    <w:bookmarkStart w:id="33" w:name="biomeccanico-strutturale"/>
    <w:p>
      <w:pPr>
        <w:pStyle w:val="Heading3"/>
      </w:pPr>
      <w:r>
        <w:t xml:space="preserve">Biomeccanico-Strutturale</w:t>
      </w:r>
    </w:p>
    <w:p>
      <w:pPr>
        <w:pStyle w:val="FirstParagraph"/>
      </w:pPr>
      <w:r>
        <w:rPr>
          <w:b/>
          <w:bCs/>
        </w:rPr>
        <w:t xml:space="preserve">Cosa governa qui.</w:t>
      </w:r>
      <w:r>
        <w:t xml:space="preserve"> </w:t>
      </w:r>
      <w:r>
        <w:t xml:space="preserve">La geometria del passaggio: quanto spazio ha il nervo alla porta e lungo la strada. E come il movimento si distribuisce fra collo, cerniera cervico-toracica, torace e scapola.</w:t>
      </w:r>
    </w:p>
    <w:p>
      <w:pPr>
        <w:pStyle w:val="BodyText"/>
      </w:pPr>
      <w:r>
        <w:rPr>
          <w:b/>
          <w:bCs/>
        </w:rPr>
        <w:t xml:space="preserve">Quali meccanismi governa.</w:t>
      </w:r>
      <w:r>
        <w:t xml:space="preserve"> </w:t>
      </w:r>
      <w:r>
        <w:t xml:space="preserve">Il primo — la porta che si stringe — il quarto, il secondo restringimento, e il sesto, il segnale che sbaglia indirizzo.</w:t>
      </w:r>
    </w:p>
    <w:p>
      <w:pPr>
        <w:pStyle w:val="BodyText"/>
      </w:pPr>
      <w:r>
        <w:rPr>
          <w:b/>
          <w:bCs/>
        </w:rPr>
        <w:t xml:space="preserve">Gli attori.</w:t>
      </w:r>
      <w:r>
        <w:t xml:space="preserve"> </w:t>
      </w:r>
      <w:r>
        <w:t xml:space="preserve">Forame intervertebrale, cerniera cervico-toracica, prima costa, scapola e piccolo pettorale, flessori profondi del collo.</w:t>
      </w:r>
    </w:p>
    <w:p>
      <w:pPr>
        <w:pStyle w:val="BodyText"/>
      </w:pPr>
      <w:r>
        <w:rPr>
          <w:b/>
          <w:bCs/>
        </w:rPr>
        <w:t xml:space="preserve">I segnali che pesa in questo paziente.</w:t>
      </w:r>
      <w:r>
        <w:t xml:space="preserve"> </w:t>
      </w:r>
      <w:r>
        <w:t xml:space="preserve">Sintomo che cambia con la posizione. Rotazione ridotta dal lato sintomatico. Cerniera e torace fermi. Scapola avanti e in basso, che cambia il sintomo se la riposizioni.</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la geometria del forame è misurata direttamente, su rachidi di cadavere (Yoo,</w:t>
      </w:r>
      <w:r>
        <w:t xml:space="preserve"> </w:t>
      </w:r>
      <w:r>
        <w:rPr>
          <w:i/>
          <w:iCs/>
        </w:rPr>
        <w:t xml:space="preserve">Spine</w:t>
      </w:r>
      <w:r>
        <w:t xml:space="preserve"> </w:t>
      </w:r>
      <w:r>
        <w:t xml:space="preserve">1992, PMID 1440000). Che il lavoro manuale sposti quella geometria in modo duraturo non è stato misurato. Quello che è stato misurato è l’effetto clinico della componente articolare isolata: SMD −0,72 (IC 95% da −1,29 a −0,15) nella scomposizione di 36 studi (Núñez de Arenas-Arroyo,</w:t>
      </w:r>
      <w:r>
        <w:t xml:space="preserve"> </w:t>
      </w:r>
      <w:r>
        <w:rPr>
          <w:i/>
          <w:iCs/>
        </w:rPr>
        <w:t xml:space="preserve">Clin Rehabil</w:t>
      </w:r>
      <w:r>
        <w:t xml:space="preserve"> </w:t>
      </w:r>
      <w:r>
        <w:t xml:space="preserve">2025, PMID 40776625). Regge da sola, senza prendere in prestito le prove della componente neurale.</w:t>
      </w:r>
    </w:p>
    <w:bookmarkEnd w:id="33"/>
    <w:bookmarkStart w:id="34" w:name="respiratorio-circolatorio"/>
    <w:p>
      <w:pPr>
        <w:pStyle w:val="Heading3"/>
      </w:pPr>
      <w:r>
        <w:t xml:space="preserve">Respiratorio-Circolatorio</w:t>
      </w:r>
    </w:p>
    <w:p>
      <w:pPr>
        <w:pStyle w:val="FirstParagraph"/>
      </w:pPr>
      <w:r>
        <w:rPr>
          <w:b/>
          <w:bCs/>
        </w:rPr>
        <w:t xml:space="preserve">Cosa governa qui.</w:t>
      </w:r>
      <w:r>
        <w:t xml:space="preserve"> </w:t>
      </w:r>
      <w:r>
        <w:t xml:space="preserve">Solo la meccanica ventilatoria.</w:t>
      </w:r>
      <w:r>
        <w:t xml:space="preserve"> </w:t>
      </w:r>
      <w:r>
        <w:rPr>
          <w:b/>
          <w:bCs/>
        </w:rPr>
        <w:t xml:space="preserve">La metà circolatoria del modello — ritorno venoso e linfatico, gradienti pressori — su questo distretto non è pertinente e non viene invocata:</w:t>
      </w:r>
      <w:r>
        <w:t xml:space="preserve"> </w:t>
      </w:r>
      <w:r>
        <w:t xml:space="preserve">nessuno ha misurato il drenaggio del distretto cervicale prima e dopo un trattamento manuale.</w:t>
      </w:r>
    </w:p>
    <w:p>
      <w:pPr>
        <w:pStyle w:val="BodyText"/>
      </w:pPr>
      <w:r>
        <w:rPr>
          <w:b/>
          <w:bCs/>
        </w:rPr>
        <w:t xml:space="preserve">Quali meccanismi governa.</w:t>
      </w:r>
      <w:r>
        <w:t xml:space="preserve"> </w:t>
      </w:r>
      <w:r>
        <w:t xml:space="preserve">Solo il quarto, il secondo restringimento, e solo per la sua metà alta.</w:t>
      </w:r>
    </w:p>
    <w:p>
      <w:pPr>
        <w:pStyle w:val="BodyText"/>
      </w:pPr>
      <w:r>
        <w:rPr>
          <w:b/>
          <w:bCs/>
        </w:rPr>
        <w:t xml:space="preserve">Gli attori.</w:t>
      </w:r>
      <w:r>
        <w:t xml:space="preserve"> </w:t>
      </w:r>
      <w:r>
        <w:t xml:space="preserve">Scaleni come inspiratori accessori, prima costa, cupola pleurica, diaframma.</w:t>
      </w:r>
    </w:p>
    <w:p>
      <w:pPr>
        <w:pStyle w:val="BodyText"/>
      </w:pPr>
      <w:r>
        <w:rPr>
          <w:b/>
          <w:bCs/>
        </w:rPr>
        <w:t xml:space="preserve">I segnali che pesa in questo paziente.</w:t>
      </w:r>
      <w:r>
        <w:t xml:space="preserve"> </w:t>
      </w:r>
      <w:r>
        <w:t xml:space="preserve">Respiro alto e corto, spalle che salgono a ogni inspirazione, prima costa che non scende in espirazione.</w:t>
      </w:r>
    </w:p>
    <w:p>
      <w:pPr>
        <w:pStyle w:val="BodyText"/>
      </w:pPr>
      <w:r>
        <w:t xml:space="preserve">Il segnale ha una misura strumentale. In</w:t>
      </w:r>
      <w:r>
        <w:t xml:space="preserve"> </w:t>
      </w:r>
      <w:r>
        <w:rPr>
          <w:b/>
          <w:bCs/>
        </w:rPr>
        <w:t xml:space="preserve">quarantacinque pazienti con dolore cervicale cronico contro quarantacinque controlli appaiati</w:t>
      </w:r>
      <w:r>
        <w:t xml:space="preserve"> </w:t>
      </w:r>
      <w:r>
        <w:t xml:space="preserve">è stata trovata un’</w:t>
      </w:r>
      <w:r>
        <w:rPr>
          <w:b/>
          <w:bCs/>
        </w:rPr>
        <w:t xml:space="preserve">ipocapnia</w:t>
      </w:r>
      <w:r>
        <w:t xml:space="preserve">, cioè anidride carbonica nel sangue più bassa, misurata attraverso la pelle. L’ipocapnia correla con la resistenza dei flessori profondi del collo e con la paura del movimento (Dimitriadis,</w:t>
      </w:r>
      <w:r>
        <w:t xml:space="preserve"> </w:t>
      </w:r>
      <w:r>
        <w:rPr>
          <w:i/>
          <w:iCs/>
        </w:rPr>
        <w:t xml:space="preserve">Am J Phys Med Rehabil</w:t>
      </w:r>
      <w:r>
        <w:t xml:space="preserve"> </w:t>
      </w:r>
      <w:r>
        <w:t xml:space="preserve">2013, PMID 23958733). Uno studio pilota su dodici pazienti aveva già trovato ventilazione massima e forza dei muscoli respiratori ridotte (Kapreli,</w:t>
      </w:r>
      <w:r>
        <w:t xml:space="preserve"> </w:t>
      </w:r>
      <w:r>
        <w:rPr>
          <w:i/>
          <w:iCs/>
        </w:rPr>
        <w:t xml:space="preserve">Cephalalgia</w:t>
      </w:r>
      <w:r>
        <w:t xml:space="preserve"> </w:t>
      </w:r>
      <w:r>
        <w:t xml:space="preserve">2009, PMID 19187335).</w:t>
      </w:r>
      <w:r>
        <w:t xml:space="preserve"> </w:t>
      </w:r>
      <w:r>
        <w:rPr>
          <w:b/>
          <w:bCs/>
        </w:rPr>
        <w:t xml:space="preserve">Misurato su dolore cervicale cronico, non su cervicobrachialgia, e con un disegno trasversale che non stabilisce la direzione: non dice che il respiro alto ha causato il dolore, né che normalizzarlo lo riduca.</w:t>
      </w:r>
      <w:r>
        <w:t xml:space="preserve"> </w:t>
      </w:r>
      <w:r>
        <w:t xml:space="preserve">Il respiro alto qui si guarda come segno, non come bersaglio.</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 il legame fra respiro alto, scaleni e primo tratto del passaggio è anatomicamente coerente. Nessuno ha misurato l’effetto di un lavoro respiratorio sul sintomo radicolare cervicale.</w:t>
      </w:r>
    </w:p>
    <w:bookmarkEnd w:id="34"/>
    <w:bookmarkStart w:id="35" w:name="neurologico"/>
    <w:p>
      <w:pPr>
        <w:pStyle w:val="Heading3"/>
      </w:pPr>
      <w:r>
        <w:t xml:space="preserve">Neurologico</w:t>
      </w:r>
    </w:p>
    <w:p>
      <w:pPr>
        <w:pStyle w:val="FirstParagraph"/>
      </w:pPr>
      <w:r>
        <w:rPr>
          <w:b/>
          <w:bCs/>
        </w:rPr>
        <w:t xml:space="preserve">Cosa governa qui.</w:t>
      </w:r>
      <w:r>
        <w:t xml:space="preserve"> </w:t>
      </w:r>
      <w:r>
        <w:t xml:space="preserve">È il modello centrale di questa condizione. Governa la sensibilità della radice e del suo ganglio, la meccanosensibilità del tronco nervoso, e la soglia a cui un segnale diventa dolore.</w:t>
      </w:r>
    </w:p>
    <w:p>
      <w:pPr>
        <w:pStyle w:val="BodyText"/>
      </w:pPr>
      <w:r>
        <w:rPr>
          <w:b/>
          <w:bCs/>
        </w:rPr>
        <w:t xml:space="preserve">Quali meccanismi governa.</w:t>
      </w:r>
      <w:r>
        <w:t xml:space="preserve"> </w:t>
      </w:r>
      <w:r>
        <w:t xml:space="preserve">Il secondo — la chimica che resta accesa — il terzo, il nervo che non scorre, e il quinto, la difesa che si installa.</w:t>
      </w:r>
    </w:p>
    <w:p>
      <w:pPr>
        <w:pStyle w:val="BodyText"/>
      </w:pPr>
      <w:r>
        <w:rPr>
          <w:b/>
          <w:bCs/>
        </w:rPr>
        <w:t xml:space="preserve">Gli attori.</w:t>
      </w:r>
      <w:r>
        <w:t xml:space="preserve"> </w:t>
      </w:r>
      <w:r>
        <w:t xml:space="preserve">Ganglio della radice dorsale, tronchi del plesso, corno posteriore, vie discendenti di modulazione.</w:t>
      </w:r>
    </w:p>
    <w:p>
      <w:pPr>
        <w:pStyle w:val="BodyText"/>
      </w:pPr>
      <w:r>
        <w:rPr>
          <w:b/>
          <w:bCs/>
        </w:rPr>
        <w:t xml:space="preserve">I segnali che pesa in questo paziente.</w:t>
      </w:r>
      <w:r>
        <w:t xml:space="preserve"> </w:t>
      </w:r>
      <w:r>
        <w:t xml:space="preserve">Formicolio in dita precise. Dolore a riposo e di notte. Sintomi fuori dal territorio della radice. Ipersensibilità evocata. Il quadro cambia con lo stato del paziente più che con la posizione.</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e poggia su quello che in</w:t>
      </w:r>
      <w:r>
        <w:t xml:space="preserve"> </w:t>
      </w:r>
      <w:r>
        <w:rPr>
          <w:b/>
          <w:bCs/>
        </w:rPr>
        <w:t xml:space="preserve">questa</w:t>
      </w:r>
      <w:r>
        <w:t xml:space="preserve"> </w:t>
      </w:r>
      <w:r>
        <w:t xml:space="preserve">condizione è stato misurato davvero: la meccanosensibilità neurale al test e l’area del sintomo, che cambiano dentro la seduta contro un comparatore attivo (Coppieters,</w:t>
      </w:r>
      <w:r>
        <w:t xml:space="preserve"> </w:t>
      </w:r>
      <w:r>
        <w:rPr>
          <w:i/>
          <w:iCs/>
        </w:rPr>
        <w:t xml:space="preserve">JOSPT</w:t>
      </w:r>
      <w:r>
        <w:t xml:space="preserve"> </w:t>
      </w:r>
      <w:r>
        <w:t xml:space="preserve">2003, PMID 12918862).</w:t>
      </w:r>
      <w:r>
        <w:t xml:space="preserve"> </w:t>
      </w:r>
      <w:r>
        <w:t xml:space="preserve">Due cose vanno dette, ed entrambe vanno contro di noi.</w:t>
      </w:r>
      <w:r>
        <w:t xml:space="preserve"> </w:t>
      </w:r>
      <w:r>
        <w:rPr>
          <w:b/>
          <w:bCs/>
        </w:rPr>
        <w:t xml:space="preserve">La prima:</w:t>
      </w:r>
      <w:r>
        <w:t xml:space="preserve"> </w:t>
      </w:r>
      <w:r>
        <w:t xml:space="preserve">l’ipoalgesia a distanza, cioè il rialzo della soglia del dolore lontano dal punto trattato, è stata misurata dopo</w:t>
      </w:r>
      <w:r>
        <w:t xml:space="preserve"> </w:t>
      </w:r>
      <w:r>
        <w:rPr>
          <w:b/>
          <w:bCs/>
        </w:rPr>
        <w:t xml:space="preserve">manipolazione</w:t>
      </w:r>
      <w:r>
        <w:t xml:space="preserve"> </w:t>
      </w:r>
      <w:r>
        <w:t xml:space="preserve">spinale. È la tecnica che «Dove finisce il nostro campo» dichiara di non usare qui con segni radicolari attivi (Coronado,</w:t>
      </w:r>
      <w:r>
        <w:t xml:space="preserve"> </w:t>
      </w:r>
      <w:r>
        <w:rPr>
          <w:i/>
          <w:iCs/>
        </w:rPr>
        <w:t xml:space="preserve">J Electromyogr Kinesiol</w:t>
      </w:r>
      <w:r>
        <w:t xml:space="preserve"> </w:t>
      </w:r>
      <w:r>
        <w:t xml:space="preserve">2012, PMID 22296867). E una revisione più recente non trova alcun effetto ipoalgesico immediato costante della terapia manuale spinale sulle soglie di pressione (Jung,</w:t>
      </w:r>
      <w:r>
        <w:t xml:space="preserve"> </w:t>
      </w:r>
      <w:r>
        <w:rPr>
          <w:i/>
          <w:iCs/>
        </w:rPr>
        <w:t xml:space="preserve">Phys Ther</w:t>
      </w:r>
      <w:r>
        <w:t xml:space="preserve"> </w:t>
      </w:r>
      <w:r>
        <w:t xml:space="preserve">2023, PMID 37172128).</w:t>
      </w:r>
      <w:r>
        <w:t xml:space="preserve"> </w:t>
      </w:r>
      <w:r>
        <w:rPr>
          <w:b/>
          <w:bCs/>
        </w:rPr>
        <w:t xml:space="preserve">Misurato su soggetti sani e su popolazioni miste con dolore muscoloscheletrico, non su cervicobrachialgia.</w:t>
      </w:r>
      <w:r>
        <w:t xml:space="preserve"> </w:t>
      </w:r>
      <w:r>
        <w:t xml:space="preserve">Estendere quel dato alla mobilizzazione è un’inferenza.</w:t>
      </w:r>
      <w:r>
        <w:t xml:space="preserve"> </w:t>
      </w:r>
      <w:r>
        <w:rPr>
          <w:b/>
          <w:bCs/>
        </w:rPr>
        <w:t xml:space="preserve">La seconda:</w:t>
      </w:r>
      <w:r>
        <w:t xml:space="preserve"> </w:t>
      </w:r>
      <w:r>
        <w:t xml:space="preserve">sul collo, contro placebo e in cieco, la direzione autonomica va verso l’</w:t>
      </w:r>
      <w:r>
        <w:rPr>
          <w:b/>
          <w:bCs/>
        </w:rPr>
        <w:t xml:space="preserve">attivazione</w:t>
      </w:r>
      <w:r>
        <w:t xml:space="preserve"> </w:t>
      </w:r>
      <w:r>
        <w:t xml:space="preserve">e non verso la calma — conduttanza su, temperatura giù, insieme all’ipoalgesia (Sterling,</w:t>
      </w:r>
      <w:r>
        <w:t xml:space="preserve"> </w:t>
      </w:r>
      <w:r>
        <w:rPr>
          <w:i/>
          <w:iCs/>
        </w:rPr>
        <w:t xml:space="preserve">Man Ther</w:t>
      </w:r>
      <w:r>
        <w:t xml:space="preserve"> </w:t>
      </w:r>
      <w:r>
        <w:t xml:space="preserve">2001, PMID 11414776).</w:t>
      </w:r>
      <w:r>
        <w:t xml:space="preserve"> </w:t>
      </w:r>
      <w:r>
        <w:rPr>
          <w:b/>
          <w:bCs/>
        </w:rPr>
        <w:t xml:space="preserve">Misurato su dolore cervicale a esordio insidioso, non su cervicobrachialgia.</w:t>
      </w:r>
      <w:r>
        <w:t xml:space="preserve"> </w:t>
      </w:r>
      <w:r>
        <w:t xml:space="preserve">Le vie discendenti di modulazione restano il candidato per l’effetto immediato, con etichetta IPOTESI.</w:t>
      </w:r>
    </w:p>
    <w:bookmarkEnd w:id="35"/>
    <w:bookmarkStart w:id="36" w:name="metabolico-energetico"/>
    <w:p>
      <w:pPr>
        <w:pStyle w:val="Heading3"/>
      </w:pPr>
      <w:r>
        <w:t xml:space="preserve">Metabolico-Energetico</w:t>
      </w:r>
    </w:p>
    <w:p>
      <w:pPr>
        <w:pStyle w:val="FirstParagraph"/>
      </w:pPr>
      <w:r>
        <w:rPr>
          <w:b/>
          <w:bCs/>
        </w:rPr>
        <w:t xml:space="preserve">Cosa governa qui.</w:t>
      </w:r>
      <w:r>
        <w:t xml:space="preserve"> </w:t>
      </w:r>
      <w:r>
        <w:t xml:space="preserve">La</w:t>
      </w:r>
      <w:r>
        <w:t xml:space="preserve"> </w:t>
      </w:r>
      <w:r>
        <w:rPr>
          <w:b/>
          <w:bCs/>
        </w:rPr>
        <w:t xml:space="preserve">vulnerabilità del terreno su cui il nervo deve recuperare</w:t>
      </w:r>
      <w:r>
        <w:t xml:space="preserve">: settimane di sonno rotto, riduzione dell’attività, e i modificatori esogeni — fumo, diabete, farmaci — che agiscono sulla microcircolazione del nervo.</w:t>
      </w:r>
    </w:p>
    <w:p>
      <w:pPr>
        <w:pStyle w:val="BodyText"/>
      </w:pPr>
      <w:r>
        <w:rPr>
          <w:b/>
          <w:bCs/>
        </w:rPr>
        <w:t xml:space="preserve">Quali meccanismi governa.</w:t>
      </w:r>
      <w:r>
        <w:t xml:space="preserve"> </w:t>
      </w:r>
      <w:r>
        <w:t xml:space="preserve">Nessuno in proprio:</w:t>
      </w:r>
      <w:r>
        <w:t xml:space="preserve"> </w:t>
      </w:r>
      <w:r>
        <w:rPr>
          <w:b/>
          <w:bCs/>
        </w:rPr>
        <w:t xml:space="preserve">sposta la prognosi</w:t>
      </w:r>
      <w:r>
        <w:t xml:space="preserve">, e quindi l’orizzonte che dichiari. È la temperatura del forno: non cambia la ricetta, cambia quanto ci mette a cuocere.</w:t>
      </w:r>
    </w:p>
    <w:p>
      <w:pPr>
        <w:pStyle w:val="BodyText"/>
      </w:pPr>
      <w:r>
        <w:rPr>
          <w:b/>
          <w:bCs/>
        </w:rPr>
        <w:t xml:space="preserve">Gli attori.</w:t>
      </w:r>
      <w:r>
        <w:t xml:space="preserve"> </w:t>
      </w:r>
      <w:r>
        <w:t xml:space="preserve">Sonno, fumo, diabete, condizione fisica generale.</w:t>
      </w:r>
    </w:p>
    <w:p>
      <w:pPr>
        <w:pStyle w:val="BodyText"/>
      </w:pPr>
      <w:r>
        <w:rPr>
          <w:b/>
          <w:bCs/>
        </w:rPr>
        <w:t xml:space="preserve">I segnali che pesa in questo paziente.</w:t>
      </w:r>
      <w:r>
        <w:t xml:space="preserve"> </w:t>
      </w:r>
      <w:r>
        <w:t xml:space="preserve">Non dorme da settimane e lo dice prima di ogni altra cosa. Fuma, o ha un diabete di lunga data.</w:t>
      </w:r>
      <w:r>
        <w:t xml:space="preserve"> </w:t>
      </w:r>
      <w:r>
        <w:rPr>
          <w:b/>
          <w:bCs/>
        </w:rPr>
        <w:t xml:space="preserve">Il perimetro non cambia:</w:t>
      </w:r>
      <w:r>
        <w:t xml:space="preserve"> </w:t>
      </w:r>
      <w:r>
        <w:t xml:space="preserve">fumo, diabete e farmaci si valutano, si nominano, si rinviano.</w:t>
      </w:r>
    </w:p>
    <w:p>
      <w:pPr>
        <w:pStyle w:val="BodyText"/>
      </w:pPr>
      <w:r>
        <w:rPr>
          <w:b/>
          <w:bCs/>
        </w:rPr>
        <w:t xml:space="preserve">Il sonno invece va diviso in due.</w:t>
      </w:r>
      <w:r>
        <w:t xml:space="preserve"> </w:t>
      </w:r>
      <w:r>
        <w:t xml:space="preserve">Il sonno rotto</w:t>
      </w:r>
      <w:r>
        <w:t xml:space="preserve"> </w:t>
      </w:r>
      <w:r>
        <w:rPr>
          <w:i/>
          <w:iCs/>
        </w:rPr>
        <w:t xml:space="preserve">dal dolore radicolare</w:t>
      </w:r>
      <w:r>
        <w:t xml:space="preserve"> </w:t>
      </w:r>
      <w:r>
        <w:t xml:space="preserve">rientra in quello che ti aspetti di muovere, ed è il guadagno più rapido che hai nel paziente irritativo. L’insonnia che resta quando il dolore notturno è passato è materia del curante.</w:t>
      </w:r>
    </w:p>
    <w:p>
      <w:pPr>
        <w:pStyle w:val="BodyText"/>
      </w:pPr>
      <w:r>
        <w:t xml:space="preserve">Il primo anello di questa catena è misurato, e non è un modo di dire. In un disegno cross-over su quattordici volontari sani,</w:t>
      </w:r>
      <w:r>
        <w:t xml:space="preserve"> </w:t>
      </w:r>
      <w:r>
        <w:rPr>
          <w:b/>
          <w:bCs/>
        </w:rPr>
        <w:t xml:space="preserve">una sola notte di deprivazione totale di sonno</w:t>
      </w:r>
      <w:r>
        <w:t xml:space="preserve"> </w:t>
      </w:r>
      <w:r>
        <w:t xml:space="preserve">ha prodotto iperalgesia generalizzata e ha alzato l’ansia di stato. Le soglie</w:t>
      </w:r>
      <w:r>
        <w:t xml:space="preserve"> </w:t>
      </w:r>
      <w:r>
        <w:rPr>
          <w:b/>
          <w:bCs/>
        </w:rPr>
        <w:t xml:space="preserve">non</w:t>
      </w:r>
      <w:r>
        <w:t xml:space="preserve"> </w:t>
      </w:r>
      <w:r>
        <w:t xml:space="preserve">dolorose sono rimaste ferme: la modulazione è selettiva sul dolore (Schuh-Hofer,</w:t>
      </w:r>
      <w:r>
        <w:t xml:space="preserve"> </w:t>
      </w:r>
      <w:r>
        <w:rPr>
          <w:i/>
          <w:iCs/>
        </w:rPr>
        <w:t xml:space="preserve">Pain</w:t>
      </w:r>
      <w:r>
        <w:t xml:space="preserve"> </w:t>
      </w:r>
      <w:r>
        <w:t xml:space="preserve">2013, PMID 23707287).</w:t>
      </w:r>
      <w:r>
        <w:t xml:space="preserve"> </w:t>
      </w:r>
      <w:r>
        <w:rPr>
          <w:b/>
          <w:bCs/>
        </w:rPr>
        <w:t xml:space="preserve">Misurato su volontari sani dopo una notte di deprivazione totale, non su pazienti con cervicobrachialgia — e nella direzione sonno→soglia, non nella direzione trattamento→sonno→dolore, che nessuno ha misurato.</w:t>
      </w:r>
    </w:p>
    <w:p>
      <w:pPr>
        <w:pStyle w:val="BlockText"/>
      </w:pPr>
      <w:r>
        <w:rPr>
          <w:b/>
          <w:bCs/>
        </w:rPr>
        <w:t xml:space="preserve">Quanto è solido:</w:t>
      </w:r>
      <w:r>
        <w:t xml:space="preserve"> </w:t>
      </w:r>
      <w:r>
        <w:t xml:space="preserve">l’etichetta si spezza.</w:t>
      </w:r>
      <w:r>
        <w:t xml:space="preserve"> </w:t>
      </w:r>
      <w:r>
        <w:rPr>
          <w:b/>
          <w:bCs/>
        </w:rPr>
        <w:t xml:space="preserve">Il meccanismo sonno→soglia del dolore: DIMOSTRATO</w:t>
      </w:r>
      <w:r>
        <w:t xml:space="preserve"> </w:t>
      </w:r>
      <w:r>
        <w:rPr>
          <w:i/>
          <w:iCs/>
        </w:rPr>
        <w:t xml:space="preserve">(studi sull’uomo, solidi)</w:t>
      </w:r>
      <w:r>
        <w:t xml:space="preserve"> </w:t>
      </w:r>
      <w:r>
        <w:t xml:space="preserve">— misura sperimentale diretta nell’uomo (Schuh-Hofer,</w:t>
      </w:r>
      <w:r>
        <w:t xml:space="preserve"> </w:t>
      </w:r>
      <w:r>
        <w:rPr>
          <w:i/>
          <w:iCs/>
        </w:rPr>
        <w:t xml:space="preserve">Pain</w:t>
      </w:r>
      <w:r>
        <w:t xml:space="preserve"> </w:t>
      </w:r>
      <w:r>
        <w:t xml:space="preserve">2013, PMID 23707287).</w:t>
      </w:r>
      <w:r>
        <w:t xml:space="preserve"> </w:t>
      </w:r>
      <w:r>
        <w:rPr>
          <w:b/>
          <w:bCs/>
        </w:rPr>
        <w:t xml:space="preserve">La leva: IPOTESI</w:t>
      </w:r>
      <w:r>
        <w:t xml:space="preserve"> </w:t>
      </w:r>
      <w:r>
        <w:rPr>
          <w:i/>
          <w:iCs/>
        </w:rPr>
        <w:t xml:space="preserve">(meccanismo coerente, nessuno studio)</w:t>
      </w:r>
      <w:r>
        <w:t xml:space="preserve"> </w:t>
      </w:r>
      <w:r>
        <w:t xml:space="preserve">— nessuno ha misurato l’effetto di una leva metabolica o del recupero del sonno su questa condizione. Le prove sul diabete e sul recupero nervoso vengono da coorti chirurgiche: fondano la collocazione del modello, non un’affermazione sul trattamento.</w:t>
      </w:r>
    </w:p>
    <w:bookmarkEnd w:id="36"/>
    <w:bookmarkStart w:id="37" w:name="comportamentale-biopsicosociale"/>
    <w:p>
      <w:pPr>
        <w:pStyle w:val="Heading3"/>
      </w:pPr>
      <w:r>
        <w:t xml:space="preserve">Comportamentale-Biopsicosociale</w:t>
      </w:r>
    </w:p>
    <w:p>
      <w:pPr>
        <w:pStyle w:val="FirstParagraph"/>
      </w:pPr>
      <w:r>
        <w:rPr>
          <w:b/>
          <w:bCs/>
        </w:rPr>
        <w:t xml:space="preserve">Cosa governa qui.</w:t>
      </w:r>
      <w:r>
        <w:t xml:space="preserve"> </w:t>
      </w:r>
      <w:r>
        <w:t xml:space="preserve">Cosa il paziente crede di avere, e come si muove di conseguenza. Dopo la risonanza si muove come se fosse di cristallo, e l’immobilità peggiora tutti i meccanismi sopra.</w:t>
      </w:r>
    </w:p>
    <w:p>
      <w:pPr>
        <w:pStyle w:val="BodyText"/>
      </w:pPr>
      <w:r>
        <w:rPr>
          <w:b/>
          <w:bCs/>
        </w:rPr>
        <w:t xml:space="preserve">Quali meccanismi governa.</w:t>
      </w:r>
      <w:r>
        <w:t xml:space="preserve"> </w:t>
      </w:r>
      <w:r>
        <w:t xml:space="preserve">Il quinto, la difesa che si installa.</w:t>
      </w:r>
    </w:p>
    <w:p>
      <w:pPr>
        <w:pStyle w:val="BodyText"/>
      </w:pPr>
      <w:r>
        <w:rPr>
          <w:b/>
          <w:bCs/>
        </w:rPr>
        <w:t xml:space="preserve">Gli attori.</w:t>
      </w:r>
      <w:r>
        <w:t xml:space="preserve"> </w:t>
      </w:r>
      <w:r>
        <w:t xml:space="preserve">Credenze sull’immagine, paura dell’intervento, paura del movimento, alleanza terapeutica.</w:t>
      </w:r>
    </w:p>
    <w:p>
      <w:pPr>
        <w:pStyle w:val="BodyText"/>
      </w:pPr>
      <w:r>
        <w:rPr>
          <w:b/>
          <w:bCs/>
        </w:rPr>
        <w:t xml:space="preserve">I segnali che pesa in questo paziente.</w:t>
      </w:r>
      <w:r>
        <w:t xml:space="preserve"> </w:t>
      </w:r>
      <w:r>
        <w:t xml:space="preserve">Cita il referto a memoria. Chiede il permesso prima di ogni movimento. Ha smesso di girare la testa in auto. Nomina l’intervento più volte in una seduta.</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l’educazione è stata testata dentro un pacchetto, e su quel pacchetto c’è un solo studio randomizzato. Unita a terapia manuale e a esercizi di scorrimento nervoso, ha prodotto benefici clinicamente rilevanti in due settimane. Il confronto era il solo consiglio di restare attivi, su 60 pazienti con dolore cervico-brachiale di origine nervosa (Nee,</w:t>
      </w:r>
      <w:r>
        <w:t xml:space="preserve"> </w:t>
      </w:r>
      <w:r>
        <w:rPr>
          <w:i/>
          <w:iCs/>
        </w:rPr>
        <w:t xml:space="preserve">J Physiother</w:t>
      </w:r>
      <w:r>
        <w:t xml:space="preserve"> </w:t>
      </w:r>
      <w:r>
        <w:t xml:space="preserve">2012, PMID 22341379). L’educazione non è mai stata testata da sola.</w:t>
      </w:r>
      <w:r>
        <w:t xml:space="preserve"> </w:t>
      </w:r>
      <w:r>
        <w:t xml:space="preserve">Il peso del referto, invece, è</w:t>
      </w:r>
      <w:r>
        <w:t xml:space="preserve"> </w:t>
      </w:r>
      <w:r>
        <w:rPr>
          <w:b/>
          <w:bCs/>
        </w:rPr>
        <w:t xml:space="preserve">PROBABILE su meccanismo</w:t>
      </w:r>
      <w:r>
        <w:t xml:space="preserve"> </w:t>
      </w:r>
      <w:r>
        <w:t xml:space="preserve">ed è stato randomizzato. Quarantaquattro pazienti con lombalgia hanno ricevuto per sorteggio due cose diverse: la spiegazione alla lettera del referto di risonanza, oppure la rassicurazione che quei reperti erano modificazioni normali. A sei settimane il primo gruppo aveva percezione più negativa della propria condizione, più catastrofizzazione, meno miglioramento del dolore e funzione peggiore (Rajasekaran,</w:t>
      </w:r>
      <w:r>
        <w:t xml:space="preserve"> </w:t>
      </w:r>
      <w:r>
        <w:rPr>
          <w:i/>
          <w:iCs/>
        </w:rPr>
        <w:t xml:space="preserve">Eur Spine J</w:t>
      </w:r>
      <w:r>
        <w:t xml:space="preserve"> </w:t>
      </w:r>
      <w:r>
        <w:t xml:space="preserve">2021, PMID 33748882).</w:t>
      </w:r>
      <w:r>
        <w:t xml:space="preserve"> </w:t>
      </w:r>
      <w:r>
        <w:rPr>
          <w:b/>
          <w:bCs/>
        </w:rPr>
        <w:t xml:space="preserve">Misurato su 44 pazienti con lombalgia, non su cervicobrachialgia: dice che il modo di raccontare l’immagine conta, non quanto conta qui.</w:t>
      </w:r>
      <w:r>
        <w:t xml:space="preserve"> </w:t>
      </w:r>
      <w:r>
        <w:t xml:space="preserve">L’etichetta della leva non si muove.</w:t>
      </w:r>
    </w:p>
    <w:p>
      <w:pPr>
        <w:pStyle w:val="FirstParagraph"/>
      </w:pPr>
      <w:r>
        <w:rPr>
          <w:b/>
          <w:bCs/>
        </w:rPr>
        <w:t xml:space="preserve">Quando comanda chi.</w:t>
      </w:r>
      <w:r>
        <w:t xml:space="preserve"> </w:t>
      </w:r>
      <w:r>
        <w:t xml:space="preserve">Nelle prime settimane comandano il Neurologico e il Biomeccanico. Dalla sesta settimana in poi il</w:t>
      </w:r>
      <w:r>
        <w:t xml:space="preserve"> </w:t>
      </w:r>
      <w:r>
        <w:rPr>
          <w:b/>
          <w:bCs/>
        </w:rPr>
        <w:t xml:space="preserve">Comportamentale diventa co-dominante</w:t>
      </w:r>
      <w:r>
        <w:t xml:space="preserve">, e lo diventa anche prima, appena compaiono i segnali elencati qui sopra. In una condizione lunga mesi, recidivante in un caso su tre, il Comportamentale non è una spiegazione di riserva.</w:t>
      </w:r>
    </w:p>
    <w:p>
      <w:pPr>
        <w:pStyle w:val="BodyText"/>
      </w:pPr>
      <w:r>
        <w:rPr>
          <w:b/>
          <w:bCs/>
        </w:rPr>
        <w:t xml:space="preserve">Le tre cose da ricordare, più una</w:t>
      </w:r>
    </w:p>
    <w:p>
      <w:pPr>
        <w:pStyle w:val="Compact"/>
        <w:numPr>
          <w:ilvl w:val="0"/>
          <w:numId w:val="1017"/>
        </w:numPr>
      </w:pPr>
      <w:r>
        <w:t xml:space="preserve">Il modello Biomeccanico e il Neurologico portano il peso all’inizio; il Comportamentale sale accanto a loro quando la condizione si allunga.</w:t>
      </w:r>
    </w:p>
    <w:p>
      <w:pPr>
        <w:pStyle w:val="Compact"/>
        <w:numPr>
          <w:ilvl w:val="0"/>
          <w:numId w:val="1017"/>
        </w:numPr>
      </w:pPr>
      <w:r>
        <w:t xml:space="preserve">Sul collo il modello Respiratorio-Circolatorio si usa a metà, e la metà che si usa è quella ventilatoria.</w:t>
      </w:r>
    </w:p>
    <w:p>
      <w:pPr>
        <w:pStyle w:val="Compact"/>
        <w:numPr>
          <w:ilvl w:val="0"/>
          <w:numId w:val="1017"/>
        </w:numPr>
      </w:pPr>
      <w:r>
        <w:t xml:space="preserve">Fumo, diabete e farmaci stanno nel Metabolico-Energetico: non danno leve, spostano la prognosi che dichiari.</w:t>
      </w:r>
    </w:p>
    <w:p>
      <w:pPr>
        <w:pStyle w:val="Compact"/>
        <w:numPr>
          <w:ilvl w:val="0"/>
          <w:numId w:val="1017"/>
        </w:numPr>
      </w:pPr>
      <w:r>
        <w:rPr>
          <w:b/>
          <w:bCs/>
        </w:rPr>
        <w:t xml:space="preserve">Perché ci sei tu.</w:t>
      </w:r>
      <w:r>
        <w:t xml:space="preserve"> </w:t>
      </w:r>
      <w:r>
        <w:t xml:space="preserve">Una tecnica di scorrimento fa muovere il mediano al polso di</w:t>
      </w:r>
      <w:r>
        <w:t xml:space="preserve"> </w:t>
      </w:r>
      <w:r>
        <w:rPr>
          <w:b/>
          <w:bCs/>
        </w:rPr>
        <w:t xml:space="preserve">12,6 millimetri con lo 0,8% di deformazione</w:t>
      </w:r>
      <w:r>
        <w:t xml:space="preserve">. Una tecnica di tensione lo muove di 6,1 con il 6,8% (Coppieters e Butler,</w:t>
      </w:r>
      <w:r>
        <w:t xml:space="preserve"> </w:t>
      </w:r>
      <w:r>
        <w:rPr>
          <w:i/>
          <w:iCs/>
        </w:rPr>
        <w:t xml:space="preserve">Man Ther</w:t>
      </w:r>
      <w:r>
        <w:t xml:space="preserve"> </w:t>
      </w:r>
      <w:r>
        <w:t xml:space="preserve">2008, PMID 17398140).</w:t>
      </w:r>
      <w:r>
        <w:t xml:space="preserve"> </w:t>
      </w:r>
      <w:r>
        <w:rPr>
          <w:b/>
          <w:bCs/>
        </w:rPr>
        <w:t xml:space="preserve">Per te:</w:t>
      </w:r>
      <w:r>
        <w:t xml:space="preserve"> </w:t>
      </w:r>
      <w:r>
        <w:t xml:space="preserve">hai un criterio fisico per scegliere la direzione del lavoro neurale in un nervo irritabile, e nel percorso del paziente non lo applica nessun altro. Questo ti autorizza a scegliere fra due famiglie di gesto con un motivo misurato. Non ti autorizza a dire che quei millimetri si traducono in guarigione: misurano un nervo che si muove, non un paziente che sta meglio.</w:t>
      </w:r>
    </w:p>
    <w:p>
      <w:r>
        <w:pict>
          <v:rect style="width:0;height:1.5pt" o:hralign="center" o:hrstd="t" o:hr="t"/>
        </w:pict>
      </w:r>
    </w:p>
    <w:bookmarkEnd w:id="37"/>
    <w:bookmarkEnd w:id="38"/>
    <w:bookmarkStart w:id="44"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stesso dolore lungo il braccio, sommersi diversi — e la domanda che precede tutte è quale piano sta consumando la capacità di adattamento di questo paziente.</w:t>
      </w:r>
    </w:p>
    <w:p>
      <w:pPr>
        <w:pStyle w:val="BlockText"/>
      </w:pPr>
      <w:r>
        <w:rPr>
          <w:b/>
          <w:bCs/>
        </w:rPr>
        <w:t xml:space="preserve">Definizione.</w:t>
      </w:r>
      <w:r>
        <w:t xml:space="preserve"> </w:t>
      </w:r>
      <w:r>
        <w:t xml:space="preserve">Il</w:t>
      </w:r>
      <w:r>
        <w:t xml:space="preserve"> </w:t>
      </w:r>
      <w:r>
        <w:rPr>
          <w:b/>
          <w:bCs/>
        </w:rPr>
        <w:t xml:space="preserve">sistema dominante</w:t>
      </w:r>
      <w:r>
        <w:t xml:space="preserve"> </w:t>
      </w:r>
      <w:r>
        <w:t xml:space="preserve">è il piano che in questo paziente sta consumando più capacità di adattamento. È un’ipotesi di lavoro, non un fatto misurato: per questo porta sempre l’etichetta RAGIONAMENTO.</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 vale per tutto questo capitolo. È il modo in cui decidiamo, non una prova di cosa funziona.</w:t>
      </w:r>
    </w:p>
    <w:bookmarkStart w:id="39" w:name="la-punta-e-il-sommerso"/>
    <w:p>
      <w:pPr>
        <w:pStyle w:val="Heading3"/>
      </w:pPr>
      <w:r>
        <w:t xml:space="preserve">La punta e il sommerso</w:t>
      </w:r>
    </w:p>
    <w:p>
      <w:pPr>
        <w:pStyle w:val="FirstParagraph"/>
      </w:pPr>
      <w:r>
        <w:t xml:space="preserve">Il braccio che fa male è la punta. Tre pazienti con la stessa punta, e tre sommersi diversi.</w:t>
      </w:r>
    </w:p>
    <w:p>
      <w:pPr>
        <w:pStyle w:val="BodyText"/>
      </w:pPr>
      <w:r>
        <w:rPr>
          <w:b/>
          <w:bCs/>
        </w:rPr>
        <w:t xml:space="preserve">Marco, 52 anni, imbianchino.</w:t>
      </w:r>
      <w:r>
        <w:t xml:space="preserve"> </w:t>
      </w:r>
      <w:r>
        <w:t xml:space="preserve">Dolore dal collo a due dita, che peggiora guardando in alto tutto il giorno. Spurling netto, cerniera cervico-toracica ferma, torace rigido. Il sommerso è</w:t>
      </w:r>
      <w:r>
        <w:t xml:space="preserve"> </w:t>
      </w:r>
      <w:r>
        <w:rPr>
          <w:b/>
          <w:bCs/>
        </w:rPr>
        <w:t xml:space="preserve">biomeccanico</w:t>
      </w:r>
      <w:r>
        <w:t xml:space="preserve">: il collo fa da solo tutta l’estensione che il torace non fa.</w:t>
      </w:r>
      <w:r>
        <w:t xml:space="preserve"> </w:t>
      </w:r>
      <w:r>
        <w:rPr>
          <w:b/>
          <w:bCs/>
        </w:rPr>
        <w:t xml:space="preserve">Cosa fai:</w:t>
      </w:r>
      <w:r>
        <w:t xml:space="preserve"> </w:t>
      </w:r>
      <w:r>
        <w:t xml:space="preserve">lavori su cerniera, torace e scapola, misuri rotazione cervicale e comparsa del sintomo distale, e gli spieghi che il collo paga per un torace fermo.</w:t>
      </w:r>
      <w:r>
        <w:t xml:space="preserve"> </w:t>
      </w:r>
      <w:r>
        <w:rPr>
          <w:b/>
          <w:bCs/>
        </w:rPr>
        <w:t xml:space="preserve">Quando ti sei sbagliato:</w:t>
      </w:r>
      <w:r>
        <w:t xml:space="preserve"> </w:t>
      </w:r>
      <w:r>
        <w:t xml:space="preserve">hai ridato movimento a cerniera e torace, ma rotazione cervicale e comparsa del sintomo distale non superano le loro soglie. Allora il sommerso non era biomeccanico.</w:t>
      </w:r>
    </w:p>
    <w:p>
      <w:pPr>
        <w:pStyle w:val="BodyText"/>
      </w:pPr>
      <w:r>
        <w:rPr>
          <w:b/>
          <w:bCs/>
        </w:rPr>
        <w:t xml:space="preserve">Elena, 44 anni, tre settimane di sintomi.</w:t>
      </w:r>
      <w:r>
        <w:t xml:space="preserve"> </w:t>
      </w:r>
      <w:r>
        <w:t xml:space="preserve">Dolore a riposo e di notte senza che si sia mossa, cortisone che ha funzionato e poi è finito. Non dorme da settimane e ha paura: da qui somiglia a Paolo. L’osservazione che scioglie il dubbio costa trenta secondi ed è l’</w:t>
      </w:r>
      <w:r>
        <w:rPr>
          <w:b/>
          <w:bCs/>
        </w:rPr>
        <w:t xml:space="preserve">ipersensibilità evocata</w:t>
      </w:r>
      <w:r>
        <w:t xml:space="preserve"> </w:t>
      </w:r>
      <w:r>
        <w:t xml:space="preserve">nella zona del dolore, che in lei non c’è. Si aggiunge il tempo di storia: tre settimane e non sei mesi. Solo adesso il sommerso ha un nome. È</w:t>
      </w:r>
      <w:r>
        <w:t xml:space="preserve"> </w:t>
      </w:r>
      <w:r>
        <w:rPr>
          <w:b/>
          <w:bCs/>
        </w:rPr>
        <w:t xml:space="preserve">chimico</w:t>
      </w:r>
      <w:r>
        <w:t xml:space="preserve">, comanda l’irritazione della radice e non la geometria, e il nervo è molto irritabile.</w:t>
      </w:r>
      <w:r>
        <w:t xml:space="preserve"> </w:t>
      </w:r>
      <w:r>
        <w:rPr>
          <w:b/>
          <w:bCs/>
        </w:rPr>
        <w:t xml:space="preserve">Cosa fai:</w:t>
      </w:r>
      <w:r>
        <w:t xml:space="preserve"> </w:t>
      </w:r>
      <w:r>
        <w:t xml:space="preserve">lavori lontano dal punto — torace, scapola, respiro — con contatto lento. Dichiari prima che in due-tre settimane si</w:t>
      </w:r>
      <w:r>
        <w:t xml:space="preserve"> </w:t>
      </w:r>
      <w:r>
        <w:rPr>
          <w:b/>
          <w:bCs/>
        </w:rPr>
        <w:t xml:space="preserve">verifica</w:t>
      </w:r>
      <w:r>
        <w:t xml:space="preserve"> </w:t>
      </w:r>
      <w:r>
        <w:t xml:space="preserve">se intensità e risvegli si muovono, e tieni il canale medico aperto per iscritto.</w:t>
      </w:r>
      <w:r>
        <w:t xml:space="preserve"> </w:t>
      </w:r>
      <w:r>
        <w:rPr>
          <w:b/>
          <w:bCs/>
        </w:rPr>
        <w:t xml:space="preserve">Quando ti sei sbagliato:</w:t>
      </w:r>
      <w:r>
        <w:t xml:space="preserve"> </w:t>
      </w:r>
      <w:r>
        <w:t xml:space="preserve">se in due-tre settimane non si muovono, il tuo reperto non era quello che comanda.</w:t>
      </w:r>
    </w:p>
    <w:p>
      <w:pPr>
        <w:pStyle w:val="BodyText"/>
      </w:pPr>
      <w:r>
        <w:rPr>
          <w:b/>
          <w:bCs/>
        </w:rPr>
        <w:t xml:space="preserve">Paolo, 58 anni, sei mesi di storia.</w:t>
      </w:r>
      <w:r>
        <w:t xml:space="preserve"> </w:t>
      </w:r>
      <w:r>
        <w:t xml:space="preserve">Il quadro non torna con i reperti, il dolore ha perso il legame con la posizione, e in mezz’ora nomina l’intervento quattro volte. Il sommerso è il</w:t>
      </w:r>
      <w:r>
        <w:t xml:space="preserve"> </w:t>
      </w:r>
      <w:r>
        <w:rPr>
          <w:b/>
          <w:bCs/>
        </w:rPr>
        <w:t xml:space="preserve">livello di attivazione</w:t>
      </w:r>
      <w:r>
        <w:t xml:space="preserve">.</w:t>
      </w:r>
      <w:r>
        <w:t xml:space="preserve"> </w:t>
      </w:r>
      <w:r>
        <w:rPr>
          <w:b/>
          <w:bCs/>
        </w:rPr>
        <w:t xml:space="preserve">Cosa fai:</w:t>
      </w:r>
      <w:r>
        <w:t xml:space="preserve"> </w:t>
      </w:r>
      <w:r>
        <w:t xml:space="preserve">non è il paziente su cui puoi meno, è quello in cui il bersaglio è un altro. La leva è l’attivazione, e ce l’hai: contatto lento, ritmo del respiro, tempo dedicato, esposizione graduata al movimento che ha smesso di fare. L’etichetta reale di questa leva e i suoi tempi stanno in «Perché le mani possono cambiare qualcosa». Cambia anche l’esito che dichiari: funzione e sonno per primi, dolore dopo.</w:t>
      </w:r>
      <w:r>
        <w:t xml:space="preserve"> </w:t>
      </w:r>
      <w:r>
        <w:rPr>
          <w:b/>
          <w:bCs/>
        </w:rPr>
        <w:t xml:space="preserve">Quando ti sei sbagliato:</w:t>
      </w:r>
      <w:r>
        <w:t xml:space="preserve"> </w:t>
      </w:r>
      <w:r>
        <w:t xml:space="preserve">se a tre settimane risvegli notturni e funzione non si muovono, la leva sull’attivazione non era quella che comanda — e vale la scadenza del GIALLO come per gli altri.</w:t>
      </w:r>
    </w:p>
    <w:bookmarkEnd w:id="39"/>
    <w:bookmarkStart w:id="40" w:name="perché-si-indaga-da-monte"/>
    <w:p>
      <w:pPr>
        <w:pStyle w:val="Heading3"/>
      </w:pPr>
      <w:r>
        <w:t xml:space="preserve">Perché si indaga da monte</w:t>
      </w:r>
    </w:p>
    <w:p>
      <w:pPr>
        <w:pStyle w:val="FirstParagraph"/>
      </w:pPr>
      <w:r>
        <w:t xml:space="preserve">Il corpo sacrifica il comfort per proteggere le funzioni vitali. Da qui il criterio:</w:t>
      </w:r>
      <w:r>
        <w:t xml:space="preserve"> </w:t>
      </w:r>
      <w:r>
        <w:rPr>
          <w:b/>
          <w:bCs/>
        </w:rPr>
        <w:t xml:space="preserve">il sistema dominante è, di norma, il piano funzionale più a monte che risulta disfunzionale</w:t>
      </w:r>
      <w:r>
        <w:t xml:space="preserve">, perché comanda su quelli sotto. Quel piano è la tua</w:t>
      </w:r>
      <w:r>
        <w:t xml:space="preserve"> </w:t>
      </w:r>
      <w:r>
        <w:rPr>
          <w:b/>
          <w:bCs/>
        </w:rPr>
        <w:t xml:space="preserve">lesione primaria</w:t>
      </w:r>
      <w:r>
        <w:t xml:space="preserve"> </w:t>
      </w:r>
      <w:r>
        <w:t xml:space="preserve">in questo paziente, e si scrive come ipotesi, mai come fatto.</w:t>
      </w:r>
      <w:r>
        <w:t xml:space="preserve"> </w:t>
      </w:r>
      <w:r>
        <w:rPr>
          <w:b/>
          <w:bCs/>
        </w:rPr>
        <w:t xml:space="preserve">«A monte» non è una coordinata anatomica:</w:t>
      </w:r>
      <w:r>
        <w:t xml:space="preserve"> </w:t>
      </w:r>
      <w:r>
        <w:t xml:space="preserve">su questa condizione la porta sta in cervicale, ed è comunque a valle di un torace fermo e di un sistema in allarme.</w:t>
      </w:r>
    </w:p>
    <w:p>
      <w:pPr>
        <w:pStyle w:val="BodyText"/>
      </w:pPr>
      <w:r>
        <w:t xml:space="preserve">Due precisazioni.</w:t>
      </w:r>
      <w:r>
        <w:t xml:space="preserve"> </w:t>
      </w:r>
      <w:r>
        <w:rPr>
          <w:b/>
          <w:bCs/>
        </w:rPr>
        <w:t xml:space="preserve">La gerarchia ordina l’indagine, non la forza delle leve:</w:t>
      </w:r>
      <w:r>
        <w:t xml:space="preserve"> </w:t>
      </w:r>
      <w:r>
        <w:t xml:space="preserve">la leva con le prove migliori qui agisce sul piano esecutore, che nella gerarchia sta in fondo. E c’è una regola del metodo che qui</w:t>
      </w:r>
      <w:r>
        <w:t xml:space="preserve"> </w:t>
      </w:r>
      <w:r>
        <w:rPr>
          <w:b/>
          <w:bCs/>
        </w:rPr>
        <w:t xml:space="preserve">si toglie, non si attenua</w:t>
      </w:r>
      <w:r>
        <w:t xml:space="preserve">. La regola è</w:t>
      </w:r>
      <w:r>
        <w:t xml:space="preserve"> </w:t>
      </w:r>
      <w:r>
        <w:rPr>
          <w:i/>
          <w:iCs/>
        </w:rPr>
        <w:t xml:space="preserve">non trattare il punto in cui il paziente sente male</w:t>
      </w:r>
      <w:r>
        <w:t xml:space="preserve">, e non si applica alla scelta del bersaglio: gli interventi con le prove migliori si applicano proprio sulla regione cervicale e sul nervo sintomatico. Quello che resta intatto è la regola di verifica.</w:t>
      </w:r>
    </w:p>
    <w:p>
      <w:pPr>
        <w:pStyle w:val="BlockText"/>
      </w:pPr>
      <w:r>
        <w:rPr>
          <w:b/>
          <w:bCs/>
        </w:rPr>
        <w:t xml:space="preserve">Attenzione.</w:t>
      </w:r>
      <w:r>
        <w:t xml:space="preserve"> </w:t>
      </w:r>
      <w:r>
        <w:t xml:space="preserve">Togliere quella regola significa lavorare su un collo molto sintomatico. Per questo la</w:t>
      </w:r>
      <w:r>
        <w:t xml:space="preserve"> </w:t>
      </w:r>
      <w:r>
        <w:rPr>
          <w:b/>
          <w:bCs/>
        </w:rPr>
        <w:t xml:space="preserve">valutazione vascolare va fatta prima</w:t>
      </w:r>
      <w:r>
        <w:t xml:space="preserve">, anche senza tecniche a impulso. Le domande stanno in «Dove finisce il nostro campo».</w:t>
      </w:r>
    </w:p>
    <w:bookmarkEnd w:id="40"/>
    <w:bookmarkStart w:id="41" w:name="la-prova-della-chiave-di-volta"/>
    <w:p>
      <w:pPr>
        <w:pStyle w:val="Heading3"/>
      </w:pPr>
      <w:r>
        <w:t xml:space="preserve">La prova della chiave di volta</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rimisuri dopo. Non è il sintomo del paziente: è il segno che ti dice se la tua ipotesi era giusta.</w:t>
      </w:r>
    </w:p>
    <w:p>
      <w:pPr>
        <w:pStyle w:val="FirstParagraph"/>
      </w:pPr>
      <w:r>
        <w:t xml:space="preserve">Un marker che funziona ha quattro condizioni. È</w:t>
      </w:r>
      <w:r>
        <w:t xml:space="preserve"> </w:t>
      </w:r>
      <w:r>
        <w:rPr>
          <w:b/>
          <w:bCs/>
        </w:rPr>
        <w:t xml:space="preserve">misurabile in stanza in meno di un minuto</w:t>
      </w:r>
      <w:r>
        <w:t xml:space="preserve">, con lo stesso metodo prima e dopo. È</w:t>
      </w:r>
      <w:r>
        <w:t xml:space="preserve"> </w:t>
      </w:r>
      <w:r>
        <w:rPr>
          <w:b/>
          <w:bCs/>
        </w:rPr>
        <w:t xml:space="preserve">scelto prima di trattare</w:t>
      </w:r>
      <w:r>
        <w:t xml:space="preserve">, e non lo cambi dopo aver visto il risultato.</w:t>
      </w:r>
      <w:r>
        <w:t xml:space="preserve"> </w:t>
      </w:r>
      <w:r>
        <w:rPr>
          <w:b/>
          <w:bCs/>
        </w:rPr>
        <w:t xml:space="preserve">Appartiene a un piano che non hai trattato.</w:t>
      </w:r>
      <w:r>
        <w:t xml:space="preserve"> </w:t>
      </w:r>
      <w:r>
        <w:t xml:space="preserve">E</w:t>
      </w:r>
      <w:r>
        <w:t xml:space="preserve"> </w:t>
      </w:r>
      <w:r>
        <w:rPr>
          <w:b/>
          <w:bCs/>
        </w:rPr>
        <w:t xml:space="preserve">ha una soglia dichiarata</w:t>
      </w:r>
      <w:r>
        <w:t xml:space="preserve">, cioè quanto deve cambiare perché conti.</w:t>
      </w:r>
    </w:p>
    <w:p>
      <w:pPr>
        <w:pStyle w:val="BodyText"/>
      </w:pPr>
      <w:r>
        <w:t xml:space="preserve">Senza soglia il re-test non distingue un effetto da un errore dello strumento.</w:t>
      </w:r>
      <w:r>
        <w:t xml:space="preserve"> </w:t>
      </w:r>
      <w:r>
        <w:rPr>
          <w:b/>
          <w:bCs/>
        </w:rPr>
        <w:t xml:space="preserve">Un guadagno di cinque gradi non è un risultato, è rumore.</w:t>
      </w:r>
      <w:r>
        <w:t xml:space="preserve"> </w:t>
      </w:r>
      <w:r>
        <w:t xml:space="preserve">È il termometro che segna mezzo grado in più: non è febbre, è il termometro.</w:t>
      </w:r>
    </w:p>
    <w:p>
      <w:pPr>
        <w:pStyle w:val="BodyText"/>
      </w:pPr>
      <w:r>
        <w:rPr>
          <w:b/>
          <w:bCs/>
        </w:rPr>
        <w:t xml:space="preserve">La terza condizione la soddisfa una sola misura.</w:t>
      </w:r>
      <w:r>
        <w:t xml:space="preserve"> </w:t>
      </w:r>
      <w:r>
        <w:t xml:space="preserve">Le prime tre righe della tabella stanno su piani che tratti: dicono l’effetto immediato del gesto, che serve, ma non è una prova. La prova della chiave di volta è la sensibilità al freddo su un sito remoto, che non hai trattato.</w:t>
      </w:r>
    </w:p>
    <w:p>
      <w:pPr>
        <w:pStyle w:val="BodyText"/>
      </w:pPr>
      <w:r>
        <w:t xml:space="preserve">I marker di questa condizione.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Marker</w:t>
            </w:r>
          </w:p>
        </w:tc>
        <w:tc>
          <w:tcPr/>
          <w:p>
            <w:pPr>
              <w:pStyle w:val="Compact"/>
            </w:pPr>
            <w:r>
              <w:t xml:space="preserve">Come si misura</w:t>
            </w:r>
          </w:p>
        </w:tc>
        <w:tc>
          <w:tcPr/>
          <w:p>
            <w:pPr>
              <w:pStyle w:val="Compact"/>
            </w:pPr>
            <w:r>
              <w:t xml:space="preserve">Soglia che conta</w:t>
            </w:r>
          </w:p>
        </w:tc>
      </w:tr>
      <w:tr>
        <w:tc>
          <w:tcPr/>
          <w:p>
            <w:pPr>
              <w:pStyle w:val="Compact"/>
            </w:pPr>
            <w:r>
              <w:t xml:space="preserve">Comparsa del sintomo distale</w:t>
            </w:r>
          </w:p>
        </w:tc>
        <w:tc>
          <w:tcPr/>
          <w:p>
            <w:pPr>
              <w:pStyle w:val="Compact"/>
            </w:pPr>
            <w:r>
              <w:t xml:space="preserve">Gradi di estensione del gomito</w:t>
            </w:r>
          </w:p>
        </w:tc>
        <w:tc>
          <w:tcPr/>
          <w:p>
            <w:pPr>
              <w:pStyle w:val="Compact"/>
            </w:pPr>
            <w:r>
              <w:t xml:space="preserve">≥ 15 gradi</w:t>
            </w:r>
          </w:p>
        </w:tc>
      </w:tr>
      <w:tr>
        <w:tc>
          <w:tcPr/>
          <w:p>
            <w:pPr>
              <w:pStyle w:val="Compact"/>
            </w:pPr>
            <w:r>
              <w:t xml:space="preserve">Area</w:t>
            </w:r>
            <w:r>
              <w:t xml:space="preserve"> </w:t>
            </w:r>
            <w:r>
              <w:rPr>
                <w:b/>
                <w:bCs/>
              </w:rPr>
              <w:t xml:space="preserve">e direzione</w:t>
            </w:r>
            <w:r>
              <w:t xml:space="preserve"> </w:t>
            </w:r>
            <w:r>
              <w:t xml:space="preserve">del sintomo</w:t>
            </w:r>
          </w:p>
        </w:tc>
        <w:tc>
          <w:tcPr/>
          <w:p>
            <w:pPr>
              <w:pStyle w:val="Compact"/>
            </w:pPr>
            <w:r>
              <w:t xml:space="preserve">Disegno su mappa corporea</w:t>
            </w:r>
          </w:p>
        </w:tc>
        <w:tc>
          <w:tcPr/>
          <w:p>
            <w:pPr>
              <w:pStyle w:val="Compact"/>
            </w:pPr>
            <w:r>
              <w:t xml:space="preserve">≥ 30% di superficie</w:t>
            </w:r>
          </w:p>
        </w:tc>
      </w:tr>
      <w:tr>
        <w:tc>
          <w:tcPr/>
          <w:p>
            <w:pPr>
              <w:pStyle w:val="Compact"/>
            </w:pPr>
            <w:r>
              <w:t xml:space="preserve">Rotazione cervicale sintomatica</w:t>
            </w:r>
          </w:p>
        </w:tc>
        <w:tc>
          <w:tcPr/>
          <w:p>
            <w:pPr>
              <w:pStyle w:val="Compact"/>
            </w:pPr>
            <w:r>
              <w:t xml:space="preserve">Goniometro o inclinometro</w:t>
            </w:r>
          </w:p>
        </w:tc>
        <w:tc>
          <w:tcPr/>
          <w:p>
            <w:pPr>
              <w:pStyle w:val="Compact"/>
            </w:pPr>
            <w:r>
              <w:t xml:space="preserve">≥ 10 gradi</w:t>
            </w:r>
          </w:p>
        </w:tc>
      </w:tr>
      <w:tr>
        <w:tc>
          <w:tcPr/>
          <w:p>
            <w:pPr>
              <w:pStyle w:val="Compact"/>
            </w:pPr>
            <w:r>
              <w:t xml:space="preserve">Forza del miotomo coinvolto</w:t>
            </w:r>
          </w:p>
        </w:tc>
        <w:tc>
          <w:tcPr/>
          <w:p>
            <w:pPr>
              <w:pStyle w:val="Compact"/>
            </w:pPr>
            <w:r>
              <w:t xml:space="preserve">Test manuale sempre uguale, più dinamometro se C8-T1</w:t>
            </w:r>
          </w:p>
        </w:tc>
        <w:tc>
          <w:tcPr/>
          <w:p>
            <w:pPr>
              <w:pStyle w:val="Compact"/>
            </w:pPr>
            <w:r>
              <w:t xml:space="preserve">Qualunque calo</w:t>
            </w:r>
          </w:p>
        </w:tc>
      </w:tr>
    </w:tbl>
    <w:p>
      <w:pPr>
        <w:pStyle w:val="BodyText"/>
      </w:pPr>
      <w:r>
        <w:t xml:space="preserve">Quattro precisazioni che cambiano l’uso.</w:t>
      </w:r>
    </w:p>
    <w:p>
      <w:pPr>
        <w:pStyle w:val="BodyText"/>
      </w:pPr>
      <w:r>
        <w:rPr>
          <w:b/>
          <w:bCs/>
        </w:rPr>
        <w:t xml:space="preserve">Il primo si misura al punto di comparsa del sintomo nella mano, non alla massima escursione.</w:t>
      </w:r>
      <w:r>
        <w:t xml:space="preserve"> </w:t>
      </w:r>
      <w:r>
        <w:t xml:space="preserve">L’escursione massima dipende anche dai flessori del gomito e dalla tolleranza al dolore; il punto di comparsa dipende dal nervo. La soglia di 15 gradi sta sotto il cambiamento medio dopo una singola mobilizzazione cervicale in questi pazienti, circa 19 gradi (Coppieters,</w:t>
      </w:r>
      <w:r>
        <w:t xml:space="preserve"> </w:t>
      </w:r>
      <w:r>
        <w:rPr>
          <w:i/>
          <w:iCs/>
        </w:rPr>
        <w:t xml:space="preserve">JOSPT</w:t>
      </w:r>
      <w:r>
        <w:t xml:space="preserve"> </w:t>
      </w:r>
      <w:r>
        <w:t xml:space="preserve">2003, PMID 12918862), e sta sopra l’errore del goniometro.</w:t>
      </w:r>
    </w:p>
    <w:p>
      <w:pPr>
        <w:pStyle w:val="BodyText"/>
      </w:pPr>
      <w:r>
        <w:rPr>
          <w:b/>
          <w:bCs/>
        </w:rPr>
        <w:t xml:space="preserve">Del secondo conta il verso, non solo la superficie.</w:t>
      </w:r>
      <w:r>
        <w:t xml:space="preserve"> </w:t>
      </w:r>
      <w:r>
        <w:t xml:space="preserve">L’area può calare mentre il confine distale scende verso le dita. Il sintomo che</w:t>
      </w:r>
      <w:r>
        <w:t xml:space="preserve"> </w:t>
      </w:r>
      <w:r>
        <w:rPr>
          <w:b/>
          <w:bCs/>
        </w:rPr>
        <w:t xml:space="preserve">si ritira verso il collo</w:t>
      </w:r>
      <w:r>
        <w:t xml:space="preserve"> </w:t>
      </w:r>
      <w:r>
        <w:t xml:space="preserve">dice continua; quello che</w:t>
      </w:r>
      <w:r>
        <w:t xml:space="preserve"> </w:t>
      </w:r>
      <w:r>
        <w:rPr>
          <w:b/>
          <w:bCs/>
        </w:rPr>
        <w:t xml:space="preserve">scende verso la mano</w:t>
      </w:r>
      <w:r>
        <w:t xml:space="preserve"> </w:t>
      </w:r>
      <w:r>
        <w:t xml:space="preserve">dice fermati adesso. È il solo segnale di stop dentro la seduta che questa Bibbia ti dà.</w:t>
      </w:r>
    </w:p>
    <w:p>
      <w:pPr>
        <w:pStyle w:val="BodyText"/>
      </w:pPr>
      <w:r>
        <w:rPr>
          <w:b/>
          <w:bCs/>
        </w:rPr>
        <w:t xml:space="preserve">Il quarto non è più la presa.</w:t>
      </w:r>
      <w:r>
        <w:t xml:space="preserve"> </w:t>
      </w:r>
      <w:r>
        <w:t xml:space="preserve">La presa dipende da C8-T1, ma le radici più colpite sono C7 e C6: un deficit che cresce lì passa sotto un dinamometro che non si muove mai.</w:t>
      </w:r>
      <w:r>
        <w:t xml:space="preserve"> </w:t>
      </w:r>
      <w:r>
        <w:rPr>
          <w:b/>
          <w:bCs/>
        </w:rPr>
        <w:t xml:space="preserve">Segui la forza del miotomo coinvolto</w:t>
      </w:r>
      <w:r>
        <w:t xml:space="preserve">, sempre con lo stesso gesto. Il dinamometro resta quando il territorio è C8-T1. La corrispondenza radice-muscolo sta in «Dove finisce il nostro campo».</w:t>
      </w:r>
    </w:p>
    <w:p>
      <w:pPr>
        <w:pStyle w:val="BodyText"/>
      </w:pPr>
      <w:r>
        <w:rPr>
          <w:b/>
          <w:bCs/>
        </w:rPr>
        <w:t xml:space="preserve">E la chiave di volta non è la forza.</w:t>
      </w:r>
      <w:r>
        <w:t xml:space="preserve"> </w:t>
      </w:r>
      <w:r>
        <w:t xml:space="preserve">La forza è una misura di</w:t>
      </w:r>
      <w:r>
        <w:t xml:space="preserve"> </w:t>
      </w:r>
      <w:r>
        <w:rPr>
          <w:b/>
          <w:bCs/>
        </w:rPr>
        <w:t xml:space="preserve">confine</w:t>
      </w:r>
      <w:r>
        <w:t xml:space="preserve">: il numero che decide se invii non può essere lo stesso che ti dà ragione. Come chiave di volta serve un piano che davvero non tratti. È la</w:t>
      </w:r>
      <w:r>
        <w:t xml:space="preserve"> </w:t>
      </w:r>
      <w:r>
        <w:rPr>
          <w:b/>
          <w:bCs/>
        </w:rPr>
        <w:t xml:space="preserve">sensibilità al freddo su un sito remoto</w:t>
      </w:r>
      <w:r>
        <w:t xml:space="preserve">: un oggetto metallico freddo tre secondi sul piede, confrontandola col lato sano. Nella radicolopatia cervicale l’aumentata sensibilità al freddo è stata trovata nell’area del dolore</w:t>
      </w:r>
      <w:r>
        <w:t xml:space="preserve"> </w:t>
      </w:r>
      <w:r>
        <w:rPr>
          <w:b/>
          <w:bCs/>
        </w:rPr>
        <w:t xml:space="preserve">e al piede</w:t>
      </w:r>
      <w:r>
        <w:t xml:space="preserve"> </w:t>
      </w:r>
      <w:r>
        <w:t xml:space="preserve">(Tampin,</w:t>
      </w:r>
      <w:r>
        <w:t xml:space="preserve"> </w:t>
      </w:r>
      <w:r>
        <w:rPr>
          <w:i/>
          <w:iCs/>
        </w:rPr>
        <w:t xml:space="preserve">Pain</w:t>
      </w:r>
      <w:r>
        <w:t xml:space="preserve"> </w:t>
      </w:r>
      <w:r>
        <w:t xml:space="preserve">2012, PMID 22980746). Per la leva sull’attivazione, che altrimenti resta senza marker, usa la</w:t>
      </w:r>
      <w:r>
        <w:t xml:space="preserve"> </w:t>
      </w:r>
      <w:r>
        <w:rPr>
          <w:b/>
          <w:bCs/>
        </w:rPr>
        <w:t xml:space="preserve">frequenza respiratoria a riposo</w:t>
      </w:r>
      <w:r>
        <w:t xml:space="preserve">, contata per sessanta secondi prima e dopo, se in quella seduta non hai lavorato sul respiro.</w:t>
      </w:r>
    </w:p>
    <w:p>
      <w:pPr>
        <w:pStyle w:val="BodyText"/>
      </w:pPr>
      <w:r>
        <w:t xml:space="preserve">Le soglie della seconda e della terza riga sono</w:t>
      </w:r>
      <w:r>
        <w:t xml:space="preserve"> </w:t>
      </w:r>
      <w:r>
        <w:rPr>
          <w:b/>
          <w:bCs/>
        </w:rPr>
        <w:t xml:space="preserve">convenzioni di misura del metodo</w:t>
      </w:r>
      <w:r>
        <w:t xml:space="preserve">, sopra l’errore dello strumento. Non vengono dalla letteratura, e si dichiarano come convenzioni.</w:t>
      </w:r>
    </w:p>
    <w:p>
      <w:pPr>
        <w:pStyle w:val="BodyText"/>
      </w:pPr>
      <w:r>
        <w:rPr>
          <w:b/>
          <w:bCs/>
        </w:rPr>
        <w:t xml:space="preserve">Una regola su tutti.</w:t>
      </w:r>
      <w:r>
        <w:t xml:space="preserve"> </w:t>
      </w:r>
      <w:r>
        <w:t xml:space="preserve">Il re-test di fine seduta dice se l’ipotesi merita un’altra seduta, non se il trattamento funziona: su un test ripetuto a pochi minuti agiscono anche il rientro verso la media e l’attesa. Quello che regge è la</w:t>
      </w:r>
      <w:r>
        <w:t xml:space="preserve"> </w:t>
      </w:r>
      <w:r>
        <w:rPr>
          <w:b/>
          <w:bCs/>
        </w:rPr>
        <w:t xml:space="preserve">persistenza</w:t>
      </w:r>
      <w:r>
        <w:t xml:space="preserve"> </w:t>
      </w:r>
      <w:r>
        <w:t xml:space="preserve">del cambiamento. Per questo il marker si rimisura alla seduta dopo, prima di trattare.</w:t>
      </w:r>
    </w:p>
    <w:bookmarkEnd w:id="41"/>
    <w:bookmarkStart w:id="42" w:name="la-road-map"/>
    <w:p>
      <w:pPr>
        <w:pStyle w:val="Heading3"/>
      </w:pPr>
      <w:r>
        <w:t xml:space="preserve">La road map</w:t>
      </w:r>
    </w:p>
    <w:p>
      <w:pPr>
        <w:pStyle w:val="Compact"/>
        <w:numPr>
          <w:ilvl w:val="0"/>
          <w:numId w:val="1018"/>
        </w:numPr>
      </w:pPr>
      <w:r>
        <w:rPr>
          <w:b/>
          <w:bCs/>
        </w:rPr>
        <w:t xml:space="preserve">Il cancello prima di tutto.</w:t>
      </w:r>
      <w:r>
        <w:t xml:space="preserve"> </w:t>
      </w:r>
      <w:r>
        <w:t xml:space="preserve">Bandiere rosse, segni di primo motoneurone, forza del miotomo, screening vascolare. Prima di qualunque ragionamento, vedi «Dove finisce il nostro campo».</w:t>
      </w:r>
    </w:p>
    <w:p>
      <w:pPr>
        <w:pStyle w:val="Compact"/>
        <w:numPr>
          <w:ilvl w:val="0"/>
          <w:numId w:val="1018"/>
        </w:numPr>
      </w:pPr>
      <w:r>
        <w:rPr>
          <w:b/>
          <w:bCs/>
        </w:rPr>
        <w:t xml:space="preserve">È davvero il nervo?</w:t>
      </w:r>
      <w:r>
        <w:t xml:space="preserve"> </w:t>
      </w:r>
      <w:r>
        <w:t xml:space="preserve">Linea stretta, sotto il gomito, dita precise, Spurling che riproduce il sintomo distale. E non un segno solo: in cieco contro l’elettrofisiologia,</w:t>
      </w:r>
      <w:r>
        <w:t xml:space="preserve"> </w:t>
      </w:r>
      <w:r>
        <w:rPr>
          <w:b/>
          <w:bCs/>
        </w:rPr>
        <w:t xml:space="preserve">quattro segni insieme</w:t>
      </w:r>
      <w:r>
        <w:t xml:space="preserve"> </w:t>
      </w:r>
      <w:r>
        <w:t xml:space="preserve">spostano la probabilità molto più di uno preso da solo (Wainner,</w:t>
      </w:r>
      <w:r>
        <w:t xml:space="preserve"> </w:t>
      </w:r>
      <w:r>
        <w:rPr>
          <w:i/>
          <w:iCs/>
        </w:rPr>
        <w:t xml:space="preserve">Spine</w:t>
      </w:r>
      <w:r>
        <w:t xml:space="preserve"> </w:t>
      </w:r>
      <w:r>
        <w:t xml:space="preserve">2003, PMID 12544957). Se no, il quadro è un altro e cambia tutto il resto.</w:t>
      </w:r>
    </w:p>
    <w:p>
      <w:pPr>
        <w:pStyle w:val="Compact"/>
        <w:numPr>
          <w:ilvl w:val="0"/>
          <w:numId w:val="1018"/>
        </w:numPr>
      </w:pPr>
      <w:r>
        <w:rPr>
          <w:b/>
          <w:bCs/>
        </w:rPr>
        <w:t xml:space="preserve">Quanto è irritabile oggi?</w:t>
      </w:r>
      <w:r>
        <w:t xml:space="preserve"> </w:t>
      </w:r>
      <w:r>
        <w:t xml:space="preserve">Le quattro domande della coda del secondo meccanismo. Questa risposta viene prima del bersaglio, perché decide direzione e ampiezza di qualunque cosa farai.</w:t>
      </w:r>
    </w:p>
    <w:p>
      <w:pPr>
        <w:pStyle w:val="Compact"/>
        <w:numPr>
          <w:ilvl w:val="0"/>
          <w:numId w:val="1018"/>
        </w:numPr>
      </w:pPr>
      <w:r>
        <w:rPr>
          <w:b/>
          <w:bCs/>
        </w:rPr>
        <w:t xml:space="preserve">La porta o la strada?</w:t>
      </w:r>
      <w:r>
        <w:t xml:space="preserve"> </w:t>
      </w:r>
      <w:r>
        <w:t xml:space="preserve">Comanda la posizione, oppure comanda il test neurodinamico con differenziazione strutturale. Nella stessa domanda ci sta il secondo restringimento: cerniera, prima costa, clavicola, piccolo pettorale, scapola, con il sintomo che cambia muovendo la spalla a collo fermo. Quasi sempre pesano insieme, e uno di più.</w:t>
      </w:r>
    </w:p>
    <w:p>
      <w:pPr>
        <w:pStyle w:val="Compact"/>
        <w:numPr>
          <w:ilvl w:val="0"/>
          <w:numId w:val="1018"/>
        </w:numPr>
      </w:pPr>
      <w:r>
        <w:rPr>
          <w:b/>
          <w:bCs/>
        </w:rPr>
        <w:t xml:space="preserve">Quanto pesa la difesa?</w:t>
      </w:r>
      <w:r>
        <w:t xml:space="preserve"> </w:t>
      </w:r>
      <w:r>
        <w:t xml:space="preserve">Sonno, sproporzione, paura, ipersensibilità evocata. Se pesa, cambia il bersaglio e cambia l’esito che dichiari.</w:t>
      </w:r>
    </w:p>
    <w:p>
      <w:pPr>
        <w:pStyle w:val="Compact"/>
        <w:numPr>
          <w:ilvl w:val="0"/>
          <w:numId w:val="1018"/>
        </w:numPr>
      </w:pPr>
      <w:r>
        <w:rPr>
          <w:b/>
          <w:bCs/>
        </w:rPr>
        <w:t xml:space="preserve">Prendi i marker e le soglie prima di toccare.</w:t>
      </w:r>
      <w:r>
        <w:t xml:space="preserve"> </w:t>
      </w:r>
      <w:r>
        <w:t xml:space="preserve">Quattro misure, un minuto in tutto, scritte in cartella.</w:t>
      </w:r>
    </w:p>
    <w:bookmarkEnd w:id="42"/>
    <w:bookmarkStart w:id="43" w:name="i-tre-stati-del-paziente"/>
    <w:p>
      <w:pPr>
        <w:pStyle w:val="Heading3"/>
      </w:pPr>
      <w:r>
        <w:t xml:space="preserve">I tre stati del paziente</w:t>
      </w:r>
    </w:p>
    <w:p>
      <w:pPr>
        <w:pStyle w:val="FirstParagraph"/>
      </w:pPr>
      <w:r>
        <w:rPr>
          <w:b/>
          <w:bCs/>
        </w:rPr>
        <w:t xml:space="preserve">In difesa</w:t>
      </w:r>
      <w:r>
        <w:t xml:space="preserve"> </w:t>
      </w:r>
      <w:r>
        <w:t xml:space="preserve">— teso, monosillabi, ritrae il braccio. Parla al bisogno di sicurezza: contatto lento, annuncia ogni movimento, comincia lontano dal punto.</w:t>
      </w:r>
    </w:p>
    <w:p>
      <w:pPr>
        <w:pStyle w:val="BodyText"/>
      </w:pPr>
      <w:r>
        <w:rPr>
          <w:b/>
          <w:bCs/>
        </w:rPr>
        <w:t xml:space="preserve">Emotivo</w:t>
      </w:r>
      <w:r>
        <w:t xml:space="preserve"> </w:t>
      </w:r>
      <w:r>
        <w:t xml:space="preserve">— racconta la notte, il lavoro, la paura dell’intervento. Parla al bisogno di essere capito. Spesso qui il livello di attivazione è dominante.</w:t>
      </w:r>
    </w:p>
    <w:p>
      <w:pPr>
        <w:pStyle w:val="BodyText"/>
      </w:pPr>
      <w:r>
        <w:rPr>
          <w:b/>
          <w:bCs/>
        </w:rPr>
        <w:t xml:space="preserve">Razionale</w:t>
      </w:r>
      <w:r>
        <w:t xml:space="preserve"> </w:t>
      </w:r>
      <w:r>
        <w:t xml:space="preserve">— cita il referto, chiede il perché, vuole numeri. Mostrargli il marker prima e dopo vale più di qualunque spiegazione.</w:t>
      </w:r>
    </w:p>
    <w:p>
      <w:pPr>
        <w:pStyle w:val="BodyText"/>
      </w:pPr>
      <w:r>
        <w:rPr>
          <w:b/>
          <w:bCs/>
        </w:rPr>
        <w:t xml:space="preserve">Le tre cose da ricordare, più una</w:t>
      </w:r>
    </w:p>
    <w:p>
      <w:pPr>
        <w:pStyle w:val="Compact"/>
        <w:numPr>
          <w:ilvl w:val="0"/>
          <w:numId w:val="1019"/>
        </w:numPr>
      </w:pPr>
      <w:r>
        <w:t xml:space="preserve">Stesso dolore al braccio, tre sommersi diversi: la geometria, la chimica, l’attivazione.</w:t>
      </w:r>
    </w:p>
    <w:p>
      <w:pPr>
        <w:pStyle w:val="Compact"/>
        <w:numPr>
          <w:ilvl w:val="0"/>
          <w:numId w:val="1019"/>
        </w:numPr>
      </w:pPr>
      <w:r>
        <w:t xml:space="preserve">La gerarchia ordina l’indagine, non la forza delle leve: la leva meglio documentata qui sta in fondo alla piramide.</w:t>
      </w:r>
    </w:p>
    <w:p>
      <w:pPr>
        <w:pStyle w:val="Compact"/>
        <w:numPr>
          <w:ilvl w:val="0"/>
          <w:numId w:val="1019"/>
        </w:numPr>
      </w:pPr>
      <w:r>
        <w:t xml:space="preserve">La forza è il confine, non la chiave di volta: il numero che decide l’invio non può essere lo stesso che ti dà ragione.</w:t>
      </w:r>
    </w:p>
    <w:p>
      <w:pPr>
        <w:pStyle w:val="Compact"/>
        <w:numPr>
          <w:ilvl w:val="0"/>
          <w:numId w:val="1019"/>
        </w:numPr>
      </w:pPr>
      <w:r>
        <w:rPr>
          <w:b/>
          <w:bCs/>
        </w:rPr>
        <w:t xml:space="preserve">Perché ci sei tu.</w:t>
      </w:r>
      <w:r>
        <w:t xml:space="preserve"> </w:t>
      </w:r>
      <w:r>
        <w:t xml:space="preserve">Uno studio Delphi ha chiesto a</w:t>
      </w:r>
      <w:r>
        <w:t xml:space="preserve"> </w:t>
      </w:r>
      <w:r>
        <w:rPr>
          <w:b/>
          <w:bCs/>
        </w:rPr>
        <w:t xml:space="preserve">diciassette esperti</w:t>
      </w:r>
      <w:r>
        <w:t xml:space="preserve"> </w:t>
      </w:r>
      <w:r>
        <w:t xml:space="preserve">se una sofferenza nervosa in un punto renda il nervo più vulnerabile in un altro: il 59% concordava e il 29% dissentiva (Schmid e Coppieters,</w:t>
      </w:r>
      <w:r>
        <w:t xml:space="preserve"> </w:t>
      </w:r>
      <w:r>
        <w:rPr>
          <w:i/>
          <w:iCs/>
        </w:rPr>
        <w:t xml:space="preserve">Man Ther</w:t>
      </w:r>
      <w:r>
        <w:t xml:space="preserve"> </w:t>
      </w:r>
      <w:r>
        <w:t xml:space="preserve">2011, PMID 21646036).</w:t>
      </w:r>
      <w:r>
        <w:t xml:space="preserve"> </w:t>
      </w:r>
      <w:r>
        <w:rPr>
          <w:b/>
          <w:bCs/>
        </w:rPr>
        <w:t xml:space="preserve">Per te:</w:t>
      </w:r>
      <w:r>
        <w:t xml:space="preserve"> </w:t>
      </w:r>
      <w:r>
        <w:t xml:space="preserve">qui il dato restringe, e restringe due volte — perché è un’opinione di esperti, e perché gli esperti sono dieci contro cinque. Questo ti autorizza a cercare il secondo punto stretto e a trattarlo se lo trovi disfunzionale. Non ti autorizza a presentare il doppio restringimento al paziente come un fatto acquisito, né a costruirci sopra la spiegazione principale del suo quadro.</w:t>
      </w:r>
    </w:p>
    <w:p>
      <w:r>
        <w:pict>
          <v:rect style="width:0;height:1.5pt" o:hralign="center" o:hrstd="t" o:hr="t"/>
        </w:pict>
      </w:r>
    </w:p>
    <w:bookmarkEnd w:id="43"/>
    <w:bookmarkEnd w:id="44"/>
    <w:bookmarkStart w:id="54"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su questa condizione il confine non è il dolore — è la forza del miotomo giusto</w:t>
      </w:r>
      <w:r>
        <w:t xml:space="preserve"> </w:t>
      </w:r>
      <w:r>
        <w:rPr>
          <w:b/>
          <w:bCs/>
        </w:rPr>
        <w:t xml:space="preserve">più</w:t>
      </w:r>
      <w:r>
        <w:t xml:space="preserve"> </w:t>
      </w:r>
      <w:r>
        <w:t xml:space="preserve">i segni di primo motoneurone, e la cosa che non devi farti sfuggire non è l’ernia, è il midollo.</w:t>
      </w:r>
    </w:p>
    <w:bookmarkStart w:id="45" w:name="le-bandiere-rosse"/>
    <w:p>
      <w:pPr>
        <w:pStyle w:val="Heading3"/>
      </w:pPr>
      <w:r>
        <w:t xml:space="preserve">Le bandiere rosse</w:t>
      </w:r>
    </w:p>
    <w:p>
      <w:pPr>
        <w:pStyle w:val="FirstParagraph"/>
      </w:pPr>
      <w:r>
        <w:t xml:space="preserve">Le voci qui sotto vengono dalle linee guida di riferimento. Sono due: la linea guida sul dolore cervicale della sezione ortopedica dell’APTA (Blanpied,</w:t>
      </w:r>
      <w:r>
        <w:t xml:space="preserve"> </w:t>
      </w:r>
      <w:r>
        <w:rPr>
          <w:i/>
          <w:iCs/>
        </w:rPr>
        <w:t xml:space="preserve">JOSPT</w:t>
      </w:r>
      <w:r>
        <w:t xml:space="preserve"> </w:t>
      </w:r>
      <w:r>
        <w:t xml:space="preserve">2017, PMID 28666405) e la linea guida internazionale sulla mielopatia cervicale degenerativa (Fehlings,</w:t>
      </w:r>
      <w:r>
        <w:t xml:space="preserve"> </w:t>
      </w:r>
      <w:r>
        <w:rPr>
          <w:i/>
          <w:iCs/>
        </w:rPr>
        <w:t xml:space="preserve">Global Spine J</w:t>
      </w:r>
      <w:r>
        <w:t xml:space="preserve"> </w:t>
      </w:r>
      <w:r>
        <w:t xml:space="preserve">2017, PMID 29164035).</w:t>
      </w:r>
    </w:p>
    <w:p>
      <w:pPr>
        <w:pStyle w:val="BodyText"/>
      </w:pPr>
      <w:r>
        <w:rPr>
          <w:b/>
          <w:bCs/>
        </w:rPr>
        <w:t xml:space="preserve">Blocco A — rosso immediato. Non si tratta nulla, in nessun distretto.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r>
      <w:tr>
        <w:tc>
          <w:tcPr/>
          <w:p>
            <w:pPr>
              <w:pStyle w:val="Compact"/>
            </w:pPr>
            <w:r>
              <w:t xml:space="preserve">Mani goffe, andatura insicura, sintomi bilaterali</w:t>
            </w:r>
          </w:p>
        </w:tc>
        <w:tc>
          <w:tcPr/>
          <w:p>
            <w:pPr>
              <w:pStyle w:val="Compact"/>
            </w:pPr>
            <w:r>
              <w:t xml:space="preserve">Pronto soccorso o neurochirurgo</w:t>
            </w:r>
          </w:p>
        </w:tc>
        <w:tc>
          <w:tcPr/>
          <w:p>
            <w:pPr>
              <w:pStyle w:val="Compact"/>
            </w:pPr>
            <w:r>
              <w:t xml:space="preserve">Urgente</w:t>
            </w:r>
          </w:p>
        </w:tc>
      </w:tr>
      <w:tr>
        <w:tc>
          <w:tcPr/>
          <w:p>
            <w:pPr>
              <w:pStyle w:val="Compact"/>
            </w:pPr>
            <w:r>
              <w:t xml:space="preserve">Deficit di forza che peggiora ogni settimana</w:t>
            </w:r>
          </w:p>
        </w:tc>
        <w:tc>
          <w:tcPr/>
          <w:p>
            <w:pPr>
              <w:pStyle w:val="Compact"/>
            </w:pPr>
            <w:r>
              <w:t xml:space="preserve">Pronto soccorso o neurochirurgo</w:t>
            </w:r>
          </w:p>
        </w:tc>
        <w:tc>
          <w:tcPr/>
          <w:p>
            <w:pPr>
              <w:pStyle w:val="Compact"/>
            </w:pPr>
            <w:r>
              <w:t xml:space="preserve">Urgente</w:t>
            </w:r>
          </w:p>
        </w:tc>
      </w:tr>
      <w:tr>
        <w:tc>
          <w:tcPr/>
          <w:p>
            <w:pPr>
              <w:pStyle w:val="Compact"/>
            </w:pPr>
            <w:r>
              <w:t xml:space="preserve">Dolore al braccio che compare con lo sforzo</w:t>
            </w:r>
          </w:p>
        </w:tc>
        <w:tc>
          <w:tcPr/>
          <w:p>
            <w:pPr>
              <w:pStyle w:val="Compact"/>
            </w:pPr>
            <w:r>
              <w:t xml:space="preserve">112</w:t>
            </w:r>
          </w:p>
        </w:tc>
        <w:tc>
          <w:tcPr/>
          <w:p>
            <w:pPr>
              <w:pStyle w:val="Compact"/>
            </w:pPr>
            <w:r>
              <w:t xml:space="preserve">112</w:t>
            </w:r>
          </w:p>
        </w:tc>
      </w:tr>
      <w:tr>
        <w:tc>
          <w:tcPr/>
          <w:p>
            <w:pPr>
              <w:pStyle w:val="Compact"/>
            </w:pPr>
            <w:r>
              <w:t xml:space="preserve">Dolore al braccio con oppressione toracica o sudorazione</w:t>
            </w:r>
          </w:p>
        </w:tc>
        <w:tc>
          <w:tcPr/>
          <w:p>
            <w:pPr>
              <w:pStyle w:val="Compact"/>
            </w:pPr>
            <w:r>
              <w:t xml:space="preserve">112</w:t>
            </w:r>
          </w:p>
        </w:tc>
        <w:tc>
          <w:tcPr/>
          <w:p>
            <w:pPr>
              <w:pStyle w:val="Compact"/>
            </w:pPr>
            <w:r>
              <w:t xml:space="preserve">112</w:t>
            </w:r>
          </w:p>
        </w:tc>
      </w:tr>
      <w:tr>
        <w:tc>
          <w:tcPr/>
          <w:p>
            <w:pPr>
              <w:pStyle w:val="Compact"/>
            </w:pPr>
            <w:r>
              <w:t xml:space="preserve">Cefalea o cervicalgia nuova, improvvisa, mai provata prima</w:t>
            </w:r>
          </w:p>
        </w:tc>
        <w:tc>
          <w:tcPr/>
          <w:p>
            <w:pPr>
              <w:pStyle w:val="Compact"/>
            </w:pPr>
            <w:r>
              <w:t xml:space="preserve">112, senza test provocativi</w:t>
            </w:r>
          </w:p>
        </w:tc>
        <w:tc>
          <w:tcPr/>
          <w:p>
            <w:pPr>
              <w:pStyle w:val="Compact"/>
            </w:pPr>
            <w:r>
              <w:t xml:space="preserve">112</w:t>
            </w:r>
          </w:p>
        </w:tc>
      </w:tr>
      <w:tr>
        <w:tc>
          <w:tcPr/>
          <w:p>
            <w:pPr>
              <w:pStyle w:val="Compact"/>
            </w:pPr>
            <w:r>
              <w:t xml:space="preserve">Artrite reumatoide, sindrome di Down, trauma cervicale pregresso</w:t>
            </w:r>
          </w:p>
        </w:tc>
        <w:tc>
          <w:tcPr/>
          <w:p>
            <w:pPr>
              <w:pStyle w:val="Compact"/>
            </w:pPr>
            <w:r>
              <w:t xml:space="preserve">Pronto soccorso</w:t>
            </w:r>
          </w:p>
        </w:tc>
        <w:tc>
          <w:tcPr/>
          <w:p>
            <w:pPr>
              <w:pStyle w:val="Compact"/>
            </w:pPr>
            <w:r>
              <w:t xml:space="preserve">Urgente</w:t>
            </w:r>
          </w:p>
        </w:tc>
      </w:tr>
      <w:tr>
        <w:tc>
          <w:tcPr/>
          <w:p>
            <w:pPr>
              <w:pStyle w:val="Compact"/>
            </w:pPr>
            <w:r>
              <w:t xml:space="preserve">Disturbi nuovi di vescica o intestino</w:t>
            </w:r>
          </w:p>
        </w:tc>
        <w:tc>
          <w:tcPr/>
          <w:p>
            <w:pPr>
              <w:pStyle w:val="Compact"/>
            </w:pPr>
            <w:r>
              <w:t xml:space="preserve">112</w:t>
            </w:r>
          </w:p>
        </w:tc>
        <w:tc>
          <w:tcPr/>
          <w:p>
            <w:pPr>
              <w:pStyle w:val="Compact"/>
            </w:pPr>
            <w:r>
              <w:t xml:space="preserve">112</w:t>
            </w:r>
          </w:p>
        </w:tc>
      </w:tr>
      <w:tr>
        <w:tc>
          <w:tcPr/>
          <w:p>
            <w:pPr>
              <w:pStyle w:val="Compact"/>
            </w:pPr>
            <w:r>
              <w:t xml:space="preserve">Trauma cervicale recente con sintomi al braccio</w:t>
            </w:r>
          </w:p>
        </w:tc>
        <w:tc>
          <w:tcPr/>
          <w:p>
            <w:pPr>
              <w:pStyle w:val="Compact"/>
            </w:pPr>
            <w:r>
              <w:t xml:space="preserve">Pronto soccorso</w:t>
            </w:r>
          </w:p>
        </w:tc>
        <w:tc>
          <w:tcPr/>
          <w:p>
            <w:pPr>
              <w:pStyle w:val="Compact"/>
            </w:pPr>
            <w:r>
              <w:t xml:space="preserve">Urgente</w:t>
            </w:r>
          </w:p>
        </w:tc>
      </w:tr>
      <w:tr>
        <w:tc>
          <w:tcPr/>
          <w:p>
            <w:pPr>
              <w:pStyle w:val="Compact"/>
            </w:pPr>
            <w:r>
              <w:t xml:space="preserve">Febbre o infezione recente con dolore cervicale</w:t>
            </w:r>
          </w:p>
        </w:tc>
        <w:tc>
          <w:tcPr/>
          <w:p>
            <w:pPr>
              <w:pStyle w:val="Compact"/>
            </w:pPr>
            <w:r>
              <w:t xml:space="preserve">Pronto soccorso</w:t>
            </w:r>
          </w:p>
        </w:tc>
        <w:tc>
          <w:tcPr/>
          <w:p>
            <w:pPr>
              <w:pStyle w:val="Compact"/>
            </w:pPr>
            <w:r>
              <w:t xml:space="preserve">Urgente</w:t>
            </w:r>
          </w:p>
        </w:tc>
      </w:tr>
    </w:tbl>
    <w:p>
      <w:pPr>
        <w:pStyle w:val="BodyText"/>
      </w:pPr>
      <w:r>
        <w:t xml:space="preserve">Tre di queste righe sono nuove, e vanno capite.</w:t>
      </w:r>
    </w:p>
    <w:p>
      <w:pPr>
        <w:pStyle w:val="BodyText"/>
      </w:pPr>
      <w:r>
        <w:rPr>
          <w:b/>
          <w:bCs/>
        </w:rPr>
        <w:t xml:space="preserve">Il cuore.</w:t>
      </w:r>
      <w:r>
        <w:t xml:space="preserve"> </w:t>
      </w:r>
      <w:r>
        <w:t xml:space="preserve">Vale il dolore al braccio che compare con lo sforzo e passa col riposo. Vale anche quello che porta con sé oppressione toracica, affanno, sudorazione o nausea. Il perché sta in «Che cos’è davvero» (DeVon,</w:t>
      </w:r>
      <w:r>
        <w:t xml:space="preserve"> </w:t>
      </w:r>
      <w:r>
        <w:rPr>
          <w:i/>
          <w:iCs/>
        </w:rPr>
        <w:t xml:space="preserve">West J Nurs Res</w:t>
      </w:r>
      <w:r>
        <w:t xml:space="preserve"> </w:t>
      </w:r>
      <w:r>
        <w:t xml:space="preserve">2008, PMID 18182562).</w:t>
      </w:r>
      <w:r>
        <w:t xml:space="preserve"> </w:t>
      </w:r>
      <w:r>
        <w:rPr>
          <w:b/>
          <w:bCs/>
        </w:rPr>
        <w:t xml:space="preserve">La parola che devi aver chiesto prima di toccare qualcuno è «sforzo».</w:t>
      </w:r>
    </w:p>
    <w:p>
      <w:pPr>
        <w:pStyle w:val="BodyText"/>
      </w:pPr>
      <w:r>
        <w:rPr>
          <w:b/>
          <w:bCs/>
        </w:rPr>
        <w:t xml:space="preserve">L’arteria.</w:t>
      </w:r>
      <w:r>
        <w:t xml:space="preserve"> </w:t>
      </w:r>
      <w:r>
        <w:t xml:space="preserve">Vale la cefalea o la cervicalgia nuova, improvvisa e diversa da ogni altra. Vale da sola, oppure insieme a Horner, vertigine, visione sdoppiata, difficoltà a parlare o a deglutire, atassia, nistagmo. Horner compare solo in circa un quarto delle dissezioni arteriose cervicali: la presentazione più comune è una cervicalgia o una cefalea improvvisa e insolita</w:t>
      </w:r>
      <w:r>
        <w:t xml:space="preserve"> </w:t>
      </w:r>
      <w:r>
        <w:rPr>
          <w:b/>
          <w:bCs/>
        </w:rPr>
        <w:t xml:space="preserve">senza</w:t>
      </w:r>
      <w:r>
        <w:t xml:space="preserve"> </w:t>
      </w:r>
      <w:r>
        <w:t xml:space="preserve">Horner (Rushton,</w:t>
      </w:r>
      <w:r>
        <w:t xml:space="preserve"> </w:t>
      </w:r>
      <w:r>
        <w:rPr>
          <w:i/>
          <w:iCs/>
        </w:rPr>
        <w:t xml:space="preserve">JOSPT</w:t>
      </w:r>
      <w:r>
        <w:t xml:space="preserve"> </w:t>
      </w:r>
      <w:r>
        <w:t xml:space="preserve">2023, PMID 36099171). E i segni precoci imitano una cervicalgia meccanica (Thomas,</w:t>
      </w:r>
      <w:r>
        <w:t xml:space="preserve"> </w:t>
      </w:r>
      <w:r>
        <w:rPr>
          <w:i/>
          <w:iCs/>
        </w:rPr>
        <w:t xml:space="preserve">Man Ther</w:t>
      </w:r>
      <w:r>
        <w:t xml:space="preserve"> </w:t>
      </w:r>
      <w:r>
        <w:t xml:space="preserve">2015, PMID 26250600). Non è un evento che crei tu su un collo sano: è un quadro che</w:t>
      </w:r>
      <w:r>
        <w:t xml:space="preserve"> </w:t>
      </w:r>
      <w:r>
        <w:rPr>
          <w:b/>
          <w:bCs/>
        </w:rPr>
        <w:t xml:space="preserve">arriva già in corso</w:t>
      </w:r>
      <w:r>
        <w:t xml:space="preserve">.</w:t>
      </w:r>
    </w:p>
    <w:p>
      <w:pPr>
        <w:pStyle w:val="BodyText"/>
      </w:pPr>
      <w:r>
        <w:rPr>
          <w:b/>
          <w:bCs/>
        </w:rPr>
        <w:t xml:space="preserve">L’instabilità cervicale alta.</w:t>
      </w:r>
      <w:r>
        <w:t xml:space="preserve"> </w:t>
      </w:r>
      <w:r>
        <w:t xml:space="preserve">In artrite reumatoide di lunga durata, sindrome di Down o trauma cervicale pregresso c’è una controindicazione assoluta al lavoro manuale sul collo. I segni che la accompagnano sono dolore cervicale alto, parestesie ai quattro arti, nodo in gola, nistagmo. Si riconosce in anamnesi, non con le mani.</w:t>
      </w:r>
    </w:p>
    <w:p>
      <w:pPr>
        <w:pStyle w:val="BodyText"/>
      </w:pPr>
      <w:r>
        <w:rPr>
          <w:b/>
          <w:bCs/>
        </w:rPr>
        <w:t xml:space="preserve">Blocco B — invio non differibile. Si può trattare un altro distretto.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r>
      <w:tr>
        <w:tc>
          <w:tcPr/>
          <w:p>
            <w:pPr>
              <w:pStyle w:val="Compact"/>
            </w:pPr>
            <w:r>
              <w:t xml:space="preserve">Dolore notturno crescente, calo di peso, storia oncologica</w:t>
            </w:r>
          </w:p>
        </w:tc>
        <w:tc>
          <w:tcPr/>
          <w:p>
            <w:pPr>
              <w:pStyle w:val="Compact"/>
            </w:pPr>
            <w:r>
              <w:t xml:space="preserve">Curante, poi imaging</w:t>
            </w:r>
          </w:p>
        </w:tc>
        <w:tc>
          <w:tcPr/>
          <w:p>
            <w:pPr>
              <w:pStyle w:val="Compact"/>
            </w:pPr>
            <w:r>
              <w:t xml:space="preserve">Invio, non attendere</w:t>
            </w:r>
          </w:p>
        </w:tc>
      </w:tr>
      <w:tr>
        <w:tc>
          <w:tcPr/>
          <w:p>
            <w:pPr>
              <w:pStyle w:val="Compact"/>
            </w:pPr>
            <w:r>
              <w:t xml:space="preserve">Deficit di forza stabile ma netto</w:t>
            </w:r>
          </w:p>
        </w:tc>
        <w:tc>
          <w:tcPr/>
          <w:p>
            <w:pPr>
              <w:pStyle w:val="Compact"/>
            </w:pPr>
            <w:r>
              <w:t xml:space="preserve">Neurologo o neurochirurgo</w:t>
            </w:r>
          </w:p>
        </w:tc>
        <w:tc>
          <w:tcPr/>
          <w:p>
            <w:pPr>
              <w:pStyle w:val="Compact"/>
            </w:pPr>
            <w:r>
              <w:t xml:space="preserve">Invio, non attendere</w:t>
            </w:r>
          </w:p>
        </w:tc>
      </w:tr>
      <w:tr>
        <w:tc>
          <w:tcPr/>
          <w:p>
            <w:pPr>
              <w:pStyle w:val="Compact"/>
            </w:pPr>
            <w:r>
              <w:t xml:space="preserve">Braccio gonfio o cianotico</w:t>
            </w:r>
          </w:p>
        </w:tc>
        <w:tc>
          <w:tcPr/>
          <w:p>
            <w:pPr>
              <w:pStyle w:val="Compact"/>
            </w:pPr>
            <w:r>
              <w:t xml:space="preserve">Curante, poi chirurgo vascolare</w:t>
            </w:r>
          </w:p>
        </w:tc>
        <w:tc>
          <w:tcPr/>
          <w:p>
            <w:pPr>
              <w:pStyle w:val="Compact"/>
            </w:pPr>
            <w:r>
              <w:t xml:space="preserve">Invio, non attendere</w:t>
            </w:r>
          </w:p>
        </w:tc>
      </w:tr>
      <w:tr>
        <w:tc>
          <w:tcPr/>
          <w:p>
            <w:pPr>
              <w:pStyle w:val="Compact"/>
            </w:pPr>
            <w:r>
              <w:t xml:space="preserve">Mano fredda e pallida che si affatica</w:t>
            </w:r>
          </w:p>
        </w:tc>
        <w:tc>
          <w:tcPr/>
          <w:p>
            <w:pPr>
              <w:pStyle w:val="Compact"/>
            </w:pPr>
            <w:r>
              <w:t xml:space="preserve">Curante, poi chirurgo vascolare</w:t>
            </w:r>
          </w:p>
        </w:tc>
        <w:tc>
          <w:tcPr/>
          <w:p>
            <w:pPr>
              <w:pStyle w:val="Compact"/>
            </w:pPr>
            <w:r>
              <w:t xml:space="preserve">Invio, non attendere</w:t>
            </w:r>
          </w:p>
        </w:tc>
      </w:tr>
      <w:tr>
        <w:tc>
          <w:tcPr/>
          <w:p>
            <w:pPr>
              <w:pStyle w:val="Compact"/>
            </w:pPr>
            <w:r>
              <w:t xml:space="preserve">Sintomi C8-T1 con Horner in fumatore</w:t>
            </w:r>
          </w:p>
        </w:tc>
        <w:tc>
          <w:tcPr/>
          <w:p>
            <w:pPr>
              <w:pStyle w:val="Compact"/>
            </w:pPr>
            <w:r>
              <w:t xml:space="preserve">Curante, poi imaging del torace</w:t>
            </w:r>
          </w:p>
        </w:tc>
        <w:tc>
          <w:tcPr/>
          <w:p>
            <w:pPr>
              <w:pStyle w:val="Compact"/>
            </w:pPr>
            <w:r>
              <w:t xml:space="preserve">Invio, non attendere</w:t>
            </w:r>
          </w:p>
        </w:tc>
      </w:tr>
      <w:tr>
        <w:tc>
          <w:tcPr/>
          <w:p>
            <w:pPr>
              <w:pStyle w:val="Compact"/>
            </w:pPr>
            <w:r>
              <w:t xml:space="preserve">Nessun miglioramento oltre le sei-otto settimane</w:t>
            </w:r>
          </w:p>
        </w:tc>
        <w:tc>
          <w:tcPr/>
          <w:p>
            <w:pPr>
              <w:pStyle w:val="Compact"/>
            </w:pPr>
            <w:r>
              <w:t xml:space="preserve">Curante o specialista</w:t>
            </w:r>
          </w:p>
        </w:tc>
        <w:tc>
          <w:tcPr/>
          <w:p>
            <w:pPr>
              <w:pStyle w:val="Compact"/>
            </w:pPr>
            <w:r>
              <w:t xml:space="preserve">Invio</w:t>
            </w:r>
          </w:p>
        </w:tc>
      </w:tr>
      <w:tr>
        <w:tc>
          <w:tcPr/>
          <w:p>
            <w:pPr>
              <w:pStyle w:val="Compact"/>
            </w:pPr>
            <w:r>
              <w:t xml:space="preserve">Diabete o neuropatia nota, sintomi bilaterali</w:t>
            </w:r>
          </w:p>
        </w:tc>
        <w:tc>
          <w:tcPr/>
          <w:p>
            <w:pPr>
              <w:pStyle w:val="Compact"/>
            </w:pPr>
            <w:r>
              <w:t xml:space="preserve">Curante, poi neurologo</w:t>
            </w:r>
          </w:p>
        </w:tc>
        <w:tc>
          <w:tcPr/>
          <w:p>
            <w:pPr>
              <w:pStyle w:val="Compact"/>
            </w:pPr>
            <w:r>
              <w:t xml:space="preserve">Invio programmato</w:t>
            </w:r>
          </w:p>
        </w:tc>
      </w:tr>
    </w:tbl>
    <w:p>
      <w:pPr>
        <w:pStyle w:val="BodyText"/>
      </w:pPr>
      <w:r>
        <w:rPr>
          <w:b/>
          <w:bCs/>
        </w:rPr>
        <w:t xml:space="preserve">Un invio sospende anche il lavoro che il paziente fa a casa</w:t>
      </w:r>
      <w:r>
        <w:t xml:space="preserve">, non solo le tue mani.</w:t>
      </w:r>
    </w:p>
    <w:p>
      <w:pPr>
        <w:pStyle w:val="BodyText"/>
      </w:pPr>
      <w:r>
        <w:t xml:space="preserve">La mielopatia è la voce che pesa di più, ed è la ragione per cui la prima riga sta in cima. Il tempo medio fra i primi sintomi e la diagnosi si misura in</w:t>
      </w:r>
      <w:r>
        <w:t xml:space="preserve"> </w:t>
      </w:r>
      <w:r>
        <w:rPr>
          <w:b/>
          <w:bCs/>
        </w:rPr>
        <w:t xml:space="preserve">anni</w:t>
      </w:r>
      <w:r>
        <w:t xml:space="preserve"> </w:t>
      </w:r>
      <w:r>
        <w:t xml:space="preserve">(Davies,</w:t>
      </w:r>
      <w:r>
        <w:t xml:space="preserve"> </w:t>
      </w:r>
      <w:r>
        <w:rPr>
          <w:i/>
          <w:iCs/>
        </w:rPr>
        <w:t xml:space="preserve">BMJ</w:t>
      </w:r>
      <w:r>
        <w:t xml:space="preserve"> </w:t>
      </w:r>
      <w:r>
        <w:t xml:space="preserve">2018, PMID 29472200). Non perché sia difficile riconoscerla, ma perché all’inizio i sintomi sono banali e nessuno li mette insieme.</w:t>
      </w:r>
    </w:p>
    <w:bookmarkEnd w:id="45"/>
    <w:bookmarkStart w:id="46" w:name="X5d929d2759ee643b25312d3ab6aaec6c7673311"/>
    <w:p>
      <w:pPr>
        <w:pStyle w:val="Heading3"/>
      </w:pPr>
      <w:r>
        <w:t xml:space="preserve">Le due conoscenze che rendono eseguibile il confine</w:t>
      </w:r>
    </w:p>
    <w:p>
      <w:pPr>
        <w:pStyle w:val="FirstParagraph"/>
      </w:pPr>
      <w:r>
        <w:rPr>
          <w:b/>
          <w:bCs/>
        </w:rPr>
        <w:t xml:space="preserve">Prima: quale muscolo appartiene a quale radice.</w:t>
      </w:r>
      <w:r>
        <w:t xml:space="preserve"> </w:t>
      </w:r>
      <w:r>
        <w:t xml:space="preserve">Se non sai qual è il miotomo del tuo paziente, non stai sorvegliando niente. E un deficit C6 o C7 che cresce passa sotto un dinamometro che non si muove mai.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Radice</w:t>
            </w:r>
          </w:p>
        </w:tc>
        <w:tc>
          <w:tcPr/>
          <w:p>
            <w:pPr>
              <w:pStyle w:val="Compact"/>
            </w:pPr>
            <w:r>
              <w:t xml:space="preserve">Cosa perde forza</w:t>
            </w:r>
          </w:p>
        </w:tc>
        <w:tc>
          <w:tcPr/>
          <w:p>
            <w:pPr>
              <w:pStyle w:val="Compact"/>
            </w:pPr>
            <w:r>
              <w:t xml:space="preserve">Riflesso</w:t>
            </w:r>
          </w:p>
        </w:tc>
      </w:tr>
      <w:tr>
        <w:tc>
          <w:tcPr/>
          <w:p>
            <w:pPr>
              <w:pStyle w:val="Compact"/>
            </w:pPr>
            <w:r>
              <w:t xml:space="preserve">C5</w:t>
            </w:r>
          </w:p>
        </w:tc>
        <w:tc>
          <w:tcPr/>
          <w:p>
            <w:pPr>
              <w:pStyle w:val="Compact"/>
            </w:pPr>
            <w:r>
              <w:t xml:space="preserve">Abduzione della spalla</w:t>
            </w:r>
          </w:p>
        </w:tc>
        <w:tc>
          <w:tcPr/>
          <w:p>
            <w:pPr>
              <w:pStyle w:val="Compact"/>
            </w:pPr>
            <w:r>
              <w:t xml:space="preserve">Bicipitale</w:t>
            </w:r>
          </w:p>
        </w:tc>
      </w:tr>
      <w:tr>
        <w:tc>
          <w:tcPr/>
          <w:p>
            <w:pPr>
              <w:pStyle w:val="Compact"/>
            </w:pPr>
            <w:r>
              <w:t xml:space="preserve">C6</w:t>
            </w:r>
          </w:p>
        </w:tc>
        <w:tc>
          <w:tcPr/>
          <w:p>
            <w:pPr>
              <w:pStyle w:val="Compact"/>
            </w:pPr>
            <w:r>
              <w:t xml:space="preserve">Flessione gomito, estensione polso</w:t>
            </w:r>
          </w:p>
        </w:tc>
        <w:tc>
          <w:tcPr/>
          <w:p>
            <w:pPr>
              <w:pStyle w:val="Compact"/>
            </w:pPr>
            <w:r>
              <w:t xml:space="preserve">Brachioradiale</w:t>
            </w:r>
          </w:p>
        </w:tc>
      </w:tr>
      <w:tr>
        <w:tc>
          <w:tcPr/>
          <w:p>
            <w:pPr>
              <w:pStyle w:val="Compact"/>
            </w:pPr>
            <w:r>
              <w:t xml:space="preserve">C7</w:t>
            </w:r>
          </w:p>
        </w:tc>
        <w:tc>
          <w:tcPr/>
          <w:p>
            <w:pPr>
              <w:pStyle w:val="Compact"/>
            </w:pPr>
            <w:r>
              <w:t xml:space="preserve">Estensione gomito, flessione polso</w:t>
            </w:r>
          </w:p>
        </w:tc>
        <w:tc>
          <w:tcPr/>
          <w:p>
            <w:pPr>
              <w:pStyle w:val="Compact"/>
            </w:pPr>
            <w:r>
              <w:t xml:space="preserve">Tricipitale</w:t>
            </w:r>
          </w:p>
        </w:tc>
      </w:tr>
      <w:tr>
        <w:tc>
          <w:tcPr/>
          <w:p>
            <w:pPr>
              <w:pStyle w:val="Compact"/>
            </w:pPr>
            <w:r>
              <w:t xml:space="preserve">C8</w:t>
            </w:r>
          </w:p>
        </w:tc>
        <w:tc>
          <w:tcPr/>
          <w:p>
            <w:pPr>
              <w:pStyle w:val="Compact"/>
            </w:pPr>
            <w:r>
              <w:t xml:space="preserve">Flessione delle dita, presa</w:t>
            </w:r>
          </w:p>
        </w:tc>
        <w:tc>
          <w:tcPr/>
          <w:p>
            <w:pPr>
              <w:pStyle w:val="Compact"/>
            </w:pPr>
            <w:r>
              <w:t xml:space="preserve">Nessuno affidabile</w:t>
            </w:r>
          </w:p>
        </w:tc>
      </w:tr>
      <w:tr>
        <w:tc>
          <w:tcPr/>
          <w:p>
            <w:pPr>
              <w:pStyle w:val="Compact"/>
            </w:pPr>
            <w:r>
              <w:t xml:space="preserve">T1</w:t>
            </w:r>
          </w:p>
        </w:tc>
        <w:tc>
          <w:tcPr/>
          <w:p>
            <w:pPr>
              <w:pStyle w:val="Compact"/>
            </w:pPr>
            <w:r>
              <w:t xml:space="preserve">Allontanamento delle dita</w:t>
            </w:r>
          </w:p>
        </w:tc>
        <w:tc>
          <w:tcPr/>
          <w:p>
            <w:pPr>
              <w:pStyle w:val="Compact"/>
            </w:pPr>
            <w:r>
              <w:t xml:space="preserve">Nessuno affidabile</w:t>
            </w:r>
          </w:p>
        </w:tc>
      </w:tr>
    </w:tbl>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sulla mappa anatomica,</w:t>
      </w:r>
      <w:r>
        <w:t xml:space="preserve"> </w:t>
      </w:r>
      <w:r>
        <w:rPr>
          <w:b/>
          <w:bCs/>
        </w:rPr>
        <w:t xml:space="preserve">con la riserva della sovrapposizione fra radici</w:t>
      </w:r>
      <w:r>
        <w:t xml:space="preserve">: i territori si accavallano, e un solo muscolo non identifica il livello. RAGIONAMENTO</w:t>
      </w:r>
      <w:r>
        <w:t xml:space="preserve"> </w:t>
      </w:r>
      <w:r>
        <w:rPr>
          <w:i/>
          <w:iCs/>
        </w:rPr>
        <w:t xml:space="preserve">(cornice clinica, non una prova)</w:t>
      </w:r>
      <w:r>
        <w:t xml:space="preserve"> </w:t>
      </w:r>
      <w:r>
        <w:t xml:space="preserve">sulla regola di seguire il miotomo coinvolto in quel paziente.</w:t>
      </w:r>
    </w:p>
    <w:p>
      <w:pPr>
        <w:pStyle w:val="FirstParagraph"/>
      </w:pPr>
      <w:r>
        <w:rPr>
          <w:b/>
          <w:bCs/>
        </w:rPr>
        <w:t xml:space="preserve">Seconda: nessuna misura di forza vede la mielopatia iniziale.</w:t>
      </w:r>
      <w:r>
        <w:t xml:space="preserve"> </w:t>
      </w:r>
      <w:r>
        <w:t xml:space="preserve">Lì la forza può essere del tutto normale mentre i segni di primo motoneurone sono già presenti. I test</w:t>
      </w:r>
      <w:r>
        <w:t xml:space="preserve"> </w:t>
      </w:r>
      <w:r>
        <w:rPr>
          <w:b/>
          <w:bCs/>
        </w:rPr>
        <w:t xml:space="preserve">più sensibili</w:t>
      </w:r>
      <w:r>
        <w:t xml:space="preserve"> </w:t>
      </w:r>
      <w:r>
        <w:t xml:space="preserve">sono il segno di</w:t>
      </w:r>
      <w:r>
        <w:t xml:space="preserve"> </w:t>
      </w:r>
      <w:r>
        <w:rPr>
          <w:b/>
          <w:bCs/>
        </w:rPr>
        <w:t xml:space="preserve">Tromner</w:t>
      </w:r>
      <w:r>
        <w:t xml:space="preserve"> </w:t>
      </w:r>
      <w:r>
        <w:t xml:space="preserve">e l’</w:t>
      </w:r>
      <w:r>
        <w:rPr>
          <w:b/>
          <w:bCs/>
        </w:rPr>
        <w:t xml:space="preserve">iperreflessia</w:t>
      </w:r>
      <w:r>
        <w:t xml:space="preserve">. I più specifici sono</w:t>
      </w:r>
      <w:r>
        <w:t xml:space="preserve"> </w:t>
      </w:r>
      <w:r>
        <w:rPr>
          <w:b/>
          <w:bCs/>
        </w:rPr>
        <w:t xml:space="preserve">Babinski</w:t>
      </w:r>
      <w:r>
        <w:t xml:space="preserve">, Tromner,</w:t>
      </w:r>
      <w:r>
        <w:t xml:space="preserve"> </w:t>
      </w:r>
      <w:r>
        <w:rPr>
          <w:b/>
          <w:bCs/>
        </w:rPr>
        <w:t xml:space="preserve">clono</w:t>
      </w:r>
      <w:r>
        <w:t xml:space="preserve"> </w:t>
      </w:r>
      <w:r>
        <w:t xml:space="preserve">e</w:t>
      </w:r>
      <w:r>
        <w:t xml:space="preserve"> </w:t>
      </w:r>
      <w:r>
        <w:rPr>
          <w:b/>
          <w:bCs/>
        </w:rPr>
        <w:t xml:space="preserve">inverted supinator sign</w:t>
      </w:r>
      <w:r>
        <w:t xml:space="preserve"> </w:t>
      </w:r>
      <w:r>
        <w:t xml:space="preserve">— e la dinamometria non compare fra i segni valutati (Jiang,</w:t>
      </w:r>
      <w:r>
        <w:t xml:space="preserve"> </w:t>
      </w:r>
      <w:r>
        <w:rPr>
          <w:i/>
          <w:iCs/>
        </w:rPr>
        <w:t xml:space="preserve">Global Spine J</w:t>
      </w:r>
      <w:r>
        <w:t xml:space="preserve"> </w:t>
      </w:r>
      <w:r>
        <w:t xml:space="preserve">2024, PMID 37903098). A questi si affiancano il</w:t>
      </w:r>
      <w:r>
        <w:t xml:space="preserve"> </w:t>
      </w:r>
      <w:r>
        <w:rPr>
          <w:b/>
          <w:bCs/>
        </w:rPr>
        <w:t xml:space="preserve">segno di Lhermitte</w:t>
      </w:r>
      <w:r>
        <w:t xml:space="preserve">, cioè una scarica elettrica lungo la schiena quando il paziente flette il collo, e l’incoordinazione fine della mano: abbottonarsi, scrivere.</w:t>
      </w:r>
    </w:p>
    <w:p>
      <w:pPr>
        <w:pStyle w:val="BodyText"/>
      </w:pPr>
      <w:r>
        <w:rPr>
          <w:b/>
          <w:bCs/>
        </w:rPr>
        <w:t xml:space="preserve">Per te:</w:t>
      </w:r>
      <w:r>
        <w:t xml:space="preserve"> </w:t>
      </w:r>
      <w:r>
        <w:t xml:space="preserve">i primi due si usano per</w:t>
      </w:r>
      <w:r>
        <w:t xml:space="preserve"> </w:t>
      </w:r>
      <w:r>
        <w:rPr>
          <w:b/>
          <w:bCs/>
        </w:rPr>
        <w:t xml:space="preserve">cercare</w:t>
      </w:r>
      <w:r>
        <w:t xml:space="preserve">, gli altri per</w:t>
      </w:r>
      <w:r>
        <w:t xml:space="preserve"> </w:t>
      </w:r>
      <w:r>
        <w:rPr>
          <w:b/>
          <w:bCs/>
        </w:rPr>
        <w:t xml:space="preserve">confermare</w:t>
      </w:r>
      <w:r>
        <w:t xml:space="preserve">. Chi misura solo i chili e li vede stabili conclude che il paziente è al sicuro, e continua a trattarlo. Trenta secondi e un martelletto cambiano quella conclusione.</w:t>
      </w:r>
    </w:p>
    <w:bookmarkEnd w:id="46"/>
    <w:bookmarkStart w:id="47" w:name="cosa-chiedi-prima-di-lavorare-sul-collo"/>
    <w:p>
      <w:pPr>
        <w:pStyle w:val="Heading3"/>
      </w:pPr>
      <w:r>
        <w:t xml:space="preserve">Cosa chiedi prima di lavorare sul collo</w:t>
      </w:r>
    </w:p>
    <w:p>
      <w:pPr>
        <w:pStyle w:val="FirstParagraph"/>
      </w:pPr>
      <w:r>
        <w:t xml:space="preserve">Cinque domande, prima di ogni intervento manuale sul rachide cervicale. Valgono anche senza tecniche a impulso, perché lo standard internazionale si applica a ogni intervento muscoloscheletrico su questa regione, non solo alla manipolazione (Rushton,</w:t>
      </w:r>
      <w:r>
        <w:t xml:space="preserve"> </w:t>
      </w:r>
      <w:r>
        <w:rPr>
          <w:i/>
          <w:iCs/>
        </w:rPr>
        <w:t xml:space="preserve">JOSPT</w:t>
      </w:r>
      <w:r>
        <w:t xml:space="preserve"> </w:t>
      </w:r>
      <w:r>
        <w:t xml:space="preserve">2023, PMID 36099171).</w:t>
      </w:r>
    </w:p>
    <w:p>
      <w:pPr>
        <w:pStyle w:val="Compact"/>
        <w:numPr>
          <w:ilvl w:val="0"/>
          <w:numId w:val="1020"/>
        </w:numPr>
      </w:pPr>
      <w:r>
        <w:t xml:space="preserve">È comparso di recente un dolore al collo o alla testa</w:t>
      </w:r>
      <w:r>
        <w:t xml:space="preserve"> </w:t>
      </w:r>
      <w:r>
        <w:rPr>
          <w:b/>
          <w:bCs/>
        </w:rPr>
        <w:t xml:space="preserve">diverso da ogni altro</w:t>
      </w:r>
      <w:r>
        <w:t xml:space="preserve">, improvviso?</w:t>
      </w:r>
    </w:p>
    <w:p>
      <w:pPr>
        <w:pStyle w:val="Compact"/>
        <w:numPr>
          <w:ilvl w:val="0"/>
          <w:numId w:val="1020"/>
        </w:numPr>
      </w:pPr>
      <w:r>
        <w:t xml:space="preserve">C’è</w:t>
      </w:r>
      <w:r>
        <w:t xml:space="preserve"> </w:t>
      </w:r>
      <w:r>
        <w:rPr>
          <w:b/>
          <w:bCs/>
        </w:rPr>
        <w:t xml:space="preserve">artrite reumatoide</w:t>
      </w:r>
      <w:r>
        <w:t xml:space="preserve"> </w:t>
      </w:r>
      <w:r>
        <w:t xml:space="preserve">di lunga durata, sindrome di Down, trauma cervicale pregresso?</w:t>
      </w:r>
    </w:p>
    <w:p>
      <w:pPr>
        <w:pStyle w:val="Compact"/>
        <w:numPr>
          <w:ilvl w:val="0"/>
          <w:numId w:val="1020"/>
        </w:numPr>
      </w:pPr>
      <w:r>
        <w:t xml:space="preserve">Prende</w:t>
      </w:r>
      <w:r>
        <w:t xml:space="preserve"> </w:t>
      </w:r>
      <w:r>
        <w:rPr>
          <w:b/>
          <w:bCs/>
        </w:rPr>
        <w:t xml:space="preserve">anticoagulanti o antiaggreganti</w:t>
      </w:r>
      <w:r>
        <w:t xml:space="preserve">?</w:t>
      </w:r>
    </w:p>
    <w:p>
      <w:pPr>
        <w:pStyle w:val="Compact"/>
        <w:numPr>
          <w:ilvl w:val="0"/>
          <w:numId w:val="1020"/>
        </w:numPr>
      </w:pPr>
      <w:r>
        <w:t xml:space="preserve">C’è</w:t>
      </w:r>
      <w:r>
        <w:t xml:space="preserve"> </w:t>
      </w:r>
      <w:r>
        <w:rPr>
          <w:b/>
          <w:bCs/>
        </w:rPr>
        <w:t xml:space="preserve">osteoporosi</w:t>
      </w:r>
      <w:r>
        <w:t xml:space="preserve"> </w:t>
      </w:r>
      <w:r>
        <w:t xml:space="preserve">nota, o cortisone cronico?</w:t>
      </w:r>
    </w:p>
    <w:p>
      <w:pPr>
        <w:pStyle w:val="Compact"/>
        <w:numPr>
          <w:ilvl w:val="0"/>
          <w:numId w:val="1020"/>
        </w:numPr>
      </w:pPr>
      <w:r>
        <w:t xml:space="preserve">Ci sono stati episodi di</w:t>
      </w:r>
      <w:r>
        <w:t xml:space="preserve"> </w:t>
      </w:r>
      <w:r>
        <w:rPr>
          <w:b/>
          <w:bCs/>
        </w:rPr>
        <w:t xml:space="preserve">vertigine, visione sdoppiata, difficoltà a parlare o a deglutire</w:t>
      </w:r>
      <w:r>
        <w:t xml:space="preserve">?</w:t>
      </w:r>
    </w:p>
    <w:p>
      <w:pPr>
        <w:pStyle w:val="FirstParagraph"/>
      </w:pPr>
      <w:r>
        <w:t xml:space="preserve">Una risposta positiva non è un divieto automatico. È il motivo per cui la domanda si fa</w:t>
      </w:r>
      <w:r>
        <w:t xml:space="preserve"> </w:t>
      </w:r>
      <w:r>
        <w:rPr>
          <w:b/>
          <w:bCs/>
        </w:rPr>
        <w:t xml:space="preserve">prima</w:t>
      </w:r>
      <w:r>
        <w:t xml:space="preserve">, e per cui la risposta si scrive.</w:t>
      </w:r>
    </w:p>
    <w:bookmarkEnd w:id="47"/>
    <w:bookmarkStart w:id="48" w:name="X8a45cb57d60ab7f3bfcd15a48a80fd288c8db58"/>
    <w:p>
      <w:pPr>
        <w:pStyle w:val="Heading3"/>
      </w:pPr>
      <w:r>
        <w:t xml:space="preserve">Il cancello d’ingresso — un triage a tre uscite</w:t>
      </w:r>
    </w:p>
    <w:p>
      <w:pPr>
        <w:pStyle w:val="FirstParagraph"/>
      </w:pPr>
      <w:r>
        <w:t xml:space="preserve">Il cancello stabilisce</w:t>
      </w:r>
      <w:r>
        <w:t xml:space="preserve"> </w:t>
      </w:r>
      <w:r>
        <w:rPr>
          <w:b/>
          <w:bCs/>
        </w:rPr>
        <w:t xml:space="preserve">quale delle tre situazioni hai davanti</w:t>
      </w:r>
      <w:r>
        <w:t xml:space="preserve">: in ciascuna ti comporti in modo diverso.</w:t>
      </w:r>
    </w:p>
    <w:p>
      <w:pPr>
        <w:pStyle w:val="BlockText"/>
      </w:pPr>
      <w:r>
        <w:rPr>
          <w:b/>
          <w:bCs/>
        </w:rPr>
        <w:t xml:space="preserve">Definizione.</w:t>
      </w:r>
      <w:r>
        <w:t xml:space="preserve"> </w:t>
      </w:r>
      <w:r>
        <w:t xml:space="preserve">Il</w:t>
      </w:r>
      <w:r>
        <w:t xml:space="preserve"> </w:t>
      </w:r>
      <w:r>
        <w:rPr>
          <w:b/>
          <w:bCs/>
        </w:rPr>
        <w:t xml:space="preserve">reperto disfunzionale</w:t>
      </w:r>
      <w:r>
        <w:t xml:space="preserve"> </w:t>
      </w:r>
      <w:r>
        <w:t xml:space="preserve">è quello che trovi tu con le mani e con i test, e che scrivi in cartella. Non è la diagnosi del paziente — è il bersaglio del tuo lavoro.</w:t>
      </w:r>
    </w:p>
    <w:p>
      <w:pPr>
        <w:pStyle w:val="FirstParagraph"/>
      </w:pPr>
      <w:r>
        <w:rPr>
          <w:b/>
          <w:bCs/>
        </w:rPr>
        <w:t xml:space="preserve">Il principio.</w:t>
      </w:r>
      <w:r>
        <w:t xml:space="preserve"> </w:t>
      </w:r>
      <w:r>
        <w:t xml:space="preserve">Il mandato</w:t>
      </w:r>
      <w:r>
        <w:t xml:space="preserve"> </w:t>
      </w:r>
      <w:r>
        <w:rPr>
          <w:b/>
          <w:bCs/>
        </w:rPr>
        <w:t xml:space="preserve">clinico</w:t>
      </w:r>
      <w:r>
        <w:t xml:space="preserve"> </w:t>
      </w:r>
      <w:r>
        <w:t xml:space="preserve">— avere qualcosa da trattare oggi — nasce da un reperto disfunzionale documentato e da un marker che si muove quando lo tratti.</w:t>
      </w:r>
      <w:r>
        <w:t xml:space="preserve"> </w:t>
      </w:r>
      <w:r>
        <w:rPr>
          <w:b/>
          <w:bCs/>
        </w:rPr>
        <w:t xml:space="preserve">Senza quelli non hai un motivo per lavorare nemmeno con la diagnosi in mano.</w:t>
      </w:r>
      <w:r>
        <w:t xml:space="preserve"> </w:t>
      </w:r>
      <w:r>
        <w:t xml:space="preserve">La</w:t>
      </w:r>
      <w:r>
        <w:t xml:space="preserve"> </w:t>
      </w:r>
      <w:r>
        <w:rPr>
          <w:b/>
          <w:bCs/>
        </w:rPr>
        <w:t xml:space="preserve">cornice professionale</w:t>
      </w:r>
      <w:r>
        <w:t xml:space="preserve"> </w:t>
      </w:r>
      <w:r>
        <w:t xml:space="preserve">resta quella del profilo: si opera in riferimento alla diagnosi di competenza medica. Quando l’inquadramento manca, il canale medico si attiva contestualmente al tuo lavoro, non dopo.</w:t>
      </w:r>
    </w:p>
    <w:p>
      <w:pPr>
        <w:pStyle w:val="BodyText"/>
      </w:pPr>
      <w:r>
        <w:rPr>
          <w:b/>
          <w:bCs/>
        </w:rPr>
        <w:t xml:space="preserve">E il contrappeso.</w:t>
      </w:r>
      <w:r>
        <w:t xml:space="preserve"> </w:t>
      </w:r>
      <w:r>
        <w:t xml:space="preserve">Un reperto positivo giustifica il tuo lavoro,</w:t>
      </w:r>
      <w:r>
        <w:t xml:space="preserve"> </w:t>
      </w:r>
      <w:r>
        <w:rPr>
          <w:b/>
          <w:bCs/>
        </w:rPr>
        <w:t xml:space="preserve">non sostituisce l’inquadramento medico</w:t>
      </w:r>
      <w:r>
        <w:t xml:space="preserve">. Significa che hai</w:t>
      </w:r>
      <w:r>
        <w:t xml:space="preserve"> </w:t>
      </w:r>
      <w:r>
        <w:rPr>
          <w:b/>
          <w:bCs/>
        </w:rPr>
        <w:t xml:space="preserve">qualcosa da trattare</w:t>
      </w:r>
      <w:r>
        <w:t xml:space="preserve">, non che</w:t>
      </w:r>
      <w:r>
        <w:t xml:space="preserve"> </w:t>
      </w:r>
      <w:r>
        <w:rPr>
          <w:b/>
          <w:bCs/>
        </w:rPr>
        <w:t xml:space="preserve">sai cosa ha il paziente</w:t>
      </w:r>
      <w:r>
        <w:t xml:space="preserve">. Le due cose convivono, e vanno dette al paziente come conviventi.</w:t>
      </w:r>
    </w:p>
    <w:p>
      <w:pPr>
        <w:pStyle w:val="BodyText"/>
      </w:pPr>
      <w:r>
        <w:rPr>
          <w:b/>
          <w:bCs/>
        </w:rPr>
        <w:t xml:space="preserve">Non tutto quello che trovi con le mani fonda il mandato.</w:t>
      </w:r>
      <w:r>
        <w:t xml:space="preserve"> </w:t>
      </w:r>
      <w:r>
        <w:t xml:space="preserve">Reggono come reperto documentato e come marker quattro cose: la provocazione del sintomo distale con un test standardizzato, l’escursione cervicale in gradi, il punto di comparsa al test neurodinamico, la forza misurata. La palpazione dei tessuti molli e il giudizio sulla mobilità di un singolo segmento restano parte dell’esame, ma</w:t>
      </w:r>
      <w:r>
        <w:t xml:space="preserve"> </w:t>
      </w:r>
      <w:r>
        <w:rPr>
          <w:b/>
          <w:bCs/>
        </w:rPr>
        <w:t xml:space="preserve">non fondano il mandato e non funzionano da marker</w:t>
      </w:r>
      <w:r>
        <w:t xml:space="preserve">.</w:t>
      </w:r>
    </w:p>
    <w:p>
      <w:pPr>
        <w:pStyle w:val="BodyText"/>
      </w:pPr>
      <w:r>
        <w:rPr>
          <w:b/>
          <w:bCs/>
        </w:rPr>
        <w:t xml:space="preserve">ROSSO — Stop.</w:t>
      </w:r>
      <w:r>
        <w:t xml:space="preserve"> </w:t>
      </w:r>
      <w:r>
        <w:t xml:space="preserve">Basta una sola bandiera rossa. Il paziente esce con un’indicazione medica</w:t>
      </w:r>
      <w:r>
        <w:t xml:space="preserve"> </w:t>
      </w:r>
      <w:r>
        <w:rPr>
          <w:b/>
          <w:bCs/>
        </w:rPr>
        <w:t xml:space="preserve">esplicita e scritta</w:t>
      </w:r>
      <w:r>
        <w:t xml:space="preserve">, con destinatario e tempi presi dalle due tabelle. Non si apre un ciclo e non si rimanda alla seduta dopo. Nel Blocco B, se coesiste una disfunzione somatica autonoma in un altro distretto, la si può trattare; ma il documento dichiara che il sintomo al braccio è in attesa di inquadramento e</w:t>
      </w:r>
      <w:r>
        <w:t xml:space="preserve"> </w:t>
      </w:r>
      <w:r>
        <w:rPr>
          <w:b/>
          <w:bCs/>
        </w:rPr>
        <w:t xml:space="preserve">non è il bersaglio</w:t>
      </w:r>
      <w:r>
        <w:t xml:space="preserve">.</w:t>
      </w:r>
      <w:r>
        <w:t xml:space="preserve"> </w:t>
      </w:r>
      <w:r>
        <w:rPr>
          <w:b/>
          <w:bCs/>
        </w:rPr>
        <w:t xml:space="preserve">Nessuna eccezione: nessun reperto positivo scavalca questa uscita.</w:t>
      </w:r>
    </w:p>
    <w:p>
      <w:pPr>
        <w:pStyle w:val="BodyText"/>
      </w:pPr>
      <w:r>
        <w:rPr>
          <w:b/>
          <w:bCs/>
        </w:rPr>
        <w:t xml:space="preserve">GIALLO — Si lavora, in parallelo.</w:t>
      </w:r>
      <w:r>
        <w:t xml:space="preserve"> </w:t>
      </w:r>
      <w:r>
        <w:t xml:space="preserve">Nessuna bandiera rossa, inquadramento assente o incompleto.</w:t>
      </w:r>
      <w:r>
        <w:t xml:space="preserve"> </w:t>
      </w:r>
      <w:r>
        <w:rPr>
          <w:b/>
          <w:bCs/>
        </w:rPr>
        <w:t xml:space="preserve">È la situazione più frequente, e non è un motivo per rimandare il paziente altrove.</w:t>
      </w:r>
      <w:r>
        <w:t xml:space="preserve"> </w:t>
      </w:r>
      <w:r>
        <w:t xml:space="preserve">Quattro condizioni, tutte verificabili:</w:t>
      </w:r>
    </w:p>
    <w:p>
      <w:pPr>
        <w:pStyle w:val="Compact"/>
        <w:numPr>
          <w:ilvl w:val="0"/>
          <w:numId w:val="1021"/>
        </w:numPr>
      </w:pPr>
      <w:r>
        <w:rPr>
          <w:b/>
          <w:bCs/>
        </w:rPr>
        <w:t xml:space="preserve">Un reperto tuo, positivo e scritto in cartella</w:t>
      </w:r>
      <w:r>
        <w:t xml:space="preserve">, scelto fra quelli che reggono qui sopra.</w:t>
      </w:r>
    </w:p>
    <w:p>
      <w:pPr>
        <w:pStyle w:val="Compact"/>
        <w:numPr>
          <w:ilvl w:val="0"/>
          <w:numId w:val="1021"/>
        </w:numPr>
      </w:pPr>
      <w:r>
        <w:rPr>
          <w:b/>
          <w:bCs/>
        </w:rPr>
        <w:t xml:space="preserve">Il paziente sa cosa tratti e cosa no.</w:t>
      </w:r>
      <w:r>
        <w:t xml:space="preserve"> </w:t>
      </w:r>
      <w:r>
        <w:t xml:space="preserve">Frase da usare:</w:t>
      </w:r>
      <w:r>
        <w:t xml:space="preserve"> </w:t>
      </w:r>
      <w:r>
        <w:rPr>
          <w:i/>
          <w:iCs/>
        </w:rPr>
        <w:t xml:space="preserve">«io lavoro sulla componente meccanica che ho trovato lungo il percorso del nervo. Il dolore al braccio va comunque inquadrato dal tuo medico, e nel frattempo io non aspetto.»</w:t>
      </w:r>
    </w:p>
    <w:p>
      <w:pPr>
        <w:pStyle w:val="Compact"/>
        <w:numPr>
          <w:ilvl w:val="0"/>
          <w:numId w:val="1021"/>
        </w:numPr>
      </w:pPr>
      <w:r>
        <w:rPr>
          <w:b/>
          <w:bCs/>
        </w:rPr>
        <w:t xml:space="preserve">Canale medico attivato con comunicazione scritta al curante</w:t>
      </w:r>
      <w:r>
        <w:t xml:space="preserve">, non con un rinvio del paziente. Il paziente resta con te; l’informazione va da chi di dovere.</w:t>
      </w:r>
    </w:p>
    <w:p>
      <w:pPr>
        <w:pStyle w:val="Compact"/>
        <w:numPr>
          <w:ilvl w:val="0"/>
          <w:numId w:val="1021"/>
        </w:numPr>
      </w:pPr>
      <w:r>
        <w:rPr>
          <w:b/>
          <w:bCs/>
        </w:rPr>
        <w:t xml:space="preserve">Tempo definito</w:t>
      </w:r>
      <w:r>
        <w:t xml:space="preserve">, con revisione programmata e</w:t>
      </w:r>
      <w:r>
        <w:t xml:space="preserve"> </w:t>
      </w:r>
      <w:r>
        <w:rPr>
          <w:b/>
          <w:bCs/>
        </w:rPr>
        <w:t xml:space="preserve">scritta in cartella il primo giorno</w:t>
      </w:r>
      <w:r>
        <w:t xml:space="preserve">. Non oltre</w:t>
      </w:r>
      <w:r>
        <w:t xml:space="preserve"> </w:t>
      </w:r>
      <w:r>
        <w:rPr>
          <w:b/>
          <w:bCs/>
        </w:rPr>
        <w:t xml:space="preserve">sei settimane di calendario</w:t>
      </w:r>
      <w:r>
        <w:t xml:space="preserve">, e comunque non oltre il numero di sedute della Procedura: vale quale delle due scade prima. Un contatore di sedute, da solo, non scade: chi salta due appuntamenti consuma una seduta e sei settimane. Alla scadenza il marker si è mosso, oppure il quadro cambia uscita.</w:t>
      </w:r>
    </w:p>
    <w:p>
      <w:pPr>
        <w:pStyle w:val="FirstParagraph"/>
      </w:pPr>
      <w:r>
        <w:rPr>
          <w:b/>
          <w:bCs/>
        </w:rPr>
        <w:t xml:space="preserve">Se il tempo scade e il marker non si è mosso</w:t>
      </w:r>
      <w:r>
        <w:t xml:space="preserve">, non è una rinuncia: è un’informazione. Il tuo reperto non era quello che comanda, e la spinta sul canale medico da parallela diventa prioritaria.</w:t>
      </w:r>
      <w:r>
        <w:t xml:space="preserve"> </w:t>
      </w:r>
      <w:r>
        <w:rPr>
          <w:b/>
          <w:bCs/>
        </w:rPr>
        <w:t xml:space="preserve">Questa uscita esiste perché una regola scritta e disattesa protegge meno di nessuna regola.</w:t>
      </w:r>
    </w:p>
    <w:p>
      <w:pPr>
        <w:pStyle w:val="BodyText"/>
      </w:pPr>
      <w:r>
        <w:rPr>
          <w:b/>
          <w:bCs/>
        </w:rPr>
        <w:t xml:space="preserve">VERDE — Si procede.</w:t>
      </w:r>
      <w:r>
        <w:t xml:space="preserve"> </w:t>
      </w:r>
      <w:r>
        <w:t xml:space="preserve">Nessuna bandiera rossa, più una fra queste tre: risonanza cervicale eseguita, con reperto coerente con il territorio dei sintomi; elettromiografia che ha distinto il livello cervicale da un intrappolamento periferico; valutazione neurologica recente con forza, riflessi e sensibilità documentati. Il ciclo si apre secondo Procedura.</w:t>
      </w:r>
    </w:p>
    <w:p>
      <w:pPr>
        <w:pStyle w:val="BodyText"/>
      </w:pPr>
      <w:r>
        <w:rPr>
          <w:b/>
          <w:bCs/>
        </w:rPr>
        <w:t xml:space="preserve">La scadenza.</w:t>
      </w:r>
      <w:r>
        <w:t xml:space="preserve"> </w:t>
      </w:r>
      <w:r>
        <w:t xml:space="preserve">L’inquadramento</w:t>
      </w:r>
      <w:r>
        <w:t xml:space="preserve"> </w:t>
      </w:r>
      <w:r>
        <w:rPr>
          <w:b/>
          <w:bCs/>
        </w:rPr>
        <w:t xml:space="preserve">decade</w:t>
      </w:r>
      <w:r>
        <w:t xml:space="preserve"> </w:t>
      </w:r>
      <w:r>
        <w:t xml:space="preserve">se il sintomo cambia carattere, sede o intensità. Qui i quattro cambiamenti che riaprono il triage sono: la forza che cala di settimana in settimana; la comparsa di sintomi all’altro braccio; la comparsa di goffaggine delle mani o di instabilità camminando; un dolore che perde il legame con la posizione e cresce di notte.</w:t>
      </w:r>
      <w:r>
        <w:t xml:space="preserve"> </w:t>
      </w:r>
      <w:r>
        <w:rPr>
          <w:b/>
          <w:bCs/>
        </w:rPr>
        <w:t xml:space="preserve">Un quadro che cambia forma torna al triage, dall’inizio.</w:t>
      </w:r>
    </w:p>
    <w:bookmarkEnd w:id="48"/>
    <w:bookmarkStart w:id="49" w:name="Xb12653909be9bea9493377c2abe60e53d9ac35b"/>
    <w:p>
      <w:pPr>
        <w:pStyle w:val="Heading3"/>
      </w:pPr>
      <w:r>
        <w:t xml:space="preserve">I farmaci che prende, e perché non li commenti</w:t>
      </w:r>
    </w:p>
    <w:p>
      <w:pPr>
        <w:pStyle w:val="FirstParagraph"/>
      </w:pPr>
      <w:r>
        <w:t xml:space="preserve">Antinfiammatori a dose piena, cicli brevi di cortisone, gabapentinoidi per la componente neuropatica, miorilassanti per la contrattura. Decide il prescrittore, e non commenti né la scelta né la dose. Due cose cambiano la tua lettura.</w:t>
      </w:r>
    </w:p>
    <w:p>
      <w:pPr>
        <w:pStyle w:val="BodyText"/>
      </w:pPr>
      <w:r>
        <w:rPr>
          <w:b/>
          <w:bCs/>
        </w:rPr>
        <w:t xml:space="preserve">Sotto cortisone i test provocativi diventano meno informativi</w:t>
      </w:r>
      <w:r>
        <w:t xml:space="preserve">, e la sospensione può far tornare tutto.</w:t>
      </w:r>
    </w:p>
    <w:p>
      <w:pPr>
        <w:pStyle w:val="BodyText"/>
      </w:pPr>
      <w:r>
        <w:rPr>
          <w:b/>
          <w:bCs/>
        </w:rPr>
        <w:t xml:space="preserve">Gabapentinoidi e miorilassanti producono il segno su cui poggia la tua prima bandiera rossa.</w:t>
      </w:r>
      <w:r>
        <w:t xml:space="preserve"> </w:t>
      </w:r>
      <w:r>
        <w:t xml:space="preserve">Con pregabalin e carbamazepina si registrano vertigine nel 21,6%, atassia nel 17,8%, sedazione nel 15,5%, e cadute nel 15,5% degli anziani (Vamadevan,</w:t>
      </w:r>
      <w:r>
        <w:t xml:space="preserve"> </w:t>
      </w:r>
      <w:r>
        <w:rPr>
          <w:i/>
          <w:iCs/>
        </w:rPr>
        <w:t xml:space="preserve">Geriatrics</w:t>
      </w:r>
      <w:r>
        <w:t xml:space="preserve"> </w:t>
      </w:r>
      <w:r>
        <w:t xml:space="preserve">2025, PMID 41149363).</w:t>
      </w:r>
      <w:r>
        <w:t xml:space="preserve"> </w:t>
      </w:r>
      <w:r>
        <w:rPr>
          <w:b/>
          <w:bCs/>
        </w:rPr>
        <w:t xml:space="preserve">Questo non ti autorizza a spiegare con il farmaco un’andatura insicura.</w:t>
      </w:r>
      <w:r>
        <w:t xml:space="preserve"> </w:t>
      </w:r>
      <w:r>
        <w:t xml:space="preserve">Se il paziente barcolla, il farmaco è un’informazione per il curante, non una spiegazione che ti fa restare: non declassa la bandiera.</w:t>
      </w:r>
    </w:p>
    <w:bookmarkEnd w:id="49"/>
    <w:bookmarkStart w:id="50" w:name="X1ac5a1b3cdf7e22e51df529af64ae60c55cc369"/>
    <w:p>
      <w:pPr>
        <w:pStyle w:val="Heading3"/>
      </w:pPr>
      <w:r>
        <w:t xml:space="preserve">Cosa dichiari nel consenso su questa condizione</w:t>
      </w:r>
    </w:p>
    <w:p>
      <w:pPr>
        <w:pStyle w:val="FirstParagraph"/>
      </w:pPr>
      <w:r>
        <w:t xml:space="preserve">Tre cose che qui aggiungi e che in un’altra Bibbia non scriveresti.</w:t>
      </w:r>
    </w:p>
    <w:p>
      <w:pPr>
        <w:pStyle w:val="Compact"/>
        <w:numPr>
          <w:ilvl w:val="0"/>
          <w:numId w:val="1022"/>
        </w:numPr>
      </w:pPr>
      <w:r>
        <w:t xml:space="preserve">L’oggetto del trattamento è la</w:t>
      </w:r>
      <w:r>
        <w:t xml:space="preserve"> </w:t>
      </w:r>
      <w:r>
        <w:rPr>
          <w:b/>
          <w:bCs/>
        </w:rPr>
        <w:t xml:space="preserve">disfunzione somatica del rachide cervicale, della cerniera cervico-toracica e delle strutture lungo il percorso nervoso</w:t>
      </w:r>
      <w:r>
        <w:t xml:space="preserve">. Non è la radice, non è l’ernia, non è il referto.</w:t>
      </w:r>
    </w:p>
    <w:p>
      <w:pPr>
        <w:pStyle w:val="Compact"/>
        <w:numPr>
          <w:ilvl w:val="0"/>
          <w:numId w:val="1022"/>
        </w:numPr>
      </w:pPr>
      <w:r>
        <w:t xml:space="preserve">La</w:t>
      </w:r>
      <w:r>
        <w:t xml:space="preserve"> </w:t>
      </w:r>
      <w:r>
        <w:rPr>
          <w:b/>
          <w:bCs/>
        </w:rPr>
        <w:t xml:space="preserve">forza dell’arto viene misurata a ogni controllo</w:t>
      </w:r>
      <w:r>
        <w:t xml:space="preserve"> </w:t>
      </w:r>
      <w:r>
        <w:t xml:space="preserve">— quella del miotomo coinvolto, non solo la presa — e un suo peggioramento interrompe il trattamento e attiva l’invio.</w:t>
      </w:r>
    </w:p>
    <w:p>
      <w:pPr>
        <w:pStyle w:val="Compact"/>
        <w:numPr>
          <w:ilvl w:val="0"/>
          <w:numId w:val="1022"/>
        </w:numPr>
      </w:pPr>
      <w:r>
        <w:t xml:space="preserve">Le</w:t>
      </w:r>
      <w:r>
        <w:t xml:space="preserve"> </w:t>
      </w:r>
      <w:r>
        <w:rPr>
          <w:b/>
          <w:bCs/>
        </w:rPr>
        <w:t xml:space="preserve">tecniche a impulso sul rachide cervicale non vengono usate</w:t>
      </w:r>
      <w:r>
        <w:t xml:space="preserve"> </w:t>
      </w:r>
      <w:r>
        <w:t xml:space="preserve">in presenza di segni radicolari attivi. È una scelta di perimetro dichiarata, non una valutazione caso per caso.</w:t>
      </w:r>
      <w:r>
        <w:t xml:space="preserve"> </w:t>
      </w:r>
      <w:r>
        <w:rPr>
          <w:b/>
          <w:bCs/>
        </w:rPr>
        <w:t xml:space="preserve">La restrizione riguarda il rachide cervicale, non il tratto dorsale</w:t>
      </w:r>
      <w:r>
        <w:t xml:space="preserve">: la cerniera cervico-toracica e il torace restano disponibili, ed è lì che sta il miglior rapporto fra resa e rischio</w:t>
      </w:r>
      <w:r>
        <w:t xml:space="preserve"> </w:t>
      </w:r>
      <w:r>
        <w:rPr>
          <w:b/>
          <w:bCs/>
        </w:rPr>
        <w:t xml:space="preserve">per il lavoro a impulso</w:t>
      </w:r>
      <w:r>
        <w:t xml:space="preserve">.</w:t>
      </w:r>
    </w:p>
    <w:bookmarkEnd w:id="50"/>
    <w:bookmarkStart w:id="51" w:name="il-confine-di-atto-qui"/>
    <w:p>
      <w:pPr>
        <w:pStyle w:val="Heading3"/>
      </w:pPr>
      <w:r>
        <w:t xml:space="preserve">Il confine di atto, qui</w:t>
      </w:r>
    </w:p>
    <w:p>
      <w:pPr>
        <w:pStyle w:val="FirstParagraph"/>
      </w:pPr>
      <w:r>
        <w:t xml:space="preserve">Dire</w:t>
      </w:r>
      <w:r>
        <w:t xml:space="preserve"> </w:t>
      </w:r>
      <w:r>
        <w:rPr>
          <w:i/>
          <w:iCs/>
        </w:rPr>
        <w:t xml:space="preserve">“la tua radice C6 è compressa”</w:t>
      </w:r>
      <w:r>
        <w:t xml:space="preserve"> </w:t>
      </w:r>
      <w:r>
        <w:t xml:space="preserve">è diagnosi, ed è anche falso sette volte su dieci. Dire</w:t>
      </w:r>
      <w:r>
        <w:t xml:space="preserve"> </w:t>
      </w:r>
      <w:r>
        <w:rPr>
          <w:i/>
          <w:iCs/>
        </w:rPr>
        <w:t xml:space="preserve">“il tuo formicolio è il tunnel carpale”</w:t>
      </w:r>
      <w:r>
        <w:t xml:space="preserve"> </w:t>
      </w:r>
      <w:r>
        <w:t xml:space="preserve">è diagnosi. Dire</w:t>
      </w:r>
      <w:r>
        <w:t xml:space="preserve"> </w:t>
      </w:r>
      <w:r>
        <w:rPr>
          <w:i/>
          <w:iCs/>
        </w:rPr>
        <w:t xml:space="preserve">“quell’ernia non serve operarla”</w:t>
      </w:r>
      <w:r>
        <w:t xml:space="preserve"> </w:t>
      </w:r>
      <w:r>
        <w:t xml:space="preserve">è un’indicazione terapeutica che non è tua. Dire</w:t>
      </w:r>
      <w:r>
        <w:t xml:space="preserve"> </w:t>
      </w:r>
      <w:r>
        <w:rPr>
          <w:i/>
          <w:iCs/>
        </w:rPr>
        <w:t xml:space="preserve">“con questo lavoro eviti l’intervento”</w:t>
      </w:r>
      <w:r>
        <w:t xml:space="preserve"> </w:t>
      </w:r>
      <w:r>
        <w:t xml:space="preserve">è una promessa di esito su una decisione medica. Quello che dici è:</w:t>
      </w:r>
      <w:r>
        <w:t xml:space="preserve"> </w:t>
      </w:r>
      <w:r>
        <w:rPr>
          <w:i/>
          <w:iCs/>
        </w:rPr>
        <w:t xml:space="preserve">ho trovato questo, lo tratto, misuro questo, e ci risentiamo con il tuo medico entro questa data</w:t>
      </w:r>
      <w:r>
        <w:t xml:space="preserve">.</w:t>
      </w:r>
    </w:p>
    <w:bookmarkEnd w:id="51"/>
    <w:bookmarkStart w:id="52" w:name="il-rapporto-con-il-prescrittore"/>
    <w:p>
      <w:pPr>
        <w:pStyle w:val="Heading3"/>
      </w:pPr>
      <w:r>
        <w:t xml:space="preserve">Il rapporto con il prescrittore</w:t>
      </w:r>
    </w:p>
    <w:p>
      <w:pPr>
        <w:pStyle w:val="FirstParagraph"/>
      </w:pPr>
      <w:r>
        <w:t xml:space="preserve">Qui il curante ha spesso già avviato un percorso, e a volte c’è una data operatoria.</w:t>
      </w:r>
      <w:r>
        <w:t xml:space="preserve"> </w:t>
      </w:r>
      <w:r>
        <w:rPr>
          <w:b/>
          <w:bCs/>
        </w:rPr>
        <w:t xml:space="preserve">Non si sposta niente e non si commenta niente.</w:t>
      </w:r>
      <w:r>
        <w:t xml:space="preserve"> </w:t>
      </w:r>
      <w:r>
        <w:t xml:space="preserve">La comunicazione scritta contiene cinque voci: il reperto; il marker con la sua soglia; la scadenza che ti sei dato; il fatto che stai monitorando la forza del miotomo coinvolto; e i farmaci che il paziente sta prendendo, perché alcuni di quelli producono i segni che tu sorvegli.</w:t>
      </w:r>
    </w:p>
    <w:bookmarkEnd w:id="52"/>
    <w:bookmarkStart w:id="53" w:name="se-sbagli-campo"/>
    <w:p>
      <w:pPr>
        <w:pStyle w:val="Heading3"/>
      </w:pPr>
      <w:r>
        <w:t xml:space="preserve">Se sbagli campo</w:t>
      </w:r>
    </w:p>
    <w:p>
      <w:pPr>
        <w:pStyle w:val="FirstParagraph"/>
      </w:pPr>
      <w:r>
        <w:rPr>
          <w:b/>
          <w:bCs/>
        </w:rPr>
        <w:t xml:space="preserve">Il rischio prevalente qui è il ritardo — ma non è l’unico.</w:t>
      </w:r>
      <w:r>
        <w:t xml:space="preserve"> </w:t>
      </w:r>
      <w:r>
        <w:t xml:space="preserve">Si previene con una misura scritta a ogni controllo, non con la prudenza: forza del miotomo coinvolto e segni di primo motoneurone. L’altro rischio sono i quadri che</w:t>
      </w:r>
      <w:r>
        <w:t xml:space="preserve"> </w:t>
      </w:r>
      <w:r>
        <w:rPr>
          <w:b/>
          <w:bCs/>
        </w:rPr>
        <w:t xml:space="preserve">arrivano già in corso, travestiti da cervicobrachialgia</w:t>
      </w:r>
      <w:r>
        <w:t xml:space="preserve">: dissezione arteriosa cervicale, dolore riferito cardiaco, forma vascolare dello stretto toracico. Si riconoscono in anamnesi, non con le mani, e le tabelle qui sopra dicono come.</w:t>
      </w:r>
    </w:p>
    <w:p>
      <w:pPr>
        <w:pStyle w:val="BodyText"/>
      </w:pPr>
      <w:r>
        <w:rPr>
          <w:b/>
          <w:bCs/>
        </w:rPr>
        <w:t xml:space="preserve">Le tre cose da ricordare, più una</w:t>
      </w:r>
    </w:p>
    <w:p>
      <w:pPr>
        <w:pStyle w:val="Compact"/>
        <w:numPr>
          <w:ilvl w:val="0"/>
          <w:numId w:val="1023"/>
        </w:numPr>
      </w:pPr>
      <w:r>
        <w:t xml:space="preserve">Il confine non è il dolore: è la forza del miotomo giusto, più i segni di primo motoneurone, a ogni controllo.</w:t>
      </w:r>
    </w:p>
    <w:p>
      <w:pPr>
        <w:pStyle w:val="Compact"/>
        <w:numPr>
          <w:ilvl w:val="0"/>
          <w:numId w:val="1023"/>
        </w:numPr>
      </w:pPr>
      <w:r>
        <w:t xml:space="preserve">Mani goffe più andatura insicura più sintomi bilaterali: quella terna esce dallo studio, sempre — e nell’anziano si cerca, non si aspetta.</w:t>
      </w:r>
    </w:p>
    <w:p>
      <w:pPr>
        <w:pStyle w:val="Compact"/>
        <w:numPr>
          <w:ilvl w:val="0"/>
          <w:numId w:val="1023"/>
        </w:numPr>
      </w:pPr>
      <w:r>
        <w:t xml:space="preserve">Prima di mettere le mani su un collo si chiede dello sforzo, del dolore mai provato prima e dell’artrite reumatoide. Anche senza usare l’impulso.</w:t>
      </w:r>
    </w:p>
    <w:p>
      <w:pPr>
        <w:pStyle w:val="Compact"/>
        <w:numPr>
          <w:ilvl w:val="0"/>
          <w:numId w:val="1023"/>
        </w:numPr>
      </w:pPr>
      <w:r>
        <w:rPr>
          <w:b/>
          <w:bCs/>
        </w:rPr>
        <w:t xml:space="preserve">Perché ci sei tu.</w:t>
      </w:r>
      <w:r>
        <w:t xml:space="preserve"> </w:t>
      </w:r>
      <w:r>
        <w:t xml:space="preserve">La mielopatia cervicale degenerativa viene diagnosticata in media</w:t>
      </w:r>
      <w:r>
        <w:t xml:space="preserve"> </w:t>
      </w:r>
      <w:r>
        <w:rPr>
          <w:b/>
          <w:bCs/>
        </w:rPr>
        <w:t xml:space="preserve">anni</w:t>
      </w:r>
      <w:r>
        <w:t xml:space="preserve"> </w:t>
      </w:r>
      <w:r>
        <w:t xml:space="preserve">dopo i primi sintomi, perché all’inizio sembra un collo che invecchia (Davies,</w:t>
      </w:r>
      <w:r>
        <w:t xml:space="preserve"> </w:t>
      </w:r>
      <w:r>
        <w:rPr>
          <w:i/>
          <w:iCs/>
        </w:rPr>
        <w:t xml:space="preserve">BMJ</w:t>
      </w:r>
      <w:r>
        <w:t xml:space="preserve"> </w:t>
      </w:r>
      <w:r>
        <w:t xml:space="preserve">2018, PMID 29472200).</w:t>
      </w:r>
      <w:r>
        <w:t xml:space="preserve"> </w:t>
      </w:r>
      <w:r>
        <w:rPr>
          <w:b/>
          <w:bCs/>
        </w:rPr>
        <w:t xml:space="preserve">Per te:</w:t>
      </w:r>
      <w:r>
        <w:t xml:space="preserve"> </w:t>
      </w:r>
      <w:r>
        <w:t xml:space="preserve">vedi quel paziente prima di molti altri, e con le mani addosso. Questo ti autorizza a essere quello che riconosce la terna e la manda, e a dichiararlo come parte del tuo servizio. Non ti autorizza a trattarla, nemmeno in un altro distretto, finché non è inquadrata.</w:t>
      </w:r>
    </w:p>
    <w:p>
      <w:r>
        <w:pict>
          <v:rect style="width:0;height:1.5pt" o:hralign="center" o:hrstd="t" o:hr="t"/>
        </w:pict>
      </w:r>
    </w:p>
    <w:bookmarkEnd w:id="53"/>
    <w:bookmarkEnd w:id="54"/>
    <w:bookmarkStart w:id="60" w:name="capitolo-10-cosa-dice-la-scienza"/>
    <w:p>
      <w:pPr>
        <w:pStyle w:val="Heading2"/>
      </w:pPr>
      <w:r>
        <w:t xml:space="preserve">Capitolo 10 — Cosa dice la scienza</w:t>
      </w:r>
    </w:p>
    <w:p>
      <w:pPr>
        <w:pStyle w:val="BlockText"/>
      </w:pPr>
      <w:r>
        <w:rPr>
          <w:b/>
          <w:bCs/>
        </w:rPr>
        <w:t xml:space="preserve">In una riga:</w:t>
      </w:r>
      <w:r>
        <w:t xml:space="preserve"> </w:t>
      </w:r>
      <w:r>
        <w:t xml:space="preserve">su questa condizione gli studi ci sono e sono tanti, ma sono piccoli e fragili — e nessuno di loro riguarda l’osteopatia.</w:t>
      </w:r>
    </w:p>
    <w:bookmarkStart w:id="55" w:name="le-due-ancore"/>
    <w:p>
      <w:pPr>
        <w:pStyle w:val="Heading3"/>
      </w:pPr>
      <w:r>
        <w:t xml:space="preserve">Le due ancore</w:t>
      </w:r>
    </w:p>
    <w:p>
      <w:pPr>
        <w:pStyle w:val="FirstParagraph"/>
      </w:pPr>
      <w:r>
        <w:rPr>
          <w:b/>
          <w:bCs/>
        </w:rPr>
        <w:t xml:space="preserve">L’ancora clinica è Erik J. Thoomes.</w:t>
      </w:r>
      <w:r>
        <w:t xml:space="preserve"> </w:t>
      </w:r>
      <w:r>
        <w:t xml:space="preserve">Non ha inventato una tecnica. Ha mappato in modo sistematico due cose:</w:t>
      </w:r>
      <w:r>
        <w:t xml:space="preserve"> </w:t>
      </w:r>
      <w:r>
        <w:rPr>
          <w:b/>
          <w:bCs/>
        </w:rPr>
        <w:t xml:space="preserve">cosa la terapia manuale può dichiarare e cosa no</w:t>
      </w:r>
      <w:r>
        <w:t xml:space="preserve"> </w:t>
      </w:r>
      <w:r>
        <w:t xml:space="preserve">su questa condizione, e</w:t>
      </w:r>
      <w:r>
        <w:t xml:space="preserve"> </w:t>
      </w:r>
      <w:r>
        <w:rPr>
          <w:b/>
          <w:bCs/>
        </w:rPr>
        <w:t xml:space="preserve">quanto valgono davvero i test</w:t>
      </w:r>
      <w:r>
        <w:t xml:space="preserve"> </w:t>
      </w:r>
      <w:r>
        <w:t xml:space="preserve">che usiamo per riconoscerla. Il suo aggiornamento più recente è del 2026.</w:t>
      </w:r>
    </w:p>
    <w:p>
      <w:pPr>
        <w:pStyle w:val="BodyText"/>
      </w:pPr>
      <w:r>
        <w:rPr>
          <w:b/>
          <w:bCs/>
        </w:rPr>
        <w:t xml:space="preserve">L’ancora fisiologica è Michel W. Coppieters.</w:t>
      </w:r>
      <w:r>
        <w:t xml:space="preserve"> </w:t>
      </w:r>
      <w:r>
        <w:t xml:space="preserve">Ha misurato quanto e come il nervo si muove nel suo letto. Ha stabilito che tecniche diverse producono effetti meccanici diversi. Ed è coautore del solo randomizzato sugli effetti immediati di una mobilizzazione cervicale in questa condizione.</w:t>
      </w:r>
    </w:p>
    <w:p>
      <w:pPr>
        <w:pStyle w:val="BodyText"/>
      </w:pPr>
      <w:r>
        <w:t xml:space="preserve">Su questa condizione la seconda ancora è più solida della prima, e dichiararlo è più forte che gonfiare:</w:t>
      </w:r>
      <w:r>
        <w:t xml:space="preserve"> </w:t>
      </w:r>
      <w:r>
        <w:rPr>
          <w:b/>
          <w:bCs/>
        </w:rPr>
        <w:t xml:space="preserve">sappiamo con precisione cosa succede al nervo, e sappiamo poco su cosa succede al paziente.</w:t>
      </w:r>
    </w:p>
    <w:bookmarkEnd w:id="55"/>
    <w:bookmarkStart w:id="56" w:name="gli-studi-cardine"/>
    <w:p>
      <w:pPr>
        <w:pStyle w:val="Heading3"/>
      </w:pPr>
      <w:r>
        <w:t xml:space="preserve">Gli studi cardine</w:t>
      </w:r>
    </w:p>
    <w:p>
      <w:pPr>
        <w:pStyle w:val="FirstParagraph"/>
      </w:pPr>
      <w:r>
        <w:t xml:space="preserve">Le fonti stanno su tre cerchi.</w:t>
      </w:r>
    </w:p>
    <w:p>
      <w:pPr>
        <w:pStyle w:val="Compact"/>
        <w:numPr>
          <w:ilvl w:val="0"/>
          <w:numId w:val="1024"/>
        </w:numPr>
      </w:pPr>
      <w:r>
        <w:rPr>
          <w:b/>
          <w:bCs/>
        </w:rPr>
        <w:t xml:space="preserve">Cerchio 1 — misurato su questa condizione.</w:t>
      </w:r>
      <w:r>
        <w:t xml:space="preserve"> </w:t>
      </w:r>
      <w:r>
        <w:t xml:space="preserve">Thoomes 2026, García-Juez 2025, Núñez de Arenas-Arroyo 2025, Nee 2012, Coppieters 2003, Kuijper 2009, Engquist 2013, Colombo 2020, Fritz 2014, Wainner 2003, Cleland 2007, Radhakrishnan 1994, Wong 2014, Tampin 2012, Dedering 2018, Halvorsen 2016, Nakashima 2015.</w:t>
      </w:r>
    </w:p>
    <w:p>
      <w:pPr>
        <w:pStyle w:val="Compact"/>
        <w:numPr>
          <w:ilvl w:val="0"/>
          <w:numId w:val="1024"/>
        </w:numPr>
      </w:pPr>
      <w:r>
        <w:rPr>
          <w:b/>
          <w:bCs/>
        </w:rPr>
        <w:t xml:space="preserve">Cerchio 2 — misurato sul meccanismo, ma altrove.</w:t>
      </w:r>
      <w:r>
        <w:t xml:space="preserve"> </w:t>
      </w:r>
      <w:r>
        <w:t xml:space="preserve">Jung 2023, Sterling 2001, Kapreli 2009 e Dimitriadis 2013, Jack 2010, Schuh-Hofer 2013, Rajasekaran 2021, Hodges 2011, Schmid e Coppieters 2011.</w:t>
      </w:r>
    </w:p>
    <w:p>
      <w:pPr>
        <w:pStyle w:val="Compact"/>
        <w:numPr>
          <w:ilvl w:val="0"/>
          <w:numId w:val="1024"/>
        </w:numPr>
      </w:pPr>
      <w:r>
        <w:rPr>
          <w:b/>
          <w:bCs/>
        </w:rPr>
        <w:t xml:space="preserve">Cerchio 3 — fisiologia di base.</w:t>
      </w:r>
      <w:r>
        <w:t xml:space="preserve"> </w:t>
      </w:r>
      <w:r>
        <w:t xml:space="preserve">Yoo 1992, Howe 1977, Coppieters e Butler 2008, Coppieters 2009, Olmarker 1989 e Kobayashi 2008.</w:t>
      </w:r>
    </w:p>
    <w:p>
      <w:pPr>
        <w:pStyle w:val="FirstParagraph"/>
      </w:pPr>
      <w:r>
        <w:rPr>
          <w:b/>
          <w:bCs/>
        </w:rPr>
        <w:t xml:space="preserve">La regola che li tiene insieme è una sola.</w:t>
      </w:r>
      <w:r>
        <w:t xml:space="preserve"> </w:t>
      </w:r>
      <w:r>
        <w:t xml:space="preserve">Una fonte del secondo o del terzo cerchio può alzare l’etichetta del</w:t>
      </w:r>
      <w:r>
        <w:t xml:space="preserve"> </w:t>
      </w:r>
      <w:r>
        <w:rPr>
          <w:b/>
          <w:bCs/>
        </w:rPr>
        <w:t xml:space="preserve">meccanismo</w:t>
      </w:r>
      <w:r>
        <w:t xml:space="preserve">; non alza mai quella della</w:t>
      </w:r>
      <w:r>
        <w:t xml:space="preserve"> </w:t>
      </w:r>
      <w:r>
        <w:rPr>
          <w:b/>
          <w:bCs/>
        </w:rPr>
        <w:t xml:space="preserve">leva</w:t>
      </w:r>
      <w:r>
        <w:t xml:space="preserve"> </w:t>
      </w:r>
      <w:r>
        <w:t xml:space="preserve">su questa condizione. Per questo, ogni volta che ne compare una, il testo scrive accanto per esteso su chi e su cosa è stata misurata. Quella frase non è una cortesia: è il confine.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Autore, anno (PMID)</w:t>
            </w:r>
          </w:p>
        </w:tc>
        <w:tc>
          <w:tcPr/>
          <w:p>
            <w:pPr>
              <w:pStyle w:val="Compact"/>
            </w:pPr>
            <w:r>
              <w:t xml:space="preserve">Cosa ha misurato</w:t>
            </w:r>
          </w:p>
        </w:tc>
        <w:tc>
          <w:tcPr/>
          <w:p>
            <w:pPr>
              <w:pStyle w:val="Compact"/>
            </w:pPr>
            <w:r>
              <w:t xml:space="preserve">Cosa ti autorizza a fare</w:t>
            </w:r>
          </w:p>
        </w:tc>
      </w:tr>
      <w:tr>
        <w:tc>
          <w:tcPr/>
          <w:p>
            <w:pPr>
              <w:pStyle w:val="Compact"/>
            </w:pPr>
            <w:r>
              <w:t xml:space="preserve">Thoomes, 2026 (41680685)</w:t>
            </w:r>
          </w:p>
        </w:tc>
        <w:tc>
          <w:tcPr/>
          <w:p>
            <w:pPr>
              <w:pStyle w:val="Compact"/>
            </w:pPr>
            <w:r>
              <w:t xml:space="preserve">Accuratezza dei test fisici</w:t>
            </w:r>
          </w:p>
        </w:tc>
        <w:tc>
          <w:tcPr/>
          <w:p>
            <w:pPr>
              <w:pStyle w:val="Compact"/>
            </w:pPr>
            <w:r>
              <w:t xml:space="preserve">Orientare il lavoro su uno Spurling positivo</w:t>
            </w:r>
          </w:p>
        </w:tc>
      </w:tr>
      <w:tr>
        <w:tc>
          <w:tcPr/>
          <w:p>
            <w:pPr>
              <w:pStyle w:val="Compact"/>
            </w:pPr>
            <w:r>
              <w:t xml:space="preserve">García-Juez, 2025 (40576779)</w:t>
            </w:r>
          </w:p>
        </w:tc>
        <w:tc>
          <w:tcPr/>
          <w:p>
            <w:pPr>
              <w:pStyle w:val="Compact"/>
            </w:pPr>
            <w:r>
              <w:t xml:space="preserve">50 studi su mobilizzazione</w:t>
            </w:r>
          </w:p>
        </w:tc>
        <w:tc>
          <w:tcPr/>
          <w:p>
            <w:pPr>
              <w:pStyle w:val="Compact"/>
            </w:pPr>
            <w:r>
              <w:t xml:space="preserve">Combinare articolare e neurale</w:t>
            </w:r>
          </w:p>
        </w:tc>
      </w:tr>
      <w:tr>
        <w:tc>
          <w:tcPr/>
          <w:p>
            <w:pPr>
              <w:pStyle w:val="Compact"/>
            </w:pPr>
            <w:r>
              <w:t xml:space="preserve">Núñez de Arenas-Arroyo, 2025 (40776625)</w:t>
            </w:r>
          </w:p>
        </w:tc>
        <w:tc>
          <w:tcPr/>
          <w:p>
            <w:pPr>
              <w:pStyle w:val="Compact"/>
            </w:pPr>
            <w:r>
              <w:t xml:space="preserve">Componenti attivi, 36 studi</w:t>
            </w:r>
          </w:p>
        </w:tc>
        <w:tc>
          <w:tcPr/>
          <w:p>
            <w:pPr>
              <w:pStyle w:val="Compact"/>
            </w:pPr>
            <w:r>
              <w:t xml:space="preserve">Sapere quali pezzi pesano</w:t>
            </w:r>
          </w:p>
        </w:tc>
      </w:tr>
      <w:tr>
        <w:tc>
          <w:tcPr/>
          <w:p>
            <w:pPr>
              <w:pStyle w:val="Compact"/>
            </w:pPr>
            <w:r>
              <w:t xml:space="preserve">Nee, 2012 (22341379)</w:t>
            </w:r>
          </w:p>
        </w:tc>
        <w:tc>
          <w:tcPr/>
          <w:p>
            <w:pPr>
              <w:pStyle w:val="Compact"/>
            </w:pPr>
            <w:r>
              <w:t xml:space="preserve">Gestione neurale, 60 pazienti</w:t>
            </w:r>
          </w:p>
        </w:tc>
        <w:tc>
          <w:tcPr/>
          <w:p>
            <w:pPr>
              <w:pStyle w:val="Compact"/>
            </w:pPr>
            <w:r>
              <w:t xml:space="preserve">Dichiarare un orizzonte di verifica a due settimane</w:t>
            </w:r>
          </w:p>
        </w:tc>
      </w:tr>
      <w:tr>
        <w:tc>
          <w:tcPr/>
          <w:p>
            <w:pPr>
              <w:pStyle w:val="Compact"/>
            </w:pPr>
            <w:r>
              <w:t xml:space="preserve">Coppieters, 2003 (12918862)</w:t>
            </w:r>
          </w:p>
        </w:tc>
        <w:tc>
          <w:tcPr/>
          <w:p>
            <w:pPr>
              <w:pStyle w:val="Compact"/>
            </w:pPr>
            <w:r>
              <w:t xml:space="preserve">Effetti immediati, 20 pazienti</w:t>
            </w:r>
          </w:p>
        </w:tc>
        <w:tc>
          <w:tcPr/>
          <w:p>
            <w:pPr>
              <w:pStyle w:val="Compact"/>
            </w:pPr>
            <w:r>
              <w:t xml:space="preserve">Misurare il cambiamento in seduta</w:t>
            </w:r>
          </w:p>
        </w:tc>
      </w:tr>
      <w:tr>
        <w:tc>
          <w:tcPr/>
          <w:p>
            <w:pPr>
              <w:pStyle w:val="Compact"/>
            </w:pPr>
            <w:r>
              <w:t xml:space="preserve">Kuijper, 2009 (19812130)</w:t>
            </w:r>
          </w:p>
        </w:tc>
        <w:tc>
          <w:tcPr/>
          <w:p>
            <w:pPr>
              <w:pStyle w:val="Compact"/>
            </w:pPr>
            <w:r>
              <w:t xml:space="preserve">Attesa contro trattamento, 205</w:t>
            </w:r>
          </w:p>
        </w:tc>
        <w:tc>
          <w:tcPr/>
          <w:p>
            <w:pPr>
              <w:pStyle w:val="Compact"/>
            </w:pPr>
            <w:r>
              <w:t xml:space="preserve">Dichiarare il decorso naturale</w:t>
            </w:r>
          </w:p>
        </w:tc>
      </w:tr>
      <w:tr>
        <w:tc>
          <w:tcPr/>
          <w:p>
            <w:pPr>
              <w:pStyle w:val="Compact"/>
            </w:pPr>
            <w:r>
              <w:t xml:space="preserve">Engquist, 2013 (23778373)</w:t>
            </w:r>
          </w:p>
        </w:tc>
        <w:tc>
          <w:tcPr/>
          <w:p>
            <w:pPr>
              <w:pStyle w:val="Compact"/>
            </w:pPr>
            <w:r>
              <w:t xml:space="preserve">Chirurgia contro fisioterapia, 63</w:t>
            </w:r>
          </w:p>
        </w:tc>
        <w:tc>
          <w:tcPr/>
          <w:p>
            <w:pPr>
              <w:pStyle w:val="Compact"/>
            </w:pPr>
            <w:r>
              <w:t xml:space="preserve">Parlare di tempi, non di scelte</w:t>
            </w:r>
          </w:p>
        </w:tc>
      </w:tr>
    </w:tbl>
    <w:bookmarkEnd w:id="56"/>
    <w:bookmarkStart w:id="57" w:name="cosa-possiamo-dire"/>
    <w:p>
      <w:pPr>
        <w:pStyle w:val="Heading3"/>
      </w:pPr>
      <w:r>
        <w:t xml:space="preserve">Cosa possiamo dire</w:t>
      </w:r>
    </w:p>
    <w:p>
      <w:pPr>
        <w:pStyle w:val="FirstParagraph"/>
      </w:pPr>
      <w:r>
        <w:rPr>
          <w:b/>
          <w:bCs/>
        </w:rPr>
        <w:t xml:space="preserve">La mobilizzazione articolare unita a quella neurale riduce il dolore a breve termine.</w:t>
      </w:r>
      <w:r>
        <w:t xml:space="preserve"> </w:t>
      </w:r>
      <w:r>
        <w:t xml:space="preserve">Nella sintesi di 50 studi randomizzati, la combinazione batte</w:t>
      </w:r>
      <w:r>
        <w:t xml:space="preserve"> </w:t>
      </w:r>
      <w:r>
        <w:rPr>
          <w:b/>
          <w:bCs/>
        </w:rPr>
        <w:t xml:space="preserve">le sole cure abituali di 1,52 punti</w:t>
      </w:r>
      <w:r>
        <w:t xml:space="preserve"> </w:t>
      </w:r>
      <w:r>
        <w:t xml:space="preserve">su una scala di dieci, e batte l’attesa, lo sham e il placebo di 3,23 punti. Sulla disabilità, la mobilizzazione neurale unita alle cure abituali produce un miglioramento ampio rispetto ai controlli passivi. La certezza dichiarata va da moderata a molto bassa (García-Juez,</w:t>
      </w:r>
      <w:r>
        <w:t xml:space="preserve"> </w:t>
      </w:r>
      <w:r>
        <w:rPr>
          <w:i/>
          <w:iCs/>
        </w:rPr>
        <w:t xml:space="preserve">JOSPT</w:t>
      </w:r>
      <w:r>
        <w:t xml:space="preserve"> </w:t>
      </w:r>
      <w:r>
        <w:t xml:space="preserve">2025, PMID 40576779).</w:t>
      </w:r>
    </w:p>
    <w:p>
      <w:pPr>
        <w:pStyle w:val="BodyText"/>
      </w:pPr>
      <w:r>
        <w:rPr>
          <w:b/>
          <w:bCs/>
        </w:rPr>
        <w:t xml:space="preserve">Per te:</w:t>
      </w:r>
      <w:r>
        <w:t xml:space="preserve"> </w:t>
      </w:r>
      <w:r>
        <w:t xml:space="preserve">l’ordine dei due numeri conta, e il primo è quello del tuo paziente, perché lui le cure abituali le ha già. Il numero suo è</w:t>
      </w:r>
      <w:r>
        <w:t xml:space="preserve"> </w:t>
      </w:r>
      <w:r>
        <w:rPr>
          <w:b/>
          <w:bCs/>
        </w:rPr>
        <w:t xml:space="preserve">1,52</w:t>
      </w:r>
      <w:r>
        <w:t xml:space="preserve">, che sta</w:t>
      </w:r>
      <w:r>
        <w:t xml:space="preserve"> </w:t>
      </w:r>
      <w:r>
        <w:rPr>
          <w:b/>
          <w:bCs/>
        </w:rPr>
        <w:t xml:space="preserve">sotto</w:t>
      </w:r>
      <w:r>
        <w:t xml:space="preserve"> </w:t>
      </w:r>
      <w:r>
        <w:t xml:space="preserve">la differenza minima clinicamente importante comunemente usata sul dolore cervicale, intorno a 2 punti. Il 3,23 include l’effetto di ricevere qualcosa invece di aspettare. Il tuo lavoro ha un effetto misurato oltre il non fare niente; sopra le cure abituali il guadagno medio è piccolo e a breve termine.</w:t>
      </w:r>
    </w:p>
    <w:p>
      <w:pPr>
        <w:pStyle w:val="BodyText"/>
      </w:pPr>
      <w:r>
        <w:rPr>
          <w:b/>
          <w:bCs/>
        </w:rPr>
        <w:t xml:space="preserve">Le componenti che spostano il dolore sono state isolate.</w:t>
      </w:r>
      <w:r>
        <w:t xml:space="preserve"> </w:t>
      </w:r>
      <w:r>
        <w:t xml:space="preserve">Nella scomposizione di 36 studi le tecniche</w:t>
      </w:r>
      <w:r>
        <w:t xml:space="preserve"> </w:t>
      </w:r>
      <w:r>
        <w:rPr>
          <w:b/>
          <w:bCs/>
        </w:rPr>
        <w:t xml:space="preserve">neurodinamiche</w:t>
      </w:r>
      <w:r>
        <w:t xml:space="preserve"> </w:t>
      </w:r>
      <w:r>
        <w:t xml:space="preserve">hanno SMD −1,45, il trattamento</w:t>
      </w:r>
      <w:r>
        <w:t xml:space="preserve"> </w:t>
      </w:r>
      <w:r>
        <w:rPr>
          <w:b/>
          <w:bCs/>
        </w:rPr>
        <w:t xml:space="preserve">articolare</w:t>
      </w:r>
      <w:r>
        <w:t xml:space="preserve"> </w:t>
      </w:r>
      <w:r>
        <w:t xml:space="preserve">−0,72, la</w:t>
      </w:r>
      <w:r>
        <w:t xml:space="preserve"> </w:t>
      </w:r>
      <w:r>
        <w:rPr>
          <w:b/>
          <w:bCs/>
        </w:rPr>
        <w:t xml:space="preserve">trazione</w:t>
      </w:r>
      <w:r>
        <w:t xml:space="preserve"> </w:t>
      </w:r>
      <w:r>
        <w:t xml:space="preserve">−0,66 — e su quest’ultima leggi «Cosa non possiamo dire» prima di usarla come argomento. Il valore puntuale più grande è del</w:t>
      </w:r>
      <w:r>
        <w:t xml:space="preserve"> </w:t>
      </w:r>
      <w:r>
        <w:rPr>
          <w:b/>
          <w:bCs/>
        </w:rPr>
        <w:t xml:space="preserve">dry needling, −3,40</w:t>
      </w:r>
      <w:r>
        <w:t xml:space="preserve">, che non è una voce farmacologica: gli autori non ne concludono nulla perché la sua presenza nella rete è troppo esigua, e questo va scritto, non omesso. Fra le componenti su cui la rete dà una stima affidabile la neurodinamica è la prima. La combinazione con la confidenza più alta è</w:t>
      </w:r>
      <w:r>
        <w:t xml:space="preserve"> </w:t>
      </w:r>
      <w:r>
        <w:rPr>
          <w:b/>
          <w:bCs/>
        </w:rPr>
        <w:t xml:space="preserve">articolare, elettroterapia analgesica, neurodinamica, rinforzo e trazione</w:t>
      </w:r>
      <w:r>
        <w:t xml:space="preserve"> </w:t>
      </w:r>
      <w:r>
        <w:t xml:space="preserve">(Núñez de Arenas-Arroyo,</w:t>
      </w:r>
      <w:r>
        <w:t xml:space="preserve"> </w:t>
      </w:r>
      <w:r>
        <w:rPr>
          <w:i/>
          <w:iCs/>
        </w:rPr>
        <w:t xml:space="preserve">Clin Rehabil</w:t>
      </w:r>
      <w:r>
        <w:t xml:space="preserve"> </w:t>
      </w:r>
      <w:r>
        <w:t xml:space="preserve">2025, PMID 40776625).</w:t>
      </w:r>
    </w:p>
    <w:p>
      <w:pPr>
        <w:pStyle w:val="BodyText"/>
      </w:pPr>
      <w:r>
        <w:rPr>
          <w:b/>
          <w:bCs/>
        </w:rPr>
        <w:t xml:space="preserve">Per te:</w:t>
      </w:r>
      <w:r>
        <w:t xml:space="preserve"> </w:t>
      </w:r>
      <w:r>
        <w:t xml:space="preserve">è il dato che ordina il tuo arsenale, con due onestà attaccate. Se puoi fare una cosa sola, la neurodinamica pesa di più fra le componenti stimabili — non fra tutte. E quella combinazione</w:t>
      </w:r>
      <w:r>
        <w:t xml:space="preserve"> </w:t>
      </w:r>
      <w:r>
        <w:rPr>
          <w:b/>
          <w:bCs/>
        </w:rPr>
        <w:t xml:space="preserve">contiene un pezzo che noi non eroghiamo</w:t>
      </w:r>
      <w:r>
        <w:t xml:space="preserve">: il pacchetto vincente non è «manuale più esercizio», e citarlo amputato lo farebbe sembrare tale.</w:t>
      </w:r>
    </w:p>
    <w:p>
      <w:pPr>
        <w:pStyle w:val="BodyText"/>
      </w:pPr>
      <w:r>
        <w:rPr>
          <w:b/>
          <w:bCs/>
        </w:rPr>
        <w:t xml:space="preserve">Un cambiamento si vede dentro la seduta.</w:t>
      </w:r>
      <w:r>
        <w:t xml:space="preserve"> </w:t>
      </w:r>
      <w:r>
        <w:t xml:space="preserve">Lo studio ha arruolato 20 pazienti con dolore cervico-brachiale di origine nervosa. Una singola mobilizzazione cervicale in scivolamento laterale ha portato l’estensione del gomito al test da 137,3 a 156,7 gradi. Ha ridotto del 43,4% l’area del sintomo, e ha abbassato il dolore da 7,3 a 5,8. Nel gruppo trattato con ultrasuoni non è cambiato niente (Coppieters,</w:t>
      </w:r>
      <w:r>
        <w:t xml:space="preserve"> </w:t>
      </w:r>
      <w:r>
        <w:rPr>
          <w:i/>
          <w:iCs/>
        </w:rPr>
        <w:t xml:space="preserve">JOSPT</w:t>
      </w:r>
      <w:r>
        <w:t xml:space="preserve"> </w:t>
      </w:r>
      <w:r>
        <w:t xml:space="preserve">2003, PMID 12918862).</w:t>
      </w:r>
    </w:p>
    <w:p>
      <w:pPr>
        <w:pStyle w:val="BodyText"/>
      </w:pPr>
      <w:r>
        <w:rPr>
          <w:b/>
          <w:bCs/>
        </w:rPr>
        <w:t xml:space="preserve">Per te:</w:t>
      </w:r>
      <w:r>
        <w:t xml:space="preserve"> </w:t>
      </w:r>
      <w:r>
        <w:t xml:space="preserve">puoi aspettarti un cambiamento immediato e misurarlo, con le due misure che lo studio ha usato — i gradi al test e l’area del sintomo. È anche il motivo per cui la soglia del primo marker è quella; quelle su area e rotazione restano convenzioni del metodo.</w:t>
      </w:r>
    </w:p>
    <w:p>
      <w:pPr>
        <w:pStyle w:val="BodyText"/>
      </w:pPr>
      <w:r>
        <w:rPr>
          <w:b/>
          <w:bCs/>
        </w:rPr>
        <w:t xml:space="preserve">Un dato a dodici mesi esiste, e riguarda una componente sola.</w:t>
      </w:r>
      <w:r>
        <w:t xml:space="preserve"> </w:t>
      </w:r>
      <w:r>
        <w:t xml:space="preserve">In un randomizzato su 86 pazienti, l’esercizio unito alla</w:t>
      </w:r>
      <w:r>
        <w:t xml:space="preserve"> </w:t>
      </w:r>
      <w:r>
        <w:rPr>
          <w:b/>
          <w:bCs/>
        </w:rPr>
        <w:t xml:space="preserve">trazione meccanica</w:t>
      </w:r>
      <w:r>
        <w:t xml:space="preserve"> </w:t>
      </w:r>
      <w:r>
        <w:t xml:space="preserve">ha lasciato una disabilità più bassa dell’esercizio da solo a sei mesi (differenza media 13,3; IC 95% da 5,6 a 21,0) e ancora a dodici mesi (9,8;</w:t>
      </w:r>
      <w:r>
        <w:t xml:space="preserve"> </w:t>
      </w:r>
      <w:r>
        <w:rPr>
          <w:b/>
          <w:bCs/>
        </w:rPr>
        <w:t xml:space="preserve">IC 95% da 0,2 a 19,4</w:t>
      </w:r>
      <w:r>
        <w:t xml:space="preserve">) (Fritz,</w:t>
      </w:r>
      <w:r>
        <w:t xml:space="preserve"> </w:t>
      </w:r>
      <w:r>
        <w:rPr>
          <w:i/>
          <w:iCs/>
        </w:rPr>
        <w:t xml:space="preserve">JOSPT</w:t>
      </w:r>
      <w:r>
        <w:t xml:space="preserve"> </w:t>
      </w:r>
      <w:r>
        <w:t xml:space="preserve">2014, PMID 24405257).</w:t>
      </w:r>
      <w:r>
        <w:t xml:space="preserve"> </w:t>
      </w:r>
      <w:r>
        <w:rPr>
          <w:b/>
          <w:bCs/>
        </w:rPr>
        <w:t xml:space="preserve">Misurato su una trazione meccanica strumentale aggiunta all’esercizio, non sul trattamento manuale — e sulla disabilità, non sul dolore, che nella sintesi di Colombo resta sotto la soglia di rilevanza.</w:t>
      </w:r>
    </w:p>
    <w:p>
      <w:pPr>
        <w:pStyle w:val="BodyText"/>
      </w:pPr>
      <w:r>
        <w:rPr>
          <w:b/>
          <w:bCs/>
        </w:rPr>
        <w:t xml:space="preserve">Per te:</w:t>
      </w:r>
      <w:r>
        <w:t xml:space="preserve"> </w:t>
      </w:r>
      <w:r>
        <w:t xml:space="preserve">è l’unico dato a un anno di tutto il documento, e il limite inferiore dell’intervallo a dodici mesi sfiora lo zero. Serve a correggere una frase che scriveresti troppo larga, non a raccomandare uno strumento.</w:t>
      </w:r>
    </w:p>
    <w:p>
      <w:pPr>
        <w:pStyle w:val="BodyText"/>
      </w:pPr>
      <w:r>
        <w:rPr>
          <w:b/>
          <w:bCs/>
        </w:rPr>
        <w:t xml:space="preserve">Lo Spurling positivo sposta la probabilità, e più di quanto faccia un neurodinamico positivo.</w:t>
      </w:r>
      <w:r>
        <w:t xml:space="preserve"> </w:t>
      </w:r>
      <w:r>
        <w:t xml:space="preserve">Specificità da 0,84 a 1,00 in cinque studi, ma con intervallo di confidenza da</w:t>
      </w:r>
      <w:r>
        <w:t xml:space="preserve"> </w:t>
      </w:r>
      <w:r>
        <w:rPr>
          <w:b/>
          <w:bCs/>
        </w:rPr>
        <w:t xml:space="preserve">0,56 a 1,00</w:t>
      </w:r>
      <w:r>
        <w:t xml:space="preserve">; sensibilità da 0,38 a 0,98. La combinazione dei quattro test neurodinamici dell’arto superiore ha sensibilità 0,97 e specificità 0,51. La revisione che li misura conclude tre cose.</w:t>
      </w:r>
      <w:r>
        <w:t xml:space="preserve"> </w:t>
      </w:r>
      <w:r>
        <w:rPr>
          <w:b/>
          <w:bCs/>
        </w:rPr>
        <w:t xml:space="preserve">La certezza dell’evidenza va da bassa a molto bassa su tutti gli esiti di tutti i test.</w:t>
      </w:r>
      <w:r>
        <w:t xml:space="preserve"> </w:t>
      </w:r>
      <w:r>
        <w:t xml:space="preserve">Le stime valgono solo per le popolazioni studiate. E negli studi si usavano versioni leggermente diverse dello Spurling (Thoomes,</w:t>
      </w:r>
      <w:r>
        <w:t xml:space="preserve"> </w:t>
      </w:r>
      <w:r>
        <w:rPr>
          <w:i/>
          <w:iCs/>
        </w:rPr>
        <w:t xml:space="preserve">BMC Musculoskelet Disord</w:t>
      </w:r>
      <w:r>
        <w:t xml:space="preserve"> </w:t>
      </w:r>
      <w:r>
        <w:t xml:space="preserve">2026, PMID 41680685). Un secondo lavoro, indipendente e in cieco contro l’elettrofisiologia su 82 pazienti, arriva alla stessa divisione dei ruoli: il test di tensione dell’arto superiore è risultato il più utile per</w:t>
      </w:r>
      <w:r>
        <w:t xml:space="preserve"> </w:t>
      </w:r>
      <w:r>
        <w:rPr>
          <w:b/>
          <w:bCs/>
        </w:rPr>
        <w:t xml:space="preserve">escludere</w:t>
      </w:r>
      <w:r>
        <w:t xml:space="preserve"> </w:t>
      </w:r>
      <w:r>
        <w:t xml:space="preserve">la radicolopatia cervicale. E quattro segni insieme hanno dato un rapporto di verosimiglianza positivo di 30,3 (Wainner,</w:t>
      </w:r>
      <w:r>
        <w:t xml:space="preserve"> </w:t>
      </w:r>
      <w:r>
        <w:rPr>
          <w:i/>
          <w:iCs/>
        </w:rPr>
        <w:t xml:space="preserve">Spine</w:t>
      </w:r>
      <w:r>
        <w:t xml:space="preserve"> </w:t>
      </w:r>
      <w:r>
        <w:t xml:space="preserve">2003, PMID 12544957).</w:t>
      </w:r>
      <w:r>
        <w:t xml:space="preserve"> </w:t>
      </w:r>
      <w:r>
        <w:rPr>
          <w:b/>
          <w:bCs/>
        </w:rPr>
        <w:t xml:space="preserve">Misurato contro l’elettrofisiologia su 82 pazienti, con intervalli ampi e senza validazione successiva: quei quattro segni orientano, non decidono, e comunque la diagnosi non è nostra.</w:t>
      </w:r>
    </w:p>
    <w:p>
      <w:pPr>
        <w:pStyle w:val="BodyText"/>
      </w:pPr>
      <w:r>
        <w:rPr>
          <w:b/>
          <w:bCs/>
        </w:rPr>
        <w:t xml:space="preserve">Per te:</w:t>
      </w:r>
      <w:r>
        <w:t xml:space="preserve"> </w:t>
      </w:r>
      <w:r>
        <w:t xml:space="preserve">i due test fanno lavori opposti e vanno usati per quello. Lo Spurling positivo ti dice che è quello; i test neurodinamici tutti negativi ti dicono che non lo è. Fare il contrario — escludere con lo Spurling, confermare con il neurodinamico — è l’errore più comune. E con quel limite inferiore a 0,56 lo Spurling positivo orienta il ragionamento; non lo chiude.</w:t>
      </w:r>
    </w:p>
    <w:bookmarkEnd w:id="57"/>
    <w:bookmarkStart w:id="58" w:name="cosa-non-possiamo-dire"/>
    <w:p>
      <w:pPr>
        <w:pStyle w:val="Heading3"/>
      </w:pPr>
      <w:r>
        <w:t xml:space="preserve">Cosa non possiamo dire</w:t>
      </w:r>
    </w:p>
    <w:p>
      <w:pPr>
        <w:pStyle w:val="Compact"/>
        <w:numPr>
          <w:ilvl w:val="0"/>
          <w:numId w:val="1025"/>
        </w:numPr>
      </w:pPr>
      <w:r>
        <w:rPr>
          <w:b/>
          <w:bCs/>
        </w:rPr>
        <w:t xml:space="preserve">Che l’osteopatia funzioni su questa condizione.</w:t>
      </w:r>
      <w:r>
        <w:t xml:space="preserve"> </w:t>
      </w:r>
      <w:r>
        <w:t xml:space="preserve">Nessuno degli studi sopra ha testato il trattamento osteopatico. Hanno testato mobilizzazioni, tecniche neurodinamiche, trazione ed esercizio.</w:t>
      </w:r>
    </w:p>
    <w:p>
      <w:pPr>
        <w:pStyle w:val="Compact"/>
        <w:numPr>
          <w:ilvl w:val="0"/>
          <w:numId w:val="1025"/>
        </w:numPr>
      </w:pPr>
      <w:r>
        <w:rPr>
          <w:b/>
          <w:bCs/>
        </w:rPr>
        <w:t xml:space="preserve">Che l’effetto della terapia manuale duri.</w:t>
      </w:r>
      <w:r>
        <w:t xml:space="preserve"> </w:t>
      </w:r>
      <w:r>
        <w:t xml:space="preserve">Le prove sono a breve termine, e sul medio e lungo periodo la letteratura sulla terapia manuale in questa condizione non ha risposte (Thoomes,</w:t>
      </w:r>
      <w:r>
        <w:t xml:space="preserve"> </w:t>
      </w:r>
      <w:r>
        <w:rPr>
          <w:i/>
          <w:iCs/>
        </w:rPr>
        <w:t xml:space="preserve">Chiropr Man Therap</w:t>
      </w:r>
      <w:r>
        <w:t xml:space="preserve"> </w:t>
      </w:r>
      <w:r>
        <w:t xml:space="preserve">2016, PMID 27980724). L’unico dato a dodici mesi riguarda un’altra componente — la trazione meccanica aggiunta all’esercizio — e non si estende alle mani.</w:t>
      </w:r>
    </w:p>
    <w:p>
      <w:pPr>
        <w:pStyle w:val="Compact"/>
        <w:numPr>
          <w:ilvl w:val="0"/>
          <w:numId w:val="1025"/>
        </w:numPr>
      </w:pPr>
      <w:r>
        <w:rPr>
          <w:b/>
          <w:bCs/>
        </w:rPr>
        <w:t xml:space="preserve">Che la trazione dia un beneficio clinicamente rilevante sul dolore.</w:t>
      </w:r>
      <w:r>
        <w:t xml:space="preserve"> </w:t>
      </w:r>
      <w:r>
        <w:t xml:space="preserve">Sette studi randomizzati e 589 pazienti danno</w:t>
      </w:r>
      <w:r>
        <w:t xml:space="preserve"> </w:t>
      </w:r>
      <w:r>
        <w:rPr>
          <w:b/>
          <w:bCs/>
        </w:rPr>
        <w:t xml:space="preserve">6 punti su 100</w:t>
      </w:r>
      <w:r>
        <w:t xml:space="preserve">, contro una soglia di rilevanza fissata prima a</w:t>
      </w:r>
      <w:r>
        <w:t xml:space="preserve"> </w:t>
      </w:r>
      <w:r>
        <w:rPr>
          <w:b/>
          <w:bCs/>
        </w:rPr>
        <w:t xml:space="preserve">20</w:t>
      </w:r>
      <w:r>
        <w:t xml:space="preserve"> </w:t>
      </w:r>
      <w:r>
        <w:t xml:space="preserve">(Colombo,</w:t>
      </w:r>
      <w:r>
        <w:t xml:space="preserve"> </w:t>
      </w:r>
      <w:r>
        <w:rPr>
          <w:i/>
          <w:iCs/>
        </w:rPr>
        <w:t xml:space="preserve">J Clin Med</w:t>
      </w:r>
      <w:r>
        <w:t xml:space="preserve"> </w:t>
      </w:r>
      <w:r>
        <w:t xml:space="preserve">2020, PMID 33105668).</w:t>
      </w:r>
      <w:r>
        <w:t xml:space="preserve"> </w:t>
      </w:r>
      <w:r>
        <w:rPr>
          <w:b/>
          <w:bCs/>
        </w:rPr>
        <w:t xml:space="preserve">Misurato sul dolore, non sulla disabilità: sulla seconda il quadro è diverso, e i due esiti non vanno confusi.</w:t>
      </w:r>
    </w:p>
    <w:p>
      <w:pPr>
        <w:pStyle w:val="Compact"/>
        <w:numPr>
          <w:ilvl w:val="0"/>
          <w:numId w:val="1025"/>
        </w:numPr>
      </w:pPr>
      <w:r>
        <w:rPr>
          <w:b/>
          <w:bCs/>
        </w:rPr>
        <w:t xml:space="preserve">Che sappiamo chi risponde.</w:t>
      </w:r>
      <w:r>
        <w:t xml:space="preserve"> </w:t>
      </w:r>
      <w:r>
        <w:t xml:space="preserve">L’unica regola predittiva esistente non è mai stata validata, e ha dentro il trattamento ricevuto (Cleland,</w:t>
      </w:r>
      <w:r>
        <w:t xml:space="preserve"> </w:t>
      </w:r>
      <w:r>
        <w:rPr>
          <w:i/>
          <w:iCs/>
        </w:rPr>
        <w:t xml:space="preserve">Phys Ther</w:t>
      </w:r>
      <w:r>
        <w:t xml:space="preserve"> </w:t>
      </w:r>
      <w:r>
        <w:t xml:space="preserve">2007, PMID 17911271).</w:t>
      </w:r>
    </w:p>
    <w:p>
      <w:pPr>
        <w:pStyle w:val="Compact"/>
        <w:numPr>
          <w:ilvl w:val="0"/>
          <w:numId w:val="1025"/>
        </w:numPr>
      </w:pPr>
      <w:r>
        <w:rPr>
          <w:b/>
          <w:bCs/>
        </w:rPr>
        <w:t xml:space="preserve">Che il tuo lavoro decomprima la radice o modifichi l’ernia.</w:t>
      </w:r>
      <w:r>
        <w:t xml:space="preserve"> </w:t>
      </w:r>
      <w:r>
        <w:t xml:space="preserve">Non è mai stato misurato.</w:t>
      </w:r>
    </w:p>
    <w:p>
      <w:pPr>
        <w:pStyle w:val="Compact"/>
        <w:numPr>
          <w:ilvl w:val="0"/>
          <w:numId w:val="1025"/>
        </w:numPr>
      </w:pPr>
      <w:r>
        <w:rPr>
          <w:b/>
          <w:bCs/>
        </w:rPr>
        <w:t xml:space="preserve">Che il tuo lavoro eviti l’intervento.</w:t>
      </w:r>
      <w:r>
        <w:t xml:space="preserve"> </w:t>
      </w:r>
      <w:r>
        <w:t xml:space="preserve">Nel confronto diretto su 63 pazienti, a dodici mesi si dichiarava meglio o molto meglio l’</w:t>
      </w:r>
      <w:r>
        <w:rPr>
          <w:b/>
          <w:bCs/>
        </w:rPr>
        <w:t xml:space="preserve">87%</w:t>
      </w:r>
      <w:r>
        <w:t xml:space="preserve"> </w:t>
      </w:r>
      <w:r>
        <w:t xml:space="preserve">degli operati contro il</w:t>
      </w:r>
      <w:r>
        <w:t xml:space="preserve"> </w:t>
      </w:r>
      <w:r>
        <w:rPr>
          <w:b/>
          <w:bCs/>
        </w:rPr>
        <w:t xml:space="preserve">62%</w:t>
      </w:r>
      <w:r>
        <w:t xml:space="preserve"> </w:t>
      </w:r>
      <w:r>
        <w:t xml:space="preserve">dei trattati con sola fisioterapia; a ventiquattro mesi erano</w:t>
      </w:r>
      <w:r>
        <w:t xml:space="preserve"> </w:t>
      </w:r>
      <w:r>
        <w:rPr>
          <w:b/>
          <w:bCs/>
        </w:rPr>
        <w:t xml:space="preserve">81%</w:t>
      </w:r>
      <w:r>
        <w:t xml:space="preserve"> </w:t>
      </w:r>
      <w:r>
        <w:t xml:space="preserve">e</w:t>
      </w:r>
      <w:r>
        <w:t xml:space="preserve"> </w:t>
      </w:r>
      <w:r>
        <w:rPr>
          <w:b/>
          <w:bCs/>
        </w:rPr>
        <w:t xml:space="preserve">69%</w:t>
      </w:r>
      <w:r>
        <w:t xml:space="preserve">, e la differenza non era più significativa (Engquist,</w:t>
      </w:r>
      <w:r>
        <w:t xml:space="preserve"> </w:t>
      </w:r>
      <w:r>
        <w:rPr>
          <w:i/>
          <w:iCs/>
        </w:rPr>
        <w:t xml:space="preserve">Spine</w:t>
      </w:r>
      <w:r>
        <w:t xml:space="preserve"> </w:t>
      </w:r>
      <w:r>
        <w:t xml:space="preserve">2013, PMID 23778373). È un dato sui tempi, non un’indicazione, e l’indicazione la pone il medico.</w:t>
      </w:r>
    </w:p>
    <w:p>
      <w:pPr>
        <w:pStyle w:val="Compact"/>
        <w:numPr>
          <w:ilvl w:val="0"/>
          <w:numId w:val="1025"/>
        </w:numPr>
      </w:pPr>
      <w:r>
        <w:rPr>
          <w:b/>
          <w:bCs/>
        </w:rPr>
        <w:t xml:space="preserve">Che il secondo restringimento lungo la strada sia una causa stabilita.</w:t>
      </w:r>
      <w:r>
        <w:t xml:space="preserve"> </w:t>
      </w:r>
      <w:r>
        <w:t xml:space="preserve">Su questo gli esperti sono divisi.</w:t>
      </w:r>
    </w:p>
    <w:bookmarkEnd w:id="58"/>
    <w:bookmarkStart w:id="59" w:name="quando-la-scienza-tace"/>
    <w:p>
      <w:pPr>
        <w:pStyle w:val="Heading3"/>
      </w:pPr>
      <w:r>
        <w:t xml:space="preserve">Quando la scienza tace</w:t>
      </w:r>
    </w:p>
    <w:p>
      <w:pPr>
        <w:pStyle w:val="FirstParagraph"/>
      </w:pPr>
      <w:r>
        <w:t xml:space="preserve">Su questa condizione la scienza non tace del tutto: parla molto, e a bassa voce. Cinquanta studi randomizzati sono tanti, e la certezza dichiarata su quasi tutti gli esiti va da</w:t>
      </w:r>
      <w:r>
        <w:t xml:space="preserve"> </w:t>
      </w:r>
      <w:r>
        <w:rPr>
          <w:b/>
          <w:bCs/>
        </w:rPr>
        <w:t xml:space="preserve">moderata a molto bassa</w:t>
      </w:r>
      <w:r>
        <w:t xml:space="preserve">. Il silenzio riguarda tre punti: l’osteopatia come tale, la durata dell’effetto, e quale paziente risponde a quale leva.</w:t>
      </w:r>
      <w:r>
        <w:t xml:space="preserve"> </w:t>
      </w:r>
      <w:r>
        <w:rPr>
          <w:b/>
          <w:bCs/>
        </w:rPr>
        <w:t xml:space="preserve">Solo il primo è un silenzio pieno.</w:t>
      </w:r>
      <w:r>
        <w:t xml:space="preserve"> </w:t>
      </w:r>
      <w:r>
        <w:t xml:space="preserve">Sugli altri due un dato c’è, ed è debole — e confondere</w:t>
      </w:r>
      <w:r>
        <w:t xml:space="preserve"> </w:t>
      </w:r>
      <w:r>
        <w:rPr>
          <w:i/>
          <w:iCs/>
        </w:rPr>
        <w:t xml:space="preserve">«non è stato misurato»</w:t>
      </w:r>
      <w:r>
        <w:t xml:space="preserve"> </w:t>
      </w:r>
      <w:r>
        <w:t xml:space="preserve">con</w:t>
      </w:r>
      <w:r>
        <w:t xml:space="preserve"> </w:t>
      </w:r>
      <w:r>
        <w:rPr>
          <w:i/>
          <w:iCs/>
        </w:rPr>
        <w:t xml:space="preserve">«è stato misurato male»</w:t>
      </w:r>
      <w:r>
        <w:t xml:space="preserve"> </w:t>
      </w:r>
      <w:r>
        <w:t xml:space="preserve">è lo stesso errore che questa sezione esiste per combattere.</w:t>
      </w:r>
    </w:p>
    <w:p>
      <w:pPr>
        <w:pStyle w:val="BodyText"/>
      </w:pPr>
      <w:r>
        <w:rPr>
          <w:b/>
          <w:bCs/>
        </w:rPr>
        <w:t xml:space="preserve">Sulla durata</w:t>
      </w:r>
      <w:r>
        <w:t xml:space="preserve">, l’unico dato a dodici mesi è quello già visto sopra, e riguarda una componente sola e strumentale.</w:t>
      </w:r>
    </w:p>
    <w:p>
      <w:pPr>
        <w:pStyle w:val="BodyText"/>
      </w:pPr>
      <w:r>
        <w:rPr>
          <w:b/>
          <w:bCs/>
        </w:rPr>
        <w:t xml:space="preserve">Su chi risponde</w:t>
      </w:r>
      <w:r>
        <w:t xml:space="preserve">, una coorte di 96 pazienti ha isolato quattro variabili: età sotto i 54 anni, arto dominante non coinvolto, sintomi che non peggiorano guardando in basso, trattamento multimodale. Quando ci sono tutte e quattro, la probabilità di successo sale dal 53% al 90% (Cleland,</w:t>
      </w:r>
      <w:r>
        <w:t xml:space="preserve"> </w:t>
      </w:r>
      <w:r>
        <w:rPr>
          <w:i/>
          <w:iCs/>
        </w:rPr>
        <w:t xml:space="preserve">Phys Ther</w:t>
      </w:r>
      <w:r>
        <w:t xml:space="preserve"> </w:t>
      </w:r>
      <w:r>
        <w:t xml:space="preserve">2007, PMID 17911271).</w:t>
      </w:r>
      <w:r>
        <w:t xml:space="preserve"> </w:t>
      </w:r>
      <w:r>
        <w:rPr>
          <w:b/>
          <w:bCs/>
        </w:rPr>
        <w:t xml:space="preserve">Misurato in una coorte senza gruppo di controllo, mai validata, e con il trattamento ricevuto dentro il modello: descrive chi è migliorato, non predice chi migliorerà.</w:t>
      </w:r>
      <w:r>
        <w:t xml:space="preserve"> </w:t>
      </w:r>
      <w:r>
        <w:t xml:space="preserve">L’intervallo della stima migliore va da 1,9 a 63,9, e una coorte non ribalta un randomizzato: l’etichetta IPOTESI del rinforzo in «Cosa può fare il paziente da solo» resta dov’è.</w:t>
      </w:r>
    </w:p>
    <w:p>
      <w:pPr>
        <w:pStyle w:val="BodyText"/>
      </w:pPr>
      <w:r>
        <w:rPr>
          <w:b/>
          <w:bCs/>
        </w:rPr>
        <w:t xml:space="preserve">Primo: assenza di prove non è prova di assenza.</w:t>
      </w:r>
      <w:r>
        <w:t xml:space="preserve"> </w:t>
      </w:r>
      <w:r>
        <w:t xml:space="preserve">Che nessuno abbia misurato il trattamento osteopatico qui non dice niente sulla sua efficacia. Dice che nessuno l’ha misurata. Sono due affermazioni diverse.</w:t>
      </w:r>
    </w:p>
    <w:p>
      <w:pPr>
        <w:pStyle w:val="BodyText"/>
      </w:pPr>
      <w:r>
        <w:rPr>
          <w:b/>
          <w:bCs/>
        </w:rPr>
        <w:t xml:space="preserve">Secondo: perché quella letteratura non esiste.</w:t>
      </w:r>
      <w:r>
        <w:t xml:space="preserve"> </w:t>
      </w:r>
      <w:r>
        <w:t xml:space="preserve">Non è stata fatta: nessun finanziamento, nessun placebo credibile per il tocco, campioni piccoli.</w:t>
      </w:r>
    </w:p>
    <w:p>
      <w:pPr>
        <w:pStyle w:val="BodyText"/>
      </w:pPr>
      <w:r>
        <w:rPr>
          <w:b/>
          <w:bCs/>
        </w:rPr>
        <w:t xml:space="preserve">Terzo: su cosa ti basi allora</w:t>
      </w:r>
      <w:r>
        <w:t xml:space="preserve">, in ordine di forza. Sul</w:t>
      </w:r>
      <w:r>
        <w:t xml:space="preserve"> </w:t>
      </w:r>
      <w:r>
        <w:rPr>
          <w:b/>
          <w:bCs/>
        </w:rPr>
        <w:t xml:space="preserve">meccanismo fisiologico documentato</w:t>
      </w:r>
      <w:r>
        <w:t xml:space="preserve">: geometria del forame, meccanosensibilità del ganglio, escursione del nervo. Sul</w:t>
      </w:r>
      <w:r>
        <w:t xml:space="preserve"> </w:t>
      </w:r>
      <w:r>
        <w:rPr>
          <w:b/>
          <w:bCs/>
        </w:rPr>
        <w:t xml:space="preserve">ragionamento clinico</w:t>
      </w:r>
      <w:r>
        <w:t xml:space="preserve">, dichiarato come tale. E sulla</w:t>
      </w:r>
      <w:r>
        <w:t xml:space="preserve"> </w:t>
      </w:r>
      <w:r>
        <w:rPr>
          <w:b/>
          <w:bCs/>
        </w:rPr>
        <w:t xml:space="preserve">verifica sul singolo paziente</w:t>
      </w:r>
      <w:r>
        <w:t xml:space="preserve">: quattro marker, scelti prima, con una soglia dichiarata prima.</w:t>
      </w:r>
    </w:p>
    <w:p>
      <w:pPr>
        <w:pStyle w:val="BodyText"/>
      </w:pPr>
      <w:r>
        <w:rPr>
          <w:b/>
          <w:bCs/>
        </w:rPr>
        <w:t xml:space="preserve">Quarto: cosa separa questo dal pensiero magico.</w:t>
      </w:r>
      <w:r>
        <w:t xml:space="preserve"> </w:t>
      </w:r>
      <w:r>
        <w:t xml:space="preserve">La verifica. Scegliere il marker prima di trattare e accettarne il verdetto è scienza applicata a un caso singolo; sceglierlo dopo aver visto il paziente migliorare, no. Ma la verifica va tenuta alla sua misura: in stanza non hai un gruppo di controllo, e su un test ripetuto a pochi minuti agiscono il rientro verso la media e l’attesa.</w:t>
      </w:r>
      <w:r>
        <w:t xml:space="preserve"> </w:t>
      </w:r>
      <w:r>
        <w:rPr>
          <w:b/>
          <w:bCs/>
        </w:rPr>
        <w:t xml:space="preserve">Il re-test di fine seduta dice se l’ipotesi merita un’altra seduta, non se il trattamento funziona.</w:t>
      </w:r>
      <w:r>
        <w:t xml:space="preserve"> </w:t>
      </w:r>
      <w:r>
        <w:t xml:space="preserve">Quello che regge è la persistenza al controllo successivo.</w:t>
      </w:r>
    </w:p>
    <w:p>
      <w:pPr>
        <w:pStyle w:val="BodyText"/>
      </w:pPr>
      <w:r>
        <w:rPr>
          <w:b/>
          <w:bCs/>
        </w:rPr>
        <w:t xml:space="preserve">Quinto: cosa non autorizza.</w:t>
      </w:r>
      <w:r>
        <w:t xml:space="preserve"> </w:t>
      </w:r>
      <w:r>
        <w:t xml:space="preserve">Non autorizza a promettere un esito, non a scrivere DIMOSTRATO dove c’è IPOTESI, non a dire al paziente che gli studi lo confermano. La libertà che dà è quella di</w:t>
      </w:r>
      <w:r>
        <w:t xml:space="preserve"> </w:t>
      </w:r>
      <w:r>
        <w:rPr>
          <w:b/>
          <w:bCs/>
        </w:rPr>
        <w:t xml:space="preserve">trattare e verificare</w:t>
      </w:r>
      <w:r>
        <w:t xml:space="preserve">, non quella di affermare.</w:t>
      </w:r>
    </w:p>
    <w:p>
      <w:pPr>
        <w:pStyle w:val="BodyText"/>
      </w:pPr>
      <w:r>
        <w:rPr>
          <w:b/>
          <w:bCs/>
        </w:rPr>
        <w:t xml:space="preserve">Le tre cose da ricordare, più una</w:t>
      </w:r>
    </w:p>
    <w:p>
      <w:pPr>
        <w:pStyle w:val="Compact"/>
        <w:numPr>
          <w:ilvl w:val="0"/>
          <w:numId w:val="1026"/>
        </w:numPr>
      </w:pPr>
      <w:r>
        <w:t xml:space="preserve">Lo Spurling conferma, i test neurodinamici escludono: usarli al contrario è l’errore più comune.</w:t>
      </w:r>
    </w:p>
    <w:p>
      <w:pPr>
        <w:pStyle w:val="Compact"/>
        <w:numPr>
          <w:ilvl w:val="0"/>
          <w:numId w:val="1026"/>
        </w:numPr>
      </w:pPr>
      <w:r>
        <w:t xml:space="preserve">La neurodinamica è la componente con il peso maggiore</w:t>
      </w:r>
      <w:r>
        <w:t xml:space="preserve"> </w:t>
      </w:r>
      <w:r>
        <w:rPr>
          <w:b/>
          <w:bCs/>
        </w:rPr>
        <w:t xml:space="preserve">fra quelle su cui la rete dà una stima affidabile</w:t>
      </w:r>
      <w:r>
        <w:t xml:space="preserve">.</w:t>
      </w:r>
    </w:p>
    <w:p>
      <w:pPr>
        <w:pStyle w:val="Compact"/>
        <w:numPr>
          <w:ilvl w:val="0"/>
          <w:numId w:val="1026"/>
        </w:numPr>
      </w:pPr>
      <w:r>
        <w:t xml:space="preserve">Nessuno degli studi che citi ha testato l’osteopatia: dillo prima che te lo chieda qualcun altro.</w:t>
      </w:r>
    </w:p>
    <w:p>
      <w:pPr>
        <w:pStyle w:val="Compact"/>
        <w:numPr>
          <w:ilvl w:val="0"/>
          <w:numId w:val="1026"/>
        </w:numPr>
      </w:pPr>
      <w:r>
        <w:rPr>
          <w:b/>
          <w:bCs/>
        </w:rPr>
        <w:t xml:space="preserve">Perché ci sei tu.</w:t>
      </w:r>
      <w:r>
        <w:t xml:space="preserve"> </w:t>
      </w:r>
      <w:r>
        <w:t xml:space="preserve">Lo Spurling ha una specificità fra 0,84 e 1,00, con intervallo da 0,56 a 1,00. La sensibilità sta fra 0,38 e 0,98. Il corpo di evidenza è dichiarato a certezza da bassa a molto bassa (Thoomes,</w:t>
      </w:r>
      <w:r>
        <w:t xml:space="preserve"> </w:t>
      </w:r>
      <w:r>
        <w:rPr>
          <w:i/>
          <w:iCs/>
        </w:rPr>
        <w:t xml:space="preserve">BMC Musculoskelet Disord</w:t>
      </w:r>
      <w:r>
        <w:t xml:space="preserve"> </w:t>
      </w:r>
      <w:r>
        <w:t xml:space="preserve">2026, PMID 41680685).</w:t>
      </w:r>
      <w:r>
        <w:t xml:space="preserve"> </w:t>
      </w:r>
      <w:r>
        <w:rPr>
          <w:b/>
          <w:bCs/>
        </w:rPr>
        <w:t xml:space="preserve">Per te:</w:t>
      </w:r>
      <w:r>
        <w:t xml:space="preserve"> </w:t>
      </w:r>
      <w:r>
        <w:t xml:space="preserve">con un test che costa dieci secondi hai un’informazione utile quando è positivo. Questo ti autorizza a orientare il lavoro su uno Spurling positivo. Non ti autorizza a escludere niente con uno Spurling negativo, né a presentarlo come una conferma: quasi due volte su tre potrebbe sfuggirti, e la certezza dichiarata sta in fondo alla scala.</w:t>
      </w:r>
      <w:r>
        <w:t xml:space="preserve"> </w:t>
      </w:r>
      <w:r>
        <w:rPr>
          <w:b/>
          <w:bCs/>
        </w:rPr>
        <w:t xml:space="preserve">Il test non si esegue</w:t>
      </w:r>
      <w:r>
        <w:t xml:space="preserve"> </w:t>
      </w:r>
      <w:r>
        <w:t xml:space="preserve">in sospetto di mielopatia, instabilità cervicale, trauma recente, infezione o neoplasia: è il test che riproduce il sintomo comprimendo, e in quei quadri è controindicato.</w:t>
      </w:r>
    </w:p>
    <w:p>
      <w:r>
        <w:pict>
          <v:rect style="width:0;height:1.5pt" o:hralign="center" o:hrstd="t" o:hr="t"/>
        </w:pict>
      </w:r>
    </w:p>
    <w:bookmarkEnd w:id="59"/>
    <w:bookmarkEnd w:id="60"/>
    <w:bookmarkStart w:id="68"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le mani non aprono il forame e non riassorbono l’ernia — cambiano quanto il nervo viene disturbato lungo la strada, e la strada è lunga venti centimetri.</w:t>
      </w:r>
    </w:p>
    <w:p>
      <w:pPr>
        <w:pStyle w:val="FirstParagraph"/>
      </w:pPr>
      <w:r>
        <w:rPr>
          <w:b/>
          <w:bCs/>
        </w:rPr>
        <w:t xml:space="preserve">Cosa non possono fare, detto per primo.</w:t>
      </w:r>
      <w:r>
        <w:t xml:space="preserve"> </w:t>
      </w:r>
      <w:r>
        <w:t xml:space="preserve">Non decomprimono la radice. Non modificano l’immagine. Non riassorbono materiale discale. Non cambiano il calibro del forame in modo duraturo. Non recuperano un deficit motorio che sta progredendo: quello esce.</w:t>
      </w:r>
    </w:p>
    <w:p>
      <w:pPr>
        <w:pStyle w:val="BodyText"/>
      </w:pPr>
      <w:r>
        <w:t xml:space="preserve">Ora, meccanismo per meccanismo.</w:t>
      </w:r>
    </w:p>
    <w:bookmarkStart w:id="61" w:name="sulla-porta-che-si-stringe"/>
    <w:p>
      <w:pPr>
        <w:pStyle w:val="Heading3"/>
      </w:pPr>
      <w:r>
        <w:t xml:space="preserve">Sulla porta che si stringe</w:t>
      </w:r>
    </w:p>
    <w:p>
      <w:pPr>
        <w:pStyle w:val="FirstParagraph"/>
      </w:pPr>
      <w:r>
        <w:rPr>
          <w:b/>
          <w:bCs/>
        </w:rPr>
        <w:t xml:space="preserve">Su cosa può agire una mano.</w:t>
      </w:r>
      <w:r>
        <w:t xml:space="preserve"> </w:t>
      </w:r>
      <w:r>
        <w:t xml:space="preserve">Sulla distribuzione del movimento fra collo, cerniera cervico-toracica, torace e scapola. E sulla mobilità dei segmenti adiacenti a quello sintomatico.</w:t>
      </w:r>
    </w:p>
    <w:p>
      <w:pPr>
        <w:pStyle w:val="BodyText"/>
      </w:pPr>
      <w:r>
        <w:rPr>
          <w:b/>
          <w:bCs/>
        </w:rPr>
        <w:t xml:space="preserve">Che effetto ci si aspetta.</w:t>
      </w:r>
      <w:r>
        <w:t xml:space="preserve"> </w:t>
      </w:r>
      <w:r>
        <w:t xml:space="preserve">Non un forame più largo. Un collo che raggiunge la stessa posizione con meno estensione dei segmenti critici, e una tolleranza maggiore alle posizioni della vita quotidiana. È il trasloco fatto in quattro invece che in due: le scatole salgono lo stesso, senza spaccarsi la schiena.</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l’effetto clinico della componente articolare è misurato, isolato, a breve termine (Núñez de Arenas-Arroyo,</w:t>
      </w:r>
      <w:r>
        <w:t xml:space="preserve"> </w:t>
      </w:r>
      <w:r>
        <w:rPr>
          <w:i/>
          <w:iCs/>
        </w:rPr>
        <w:t xml:space="preserve">Clin Rehabil</w:t>
      </w:r>
      <w:r>
        <w:t xml:space="preserve"> </w:t>
      </w:r>
      <w:r>
        <w:t xml:space="preserve">2025, PMID 40776625). Che passi per la geometria del forame è un’inferenza.</w:t>
      </w:r>
    </w:p>
    <w:p>
      <w:pPr>
        <w:pStyle w:val="FirstParagraph"/>
      </w:pPr>
      <w:r>
        <w:rPr>
          <w:b/>
          <w:bCs/>
        </w:rPr>
        <w:t xml:space="preserve">In quanto tempo, e con quale meccanismo.</w:t>
      </w:r>
      <w:r>
        <w:t xml:space="preserve"> </w:t>
      </w:r>
      <w:r>
        <w:t xml:space="preserve">I due orologi non vanno confusi. Dentro la seduta cambia la</w:t>
      </w:r>
      <w:r>
        <w:t xml:space="preserve"> </w:t>
      </w:r>
      <w:r>
        <w:rPr>
          <w:b/>
          <w:bCs/>
        </w:rPr>
        <w:t xml:space="preserve">risposta protettiva</w:t>
      </w:r>
      <w:r>
        <w:t xml:space="preserve">, non la distribuzione del movimento fra i segmenti: ridistribuire il movimento è apprendimento motorio, e va a settimane.</w:t>
      </w:r>
      <w:r>
        <w:t xml:space="preserve"> </w:t>
      </w:r>
      <w:r>
        <w:rPr>
          <w:b/>
          <w:bCs/>
        </w:rPr>
        <w:t xml:space="preserve">E l’orizzonte di due-tre settimane sulla tolleranza appartiene al pacchetto — mani più lavoro attivo — non alla singola tecnica:</w:t>
      </w:r>
      <w:r>
        <w:t xml:space="preserve"> </w:t>
      </w:r>
      <w:r>
        <w:t xml:space="preserve">l’unico dato a quel tempo, Nee 2012, ha testato le tre cose insieme.</w:t>
      </w:r>
    </w:p>
    <w:bookmarkEnd w:id="61"/>
    <w:bookmarkStart w:id="62" w:name="sulla-chimica-che-resta-accesa"/>
    <w:p>
      <w:pPr>
        <w:pStyle w:val="Heading3"/>
      </w:pPr>
      <w:r>
        <w:t xml:space="preserve">Sulla chimica che resta accesa</w:t>
      </w:r>
    </w:p>
    <w:p>
      <w:pPr>
        <w:pStyle w:val="FirstParagraph"/>
      </w:pPr>
      <w:r>
        <w:rPr>
          <w:b/>
          <w:bCs/>
        </w:rPr>
        <w:t xml:space="preserve">Su cosa può agire una mano.</w:t>
      </w:r>
      <w:r>
        <w:t xml:space="preserve"> </w:t>
      </w:r>
      <w:r>
        <w:t xml:space="preserve">Non sull’infiammazione. Sui compensi che quella infiammazione ha generato: contrattura antalgica, torace bloccato, respiro alto, spalla che non si muove più.</w:t>
      </w:r>
    </w:p>
    <w:p>
      <w:pPr>
        <w:pStyle w:val="BodyText"/>
      </w:pPr>
      <w:r>
        <w:rPr>
          <w:b/>
          <w:bCs/>
        </w:rPr>
        <w:t xml:space="preserve">Che effetto ci si aspetta.</w:t>
      </w:r>
      <w:r>
        <w:t xml:space="preserve"> </w:t>
      </w:r>
      <w:r>
        <w:t xml:space="preserve">Meno intensità e meno risvegli, a parità di numero di scosse. È un effetto su come il sistema regge il sintomo, non sul sintomo.</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 nessuno ha misurato l’effetto del trattamento manuale sulla componente infiammatoria radicolare.</w:t>
      </w:r>
    </w:p>
    <w:p>
      <w:pPr>
        <w:pStyle w:val="FirstParagraph"/>
      </w:pPr>
      <w:r>
        <w:rPr>
          <w:b/>
          <w:bCs/>
        </w:rPr>
        <w:t xml:space="preserve">In quanto tempo si vedrebbe.</w:t>
      </w:r>
      <w:r>
        <w:t xml:space="preserve"> </w:t>
      </w:r>
      <w:r>
        <w:t xml:space="preserve">Sul sonno, entro una o due settimane. Se dopo tre settimane niente si muove, il tuo reperto non era quello che comanda.</w:t>
      </w:r>
    </w:p>
    <w:bookmarkEnd w:id="62"/>
    <w:bookmarkStart w:id="63" w:name="sul-nervo-che-non-scorre"/>
    <w:p>
      <w:pPr>
        <w:pStyle w:val="Heading3"/>
      </w:pPr>
      <w:r>
        <w:t xml:space="preserve">Sul nervo che non scorre</w:t>
      </w:r>
    </w:p>
    <w:p>
      <w:pPr>
        <w:pStyle w:val="FirstParagraph"/>
      </w:pPr>
      <w:r>
        <w:rPr>
          <w:b/>
          <w:bCs/>
        </w:rPr>
        <w:t xml:space="preserve">Su cosa può agire una mano.</w:t>
      </w:r>
      <w:r>
        <w:t xml:space="preserve"> </w:t>
      </w:r>
      <w:r>
        <w:t xml:space="preserve">Sull’interfaccia meccanica del nervo lungo tutto il percorso, e sulla sua mobilità relativa rispetto ai tessuti che lo circondano.</w:t>
      </w:r>
    </w:p>
    <w:p>
      <w:pPr>
        <w:pStyle w:val="BodyText"/>
      </w:pPr>
      <w:r>
        <w:rPr>
          <w:b/>
          <w:bCs/>
        </w:rPr>
        <w:t xml:space="preserve">Che effetto ci si aspetta.</w:t>
      </w:r>
      <w:r>
        <w:t xml:space="preserve"> </w:t>
      </w:r>
      <w:r>
        <w:t xml:space="preserve">Che il sintomo distale compaia più tardi nel movimento, e che occupi meno superficie. Sono le due misure che hanno mostrato il cambiamento più netto in seduta.</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la componente neurodinamica ha il peso maggiore fra quelle su cui la rete dà una stima affidabile (Núñez de Arenas-Arroyo,</w:t>
      </w:r>
      <w:r>
        <w:t xml:space="preserve"> </w:t>
      </w:r>
      <w:r>
        <w:rPr>
          <w:i/>
          <w:iCs/>
        </w:rPr>
        <w:t xml:space="preserve">Clin Rehabil</w:t>
      </w:r>
      <w:r>
        <w:t xml:space="preserve"> </w:t>
      </w:r>
      <w:r>
        <w:t xml:space="preserve">2025, PMID 40776625). E l’effetto immediato è stato misurato contro un comparatore attivo (Coppieters,</w:t>
      </w:r>
      <w:r>
        <w:t xml:space="preserve"> </w:t>
      </w:r>
      <w:r>
        <w:rPr>
          <w:i/>
          <w:iCs/>
        </w:rPr>
        <w:t xml:space="preserve">JOSPT</w:t>
      </w:r>
      <w:r>
        <w:t xml:space="preserve"> </w:t>
      </w:r>
      <w:r>
        <w:t xml:space="preserve">2003, PMID 12918862).</w:t>
      </w:r>
    </w:p>
    <w:p>
      <w:pPr>
        <w:pStyle w:val="FirstParagraph"/>
      </w:pPr>
      <w:r>
        <w:rPr>
          <w:b/>
          <w:bCs/>
        </w:rPr>
        <w:t xml:space="preserve">In quanto tempo, e con quale meccanismo.</w:t>
      </w:r>
      <w:r>
        <w:t xml:space="preserve"> </w:t>
      </w:r>
      <w:r>
        <w:t xml:space="preserve">Anche qui gli orologi sono due. Il guadagno che vedi</w:t>
      </w:r>
      <w:r>
        <w:t xml:space="preserve"> </w:t>
      </w:r>
      <w:r>
        <w:rPr>
          <w:b/>
          <w:bCs/>
        </w:rPr>
        <w:t xml:space="preserve">nella stessa seduta</w:t>
      </w:r>
      <w:r>
        <w:t xml:space="preserve"> </w:t>
      </w:r>
      <w:r>
        <w:t xml:space="preserve">è un calo della meccanosensibilità e della risposta protettiva che limitava l’escursione al test: non è il nervo che ha ricominciato a scorrere. Il ripristino dello scorrimento a un’interfaccia gonfia o aderente è tissutale, e va a</w:t>
      </w:r>
      <w:r>
        <w:t xml:space="preserve"> </w:t>
      </w:r>
      <w:r>
        <w:rPr>
          <w:b/>
          <w:bCs/>
        </w:rPr>
        <w:t xml:space="preserve">giorni o settimane</w:t>
      </w:r>
      <w:r>
        <w:t xml:space="preserve">.</w:t>
      </w:r>
    </w:p>
    <w:bookmarkEnd w:id="63"/>
    <w:bookmarkStart w:id="64" w:name="sul-secondo-restringimento"/>
    <w:p>
      <w:pPr>
        <w:pStyle w:val="Heading3"/>
      </w:pPr>
      <w:r>
        <w:t xml:space="preserve">Sul secondo restringimento</w:t>
      </w:r>
    </w:p>
    <w:p>
      <w:pPr>
        <w:pStyle w:val="FirstParagraph"/>
      </w:pPr>
      <w:r>
        <w:rPr>
          <w:b/>
          <w:bCs/>
        </w:rPr>
        <w:t xml:space="preserve">Su cosa può agire una mano.</w:t>
      </w:r>
      <w:r>
        <w:t xml:space="preserve"> </w:t>
      </w:r>
      <w:r>
        <w:t xml:space="preserve">Sulla prima costa, sugli scaleni, sulla posizione della scapola e sul piccolo pettorale.</w:t>
      </w:r>
    </w:p>
    <w:p>
      <w:pPr>
        <w:pStyle w:val="BodyText"/>
      </w:pPr>
      <w:r>
        <w:rPr>
          <w:b/>
          <w:bCs/>
        </w:rPr>
        <w:t xml:space="preserve">Che effetto ci si aspetta.</w:t>
      </w:r>
      <w:r>
        <w:t xml:space="preserve"> </w:t>
      </w:r>
      <w:r>
        <w:t xml:space="preserve">Che la differenziazione</w:t>
      </w:r>
      <w:r>
        <w:t xml:space="preserve"> </w:t>
      </w:r>
      <w:r>
        <w:rPr>
          <w:b/>
          <w:bCs/>
        </w:rPr>
        <w:t xml:space="preserve">diventi negativa</w:t>
      </w:r>
      <w:r>
        <w:t xml:space="preserve">: il sintomo smette di cambiare quando abbassi la spalla a collo fermo. Che il sintomo</w:t>
      </w:r>
      <w:r>
        <w:t xml:space="preserve"> </w:t>
      </w:r>
      <w:r>
        <w:rPr>
          <w:i/>
          <w:iCs/>
        </w:rPr>
        <w:t xml:space="preserve">cambi</w:t>
      </w:r>
      <w:r>
        <w:t xml:space="preserve"> </w:t>
      </w:r>
      <w:r>
        <w:t xml:space="preserve">con quella manovra è il segno che ti ha fatto identificare il sottotipo, non l’effetto del trattamento. Se lo scrivi come effetto, la leva non è più falsificabile.</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 il razionale è anatomico, e l’idea del doppio restringimento divide gli esperti (Schmid e Coppieters,</w:t>
      </w:r>
      <w:r>
        <w:t xml:space="preserve"> </w:t>
      </w:r>
      <w:r>
        <w:rPr>
          <w:i/>
          <w:iCs/>
        </w:rPr>
        <w:t xml:space="preserve">Man Ther</w:t>
      </w:r>
      <w:r>
        <w:t xml:space="preserve"> </w:t>
      </w:r>
      <w:r>
        <w:t xml:space="preserve">2011, PMID 21646036).</w:t>
      </w:r>
    </w:p>
    <w:p>
      <w:pPr>
        <w:pStyle w:val="FirstParagraph"/>
      </w:pPr>
      <w:r>
        <w:rPr>
          <w:b/>
          <w:bCs/>
        </w:rPr>
        <w:t xml:space="preserve">In quanto tempo si vedrebbe, e con quale meccanismo.</w:t>
      </w:r>
      <w:r>
        <w:t xml:space="preserve"> </w:t>
      </w:r>
      <w:r>
        <w:t xml:space="preserve">Entro due o tre sedute, e passando dal tono muscolare. Non da uno spostamento della posizione ossea, che qui non è mai stato misurato.</w:t>
      </w:r>
    </w:p>
    <w:bookmarkEnd w:id="64"/>
    <w:bookmarkStart w:id="65" w:name="sulla-difesa-che-si-installa"/>
    <w:p>
      <w:pPr>
        <w:pStyle w:val="Heading3"/>
      </w:pPr>
      <w:r>
        <w:t xml:space="preserve">Sulla difesa che si installa</w:t>
      </w:r>
    </w:p>
    <w:p>
      <w:pPr>
        <w:pStyle w:val="FirstParagraph"/>
      </w:pPr>
      <w:r>
        <w:t xml:space="preserve">Qui la leva è una sola sulla carta, ma sono due nei fatti, e portano etichette diverse.</w:t>
      </w:r>
    </w:p>
    <w:p>
      <w:pPr>
        <w:pStyle w:val="BodyText"/>
      </w:pPr>
      <w:r>
        <w:rPr>
          <w:b/>
          <w:bCs/>
        </w:rPr>
        <w:t xml:space="preserve">La prima: educazione, restare attivi, esposizione graduata al movimento che il paziente ha smesso di fare.</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dentro il pacchetto con terapia manuale e scorrimento del nervo ha prodotto benefici clinicamente rilevanti in due settimane su 60 pazienti (Nee,</w:t>
      </w:r>
      <w:r>
        <w:t xml:space="preserve"> </w:t>
      </w:r>
      <w:r>
        <w:rPr>
          <w:i/>
          <w:iCs/>
        </w:rPr>
        <w:t xml:space="preserve">J Physiother</w:t>
      </w:r>
      <w:r>
        <w:t xml:space="preserve"> </w:t>
      </w:r>
      <w:r>
        <w:t xml:space="preserve">2012, PMID 22341379). Mai testata da sola.</w:t>
      </w:r>
    </w:p>
    <w:p>
      <w:pPr>
        <w:pStyle w:val="FirstParagraph"/>
      </w:pPr>
      <w:r>
        <w:rPr>
          <w:b/>
          <w:bCs/>
        </w:rPr>
        <w:t xml:space="preserve">La seconda: la modulazione del livello di attivazione</w:t>
      </w:r>
      <w:r>
        <w:t xml:space="preserve">, attraverso il contatto lento, il ritmo del respiro e il tempo dedicato. Ed è lavoro manuale a tutti gli effetti, mirato altrove.</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 con un dato che va contro di noi: sul collo, contro placebo e in cieco, il contatto ha spostato gli indici autonomici verso l’</w:t>
      </w:r>
      <w:r>
        <w:rPr>
          <w:b/>
          <w:bCs/>
        </w:rPr>
        <w:t xml:space="preserve">attivazione</w:t>
      </w:r>
      <w:r>
        <w:t xml:space="preserve"> </w:t>
      </w:r>
      <w:r>
        <w:t xml:space="preserve">e non verso la calma, insieme all’ipoalgesia (Sterling,</w:t>
      </w:r>
      <w:r>
        <w:t xml:space="preserve"> </w:t>
      </w:r>
      <w:r>
        <w:rPr>
          <w:i/>
          <w:iCs/>
        </w:rPr>
        <w:t xml:space="preserve">Man Ther</w:t>
      </w:r>
      <w:r>
        <w:t xml:space="preserve"> </w:t>
      </w:r>
      <w:r>
        <w:t xml:space="preserve">2001, PMID 11414776).</w:t>
      </w:r>
      <w:r>
        <w:t xml:space="preserve"> </w:t>
      </w:r>
      <w:r>
        <w:rPr>
          <w:b/>
          <w:bCs/>
        </w:rPr>
        <w:t xml:space="preserve">Misurato su dolore cervicale a esordio insidioso.</w:t>
      </w:r>
      <w:r>
        <w:t xml:space="preserve"> </w:t>
      </w:r>
      <w:r>
        <w:t xml:space="preserve">L’ipoalgesia è misurata; il meccanismo di calma no.</w:t>
      </w:r>
    </w:p>
    <w:p>
      <w:pPr>
        <w:pStyle w:val="FirstParagraph"/>
      </w:pPr>
      <w:r>
        <w:rPr>
          <w:b/>
          <w:bCs/>
        </w:rPr>
        <w:t xml:space="preserve">Che effetto ci si aspetta.</w:t>
      </w:r>
      <w:r>
        <w:t xml:space="preserve"> </w:t>
      </w:r>
      <w:r>
        <w:t xml:space="preserve">Non un tessuto più morbido: un paziente che rientra nel movimento, dorme e riprende un gesto per volta.</w:t>
      </w:r>
    </w:p>
    <w:p>
      <w:pPr>
        <w:pStyle w:val="BodyText"/>
      </w:pPr>
      <w:r>
        <w:rPr>
          <w:b/>
          <w:bCs/>
        </w:rPr>
        <w:t xml:space="preserve">In quanto tempo, e su cosa lo guardi.</w:t>
      </w:r>
      <w:r>
        <w:t xml:space="preserve"> </w:t>
      </w:r>
      <w:r>
        <w:t xml:space="preserve">Effetto di stato dentro la seduta, e il marker è la</w:t>
      </w:r>
      <w:r>
        <w:t xml:space="preserve"> </w:t>
      </w:r>
      <w:r>
        <w:rPr>
          <w:b/>
          <w:bCs/>
        </w:rPr>
        <w:t xml:space="preserve">frequenza respiratoria a riposo</w:t>
      </w:r>
      <w:r>
        <w:t xml:space="preserve"> </w:t>
      </w:r>
      <w:r>
        <w:t xml:space="preserve">— l’unica misura che si muove in un paziente in cui le quattro misure meccaniche restano ferme. Lo spostamento della soglia va invece a settimane, e lì il marker è il</w:t>
      </w:r>
      <w:r>
        <w:t xml:space="preserve"> </w:t>
      </w:r>
      <w:r>
        <w:rPr>
          <w:b/>
          <w:bCs/>
        </w:rPr>
        <w:t xml:space="preserve">numero di risvegli notturni</w:t>
      </w:r>
      <w:r>
        <w:t xml:space="preserve">.</w:t>
      </w:r>
    </w:p>
    <w:bookmarkEnd w:id="65"/>
    <w:bookmarkStart w:id="66" w:name="sul-segnale-che-sbaglia-indirizzo"/>
    <w:p>
      <w:pPr>
        <w:pStyle w:val="Heading3"/>
      </w:pPr>
      <w:r>
        <w:t xml:space="preserve">Sul segnale che sbaglia indirizzo</w:t>
      </w:r>
    </w:p>
    <w:p>
      <w:pPr>
        <w:pStyle w:val="FirstParagraph"/>
      </w:pPr>
      <w:r>
        <w:rPr>
          <w:b/>
          <w:bCs/>
        </w:rPr>
        <w:t xml:space="preserve">Su cosa può agire una mano.</w:t>
      </w:r>
      <w:r>
        <w:t xml:space="preserve"> </w:t>
      </w:r>
      <w:r>
        <w:t xml:space="preserve">Sulla struttura cervicale che genera il segnale — faccetta, muscolo profondo, segmento che non si muove — e sulla mobilità attorno.</w:t>
      </w:r>
      <w:r>
        <w:t xml:space="preserve"> </w:t>
      </w:r>
      <w:r>
        <w:rPr>
          <w:b/>
          <w:bCs/>
        </w:rPr>
        <w:t xml:space="preserve">Che effetto ci si aspetta:</w:t>
      </w:r>
      <w:r>
        <w:t xml:space="preserve"> </w:t>
      </w:r>
      <w:r>
        <w:t xml:space="preserve">che l’area del dolore al braccio si riduca quando cambia lo stato di quella struttura, e che il paziente smetta di leggere quel dolore come un nervo schiacciato.</w:t>
      </w:r>
      <w:r>
        <w:t xml:space="preserve"> </w:t>
      </w:r>
      <w:r>
        <w:rPr>
          <w:b/>
          <w:bCs/>
        </w:rPr>
        <w:t xml:space="preserve">In quanto tempo:</w:t>
      </w:r>
      <w:r>
        <w:t xml:space="preserve"> </w:t>
      </w:r>
      <w:r>
        <w:t xml:space="preserve">in fretta, ed è il sottotipo che risponde meglio.</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 la leva è quella della cervicalgia, e le prove che la reggono stanno in quella Bibbia. Qui non c’è nessuno studio su questa presentazione.</w:t>
      </w:r>
    </w:p>
    <w:p>
      <w:pPr>
        <w:pStyle w:val="BlockText"/>
      </w:pPr>
      <w:r>
        <w:rPr>
          <w:b/>
          <w:bCs/>
        </w:rPr>
        <w:t xml:space="preserve">Cosa cambia per te.</w:t>
      </w:r>
      <w:r>
        <w:t xml:space="preserve"> </w:t>
      </w:r>
      <w:r>
        <w:t xml:space="preserve">Gli orologi sono due, e non si sommano mai. Quello che si muove</w:t>
      </w:r>
      <w:r>
        <w:t xml:space="preserve"> </w:t>
      </w:r>
      <w:r>
        <w:rPr>
          <w:b/>
          <w:bCs/>
        </w:rPr>
        <w:t xml:space="preserve">dentro la seduta</w:t>
      </w:r>
      <w:r>
        <w:t xml:space="preserve"> </w:t>
      </w:r>
      <w:r>
        <w:t xml:space="preserve">è la risposta protettiva e la meccanosensibilità: un numero che cambia subito. Quello che cambia il</w:t>
      </w:r>
      <w:r>
        <w:t xml:space="preserve"> </w:t>
      </w:r>
      <w:r>
        <w:rPr>
          <w:b/>
          <w:bCs/>
        </w:rPr>
        <w:t xml:space="preserve">tessuto</w:t>
      </w:r>
      <w:r>
        <w:t xml:space="preserve"> </w:t>
      </w:r>
      <w:r>
        <w:t xml:space="preserve">— lo scorrimento a un’interfaccia gonfia, la distribuzione del movimento fra i segmenti — va a giorni o settimane. Se prometti al paziente il secondo mostrandogli il primo, la promessa scade prima del ciclo.</w:t>
      </w:r>
    </w:p>
    <w:bookmarkEnd w:id="66"/>
    <w:bookmarkStart w:id="67" w:name="X313a9305afc17cefd332a43187892ca69ddea55"/>
    <w:p>
      <w:pPr>
        <w:pStyle w:val="Heading3"/>
      </w:pPr>
      <w:r>
        <w:t xml:space="preserve">Cosa fa l’osteopata che il resto del percorso non fa</w:t>
      </w:r>
    </w:p>
    <w:p>
      <w:pPr>
        <w:pStyle w:val="Compact"/>
        <w:numPr>
          <w:ilvl w:val="0"/>
          <w:numId w:val="1027"/>
        </w:numPr>
      </w:pPr>
      <w:r>
        <w:rPr>
          <w:b/>
          <w:bCs/>
        </w:rPr>
        <w:t xml:space="preserve">Segue tutto il percorso del nervo, non solo l’inizio o la fine.</w:t>
      </w:r>
      <w:r>
        <w:t xml:space="preserve"> </w:t>
      </w:r>
      <w:r>
        <w:t xml:space="preserve">Il collo lo guarda il neurochirurgo, il polso il chirurgo della mano.</w:t>
      </w:r>
    </w:p>
    <w:p>
      <w:pPr>
        <w:pStyle w:val="Compact"/>
        <w:numPr>
          <w:ilvl w:val="0"/>
          <w:numId w:val="1027"/>
        </w:numPr>
      </w:pPr>
      <w:r>
        <w:rPr>
          <w:b/>
          <w:bCs/>
        </w:rPr>
        <w:t xml:space="preserve">Misura il nervo che si muove, non il contenitore fermo.</w:t>
      </w:r>
    </w:p>
    <w:p>
      <w:pPr>
        <w:pStyle w:val="Compact"/>
        <w:numPr>
          <w:ilvl w:val="0"/>
          <w:numId w:val="1027"/>
        </w:numPr>
      </w:pPr>
      <w:r>
        <w:rPr>
          <w:b/>
          <w:bCs/>
        </w:rPr>
        <w:t xml:space="preserve">Dà un numero da riguardare.</w:t>
      </w:r>
      <w:r>
        <w:t xml:space="preserve"> </w:t>
      </w:r>
      <w:r>
        <w:t xml:space="preserve">Quattro marker con soglie dichiarate, prima e dopo.</w:t>
      </w:r>
    </w:p>
    <w:p>
      <w:pPr>
        <w:pStyle w:val="FirstParagraph"/>
      </w:pPr>
      <w:r>
        <w:t xml:space="preserve">Tutto questo lo fanno anche i colleghi fisioterapisti che hanno prodotto gli studi qui citati. La lacuna che riempi è quella del</w:t>
      </w:r>
      <w:r>
        <w:t xml:space="preserve"> </w:t>
      </w:r>
      <w:r>
        <w:rPr>
          <w:b/>
          <w:bCs/>
        </w:rPr>
        <w:t xml:space="preserve">percorso reale di questo paziente</w:t>
      </w:r>
      <w:r>
        <w:t xml:space="preserve">, non un’esclusiva di professione.</w:t>
      </w:r>
    </w:p>
    <w:p>
      <w:pPr>
        <w:pStyle w:val="BodyText"/>
      </w:pPr>
      <w:r>
        <w:rPr>
          <w:b/>
          <w:bCs/>
        </w:rPr>
        <w:t xml:space="preserve">Il come si fa non è qui: sta nella Procedura di Cervicobrachialgia — due pagine, tecniche, dosi, piano delle sedute.</w:t>
      </w:r>
    </w:p>
    <w:p>
      <w:pPr>
        <w:pStyle w:val="BodyText"/>
      </w:pPr>
      <w:r>
        <w:rPr>
          <w:b/>
          <w:bCs/>
        </w:rPr>
        <w:t xml:space="preserve">Le tre cose da ricordare, più una</w:t>
      </w:r>
    </w:p>
    <w:p>
      <w:pPr>
        <w:pStyle w:val="Compact"/>
        <w:numPr>
          <w:ilvl w:val="0"/>
          <w:numId w:val="1028"/>
        </w:numPr>
      </w:pPr>
      <w:r>
        <w:t xml:space="preserve">Le mani non decomprimono niente: cambiano quanto il nervo viene disturbato lungo la strada.</w:t>
      </w:r>
    </w:p>
    <w:p>
      <w:pPr>
        <w:pStyle w:val="Compact"/>
        <w:numPr>
          <w:ilvl w:val="0"/>
          <w:numId w:val="1028"/>
        </w:numPr>
      </w:pPr>
      <w:r>
        <w:t xml:space="preserve">Quello che cambia in seduta è la meccanosensibilità, non il tessuto: il tessuto va a settimane, e non confonderli è metà dell’onestà di questo capitolo.</w:t>
      </w:r>
    </w:p>
    <w:p>
      <w:pPr>
        <w:pStyle w:val="Compact"/>
        <w:numPr>
          <w:ilvl w:val="0"/>
          <w:numId w:val="1028"/>
        </w:numPr>
      </w:pPr>
      <w:r>
        <w:t xml:space="preserve">Sul paziente in allarme le leve sono due, con due etichette: l’educazione con l’esposizione graduata regge PROBABILE, la modulazione dell’attivazione resta IPOTESI.</w:t>
      </w:r>
    </w:p>
    <w:p>
      <w:pPr>
        <w:pStyle w:val="Compact"/>
        <w:numPr>
          <w:ilvl w:val="0"/>
          <w:numId w:val="1028"/>
        </w:numPr>
      </w:pPr>
      <w:r>
        <w:rPr>
          <w:b/>
          <w:bCs/>
        </w:rPr>
        <w:t xml:space="preserve">Perché ci sei tu.</w:t>
      </w:r>
      <w:r>
        <w:t xml:space="preserve"> </w:t>
      </w:r>
      <w:r>
        <w:t xml:space="preserve">Una singola tecnica di scivolamento laterale cervicale ha portato l’estensione del gomito al test da 137 a 157 gradi e ha ridotto del 43% l’area del sintomo. Nel gruppo trattato con ultrasuoni non è cambiato niente (Coppieters,</w:t>
      </w:r>
      <w:r>
        <w:t xml:space="preserve"> </w:t>
      </w:r>
      <w:r>
        <w:rPr>
          <w:i/>
          <w:iCs/>
        </w:rPr>
        <w:t xml:space="preserve">JOSPT</w:t>
      </w:r>
      <w:r>
        <w:t xml:space="preserve"> </w:t>
      </w:r>
      <w:r>
        <w:t xml:space="preserve">2003, PMID 12918862).</w:t>
      </w:r>
      <w:r>
        <w:t xml:space="preserve"> </w:t>
      </w:r>
      <w:r>
        <w:rPr>
          <w:b/>
          <w:bCs/>
        </w:rPr>
        <w:t xml:space="preserve">Per te:</w:t>
      </w:r>
      <w:r>
        <w:t xml:space="preserve"> </w:t>
      </w:r>
      <w:r>
        <w:t xml:space="preserve">hai un effetto immediato, misurabile e confrontato con un trattamento attivo. Questo ti autorizza a verificare in seduta se la tua ipotesi regge. Non ti autorizza a chiamare quel cambiamento un esito: è un effetto immediato su un test, misurato su venti pazienti.</w:t>
      </w:r>
    </w:p>
    <w:p>
      <w:r>
        <w:pict>
          <v:rect style="width:0;height:1.5pt" o:hralign="center" o:hrstd="t" o:hr="t"/>
        </w:pict>
      </w:r>
    </w:p>
    <w:bookmarkEnd w:id="67"/>
    <w:bookmarkEnd w:id="68"/>
    <w:bookmarkStart w:id="73" w:name="X136fc797340a8505b3f1ef11420398b4b0fe2f0"/>
    <w:p>
      <w:pPr>
        <w:pStyle w:val="Heading2"/>
      </w:pPr>
      <w:r>
        <w:t xml:space="preserve">Capitolo 12 — Cosa può fare il paziente da solo</w:t>
      </w:r>
    </w:p>
    <w:p>
      <w:pPr>
        <w:pStyle w:val="BlockText"/>
      </w:pPr>
      <w:r>
        <w:rPr>
          <w:b/>
          <w:bCs/>
        </w:rPr>
        <w:t xml:space="preserve">In una riga:</w:t>
      </w:r>
      <w:r>
        <w:t xml:space="preserve"> </w:t>
      </w:r>
      <w:r>
        <w:t xml:space="preserve">su questa condizione la parte attiva non è un complemento del trattamento — sta dentro la combinazione che ha la confidenza più alta di tutta la letteratura.</w:t>
      </w:r>
    </w:p>
    <w:bookmarkStart w:id="69" w:name="cosa-sono-gli-strumenti"/>
    <w:p>
      <w:pPr>
        <w:pStyle w:val="Heading3"/>
      </w:pPr>
      <w:r>
        <w:t xml:space="preserve">Cosa sono gli strumenti</w:t>
      </w:r>
    </w:p>
    <w:p>
      <w:pPr>
        <w:pStyle w:val="FirstParagraph"/>
      </w:pPr>
      <w:r>
        <w:t xml:space="preserve">Tre cose, in ordine di peso,</w:t>
      </w:r>
      <w:r>
        <w:t xml:space="preserve"> </w:t>
      </w:r>
      <w:r>
        <w:rPr>
          <w:b/>
          <w:bCs/>
        </w:rPr>
        <w:t xml:space="preserve">e con tre gradi di solidità diversi</w:t>
      </w:r>
      <w:r>
        <w:t xml:space="preserve">. Metterle sotto la stessa etichetta è il modo più facile per far cadere il capitolo con le prove migliori del documento.</w:t>
      </w:r>
    </w:p>
    <w:p>
      <w:pPr>
        <w:pStyle w:val="Compact"/>
        <w:numPr>
          <w:ilvl w:val="0"/>
          <w:numId w:val="1029"/>
        </w:numPr>
      </w:pPr>
      <w:r>
        <w:t xml:space="preserve">Le</w:t>
      </w:r>
      <w:r>
        <w:t xml:space="preserve"> </w:t>
      </w:r>
      <w:r>
        <w:rPr>
          <w:b/>
          <w:bCs/>
        </w:rPr>
        <w:t xml:space="preserve">tecniche di scorrimento del nervo</w:t>
      </w:r>
      <w:r>
        <w:t xml:space="preserve"> </w:t>
      </w:r>
      <w:r>
        <w:t xml:space="preserve">eseguite dal paziente.</w:t>
      </w:r>
    </w:p>
    <w:p>
      <w:pPr>
        <w:pStyle w:val="Compact"/>
        <w:numPr>
          <w:ilvl w:val="0"/>
          <w:numId w:val="1029"/>
        </w:numPr>
      </w:pPr>
      <w:r>
        <w:t xml:space="preserve">L’</w:t>
      </w:r>
      <w:r>
        <w:rPr>
          <w:b/>
          <w:bCs/>
        </w:rPr>
        <w:t xml:space="preserve">educazione</w:t>
      </w:r>
      <w:r>
        <w:t xml:space="preserve"> </w:t>
      </w:r>
      <w:r>
        <w:t xml:space="preserve">con il consiglio di restare attivi — la parte che nessuno consegna — e la</w:t>
      </w:r>
      <w:r>
        <w:t xml:space="preserve"> </w:t>
      </w:r>
      <w:r>
        <w:rPr>
          <w:b/>
          <w:bCs/>
        </w:rPr>
        <w:t xml:space="preserve">gestione delle posizioni</w:t>
      </w:r>
      <w:r>
        <w:t xml:space="preserve">, notturna e di lavoro.</w:t>
      </w:r>
    </w:p>
    <w:p>
      <w:pPr>
        <w:pStyle w:val="Compact"/>
        <w:numPr>
          <w:ilvl w:val="0"/>
          <w:numId w:val="1029"/>
        </w:numPr>
      </w:pPr>
      <w:r>
        <w:t xml:space="preserve">L’</w:t>
      </w:r>
      <w:r>
        <w:rPr>
          <w:b/>
          <w:bCs/>
        </w:rPr>
        <w:t xml:space="preserve">esercizio di rinforzo</w:t>
      </w:r>
      <w:r>
        <w:t xml:space="preserve"> </w:t>
      </w:r>
      <w:r>
        <w:t xml:space="preserve">del collo e del cingolo scapolare.</w:t>
      </w:r>
    </w:p>
    <w:bookmarkEnd w:id="69"/>
    <w:bookmarkStart w:id="70" w:name="su-quale-meccanismo-agiscono"/>
    <w:p>
      <w:pPr>
        <w:pStyle w:val="Heading3"/>
      </w:pPr>
      <w:r>
        <w:t xml:space="preserve">Su quale meccanismo agiscono</w:t>
      </w:r>
    </w:p>
    <w:p>
      <w:pPr>
        <w:pStyle w:val="FirstParagraph"/>
      </w:pPr>
      <w:r>
        <w:t xml:space="preserve">Lo scorrimento agisce sul terzo meccanismo,</w:t>
      </w:r>
      <w:r>
        <w:t xml:space="preserve"> </w:t>
      </w:r>
      <w:r>
        <w:rPr>
          <w:b/>
          <w:bCs/>
        </w:rPr>
        <w:t xml:space="preserve">il nervo che non scorre più</w:t>
      </w:r>
      <w:r>
        <w:t xml:space="preserve">: è la stessa leva della mano, applicata più volte al giorno invece che una volta a settimana. L’educazione agisce sul quinto,</w:t>
      </w:r>
      <w:r>
        <w:t xml:space="preserve"> </w:t>
      </w:r>
      <w:r>
        <w:rPr>
          <w:b/>
          <w:bCs/>
        </w:rPr>
        <w:t xml:space="preserve">la difesa che si installa</w:t>
      </w:r>
      <w:r>
        <w:t xml:space="preserve">, togliendo al referto il peso di sentenza; la parte posizionale tocca il primo. Il rinforzo è collegato al primo perché cambierebbe la distribuzione del carico fra collo, scapola e torace: aggancio asserito, non misurato.</w:t>
      </w:r>
    </w:p>
    <w:bookmarkEnd w:id="70"/>
    <w:bookmarkStart w:id="71" w:name="cosa-hanno-misurato-gli-studi"/>
    <w:p>
      <w:pPr>
        <w:pStyle w:val="Heading3"/>
      </w:pPr>
      <w:r>
        <w:t xml:space="preserve">Cosa hanno misurato gli studi</w:t>
      </w:r>
    </w:p>
    <w:p>
      <w:pPr>
        <w:pStyle w:val="FirstParagraph"/>
      </w:pPr>
      <w:r>
        <w:rPr>
          <w:b/>
          <w:bCs/>
        </w:rPr>
        <w:t xml:space="preserve">Lo scorrimento.</w:t>
      </w:r>
      <w:r>
        <w:t xml:space="preserve"> </w:t>
      </w:r>
      <w:r>
        <w:t xml:space="preserve">Fra le componenti su cui la rete dà una stima affidabile, le</w:t>
      </w:r>
      <w:r>
        <w:t xml:space="preserve"> </w:t>
      </w:r>
      <w:r>
        <w:rPr>
          <w:b/>
          <w:bCs/>
        </w:rPr>
        <w:t xml:space="preserve">tecniche neurodinamiche</w:t>
      </w:r>
      <w:r>
        <w:t xml:space="preserve"> </w:t>
      </w:r>
      <w:r>
        <w:t xml:space="preserve">hanno l’effetto più grande (SMD −1,45, IC 95% da −1,88 a −1,02).</w:t>
      </w:r>
      <w:r>
        <w:t xml:space="preserve"> </w:t>
      </w:r>
      <w:r>
        <w:rPr>
          <w:b/>
          <w:bCs/>
        </w:rPr>
        <w:t xml:space="preserve">Mai testato da solo, e misurato come componente erogata dentro un trattamento, non come esercizio del paziente.</w:t>
      </w:r>
      <w:r>
        <w:t xml:space="preserve"> </w:t>
      </w:r>
      <w:r>
        <w:t xml:space="preserve">La combinazione con la confidenza più alta comprende articolare,</w:t>
      </w:r>
      <w:r>
        <w:t xml:space="preserve"> </w:t>
      </w:r>
      <w:r>
        <w:rPr>
          <w:b/>
          <w:bCs/>
        </w:rPr>
        <w:t xml:space="preserve">elettroterapia analgesica</w:t>
      </w:r>
      <w:r>
        <w:t xml:space="preserve">, neurodinamica, rinforzo e trazione: uno di quei pezzi non è nostro (Núñez de Arenas-Arroyo,</w:t>
      </w:r>
      <w:r>
        <w:t xml:space="preserve"> </w:t>
      </w:r>
      <w:r>
        <w:rPr>
          <w:i/>
          <w:iCs/>
        </w:rPr>
        <w:t xml:space="preserve">Clin Rehabil</w:t>
      </w:r>
      <w:r>
        <w:t xml:space="preserve"> </w:t>
      </w:r>
      <w:r>
        <w:t xml:space="preserve">2025, PMID 40776625).</w:t>
      </w:r>
    </w:p>
    <w:p>
      <w:pPr>
        <w:pStyle w:val="BodyText"/>
      </w:pPr>
      <w:r>
        <w:rPr>
          <w:b/>
          <w:bCs/>
        </w:rPr>
        <w:t xml:space="preserve">Il pacchetto.</w:t>
      </w:r>
      <w:r>
        <w:t xml:space="preserve"> </w:t>
      </w:r>
      <w:r>
        <w:t xml:space="preserve">60 pazienti hanno ricevuto educazione, terapia manuale ed esercizi di scorrimento in</w:t>
      </w:r>
      <w:r>
        <w:t xml:space="preserve"> </w:t>
      </w:r>
      <w:r>
        <w:rPr>
          <w:b/>
          <w:bCs/>
        </w:rPr>
        <w:t xml:space="preserve">quattro trattamenti in due settimane</w:t>
      </w:r>
      <w:r>
        <w:t xml:space="preserve">. Il numero di pazienti da trattare per un miglioramento globale in più è stato</w:t>
      </w:r>
      <w:r>
        <w:t xml:space="preserve"> </w:t>
      </w:r>
      <w:r>
        <w:rPr>
          <w:b/>
          <w:bCs/>
        </w:rPr>
        <w:t xml:space="preserve">2,7</w:t>
      </w:r>
      <w:r>
        <w:t xml:space="preserve">; 3,6 per il dolore al braccio, 4,3 per la disabilità. Il peggioramento è stato riferito dal 13% dei trattati e dal 20% dei controlli.</w:t>
      </w:r>
      <w:r>
        <w:t xml:space="preserve"> </w:t>
      </w:r>
      <w:r>
        <w:rPr>
          <w:b/>
          <w:bCs/>
        </w:rPr>
        <w:t xml:space="preserve">La differenza non è risultata significativa</w:t>
      </w:r>
      <w:r>
        <w:t xml:space="preserve"> </w:t>
      </w:r>
      <w:r>
        <w:t xml:space="preserve">(RD −7%, IC 95% da −28 a 13) (Nee,</w:t>
      </w:r>
      <w:r>
        <w:t xml:space="preserve"> </w:t>
      </w:r>
      <w:r>
        <w:rPr>
          <w:i/>
          <w:iCs/>
        </w:rPr>
        <w:t xml:space="preserve">J Physiother</w:t>
      </w:r>
      <w:r>
        <w:t xml:space="preserve"> </w:t>
      </w:r>
      <w:r>
        <w:t xml:space="preserve">2012, PMID 22341379).</w:t>
      </w:r>
    </w:p>
    <w:p>
      <w:pPr>
        <w:pStyle w:val="BodyText"/>
      </w:pPr>
      <w:r>
        <w:rPr>
          <w:b/>
          <w:bCs/>
        </w:rPr>
        <w:t xml:space="preserve">Il rinforzo.</w:t>
      </w:r>
      <w:r>
        <w:t xml:space="preserve"> </w:t>
      </w:r>
      <w:r>
        <w:t xml:space="preserve">Qui il dato va in direzione opposta, e va scritto. Il più grande randomizzato sul rinforzo in questa condizione ha confrontato un training specifico per il collo con attività fisica prescritta, su 144 pazienti, con controlli fino a 24 mesi.</w:t>
      </w:r>
      <w:r>
        <w:t xml:space="preserve"> </w:t>
      </w:r>
      <w:r>
        <w:rPr>
          <w:b/>
          <w:bCs/>
        </w:rPr>
        <w:t xml:space="preserve">Non c’è stata nessuna differenza significativa fra i gruppi:</w:t>
      </w:r>
      <w:r>
        <w:t xml:space="preserve"> </w:t>
      </w:r>
      <w:r>
        <w:t xml:space="preserve">entrambi sono migliorati (Dedering,</w:t>
      </w:r>
      <w:r>
        <w:t xml:space="preserve"> </w:t>
      </w:r>
      <w:r>
        <w:rPr>
          <w:i/>
          <w:iCs/>
        </w:rPr>
        <w:t xml:space="preserve">Arch Phys Med Rehabil</w:t>
      </w:r>
      <w:r>
        <w:t xml:space="preserve"> </w:t>
      </w:r>
      <w:r>
        <w:t xml:space="preserve">2018, PMID 30473018; coerente Halvorsen,</w:t>
      </w:r>
      <w:r>
        <w:t xml:space="preserve"> </w:t>
      </w:r>
      <w:r>
        <w:rPr>
          <w:i/>
          <w:iCs/>
        </w:rPr>
        <w:t xml:space="preserve">J Rehabil Med</w:t>
      </w:r>
      <w:r>
        <w:t xml:space="preserve"> </w:t>
      </w:r>
      <w:r>
        <w:t xml:space="preserve">2016, PMID 27494094). E il rinforzo</w:t>
      </w:r>
      <w:r>
        <w:t xml:space="preserve"> </w:t>
      </w:r>
      <w:r>
        <w:rPr>
          <w:b/>
          <w:bCs/>
        </w:rPr>
        <w:t xml:space="preserve">non compare fra le componenti con effetto isolato significativo</w:t>
      </w:r>
      <w:r>
        <w:t xml:space="preserve">.</w:t>
      </w:r>
    </w:p>
    <w:p>
      <w:pPr>
        <w:pStyle w:val="BodyText"/>
      </w:pPr>
      <w:r>
        <w:rPr>
          <w:b/>
          <w:bCs/>
        </w:rPr>
        <w:t xml:space="preserve">E la metà scomoda dello studio olandese.</w:t>
      </w:r>
      <w:r>
        <w:t xml:space="preserve"> </w:t>
      </w:r>
      <w:r>
        <w:rPr>
          <w:b/>
          <w:bCs/>
        </w:rPr>
        <w:t xml:space="preserve">Dodici sedute di fisioterapia in sei settimane con esercizi a casa</w:t>
      </w:r>
      <w:r>
        <w:t xml:space="preserve"> </w:t>
      </w:r>
      <w:r>
        <w:t xml:space="preserve">hanno guadagnato circa 12 millimetri su cento sul dolore al braccio rispetto al non fare niente. Ma il</w:t>
      </w:r>
      <w:r>
        <w:t xml:space="preserve"> </w:t>
      </w:r>
      <w:r>
        <w:rPr>
          <w:b/>
          <w:bCs/>
        </w:rPr>
        <w:t xml:space="preserve">collare semirigido con riposo per tre-sei settimane ha ottenuto lo stesso guadagno sul braccio</w:t>
      </w:r>
      <w:r>
        <w:t xml:space="preserve">, e sulla disabilità un effetto significativo che la fisioterapia non ha raggiunto (Kuijper,</w:t>
      </w:r>
      <w:r>
        <w:t xml:space="preserve"> </w:t>
      </w:r>
      <w:r>
        <w:rPr>
          <w:i/>
          <w:iCs/>
        </w:rPr>
        <w:t xml:space="preserve">BMJ</w:t>
      </w:r>
      <w:r>
        <w:t xml:space="preserve"> </w:t>
      </w:r>
      <w:r>
        <w:t xml:space="preserve">2009, PMID 19812130).</w:t>
      </w:r>
      <w:r>
        <w:t xml:space="preserve"> </w:t>
      </w:r>
      <w:r>
        <w:rPr>
          <w:b/>
          <w:bCs/>
        </w:rPr>
        <w:t xml:space="preserve">Nella fase precoce non abbiamo un dato che ci metta davanti al riposo.</w:t>
      </w:r>
    </w:p>
    <w:p>
      <w:pPr>
        <w:pStyle w:val="BlockText"/>
      </w:pPr>
      <w:r>
        <w:rPr>
          <w:b/>
          <w:bCs/>
        </w:rPr>
        <w:t xml:space="preserve">Quanto è solido:</w:t>
      </w:r>
      <w:r>
        <w:t xml:space="preserve"> </w:t>
      </w:r>
      <w:r>
        <w:t xml:space="preserve">le etichette si separano.</w:t>
      </w:r>
      <w:r>
        <w:t xml:space="preserve"> </w:t>
      </w:r>
      <w:r>
        <w:rPr>
          <w:b/>
          <w:bCs/>
        </w:rPr>
        <w:t xml:space="preserve">Scorrimento: PROBABILE</w:t>
      </w:r>
      <w:r>
        <w:t xml:space="preserve"> </w:t>
      </w:r>
      <w:r>
        <w:rPr>
          <w:i/>
          <w:iCs/>
        </w:rPr>
        <w:t xml:space="preserve">(razionale forte, prove parziali)</w:t>
      </w:r>
      <w:r>
        <w:t xml:space="preserve"> </w:t>
      </w:r>
      <w:r>
        <w:t xml:space="preserve">— componente con l’effetto più grande fra quelle stimabili, e un pacchetto randomizzato su 60 pazienti. Mai testato da solo.</w:t>
      </w:r>
      <w:r>
        <w:t xml:space="preserve"> </w:t>
      </w:r>
      <w:r>
        <w:rPr>
          <w:b/>
          <w:bCs/>
        </w:rPr>
        <w:t xml:space="preserve">Educazione e restare attivi: PROBABILE</w:t>
      </w:r>
      <w:r>
        <w:t xml:space="preserve"> </w:t>
      </w:r>
      <w:r>
        <w:rPr>
          <w:i/>
          <w:iCs/>
        </w:rPr>
        <w:t xml:space="preserve">(razionale forte, prove parziali)</w:t>
      </w:r>
      <w:r>
        <w:t xml:space="preserve"> </w:t>
      </w:r>
      <w:r>
        <w:t xml:space="preserve">— dentro lo stesso pacchetto, mai isolata. La parte posizionale scende a</w:t>
      </w:r>
      <w:r>
        <w:t xml:space="preserve"> </w:t>
      </w:r>
      <w:r>
        <w:rPr>
          <w:b/>
          <w:bCs/>
        </w:rPr>
        <w:t xml:space="preserve">IPOTESI</w:t>
      </w:r>
      <w:r>
        <w:t xml:space="preserve"> </w:t>
      </w:r>
      <w:r>
        <w:rPr>
          <w:i/>
          <w:iCs/>
        </w:rPr>
        <w:t xml:space="preserve">(meccanismo coerente, nessuno studio)</w:t>
      </w:r>
      <w:r>
        <w:t xml:space="preserve">: la geometria che la sostiene è misurata, l’applicazione no.</w:t>
      </w:r>
      <w:r>
        <w:t xml:space="preserve"> </w:t>
      </w:r>
      <w:r>
        <w:rPr>
          <w:b/>
          <w:bCs/>
        </w:rPr>
        <w:t xml:space="preserve">Rinforzo: IPOTESI</w:t>
      </w:r>
      <w:r>
        <w:t xml:space="preserve"> </w:t>
      </w:r>
      <w:r>
        <w:rPr>
          <w:i/>
          <w:iCs/>
        </w:rPr>
        <w:t xml:space="preserve">(meccanismo coerente, nessuno studio)</w:t>
      </w:r>
      <w:r>
        <w:t xml:space="preserve"> </w:t>
      </w:r>
      <w:r>
        <w:t xml:space="preserve">— fa migliorare, ma non più di un’attività fisica generica prescritta.</w:t>
      </w:r>
    </w:p>
    <w:bookmarkEnd w:id="71"/>
    <w:bookmarkStart w:id="72" w:name="cosa-non-fa-e-chi-smette"/>
    <w:p>
      <w:pPr>
        <w:pStyle w:val="Heading3"/>
      </w:pPr>
      <w:r>
        <w:t xml:space="preserve">Cosa non fa, e chi smette</w:t>
      </w:r>
    </w:p>
    <w:p>
      <w:pPr>
        <w:pStyle w:val="FirstParagraph"/>
      </w:pPr>
      <w:r>
        <w:t xml:space="preserve">Non modifica l’immagine. Non accorcia i due-tre anni del recupero completo nella coda dei casi. Non sostituisce il monitoraggio della forza. E non è indifferente alla direzione. Scorrimento e tensione producono effetti meccanici molto diversi sullo stesso nervo, misurati sul cadavere e poi nel vivente: 10,2 millimetri di escursione contro 1,8 al braccio con l’ecografia (Coppieters,</w:t>
      </w:r>
      <w:r>
        <w:t xml:space="preserve"> </w:t>
      </w:r>
      <w:r>
        <w:rPr>
          <w:i/>
          <w:iCs/>
        </w:rPr>
        <w:t xml:space="preserve">JOSPT</w:t>
      </w:r>
      <w:r>
        <w:t xml:space="preserve"> </w:t>
      </w:r>
      <w:r>
        <w:t xml:space="preserve">2009, PMID 19252262; i numeri al polso stanno in «Cosa si rompe»). Su un nervo irritabile la differenza conta.</w:t>
      </w:r>
    </w:p>
    <w:p>
      <w:pPr>
        <w:pStyle w:val="BodyText"/>
      </w:pPr>
      <w:r>
        <w:rPr>
          <w:b/>
          <w:bCs/>
        </w:rPr>
        <w:t xml:space="preserve">Cosa succede quando il paziente smette</w:t>
      </w:r>
      <w:r>
        <w:t xml:space="preserve"> </w:t>
      </w:r>
      <w:r>
        <w:t xml:space="preserve">non è stato misurato qui. Quello che è documentato è che le recidive riguardano circa un paziente su tre nel lungo periodo (Radhakrishnan,</w:t>
      </w:r>
      <w:r>
        <w:t xml:space="preserve"> </w:t>
      </w:r>
      <w:r>
        <w:rPr>
          <w:i/>
          <w:iCs/>
        </w:rPr>
        <w:t xml:space="preserve">Brain</w:t>
      </w:r>
      <w:r>
        <w:t xml:space="preserve"> </w:t>
      </w:r>
      <w:r>
        <w:t xml:space="preserve">1994, PMID 8186959).</w:t>
      </w:r>
      <w:r>
        <w:t xml:space="preserve"> </w:t>
      </w:r>
      <w:r>
        <w:rPr>
          <w:b/>
          <w:bCs/>
        </w:rPr>
        <w:t xml:space="preserve">Ma prima chiediti chi smette.</w:t>
      </w:r>
      <w:r>
        <w:t xml:space="preserve"> </w:t>
      </w:r>
      <w:r>
        <w:t xml:space="preserve">In una revisione di venti studi di alta qualità, la scarsa aderenza è associata in modo forte a quattro cose: il</w:t>
      </w:r>
      <w:r>
        <w:t xml:space="preserve"> </w:t>
      </w:r>
      <w:r>
        <w:rPr>
          <w:b/>
          <w:bCs/>
        </w:rPr>
        <w:t xml:space="preserve">dolore evocato durante l’esercizio</w:t>
      </w:r>
      <w:r>
        <w:t xml:space="preserve">, la bassa autoefficacia, la depressione e l’ansia (Jack,</w:t>
      </w:r>
      <w:r>
        <w:t xml:space="preserve"> </w:t>
      </w:r>
      <w:r>
        <w:rPr>
          <w:i/>
          <w:iCs/>
        </w:rPr>
        <w:t xml:space="preserve">Man Ther</w:t>
      </w:r>
      <w:r>
        <w:t xml:space="preserve"> </w:t>
      </w:r>
      <w:r>
        <w:t xml:space="preserve">2010, PMID 20163979).</w:t>
      </w:r>
      <w:r>
        <w:t xml:space="preserve"> </w:t>
      </w:r>
      <w:r>
        <w:rPr>
          <w:b/>
          <w:bCs/>
        </w:rPr>
        <w:t xml:space="preserve">Misurato su pazienti ambulatoriali di fisioterapia in generale, non su cervicobrachialgia.</w:t>
      </w:r>
      <w:r>
        <w:t xml:space="preserve"> </w:t>
      </w:r>
      <w:r>
        <w:t xml:space="preserve">È il profilo esatto del chimico irritativo e del sensibilizzato, cioè dei pazienti a cui stai consegnando lo strumento.</w:t>
      </w:r>
      <w:r>
        <w:t xml:space="preserve"> </w:t>
      </w:r>
      <w:r>
        <w:rPr>
          <w:b/>
          <w:bCs/>
        </w:rPr>
        <w:t xml:space="preserve">Chi sente male mentre lo fa è chi smetterà, e va saputo prima, non scoperto al controllo.</w:t>
      </w:r>
    </w:p>
    <w:p>
      <w:pPr>
        <w:pStyle w:val="BlockText"/>
      </w:pPr>
      <w:r>
        <w:rPr>
          <w:b/>
          <w:bCs/>
        </w:rPr>
        <w:t xml:space="preserve">Attenzione — cosa il paziente deve saper riconoscere da solo.</w:t>
      </w:r>
      <w:r>
        <w:t xml:space="preserve"> </w:t>
      </w:r>
      <w:r>
        <w:t xml:space="preserve">Fra una seduta e l’altra è solo, e sta caricando un nervo. Quattro segnali: forza che cala di settimana in settimana; formicolio che compare all’altra mano o alle gambe; mani goffe o andatura insicura; cefalea o dolore al collo improvvisi e diversi da ogni altro.</w:t>
      </w:r>
      <w:r>
        <w:t xml:space="preserve"> </w:t>
      </w:r>
      <w:r>
        <w:rPr>
          <w:b/>
          <w:bCs/>
        </w:rPr>
        <w:t xml:space="preserve">Le prime tre: si ferma e ci si sente. L’ultima: 112.</w:t>
      </w:r>
      <w:r>
        <w:t xml:space="preserve"> </w:t>
      </w:r>
      <w:r>
        <w:t xml:space="preserve">E quando il quadro torna al triage, ci torna anche il lavoro che fa a casa.</w:t>
      </w:r>
    </w:p>
    <w:p>
      <w:pPr>
        <w:pStyle w:val="FirstParagraph"/>
      </w:pPr>
      <w:r>
        <w:rPr>
          <w:b/>
          <w:bCs/>
        </w:rPr>
        <w:t xml:space="preserve">Come e quando consegnarli al tuo paziente sta nella Procedura.</w:t>
      </w:r>
    </w:p>
    <w:p>
      <w:pPr>
        <w:pStyle w:val="BodyText"/>
      </w:pPr>
      <w:r>
        <w:rPr>
          <w:b/>
          <w:bCs/>
        </w:rPr>
        <w:t xml:space="preserve">Le tre cose da ricordare, più una</w:t>
      </w:r>
    </w:p>
    <w:p>
      <w:pPr>
        <w:pStyle w:val="Compact"/>
        <w:numPr>
          <w:ilvl w:val="0"/>
          <w:numId w:val="1030"/>
        </w:numPr>
      </w:pPr>
      <w:r>
        <w:t xml:space="preserve">La parte attiva non è un complemento: sta dentro la combinazione con la confidenza più alta — che però comprende anche un pezzo che noi non eroghiamo.</w:t>
      </w:r>
    </w:p>
    <w:p>
      <w:pPr>
        <w:pStyle w:val="Compact"/>
        <w:numPr>
          <w:ilvl w:val="0"/>
          <w:numId w:val="1030"/>
        </w:numPr>
      </w:pPr>
      <w:r>
        <w:t xml:space="preserve">Scorrimento e tensione non sono la stessa cosa, e su un nervo irritabile la differenza è misurata.</w:t>
      </w:r>
    </w:p>
    <w:p>
      <w:pPr>
        <w:pStyle w:val="Compact"/>
        <w:numPr>
          <w:ilvl w:val="0"/>
          <w:numId w:val="1030"/>
        </w:numPr>
      </w:pPr>
      <w:r>
        <w:t xml:space="preserve">I tre strumenti non hanno la stessa forza: lo scorrimento regge, il rinforzo no — e il più grande studio sul rinforzo è negativo fra gruppi.</w:t>
      </w:r>
    </w:p>
    <w:p>
      <w:pPr>
        <w:pStyle w:val="Compact"/>
        <w:numPr>
          <w:ilvl w:val="0"/>
          <w:numId w:val="1030"/>
        </w:numPr>
      </w:pPr>
      <w:r>
        <w:rPr>
          <w:b/>
          <w:bCs/>
        </w:rPr>
        <w:t xml:space="preserve">Perché ci sei tu.</w:t>
      </w:r>
      <w:r>
        <w:t xml:space="preserve"> </w:t>
      </w:r>
      <w:r>
        <w:t xml:space="preserve">Nel pacchetto che comprende educazione, terapia manuale e scorrimento del nervo, il numero di pazienti da trattare per ottenere un miglioramento globale in più è stato</w:t>
      </w:r>
      <w:r>
        <w:t xml:space="preserve"> </w:t>
      </w:r>
      <w:r>
        <w:rPr>
          <w:b/>
          <w:bCs/>
        </w:rPr>
        <w:t xml:space="preserve">2,7</w:t>
      </w:r>
      <w:r>
        <w:t xml:space="preserve">. Il peggioramento è stato riferito dal 13% dei trattati contro il 20% dei controlli, con differenza non significativa (Nee,</w:t>
      </w:r>
      <w:r>
        <w:t xml:space="preserve"> </w:t>
      </w:r>
      <w:r>
        <w:rPr>
          <w:i/>
          <w:iCs/>
        </w:rPr>
        <w:t xml:space="preserve">J Physiother</w:t>
      </w:r>
      <w:r>
        <w:t xml:space="preserve"> </w:t>
      </w:r>
      <w:r>
        <w:t xml:space="preserve">2012, PMID 22341379).</w:t>
      </w:r>
      <w:r>
        <w:t xml:space="preserve"> </w:t>
      </w:r>
      <w:r>
        <w:rPr>
          <w:b/>
          <w:bCs/>
        </w:rPr>
        <w:t xml:space="preserve">Per te:</w:t>
      </w:r>
      <w:r>
        <w:t xml:space="preserve"> </w:t>
      </w:r>
      <w:r>
        <w:t xml:space="preserve">questa è la leva che insegni, ed è quella che il paziente porta a casa. Questo ti autorizza a mettere la parte attiva al centro e non in fondo. Non ti autorizza a presentarla come provata da sola — nello studio non era mai da sola — né a dire che riduce il rischio di peggiorare: quella differenza non è risultata significativa.</w:t>
      </w:r>
    </w:p>
    <w:p>
      <w:r>
        <w:pict>
          <v:rect style="width:0;height:1.5pt" o:hralign="center" o:hrstd="t" o:hr="t"/>
        </w:pict>
      </w:r>
    </w:p>
    <w:bookmarkEnd w:id="72"/>
    <w:bookmarkEnd w:id="73"/>
    <w:bookmarkStart w:id="77" w:name="capitolo-13-cosa-dire-al-paziente"/>
    <w:p>
      <w:pPr>
        <w:pStyle w:val="Heading2"/>
      </w:pPr>
      <w:r>
        <w:t xml:space="preserve">Capitolo 13 — Cosa dire al paziente</w:t>
      </w:r>
    </w:p>
    <w:p>
      <w:pPr>
        <w:pStyle w:val="BlockText"/>
      </w:pPr>
      <w:r>
        <w:rPr>
          <w:b/>
          <w:bCs/>
        </w:rPr>
        <w:t xml:space="preserve">In una riga:</w:t>
      </w:r>
      <w:r>
        <w:t xml:space="preserve"> </w:t>
      </w:r>
      <w:r>
        <w:t xml:space="preserve">la cosa che gli cambia la giornata non è una tecnica, è capire perché gli hanno curato il gomito per tre mesi.</w:t>
      </w:r>
    </w:p>
    <w:bookmarkStart w:id="74" w:name="lo-script"/>
    <w:p>
      <w:pPr>
        <w:pStyle w:val="Heading3"/>
      </w:pPr>
      <w:r>
        <w:t xml:space="preserve">Lo script</w:t>
      </w:r>
    </w:p>
    <w:p>
      <w:pPr>
        <w:pStyle w:val="FirstParagraph"/>
      </w:pPr>
      <w:r>
        <w:rPr>
          <w:i/>
          <w:iCs/>
        </w:rPr>
        <w:t xml:space="preserve">“I nervi del braccio non nascono nel braccio: partono dal collo e passano da uno spazio stretto. Quando quello spazio si restringe, il nervo si irrita al passaggio — ma tu il male lo senti dove il nervo arriva, non dove viene stretto. Può essere per questo che il lavoro sul gomito e sulla mano non ha cambiato niente: erano l’ultima fermata. Io lavoro su tutta la strada. Il tuo medico intanto guarda la parte che spetta a lui, e le due cose vanno insieme.”</w:t>
      </w:r>
    </w:p>
    <w:bookmarkEnd w:id="74"/>
    <w:bookmarkStart w:id="75" w:name="le-obiezioni-e-le-risposte-oneste"/>
    <w:p>
      <w:pPr>
        <w:pStyle w:val="Heading3"/>
      </w:pPr>
      <w:r>
        <w:t xml:space="preserve">Le obiezioni, e le risposte oneste</w:t>
      </w:r>
    </w:p>
    <w:p>
      <w:pPr>
        <w:pStyle w:val="FirstParagraph"/>
      </w:pPr>
      <w:r>
        <w:rPr>
          <w:b/>
          <w:bCs/>
        </w:rPr>
        <w:t xml:space="preserve">“Ho un’ernia cervicale: c’è poco da fare.”</w:t>
      </w:r>
      <w:r>
        <w:t xml:space="preserve"> </w:t>
      </w:r>
      <w:r>
        <w:rPr>
          <w:i/>
          <w:iCs/>
        </w:rPr>
        <w:t xml:space="preserve">“Quelle immagini le hanno quasi nove persone su dieci senza avere alcun sintomo. Non vuol dire che la tua non conti: vuol dire che il dolore dipende anche da infiammazione, spazio e movimento. Su quelli si lavora, e li misuriamo.”</w:t>
      </w:r>
    </w:p>
    <w:p>
      <w:pPr>
        <w:pStyle w:val="BodyText"/>
      </w:pPr>
      <w:r>
        <w:rPr>
          <w:b/>
          <w:bCs/>
        </w:rPr>
        <w:t xml:space="preserve">“Mi hanno detto che è il tunnel carpale.”</w:t>
      </w:r>
      <w:r>
        <w:t xml:space="preserve"> </w:t>
      </w:r>
      <w:r>
        <w:rPr>
          <w:i/>
          <w:iCs/>
        </w:rPr>
        <w:t xml:space="preserve">“Può essere il polso, può essere il collo, e possono esserci tutti e due. Si confondono spesso. La differenza si fa seguendo tutto il percorso del nervo, non solo l’ultimo pezzo — e se dopo qualche seduta la mano non cambia, torniamo dal medico con un’informazione in più.”</w:t>
      </w:r>
    </w:p>
    <w:p>
      <w:pPr>
        <w:pStyle w:val="BodyText"/>
      </w:pPr>
      <w:r>
        <w:rPr>
          <w:b/>
          <w:bCs/>
        </w:rPr>
        <w:t xml:space="preserve">“Ho paura che toccandomi il collo peggiori.”</w:t>
      </w:r>
      <w:r>
        <w:t xml:space="preserve"> </w:t>
      </w:r>
      <w:r>
        <w:rPr>
          <w:i/>
          <w:iCs/>
        </w:rPr>
        <w:t xml:space="preserve">“Nella fase irritata si lavora lontano dal punto e in modo dolce. E c’è un dato: nello studio un fastidio passeggero l’ha riferito poco più di uno su dieci di chi riceveva questo lavoro, e circa uno su cinque di chi non lo riceveva. La differenza è troppo piccola per trarne una conclusione, in un verso o nell’altro. Se una cosa ti dà fastidio, ci fermiamo e cambiamo.”</w:t>
      </w:r>
    </w:p>
    <w:p>
      <w:pPr>
        <w:pStyle w:val="BodyText"/>
      </w:pPr>
      <w:r>
        <w:rPr>
          <w:b/>
          <w:bCs/>
        </w:rPr>
        <w:t xml:space="preserve">“Quindi devo farmelo da solo? E se quando lo faccio mi fa male?”</w:t>
      </w:r>
      <w:r>
        <w:t xml:space="preserve"> </w:t>
      </w:r>
      <w:r>
        <w:rPr>
          <w:i/>
          <w:iCs/>
        </w:rPr>
        <w:t xml:space="preserve">“Una parte la faccio io, una parte la fai tu, e quella che fai tu è la parte con le prove migliori. Se il movimento ti fa male non devi stringere i denti: va cambiato, e lo cambiamo al controllo. Chi va avanti con un esercizio che fa male è chi poi smette del tutto.”</w:t>
      </w:r>
    </w:p>
    <w:p>
      <w:pPr>
        <w:pStyle w:val="BodyText"/>
      </w:pPr>
      <w:r>
        <w:rPr>
          <w:b/>
          <w:bCs/>
        </w:rPr>
        <w:t xml:space="preserve">“Mi hanno proposto l’intervento.”</w:t>
      </w:r>
      <w:r>
        <w:t xml:space="preserve"> </w:t>
      </w:r>
      <w:r>
        <w:rPr>
          <w:i/>
          <w:iCs/>
        </w:rPr>
        <w:t xml:space="preserve">“L’indicazione la decide il medico, e in certi casi è la strada giusta. Quello che gli studi mostrano è che chi opera migliora prima, e che dopo due anni la differenza fra chi ha operato e chi no si assottiglia. Non è una ragione per rinunciare all’intervento: è una ragione per parlarne con lui sapendo come stanno le cose.”</w:t>
      </w:r>
    </w:p>
    <w:bookmarkEnd w:id="75"/>
    <w:bookmarkStart w:id="76" w:name="cosa-non-promettere-mai"/>
    <w:p>
      <w:pPr>
        <w:pStyle w:val="Heading3"/>
      </w:pPr>
      <w:r>
        <w:t xml:space="preserve">Cosa non promettere mai</w:t>
      </w:r>
    </w:p>
    <w:p>
      <w:pPr>
        <w:pStyle w:val="FirstParagraph"/>
      </w:pPr>
      <w:r>
        <w:t xml:space="preserve">Non promettere che il formicolio sparirà, e non promettere quando. Non promettere che eviterà l’intervento: non è una tua decisione e non è un tuo esito. Non dire che gli studi confermano che il tuo trattamento funziona: dicono che una parte di quello che fai ha un effetto a breve termine, con certezza bassa.</w:t>
      </w:r>
    </w:p>
    <w:p>
      <w:pPr>
        <w:pStyle w:val="BodyText"/>
      </w:pPr>
      <w:r>
        <w:t xml:space="preserve">E ripeti al paziente la convivenza, con le stesse parole del capitolo sui limiti:</w:t>
      </w:r>
      <w:r>
        <w:t xml:space="preserve"> </w:t>
      </w:r>
      <w:r>
        <w:rPr>
          <w:b/>
          <w:bCs/>
        </w:rPr>
        <w:t xml:space="preserve">quello che ho trovato mi dà qualcosa da trattare, non mi dice cosa hai. Le due cose vanno avanti insieme.</w:t>
      </w:r>
    </w:p>
    <w:p>
      <w:pPr>
        <w:pStyle w:val="BodyText"/>
      </w:pPr>
      <w:r>
        <w:rPr>
          <w:b/>
          <w:bCs/>
        </w:rPr>
        <w:t xml:space="preserve">Le tre cose da ricordare, più una</w:t>
      </w:r>
    </w:p>
    <w:p>
      <w:pPr>
        <w:pStyle w:val="Compact"/>
        <w:numPr>
          <w:ilvl w:val="0"/>
          <w:numId w:val="1031"/>
        </w:numPr>
      </w:pPr>
      <w:r>
        <w:t xml:space="preserve">La spiegazione che gli cambia la giornata è che il male non sta dove nasce il problema.</w:t>
      </w:r>
    </w:p>
    <w:p>
      <w:pPr>
        <w:pStyle w:val="Compact"/>
        <w:numPr>
          <w:ilvl w:val="0"/>
          <w:numId w:val="1031"/>
        </w:numPr>
      </w:pPr>
      <w:r>
        <w:t xml:space="preserve">Sull’intervento non si prende posizione: si danno i tempi e si rimanda a chi decide.</w:t>
      </w:r>
    </w:p>
    <w:p>
      <w:pPr>
        <w:pStyle w:val="Compact"/>
        <w:numPr>
          <w:ilvl w:val="0"/>
          <w:numId w:val="1031"/>
        </w:numPr>
      </w:pPr>
      <w:r>
        <w:t xml:space="preserve">La convivenza fra il tuo reperto e l’inquadramento medico si dice al paziente, non si sottintende.</w:t>
      </w:r>
    </w:p>
    <w:p>
      <w:pPr>
        <w:pStyle w:val="Compact"/>
        <w:numPr>
          <w:ilvl w:val="0"/>
          <w:numId w:val="1031"/>
        </w:numPr>
      </w:pPr>
      <w:r>
        <w:rPr>
          <w:b/>
          <w:bCs/>
        </w:rPr>
        <w:t xml:space="preserve">Perché ci sei tu.</w:t>
      </w:r>
      <w:r>
        <w:t xml:space="preserve"> </w:t>
      </w:r>
      <w:r>
        <w:t xml:space="preserve">Su 1.211 volontari senza alcun sintomo, l’</w:t>
      </w:r>
      <w:r>
        <w:rPr>
          <w:b/>
          <w:bCs/>
        </w:rPr>
        <w:t xml:space="preserve">87,6% aveva un bulging discale cervicale</w:t>
      </w:r>
      <w:r>
        <w:t xml:space="preserve"> </w:t>
      </w:r>
      <w:r>
        <w:t xml:space="preserve">(Nakashima,</w:t>
      </w:r>
      <w:r>
        <w:t xml:space="preserve"> </w:t>
      </w:r>
      <w:r>
        <w:rPr>
          <w:i/>
          <w:iCs/>
        </w:rPr>
        <w:t xml:space="preserve">Spine</w:t>
      </w:r>
      <w:r>
        <w:t xml:space="preserve"> </w:t>
      </w:r>
      <w:r>
        <w:t xml:space="preserve">2015, PMID 25584950).</w:t>
      </w:r>
      <w:r>
        <w:t xml:space="preserve"> </w:t>
      </w:r>
      <w:r>
        <w:rPr>
          <w:b/>
          <w:bCs/>
        </w:rPr>
        <w:t xml:space="preserve">Per te:</w:t>
      </w:r>
      <w:r>
        <w:t xml:space="preserve"> </w:t>
      </w:r>
      <w:r>
        <w:t xml:space="preserve">è la leva della prima obiezione che senti in questa condizione, ed è un numero, non una rassicurazione generica. Questo ti autorizza a togliere all’immagine il peso di sentenza che ha preso, dicendo la cosa vera: quelle immagini sono comuni, e il dolore dipende anche da altro. Non ti autorizza a dire che il referto non conta, né a commentare cosa vada operato: è una prevalenza in persone senza sintomi, non una lettura del suo caso.</w:t>
      </w:r>
    </w:p>
    <w:p>
      <w:r>
        <w:pict>
          <v:rect style="width:0;height:1.5pt" o:hralign="center" o:hrstd="t" o:hr="t"/>
        </w:pict>
      </w:r>
    </w:p>
    <w:bookmarkEnd w:id="76"/>
    <w:bookmarkEnd w:id="77"/>
    <w:bookmarkStart w:id="78" w:name="capitolo-14-cosa-fare-adesso"/>
    <w:p>
      <w:pPr>
        <w:pStyle w:val="Heading2"/>
      </w:pPr>
      <w:r>
        <w:t xml:space="preserve">Capitolo 14 — Cosa fare adesso</w:t>
      </w:r>
    </w:p>
    <w:p>
      <w:pPr>
        <w:pStyle w:val="BlockText"/>
      </w:pPr>
      <w:r>
        <w:rPr>
          <w:b/>
          <w:bCs/>
        </w:rPr>
        <w:t xml:space="preserve">In una riga:</w:t>
      </w:r>
      <w:r>
        <w:t xml:space="preserve"> </w:t>
      </w:r>
      <w:r>
        <w:t xml:space="preserve">il paziente ti arriva convinto che il problema sia dove gli fa male, e il tuo primo atto è spostargli lo sguardo di trenta centimetri.</w:t>
      </w:r>
    </w:p>
    <w:p>
      <w:pPr>
        <w:pStyle w:val="FirstParagraph"/>
      </w:pPr>
      <w:r>
        <w:t xml:space="preserve">Il filo è questo. Ti arriva una persona che si è curata il braccio per mesi, mentre il nervo veniva disturbato nel collo. Dorme con la mano sopra la testa, e non sa che quella posizione ha un nome. La porta si stringe quando guarda in alto, e le vene attorno alla radice smettono di drenare. La chimica tiene acceso il dolore anche quando lui sta fermo. Il nervo ha smesso di scorrere lungo una strada che nessuno ha percorso per intero. E settimane senza sonno hanno abbassato la soglia di tutto il resto. Tu non apri la porta e non spegni la chimica. Cambi quanto il nervo viene disturbato lungo la strada, misuri se è successo, e riconosci il quadro in cui non devi entrare. Quel quadro si riconosce dalla forza del muscolo giusto, dai riflessi e dall’andatura, non dal dolore.</w:t>
      </w:r>
    </w:p>
    <w:p>
      <w:pPr>
        <w:pStyle w:val="BodyText"/>
      </w:pPr>
      <w:r>
        <w:rPr>
          <w:b/>
          <w:bCs/>
        </w:rPr>
        <w:t xml:space="preserve">Le tre cose che cambi da lunedì</w:t>
      </w:r>
    </w:p>
    <w:p>
      <w:pPr>
        <w:pStyle w:val="Compact"/>
        <w:numPr>
          <w:ilvl w:val="0"/>
          <w:numId w:val="1032"/>
        </w:numPr>
      </w:pPr>
      <w:r>
        <w:rPr>
          <w:b/>
          <w:bCs/>
        </w:rPr>
        <w:t xml:space="preserve">Misura</w:t>
      </w:r>
      <w:r>
        <w:t xml:space="preserve"> </w:t>
      </w:r>
      <w:r>
        <w:t xml:space="preserve">la forza del</w:t>
      </w:r>
      <w:r>
        <w:t xml:space="preserve"> </w:t>
      </w:r>
      <w:r>
        <w:rPr>
          <w:b/>
          <w:bCs/>
        </w:rPr>
        <w:t xml:space="preserve">miotomo coinvolto</w:t>
      </w:r>
      <w:r>
        <w:t xml:space="preserve"> </w:t>
      </w:r>
      <w:r>
        <w:t xml:space="preserve">in quel paziente, a ogni controllo, sempre con lo stesso gesto, e scrivila — con il dinamometro quando il territorio è C8-T1. Poi cerca i</w:t>
      </w:r>
      <w:r>
        <w:t xml:space="preserve"> </w:t>
      </w:r>
      <w:r>
        <w:rPr>
          <w:b/>
          <w:bCs/>
        </w:rPr>
        <w:t xml:space="preserve">segni di primo motoneurone</w:t>
      </w:r>
      <w:r>
        <w:t xml:space="preserve">: trenta secondi e un martelletto. La presa da sola non vede né una C6 né una C7 che cedono, e nessuna misura di forza vede una mielopatia che comincia.</w:t>
      </w:r>
    </w:p>
    <w:p>
      <w:pPr>
        <w:pStyle w:val="Compact"/>
        <w:numPr>
          <w:ilvl w:val="0"/>
          <w:numId w:val="1032"/>
        </w:numPr>
      </w:pPr>
      <w:r>
        <w:rPr>
          <w:b/>
          <w:bCs/>
        </w:rPr>
        <w:t xml:space="preserve">Di’</w:t>
      </w:r>
      <w:r>
        <w:t xml:space="preserve"> </w:t>
      </w:r>
      <w:r>
        <w:t xml:space="preserve">al paziente, con queste parole, che quello che hai trovato ti dà qualcosa da trattare ma non dice cosa ha, e che le due cose vanno avanti insieme.</w:t>
      </w:r>
    </w:p>
    <w:p>
      <w:pPr>
        <w:pStyle w:val="Compact"/>
        <w:numPr>
          <w:ilvl w:val="0"/>
          <w:numId w:val="1032"/>
        </w:numPr>
      </w:pPr>
      <w:r>
        <w:rPr>
          <w:b/>
          <w:bCs/>
        </w:rPr>
        <w:t xml:space="preserve">Smetti</w:t>
      </w:r>
      <w:r>
        <w:t xml:space="preserve"> </w:t>
      </w:r>
      <w:r>
        <w:t xml:space="preserve">di usare lo Spurling per escludere e i test neurodinamici per confermare. Fanno il lavoro opposto, e usarli al contrario ti costa un paziente inquadrato male.</w:t>
      </w:r>
    </w:p>
    <w:p>
      <w:pPr>
        <w:pStyle w:val="FirstParagraph"/>
      </w:pPr>
      <w:r>
        <w:rPr>
          <w:i/>
          <w:iCs/>
        </w:rPr>
        <w:t xml:space="preserve">Non ti chiedono di aprire un forame. Ti chiedono di guardare i venti centimetri che nessuno ha guardato, di misurarli, e di dire con onestà cosa è cambiato e cosa no. Quello, con le mani e in un’ora, non lo fa nessun altro nel percorso di quella persona.</w:t>
      </w:r>
    </w:p>
    <w:p>
      <w:pPr>
        <w:pStyle w:val="BodyText"/>
      </w:pPr>
      <w:r>
        <w:rPr>
          <w:b/>
          <w:bCs/>
        </w:rPr>
        <w:t xml:space="preserve">Le tre cose da ricordare, più una</w:t>
      </w:r>
    </w:p>
    <w:p>
      <w:pPr>
        <w:pStyle w:val="Compact"/>
        <w:numPr>
          <w:ilvl w:val="0"/>
          <w:numId w:val="1033"/>
        </w:numPr>
      </w:pPr>
      <w:r>
        <w:t xml:space="preserve">Misura la forza del miotomo coinvolto e cerca i segni di primo motoneurone, a ogni controllo, e scrivili.</w:t>
      </w:r>
    </w:p>
    <w:p>
      <w:pPr>
        <w:pStyle w:val="Compact"/>
        <w:numPr>
          <w:ilvl w:val="0"/>
          <w:numId w:val="1033"/>
        </w:numPr>
      </w:pPr>
      <w:r>
        <w:t xml:space="preserve">Di’ la convivenza fra il tuo reperto e l’inquadramento medico, ad alta voce.</w:t>
      </w:r>
    </w:p>
    <w:p>
      <w:pPr>
        <w:pStyle w:val="Compact"/>
        <w:numPr>
          <w:ilvl w:val="0"/>
          <w:numId w:val="1033"/>
        </w:numPr>
      </w:pPr>
      <w:r>
        <w:t xml:space="preserve">Smetti di usare Spurling e test neurodinamici al contrario di come vanno usati.</w:t>
      </w:r>
    </w:p>
    <w:p>
      <w:pPr>
        <w:pStyle w:val="Compact"/>
        <w:numPr>
          <w:ilvl w:val="0"/>
          <w:numId w:val="1033"/>
        </w:numPr>
      </w:pPr>
      <w:r>
        <w:rPr>
          <w:b/>
          <w:bCs/>
        </w:rPr>
        <w:t xml:space="preserve">Perché ci sei tu.</w:t>
      </w:r>
      <w:r>
        <w:t xml:space="preserve"> </w:t>
      </w:r>
      <w:r>
        <w:t xml:space="preserve">I quattro numeri di Engquist, già visti in «Cosa dice la scienza»: 87% contro 62% a dodici mesi, 81% contro 69% a ventiquattro, con la differenza che a due anni non è più significativa (Engquist,</w:t>
      </w:r>
      <w:r>
        <w:t xml:space="preserve"> </w:t>
      </w:r>
      <w:r>
        <w:rPr>
          <w:i/>
          <w:iCs/>
        </w:rPr>
        <w:t xml:space="preserve">Spine</w:t>
      </w:r>
      <w:r>
        <w:t xml:space="preserve"> </w:t>
      </w:r>
      <w:r>
        <w:t xml:space="preserve">2013, PMID 23778373).</w:t>
      </w:r>
      <w:r>
        <w:t xml:space="preserve"> </w:t>
      </w:r>
      <w:r>
        <w:rPr>
          <w:b/>
          <w:bCs/>
        </w:rPr>
        <w:t xml:space="preserve">Per te:</w:t>
      </w:r>
      <w:r>
        <w:t xml:space="preserve"> </w:t>
      </w:r>
      <w:r>
        <w:t xml:space="preserve">puoi dire al paziente terrorizzato dall’intervento che il tempo chiude una parte della forbice. Questo ti autorizza a togliere urgenza a una decisione che non è tua. Non ti autorizza a sconsigliare l’intervento: sono 63 pazienti, e l’indicazione la pone il medico.</w:t>
      </w:r>
    </w:p>
    <w:p>
      <w:r>
        <w:pict>
          <v:rect style="width:0;height:1.5pt" o:hralign="center" o:hrstd="t" o:hr="t"/>
        </w:pict>
      </w:r>
    </w:p>
    <w:bookmarkEnd w:id="78"/>
    <w:bookmarkStart w:id="79" w:name="appendice-a-glossario"/>
    <w:p>
      <w:pPr>
        <w:pStyle w:val="Heading2"/>
      </w:pPr>
      <w:r>
        <w:t xml:space="preserve">Appendice A — Glossario</w:t>
      </w:r>
    </w:p>
    <w:p>
      <w:pPr>
        <w:pStyle w:val="FirstParagraph"/>
      </w:pPr>
      <w:r>
        <w:rPr>
          <w:b/>
          <w:bCs/>
        </w:rPr>
        <w:t xml:space="preserve">Attivazione (livello di)</w:t>
      </w:r>
      <w:r>
        <w:t xml:space="preserve"> </w:t>
      </w:r>
      <w:r>
        <w:t xml:space="preserve">— Quanto il sistema nervoso di quel paziente sta tenendo alta la guardia: sonno, respiro, tensione di fondo, reattività dei tessuti al primo contatto. Non è uno stato d’animo. È una variabile clinica che si osserva e si rimisura.</w:t>
      </w:r>
    </w:p>
    <w:p>
      <w:pPr>
        <w:pStyle w:val="BodyText"/>
      </w:pPr>
      <w:r>
        <w:rPr>
          <w:b/>
          <w:bCs/>
        </w:rPr>
        <w:t xml:space="preserve">Bulging discale</w:t>
      </w:r>
      <w:r>
        <w:t xml:space="preserve"> </w:t>
      </w:r>
      <w:r>
        <w:t xml:space="preserve">— Disco che sporge oltre il proprio bordo senza rottura dell’anello esterno.</w:t>
      </w:r>
    </w:p>
    <w:p>
      <w:pPr>
        <w:pStyle w:val="BodyText"/>
      </w:pPr>
      <w:r>
        <w:rPr>
          <w:b/>
          <w:bCs/>
        </w:rPr>
        <w:t xml:space="preserve">Catena</w:t>
      </w:r>
      <w:r>
        <w:t xml:space="preserve"> </w:t>
      </w:r>
      <w:r>
        <w:t xml:space="preserve">— Un insieme di strutture collegate che si influenzano a distanza, per continuità meccanica o per via nervosa. Spiega perché un problema in un punto può manifestarsi in un altro.</w:t>
      </w:r>
    </w:p>
    <w:p>
      <w:pPr>
        <w:pStyle w:val="BodyText"/>
      </w:pPr>
      <w:r>
        <w:rPr>
          <w:b/>
          <w:bCs/>
        </w:rPr>
        <w:t xml:space="preserve">Cerniera cervico-toracica</w:t>
      </w:r>
      <w:r>
        <w:t xml:space="preserve"> </w:t>
      </w:r>
      <w:r>
        <w:t xml:space="preserve">— Il passaggio fra C7 e T1, dove la colonna cambia mobilità e direzione.</w:t>
      </w:r>
    </w:p>
    <w:p>
      <w:pPr>
        <w:pStyle w:val="BodyText"/>
      </w:pPr>
      <w:r>
        <w:rPr>
          <w:b/>
          <w:bCs/>
        </w:rPr>
        <w:t xml:space="preserve">Compenso</w:t>
      </w:r>
      <w:r>
        <w:t xml:space="preserve"> </w:t>
      </w:r>
      <w:r>
        <w:t xml:space="preserve">— Un adattamento che il corpo mette in atto per continuare a funzionare nonostante un problema. Costa qualcosa — comfort, efficienza, escursione — e regge finché può. Il sintomo compare spesso dove il compenso ha ceduto, non dove il problema è nato.</w:t>
      </w:r>
    </w:p>
    <w:p>
      <w:pPr>
        <w:pStyle w:val="BodyText"/>
      </w:pPr>
      <w:r>
        <w:rPr>
          <w:b/>
          <w:bCs/>
        </w:rPr>
        <w:t xml:space="preserve">Delphi (studio)</w:t>
      </w:r>
      <w:r>
        <w:t xml:space="preserve"> </w:t>
      </w:r>
      <w:r>
        <w:t xml:space="preserve">— Sondaggio strutturato in cui un gruppo di esperti converge su un giudizio in più giri. Dà un’opinione condivisa, non una misura.</w:t>
      </w:r>
    </w:p>
    <w:p>
      <w:pPr>
        <w:pStyle w:val="BodyText"/>
      </w:pPr>
      <w:r>
        <w:rPr>
          <w:b/>
          <w:bCs/>
        </w:rPr>
        <w:t xml:space="preserve">Dermatomero</w:t>
      </w:r>
      <w:r>
        <w:t xml:space="preserve"> </w:t>
      </w:r>
      <w:r>
        <w:t xml:space="preserve">— L’area di pelle la cui sensibilità dipende da una singola radice nervosa.</w:t>
      </w:r>
    </w:p>
    <w:p>
      <w:pPr>
        <w:pStyle w:val="BodyText"/>
      </w:pPr>
      <w:r>
        <w:rPr>
          <w:b/>
          <w:bCs/>
        </w:rPr>
        <w:t xml:space="preserve">Differenziazione strutturale</w:t>
      </w:r>
      <w:r>
        <w:t xml:space="preserve"> </w:t>
      </w:r>
      <w:r>
        <w:t xml:space="preserve">— Manovra in cui si muove un segmento lontano dal sintomo per capire se il sintomo dipende dal nervo o dai tessuti locali.</w:t>
      </w:r>
    </w:p>
    <w:p>
      <w:pPr>
        <w:pStyle w:val="BodyText"/>
      </w:pPr>
      <w:r>
        <w:rPr>
          <w:b/>
          <w:bCs/>
        </w:rPr>
        <w:t xml:space="preserve">DIMOSTRATO</w:t>
      </w:r>
      <w:r>
        <w:t xml:space="preserve"> </w:t>
      </w:r>
      <w:r>
        <w:t xml:space="preserve">— Etichetta di solidità: studi sull’uomo, solidi.</w:t>
      </w:r>
    </w:p>
    <w:p>
      <w:pPr>
        <w:pStyle w:val="BodyText"/>
      </w:pPr>
      <w:r>
        <w:rPr>
          <w:b/>
          <w:bCs/>
        </w:rPr>
        <w:t xml:space="preserve">Disfunzione somatica</w:t>
      </w:r>
      <w:r>
        <w:t xml:space="preserve"> </w:t>
      </w:r>
      <w:r>
        <w:t xml:space="preserve">— Un’alterazione della funzione di una parte del sistema muscolo-scheletrico e delle strutture collegate, riconoscibile all’esame manuale. È una descrizione di funzione, non una diagnosi di malattia.</w:t>
      </w:r>
    </w:p>
    <w:p>
      <w:pPr>
        <w:pStyle w:val="BodyText"/>
      </w:pPr>
      <w:r>
        <w:rPr>
          <w:b/>
          <w:bCs/>
        </w:rPr>
        <w:t xml:space="preserve">Dissezione arteriosa cervicale</w:t>
      </w:r>
      <w:r>
        <w:t xml:space="preserve"> </w:t>
      </w:r>
      <w:r>
        <w:t xml:space="preserve">— Lacerazione della parete di un’arteria del collo, carotide o vertebrale. Si presenta più spesso come cefalea o dolore cervicale improvviso e diverso da ogni altro, e solo in circa un quarto dei casi con sindrome di Horner.</w:t>
      </w:r>
    </w:p>
    <w:p>
      <w:pPr>
        <w:pStyle w:val="BodyText"/>
      </w:pPr>
      <w:r>
        <w:rPr>
          <w:b/>
          <w:bCs/>
        </w:rPr>
        <w:t xml:space="preserve">Dolore nociplastico</w:t>
      </w:r>
      <w:r>
        <w:t xml:space="preserve"> </w:t>
      </w:r>
      <w:r>
        <w:t xml:space="preserve">— Dolore che nasce da un’alterazione del modo in cui il sistema nervoso elabora il segnale, senza danno tissutale o lesione nervosa che lo spieghi.</w:t>
      </w:r>
    </w:p>
    <w:p>
      <w:pPr>
        <w:pStyle w:val="BodyText"/>
      </w:pPr>
      <w:r>
        <w:rPr>
          <w:b/>
          <w:bCs/>
        </w:rPr>
        <w:t xml:space="preserve">Dolore radicolare</w:t>
      </w:r>
      <w:r>
        <w:t xml:space="preserve"> </w:t>
      </w:r>
      <w:r>
        <w:t xml:space="preserve">— Dolore generato da una radice nervosa sofferente, che segue una linea stretta lungo l’arto.</w:t>
      </w:r>
    </w:p>
    <w:p>
      <w:pPr>
        <w:pStyle w:val="BodyText"/>
      </w:pPr>
      <w:r>
        <w:rPr>
          <w:b/>
          <w:bCs/>
        </w:rPr>
        <w:t xml:space="preserve">Dolore riferito somatico</w:t>
      </w:r>
      <w:r>
        <w:t xml:space="preserve"> </w:t>
      </w:r>
      <w:r>
        <w:t xml:space="preserve">— Dolore percepito lontano dalla struttura che lo genera, senza che nessun nervo sia sofferente.</w:t>
      </w:r>
    </w:p>
    <w:p>
      <w:pPr>
        <w:pStyle w:val="BodyText"/>
      </w:pPr>
      <w:r>
        <w:rPr>
          <w:b/>
          <w:bCs/>
        </w:rPr>
        <w:t xml:space="preserve">Forame intervertebrale</w:t>
      </w:r>
      <w:r>
        <w:t xml:space="preserve"> </w:t>
      </w:r>
      <w:r>
        <w:t xml:space="preserve">— Lo spazio fra due vertebre da cui esce la radice nervosa.</w:t>
      </w:r>
    </w:p>
    <w:p>
      <w:pPr>
        <w:pStyle w:val="BodyText"/>
      </w:pPr>
      <w:r>
        <w:rPr>
          <w:b/>
          <w:bCs/>
        </w:rPr>
        <w:t xml:space="preserve">Ganglio della radice dorsale</w:t>
      </w:r>
      <w:r>
        <w:t xml:space="preserve"> </w:t>
      </w:r>
      <w:r>
        <w:t xml:space="preserve">— Il gruppo di corpi cellulari sensitivi seduto dentro o appena fuori dal forame; la struttura più sensibile alla pressione lungo il percorso.</w:t>
      </w:r>
    </w:p>
    <w:p>
      <w:pPr>
        <w:pStyle w:val="BodyText"/>
      </w:pPr>
      <w:r>
        <w:rPr>
          <w:b/>
          <w:bCs/>
        </w:rPr>
        <w:t xml:space="preserve">Horner, sindrome di</w:t>
      </w:r>
      <w:r>
        <w:t xml:space="preserve"> </w:t>
      </w:r>
      <w:r>
        <w:t xml:space="preserve">— Palpebra che cade, pupilla più piccola e minor sudorazione su metà volto, per interruzione della via simpatica del collo. Compare in circa un quarto delle dissezioni arteriose cervicali, e nei tumori dell’apice polmonare. È una delle poche voci che valgono un 112.</w:t>
      </w:r>
    </w:p>
    <w:p>
      <w:pPr>
        <w:pStyle w:val="BodyText"/>
      </w:pPr>
      <w:r>
        <w:rPr>
          <w:b/>
          <w:bCs/>
        </w:rPr>
        <w:t xml:space="preserve">IC 95%</w:t>
      </w:r>
      <w:r>
        <w:t xml:space="preserve"> </w:t>
      </w:r>
      <w:r>
        <w:t xml:space="preserve">— Intervallo di confidenza al 95%: la fascia di valori entro cui sta, con ragionevole sicurezza, il vero effetto misurato da uno studio. Più è larga, meno il numero centrale è affidabile; se comprende lo zero, l’effetto può anche non esserci.</w:t>
      </w:r>
    </w:p>
    <w:p>
      <w:pPr>
        <w:pStyle w:val="BodyText"/>
      </w:pPr>
      <w:r>
        <w:rPr>
          <w:b/>
          <w:bCs/>
        </w:rPr>
        <w:t xml:space="preserve">Ipoalgesia</w:t>
      </w:r>
      <w:r>
        <w:t xml:space="preserve"> </w:t>
      </w:r>
      <w:r>
        <w:t xml:space="preserve">— Rialzo della soglia del dolore: il paziente sopporta uno stimolo più forte prima di sentire male.</w:t>
      </w:r>
    </w:p>
    <w:p>
      <w:pPr>
        <w:pStyle w:val="BodyText"/>
      </w:pPr>
      <w:r>
        <w:rPr>
          <w:b/>
          <w:bCs/>
        </w:rPr>
        <w:t xml:space="preserve">IPOTESI</w:t>
      </w:r>
      <w:r>
        <w:t xml:space="preserve"> </w:t>
      </w:r>
      <w:r>
        <w:t xml:space="preserve">— Etichetta di solidità: meccanismo coerente, nessuno studio.</w:t>
      </w:r>
    </w:p>
    <w:p>
      <w:pPr>
        <w:pStyle w:val="BodyText"/>
      </w:pPr>
      <w:r>
        <w:rPr>
          <w:b/>
          <w:bCs/>
        </w:rPr>
        <w:t xml:space="preserve">Irritabilità</w:t>
      </w:r>
      <w:r>
        <w:t xml:space="preserve"> </w:t>
      </w:r>
      <w:r>
        <w:t xml:space="preserve">— Quanta poca sollecitazione serve per accendere il sintomo, quanto in fretta compare e quanto ci mette a spegnersi. È una dimensione graduata, non un sottotipo, e attraversa tutti i quadri.</w:t>
      </w:r>
    </w:p>
    <w:p>
      <w:pPr>
        <w:pStyle w:val="BodyText"/>
      </w:pPr>
      <w:r>
        <w:rPr>
          <w:b/>
          <w:bCs/>
        </w:rPr>
        <w:t xml:space="preserve">Lesione primaria</w:t>
      </w:r>
      <w:r>
        <w:t xml:space="preserve"> </w:t>
      </w:r>
      <w:r>
        <w:t xml:space="preserve">— La disfunzione che, nella ricostruzione clinica, ha innescato le altre. È una ricostruzione a posteriori e non una prova: si scrive come ipotesi, mai come fatto.</w:t>
      </w:r>
    </w:p>
    <w:p>
      <w:pPr>
        <w:pStyle w:val="BodyText"/>
      </w:pPr>
      <w:r>
        <w:rPr>
          <w:b/>
          <w:bCs/>
        </w:rPr>
        <w:t xml:space="preserve">Marker</w:t>
      </w:r>
      <w:r>
        <w:t xml:space="preserve"> </w:t>
      </w:r>
      <w:r>
        <w:t xml:space="preserve">—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BodyText"/>
      </w:pPr>
      <w:r>
        <w:rPr>
          <w:b/>
          <w:bCs/>
        </w:rPr>
        <w:t xml:space="preserve">Meccanosensibilità</w:t>
      </w:r>
      <w:r>
        <w:t xml:space="preserve"> </w:t>
      </w:r>
      <w:r>
        <w:t xml:space="preserve">— Tendenza di un tessuto nervoso a generare segnali quando viene deformato o compresso.</w:t>
      </w:r>
    </w:p>
    <w:p>
      <w:pPr>
        <w:pStyle w:val="BodyText"/>
      </w:pPr>
      <w:r>
        <w:rPr>
          <w:b/>
          <w:bCs/>
        </w:rPr>
        <w:t xml:space="preserve">Mielopatia cervicale degenerativa</w:t>
      </w:r>
      <w:r>
        <w:t xml:space="preserve"> </w:t>
      </w:r>
      <w:r>
        <w:t xml:space="preserve">— Sofferenza del midollo spinale cervicale da compressione progressiva; si manifesta con mani goffe, andatura insicura e sintomi bilaterali.</w:t>
      </w:r>
    </w:p>
    <w:p>
      <w:pPr>
        <w:pStyle w:val="BodyText"/>
      </w:pPr>
      <w:r>
        <w:rPr>
          <w:b/>
          <w:bCs/>
        </w:rPr>
        <w:t xml:space="preserve">Miotomo</w:t>
      </w:r>
      <w:r>
        <w:t xml:space="preserve"> </w:t>
      </w:r>
      <w:r>
        <w:t xml:space="preserve">— L’insieme dei muscoli la cui forza dipende da una singola radice nervosa. I miotomi si sovrappongono fra radici vicine: uno solo non identifica il livello.</w:t>
      </w:r>
    </w:p>
    <w:p>
      <w:pPr>
        <w:pStyle w:val="BodyText"/>
      </w:pPr>
      <w:r>
        <w:rPr>
          <w:b/>
          <w:bCs/>
        </w:rPr>
        <w:t xml:space="preserve">Perinevrio</w:t>
      </w:r>
      <w:r>
        <w:t xml:space="preserve"> </w:t>
      </w:r>
      <w:r>
        <w:t xml:space="preserve">— La guaina che avvolge e protegge i fasci di un nervo periferico. La radice nervosa non ce l’ha.</w:t>
      </w:r>
    </w:p>
    <w:p>
      <w:pPr>
        <w:pStyle w:val="BodyText"/>
      </w:pPr>
      <w:r>
        <w:rPr>
          <w:b/>
          <w:bCs/>
        </w:rPr>
        <w:t xml:space="preserve">Primo motoneurone, segni di</w:t>
      </w:r>
      <w:r>
        <w:t xml:space="preserve"> </w:t>
      </w:r>
      <w:r>
        <w:t xml:space="preserve">— Reperti che indicano una sofferenza del midollo e non della radice: iperreflessia, Tromner, clono, Babinski, inverted supinator sign. Iperreflessia e Tromner si usano per cercare, gli altri per confermare.</w:t>
      </w:r>
    </w:p>
    <w:p>
      <w:pPr>
        <w:pStyle w:val="BodyText"/>
      </w:pPr>
      <w:r>
        <w:rPr>
          <w:b/>
          <w:bCs/>
        </w:rPr>
        <w:t xml:space="preserve">PROBABILE</w:t>
      </w:r>
      <w:r>
        <w:t xml:space="preserve"> </w:t>
      </w:r>
      <w:r>
        <w:t xml:space="preserve">— Etichetta di solidità: razionale forte, prove parziali.</w:t>
      </w:r>
    </w:p>
    <w:p>
      <w:pPr>
        <w:pStyle w:val="BodyText"/>
      </w:pPr>
      <w:r>
        <w:rPr>
          <w:b/>
          <w:bCs/>
        </w:rPr>
        <w:t xml:space="preserve">RAGIONAMENTO</w:t>
      </w:r>
      <w:r>
        <w:t xml:space="preserve"> </w:t>
      </w:r>
      <w:r>
        <w:t xml:space="preserve">— Etichetta di solidità: cornice clinica, non una prova.</w:t>
      </w:r>
    </w:p>
    <w:p>
      <w:pPr>
        <w:pStyle w:val="BodyText"/>
      </w:pPr>
      <w:r>
        <w:rPr>
          <w:b/>
          <w:bCs/>
        </w:rPr>
        <w:t xml:space="preserve">Reperto disfunzionale</w:t>
      </w:r>
      <w:r>
        <w:t xml:space="preserve"> </w:t>
      </w:r>
      <w:r>
        <w:t xml:space="preserve">— Quello che trovi tu con le mani e con i test, e che scrivi in cartella: una zona che si muove meno, un tessuto che risponde diversamente, una funzione che non si esprime. Non è la diagnosi del paziente — è il bersaglio del tuo lavoro.</w:t>
      </w:r>
    </w:p>
    <w:p>
      <w:pPr>
        <w:pStyle w:val="BodyText"/>
      </w:pPr>
      <w:r>
        <w:rPr>
          <w:b/>
          <w:bCs/>
        </w:rPr>
        <w:t xml:space="preserve">Segno di sollievo per abduzione della spalla</w:t>
      </w:r>
      <w:r>
        <w:t xml:space="preserve"> </w:t>
      </w:r>
      <w:r>
        <w:t xml:space="preserve">— Riduzione del dolore radicolare quando il paziente porta il braccio sopra la testa.</w:t>
      </w:r>
    </w:p>
    <w:p>
      <w:pPr>
        <w:pStyle w:val="BodyText"/>
      </w:pPr>
      <w:r>
        <w:rPr>
          <w:b/>
          <w:bCs/>
        </w:rPr>
        <w:t xml:space="preserve">Sensibilità</w:t>
      </w:r>
      <w:r>
        <w:t xml:space="preserve"> </w:t>
      </w:r>
      <w:r>
        <w:t xml:space="preserve">— Capacità di un test di risultare positivo in chi ha la condizione. Alta sensibilità significa che un test negativo conta.</w:t>
      </w:r>
    </w:p>
    <w:p>
      <w:pPr>
        <w:pStyle w:val="BodyText"/>
      </w:pPr>
      <w:r>
        <w:rPr>
          <w:b/>
          <w:bCs/>
        </w:rPr>
        <w:t xml:space="preserve">Sensibilizzazione</w:t>
      </w:r>
      <w:r>
        <w:t xml:space="preserve"> </w:t>
      </w:r>
      <w:r>
        <w:t xml:space="preserve">— Abbassamento della soglia a cui un segnale diventa dolore.</w:t>
      </w:r>
    </w:p>
    <w:p>
      <w:pPr>
        <w:pStyle w:val="BodyText"/>
      </w:pPr>
      <w:r>
        <w:rPr>
          <w:b/>
          <w:bCs/>
        </w:rPr>
        <w:t xml:space="preserve">Sistema dominante</w:t>
      </w:r>
      <w:r>
        <w:t xml:space="preserve"> </w:t>
      </w:r>
      <w:r>
        <w:t xml:space="preserve">— Il piano che, in questo paziente, sta consumando più capacità di adattamento degli altri. È l’ipotesi di lavoro che decide su cosa agire per primo, non un fatto misurato: per questo porta sempre l’etichetta RAGIONAMENTO.</w:t>
      </w:r>
    </w:p>
    <w:p>
      <w:pPr>
        <w:pStyle w:val="BodyText"/>
      </w:pPr>
      <w:r>
        <w:rPr>
          <w:b/>
          <w:bCs/>
        </w:rPr>
        <w:t xml:space="preserve">SMD</w:t>
      </w:r>
      <w:r>
        <w:t xml:space="preserve"> </w:t>
      </w:r>
      <w:r>
        <w:t xml:space="preserve">— Differenza media standardizzata: misura di quanto un trattamento sposta un esito, espressa in deviazioni standard, per confrontare studi che hanno usato scale diverse. Attorno a 0,2 è un effetto piccolo, 0,5 medio, 0,8 grande.</w:t>
      </w:r>
    </w:p>
    <w:p>
      <w:pPr>
        <w:pStyle w:val="BodyText"/>
      </w:pPr>
      <w:r>
        <w:rPr>
          <w:b/>
          <w:bCs/>
        </w:rPr>
        <w:t xml:space="preserve">Specificità</w:t>
      </w:r>
      <w:r>
        <w:t xml:space="preserve"> </w:t>
      </w:r>
      <w:r>
        <w:t xml:space="preserve">— Capacità di un test di risultare negativo in chi non ha la condizione. Alta specificità significa che un test positivo conta.</w:t>
      </w:r>
    </w:p>
    <w:p>
      <w:pPr>
        <w:pStyle w:val="BodyText"/>
      </w:pPr>
      <w:r>
        <w:rPr>
          <w:b/>
          <w:bCs/>
        </w:rPr>
        <w:t xml:space="preserve">Spurling, test di</w:t>
      </w:r>
      <w:r>
        <w:t xml:space="preserve"> </w:t>
      </w:r>
      <w:r>
        <w:t xml:space="preserve">— Compressione assiale del capo in estensione e rotazione, per riprodurre il sintomo radicolare.</w:t>
      </w:r>
      <w:r>
        <w:t xml:space="preserve"> </w:t>
      </w:r>
      <w:r>
        <w:rPr>
          <w:b/>
          <w:bCs/>
        </w:rPr>
        <w:t xml:space="preserve">Non si esegue</w:t>
      </w:r>
      <w:r>
        <w:t xml:space="preserve"> </w:t>
      </w:r>
      <w:r>
        <w:t xml:space="preserve">in sospetta instabilità cervicale, mielopatia, trauma recente, infezione o neoplasia.</w:t>
      </w:r>
    </w:p>
    <w:p>
      <w:pPr>
        <w:pStyle w:val="BodyText"/>
      </w:pPr>
      <w:r>
        <w:rPr>
          <w:b/>
          <w:bCs/>
        </w:rPr>
        <w:t xml:space="preserve">Stretto toracico superiore</w:t>
      </w:r>
      <w:r>
        <w:t xml:space="preserve"> </w:t>
      </w:r>
      <w:r>
        <w:t xml:space="preserve">— Il passaggio fra scaleni, prima costa e clavicola, attraversato dai tronchi nervosi e dai vasi dell’arto superiore.</w:t>
      </w:r>
    </w:p>
    <w:p>
      <w:pPr>
        <w:pStyle w:val="BodyText"/>
      </w:pPr>
      <w:r>
        <w:rPr>
          <w:b/>
          <w:bCs/>
        </w:rPr>
        <w:t xml:space="preserve">Tecnica di scorrimento (slider)</w:t>
      </w:r>
      <w:r>
        <w:t xml:space="preserve"> </w:t>
      </w:r>
      <w:r>
        <w:t xml:space="preserve">— Movimento in cui un’estremità della catena nervosa si allunga mentre l’altra si accorcia, per far scivolare il nervo con poca deformazione.</w:t>
      </w:r>
    </w:p>
    <w:p>
      <w:pPr>
        <w:pStyle w:val="BodyText"/>
      </w:pPr>
      <w:r>
        <w:rPr>
          <w:b/>
          <w:bCs/>
        </w:rPr>
        <w:t xml:space="preserve">Tecnica di tensione (tensioner)</w:t>
      </w:r>
      <w:r>
        <w:t xml:space="preserve"> </w:t>
      </w:r>
      <w:r>
        <w:t xml:space="preserve">— Movimento in cui le due estremità si allontanano insieme, con maggiore deformazione e minore scorrimento.</w:t>
      </w:r>
    </w:p>
    <w:p>
      <w:pPr>
        <w:pStyle w:val="BodyText"/>
      </w:pPr>
      <w:r>
        <w:rPr>
          <w:b/>
          <w:bCs/>
        </w:rPr>
        <w:t xml:space="preserve">Test neurodinamico dell’arto superiore (ULNT)</w:t>
      </w:r>
      <w:r>
        <w:t xml:space="preserve"> </w:t>
      </w:r>
      <w:r>
        <w:t xml:space="preserve">— Sequenza di movimenti che mette in tensione progressiva un tronco nervoso dell’arto superiore per valutarne la meccanosensibilità.</w:t>
      </w:r>
    </w:p>
    <w:p>
      <w:pPr>
        <w:pStyle w:val="BodyText"/>
      </w:pPr>
      <w:r>
        <w:rPr>
          <w:b/>
          <w:bCs/>
        </w:rPr>
        <w:t xml:space="preserve">Uncoartrosi</w:t>
      </w:r>
      <w:r>
        <w:t xml:space="preserve"> </w:t>
      </w:r>
      <w:r>
        <w:t xml:space="preserve">— Artrosi delle piccole articolazioni laterali dei corpi vertebrali cervicali, che restringe il forame dal davanti.</w:t>
      </w:r>
    </w:p>
    <w:p>
      <w:r>
        <w:pict>
          <v:rect style="width:0;height:1.5pt" o:hralign="center" o:hrstd="t" o:hr="t"/>
        </w:pict>
      </w:r>
    </w:p>
    <w:bookmarkEnd w:id="79"/>
    <w:bookmarkStart w:id="131" w:name="appendice-b-le-fonti"/>
    <w:p>
      <w:pPr>
        <w:pStyle w:val="Heading2"/>
      </w:pPr>
      <w:r>
        <w:t xml:space="preserve">Appendice B — Le fonti</w:t>
      </w:r>
    </w:p>
    <w:p>
      <w:pPr>
        <w:pStyle w:val="Compact"/>
        <w:numPr>
          <w:ilvl w:val="0"/>
          <w:numId w:val="1034"/>
        </w:numPr>
      </w:pPr>
      <w:r>
        <w:t xml:space="preserve">García-Juez S, Navarro-Santana MJ, Valera-Calero JA, et al. </w:t>
      </w:r>
      <w:r>
        <w:rPr>
          <w:i/>
          <w:iCs/>
        </w:rPr>
        <w:t xml:space="preserve">Effectiveness of Articular and Neural Mobilization for Managing Cervical Radicular Pain: A Systematic Review With Network Meta-Analysis.</w:t>
      </w:r>
      <w:r>
        <w:t xml:space="preserve"> </w:t>
      </w:r>
      <w:r>
        <w:t xml:space="preserve">J Orthop Sports Phys Ther, 2025. —</w:t>
      </w:r>
      <w:r>
        <w:t xml:space="preserve"> </w:t>
      </w:r>
      <w:hyperlink r:id="rId80">
        <w:r>
          <w:rPr>
            <w:rStyle w:val="Hyperlink"/>
          </w:rPr>
          <w:t xml:space="preserve">PMID 40576779</w:t>
        </w:r>
      </w:hyperlink>
    </w:p>
    <w:p>
      <w:pPr>
        <w:pStyle w:val="Compact"/>
        <w:numPr>
          <w:ilvl w:val="0"/>
          <w:numId w:val="1034"/>
        </w:numPr>
      </w:pPr>
      <w:r>
        <w:t xml:space="preserve">Grodzinski B, Stubbs DJ, Davies BM.</w:t>
      </w:r>
      <w:r>
        <w:t xml:space="preserve"> </w:t>
      </w:r>
      <w:r>
        <w:rPr>
          <w:i/>
          <w:iCs/>
        </w:rPr>
        <w:t xml:space="preserve">Most degenerative cervical myelopathy remains undiagnosed, particularly amongst the elderly: modelling the prevalence of degenerative cervical myelopathy in the United Kingdom.</w:t>
      </w:r>
      <w:r>
        <w:t xml:space="preserve"> </w:t>
      </w:r>
      <w:r>
        <w:t xml:space="preserve">J Neurol, 2023. —</w:t>
      </w:r>
      <w:r>
        <w:t xml:space="preserve"> </w:t>
      </w:r>
      <w:hyperlink r:id="rId81">
        <w:r>
          <w:rPr>
            <w:rStyle w:val="Hyperlink"/>
          </w:rPr>
          <w:t xml:space="preserve">PMID 36056204</w:t>
        </w:r>
      </w:hyperlink>
    </w:p>
    <w:p>
      <w:pPr>
        <w:pStyle w:val="Compact"/>
        <w:numPr>
          <w:ilvl w:val="0"/>
          <w:numId w:val="1034"/>
        </w:numPr>
      </w:pPr>
      <w:r>
        <w:t xml:space="preserve">Kuijper B, Tans JT, Beelen A, Nollet F, de Visser M.</w:t>
      </w:r>
      <w:r>
        <w:t xml:space="preserve"> </w:t>
      </w:r>
      <w:r>
        <w:rPr>
          <w:i/>
          <w:iCs/>
        </w:rPr>
        <w:t xml:space="preserve">Cervical collar or physiotherapy versus wait and see policy for recent onset cervical radiculopathy: randomised trial.</w:t>
      </w:r>
      <w:r>
        <w:t xml:space="preserve"> </w:t>
      </w:r>
      <w:r>
        <w:t xml:space="preserve">BMJ, 2009. —</w:t>
      </w:r>
      <w:r>
        <w:t xml:space="preserve"> </w:t>
      </w:r>
      <w:hyperlink r:id="rId82">
        <w:r>
          <w:rPr>
            <w:rStyle w:val="Hyperlink"/>
          </w:rPr>
          <w:t xml:space="preserve">PMID 19812130</w:t>
        </w:r>
      </w:hyperlink>
    </w:p>
    <w:p>
      <w:pPr>
        <w:pStyle w:val="Compact"/>
        <w:numPr>
          <w:ilvl w:val="0"/>
          <w:numId w:val="1034"/>
        </w:numPr>
      </w:pPr>
      <w:r>
        <w:t xml:space="preserve">Hage R, Roussel N, Dierick F, et al. </w:t>
      </w:r>
      <w:r>
        <w:rPr>
          <w:i/>
          <w:iCs/>
        </w:rPr>
        <w:t xml:space="preserve">Rethinking neck-related arm pain: hypothetical clinical scenarios to differentiate the underlying IASP-defined pain mechanisms.</w:t>
      </w:r>
      <w:r>
        <w:t xml:space="preserve"> </w:t>
      </w:r>
      <w:r>
        <w:t xml:space="preserve">J Man Manip Ther, 2024. —</w:t>
      </w:r>
      <w:r>
        <w:t xml:space="preserve"> </w:t>
      </w:r>
      <w:hyperlink r:id="rId83">
        <w:r>
          <w:rPr>
            <w:rStyle w:val="Hyperlink"/>
          </w:rPr>
          <w:t xml:space="preserve">PMID 38087995</w:t>
        </w:r>
      </w:hyperlink>
    </w:p>
    <w:p>
      <w:pPr>
        <w:pStyle w:val="Compact"/>
        <w:numPr>
          <w:ilvl w:val="0"/>
          <w:numId w:val="1034"/>
        </w:numPr>
      </w:pPr>
      <w:r>
        <w:t xml:space="preserve">Kosek E, Clauw D, Nijs J, et al. </w:t>
      </w:r>
      <w:r>
        <w:rPr>
          <w:i/>
          <w:iCs/>
        </w:rPr>
        <w:t xml:space="preserve">Chronic nociplastic pain affecting the musculoskeletal system: clinical criteria and grading system.</w:t>
      </w:r>
      <w:r>
        <w:t xml:space="preserve"> </w:t>
      </w:r>
      <w:r>
        <w:t xml:space="preserve">Pain, 2021. —</w:t>
      </w:r>
      <w:r>
        <w:t xml:space="preserve"> </w:t>
      </w:r>
      <w:hyperlink r:id="rId84">
        <w:r>
          <w:rPr>
            <w:rStyle w:val="Hyperlink"/>
          </w:rPr>
          <w:t xml:space="preserve">PMID 33974577</w:t>
        </w:r>
      </w:hyperlink>
    </w:p>
    <w:p>
      <w:pPr>
        <w:pStyle w:val="Compact"/>
        <w:numPr>
          <w:ilvl w:val="0"/>
          <w:numId w:val="1034"/>
        </w:numPr>
      </w:pPr>
      <w:r>
        <w:t xml:space="preserve">Radhakrishnan K, Litchy WJ, O’Fallon WM, Kurland LT.</w:t>
      </w:r>
      <w:r>
        <w:t xml:space="preserve"> </w:t>
      </w:r>
      <w:r>
        <w:rPr>
          <w:i/>
          <w:iCs/>
        </w:rPr>
        <w:t xml:space="preserve">Epidemiology of cervical radiculopathy. A population-based study from Rochester, Minnesota, 1976 through 1990.</w:t>
      </w:r>
      <w:r>
        <w:t xml:space="preserve"> </w:t>
      </w:r>
      <w:r>
        <w:t xml:space="preserve">Brain, 1994. —</w:t>
      </w:r>
      <w:r>
        <w:t xml:space="preserve"> </w:t>
      </w:r>
      <w:hyperlink r:id="rId85">
        <w:r>
          <w:rPr>
            <w:rStyle w:val="Hyperlink"/>
          </w:rPr>
          <w:t xml:space="preserve">PMID 8186959</w:t>
        </w:r>
      </w:hyperlink>
    </w:p>
    <w:p>
      <w:pPr>
        <w:pStyle w:val="Compact"/>
        <w:numPr>
          <w:ilvl w:val="0"/>
          <w:numId w:val="1034"/>
        </w:numPr>
      </w:pPr>
      <w:r>
        <w:t xml:space="preserve">Wong JJ, Côté P, Quesnele JJ, Stern PJ, Mior SA.</w:t>
      </w:r>
      <w:r>
        <w:t xml:space="preserve"> </w:t>
      </w:r>
      <w:r>
        <w:rPr>
          <w:i/>
          <w:iCs/>
        </w:rPr>
        <w:t xml:space="preserve">The course and prognostic factors of symptomatic cervical disc herniation with radiculopathy: a systematic review of the literature.</w:t>
      </w:r>
      <w:r>
        <w:t xml:space="preserve"> </w:t>
      </w:r>
      <w:r>
        <w:t xml:space="preserve">Spine J, 2014. —</w:t>
      </w:r>
      <w:r>
        <w:t xml:space="preserve"> </w:t>
      </w:r>
      <w:hyperlink r:id="rId86">
        <w:r>
          <w:rPr>
            <w:rStyle w:val="Hyperlink"/>
          </w:rPr>
          <w:t xml:space="preserve">PMID 24614255</w:t>
        </w:r>
      </w:hyperlink>
    </w:p>
    <w:p>
      <w:pPr>
        <w:pStyle w:val="Compact"/>
        <w:numPr>
          <w:ilvl w:val="0"/>
          <w:numId w:val="1034"/>
        </w:numPr>
      </w:pPr>
      <w:r>
        <w:t xml:space="preserve">Nakashima H, Yukawa Y, Suda K, et al. </w:t>
      </w:r>
      <w:r>
        <w:rPr>
          <w:i/>
          <w:iCs/>
        </w:rPr>
        <w:t xml:space="preserve">Abnormal findings on magnetic resonance images of the cervical spines in 1211 asymptomatic subjects.</w:t>
      </w:r>
      <w:r>
        <w:t xml:space="preserve"> </w:t>
      </w:r>
      <w:r>
        <w:t xml:space="preserve">Spine, 2015. —</w:t>
      </w:r>
      <w:r>
        <w:t xml:space="preserve"> </w:t>
      </w:r>
      <w:hyperlink r:id="rId87">
        <w:r>
          <w:rPr>
            <w:rStyle w:val="Hyperlink"/>
          </w:rPr>
          <w:t xml:space="preserve">PMID 25584950</w:t>
        </w:r>
      </w:hyperlink>
    </w:p>
    <w:p>
      <w:pPr>
        <w:pStyle w:val="Compact"/>
        <w:numPr>
          <w:ilvl w:val="0"/>
          <w:numId w:val="1034"/>
        </w:numPr>
      </w:pPr>
      <w:r>
        <w:t xml:space="preserve">DeVon HA, Ryan CJ, Ochs AL, Shapiro M.</w:t>
      </w:r>
      <w:r>
        <w:t xml:space="preserve"> </w:t>
      </w:r>
      <w:r>
        <w:rPr>
          <w:i/>
          <w:iCs/>
        </w:rPr>
        <w:t xml:space="preserve">Symptoms across the continuum of acute coronary syndromes: differences between women and men.</w:t>
      </w:r>
      <w:r>
        <w:t xml:space="preserve"> </w:t>
      </w:r>
      <w:r>
        <w:t xml:space="preserve">West J Nurs Res, 2008. —</w:t>
      </w:r>
      <w:r>
        <w:t xml:space="preserve"> </w:t>
      </w:r>
      <w:hyperlink r:id="rId88">
        <w:r>
          <w:rPr>
            <w:rStyle w:val="Hyperlink"/>
          </w:rPr>
          <w:t xml:space="preserve">PMID 18182562</w:t>
        </w:r>
      </w:hyperlink>
    </w:p>
    <w:p>
      <w:pPr>
        <w:pStyle w:val="Compact"/>
        <w:numPr>
          <w:ilvl w:val="0"/>
          <w:numId w:val="1034"/>
        </w:numPr>
      </w:pPr>
      <w:r>
        <w:t xml:space="preserve">Dworkin RH, Johnson RW, Breuer J, et al. </w:t>
      </w:r>
      <w:r>
        <w:rPr>
          <w:i/>
          <w:iCs/>
        </w:rPr>
        <w:t xml:space="preserve">Recommendations for the management of herpes zoster.</w:t>
      </w:r>
      <w:r>
        <w:t xml:space="preserve"> </w:t>
      </w:r>
      <w:r>
        <w:t xml:space="preserve">J Pain, 2008. —</w:t>
      </w:r>
      <w:r>
        <w:t xml:space="preserve"> </w:t>
      </w:r>
      <w:hyperlink r:id="rId89">
        <w:r>
          <w:rPr>
            <w:rStyle w:val="Hyperlink"/>
          </w:rPr>
          <w:t xml:space="preserve">PMID 18166464</w:t>
        </w:r>
      </w:hyperlink>
    </w:p>
    <w:p>
      <w:pPr>
        <w:pStyle w:val="Compact"/>
        <w:numPr>
          <w:ilvl w:val="0"/>
          <w:numId w:val="1034"/>
        </w:numPr>
      </w:pPr>
      <w:r>
        <w:t xml:space="preserve">Hussain MA, Aljabri B, Al-Omran M.</w:t>
      </w:r>
      <w:r>
        <w:t xml:space="preserve"> </w:t>
      </w:r>
      <w:r>
        <w:rPr>
          <w:i/>
          <w:iCs/>
        </w:rPr>
        <w:t xml:space="preserve">Vascular Thoracic Outlet Syndrome.</w:t>
      </w:r>
      <w:r>
        <w:t xml:space="preserve"> </w:t>
      </w:r>
      <w:r>
        <w:t xml:space="preserve">Semin Thorac Cardiovasc Surg, 2016. —</w:t>
      </w:r>
      <w:r>
        <w:t xml:space="preserve"> </w:t>
      </w:r>
      <w:hyperlink r:id="rId90">
        <w:r>
          <w:rPr>
            <w:rStyle w:val="Hyperlink"/>
          </w:rPr>
          <w:t xml:space="preserve">PMID 27568153</w:t>
        </w:r>
      </w:hyperlink>
    </w:p>
    <w:p>
      <w:pPr>
        <w:pStyle w:val="Compact"/>
        <w:numPr>
          <w:ilvl w:val="0"/>
          <w:numId w:val="1034"/>
        </w:numPr>
      </w:pPr>
      <w:r>
        <w:t xml:space="preserve">Redebrandt HN, Brandt C, Hawran S, Bendix T.</w:t>
      </w:r>
      <w:r>
        <w:t xml:space="preserve"> </w:t>
      </w:r>
      <w:r>
        <w:rPr>
          <w:i/>
          <w:iCs/>
        </w:rPr>
        <w:t xml:space="preserve">Clinical evaluation versus magnetic resonance imaging findings in patients with radicular arm pain — A pragmatic study.</w:t>
      </w:r>
      <w:r>
        <w:t xml:space="preserve"> </w:t>
      </w:r>
      <w:r>
        <w:t xml:space="preserve">Health Sci Rep, 2022. —</w:t>
      </w:r>
      <w:r>
        <w:t xml:space="preserve"> </w:t>
      </w:r>
      <w:hyperlink r:id="rId91">
        <w:r>
          <w:rPr>
            <w:rStyle w:val="Hyperlink"/>
          </w:rPr>
          <w:t xml:space="preserve">PMID 35434382</w:t>
        </w:r>
      </w:hyperlink>
    </w:p>
    <w:p>
      <w:pPr>
        <w:pStyle w:val="Compact"/>
        <w:numPr>
          <w:ilvl w:val="0"/>
          <w:numId w:val="1034"/>
        </w:numPr>
      </w:pPr>
      <w:r>
        <w:t xml:space="preserve">Yoo JU, Zou D, Edwards WT, Bayley J, Yuan HA.</w:t>
      </w:r>
      <w:r>
        <w:t xml:space="preserve"> </w:t>
      </w:r>
      <w:r>
        <w:rPr>
          <w:i/>
          <w:iCs/>
        </w:rPr>
        <w:t xml:space="preserve">Effect of cervical spine motion on the neuroforaminal dimensions of human cervical spine.</w:t>
      </w:r>
      <w:r>
        <w:t xml:space="preserve"> </w:t>
      </w:r>
      <w:r>
        <w:t xml:space="preserve">Spine, 1992. —</w:t>
      </w:r>
      <w:r>
        <w:t xml:space="preserve"> </w:t>
      </w:r>
      <w:hyperlink r:id="rId92">
        <w:r>
          <w:rPr>
            <w:rStyle w:val="Hyperlink"/>
          </w:rPr>
          <w:t xml:space="preserve">PMID 1440000</w:t>
        </w:r>
      </w:hyperlink>
    </w:p>
    <w:p>
      <w:pPr>
        <w:pStyle w:val="Compact"/>
        <w:numPr>
          <w:ilvl w:val="0"/>
          <w:numId w:val="1034"/>
        </w:numPr>
      </w:pPr>
      <w:r>
        <w:t xml:space="preserve">Olmarker K, Rydevik B, Holm S.</w:t>
      </w:r>
      <w:r>
        <w:t xml:space="preserve"> </w:t>
      </w:r>
      <w:r>
        <w:rPr>
          <w:i/>
          <w:iCs/>
        </w:rPr>
        <w:t xml:space="preserve">Edema formation in spinal nerve roots induced by experimental, graded compression.</w:t>
      </w:r>
      <w:r>
        <w:t xml:space="preserve"> </w:t>
      </w:r>
      <w:r>
        <w:t xml:space="preserve">Spine, 1989. —</w:t>
      </w:r>
      <w:r>
        <w:t xml:space="preserve"> </w:t>
      </w:r>
      <w:hyperlink r:id="rId93">
        <w:r>
          <w:rPr>
            <w:rStyle w:val="Hyperlink"/>
          </w:rPr>
          <w:t xml:space="preserve">PMID 2546258</w:t>
        </w:r>
      </w:hyperlink>
    </w:p>
    <w:p>
      <w:pPr>
        <w:pStyle w:val="Compact"/>
        <w:numPr>
          <w:ilvl w:val="0"/>
          <w:numId w:val="1034"/>
        </w:numPr>
      </w:pPr>
      <w:r>
        <w:t xml:space="preserve">Kobayashi S, Baba H, Uchida K, et al. </w:t>
      </w:r>
      <w:r>
        <w:rPr>
          <w:i/>
          <w:iCs/>
        </w:rPr>
        <w:t xml:space="preserve">Blood circulation of cauda equina and nerve root.</w:t>
      </w:r>
      <w:r>
        <w:t xml:space="preserve"> </w:t>
      </w:r>
      <w:r>
        <w:t xml:space="preserve">Spine, 2008. —</w:t>
      </w:r>
      <w:r>
        <w:t xml:space="preserve"> </w:t>
      </w:r>
      <w:hyperlink r:id="rId94">
        <w:r>
          <w:rPr>
            <w:rStyle w:val="Hyperlink"/>
          </w:rPr>
          <w:t xml:space="preserve">PMID 18536056</w:t>
        </w:r>
      </w:hyperlink>
    </w:p>
    <w:p>
      <w:pPr>
        <w:pStyle w:val="Compact"/>
        <w:numPr>
          <w:ilvl w:val="0"/>
          <w:numId w:val="1034"/>
        </w:numPr>
      </w:pPr>
      <w:r>
        <w:t xml:space="preserve">Thoomes EJ, Arvanitidis M, van Geest S, et al. </w:t>
      </w:r>
      <w:r>
        <w:rPr>
          <w:i/>
          <w:iCs/>
        </w:rPr>
        <w:t xml:space="preserve">Diagnostic accuracy of physical examination tests for painful cervical radiculopathy: update of a systematic review and meta-analysis.</w:t>
      </w:r>
      <w:r>
        <w:t xml:space="preserve"> </w:t>
      </w:r>
      <w:r>
        <w:t xml:space="preserve">BMC Musculoskelet Disord, 2026. —</w:t>
      </w:r>
      <w:r>
        <w:t xml:space="preserve"> </w:t>
      </w:r>
      <w:hyperlink r:id="rId95">
        <w:r>
          <w:rPr>
            <w:rStyle w:val="Hyperlink"/>
          </w:rPr>
          <w:t xml:space="preserve">PMID 41680685</w:t>
        </w:r>
      </w:hyperlink>
    </w:p>
    <w:p>
      <w:pPr>
        <w:pStyle w:val="Compact"/>
        <w:numPr>
          <w:ilvl w:val="0"/>
          <w:numId w:val="1034"/>
        </w:numPr>
      </w:pPr>
      <w:r>
        <w:t xml:space="preserve">Davidson RI, Dunn EJ, Metzmaker JN.</w:t>
      </w:r>
      <w:r>
        <w:t xml:space="preserve"> </w:t>
      </w:r>
      <w:r>
        <w:rPr>
          <w:i/>
          <w:iCs/>
        </w:rPr>
        <w:t xml:space="preserve">The shoulder abduction test in the diagnosis of radicular pain in cervical extradural compressive monoradiculopathies.</w:t>
      </w:r>
      <w:r>
        <w:t xml:space="preserve"> </w:t>
      </w:r>
      <w:r>
        <w:t xml:space="preserve">Spine, 1981. —</w:t>
      </w:r>
      <w:r>
        <w:t xml:space="preserve"> </w:t>
      </w:r>
      <w:hyperlink r:id="rId96">
        <w:r>
          <w:rPr>
            <w:rStyle w:val="Hyperlink"/>
          </w:rPr>
          <w:t xml:space="preserve">PMID 7302677</w:t>
        </w:r>
      </w:hyperlink>
    </w:p>
    <w:p>
      <w:pPr>
        <w:pStyle w:val="Compact"/>
        <w:numPr>
          <w:ilvl w:val="0"/>
          <w:numId w:val="1034"/>
        </w:numPr>
      </w:pPr>
      <w:r>
        <w:t xml:space="preserve">Howe JF, Loeser JD, Calvin WH.</w:t>
      </w:r>
      <w:r>
        <w:t xml:space="preserve"> </w:t>
      </w:r>
      <w:r>
        <w:rPr>
          <w:i/>
          <w:iCs/>
        </w:rPr>
        <w:t xml:space="preserve">Mechanosensitivity of dorsal root ganglia and chronically injured axons: a physiological basis for the radicular pain of nerve root compression.</w:t>
      </w:r>
      <w:r>
        <w:t xml:space="preserve"> </w:t>
      </w:r>
      <w:r>
        <w:t xml:space="preserve">Pain, 1977. —</w:t>
      </w:r>
      <w:r>
        <w:t xml:space="preserve"> </w:t>
      </w:r>
      <w:hyperlink r:id="rId97">
        <w:r>
          <w:rPr>
            <w:rStyle w:val="Hyperlink"/>
          </w:rPr>
          <w:t xml:space="preserve">PMID 195255</w:t>
        </w:r>
      </w:hyperlink>
    </w:p>
    <w:p>
      <w:pPr>
        <w:pStyle w:val="Compact"/>
        <w:numPr>
          <w:ilvl w:val="0"/>
          <w:numId w:val="1034"/>
        </w:numPr>
      </w:pPr>
      <w:r>
        <w:t xml:space="preserve">Hodges PW, Tucker K.</w:t>
      </w:r>
      <w:r>
        <w:t xml:space="preserve"> </w:t>
      </w:r>
      <w:r>
        <w:rPr>
          <w:i/>
          <w:iCs/>
        </w:rPr>
        <w:t xml:space="preserve">Moving differently in pain: a new theory to explain the adaptation to pain.</w:t>
      </w:r>
      <w:r>
        <w:t xml:space="preserve"> </w:t>
      </w:r>
      <w:r>
        <w:t xml:space="preserve">Pain, 2011. —</w:t>
      </w:r>
      <w:r>
        <w:t xml:space="preserve"> </w:t>
      </w:r>
      <w:hyperlink r:id="rId98">
        <w:r>
          <w:rPr>
            <w:rStyle w:val="Hyperlink"/>
          </w:rPr>
          <w:t xml:space="preserve">PMID 21087823</w:t>
        </w:r>
      </w:hyperlink>
    </w:p>
    <w:p>
      <w:pPr>
        <w:pStyle w:val="Compact"/>
        <w:numPr>
          <w:ilvl w:val="0"/>
          <w:numId w:val="1034"/>
        </w:numPr>
      </w:pPr>
      <w:r>
        <w:t xml:space="preserve">Conger A, Cushman DM, Speckman RA, et al. </w:t>
      </w:r>
      <w:r>
        <w:rPr>
          <w:i/>
          <w:iCs/>
        </w:rPr>
        <w:t xml:space="preserve">The Effectiveness of Fluoroscopically Guided Cervical Transforaminal Epidural Steroid Injection for the Treatment of Radicular Pain; a Systematic Review and Meta-analysis.</w:t>
      </w:r>
      <w:r>
        <w:t xml:space="preserve"> </w:t>
      </w:r>
      <w:r>
        <w:t xml:space="preserve">Pain Med, 2020. —</w:t>
      </w:r>
      <w:r>
        <w:t xml:space="preserve"> </w:t>
      </w:r>
      <w:hyperlink r:id="rId99">
        <w:r>
          <w:rPr>
            <w:rStyle w:val="Hyperlink"/>
          </w:rPr>
          <w:t xml:space="preserve">PMID 31181148</w:t>
        </w:r>
      </w:hyperlink>
    </w:p>
    <w:p>
      <w:pPr>
        <w:pStyle w:val="Compact"/>
        <w:numPr>
          <w:ilvl w:val="0"/>
          <w:numId w:val="1034"/>
        </w:numPr>
      </w:pPr>
      <w:r>
        <w:t xml:space="preserve">Coppieters MW, Butler DS.</w:t>
      </w:r>
      <w:r>
        <w:t xml:space="preserve"> </w:t>
      </w:r>
      <w:r>
        <w:rPr>
          <w:i/>
          <w:iCs/>
        </w:rPr>
        <w:t xml:space="preserve">Do</w:t>
      </w:r>
      <w:r>
        <w:rPr>
          <w:i/>
          <w:iCs/>
        </w:rPr>
        <w:t xml:space="preserve"> </w:t>
      </w:r>
      <w:r>
        <w:rPr>
          <w:i/>
          <w:iCs/>
        </w:rPr>
        <w:t xml:space="preserve">‘sliders’</w:t>
      </w:r>
      <w:r>
        <w:rPr>
          <w:i/>
          <w:iCs/>
        </w:rPr>
        <w:t xml:space="preserve"> </w:t>
      </w:r>
      <w:r>
        <w:rPr>
          <w:i/>
          <w:iCs/>
        </w:rPr>
        <w:t xml:space="preserve">slide and</w:t>
      </w:r>
      <w:r>
        <w:rPr>
          <w:i/>
          <w:iCs/>
        </w:rPr>
        <w:t xml:space="preserve"> </w:t>
      </w:r>
      <w:r>
        <w:rPr>
          <w:i/>
          <w:iCs/>
        </w:rPr>
        <w:t xml:space="preserve">‘tensioners’</w:t>
      </w:r>
      <w:r>
        <w:rPr>
          <w:i/>
          <w:iCs/>
        </w:rPr>
        <w:t xml:space="preserve"> </w:t>
      </w:r>
      <w:r>
        <w:rPr>
          <w:i/>
          <w:iCs/>
        </w:rPr>
        <w:t xml:space="preserve">tension? An analysis of neurodynamic techniques and considerations regarding their application.</w:t>
      </w:r>
      <w:r>
        <w:t xml:space="preserve"> </w:t>
      </w:r>
      <w:r>
        <w:t xml:space="preserve">Man Ther, 2008. —</w:t>
      </w:r>
      <w:r>
        <w:t xml:space="preserve"> </w:t>
      </w:r>
      <w:hyperlink r:id="rId100">
        <w:r>
          <w:rPr>
            <w:rStyle w:val="Hyperlink"/>
          </w:rPr>
          <w:t xml:space="preserve">PMID 17398140</w:t>
        </w:r>
      </w:hyperlink>
    </w:p>
    <w:p>
      <w:pPr>
        <w:pStyle w:val="Compact"/>
        <w:numPr>
          <w:ilvl w:val="0"/>
          <w:numId w:val="1034"/>
        </w:numPr>
      </w:pPr>
      <w:r>
        <w:t xml:space="preserve">Coppieters MW, Hough AD, Dilley A.</w:t>
      </w:r>
      <w:r>
        <w:t xml:space="preserve"> </w:t>
      </w:r>
      <w:r>
        <w:rPr>
          <w:i/>
          <w:iCs/>
        </w:rPr>
        <w:t xml:space="preserve">Different nerve-gliding exercises induce different magnitudes of median nerve longitudinal excursion: an in vivo study using dynamic ultrasound imaging.</w:t>
      </w:r>
      <w:r>
        <w:t xml:space="preserve"> </w:t>
      </w:r>
      <w:r>
        <w:t xml:space="preserve">J Orthop Sports Phys Ther, 2009. —</w:t>
      </w:r>
      <w:r>
        <w:t xml:space="preserve"> </w:t>
      </w:r>
      <w:hyperlink r:id="rId101">
        <w:r>
          <w:rPr>
            <w:rStyle w:val="Hyperlink"/>
          </w:rPr>
          <w:t xml:space="preserve">PMID 19252262</w:t>
        </w:r>
      </w:hyperlink>
    </w:p>
    <w:p>
      <w:pPr>
        <w:pStyle w:val="Compact"/>
        <w:numPr>
          <w:ilvl w:val="0"/>
          <w:numId w:val="1034"/>
        </w:numPr>
      </w:pPr>
      <w:r>
        <w:t xml:space="preserve">Schmid AB, Nee RJ, Coppieters MW.</w:t>
      </w:r>
      <w:r>
        <w:t xml:space="preserve"> </w:t>
      </w:r>
      <w:r>
        <w:rPr>
          <w:i/>
          <w:iCs/>
        </w:rPr>
        <w:t xml:space="preserve">Reappraising entrapment neuropathies — mechanisms, diagnosis and management.</w:t>
      </w:r>
      <w:r>
        <w:t xml:space="preserve"> </w:t>
      </w:r>
      <w:r>
        <w:t xml:space="preserve">Man Ther, 2013. —</w:t>
      </w:r>
      <w:r>
        <w:t xml:space="preserve"> </w:t>
      </w:r>
      <w:hyperlink r:id="rId102">
        <w:r>
          <w:rPr>
            <w:rStyle w:val="Hyperlink"/>
          </w:rPr>
          <w:t xml:space="preserve">PMID 24008054</w:t>
        </w:r>
      </w:hyperlink>
    </w:p>
    <w:p>
      <w:pPr>
        <w:pStyle w:val="Compact"/>
        <w:numPr>
          <w:ilvl w:val="0"/>
          <w:numId w:val="1034"/>
        </w:numPr>
      </w:pPr>
      <w:r>
        <w:t xml:space="preserve">Schmid AB, Coppieters MW.</w:t>
      </w:r>
      <w:r>
        <w:t xml:space="preserve"> </w:t>
      </w:r>
      <w:r>
        <w:rPr>
          <w:i/>
          <w:iCs/>
        </w:rPr>
        <w:t xml:space="preserve">The double crush syndrome revisited — a Delphi study to reveal current expert views on mechanisms underlying dual nerve disorders.</w:t>
      </w:r>
      <w:r>
        <w:t xml:space="preserve"> </w:t>
      </w:r>
      <w:r>
        <w:t xml:space="preserve">Man Ther, 2011. —</w:t>
      </w:r>
      <w:r>
        <w:t xml:space="preserve"> </w:t>
      </w:r>
      <w:hyperlink r:id="rId103">
        <w:r>
          <w:rPr>
            <w:rStyle w:val="Hyperlink"/>
          </w:rPr>
          <w:t xml:space="preserve">PMID 21646036</w:t>
        </w:r>
      </w:hyperlink>
    </w:p>
    <w:p>
      <w:pPr>
        <w:pStyle w:val="Compact"/>
        <w:numPr>
          <w:ilvl w:val="0"/>
          <w:numId w:val="1034"/>
        </w:numPr>
      </w:pPr>
      <w:r>
        <w:t xml:space="preserve">Núñez de Arenas-Arroyo S, Mavridis D, Martínez-Vizcaíno V, et al. </w:t>
      </w:r>
      <w:r>
        <w:rPr>
          <w:i/>
          <w:iCs/>
        </w:rPr>
        <w:t xml:space="preserve">What components and formats of rehabilitation interventions are more effective to reduce pain in patients with cervical radiculopathy? A systematic review and component network meta-analysis.</w:t>
      </w:r>
      <w:r>
        <w:t xml:space="preserve"> </w:t>
      </w:r>
      <w:r>
        <w:t xml:space="preserve">Clin Rehabil, 2025. —</w:t>
      </w:r>
      <w:r>
        <w:t xml:space="preserve"> </w:t>
      </w:r>
      <w:hyperlink r:id="rId104">
        <w:r>
          <w:rPr>
            <w:rStyle w:val="Hyperlink"/>
          </w:rPr>
          <w:t xml:space="preserve">PMID 40776625</w:t>
        </w:r>
      </w:hyperlink>
    </w:p>
    <w:p>
      <w:pPr>
        <w:pStyle w:val="Compact"/>
        <w:numPr>
          <w:ilvl w:val="0"/>
          <w:numId w:val="1034"/>
        </w:numPr>
      </w:pPr>
      <w:r>
        <w:t xml:space="preserve">Dimitriadis Z, Kapreli E, Strimpakos N, Oldham J.</w:t>
      </w:r>
      <w:r>
        <w:t xml:space="preserve"> </w:t>
      </w:r>
      <w:r>
        <w:rPr>
          <w:i/>
          <w:iCs/>
        </w:rPr>
        <w:t xml:space="preserve">Hypocapnia in patients with chronic neck pain: association with pain, muscle function, and psychologic states.</w:t>
      </w:r>
      <w:r>
        <w:t xml:space="preserve"> </w:t>
      </w:r>
      <w:r>
        <w:t xml:space="preserve">Am J Phys Med Rehabil, 2013. —</w:t>
      </w:r>
      <w:r>
        <w:t xml:space="preserve"> </w:t>
      </w:r>
      <w:hyperlink r:id="rId105">
        <w:r>
          <w:rPr>
            <w:rStyle w:val="Hyperlink"/>
          </w:rPr>
          <w:t xml:space="preserve">PMID 23958733</w:t>
        </w:r>
      </w:hyperlink>
    </w:p>
    <w:p>
      <w:pPr>
        <w:pStyle w:val="Compact"/>
        <w:numPr>
          <w:ilvl w:val="0"/>
          <w:numId w:val="1034"/>
        </w:numPr>
      </w:pPr>
      <w:r>
        <w:t xml:space="preserve">Kapreli E, Vourazanis E, Billis E, Oldham JA, Strimpakos N.</w:t>
      </w:r>
      <w:r>
        <w:t xml:space="preserve"> </w:t>
      </w:r>
      <w:r>
        <w:rPr>
          <w:i/>
          <w:iCs/>
        </w:rPr>
        <w:t xml:space="preserve">Respiratory dysfunction in chronic neck pain patients. A pilot study.</w:t>
      </w:r>
      <w:r>
        <w:t xml:space="preserve"> </w:t>
      </w:r>
      <w:r>
        <w:t xml:space="preserve">Cephalalgia, 2009. —</w:t>
      </w:r>
      <w:r>
        <w:t xml:space="preserve"> </w:t>
      </w:r>
      <w:hyperlink r:id="rId106">
        <w:r>
          <w:rPr>
            <w:rStyle w:val="Hyperlink"/>
          </w:rPr>
          <w:t xml:space="preserve">PMID 19187335</w:t>
        </w:r>
      </w:hyperlink>
    </w:p>
    <w:p>
      <w:pPr>
        <w:pStyle w:val="Compact"/>
        <w:numPr>
          <w:ilvl w:val="0"/>
          <w:numId w:val="1034"/>
        </w:numPr>
      </w:pPr>
      <w:r>
        <w:t xml:space="preserve">Coppieters MW, Stappaerts KH, Wouters LL, Janssens K.</w:t>
      </w:r>
      <w:r>
        <w:t xml:space="preserve"> </w:t>
      </w:r>
      <w:r>
        <w:rPr>
          <w:i/>
          <w:iCs/>
        </w:rPr>
        <w:t xml:space="preserve">The immediate effects of a cervical lateral glide treatment technique in patients with neurogenic cervicobrachial pain.</w:t>
      </w:r>
      <w:r>
        <w:t xml:space="preserve"> </w:t>
      </w:r>
      <w:r>
        <w:t xml:space="preserve">J Orthop Sports Phys Ther, 2003. —</w:t>
      </w:r>
      <w:r>
        <w:t xml:space="preserve"> </w:t>
      </w:r>
      <w:hyperlink r:id="rId107">
        <w:r>
          <w:rPr>
            <w:rStyle w:val="Hyperlink"/>
          </w:rPr>
          <w:t xml:space="preserve">PMID 12918862</w:t>
        </w:r>
      </w:hyperlink>
    </w:p>
    <w:p>
      <w:pPr>
        <w:pStyle w:val="Compact"/>
        <w:numPr>
          <w:ilvl w:val="0"/>
          <w:numId w:val="1034"/>
        </w:numPr>
      </w:pPr>
      <w:r>
        <w:t xml:space="preserve">Coronado RA, Gay CW, Bialosky JE, et al. </w:t>
      </w:r>
      <w:r>
        <w:rPr>
          <w:i/>
          <w:iCs/>
        </w:rPr>
        <w:t xml:space="preserve">Changes in pain sensitivity following spinal manipulation: a systematic review and meta-analysis.</w:t>
      </w:r>
      <w:r>
        <w:t xml:space="preserve"> </w:t>
      </w:r>
      <w:r>
        <w:t xml:space="preserve">J Electromyogr Kinesiol, 2012. —</w:t>
      </w:r>
      <w:r>
        <w:t xml:space="preserve"> </w:t>
      </w:r>
      <w:hyperlink r:id="rId108">
        <w:r>
          <w:rPr>
            <w:rStyle w:val="Hyperlink"/>
          </w:rPr>
          <w:t xml:space="preserve">PMID 22296867</w:t>
        </w:r>
      </w:hyperlink>
    </w:p>
    <w:p>
      <w:pPr>
        <w:pStyle w:val="Compact"/>
        <w:numPr>
          <w:ilvl w:val="0"/>
          <w:numId w:val="1034"/>
        </w:numPr>
      </w:pPr>
      <w:r>
        <w:t xml:space="preserve">Jung A, Adamczyk WM, Szikszay TM, et al. </w:t>
      </w:r>
      <w:r>
        <w:rPr>
          <w:i/>
          <w:iCs/>
        </w:rPr>
        <w:t xml:space="preserve">Hypoalgesic Effects of Spinal Manual Therapy in Pain-Free Individuals and Patients With Musculoskeletal Pain: A Systematic Review and Meta-analysis.</w:t>
      </w:r>
      <w:r>
        <w:t xml:space="preserve"> </w:t>
      </w:r>
      <w:r>
        <w:t xml:space="preserve">Phys Ther, 2023. —</w:t>
      </w:r>
      <w:r>
        <w:t xml:space="preserve"> </w:t>
      </w:r>
      <w:hyperlink r:id="rId109">
        <w:r>
          <w:rPr>
            <w:rStyle w:val="Hyperlink"/>
          </w:rPr>
          <w:t xml:space="preserve">PMID 37172128</w:t>
        </w:r>
      </w:hyperlink>
    </w:p>
    <w:p>
      <w:pPr>
        <w:pStyle w:val="Compact"/>
        <w:numPr>
          <w:ilvl w:val="0"/>
          <w:numId w:val="1034"/>
        </w:numPr>
      </w:pPr>
      <w:r>
        <w:t xml:space="preserve">Sterling M, Jull G, Wright A.</w:t>
      </w:r>
      <w:r>
        <w:t xml:space="preserve"> </w:t>
      </w:r>
      <w:r>
        <w:rPr>
          <w:i/>
          <w:iCs/>
        </w:rPr>
        <w:t xml:space="preserve">Cervical mobilisation: concurrent effects on pain, sympathetic nervous system activity and motor activity.</w:t>
      </w:r>
      <w:r>
        <w:t xml:space="preserve"> </w:t>
      </w:r>
      <w:r>
        <w:t xml:space="preserve">Man Ther, 2001. —</w:t>
      </w:r>
      <w:r>
        <w:t xml:space="preserve"> </w:t>
      </w:r>
      <w:hyperlink r:id="rId110">
        <w:r>
          <w:rPr>
            <w:rStyle w:val="Hyperlink"/>
          </w:rPr>
          <w:t xml:space="preserve">PMID 11414776</w:t>
        </w:r>
      </w:hyperlink>
    </w:p>
    <w:p>
      <w:pPr>
        <w:pStyle w:val="Compact"/>
        <w:numPr>
          <w:ilvl w:val="0"/>
          <w:numId w:val="1034"/>
        </w:numPr>
      </w:pPr>
      <w:r>
        <w:t xml:space="preserve">Schuh-Hofer S, Wodarski R, Pfau DB, et al. </w:t>
      </w:r>
      <w:r>
        <w:rPr>
          <w:i/>
          <w:iCs/>
        </w:rPr>
        <w:t xml:space="preserve">One night of total sleep deprivation promotes a state of generalized hyperalgesia: a surrogate pain model to study the relationship of insomnia and pain.</w:t>
      </w:r>
      <w:r>
        <w:t xml:space="preserve"> </w:t>
      </w:r>
      <w:r>
        <w:t xml:space="preserve">Pain, 2013. —</w:t>
      </w:r>
      <w:r>
        <w:t xml:space="preserve"> </w:t>
      </w:r>
      <w:hyperlink r:id="rId111">
        <w:r>
          <w:rPr>
            <w:rStyle w:val="Hyperlink"/>
          </w:rPr>
          <w:t xml:space="preserve">PMID 23707287</w:t>
        </w:r>
      </w:hyperlink>
    </w:p>
    <w:p>
      <w:pPr>
        <w:pStyle w:val="Compact"/>
        <w:numPr>
          <w:ilvl w:val="0"/>
          <w:numId w:val="1034"/>
        </w:numPr>
      </w:pPr>
      <w:r>
        <w:t xml:space="preserve">Nee RJ, Vicenzino B, Jull GA, Cleland JA, Coppieters MW.</w:t>
      </w:r>
      <w:r>
        <w:t xml:space="preserve"> </w:t>
      </w:r>
      <w:r>
        <w:rPr>
          <w:i/>
          <w:iCs/>
        </w:rPr>
        <w:t xml:space="preserve">Neural tissue management provides immediate clinically relevant benefits without harmful effects for patients with nerve-related neck and arm pain: a randomised trial.</w:t>
      </w:r>
      <w:r>
        <w:t xml:space="preserve"> </w:t>
      </w:r>
      <w:r>
        <w:t xml:space="preserve">J Physiother, 2012. —</w:t>
      </w:r>
      <w:r>
        <w:t xml:space="preserve"> </w:t>
      </w:r>
      <w:hyperlink r:id="rId112">
        <w:r>
          <w:rPr>
            <w:rStyle w:val="Hyperlink"/>
          </w:rPr>
          <w:t xml:space="preserve">PMID 22341379</w:t>
        </w:r>
      </w:hyperlink>
    </w:p>
    <w:p>
      <w:pPr>
        <w:pStyle w:val="Compact"/>
        <w:numPr>
          <w:ilvl w:val="0"/>
          <w:numId w:val="1034"/>
        </w:numPr>
      </w:pPr>
      <w:r>
        <w:t xml:space="preserve">Rajasekaran S, Dilip Chand Raja S, Pushpa BT, et al. </w:t>
      </w:r>
      <w:r>
        <w:rPr>
          <w:i/>
          <w:iCs/>
        </w:rPr>
        <w:t xml:space="preserve">The catastrophization effects of an MRI report on the patient and surgeon and the benefits of</w:t>
      </w:r>
      <w:r>
        <w:rPr>
          <w:i/>
          <w:iCs/>
        </w:rPr>
        <w:t xml:space="preserve"> </w:t>
      </w:r>
      <w:r>
        <w:rPr>
          <w:i/>
          <w:iCs/>
        </w:rPr>
        <w:t xml:space="preserve">‘clinical reporting’</w:t>
      </w:r>
      <w:r>
        <w:rPr>
          <w:i/>
          <w:iCs/>
        </w:rPr>
        <w:t xml:space="preserve">: results from an RCT and blinded trials.</w:t>
      </w:r>
      <w:r>
        <w:t xml:space="preserve"> </w:t>
      </w:r>
      <w:r>
        <w:t xml:space="preserve">Eur Spine J, 2021. —</w:t>
      </w:r>
      <w:r>
        <w:t xml:space="preserve"> </w:t>
      </w:r>
      <w:hyperlink r:id="rId113">
        <w:r>
          <w:rPr>
            <w:rStyle w:val="Hyperlink"/>
          </w:rPr>
          <w:t xml:space="preserve">PMID 33748882</w:t>
        </w:r>
      </w:hyperlink>
    </w:p>
    <w:p>
      <w:pPr>
        <w:pStyle w:val="Compact"/>
        <w:numPr>
          <w:ilvl w:val="0"/>
          <w:numId w:val="1034"/>
        </w:numPr>
      </w:pPr>
      <w:r>
        <w:t xml:space="preserve">Rushton A, Carlesso LC, Flynn T, et al. </w:t>
      </w:r>
      <w:r>
        <w:rPr>
          <w:i/>
          <w:iCs/>
        </w:rPr>
        <w:t xml:space="preserve">International Framework for Examination of the Cervical Region for Potential of Vascular Pathologies of the Neck Prior to Musculoskeletal Intervention.</w:t>
      </w:r>
      <w:r>
        <w:t xml:space="preserve"> </w:t>
      </w:r>
      <w:r>
        <w:t xml:space="preserve">J Orthop Sports Phys Ther, 2023. —</w:t>
      </w:r>
      <w:r>
        <w:t xml:space="preserve"> </w:t>
      </w:r>
      <w:hyperlink r:id="rId114">
        <w:r>
          <w:rPr>
            <w:rStyle w:val="Hyperlink"/>
          </w:rPr>
          <w:t xml:space="preserve">PMID 36099171</w:t>
        </w:r>
      </w:hyperlink>
    </w:p>
    <w:p>
      <w:pPr>
        <w:pStyle w:val="Compact"/>
        <w:numPr>
          <w:ilvl w:val="0"/>
          <w:numId w:val="1034"/>
        </w:numPr>
      </w:pPr>
      <w:r>
        <w:t xml:space="preserve">Tampin B, Slater H, Hall T, Lee G, Briffa NK.</w:t>
      </w:r>
      <w:r>
        <w:t xml:space="preserve"> </w:t>
      </w:r>
      <w:r>
        <w:rPr>
          <w:i/>
          <w:iCs/>
        </w:rPr>
        <w:t xml:space="preserve">Quantitative sensory testing somatosensory profiles in patients with cervical radiculopathy are distinct from those in patients with nonspecific neck-arm pain.</w:t>
      </w:r>
      <w:r>
        <w:t xml:space="preserve"> </w:t>
      </w:r>
      <w:r>
        <w:t xml:space="preserve">Pain, 2012. —</w:t>
      </w:r>
      <w:r>
        <w:t xml:space="preserve"> </w:t>
      </w:r>
      <w:hyperlink r:id="rId115">
        <w:r>
          <w:rPr>
            <w:rStyle w:val="Hyperlink"/>
          </w:rPr>
          <w:t xml:space="preserve">PMID 22980746</w:t>
        </w:r>
      </w:hyperlink>
    </w:p>
    <w:p>
      <w:pPr>
        <w:pStyle w:val="Compact"/>
        <w:numPr>
          <w:ilvl w:val="0"/>
          <w:numId w:val="1034"/>
        </w:numPr>
      </w:pPr>
      <w:r>
        <w:t xml:space="preserve">Wainner RS, Fritz JM, Irrgang JJ, et al. </w:t>
      </w:r>
      <w:r>
        <w:rPr>
          <w:i/>
          <w:iCs/>
        </w:rPr>
        <w:t xml:space="preserve">Reliability and diagnostic accuracy of the clinical examination and patient self-report measures for cervical radiculopathy.</w:t>
      </w:r>
      <w:r>
        <w:t xml:space="preserve"> </w:t>
      </w:r>
      <w:r>
        <w:t xml:space="preserve">Spine, 2003. —</w:t>
      </w:r>
      <w:r>
        <w:t xml:space="preserve"> </w:t>
      </w:r>
      <w:hyperlink r:id="rId116">
        <w:r>
          <w:rPr>
            <w:rStyle w:val="Hyperlink"/>
          </w:rPr>
          <w:t xml:space="preserve">PMID 12544957</w:t>
        </w:r>
      </w:hyperlink>
    </w:p>
    <w:p>
      <w:pPr>
        <w:pStyle w:val="Compact"/>
        <w:numPr>
          <w:ilvl w:val="0"/>
          <w:numId w:val="1034"/>
        </w:numPr>
      </w:pPr>
      <w:r>
        <w:t xml:space="preserve">Blanpied PR, Gross AR, Elliott JM, et al. </w:t>
      </w:r>
      <w:r>
        <w:rPr>
          <w:i/>
          <w:iCs/>
        </w:rPr>
        <w:t xml:space="preserve">Neck Pain: Revision 2017. Clinical Practice Guidelines.</w:t>
      </w:r>
      <w:r>
        <w:t xml:space="preserve"> </w:t>
      </w:r>
      <w:r>
        <w:t xml:space="preserve">J Orthop Sports Phys Ther, 2017. —</w:t>
      </w:r>
      <w:r>
        <w:t xml:space="preserve"> </w:t>
      </w:r>
      <w:hyperlink r:id="rId117">
        <w:r>
          <w:rPr>
            <w:rStyle w:val="Hyperlink"/>
          </w:rPr>
          <w:t xml:space="preserve">PMID 28666405</w:t>
        </w:r>
      </w:hyperlink>
    </w:p>
    <w:p>
      <w:pPr>
        <w:pStyle w:val="Compact"/>
        <w:numPr>
          <w:ilvl w:val="0"/>
          <w:numId w:val="1034"/>
        </w:numPr>
      </w:pPr>
      <w:r>
        <w:t xml:space="preserve">Fehlings MG, Tetreault LA, Riew KD, et al. </w:t>
      </w:r>
      <w:r>
        <w:rPr>
          <w:i/>
          <w:iCs/>
        </w:rPr>
        <w:t xml:space="preserve">A Clinical Practice Guideline for the Management of Patients With Degenerative Cervical Myelopathy.</w:t>
      </w:r>
      <w:r>
        <w:t xml:space="preserve"> </w:t>
      </w:r>
      <w:r>
        <w:t xml:space="preserve">Global Spine J, 2017. —</w:t>
      </w:r>
      <w:r>
        <w:t xml:space="preserve"> </w:t>
      </w:r>
      <w:hyperlink r:id="rId118">
        <w:r>
          <w:rPr>
            <w:rStyle w:val="Hyperlink"/>
          </w:rPr>
          <w:t xml:space="preserve">PMID 29164035</w:t>
        </w:r>
      </w:hyperlink>
    </w:p>
    <w:p>
      <w:pPr>
        <w:pStyle w:val="Compact"/>
        <w:numPr>
          <w:ilvl w:val="0"/>
          <w:numId w:val="1034"/>
        </w:numPr>
      </w:pPr>
      <w:r>
        <w:t xml:space="preserve">Thomas LC.</w:t>
      </w:r>
      <w:r>
        <w:t xml:space="preserve"> </w:t>
      </w:r>
      <w:r>
        <w:rPr>
          <w:i/>
          <w:iCs/>
        </w:rPr>
        <w:t xml:space="preserve">Cervical arterial dissection: an overview and implications for manipulative therapy practice.</w:t>
      </w:r>
      <w:r>
        <w:t xml:space="preserve"> </w:t>
      </w:r>
      <w:r>
        <w:t xml:space="preserve">Man Ther, 2015. —</w:t>
      </w:r>
      <w:r>
        <w:t xml:space="preserve"> </w:t>
      </w:r>
      <w:hyperlink r:id="rId119">
        <w:r>
          <w:rPr>
            <w:rStyle w:val="Hyperlink"/>
          </w:rPr>
          <w:t xml:space="preserve">PMID 26250600</w:t>
        </w:r>
      </w:hyperlink>
    </w:p>
    <w:p>
      <w:pPr>
        <w:pStyle w:val="Compact"/>
        <w:numPr>
          <w:ilvl w:val="0"/>
          <w:numId w:val="1034"/>
        </w:numPr>
      </w:pPr>
      <w:r>
        <w:t xml:space="preserve">Davies BM, Mowforth OD, Smith EK, Kotter MRN.</w:t>
      </w:r>
      <w:r>
        <w:t xml:space="preserve"> </w:t>
      </w:r>
      <w:r>
        <w:rPr>
          <w:i/>
          <w:iCs/>
        </w:rPr>
        <w:t xml:space="preserve">Degenerative cervical myelopathy.</w:t>
      </w:r>
      <w:r>
        <w:t xml:space="preserve"> </w:t>
      </w:r>
      <w:r>
        <w:t xml:space="preserve">BMJ, 2018. —</w:t>
      </w:r>
      <w:r>
        <w:t xml:space="preserve"> </w:t>
      </w:r>
      <w:hyperlink r:id="rId120">
        <w:r>
          <w:rPr>
            <w:rStyle w:val="Hyperlink"/>
          </w:rPr>
          <w:t xml:space="preserve">PMID 29472200</w:t>
        </w:r>
      </w:hyperlink>
    </w:p>
    <w:p>
      <w:pPr>
        <w:pStyle w:val="Compact"/>
        <w:numPr>
          <w:ilvl w:val="0"/>
          <w:numId w:val="1034"/>
        </w:numPr>
      </w:pPr>
      <w:r>
        <w:t xml:space="preserve">Jiang Z, Davies B, Zipser C, et al. </w:t>
      </w:r>
      <w:r>
        <w:rPr>
          <w:i/>
          <w:iCs/>
        </w:rPr>
        <w:t xml:space="preserve">The Value of Clinical Signs in the Diagnosis of Degenerative Cervical Myelopathy — A Systematic Review and Meta-analysis.</w:t>
      </w:r>
      <w:r>
        <w:t xml:space="preserve"> </w:t>
      </w:r>
      <w:r>
        <w:t xml:space="preserve">Global Spine J, 2024. —</w:t>
      </w:r>
      <w:r>
        <w:t xml:space="preserve"> </w:t>
      </w:r>
      <w:hyperlink r:id="rId121">
        <w:r>
          <w:rPr>
            <w:rStyle w:val="Hyperlink"/>
          </w:rPr>
          <w:t xml:space="preserve">PMID 37903098</w:t>
        </w:r>
      </w:hyperlink>
    </w:p>
    <w:p>
      <w:pPr>
        <w:pStyle w:val="Compact"/>
        <w:numPr>
          <w:ilvl w:val="0"/>
          <w:numId w:val="1034"/>
        </w:numPr>
      </w:pPr>
      <w:r>
        <w:t xml:space="preserve">Vamadevan R, et al. </w:t>
      </w:r>
      <w:r>
        <w:rPr>
          <w:i/>
          <w:iCs/>
        </w:rPr>
        <w:t xml:space="preserve">Adverse events and falls associated with antiepileptic drugs for neuropathic pain in older adults: a systematic review and meta-analysis.</w:t>
      </w:r>
      <w:r>
        <w:t xml:space="preserve"> </w:t>
      </w:r>
      <w:r>
        <w:t xml:space="preserve">Geriatrics, 2025. —</w:t>
      </w:r>
      <w:r>
        <w:t xml:space="preserve"> </w:t>
      </w:r>
      <w:hyperlink r:id="rId122">
        <w:r>
          <w:rPr>
            <w:rStyle w:val="Hyperlink"/>
          </w:rPr>
          <w:t xml:space="preserve">PMID 41149363</w:t>
        </w:r>
      </w:hyperlink>
    </w:p>
    <w:p>
      <w:pPr>
        <w:pStyle w:val="Compact"/>
        <w:numPr>
          <w:ilvl w:val="0"/>
          <w:numId w:val="1034"/>
        </w:numPr>
      </w:pPr>
      <w:r>
        <w:t xml:space="preserve">Fritz JM, Thackeray A, Brennan GP, Childs JD.</w:t>
      </w:r>
      <w:r>
        <w:t xml:space="preserve"> </w:t>
      </w:r>
      <w:r>
        <w:rPr>
          <w:i/>
          <w:iCs/>
        </w:rPr>
        <w:t xml:space="preserve">Exercise only, exercise with mechanical traction, or exercise with over-door traction for patients with cervical radiculopathy.</w:t>
      </w:r>
      <w:r>
        <w:t xml:space="preserve"> </w:t>
      </w:r>
      <w:r>
        <w:t xml:space="preserve">J Orthop Sports Phys Ther, 2014. —</w:t>
      </w:r>
      <w:r>
        <w:t xml:space="preserve"> </w:t>
      </w:r>
      <w:hyperlink r:id="rId123">
        <w:r>
          <w:rPr>
            <w:rStyle w:val="Hyperlink"/>
          </w:rPr>
          <w:t xml:space="preserve">PMID 24405257</w:t>
        </w:r>
      </w:hyperlink>
    </w:p>
    <w:p>
      <w:pPr>
        <w:pStyle w:val="Compact"/>
        <w:numPr>
          <w:ilvl w:val="0"/>
          <w:numId w:val="1034"/>
        </w:numPr>
      </w:pPr>
      <w:r>
        <w:t xml:space="preserve">Thoomes EJ.</w:t>
      </w:r>
      <w:r>
        <w:t xml:space="preserve"> </w:t>
      </w:r>
      <w:r>
        <w:rPr>
          <w:i/>
          <w:iCs/>
        </w:rPr>
        <w:t xml:space="preserve">Effectiveness of manual therapy for cervical radiculopathy, a review.</w:t>
      </w:r>
      <w:r>
        <w:t xml:space="preserve"> </w:t>
      </w:r>
      <w:r>
        <w:t xml:space="preserve">Chiropr Man Therap, 2016. —</w:t>
      </w:r>
      <w:r>
        <w:t xml:space="preserve"> </w:t>
      </w:r>
      <w:hyperlink r:id="rId124">
        <w:r>
          <w:rPr>
            <w:rStyle w:val="Hyperlink"/>
          </w:rPr>
          <w:t xml:space="preserve">PMID 27980724</w:t>
        </w:r>
      </w:hyperlink>
    </w:p>
    <w:p>
      <w:pPr>
        <w:pStyle w:val="Compact"/>
        <w:numPr>
          <w:ilvl w:val="0"/>
          <w:numId w:val="1034"/>
        </w:numPr>
      </w:pPr>
      <w:r>
        <w:t xml:space="preserve">Colombo C, Salvioli S, Gianola S, Castellini G, Testa M.</w:t>
      </w:r>
      <w:r>
        <w:t xml:space="preserve"> </w:t>
      </w:r>
      <w:r>
        <w:rPr>
          <w:i/>
          <w:iCs/>
        </w:rPr>
        <w:t xml:space="preserve">Traction Therapy for Cervical Radicular Syndrome is Statistically Significant but not Clinically Relevant for Pain Relief. A Systematic Literature Review with Meta-Analysis and Trial Sequential Analysis.</w:t>
      </w:r>
      <w:r>
        <w:t xml:space="preserve"> </w:t>
      </w:r>
      <w:r>
        <w:t xml:space="preserve">J Clin Med, 2020. —</w:t>
      </w:r>
      <w:r>
        <w:t xml:space="preserve"> </w:t>
      </w:r>
      <w:hyperlink r:id="rId125">
        <w:r>
          <w:rPr>
            <w:rStyle w:val="Hyperlink"/>
          </w:rPr>
          <w:t xml:space="preserve">PMID 33105668</w:t>
        </w:r>
      </w:hyperlink>
    </w:p>
    <w:p>
      <w:pPr>
        <w:pStyle w:val="Compact"/>
        <w:numPr>
          <w:ilvl w:val="0"/>
          <w:numId w:val="1034"/>
        </w:numPr>
      </w:pPr>
      <w:r>
        <w:t xml:space="preserve">Cleland JA, Fritz JM, Whitman JM, Heath R.</w:t>
      </w:r>
      <w:r>
        <w:t xml:space="preserve"> </w:t>
      </w:r>
      <w:r>
        <w:rPr>
          <w:i/>
          <w:iCs/>
        </w:rPr>
        <w:t xml:space="preserve">Predictors of short-term outcome in people with a clinical diagnosis of cervical radiculopathy.</w:t>
      </w:r>
      <w:r>
        <w:t xml:space="preserve"> </w:t>
      </w:r>
      <w:r>
        <w:t xml:space="preserve">Phys Ther, 2007. —</w:t>
      </w:r>
      <w:r>
        <w:t xml:space="preserve"> </w:t>
      </w:r>
      <w:hyperlink r:id="rId126">
        <w:r>
          <w:rPr>
            <w:rStyle w:val="Hyperlink"/>
          </w:rPr>
          <w:t xml:space="preserve">PMID 17911271</w:t>
        </w:r>
      </w:hyperlink>
    </w:p>
    <w:p>
      <w:pPr>
        <w:pStyle w:val="Compact"/>
        <w:numPr>
          <w:ilvl w:val="0"/>
          <w:numId w:val="1034"/>
        </w:numPr>
      </w:pPr>
      <w:r>
        <w:t xml:space="preserve">Engquist M, Löfgren H, Öberg B, et al. </w:t>
      </w:r>
      <w:r>
        <w:rPr>
          <w:i/>
          <w:iCs/>
        </w:rPr>
        <w:t xml:space="preserve">Surgery versus nonsurgical treatment of cervical radiculopathy: a prospective, randomized study comparing surgery plus physiotherapy with physiotherapy alone with a 2-year follow-up.</w:t>
      </w:r>
      <w:r>
        <w:t xml:space="preserve"> </w:t>
      </w:r>
      <w:r>
        <w:t xml:space="preserve">Spine, 2013. —</w:t>
      </w:r>
      <w:r>
        <w:t xml:space="preserve"> </w:t>
      </w:r>
      <w:hyperlink r:id="rId127">
        <w:r>
          <w:rPr>
            <w:rStyle w:val="Hyperlink"/>
          </w:rPr>
          <w:t xml:space="preserve">PMID 23778373</w:t>
        </w:r>
      </w:hyperlink>
    </w:p>
    <w:p>
      <w:pPr>
        <w:pStyle w:val="Compact"/>
        <w:numPr>
          <w:ilvl w:val="0"/>
          <w:numId w:val="1034"/>
        </w:numPr>
      </w:pPr>
      <w:r>
        <w:t xml:space="preserve">Dedering Å, Peolsson A, Cleland JA, et al. </w:t>
      </w:r>
      <w:r>
        <w:rPr>
          <w:i/>
          <w:iCs/>
        </w:rPr>
        <w:t xml:space="preserve">The Effects of Neck-Specific Training Versus Prescribed Physical Activity on Pain and Disability in Patients With Cervical Radiculopathy: A Randomized Controlled Trial.</w:t>
      </w:r>
      <w:r>
        <w:t xml:space="preserve"> </w:t>
      </w:r>
      <w:r>
        <w:t xml:space="preserve">Arch Phys Med Rehabil, 2018. —</w:t>
      </w:r>
      <w:r>
        <w:t xml:space="preserve"> </w:t>
      </w:r>
      <w:hyperlink r:id="rId128">
        <w:r>
          <w:rPr>
            <w:rStyle w:val="Hyperlink"/>
          </w:rPr>
          <w:t xml:space="preserve">PMID 30473018</w:t>
        </w:r>
      </w:hyperlink>
    </w:p>
    <w:p>
      <w:pPr>
        <w:pStyle w:val="Compact"/>
        <w:numPr>
          <w:ilvl w:val="0"/>
          <w:numId w:val="1034"/>
        </w:numPr>
      </w:pPr>
      <w:r>
        <w:t xml:space="preserve">Halvorsen M, Falla D, Gizzi L, et al. </w:t>
      </w:r>
      <w:r>
        <w:rPr>
          <w:i/>
          <w:iCs/>
        </w:rPr>
        <w:t xml:space="preserve">Short- and long-term effects of exercise on neck muscle function in cervical radiculopathy: A randomized clinical trial.</w:t>
      </w:r>
      <w:r>
        <w:t xml:space="preserve"> </w:t>
      </w:r>
      <w:r>
        <w:t xml:space="preserve">J Rehabil Med, 2016. —</w:t>
      </w:r>
      <w:r>
        <w:t xml:space="preserve"> </w:t>
      </w:r>
      <w:hyperlink r:id="rId129">
        <w:r>
          <w:rPr>
            <w:rStyle w:val="Hyperlink"/>
          </w:rPr>
          <w:t xml:space="preserve">PMID 27494094</w:t>
        </w:r>
      </w:hyperlink>
    </w:p>
    <w:p>
      <w:pPr>
        <w:pStyle w:val="Compact"/>
        <w:numPr>
          <w:ilvl w:val="0"/>
          <w:numId w:val="1034"/>
        </w:numPr>
      </w:pPr>
      <w:r>
        <w:t xml:space="preserve">Jack K, McLean SM, Moffett JK, Gardiner E.</w:t>
      </w:r>
      <w:r>
        <w:t xml:space="preserve"> </w:t>
      </w:r>
      <w:r>
        <w:rPr>
          <w:i/>
          <w:iCs/>
        </w:rPr>
        <w:t xml:space="preserve">Barriers to treatment adherence in physiotherapy outpatient clinics: a systematic review.</w:t>
      </w:r>
      <w:r>
        <w:t xml:space="preserve"> </w:t>
      </w:r>
      <w:r>
        <w:t xml:space="preserve">Man Ther, 2010. —</w:t>
      </w:r>
      <w:r>
        <w:t xml:space="preserve"> </w:t>
      </w:r>
      <w:hyperlink r:id="rId130">
        <w:r>
          <w:rPr>
            <w:rStyle w:val="Hyperlink"/>
          </w:rPr>
          <w:t xml:space="preserve">PMID 20163979</w:t>
        </w:r>
      </w:hyperlink>
    </w:p>
    <w:bookmarkEnd w:id="131"/>
    <w:bookmarkEnd w:id="1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0" Target="https://pubmed.ncbi.nlm.nih.gov/11414776/" TargetMode="External" /><Relationship Type="http://schemas.openxmlformats.org/officeDocument/2006/relationships/hyperlink" Id="rId116" Target="https://pubmed.ncbi.nlm.nih.gov/12544957/" TargetMode="External" /><Relationship Type="http://schemas.openxmlformats.org/officeDocument/2006/relationships/hyperlink" Id="rId107" Target="https://pubmed.ncbi.nlm.nih.gov/12918862/" TargetMode="External" /><Relationship Type="http://schemas.openxmlformats.org/officeDocument/2006/relationships/hyperlink" Id="rId92" Target="https://pubmed.ncbi.nlm.nih.gov/1440000/" TargetMode="External" /><Relationship Type="http://schemas.openxmlformats.org/officeDocument/2006/relationships/hyperlink" Id="rId100" Target="https://pubmed.ncbi.nlm.nih.gov/17398140/" TargetMode="External" /><Relationship Type="http://schemas.openxmlformats.org/officeDocument/2006/relationships/hyperlink" Id="rId126" Target="https://pubmed.ncbi.nlm.nih.gov/17911271/" TargetMode="External" /><Relationship Type="http://schemas.openxmlformats.org/officeDocument/2006/relationships/hyperlink" Id="rId89" Target="https://pubmed.ncbi.nlm.nih.gov/18166464/" TargetMode="External" /><Relationship Type="http://schemas.openxmlformats.org/officeDocument/2006/relationships/hyperlink" Id="rId88" Target="https://pubmed.ncbi.nlm.nih.gov/18182562/" TargetMode="External" /><Relationship Type="http://schemas.openxmlformats.org/officeDocument/2006/relationships/hyperlink" Id="rId94" Target="https://pubmed.ncbi.nlm.nih.gov/18536056/" TargetMode="External" /><Relationship Type="http://schemas.openxmlformats.org/officeDocument/2006/relationships/hyperlink" Id="rId106" Target="https://pubmed.ncbi.nlm.nih.gov/19187335/" TargetMode="External" /><Relationship Type="http://schemas.openxmlformats.org/officeDocument/2006/relationships/hyperlink" Id="rId101" Target="https://pubmed.ncbi.nlm.nih.gov/19252262/" TargetMode="External" /><Relationship Type="http://schemas.openxmlformats.org/officeDocument/2006/relationships/hyperlink" Id="rId97" Target="https://pubmed.ncbi.nlm.nih.gov/195255/" TargetMode="External" /><Relationship Type="http://schemas.openxmlformats.org/officeDocument/2006/relationships/hyperlink" Id="rId82" Target="https://pubmed.ncbi.nlm.nih.gov/19812130/" TargetMode="External" /><Relationship Type="http://schemas.openxmlformats.org/officeDocument/2006/relationships/hyperlink" Id="rId130" Target="https://pubmed.ncbi.nlm.nih.gov/20163979/" TargetMode="External" /><Relationship Type="http://schemas.openxmlformats.org/officeDocument/2006/relationships/hyperlink" Id="rId98" Target="https://pubmed.ncbi.nlm.nih.gov/21087823/" TargetMode="External" /><Relationship Type="http://schemas.openxmlformats.org/officeDocument/2006/relationships/hyperlink" Id="rId103" Target="https://pubmed.ncbi.nlm.nih.gov/21646036/" TargetMode="External" /><Relationship Type="http://schemas.openxmlformats.org/officeDocument/2006/relationships/hyperlink" Id="rId108" Target="https://pubmed.ncbi.nlm.nih.gov/22296867/" TargetMode="External" /><Relationship Type="http://schemas.openxmlformats.org/officeDocument/2006/relationships/hyperlink" Id="rId112" Target="https://pubmed.ncbi.nlm.nih.gov/22341379/" TargetMode="External" /><Relationship Type="http://schemas.openxmlformats.org/officeDocument/2006/relationships/hyperlink" Id="rId115" Target="https://pubmed.ncbi.nlm.nih.gov/22980746/" TargetMode="External" /><Relationship Type="http://schemas.openxmlformats.org/officeDocument/2006/relationships/hyperlink" Id="rId111" Target="https://pubmed.ncbi.nlm.nih.gov/23707287/" TargetMode="External" /><Relationship Type="http://schemas.openxmlformats.org/officeDocument/2006/relationships/hyperlink" Id="rId127" Target="https://pubmed.ncbi.nlm.nih.gov/23778373/" TargetMode="External" /><Relationship Type="http://schemas.openxmlformats.org/officeDocument/2006/relationships/hyperlink" Id="rId105" Target="https://pubmed.ncbi.nlm.nih.gov/23958733/" TargetMode="External" /><Relationship Type="http://schemas.openxmlformats.org/officeDocument/2006/relationships/hyperlink" Id="rId102" Target="https://pubmed.ncbi.nlm.nih.gov/24008054/" TargetMode="External" /><Relationship Type="http://schemas.openxmlformats.org/officeDocument/2006/relationships/hyperlink" Id="rId123" Target="https://pubmed.ncbi.nlm.nih.gov/24405257/" TargetMode="External" /><Relationship Type="http://schemas.openxmlformats.org/officeDocument/2006/relationships/hyperlink" Id="rId86" Target="https://pubmed.ncbi.nlm.nih.gov/24614255/" TargetMode="External" /><Relationship Type="http://schemas.openxmlformats.org/officeDocument/2006/relationships/hyperlink" Id="rId93" Target="https://pubmed.ncbi.nlm.nih.gov/2546258/" TargetMode="External" /><Relationship Type="http://schemas.openxmlformats.org/officeDocument/2006/relationships/hyperlink" Id="rId87" Target="https://pubmed.ncbi.nlm.nih.gov/25584950/" TargetMode="External" /><Relationship Type="http://schemas.openxmlformats.org/officeDocument/2006/relationships/hyperlink" Id="rId119" Target="https://pubmed.ncbi.nlm.nih.gov/26250600/" TargetMode="External" /><Relationship Type="http://schemas.openxmlformats.org/officeDocument/2006/relationships/hyperlink" Id="rId129" Target="https://pubmed.ncbi.nlm.nih.gov/27494094/" TargetMode="External" /><Relationship Type="http://schemas.openxmlformats.org/officeDocument/2006/relationships/hyperlink" Id="rId90" Target="https://pubmed.ncbi.nlm.nih.gov/27568153/" TargetMode="External" /><Relationship Type="http://schemas.openxmlformats.org/officeDocument/2006/relationships/hyperlink" Id="rId124" Target="https://pubmed.ncbi.nlm.nih.gov/27980724/" TargetMode="External" /><Relationship Type="http://schemas.openxmlformats.org/officeDocument/2006/relationships/hyperlink" Id="rId117" Target="https://pubmed.ncbi.nlm.nih.gov/28666405/" TargetMode="External" /><Relationship Type="http://schemas.openxmlformats.org/officeDocument/2006/relationships/hyperlink" Id="rId118" Target="https://pubmed.ncbi.nlm.nih.gov/29164035/" TargetMode="External" /><Relationship Type="http://schemas.openxmlformats.org/officeDocument/2006/relationships/hyperlink" Id="rId120" Target="https://pubmed.ncbi.nlm.nih.gov/29472200/" TargetMode="External" /><Relationship Type="http://schemas.openxmlformats.org/officeDocument/2006/relationships/hyperlink" Id="rId128" Target="https://pubmed.ncbi.nlm.nih.gov/30473018/" TargetMode="External" /><Relationship Type="http://schemas.openxmlformats.org/officeDocument/2006/relationships/hyperlink" Id="rId99" Target="https://pubmed.ncbi.nlm.nih.gov/31181148/" TargetMode="External" /><Relationship Type="http://schemas.openxmlformats.org/officeDocument/2006/relationships/hyperlink" Id="rId125" Target="https://pubmed.ncbi.nlm.nih.gov/33105668/" TargetMode="External" /><Relationship Type="http://schemas.openxmlformats.org/officeDocument/2006/relationships/hyperlink" Id="rId113" Target="https://pubmed.ncbi.nlm.nih.gov/33748882/" TargetMode="External" /><Relationship Type="http://schemas.openxmlformats.org/officeDocument/2006/relationships/hyperlink" Id="rId84" Target="https://pubmed.ncbi.nlm.nih.gov/33974577/" TargetMode="External" /><Relationship Type="http://schemas.openxmlformats.org/officeDocument/2006/relationships/hyperlink" Id="rId91" Target="https://pubmed.ncbi.nlm.nih.gov/35434382/" TargetMode="External" /><Relationship Type="http://schemas.openxmlformats.org/officeDocument/2006/relationships/hyperlink" Id="rId81" Target="https://pubmed.ncbi.nlm.nih.gov/36056204/" TargetMode="External" /><Relationship Type="http://schemas.openxmlformats.org/officeDocument/2006/relationships/hyperlink" Id="rId114" Target="https://pubmed.ncbi.nlm.nih.gov/36099171/" TargetMode="External" /><Relationship Type="http://schemas.openxmlformats.org/officeDocument/2006/relationships/hyperlink" Id="rId109" Target="https://pubmed.ncbi.nlm.nih.gov/37172128/" TargetMode="External" /><Relationship Type="http://schemas.openxmlformats.org/officeDocument/2006/relationships/hyperlink" Id="rId121" Target="https://pubmed.ncbi.nlm.nih.gov/37903098/" TargetMode="External" /><Relationship Type="http://schemas.openxmlformats.org/officeDocument/2006/relationships/hyperlink" Id="rId83" Target="https://pubmed.ncbi.nlm.nih.gov/38087995/" TargetMode="External" /><Relationship Type="http://schemas.openxmlformats.org/officeDocument/2006/relationships/hyperlink" Id="rId80" Target="https://pubmed.ncbi.nlm.nih.gov/40576779/" TargetMode="External" /><Relationship Type="http://schemas.openxmlformats.org/officeDocument/2006/relationships/hyperlink" Id="rId104" Target="https://pubmed.ncbi.nlm.nih.gov/40776625/" TargetMode="External" /><Relationship Type="http://schemas.openxmlformats.org/officeDocument/2006/relationships/hyperlink" Id="rId122" Target="https://pubmed.ncbi.nlm.nih.gov/41149363/" TargetMode="External" /><Relationship Type="http://schemas.openxmlformats.org/officeDocument/2006/relationships/hyperlink" Id="rId95" Target="https://pubmed.ncbi.nlm.nih.gov/41680685/" TargetMode="External" /><Relationship Type="http://schemas.openxmlformats.org/officeDocument/2006/relationships/hyperlink" Id="rId96" Target="https://pubmed.ncbi.nlm.nih.gov/7302677/" TargetMode="External" /><Relationship Type="http://schemas.openxmlformats.org/officeDocument/2006/relationships/hyperlink" Id="rId85" Target="https://pubmed.ncbi.nlm.nih.gov/8186959/" TargetMode="External" /></Relationships>
</file>

<file path=word/_rels/footnotes.xml.rels><?xml version="1.0" encoding="UTF-8"?><Relationships xmlns="http://schemas.openxmlformats.org/package/2006/relationships"><Relationship Type="http://schemas.openxmlformats.org/officeDocument/2006/relationships/hyperlink" Id="rId110" Target="https://pubmed.ncbi.nlm.nih.gov/11414776/" TargetMode="External" /><Relationship Type="http://schemas.openxmlformats.org/officeDocument/2006/relationships/hyperlink" Id="rId116" Target="https://pubmed.ncbi.nlm.nih.gov/12544957/" TargetMode="External" /><Relationship Type="http://schemas.openxmlformats.org/officeDocument/2006/relationships/hyperlink" Id="rId107" Target="https://pubmed.ncbi.nlm.nih.gov/12918862/" TargetMode="External" /><Relationship Type="http://schemas.openxmlformats.org/officeDocument/2006/relationships/hyperlink" Id="rId92" Target="https://pubmed.ncbi.nlm.nih.gov/1440000/" TargetMode="External" /><Relationship Type="http://schemas.openxmlformats.org/officeDocument/2006/relationships/hyperlink" Id="rId100" Target="https://pubmed.ncbi.nlm.nih.gov/17398140/" TargetMode="External" /><Relationship Type="http://schemas.openxmlformats.org/officeDocument/2006/relationships/hyperlink" Id="rId126" Target="https://pubmed.ncbi.nlm.nih.gov/17911271/" TargetMode="External" /><Relationship Type="http://schemas.openxmlformats.org/officeDocument/2006/relationships/hyperlink" Id="rId89" Target="https://pubmed.ncbi.nlm.nih.gov/18166464/" TargetMode="External" /><Relationship Type="http://schemas.openxmlformats.org/officeDocument/2006/relationships/hyperlink" Id="rId88" Target="https://pubmed.ncbi.nlm.nih.gov/18182562/" TargetMode="External" /><Relationship Type="http://schemas.openxmlformats.org/officeDocument/2006/relationships/hyperlink" Id="rId94" Target="https://pubmed.ncbi.nlm.nih.gov/18536056/" TargetMode="External" /><Relationship Type="http://schemas.openxmlformats.org/officeDocument/2006/relationships/hyperlink" Id="rId106" Target="https://pubmed.ncbi.nlm.nih.gov/19187335/" TargetMode="External" /><Relationship Type="http://schemas.openxmlformats.org/officeDocument/2006/relationships/hyperlink" Id="rId101" Target="https://pubmed.ncbi.nlm.nih.gov/19252262/" TargetMode="External" /><Relationship Type="http://schemas.openxmlformats.org/officeDocument/2006/relationships/hyperlink" Id="rId97" Target="https://pubmed.ncbi.nlm.nih.gov/195255/" TargetMode="External" /><Relationship Type="http://schemas.openxmlformats.org/officeDocument/2006/relationships/hyperlink" Id="rId82" Target="https://pubmed.ncbi.nlm.nih.gov/19812130/" TargetMode="External" /><Relationship Type="http://schemas.openxmlformats.org/officeDocument/2006/relationships/hyperlink" Id="rId130" Target="https://pubmed.ncbi.nlm.nih.gov/20163979/" TargetMode="External" /><Relationship Type="http://schemas.openxmlformats.org/officeDocument/2006/relationships/hyperlink" Id="rId98" Target="https://pubmed.ncbi.nlm.nih.gov/21087823/" TargetMode="External" /><Relationship Type="http://schemas.openxmlformats.org/officeDocument/2006/relationships/hyperlink" Id="rId103" Target="https://pubmed.ncbi.nlm.nih.gov/21646036/" TargetMode="External" /><Relationship Type="http://schemas.openxmlformats.org/officeDocument/2006/relationships/hyperlink" Id="rId108" Target="https://pubmed.ncbi.nlm.nih.gov/22296867/" TargetMode="External" /><Relationship Type="http://schemas.openxmlformats.org/officeDocument/2006/relationships/hyperlink" Id="rId112" Target="https://pubmed.ncbi.nlm.nih.gov/22341379/" TargetMode="External" /><Relationship Type="http://schemas.openxmlformats.org/officeDocument/2006/relationships/hyperlink" Id="rId115" Target="https://pubmed.ncbi.nlm.nih.gov/22980746/" TargetMode="External" /><Relationship Type="http://schemas.openxmlformats.org/officeDocument/2006/relationships/hyperlink" Id="rId111" Target="https://pubmed.ncbi.nlm.nih.gov/23707287/" TargetMode="External" /><Relationship Type="http://schemas.openxmlformats.org/officeDocument/2006/relationships/hyperlink" Id="rId127" Target="https://pubmed.ncbi.nlm.nih.gov/23778373/" TargetMode="External" /><Relationship Type="http://schemas.openxmlformats.org/officeDocument/2006/relationships/hyperlink" Id="rId105" Target="https://pubmed.ncbi.nlm.nih.gov/23958733/" TargetMode="External" /><Relationship Type="http://schemas.openxmlformats.org/officeDocument/2006/relationships/hyperlink" Id="rId102" Target="https://pubmed.ncbi.nlm.nih.gov/24008054/" TargetMode="External" /><Relationship Type="http://schemas.openxmlformats.org/officeDocument/2006/relationships/hyperlink" Id="rId123" Target="https://pubmed.ncbi.nlm.nih.gov/24405257/" TargetMode="External" /><Relationship Type="http://schemas.openxmlformats.org/officeDocument/2006/relationships/hyperlink" Id="rId86" Target="https://pubmed.ncbi.nlm.nih.gov/24614255/" TargetMode="External" /><Relationship Type="http://schemas.openxmlformats.org/officeDocument/2006/relationships/hyperlink" Id="rId93" Target="https://pubmed.ncbi.nlm.nih.gov/2546258/" TargetMode="External" /><Relationship Type="http://schemas.openxmlformats.org/officeDocument/2006/relationships/hyperlink" Id="rId87" Target="https://pubmed.ncbi.nlm.nih.gov/25584950/" TargetMode="External" /><Relationship Type="http://schemas.openxmlformats.org/officeDocument/2006/relationships/hyperlink" Id="rId119" Target="https://pubmed.ncbi.nlm.nih.gov/26250600/" TargetMode="External" /><Relationship Type="http://schemas.openxmlformats.org/officeDocument/2006/relationships/hyperlink" Id="rId129" Target="https://pubmed.ncbi.nlm.nih.gov/27494094/" TargetMode="External" /><Relationship Type="http://schemas.openxmlformats.org/officeDocument/2006/relationships/hyperlink" Id="rId90" Target="https://pubmed.ncbi.nlm.nih.gov/27568153/" TargetMode="External" /><Relationship Type="http://schemas.openxmlformats.org/officeDocument/2006/relationships/hyperlink" Id="rId124" Target="https://pubmed.ncbi.nlm.nih.gov/27980724/" TargetMode="External" /><Relationship Type="http://schemas.openxmlformats.org/officeDocument/2006/relationships/hyperlink" Id="rId117" Target="https://pubmed.ncbi.nlm.nih.gov/28666405/" TargetMode="External" /><Relationship Type="http://schemas.openxmlformats.org/officeDocument/2006/relationships/hyperlink" Id="rId118" Target="https://pubmed.ncbi.nlm.nih.gov/29164035/" TargetMode="External" /><Relationship Type="http://schemas.openxmlformats.org/officeDocument/2006/relationships/hyperlink" Id="rId120" Target="https://pubmed.ncbi.nlm.nih.gov/29472200/" TargetMode="External" /><Relationship Type="http://schemas.openxmlformats.org/officeDocument/2006/relationships/hyperlink" Id="rId128" Target="https://pubmed.ncbi.nlm.nih.gov/30473018/" TargetMode="External" /><Relationship Type="http://schemas.openxmlformats.org/officeDocument/2006/relationships/hyperlink" Id="rId99" Target="https://pubmed.ncbi.nlm.nih.gov/31181148/" TargetMode="External" /><Relationship Type="http://schemas.openxmlformats.org/officeDocument/2006/relationships/hyperlink" Id="rId125" Target="https://pubmed.ncbi.nlm.nih.gov/33105668/" TargetMode="External" /><Relationship Type="http://schemas.openxmlformats.org/officeDocument/2006/relationships/hyperlink" Id="rId113" Target="https://pubmed.ncbi.nlm.nih.gov/33748882/" TargetMode="External" /><Relationship Type="http://schemas.openxmlformats.org/officeDocument/2006/relationships/hyperlink" Id="rId84" Target="https://pubmed.ncbi.nlm.nih.gov/33974577/" TargetMode="External" /><Relationship Type="http://schemas.openxmlformats.org/officeDocument/2006/relationships/hyperlink" Id="rId91" Target="https://pubmed.ncbi.nlm.nih.gov/35434382/" TargetMode="External" /><Relationship Type="http://schemas.openxmlformats.org/officeDocument/2006/relationships/hyperlink" Id="rId81" Target="https://pubmed.ncbi.nlm.nih.gov/36056204/" TargetMode="External" /><Relationship Type="http://schemas.openxmlformats.org/officeDocument/2006/relationships/hyperlink" Id="rId114" Target="https://pubmed.ncbi.nlm.nih.gov/36099171/" TargetMode="External" /><Relationship Type="http://schemas.openxmlformats.org/officeDocument/2006/relationships/hyperlink" Id="rId109" Target="https://pubmed.ncbi.nlm.nih.gov/37172128/" TargetMode="External" /><Relationship Type="http://schemas.openxmlformats.org/officeDocument/2006/relationships/hyperlink" Id="rId121" Target="https://pubmed.ncbi.nlm.nih.gov/37903098/" TargetMode="External" /><Relationship Type="http://schemas.openxmlformats.org/officeDocument/2006/relationships/hyperlink" Id="rId83" Target="https://pubmed.ncbi.nlm.nih.gov/38087995/" TargetMode="External" /><Relationship Type="http://schemas.openxmlformats.org/officeDocument/2006/relationships/hyperlink" Id="rId80" Target="https://pubmed.ncbi.nlm.nih.gov/40576779/" TargetMode="External" /><Relationship Type="http://schemas.openxmlformats.org/officeDocument/2006/relationships/hyperlink" Id="rId104" Target="https://pubmed.ncbi.nlm.nih.gov/40776625/" TargetMode="External" /><Relationship Type="http://schemas.openxmlformats.org/officeDocument/2006/relationships/hyperlink" Id="rId122" Target="https://pubmed.ncbi.nlm.nih.gov/41149363/" TargetMode="External" /><Relationship Type="http://schemas.openxmlformats.org/officeDocument/2006/relationships/hyperlink" Id="rId95" Target="https://pubmed.ncbi.nlm.nih.gov/41680685/" TargetMode="External" /><Relationship Type="http://schemas.openxmlformats.org/officeDocument/2006/relationships/hyperlink" Id="rId96" Target="https://pubmed.ncbi.nlm.nih.gov/7302677/" TargetMode="External" /><Relationship Type="http://schemas.openxmlformats.org/officeDocument/2006/relationships/hyperlink" Id="rId85" Target="https://pubmed.ncbi.nlm.nih.gov/818695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Cervicobrachialgia</dc:title>
  <dc:creator>Mobilitas — Direzione Osteopatica</dc:creator>
  <dc:language>it-IT</dc:language>
  <cp:keywords/>
  <dcterms:created xsi:type="dcterms:W3CDTF">2026-08-19T23:32:08Z</dcterms:created>
  <dcterms:modified xsi:type="dcterms:W3CDTF">2026-08-19T23:32:08Z</dcterms:modified>
</cp:coreProperties>
</file>

<file path=docProps/custom.xml><?xml version="1.0" encoding="utf-8"?>
<Properties xmlns="http://schemas.openxmlformats.org/officeDocument/2006/custom-properties" xmlns:vt="http://schemas.openxmlformats.org/officeDocument/2006/docPropsVTypes"/>
</file>