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Mobilitas — Direzione Osteopatica</w:t>
      </w:r>
    </w:p>
    <w:bookmarkStart w:id="17" w:name="mappa-concettuale-cervicobrachialgia"/>
    <w:p>
      <w:pPr>
        <w:pStyle w:val="Heading1"/>
      </w:pPr>
      <w:r>
        <w:t xml:space="preserve">Mappa concettuale — Cervicobrachialgia</w:t>
      </w:r>
    </w:p>
    <w:p>
      <w:pPr>
        <w:pStyle w:val="FirstParagraph"/>
      </w:pPr>
      <w:r>
        <w:rPr>
          <w:b/>
          <w:bCs/>
        </w:rPr>
        <w:t xml:space="preserve">Mobilitas · OsteoTouch</w:t>
      </w:r>
      <w:r>
        <w:t xml:space="preserve"> </w:t>
      </w:r>
      <w:r>
        <w:t xml:space="preserve">—</w:t>
      </w:r>
      <w:r>
        <w:t xml:space="preserve"> </w:t>
      </w:r>
      <w:r>
        <w:rPr>
          <w:b/>
          <w:bCs/>
        </w:rPr>
        <w:t xml:space="preserve">Ancora clinica:</w:t>
      </w:r>
      <w:r>
        <w:t xml:space="preserve"> </w:t>
      </w:r>
      <w:r>
        <w:t xml:space="preserve">Erik J. Thoomes ·</w:t>
      </w:r>
      <w:r>
        <w:t xml:space="preserve"> </w:t>
      </w:r>
      <w:r>
        <w:rPr>
          <w:b/>
          <w:bCs/>
        </w:rPr>
        <w:t xml:space="preserve">Ancora fisiologica:</w:t>
      </w:r>
      <w:r>
        <w:t xml:space="preserve"> </w:t>
      </w:r>
      <w:r>
        <w:t xml:space="preserve">Michel W. Coppieters —</w:t>
      </w:r>
      <w:r>
        <w:t xml:space="preserve"> </w:t>
      </w:r>
      <w:r>
        <w:rPr>
          <w:b/>
          <w:bCs/>
        </w:rPr>
        <w:t xml:space="preserve">v7.0 (revisione di lingua)</w:t>
      </w:r>
      <w:r>
        <w:t xml:space="preserve"> </w:t>
      </w:r>
      <w:r>
        <w:t xml:space="preserve">— agosto 2026</w:t>
      </w:r>
    </w:p>
    <w:p>
      <w:r>
        <w:pict>
          <v:rect style="width:0;height:1.5pt" o:hralign="center" o:hrstd="t" o:hr="t"/>
        </w:pict>
      </w:r>
    </w:p>
    <w:bookmarkStart w:id="9" w:name="la-condizione-in-tre-righe"/>
    <w:p>
      <w:pPr>
        <w:pStyle w:val="Heading2"/>
      </w:pPr>
      <w:r>
        <w:t xml:space="preserve">1 · La condizione in tre righe</w:t>
      </w:r>
    </w:p>
    <w:p>
      <w:pPr>
        <w:pStyle w:val="FirstParagraph"/>
      </w:pPr>
      <w:r>
        <w:t xml:space="preserve">Dolore che dal collo scende lungo il braccio, per sofferenza di una radice cervicale.</w:t>
      </w:r>
      <w:r>
        <w:t xml:space="preserve"> </w:t>
      </w:r>
      <w:r>
        <w:t xml:space="preserve">Circa 83 nuovi casi ogni 100.000 persone all’anno, picco a 50-54 anni, radice più colpita C7.</w:t>
      </w:r>
      <w:r>
        <w:t xml:space="preserve"> </w:t>
      </w:r>
      <w:r>
        <w:t xml:space="preserve">Da sola migliora: nove su dieci stanno bene o quasi. Ma il grosso arriva a 4-6 mesi, e la coda a 2-3 anni.</w:t>
      </w:r>
    </w:p>
    <w:p>
      <w:r>
        <w:pict>
          <v:rect style="width:0;height:1.5pt" o:hralign="center" o:hrstd="t" o:hr="t"/>
        </w:pict>
      </w:r>
    </w:p>
    <w:bookmarkEnd w:id="9"/>
    <w:bookmarkStart w:id="10" w:name="la-catena-causale"/>
    <w:p>
      <w:pPr>
        <w:pStyle w:val="Heading2"/>
      </w:pPr>
      <w:r>
        <w:t xml:space="preserve">2 · La catena causale</w:t>
      </w:r>
    </w:p>
    <w:p>
      <w:pPr>
        <w:pStyle w:val="FirstParagraph"/>
      </w:pPr>
      <w:r>
        <w:rPr>
          <w:rStyle w:val="VerbatimChar"/>
        </w:rPr>
        <w:t xml:space="preserve">spazio del forame ridotto negli anni</w:t>
      </w:r>
      <w:r>
        <w:t xml:space="preserve"> </w:t>
      </w:r>
      <w:r>
        <w:t xml:space="preserve">→</w:t>
      </w:r>
      <w:r>
        <w:t xml:space="preserve"> </w:t>
      </w:r>
      <w:r>
        <w:rPr>
          <w:rStyle w:val="VerbatimChar"/>
        </w:rPr>
        <w:t xml:space="preserve">estensione del collo</w:t>
      </w:r>
      <w:r>
        <w:t xml:space="preserve"> </w:t>
      </w:r>
      <w:r>
        <w:t xml:space="preserve">→</w:t>
      </w:r>
      <w:r>
        <w:t xml:space="preserve"> </w:t>
      </w:r>
      <w:r>
        <w:rPr>
          <w:rStyle w:val="VerbatimChar"/>
        </w:rPr>
        <w:t xml:space="preserve">compressione della radice e del suo ganglio</w:t>
      </w:r>
      <w:r>
        <w:t xml:space="preserve"> </w:t>
      </w:r>
      <w:r>
        <w:t xml:space="preserve">→</w:t>
      </w:r>
      <w:r>
        <w:t xml:space="preserve"> </w:t>
      </w:r>
      <w:r>
        <w:rPr>
          <w:rStyle w:val="VerbatimChar"/>
        </w:rPr>
        <w:t xml:space="preserve">vene schiacciate, edema dentro uno spazio che non cede</w:t>
      </w:r>
      <w:r>
        <w:t xml:space="preserve"> </w:t>
      </w:r>
      <w:r>
        <w:t xml:space="preserve">→</w:t>
      </w:r>
      <w:r>
        <w:t xml:space="preserve"> </w:t>
      </w:r>
      <w:r>
        <w:rPr>
          <w:rStyle w:val="VerbatimChar"/>
        </w:rPr>
        <w:t xml:space="preserve">ganglio irritato che scarica a lungo</w:t>
      </w:r>
      <w:r>
        <w:t xml:space="preserve"> </w:t>
      </w:r>
      <w:r>
        <w:t xml:space="preserve">→</w:t>
      </w:r>
      <w:r>
        <w:t xml:space="preserve"> </w:t>
      </w:r>
      <w:r>
        <w:rPr>
          <w:rStyle w:val="VerbatimChar"/>
        </w:rPr>
        <w:t xml:space="preserve">dolore, formicolio e debolezza dove il nervo arriva</w:t>
      </w:r>
    </w:p>
    <w:p>
      <w:pPr>
        <w:pStyle w:val="BodyText"/>
      </w:pPr>
      <w:r>
        <w:t xml:space="preserve">La rotazione, misurata, non cambia il forame.</w:t>
      </w:r>
    </w:p>
    <w:p>
      <w:r>
        <w:pict>
          <v:rect style="width:0;height:1.5pt" o:hralign="center" o:hrstd="t" o:hr="t"/>
        </w:pict>
      </w:r>
    </w:p>
    <w:bookmarkEnd w:id="10"/>
    <w:bookmarkStart w:id="11" w:name="i-meccanismi-e-quanto-sono-solidi"/>
    <w:p>
      <w:pPr>
        <w:pStyle w:val="Heading2"/>
      </w:pPr>
      <w:r>
        <w:t xml:space="preserve">3 · I meccanismi e quanto sono solidi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Meccanismo</w:t>
            </w:r>
          </w:p>
        </w:tc>
        <w:tc>
          <w:tcPr/>
          <w:p>
            <w:pPr>
              <w:pStyle w:val="Compact"/>
            </w:pPr>
            <w:r>
              <w:t xml:space="preserve">Come lo riconosci</w:t>
            </w:r>
          </w:p>
        </w:tc>
        <w:tc>
          <w:tcPr/>
          <w:p>
            <w:pPr>
              <w:pStyle w:val="Compact"/>
            </w:pPr>
            <w:r>
              <w:t xml:space="preserve">Quanto è solido</w:t>
            </w:r>
          </w:p>
        </w:tc>
      </w:tr>
      <w:tr>
        <w:tc>
          <w:tcPr/>
          <w:p>
            <w:pPr>
              <w:pStyle w:val="Compact"/>
            </w:pPr>
            <w:r>
              <w:t xml:space="preserve">La porta che si stringe</w:t>
            </w:r>
          </w:p>
        </w:tc>
        <w:tc>
          <w:tcPr/>
          <w:p>
            <w:pPr>
              <w:pStyle w:val="Compact"/>
            </w:pPr>
            <w:r>
              <w:t xml:space="preserve">Spurling netto, sollievo in flessione</w:t>
            </w:r>
          </w:p>
        </w:tc>
        <w:tc>
          <w:tcPr/>
          <w:p>
            <w:pPr>
              <w:pStyle w:val="Compact"/>
            </w:pPr>
            <w:r>
              <w:t xml:space="preserve">DIMOSTRATO la geometria · PROBABILE il resto</w:t>
            </w:r>
          </w:p>
        </w:tc>
      </w:tr>
      <w:tr>
        <w:tc>
          <w:tcPr/>
          <w:p>
            <w:pPr>
              <w:pStyle w:val="Compact"/>
            </w:pPr>
            <w:r>
              <w:t xml:space="preserve">La chimica che resta accesa</w:t>
            </w:r>
          </w:p>
        </w:tc>
        <w:tc>
          <w:tcPr/>
          <w:p>
            <w:pPr>
              <w:pStyle w:val="Compact"/>
            </w:pPr>
            <w:r>
              <w:t xml:space="preserve">Dolore a riposo e di notte</w:t>
            </w:r>
          </w:p>
        </w:tc>
        <w:tc>
          <w:tcPr/>
          <w:p>
            <w:pPr>
              <w:pStyle w:val="Compact"/>
            </w:pPr>
            <w:r>
              <w:t xml:space="preserve">PROBABILE</w:t>
            </w:r>
          </w:p>
        </w:tc>
      </w:tr>
      <w:tr>
        <w:tc>
          <w:tcPr/>
          <w:p>
            <w:pPr>
              <w:pStyle w:val="Compact"/>
            </w:pPr>
            <w:r>
              <w:t xml:space="preserve">Il nervo che non scorre</w:t>
            </w:r>
          </w:p>
        </w:tc>
        <w:tc>
          <w:tcPr/>
          <w:p>
            <w:pPr>
              <w:pStyle w:val="Compact"/>
            </w:pPr>
            <w:r>
              <w:t xml:space="preserve">Test positivo, cambia col polso</w:t>
            </w:r>
          </w:p>
        </w:tc>
        <w:tc>
          <w:tcPr/>
          <w:p>
            <w:pPr>
              <w:pStyle w:val="Compact"/>
            </w:pPr>
            <w:r>
              <w:t xml:space="preserve">PROBABILE</w:t>
            </w:r>
          </w:p>
        </w:tc>
      </w:tr>
      <w:tr>
        <w:tc>
          <w:tcPr/>
          <w:p>
            <w:pPr>
              <w:pStyle w:val="Compact"/>
            </w:pPr>
            <w:r>
              <w:t xml:space="preserve">Il secondo restringimento</w:t>
            </w:r>
          </w:p>
        </w:tc>
        <w:tc>
          <w:tcPr/>
          <w:p>
            <w:pPr>
              <w:pStyle w:val="Compact"/>
            </w:pPr>
            <w:r>
              <w:t xml:space="preserve">Cambia abbassando la spalla</w:t>
            </w:r>
          </w:p>
        </w:tc>
        <w:tc>
          <w:tcPr/>
          <w:p>
            <w:pPr>
              <w:pStyle w:val="Compact"/>
            </w:pPr>
            <w:r>
              <w:t xml:space="preserve">IPOTESI</w:t>
            </w:r>
          </w:p>
        </w:tc>
      </w:tr>
      <w:tr>
        <w:tc>
          <w:tcPr/>
          <w:p>
            <w:pPr>
              <w:pStyle w:val="Compact"/>
            </w:pPr>
            <w:r>
              <w:t xml:space="preserve">La difesa che si installa</w:t>
            </w:r>
          </w:p>
        </w:tc>
        <w:tc>
          <w:tcPr/>
          <w:p>
            <w:pPr>
              <w:pStyle w:val="Compact"/>
            </w:pPr>
            <w:r>
              <w:t xml:space="preserve">Ipersensibilità evocata, sonno rotto</w:t>
            </w:r>
          </w:p>
        </w:tc>
        <w:tc>
          <w:tcPr/>
          <w:p>
            <w:pPr>
              <w:pStyle w:val="Compact"/>
            </w:pPr>
            <w:r>
              <w:t xml:space="preserve">PROBABILE</w:t>
            </w:r>
          </w:p>
        </w:tc>
      </w:tr>
      <w:tr>
        <w:tc>
          <w:tcPr/>
          <w:p>
            <w:pPr>
              <w:pStyle w:val="Compact"/>
            </w:pPr>
            <w:r>
              <w:t xml:space="preserve">Il segnale che sbaglia indirizzo</w:t>
            </w:r>
          </w:p>
        </w:tc>
        <w:tc>
          <w:tcPr/>
          <w:p>
            <w:pPr>
              <w:pStyle w:val="Compact"/>
            </w:pPr>
            <w:r>
              <w:t xml:space="preserve">Largo, sopra il gomito, niente dita</w:t>
            </w:r>
          </w:p>
        </w:tc>
        <w:tc>
          <w:tcPr/>
          <w:p>
            <w:pPr>
              <w:pStyle w:val="Compact"/>
            </w:pPr>
            <w:r>
              <w:t xml:space="preserve">RAGIONAMENTO</w:t>
            </w:r>
          </w:p>
        </w:tc>
      </w:tr>
    </w:tbl>
    <w:p>
      <w:pPr>
        <w:pStyle w:val="BodyText"/>
      </w:pPr>
      <w:r>
        <w:t xml:space="preserve">Le mani non decomprimono la radice e non modificano l’immagine. Cambiano quanto il nervo viene disturbato lungo la strada.</w:t>
      </w:r>
    </w:p>
    <w:p>
      <w:r>
        <w:pict>
          <v:rect style="width:0;height:1.5pt" o:hralign="center" o:hrstd="t" o:hr="t"/>
        </w:pict>
      </w:r>
    </w:p>
    <w:bookmarkEnd w:id="11"/>
    <w:bookmarkStart w:id="12" w:name="i-sottotipi-e-chi-comanda"/>
    <w:p>
      <w:pPr>
        <w:pStyle w:val="Heading2"/>
      </w:pPr>
      <w:r>
        <w:t xml:space="preserve">4 · I sottotipi e chi comanda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Quanto puoi fare</w:t>
            </w:r>
          </w:p>
        </w:tc>
      </w:tr>
      <w:tr>
        <w:tc>
          <w:tcPr/>
          <w:p>
            <w:pPr>
              <w:pStyle w:val="Compact"/>
            </w:pPr>
            <w:r>
              <w:t xml:space="preserve">Meccanico posizionale</w:t>
            </w:r>
          </w:p>
        </w:tc>
        <w:tc>
          <w:tcPr/>
          <w:p>
            <w:pPr>
              <w:pStyle w:val="Compact"/>
            </w:pPr>
            <w:r>
              <w:t xml:space="preserve">Peggiora guardando in alto</w:t>
            </w:r>
          </w:p>
        </w:tc>
        <w:tc>
          <w:tcPr/>
          <w:p>
            <w:pPr>
              <w:pStyle w:val="Compact"/>
            </w:pPr>
            <w:r>
              <w:t xml:space="preserve">Molto</w:t>
            </w:r>
          </w:p>
        </w:tc>
      </w:tr>
      <w:tr>
        <w:tc>
          <w:tcPr/>
          <w:p>
            <w:pPr>
              <w:pStyle w:val="Compact"/>
            </w:pPr>
            <w:r>
              <w:t xml:space="preserve">Chimico irritativo</w:t>
            </w:r>
          </w:p>
        </w:tc>
        <w:tc>
          <w:tcPr/>
          <w:p>
            <w:pPr>
              <w:pStyle w:val="Compact"/>
            </w:pPr>
            <w:r>
              <w:t xml:space="preserve">Dolore a riposo, notte insonne</w:t>
            </w:r>
          </w:p>
        </w:tc>
        <w:tc>
          <w:tcPr/>
          <w:p>
            <w:pPr>
              <w:pStyle w:val="Compact"/>
            </w:pPr>
            <w:r>
              <w:t xml:space="preserve">Abbastanza</w:t>
            </w:r>
          </w:p>
        </w:tc>
      </w:tr>
      <w:tr>
        <w:tc>
          <w:tcPr/>
          <w:p>
            <w:pPr>
              <w:pStyle w:val="Compact"/>
            </w:pPr>
            <w:r>
              <w:t xml:space="preserve">Neurodinamico</w:t>
            </w:r>
          </w:p>
        </w:tc>
        <w:tc>
          <w:tcPr/>
          <w:p>
            <w:pPr>
              <w:pStyle w:val="Compact"/>
            </w:pPr>
            <w:r>
              <w:t xml:space="preserve">Cambia muovendo il polso</w:t>
            </w:r>
          </w:p>
        </w:tc>
        <w:tc>
          <w:tcPr/>
          <w:p>
            <w:pPr>
              <w:pStyle w:val="Compact"/>
            </w:pPr>
            <w:r>
              <w:t xml:space="preserve">Molto</w:t>
            </w:r>
          </w:p>
        </w:tc>
      </w:tr>
      <w:tr>
        <w:tc>
          <w:tcPr/>
          <w:p>
            <w:pPr>
              <w:pStyle w:val="Compact"/>
            </w:pPr>
            <w:r>
              <w:t xml:space="preserve">Riferito somatico</w:t>
            </w:r>
          </w:p>
        </w:tc>
        <w:tc>
          <w:tcPr/>
          <w:p>
            <w:pPr>
              <w:pStyle w:val="Compact"/>
            </w:pPr>
            <w:r>
              <w:t xml:space="preserve">Largo, sopra il gomito</w:t>
            </w:r>
          </w:p>
        </w:tc>
        <w:tc>
          <w:tcPr/>
          <w:p>
            <w:pPr>
              <w:pStyle w:val="Compact"/>
            </w:pPr>
            <w:r>
              <w:t xml:space="preserve">Molto</w:t>
            </w:r>
          </w:p>
        </w:tc>
      </w:tr>
      <w:tr>
        <w:tc>
          <w:tcPr/>
          <w:p>
            <w:pPr>
              <w:pStyle w:val="Compact"/>
            </w:pPr>
            <w:r>
              <w:t xml:space="preserve">Sensibilizzato</w:t>
            </w:r>
          </w:p>
        </w:tc>
        <w:tc>
          <w:tcPr/>
          <w:p>
            <w:pPr>
              <w:pStyle w:val="Compact"/>
            </w:pPr>
            <w:r>
              <w:t xml:space="preserve">Ipersensibilità evocata nella zona</w:t>
            </w:r>
          </w:p>
        </w:tc>
        <w:tc>
          <w:tcPr/>
          <w:p>
            <w:pPr>
              <w:pStyle w:val="Compact"/>
            </w:pPr>
            <w:r>
              <w:t xml:space="preserve">Abbastanza</w:t>
            </w:r>
          </w:p>
        </w:tc>
      </w:tr>
      <w:tr>
        <w:tc>
          <w:tcPr/>
          <w:p>
            <w:pPr>
              <w:pStyle w:val="Compact"/>
            </w:pPr>
            <w:r>
              <w:t xml:space="preserve">Deficit progressivo</w:t>
            </w:r>
          </w:p>
        </w:tc>
        <w:tc>
          <w:tcPr/>
          <w:p>
            <w:pPr>
              <w:pStyle w:val="Compact"/>
            </w:pPr>
            <w:r>
              <w:t xml:space="preserve">Forza che cala ogni settimana</w:t>
            </w:r>
          </w:p>
        </w:tc>
        <w:tc>
          <w:tcPr/>
          <w:p>
            <w:pPr>
              <w:pStyle w:val="Compact"/>
            </w:pPr>
            <w:r>
              <w:t xml:space="preserve">Niente: invio</w:t>
            </w:r>
          </w:p>
        </w:tc>
      </w:tr>
    </w:tbl>
    <w:p>
      <w:r>
        <w:pict>
          <v:rect style="width:0;height:1.5pt" o:hralign="center" o:hrstd="t" o:hr="t"/>
        </w:pict>
      </w:r>
    </w:p>
    <w:bookmarkEnd w:id="12"/>
    <w:bookmarkStart w:id="13" w:name="cosa-fa-il-paziente-da-solo"/>
    <w:p>
      <w:pPr>
        <w:pStyle w:val="Heading2"/>
      </w:pPr>
      <w:r>
        <w:t xml:space="preserve">5 · Cosa fa il paziente da solo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Strumento</w:t>
            </w:r>
          </w:p>
        </w:tc>
        <w:tc>
          <w:tcPr/>
          <w:p>
            <w:pPr>
              <w:pStyle w:val="Compact"/>
            </w:pPr>
            <w:r>
              <w:t xml:space="preserve">Su quale meccanismo</w:t>
            </w:r>
          </w:p>
        </w:tc>
        <w:tc>
          <w:tcPr/>
          <w:p>
            <w:pPr>
              <w:pStyle w:val="Compact"/>
            </w:pPr>
            <w:r>
              <w:t xml:space="preserve">Quanto è solido</w:t>
            </w:r>
          </w:p>
        </w:tc>
      </w:tr>
      <w:tr>
        <w:tc>
          <w:tcPr/>
          <w:p>
            <w:pPr>
              <w:pStyle w:val="Compact"/>
            </w:pPr>
            <w:r>
              <w:t xml:space="preserve">Scorrimento del nervo</w:t>
            </w:r>
          </w:p>
        </w:tc>
        <w:tc>
          <w:tcPr/>
          <w:p>
            <w:pPr>
              <w:pStyle w:val="Compact"/>
            </w:pPr>
            <w:r>
              <w:t xml:space="preserve">Il nervo che non scorre</w:t>
            </w:r>
          </w:p>
        </w:tc>
        <w:tc>
          <w:tcPr/>
          <w:p>
            <w:pPr>
              <w:pStyle w:val="Compact"/>
            </w:pPr>
            <w:r>
              <w:t xml:space="preserve">PROBABILE</w:t>
            </w:r>
          </w:p>
        </w:tc>
      </w:tr>
      <w:tr>
        <w:tc>
          <w:tcPr/>
          <w:p>
            <w:pPr>
              <w:pStyle w:val="Compact"/>
            </w:pPr>
            <w:r>
              <w:t xml:space="preserve">Educazione e restare attivi</w:t>
            </w:r>
          </w:p>
        </w:tc>
        <w:tc>
          <w:tcPr/>
          <w:p>
            <w:pPr>
              <w:pStyle w:val="Compact"/>
            </w:pPr>
            <w:r>
              <w:t xml:space="preserve">La difesa che si installa</w:t>
            </w:r>
          </w:p>
        </w:tc>
        <w:tc>
          <w:tcPr/>
          <w:p>
            <w:pPr>
              <w:pStyle w:val="Compact"/>
            </w:pPr>
            <w:r>
              <w:t xml:space="preserve">PROBABILE</w:t>
            </w:r>
          </w:p>
        </w:tc>
      </w:tr>
      <w:tr>
        <w:tc>
          <w:tcPr/>
          <w:p>
            <w:pPr>
              <w:pStyle w:val="Compact"/>
            </w:pPr>
            <w:r>
              <w:t xml:space="preserve">Rinforzo collo e scapola</w:t>
            </w:r>
          </w:p>
        </w:tc>
        <w:tc>
          <w:tcPr/>
          <w:p>
            <w:pPr>
              <w:pStyle w:val="Compact"/>
            </w:pPr>
            <w:r>
              <w:t xml:space="preserve">La porta che si stringe</w:t>
            </w:r>
          </w:p>
        </w:tc>
        <w:tc>
          <w:tcPr/>
          <w:p>
            <w:pPr>
              <w:pStyle w:val="Compact"/>
            </w:pPr>
            <w:r>
              <w:t xml:space="preserve">IPOTESI</w:t>
            </w:r>
          </w:p>
        </w:tc>
      </w:tr>
    </w:tbl>
    <w:p>
      <w:pPr>
        <w:pStyle w:val="BodyText"/>
      </w:pPr>
      <w:r>
        <w:t xml:space="preserve">Il rinforzo fa migliorare, ma non più di un’attività fisica generica prescritta: il più grande randomizzato non trova differenze fra i gruppi.</w:t>
      </w:r>
      <w:r>
        <w:t xml:space="preserve"> </w:t>
      </w:r>
      <w:r>
        <w:t xml:space="preserve">Scorrimento e tensione non sono la stessa cosa: 12,6 mm contro 6,1 al polso sul cadavere, 10,2 contro 1,8 al braccio nel vivente.</w:t>
      </w:r>
    </w:p>
    <w:p>
      <w:r>
        <w:pict>
          <v:rect style="width:0;height:1.5pt" o:hralign="center" o:hrstd="t" o:hr="t"/>
        </w:pict>
      </w:r>
    </w:p>
    <w:bookmarkEnd w:id="13"/>
    <w:bookmarkStart w:id="14" w:name="le-bandiere-rosse"/>
    <w:p>
      <w:pPr>
        <w:pStyle w:val="Heading2"/>
      </w:pPr>
      <w:r>
        <w:t xml:space="preserve">6 · Le bandiere rosse</w:t>
      </w:r>
    </w:p>
    <w:p>
      <w:pPr>
        <w:pStyle w:val="FirstParagraph"/>
      </w:pPr>
      <w:r>
        <w:rPr>
          <w:b/>
          <w:bCs/>
        </w:rPr>
        <w:t xml:space="preserve">Rosso immediato — non si tratta nulla, in nessun distretto</w:t>
      </w:r>
    </w:p>
    <w:p>
      <w:pPr>
        <w:pStyle w:val="Compact"/>
        <w:numPr>
          <w:ilvl w:val="0"/>
          <w:numId w:val="1001"/>
        </w:numPr>
      </w:pPr>
      <w:r>
        <w:t xml:space="preserve">Dolore al braccio che compare con lo sforzo →</w:t>
      </w:r>
      <w:r>
        <w:t xml:space="preserve"> </w:t>
      </w:r>
      <w:r>
        <w:rPr>
          <w:b/>
          <w:bCs/>
        </w:rPr>
        <w:t xml:space="preserve">112</w:t>
      </w:r>
    </w:p>
    <w:p>
      <w:pPr>
        <w:pStyle w:val="Compact"/>
        <w:numPr>
          <w:ilvl w:val="0"/>
          <w:numId w:val="1001"/>
        </w:numPr>
      </w:pPr>
      <w:r>
        <w:t xml:space="preserve">Dolore al braccio con oppressione toracica o sudorazione →</w:t>
      </w:r>
      <w:r>
        <w:t xml:space="preserve"> </w:t>
      </w:r>
      <w:r>
        <w:rPr>
          <w:b/>
          <w:bCs/>
        </w:rPr>
        <w:t xml:space="preserve">112</w:t>
      </w:r>
    </w:p>
    <w:p>
      <w:pPr>
        <w:pStyle w:val="Compact"/>
        <w:numPr>
          <w:ilvl w:val="0"/>
          <w:numId w:val="1001"/>
        </w:numPr>
      </w:pPr>
      <w:r>
        <w:t xml:space="preserve">Cefalea o cervicalgia nuova, improvvisa, mai provata prima — sola o con Horner →</w:t>
      </w:r>
      <w:r>
        <w:t xml:space="preserve"> </w:t>
      </w:r>
      <w:r>
        <w:rPr>
          <w:b/>
          <w:bCs/>
        </w:rPr>
        <w:t xml:space="preserve">112</w:t>
      </w:r>
      <w:r>
        <w:t xml:space="preserve">, senza test provocativi</w:t>
      </w:r>
    </w:p>
    <w:p>
      <w:pPr>
        <w:pStyle w:val="Compact"/>
        <w:numPr>
          <w:ilvl w:val="0"/>
          <w:numId w:val="1001"/>
        </w:numPr>
      </w:pPr>
      <w:r>
        <w:t xml:space="preserve">Mani goffe, andatura insicura, sintomi bilaterali → pronto soccorso o neurochirurgo →</w:t>
      </w:r>
      <w:r>
        <w:t xml:space="preserve"> </w:t>
      </w:r>
      <w:r>
        <w:rPr>
          <w:b/>
          <w:bCs/>
        </w:rPr>
        <w:t xml:space="preserve">Urgente</w:t>
      </w:r>
    </w:p>
    <w:p>
      <w:pPr>
        <w:pStyle w:val="Compact"/>
        <w:numPr>
          <w:ilvl w:val="0"/>
          <w:numId w:val="1001"/>
        </w:numPr>
      </w:pPr>
      <w:r>
        <w:t xml:space="preserve">Forza che peggiora ogni settimana → pronto soccorso o neurochirurgo →</w:t>
      </w:r>
      <w:r>
        <w:t xml:space="preserve"> </w:t>
      </w:r>
      <w:r>
        <w:rPr>
          <w:b/>
          <w:bCs/>
        </w:rPr>
        <w:t xml:space="preserve">Urgente</w:t>
      </w:r>
    </w:p>
    <w:p>
      <w:pPr>
        <w:pStyle w:val="Compact"/>
        <w:numPr>
          <w:ilvl w:val="0"/>
          <w:numId w:val="1001"/>
        </w:numPr>
      </w:pPr>
      <w:r>
        <w:t xml:space="preserve">Disturbi nuovi di vescica o intestino →</w:t>
      </w:r>
      <w:r>
        <w:t xml:space="preserve"> </w:t>
      </w:r>
      <w:r>
        <w:rPr>
          <w:b/>
          <w:bCs/>
        </w:rPr>
        <w:t xml:space="preserve">112</w:t>
      </w:r>
    </w:p>
    <w:p>
      <w:pPr>
        <w:pStyle w:val="Compact"/>
        <w:numPr>
          <w:ilvl w:val="0"/>
          <w:numId w:val="1001"/>
        </w:numPr>
      </w:pPr>
      <w:r>
        <w:t xml:space="preserve">Artrite reumatoide, sindrome di Down, trauma cervicale pregresso → pronto soccorso →</w:t>
      </w:r>
      <w:r>
        <w:t xml:space="preserve"> </w:t>
      </w:r>
      <w:r>
        <w:rPr>
          <w:b/>
          <w:bCs/>
        </w:rPr>
        <w:t xml:space="preserve">Urgente</w:t>
      </w:r>
    </w:p>
    <w:p>
      <w:pPr>
        <w:pStyle w:val="Compact"/>
        <w:numPr>
          <w:ilvl w:val="0"/>
          <w:numId w:val="1001"/>
        </w:numPr>
      </w:pPr>
      <w:r>
        <w:t xml:space="preserve">Trauma cervicale recente con sintomi al braccio → pronto soccorso →</w:t>
      </w:r>
      <w:r>
        <w:t xml:space="preserve"> </w:t>
      </w:r>
      <w:r>
        <w:rPr>
          <w:b/>
          <w:bCs/>
        </w:rPr>
        <w:t xml:space="preserve">Urgente</w:t>
      </w:r>
    </w:p>
    <w:p>
      <w:pPr>
        <w:pStyle w:val="Compact"/>
        <w:numPr>
          <w:ilvl w:val="0"/>
          <w:numId w:val="1001"/>
        </w:numPr>
      </w:pPr>
      <w:r>
        <w:t xml:space="preserve">Febbre o infezione recente con dolore cervicale → pronto soccorso →</w:t>
      </w:r>
      <w:r>
        <w:t xml:space="preserve"> </w:t>
      </w:r>
      <w:r>
        <w:rPr>
          <w:b/>
          <w:bCs/>
        </w:rPr>
        <w:t xml:space="preserve">Urgente</w:t>
      </w:r>
    </w:p>
    <w:p>
      <w:pPr>
        <w:pStyle w:val="FirstParagraph"/>
      </w:pPr>
      <w:r>
        <w:rPr>
          <w:b/>
          <w:bCs/>
        </w:rPr>
        <w:t xml:space="preserve">Invio non differibile — si può trattare un altro distretto</w:t>
      </w:r>
    </w:p>
    <w:p>
      <w:pPr>
        <w:pStyle w:val="Compact"/>
        <w:numPr>
          <w:ilvl w:val="0"/>
          <w:numId w:val="1002"/>
        </w:numPr>
      </w:pPr>
      <w:r>
        <w:t xml:space="preserve">Dolore notturno crescente, calo di peso, storia oncologica → curante, poi imaging →</w:t>
      </w:r>
      <w:r>
        <w:t xml:space="preserve"> </w:t>
      </w:r>
      <w:r>
        <w:rPr>
          <w:b/>
          <w:bCs/>
        </w:rPr>
        <w:t xml:space="preserve">Invio, non attendere</w:t>
      </w:r>
    </w:p>
    <w:p>
      <w:pPr>
        <w:pStyle w:val="Compact"/>
        <w:numPr>
          <w:ilvl w:val="0"/>
          <w:numId w:val="1002"/>
        </w:numPr>
      </w:pPr>
      <w:r>
        <w:t xml:space="preserve">Deficit di forza stabile ma netto → neurologo o neurochirurgo →</w:t>
      </w:r>
      <w:r>
        <w:t xml:space="preserve"> </w:t>
      </w:r>
      <w:r>
        <w:rPr>
          <w:b/>
          <w:bCs/>
        </w:rPr>
        <w:t xml:space="preserve">Invio, non attendere</w:t>
      </w:r>
    </w:p>
    <w:p>
      <w:pPr>
        <w:pStyle w:val="Compact"/>
        <w:numPr>
          <w:ilvl w:val="0"/>
          <w:numId w:val="1002"/>
        </w:numPr>
      </w:pPr>
      <w:r>
        <w:t xml:space="preserve">Braccio gonfio o cianotico, mano fredda e pallida che si affatica → curante, poi chirurgo vascolare →</w:t>
      </w:r>
      <w:r>
        <w:t xml:space="preserve"> </w:t>
      </w:r>
      <w:r>
        <w:rPr>
          <w:b/>
          <w:bCs/>
        </w:rPr>
        <w:t xml:space="preserve">Invio, non attendere</w:t>
      </w:r>
    </w:p>
    <w:p>
      <w:pPr>
        <w:pStyle w:val="Compact"/>
        <w:numPr>
          <w:ilvl w:val="0"/>
          <w:numId w:val="1002"/>
        </w:numPr>
      </w:pPr>
      <w:r>
        <w:t xml:space="preserve">Sintomi C8-T1 con Horner in fumatore → curante, poi imaging del torace →</w:t>
      </w:r>
      <w:r>
        <w:t xml:space="preserve"> </w:t>
      </w:r>
      <w:r>
        <w:rPr>
          <w:b/>
          <w:bCs/>
        </w:rPr>
        <w:t xml:space="preserve">Invio, non attendere</w:t>
      </w:r>
    </w:p>
    <w:p>
      <w:pPr>
        <w:pStyle w:val="Compact"/>
        <w:numPr>
          <w:ilvl w:val="0"/>
          <w:numId w:val="1002"/>
        </w:numPr>
      </w:pPr>
      <w:r>
        <w:t xml:space="preserve">Nessun miglioramento oltre le sei-otto settimane → curante o specialista →</w:t>
      </w:r>
      <w:r>
        <w:t xml:space="preserve"> </w:t>
      </w:r>
      <w:r>
        <w:rPr>
          <w:b/>
          <w:bCs/>
        </w:rPr>
        <w:t xml:space="preserve">Invio</w:t>
      </w:r>
    </w:p>
    <w:p>
      <w:pPr>
        <w:pStyle w:val="Compact"/>
        <w:numPr>
          <w:ilvl w:val="0"/>
          <w:numId w:val="1002"/>
        </w:numPr>
      </w:pPr>
      <w:r>
        <w:t xml:space="preserve">Diabete o neuropatia nota con sintomi bilaterali → curante, poi neurologo →</w:t>
      </w:r>
      <w:r>
        <w:t xml:space="preserve"> </w:t>
      </w:r>
      <w:r>
        <w:rPr>
          <w:b/>
          <w:bCs/>
        </w:rPr>
        <w:t xml:space="preserve">Invio programmato</w:t>
      </w:r>
    </w:p>
    <w:p>
      <w:r>
        <w:pict>
          <v:rect style="width:0;height:1.5pt" o:hralign="center" o:hrstd="t" o:hr="t"/>
        </w:pict>
      </w:r>
    </w:p>
    <w:bookmarkEnd w:id="14"/>
    <w:bookmarkStart w:id="15" w:name="come-decidi-e-su-cosa-verifichi"/>
    <w:p>
      <w:pPr>
        <w:pStyle w:val="Heading2"/>
      </w:pPr>
      <w:r>
        <w:t xml:space="preserve">7 · Come decidi, e su cosa verifichi</w:t>
      </w:r>
    </w:p>
    <w:p>
      <w:pPr>
        <w:pStyle w:val="FirstParagraph"/>
      </w:pPr>
      <w:r>
        <w:rPr>
          <w:b/>
          <w:bCs/>
        </w:rPr>
        <w:t xml:space="preserve">Road map:</w:t>
      </w:r>
      <w:r>
        <w:t xml:space="preserve"> </w:t>
      </w:r>
      <w:r>
        <w:t xml:space="preserve">cancello e forza → è davvero il nervo? → quanto è irritabile oggi? → la porta o la strada? → quanto pesa la difesa? → prendi i marker prima di toccare.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r>
      <w:tr>
        <w:tc>
          <w:tcPr/>
          <w:p>
            <w:pPr>
              <w:pStyle w:val="Compact"/>
            </w:pPr>
            <w:r>
              <w:t xml:space="preserve">Comparsa del sintomo distale</w:t>
            </w:r>
          </w:p>
        </w:tc>
        <w:tc>
          <w:tcPr/>
          <w:p>
            <w:pPr>
              <w:pStyle w:val="Compact"/>
            </w:pPr>
            <w:r>
              <w:t xml:space="preserve">Gradi di estensione del gomito</w:t>
            </w:r>
          </w:p>
        </w:tc>
        <w:tc>
          <w:tcPr/>
          <w:p>
            <w:pPr>
              <w:pStyle w:val="Compact"/>
            </w:pPr>
            <w:r>
              <w:t xml:space="preserve">≥ 15 gradi</w:t>
            </w:r>
          </w:p>
        </w:tc>
      </w:tr>
      <w:tr>
        <w:tc>
          <w:tcPr/>
          <w:p>
            <w:pPr>
              <w:pStyle w:val="Compact"/>
            </w:pPr>
            <w:r>
              <w:t xml:space="preserve">Area</w:t>
            </w:r>
            <w:r>
              <w:t xml:space="preserve"> </w:t>
            </w:r>
            <w:r>
              <w:rPr>
                <w:b/>
                <w:bCs/>
              </w:rPr>
              <w:t xml:space="preserve">e direzione</w:t>
            </w:r>
            <w:r>
              <w:t xml:space="preserve"> </w:t>
            </w:r>
            <w:r>
              <w:t xml:space="preserve">del sintomo</w:t>
            </w:r>
          </w:p>
        </w:tc>
        <w:tc>
          <w:tcPr/>
          <w:p>
            <w:pPr>
              <w:pStyle w:val="Compact"/>
            </w:pPr>
            <w:r>
              <w:t xml:space="preserve">Disegno su mappa corporea</w:t>
            </w:r>
          </w:p>
        </w:tc>
        <w:tc>
          <w:tcPr/>
          <w:p>
            <w:pPr>
              <w:pStyle w:val="Compact"/>
            </w:pPr>
            <w:r>
              <w:t xml:space="preserve">≥ 30% di superficie</w:t>
            </w:r>
          </w:p>
        </w:tc>
      </w:tr>
      <w:tr>
        <w:tc>
          <w:tcPr/>
          <w:p>
            <w:pPr>
              <w:pStyle w:val="Compact"/>
            </w:pPr>
            <w:r>
              <w:t xml:space="preserve">Rotazione cervicale sintomatica</w:t>
            </w:r>
          </w:p>
        </w:tc>
        <w:tc>
          <w:tcPr/>
          <w:p>
            <w:pPr>
              <w:pStyle w:val="Compact"/>
            </w:pPr>
            <w:r>
              <w:t xml:space="preserve">Goniometro o inclinometro</w:t>
            </w:r>
          </w:p>
        </w:tc>
        <w:tc>
          <w:tcPr/>
          <w:p>
            <w:pPr>
              <w:pStyle w:val="Compact"/>
            </w:pPr>
            <w:r>
              <w:t xml:space="preserve">≥ 10 gradi</w:t>
            </w:r>
          </w:p>
        </w:tc>
      </w:tr>
      <w:tr>
        <w:tc>
          <w:tcPr/>
          <w:p>
            <w:pPr>
              <w:pStyle w:val="Compact"/>
            </w:pPr>
            <w:r>
              <w:t xml:space="preserve">Forza del miotomo coinvolto</w:t>
            </w:r>
          </w:p>
        </w:tc>
        <w:tc>
          <w:tcPr/>
          <w:p>
            <w:pPr>
              <w:pStyle w:val="Compact"/>
            </w:pPr>
            <w:r>
              <w:t xml:space="preserve">Stesso gesto, dinamometro se C8-T1</w:t>
            </w:r>
          </w:p>
        </w:tc>
        <w:tc>
          <w:tcPr/>
          <w:p>
            <w:pPr>
              <w:pStyle w:val="Compact"/>
            </w:pPr>
            <w:r>
              <w:t xml:space="preserve">Qualunque calo</w:t>
            </w:r>
          </w:p>
        </w:tc>
      </w:tr>
    </w:tbl>
    <w:p>
      <w:pPr>
        <w:pStyle w:val="BodyText"/>
      </w:pPr>
      <w:r>
        <w:t xml:space="preserve">Le prime tre misure appartengono a piani che tratti: dicono l’effetto immediato del gesto. La prova della chiave di volta è la</w:t>
      </w:r>
      <w:r>
        <w:t xml:space="preserve"> </w:t>
      </w:r>
      <w:r>
        <w:rPr>
          <w:b/>
          <w:bCs/>
        </w:rPr>
        <w:t xml:space="preserve">sensibilità al freddo su un sito remoto</w:t>
      </w:r>
      <w:r>
        <w:t xml:space="preserve">, che non hai trattato.</w:t>
      </w:r>
      <w:r>
        <w:t xml:space="preserve"> </w:t>
      </w:r>
      <w:r>
        <w:t xml:space="preserve">La forza è una misura di</w:t>
      </w:r>
      <w:r>
        <w:t xml:space="preserve"> </w:t>
      </w:r>
      <w:r>
        <w:rPr>
          <w:b/>
          <w:bCs/>
        </w:rPr>
        <w:t xml:space="preserve">confine</w:t>
      </w:r>
      <w:r>
        <w:t xml:space="preserve">: il numero che decide se invii non può essere lo stesso che ti dà ragione.</w:t>
      </w:r>
      <w:r>
        <w:t xml:space="preserve"> </w:t>
      </w:r>
      <w:r>
        <w:t xml:space="preserve">Il sintomo che si ritira verso il collo dice continua.</w:t>
      </w:r>
      <w:r>
        <w:t xml:space="preserve"> </w:t>
      </w:r>
      <w:r>
        <w:rPr>
          <w:b/>
          <w:bCs/>
        </w:rPr>
        <w:t xml:space="preserve">Il sintomo che scende verso la mano dice fermati adesso.</w:t>
      </w:r>
    </w:p>
    <w:p>
      <w:r>
        <w:pict>
          <v:rect style="width:0;height:1.5pt" o:hralign="center" o:hrstd="t" o:hr="t"/>
        </w:pict>
      </w:r>
    </w:p>
    <w:bookmarkEnd w:id="15"/>
    <w:bookmarkStart w:id="16" w:name="la-frase-per-il-paziente"/>
    <w:p>
      <w:pPr>
        <w:pStyle w:val="Heading2"/>
      </w:pPr>
      <w:r>
        <w:t xml:space="preserve">8 · La frase per il paziente</w:t>
      </w:r>
    </w:p>
    <w:p>
      <w:pPr>
        <w:pStyle w:val="FirstParagraph"/>
      </w:pPr>
      <w:r>
        <w:rPr>
          <w:i/>
          <w:iCs/>
        </w:rPr>
        <w:t xml:space="preserve">“I nervi del braccio non nascono nel braccio: partono dal collo e passano da uno spazio stretto. Quando quello spazio si restringe, il nervo si irrita al passaggio — ma tu il male lo senti dove il nervo arriva, non dove viene stretto. Può essere per questo che il lavoro sul gomito e sulla mano non ha cambiato niente: erano l’ultima fermata. Io lavoro su tutta la strada. Il tuo medico intanto guarda la parte che spetta a lui, e le due cose vanno insieme.”</w:t>
      </w:r>
    </w:p>
    <w:p>
      <w:r>
        <w:pict>
          <v:rect style="width:0;height:1.5pt" o:hralign="center" o:hrstd="t" o:hr="t"/>
        </w:pict>
      </w:r>
    </w:p>
    <w:p>
      <w:pPr>
        <w:pStyle w:val="BlockText"/>
      </w:pPr>
      <w:r>
        <w:rPr>
          <w:b/>
          <w:bCs/>
        </w:rPr>
        <w:t xml:space="preserve">Perché ci sei tu.</w:t>
      </w:r>
      <w:r>
        <w:t xml:space="preserve"> </w:t>
      </w:r>
      <w:r>
        <w:t xml:space="preserve">Lo studio ha seguito 205 pazienti con radicolopatia cervicale recente. Chi ha ricevuto dodici sedute di fisioterapia in sei settimane con esercizi a casa ha guadagnato circa 12 millimetri su cento sul dolore al braccio rispetto al non fare niente. Nello stesso studio il collare semirigido con riposo ha ottenuto lo stesso guadagno sul braccio (Kuijper,</w:t>
      </w:r>
      <w:r>
        <w:t xml:space="preserve"> </w:t>
      </w:r>
      <w:r>
        <w:rPr>
          <w:i/>
          <w:iCs/>
        </w:rPr>
        <w:t xml:space="preserve">BMJ</w:t>
      </w:r>
      <w:r>
        <w:t xml:space="preserve"> </w:t>
      </w:r>
      <w:r>
        <w:t xml:space="preserve">2009, PMID 19812130). Questo ti autorizza a dire che nella fase precoce fare qualcosa batte l’attesa, e a misurarlo sul singolo paziente. Non ti autorizza a dire che il tuo lavoro batte il riposo: nella fase precoce quel dato non esiste.</w:t>
      </w:r>
    </w:p>
    <w:p>
      <w:r>
        <w:pict>
          <v:rect style="width:0;height:1.5pt" o:hralign="center" o:hrstd="t" o:hr="t"/>
        </w:pict>
      </w:r>
    </w:p>
    <w:p>
      <w:pPr>
        <w:pStyle w:val="BlockText"/>
      </w:pPr>
      <w:r>
        <w:rPr>
          <w:b/>
          <w:bCs/>
        </w:rPr>
        <w:t xml:space="preserve">DIMOSTRATO</w:t>
      </w:r>
      <w:r>
        <w:t xml:space="preserve"> </w:t>
      </w:r>
      <w:r>
        <w:t xml:space="preserve">studi sull’uomo, solidi ·</w:t>
      </w:r>
      <w:r>
        <w:t xml:space="preserve"> </w:t>
      </w:r>
      <w:r>
        <w:rPr>
          <w:b/>
          <w:bCs/>
        </w:rPr>
        <w:t xml:space="preserve">PROBABILE</w:t>
      </w:r>
      <w:r>
        <w:t xml:space="preserve"> </w:t>
      </w:r>
      <w:r>
        <w:t xml:space="preserve">razionale forte, prove parziali ·</w:t>
      </w:r>
      <w:r>
        <w:t xml:space="preserve"> </w:t>
      </w:r>
      <w:r>
        <w:rPr>
          <w:b/>
          <w:bCs/>
        </w:rPr>
        <w:t xml:space="preserve">IPOTESI</w:t>
      </w:r>
      <w:r>
        <w:t xml:space="preserve"> </w:t>
      </w:r>
      <w:r>
        <w:t xml:space="preserve">meccanismo coerente, nessuno studio ·</w:t>
      </w:r>
      <w:r>
        <w:t xml:space="preserve"> </w:t>
      </w:r>
      <w:r>
        <w:rPr>
          <w:b/>
          <w:bCs/>
        </w:rPr>
        <w:t xml:space="preserve">RAGIONAMENTO</w:t>
      </w:r>
      <w:r>
        <w:t xml:space="preserve"> </w:t>
      </w:r>
      <w:r>
        <w:t xml:space="preserve">cornice clinica, non una prova</w:t>
      </w:r>
    </w:p>
    <w:p>
      <w:pPr>
        <w:pStyle w:val="BlockText"/>
      </w:pPr>
      <w:r>
        <w:rPr>
          <w:b/>
          <w:bCs/>
        </w:rPr>
        <w:t xml:space="preserve">Deviazioni dichiarate dalla specifica della Mappa:</w:t>
      </w:r>
      <w:r>
        <w:t xml:space="preserve"> </w:t>
      </w:r>
      <w:r>
        <w:t xml:space="preserve">il blocco 5 (strumenti attivi) segue D-011; il blocco 7 (ragionamento clinico e marker) segue D-018, con la distinzione fra misura di effetto immediato e prova della chiave di volta di D-029; le bandiere rosse sono in due blocchi secondo l’integrazione a D-015.</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Mobilitas — Direzione Osteopatica</dc:creator>
  <dc:language>it-IT</dc:language>
  <cp:keywords/>
  <dcterms:created xsi:type="dcterms:W3CDTF">2026-08-19T23:32:08Z</dcterms:created>
  <dcterms:modified xsi:type="dcterms:W3CDTF">2026-08-19T23:32:08Z</dcterms:modified>
</cp:coreProperties>
</file>

<file path=docProps/custom.xml><?xml version="1.0" encoding="utf-8"?>
<Properties xmlns="http://schemas.openxmlformats.org/officeDocument/2006/custom-properties" xmlns:vt="http://schemas.openxmlformats.org/officeDocument/2006/docPropsVTypes"/>
</file>