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Emicrania</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65" w:name="la-bibbia-dellemicrania"/>
    <w:p>
      <w:pPr>
        <w:pStyle w:val="Heading1"/>
      </w:pPr>
      <w:r>
        <w:t xml:space="preserve">La Bibbia dell’Emicrania</w:t>
      </w:r>
    </w:p>
    <w:p>
      <w:pPr>
        <w:pStyle w:val="FirstParagraph"/>
      </w:pPr>
      <w:r>
        <w:rPr>
          <w:b/>
          <w:bCs/>
        </w:rPr>
        <w:t xml:space="preserve">Mobilitas · OsteoTouch</w:t>
      </w:r>
      <w:r>
        <w:t xml:space="preserve"> </w:t>
      </w:r>
      <w:r>
        <w:t xml:space="preserve">— documento clinico interno</w:t>
      </w:r>
      <w:r>
        <w:t xml:space="preserve"> </w:t>
      </w:r>
      <w:r>
        <w:rPr>
          <w:b/>
          <w:bCs/>
        </w:rPr>
        <w:t xml:space="preserve">Ancora clinica:</w:t>
      </w:r>
      <w:r>
        <w:t xml:space="preserve"> </w:t>
      </w:r>
      <w:r>
        <w:t xml:space="preserve">Kerstin Luedtke (Universität zu Lübeck) —</w:t>
      </w:r>
      <w:r>
        <w:t xml:space="preserve"> </w:t>
      </w:r>
      <w:r>
        <w:rPr>
          <w:b/>
          <w:bCs/>
        </w:rPr>
        <w:t xml:space="preserve">Ancora fisiologica:</w:t>
      </w:r>
      <w:r>
        <w:t xml:space="preserve"> </w:t>
      </w:r>
      <w:r>
        <w:t xml:space="preserve">Peter J. Goadsby (King’s College London), con Thomas Bartsch</w:t>
      </w:r>
      <w:r>
        <w:t xml:space="preserve"> </w:t>
      </w:r>
      <w:r>
        <w:rPr>
          <w:b/>
          <w:bCs/>
        </w:rPr>
        <w:t xml:space="preserve">Versione:</w:t>
      </w:r>
      <w:r>
        <w:t xml:space="preserve"> </w:t>
      </w:r>
      <w:r>
        <w:t xml:space="preserve">v7.0 (revisione di lingua, 6º livello) —</w:t>
      </w:r>
      <w:r>
        <w:t xml:space="preserve"> </w:t>
      </w:r>
      <w:r>
        <w:rPr>
          <w:b/>
          <w:bCs/>
        </w:rPr>
        <w:t xml:space="preserve">Data:</w:t>
      </w:r>
      <w:r>
        <w:t xml:space="preserve"> </w:t>
      </w:r>
      <w:r>
        <w:t xml:space="preserve">agosto 2026</w:t>
      </w:r>
    </w:p>
    <w:p>
      <w:r>
        <w:pict>
          <v:rect style="width:0;height:1.5pt" o:hralign="center" o:hrstd="t" o:hr="t"/>
        </w:pict>
      </w:r>
    </w:p>
    <w:bookmarkStart w:id="10"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questa è la conoscenza dell’emicrania per chi la tratta con le mani, e la prima cosa che ti insegna è quanto poco di quello che si racconta sull’emicrania e il collo è stato misurato.</w:t>
      </w:r>
    </w:p>
    <w:p>
      <w:pPr>
        <w:pStyle w:val="FirstParagraph"/>
      </w:pPr>
      <w:r>
        <w:rPr>
          <w:b/>
          <w:bCs/>
        </w:rPr>
        <w:t xml:space="preserve">A chi parla.</w:t>
      </w:r>
      <w:r>
        <w:t xml:space="preserve"> </w:t>
      </w:r>
      <w:r>
        <w:t xml:space="preserve">All’osteopata del team. Qui non trovi cos’è il trigemino. Trovi cosa fa</w:t>
      </w:r>
      <w:r>
        <w:t xml:space="preserve"> </w:t>
      </w:r>
      <w:r>
        <w:rPr>
          <w:b/>
          <w:bCs/>
        </w:rPr>
        <w:t xml:space="preserve">in questa condizione</w:t>
      </w:r>
      <w:r>
        <w:t xml:space="preserve">. E trovi perché il collo di questo paziente è quasi sempre coinvolto, e quasi mai la causa.</w:t>
      </w:r>
    </w:p>
    <w:p>
      <w:pPr>
        <w:pStyle w:val="BodyText"/>
      </w:pPr>
      <w:r>
        <w:rPr>
          <w:b/>
          <w:bCs/>
        </w:rPr>
        <w:t xml:space="preserve">Cosa c’è qui e cosa 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Questa Bibbia</w:t>
            </w:r>
          </w:p>
        </w:tc>
        <w:tc>
          <w:tcPr/>
          <w:p>
            <w:pPr>
              <w:pStyle w:val="Compact"/>
            </w:pPr>
            <w:r>
              <w:t xml:space="preserve">La Procedura (2 pagine, a parte)</w:t>
            </w:r>
          </w:p>
        </w:tc>
      </w:tr>
      <w:tr>
        <w:tc>
          <w:tcPr/>
          <w:p>
            <w:pPr>
              <w:pStyle w:val="Compact"/>
            </w:pPr>
            <w:r>
              <w:t xml:space="preserve">Cos’è, perché succede, quanto è solido</w:t>
            </w:r>
          </w:p>
        </w:tc>
        <w:tc>
          <w:tcPr/>
          <w:p>
            <w:pPr>
              <w:pStyle w:val="Compact"/>
            </w:pPr>
            <w:r>
              <w:t xml:space="preserve">Tecniche, dosi, sequenze, piano sedute</w:t>
            </w:r>
          </w:p>
        </w:tc>
      </w:tr>
    </w:tbl>
    <w:p>
      <w:pPr>
        <w:pStyle w:val="BodyText"/>
      </w:pPr>
      <w:r>
        <w:rPr>
          <w:b/>
          <w:bCs/>
        </w:rPr>
        <w:t xml:space="preserve">Come si leggono le etichette.</w:t>
      </w:r>
      <w:r>
        <w:t xml:space="preserve"> </w:t>
      </w:r>
      <w:r>
        <w:t xml:space="preserve">Ogni meccanismo, ogni modello e ogni leva porta un box che dichiara quanto è solido. Le etichette sono quattro.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Significa</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La prosa</w:t>
      </w:r>
      <w:r>
        <w:t xml:space="preserve"> </w:t>
      </w:r>
      <w:r>
        <w:rPr>
          <w:b/>
          <w:bCs/>
        </w:rPr>
        <w:t xml:space="preserve">afferma</w:t>
      </w:r>
      <w:r>
        <w:t xml:space="preserve">. L’onestà sta nell’etichetta, non nelle virgole.</w:t>
      </w:r>
    </w:p>
    <w:p>
      <w:pPr>
        <w:pStyle w:val="BodyText"/>
      </w:pPr>
      <w:r>
        <w:rPr>
          <w:b/>
          <w:bCs/>
        </w:rPr>
        <w:t xml:space="preserve">Tre parole degli studi, tradotte una volta per tutte.</w:t>
      </w:r>
    </w:p>
    <w:p>
      <w:pPr>
        <w:pStyle w:val="Compact"/>
        <w:numPr>
          <w:ilvl w:val="0"/>
          <w:numId w:val="1001"/>
        </w:numPr>
      </w:pPr>
      <w:r>
        <w:rPr>
          <w:i/>
          <w:iCs/>
        </w:rPr>
        <w:t xml:space="preserve">Certezza molto bassa</w:t>
      </w:r>
      <w:r>
        <w:t xml:space="preserve">: uno studio nuovo può ribaltare il risultato.</w:t>
      </w:r>
    </w:p>
    <w:p>
      <w:pPr>
        <w:pStyle w:val="Compact"/>
        <w:numPr>
          <w:ilvl w:val="0"/>
          <w:numId w:val="1001"/>
        </w:numPr>
      </w:pPr>
      <w:r>
        <w:rPr>
          <w:i/>
          <w:iCs/>
        </w:rPr>
        <w:t xml:space="preserve">Eterogeneità</w:t>
      </w:r>
      <w:r>
        <w:t xml:space="preserve">: risultati troppo diversi per essere sommati.</w:t>
      </w:r>
    </w:p>
    <w:p>
      <w:pPr>
        <w:pStyle w:val="Compact"/>
        <w:numPr>
          <w:ilvl w:val="0"/>
          <w:numId w:val="1001"/>
        </w:numPr>
      </w:pPr>
      <w:r>
        <w:rPr>
          <w:i/>
          <w:iCs/>
        </w:rPr>
        <w:t xml:space="preserve">Intervallo di confidenza che attraversa lo zero</w:t>
      </w:r>
      <w:r>
        <w:t xml:space="preserve">: il vantaggio poteva non esserci.</w:t>
      </w:r>
    </w:p>
    <w:bookmarkStart w:id="9" w:name="come-si-studia-questa-bibbia"/>
    <w:p>
      <w:pPr>
        <w:pStyle w:val="Heading3"/>
      </w:pPr>
      <w:r>
        <w:t xml:space="preserve">Come si studia questa Bibbia</w:t>
      </w:r>
    </w:p>
    <w:p>
      <w:pPr>
        <w:pStyle w:val="FirstParagraph"/>
      </w:pPr>
      <w:r>
        <w:t xml:space="preserve">Quattro passi. Nessun capitolo è facoltativo: quello che si poteva saltare è già stato tolto.</w:t>
      </w:r>
    </w:p>
    <w:p>
      <w:pPr>
        <w:pStyle w:val="Compact"/>
        <w:numPr>
          <w:ilvl w:val="0"/>
          <w:numId w:val="1002"/>
        </w:numPr>
      </w:pPr>
      <w:r>
        <w:rPr>
          <w:b/>
          <w:bCs/>
        </w:rPr>
        <w:t xml:space="preserve">Prima lettura tutta di fila, senza appunti.</w:t>
      </w:r>
      <w:r>
        <w:t xml:space="preserve"> </w:t>
      </w:r>
      <w:r>
        <w:t xml:space="preserve">Poi una seconda passata con un paziente vero in testa, su «Cosa si rompe» e su «Come ragiono davanti a questo paziente». Su ogni meccanismo chiediti:</w:t>
      </w:r>
      <w:r>
        <w:t xml:space="preserve"> </w:t>
      </w:r>
      <w:r>
        <w:rPr>
          <w:i/>
          <w:iCs/>
        </w:rPr>
        <w:t xml:space="preserve">era lui?</w:t>
      </w:r>
    </w:p>
    <w:p>
      <w:pPr>
        <w:pStyle w:val="Compact"/>
        <w:numPr>
          <w:ilvl w:val="0"/>
          <w:numId w:val="1002"/>
        </w:numPr>
      </w:pPr>
      <w:r>
        <w:rPr>
          <w:b/>
          <w:bCs/>
        </w:rPr>
        <w:t xml:space="preserve">La prova che conta: chiudi il documento e parla.</w:t>
      </w:r>
      <w:r>
        <w:t xml:space="preserve"> </w:t>
      </w:r>
      <w:r>
        <w:t xml:space="preserve">Di’ ad alta voce i cinque meccanismi, e da cosa si riconosce ciascuno.</w:t>
      </w:r>
      <w:r>
        <w:t xml:space="preserve"> </w:t>
      </w:r>
      <w:r>
        <w:rPr>
          <w:b/>
          <w:bCs/>
        </w:rPr>
        <w:t xml:space="preserve">Quello che non sai dire, non l’hai imparato.</w:t>
      </w:r>
    </w:p>
    <w:p>
      <w:pPr>
        <w:pStyle w:val="Compact"/>
        <w:numPr>
          <w:ilvl w:val="0"/>
          <w:numId w:val="1002"/>
        </w:numPr>
      </w:pPr>
      <w:r>
        <w:rPr>
          <w:b/>
          <w:bCs/>
        </w:rPr>
        <w:t xml:space="preserve">Prima del primo paziente leggi la Mappa concettuale, due minuti.</w:t>
      </w:r>
      <w:r>
        <w:t xml:space="preserve"> </w:t>
      </w:r>
      <w:r>
        <w:t xml:space="preserve">Non la Bibbia.</w:t>
      </w:r>
    </w:p>
    <w:p>
      <w:pPr>
        <w:pStyle w:val="Compact"/>
        <w:numPr>
          <w:ilvl w:val="0"/>
          <w:numId w:val="1002"/>
        </w:numPr>
      </w:pPr>
      <w:r>
        <w:rPr>
          <w:b/>
          <w:bCs/>
        </w:rPr>
        <w:t xml:space="preserve">Dopo i primi tre pazienti</w:t>
      </w:r>
      <w:r>
        <w:t xml:space="preserve"> </w:t>
      </w:r>
      <w:r>
        <w:t xml:space="preserve">rileggi «Dove finisce il nostro campo» e «Cosa dice la scienza».</w:t>
      </w:r>
      <w:r>
        <w:t xml:space="preserve"> </w:t>
      </w:r>
      <w:r>
        <w:rPr>
          <w:b/>
          <w:bCs/>
        </w:rPr>
        <w:t xml:space="preserve">A sei mesi</w:t>
      </w:r>
      <w:r>
        <w:t xml:space="preserve"> </w:t>
      </w:r>
      <w:r>
        <w:t xml:space="preserve">rileggi solo la Mappa: il blocco che non ti riaccende il capitolo in testa è il capitolo da rileggere.</w:t>
      </w:r>
    </w:p>
    <w:p>
      <w:pPr>
        <w:pStyle w:val="FirstParagraph"/>
      </w:pP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3"/>
        </w:numPr>
      </w:pPr>
      <w:r>
        <w:t xml:space="preserve">Questa Bibbia arriva fino al razionale della leva e si ferma lì: le tecniche stanno nella Procedura.</w:t>
      </w:r>
    </w:p>
    <w:p>
      <w:pPr>
        <w:pStyle w:val="Compact"/>
        <w:numPr>
          <w:ilvl w:val="0"/>
          <w:numId w:val="1003"/>
        </w:numPr>
      </w:pPr>
      <w:r>
        <w:t xml:space="preserve">Ogni affermazione importante porta la sua etichetta. Se manca l’etichetta, quello è un claim gonfiato.</w:t>
      </w:r>
    </w:p>
    <w:p>
      <w:pPr>
        <w:pStyle w:val="Compact"/>
        <w:numPr>
          <w:ilvl w:val="0"/>
          <w:numId w:val="1003"/>
        </w:numPr>
      </w:pPr>
      <w:r>
        <w:t xml:space="preserve">Sull’emicrania il problema non è che le prove manchino: è che le prove esistono e dicono meno di quello che si sente dire.</w:t>
      </w:r>
    </w:p>
    <w:p>
      <w:pPr>
        <w:pStyle w:val="Compact"/>
        <w:numPr>
          <w:ilvl w:val="0"/>
          <w:numId w:val="1003"/>
        </w:numPr>
      </w:pPr>
      <w:r>
        <w:rPr>
          <w:b/>
          <w:bCs/>
        </w:rPr>
        <w:t xml:space="preserve">Perché ci sei tu.</w:t>
      </w:r>
      <w:r>
        <w:t xml:space="preserve"> </w:t>
      </w:r>
      <w:r>
        <w:t xml:space="preserve">La revisione più rigorosa mette insieme sei studi e 645 pazienti. Non trova effetto sull’intensità, con certezza molto bassa. E trova</w:t>
      </w:r>
      <w:r>
        <w:t xml:space="preserve"> </w:t>
      </w:r>
      <w:r>
        <w:rPr>
          <w:b/>
          <w:bCs/>
        </w:rPr>
        <w:t xml:space="preserve">un rischio di eventi avversi circa doppio</w:t>
      </w:r>
      <w:r>
        <w:t xml:space="preserve">: un paziente in più ogni sei trattati, con la gravità non riportata in modo uniforme (Posadzki,</w:t>
      </w:r>
      <w:r>
        <w:t xml:space="preserve"> </w:t>
      </w:r>
      <w:r>
        <w:rPr>
          <w:i/>
          <w:iCs/>
        </w:rPr>
        <w:t xml:space="preserve">Syst Rev</w:t>
      </w:r>
      <w:r>
        <w:t xml:space="preserve"> </w:t>
      </w:r>
      <w:r>
        <w:t xml:space="preserve">2024, PMID 39614402). Questo ti autorizza a scrivere PROBABILE dove altri scrivono DIMOSTRATO, e a reggere il confronto con un neurologo. Non ti autorizza a promettere meno attacchi.</w:t>
      </w:r>
    </w:p>
    <w:p>
      <w:pPr>
        <w:pStyle w:val="FirstParagraph"/>
      </w:pPr>
      <w:r>
        <w:t xml:space="preserve">Buon nutrimento!</w:t>
      </w:r>
    </w:p>
    <w:p>
      <w:r>
        <w:pict>
          <v:rect style="width:0;height:1.5pt" o:hralign="center" o:hrstd="t" o:hr="t"/>
        </w:pict>
      </w:r>
    </w:p>
    <w:bookmarkEnd w:id="9"/>
    <w:bookmarkEnd w:id="10"/>
    <w:bookmarkStart w:id="15" w:name="capitolo-1-chi-ti-trova-davanti"/>
    <w:p>
      <w:pPr>
        <w:pStyle w:val="Heading2"/>
      </w:pPr>
      <w:r>
        <w:t xml:space="preserve">Capitolo 1 — Chi ti trova davanti</w:t>
      </w:r>
    </w:p>
    <w:p>
      <w:pPr>
        <w:pStyle w:val="BlockText"/>
      </w:pPr>
      <w:r>
        <w:rPr>
          <w:b/>
          <w:bCs/>
        </w:rPr>
        <w:t xml:space="preserve">In una riga:</w:t>
      </w:r>
      <w:r>
        <w:t xml:space="preserve"> </w:t>
      </w:r>
      <w:r>
        <w:t xml:space="preserve">hai davanti una persona che ha fatto tutti gli esami del cervello e a cui nessuno ha mai toccato il collo.</w:t>
      </w:r>
    </w:p>
    <w:bookmarkStart w:id="11" w:name="come-lo-racconta-lui"/>
    <w:p>
      <w:pPr>
        <w:pStyle w:val="Heading3"/>
      </w:pPr>
      <w:r>
        <w:t xml:space="preserve">Come lo racconta lui</w:t>
      </w:r>
    </w:p>
    <w:p>
      <w:pPr>
        <w:pStyle w:val="FirstParagraph"/>
      </w:pPr>
      <w:r>
        <w:t xml:space="preserve">Non dice</w:t>
      </w:r>
      <w:r>
        <w:t xml:space="preserve"> </w:t>
      </w:r>
      <w:r>
        <w:t xml:space="preserve">“cefalea”</w:t>
      </w:r>
      <w:r>
        <w:t xml:space="preserve">. Dice</w:t>
      </w:r>
      <w:r>
        <w:t xml:space="preserve"> </w:t>
      </w:r>
      <w:r>
        <w:rPr>
          <w:b/>
          <w:bCs/>
        </w:rPr>
        <w:t xml:space="preserve">i giorni</w:t>
      </w:r>
      <w:r>
        <w:t xml:space="preserve">:</w:t>
      </w:r>
      <w:r>
        <w:t xml:space="preserve"> </w:t>
      </w:r>
      <w:r>
        <w:rPr>
          <w:i/>
          <w:iCs/>
        </w:rPr>
        <w:t xml:space="preserve">“sono giornate che spariscono dal calendario.”</w:t>
      </w:r>
      <w:r>
        <w:t xml:space="preserve"> </w:t>
      </w:r>
      <w:r>
        <w:t xml:space="preserve">È la prima cosa che racconta, ed è il suo vero esito. Non l’intensità: il numero di giorni persi.</w:t>
      </w:r>
    </w:p>
    <w:p>
      <w:pPr>
        <w:pStyle w:val="BodyText"/>
      </w:pPr>
      <w:r>
        <w:t xml:space="preserve">Poi descrive l’attacco con parole fisiche:</w:t>
      </w:r>
      <w:r>
        <w:t xml:space="preserve"> </w:t>
      </w:r>
      <w:r>
        <w:rPr>
          <w:i/>
          <w:iCs/>
        </w:rPr>
        <w:t xml:space="preserve">“batte al ritmo del cuore”</w:t>
      </w:r>
      <w:r>
        <w:t xml:space="preserve">,</w:t>
      </w:r>
      <w:r>
        <w:t xml:space="preserve"> </w:t>
      </w:r>
      <w:r>
        <w:rPr>
          <w:i/>
          <w:iCs/>
        </w:rPr>
        <w:t xml:space="preserve">“da un lato solo”</w:t>
      </w:r>
      <w:r>
        <w:t xml:space="preserve">,</w:t>
      </w:r>
      <w:r>
        <w:t xml:space="preserve"> </w:t>
      </w:r>
      <w:r>
        <w:rPr>
          <w:i/>
          <w:iCs/>
        </w:rPr>
        <w:t xml:space="preserve">“se mi chino peggiora”</w:t>
      </w:r>
      <w:r>
        <w:t xml:space="preserve">,</w:t>
      </w:r>
      <w:r>
        <w:t xml:space="preserve"> </w:t>
      </w:r>
      <w:r>
        <w:rPr>
          <w:i/>
          <w:iCs/>
        </w:rPr>
        <w:t xml:space="preserve">“il rumore di una porta mi sembra un’esplosione”</w:t>
      </w:r>
      <w:r>
        <w:t xml:space="preserve">. Chi ha l’aura racconta il preavviso:</w:t>
      </w:r>
      <w:r>
        <w:t xml:space="preserve"> </w:t>
      </w:r>
      <w:r>
        <w:rPr>
          <w:i/>
          <w:iCs/>
        </w:rPr>
        <w:t xml:space="preserve">“vedo le righe, e so che ho un’ora di tempo.”</w:t>
      </w:r>
    </w:p>
    <w:p>
      <w:pPr>
        <w:pStyle w:val="BodyText"/>
      </w:pPr>
      <w:r>
        <w:t xml:space="preserve">Poi arriva la frase che gli fa più male, detta come una vecchia ferita:</w:t>
      </w:r>
      <w:r>
        <w:t xml:space="preserve"> </w:t>
      </w:r>
      <w:r>
        <w:rPr>
          <w:i/>
          <w:iCs/>
        </w:rPr>
        <w:t xml:space="preserve">“ma dai, è solo mal di testa.”</w:t>
      </w:r>
      <w:r>
        <w:t xml:space="preserve"> </w:t>
      </w:r>
      <w:r>
        <w:t xml:space="preserve">E la colpa:</w:t>
      </w:r>
      <w:r>
        <w:t xml:space="preserve"> </w:t>
      </w:r>
      <w:r>
        <w:rPr>
          <w:i/>
          <w:iCs/>
        </w:rPr>
        <w:t xml:space="preserve">“sono chiuso al buio mentre i miei figli giocano di là.”</w:t>
      </w:r>
    </w:p>
    <w:p>
      <w:pPr>
        <w:pStyle w:val="BodyText"/>
      </w:pPr>
      <w:r>
        <w:t xml:space="preserve">E in fondo, quasi per inciso, dice la cosa che ti riguarda:</w:t>
      </w:r>
      <w:r>
        <w:t xml:space="preserve"> </w:t>
      </w:r>
      <w:r>
        <w:rPr>
          <w:i/>
          <w:iCs/>
        </w:rPr>
        <w:t xml:space="preserve">“prima che arrivi ho il collo e le spalle di legno.”</w:t>
      </w:r>
    </w:p>
    <w:bookmarkEnd w:id="11"/>
    <w:bookmarkStart w:id="12" w:name="cosa-ha-già-fatto"/>
    <w:p>
      <w:pPr>
        <w:pStyle w:val="Heading3"/>
      </w:pPr>
      <w:r>
        <w:t xml:space="preserve">Cosa ha già fatto</w:t>
      </w:r>
    </w:p>
    <w:p>
      <w:pPr>
        <w:pStyle w:val="FirstParagraph"/>
      </w:pPr>
      <w:r>
        <w:t xml:space="preserve">Ha fatto il percorso giusto, tutto intero. Risonanza dell’encefalo, spesso la TAC, a volte l’angio-risonanza. Tutto normale — ed è il risultato che serviva, perché escludeva le cause serie.</w:t>
      </w:r>
    </w:p>
    <w:p>
      <w:pPr>
        <w:pStyle w:val="BodyText"/>
      </w:pPr>
      <w:r>
        <w:t xml:space="preserve">Poi i farmaci. Ha preso antidolorifici comuni, poi triptani. Se gli attacchi sono frequenti ha anche una profilassi: propranololo, topiramato, amitriptilina, flunarizina. Oppure, sempre più spesso, un</w:t>
      </w:r>
      <w:r>
        <w:t xml:space="preserve"> </w:t>
      </w:r>
      <w:r>
        <w:rPr>
          <w:b/>
          <w:bCs/>
        </w:rPr>
        <w:t xml:space="preserve">anticorpo monoclonale contro il CGRP</w:t>
      </w:r>
      <w:r>
        <w:t xml:space="preserve">, che si fa per iniezione, o un gepante, che si prende per bocca. È una classe raccomandata con qualità delle prove da moderata ad alta, e in Italia si prescrive da anni (Sacco,</w:t>
      </w:r>
      <w:r>
        <w:t xml:space="preserve"> </w:t>
      </w:r>
      <w:r>
        <w:rPr>
          <w:i/>
          <w:iCs/>
        </w:rPr>
        <w:t xml:space="preserve">J Headache Pain</w:t>
      </w:r>
      <w:r>
        <w:t xml:space="preserve"> </w:t>
      </w:r>
      <w:r>
        <w:t xml:space="preserve">2022, PMID 35690723).</w:t>
      </w:r>
    </w:p>
    <w:p>
      <w:pPr>
        <w:pStyle w:val="BodyText"/>
      </w:pPr>
      <w:r>
        <w:t xml:space="preserve">Ha tolto cioccolato e vino, ha provato gli integratori. E ha fatto qualche massaggio cervicale, che gli ha fatto bene tre giorni.</w:t>
      </w:r>
    </w:p>
    <w:p>
      <w:pPr>
        <w:pStyle w:val="BodyText"/>
      </w:pPr>
      <w:r>
        <w:t xml:space="preserve">Arriva stanco e diffidente, e non senza ragione:</w:t>
      </w:r>
      <w:r>
        <w:t xml:space="preserve"> </w:t>
      </w:r>
      <w:r>
        <w:rPr>
          <w:b/>
          <w:bCs/>
        </w:rPr>
        <w:t xml:space="preserve">gli hanno dato un nome e una profilassi, e nessuno ha guardato fuori dal cranio.</w:t>
      </w:r>
    </w:p>
    <w:p>
      <w:pPr>
        <w:pStyle w:val="BlockText"/>
      </w:pPr>
      <w:r>
        <w:rPr>
          <w:b/>
          <w:bCs/>
        </w:rPr>
        <w:t xml:space="preserve">Cosa cambia per te.</w:t>
      </w:r>
      <w:r>
        <w:t xml:space="preserve"> </w:t>
      </w:r>
      <w:r>
        <w:t xml:space="preserve">Chiedi sempre</w:t>
      </w:r>
      <w:r>
        <w:t xml:space="preserve"> </w:t>
      </w:r>
      <w:r>
        <w:rPr>
          <w:b/>
          <w:bCs/>
        </w:rPr>
        <w:t xml:space="preserve">quale profilassi prende, da quando, e se è cambiata di recente</w:t>
      </w:r>
      <w:r>
        <w:t xml:space="preserve">. Una profilassi iniziata, sospesa o saltata dentro la tua finestra di verifica sposta il diario per conto suo. Il tuo risultato diventa illeggibile, e tu non te ne accorgi.</w:t>
      </w:r>
    </w:p>
    <w:bookmarkEnd w:id="12"/>
    <w:bookmarkStart w:id="13" w:name="cosa-nessuno-ha-guardato"/>
    <w:p>
      <w:pPr>
        <w:pStyle w:val="Heading3"/>
      </w:pPr>
      <w:r>
        <w:t xml:space="preserve">Cosa nessuno ha guardato</w:t>
      </w:r>
    </w:p>
    <w:p>
      <w:pPr>
        <w:pStyle w:val="FirstParagraph"/>
      </w:pPr>
      <w:r>
        <w:t xml:space="preserve">Il percorso è corretto e non va criticato: la risonanza serviva a escludere, e ha escluso. Ma la risonanza guarda</w:t>
      </w:r>
      <w:r>
        <w:t xml:space="preserve"> </w:t>
      </w:r>
      <w:r>
        <w:rPr>
          <w:b/>
          <w:bCs/>
        </w:rPr>
        <w:t xml:space="preserve">dentro il cranio</w:t>
      </w:r>
      <w:r>
        <w:t xml:space="preserve">, e fuori non ha guardato nessuno.</w:t>
      </w:r>
    </w:p>
    <w:p>
      <w:pPr>
        <w:pStyle w:val="BodyText"/>
      </w:pPr>
      <w:r>
        <w:t xml:space="preserve">Nessuno ha palpato i primi tre segmenti cervicali tenendo la pressione dieci secondi, per vedere se il dolore si sposta in testa. Nessuno ha misurato la rotazione del primo segmento. Nessuno ha chiesto del serramento notturno. Nessuno ha premuto sul temporale o sul bordo osseo dell’orbita. Non per negligenza: quella non è la competenza del neurologo. È la tua.</w:t>
      </w:r>
    </w:p>
    <w:p>
      <w:pPr>
        <w:pStyle w:val="BodyText"/>
      </w:pPr>
      <w:r>
        <w:rPr>
          <w:b/>
          <w:bCs/>
        </w:rPr>
        <w:t xml:space="preserve">Ma non è sempre lui.</w:t>
      </w:r>
      <w:r>
        <w:t xml:space="preserve"> </w:t>
      </w:r>
      <w:r>
        <w:t xml:space="preserve">Qui è descritto l’adulto con emicrania già inquadrata e accertamenti normali. Cinque persone cambiano le regole, e le trovi in «Dove finisce il nostro campo»:</w:t>
      </w:r>
      <w:r>
        <w:t xml:space="preserve"> </w:t>
      </w:r>
      <w:r>
        <w:rPr>
          <w:b/>
          <w:bCs/>
        </w:rPr>
        <w:t xml:space="preserve">chi ha un mal di testa che ha cambiato forma</w:t>
      </w:r>
      <w:r>
        <w:t xml:space="preserve">;</w:t>
      </w:r>
      <w:r>
        <w:t xml:space="preserve"> </w:t>
      </w:r>
      <w:r>
        <w:rPr>
          <w:b/>
          <w:bCs/>
        </w:rPr>
        <w:t xml:space="preserve">chi ha cominciato dopo i cinquant’anni</w:t>
      </w:r>
      <w:r>
        <w:t xml:space="preserve">;</w:t>
      </w:r>
      <w:r>
        <w:t xml:space="preserve"> </w:t>
      </w:r>
      <w:r>
        <w:rPr>
          <w:b/>
          <w:bCs/>
        </w:rPr>
        <w:t xml:space="preserve">chi prende sintomatici più di dieci giorni al mese</w:t>
      </w:r>
      <w:r>
        <w:t xml:space="preserve">;</w:t>
      </w:r>
      <w:r>
        <w:t xml:space="preserve"> </w:t>
      </w:r>
      <w:r>
        <w:rPr>
          <w:b/>
          <w:bCs/>
        </w:rPr>
        <w:t xml:space="preserve">chi ha più di sessantacinque anni o prende anticoagulanti</w:t>
      </w:r>
      <w:r>
        <w:t xml:space="preserve">;</w:t>
      </w:r>
      <w:r>
        <w:t xml:space="preserve"> </w:t>
      </w:r>
      <w:r>
        <w:rPr>
          <w:b/>
          <w:bCs/>
        </w:rPr>
        <w:t xml:space="preserve">la donna con aura che assume un contraccettivo con estrogeni</w:t>
      </w:r>
      <w:r>
        <w:t xml:space="preserve">.</w:t>
      </w:r>
    </w:p>
    <w:bookmarkEnd w:id="13"/>
    <w:bookmarkStart w:id="14" w:name="le-tre-domande-che-ti-farà"/>
    <w:p>
      <w:pPr>
        <w:pStyle w:val="Heading3"/>
      </w:pPr>
      <w:r>
        <w:t xml:space="preserve">Le tre domande che ti farà</w:t>
      </w:r>
    </w:p>
    <w:p>
      <w:pPr>
        <w:pStyle w:val="FirstParagraph"/>
      </w:pPr>
      <w:r>
        <w:t xml:space="preserve">Te le fa quasi sempre, e quasi sempre in quest’ordine. Qui trovi dove sta la risposta.</w:t>
      </w:r>
    </w:p>
    <w:p>
      <w:pPr>
        <w:pStyle w:val="Compact"/>
        <w:numPr>
          <w:ilvl w:val="0"/>
          <w:numId w:val="1004"/>
        </w:numPr>
      </w:pPr>
      <w:r>
        <w:rPr>
          <w:i/>
          <w:iCs/>
        </w:rPr>
        <w:t xml:space="preserve">“Ma cosa ho, se la risonanza è normale?”</w:t>
      </w:r>
      <w:r>
        <w:t xml:space="preserve"> </w:t>
      </w:r>
      <w:r>
        <w:t xml:space="preserve">— in «Che cos’è davvero».</w:t>
      </w:r>
    </w:p>
    <w:p>
      <w:pPr>
        <w:pStyle w:val="Compact"/>
        <w:numPr>
          <w:ilvl w:val="0"/>
          <w:numId w:val="1004"/>
        </w:numPr>
      </w:pPr>
      <w:r>
        <w:rPr>
          <w:i/>
          <w:iCs/>
        </w:rPr>
        <w:t xml:space="preserve">“Il collo c’entra qualcosa?”</w:t>
      </w:r>
      <w:r>
        <w:t xml:space="preserve"> </w:t>
      </w:r>
      <w:r>
        <w:t xml:space="preserve">— in «Non è una condizione sola» e in «Come ragiono davanti a questo paziente».</w:t>
      </w:r>
    </w:p>
    <w:p>
      <w:pPr>
        <w:pStyle w:val="Compact"/>
        <w:numPr>
          <w:ilvl w:val="0"/>
          <w:numId w:val="1004"/>
        </w:numPr>
      </w:pPr>
      <w:r>
        <w:rPr>
          <w:i/>
          <w:iCs/>
        </w:rPr>
        <w:t xml:space="preserve">“Mi promette che spariscono?”</w:t>
      </w:r>
      <w:r>
        <w:t xml:space="preserve"> </w:t>
      </w:r>
      <w:r>
        <w:t xml:space="preserve">— in «Cosa dire al paziente».</w:t>
      </w:r>
    </w:p>
    <w:p>
      <w:pPr>
        <w:pStyle w:val="FirstParagraph"/>
      </w:pPr>
      <w:r>
        <w:rPr>
          <w:b/>
          <w:bCs/>
        </w:rPr>
        <w:t xml:space="preserve">Le tre cose da ricordare, più una</w:t>
      </w:r>
    </w:p>
    <w:p>
      <w:pPr>
        <w:pStyle w:val="Compact"/>
        <w:numPr>
          <w:ilvl w:val="0"/>
          <w:numId w:val="1005"/>
        </w:numPr>
      </w:pPr>
      <w:r>
        <w:t xml:space="preserve">Il suo esito non è l’intensità del dolore: sono i giorni persi al mese. Misura quelli.</w:t>
      </w:r>
    </w:p>
    <w:p>
      <w:pPr>
        <w:pStyle w:val="Compact"/>
        <w:numPr>
          <w:ilvl w:val="0"/>
          <w:numId w:val="1005"/>
        </w:numPr>
      </w:pPr>
      <w:r>
        <w:t xml:space="preserve">Ha già escluso il grave. Non rifare il suo percorso: guarda quello che il suo percorso non guarda.</w:t>
      </w:r>
    </w:p>
    <w:p>
      <w:pPr>
        <w:pStyle w:val="Compact"/>
        <w:numPr>
          <w:ilvl w:val="0"/>
          <w:numId w:val="1005"/>
        </w:numPr>
      </w:pPr>
      <w:r>
        <w:t xml:space="preserve">Il collo rigido lo nomina per ultimo, come dettaglio. Per te è la prima cosa da esaminare.</w:t>
      </w:r>
    </w:p>
    <w:p>
      <w:pPr>
        <w:pStyle w:val="Compact"/>
        <w:numPr>
          <w:ilvl w:val="0"/>
          <w:numId w:val="1005"/>
        </w:numPr>
      </w:pPr>
      <w:r>
        <w:rPr>
          <w:b/>
          <w:bCs/>
        </w:rPr>
        <w:t xml:space="preserve">Perché ci sei tu.</w:t>
      </w:r>
      <w:r>
        <w:t xml:space="preserve"> </w:t>
      </w:r>
      <w:r>
        <w:t xml:space="preserve">Negli Stati Uniti sono stati intervistati oltre 162.000 adulti. Quasi quattro emicranici su dieci avevano i requisiti per una profilassi, e solo tredici su cento del</w:t>
      </w:r>
      <w:r>
        <w:t xml:space="preserve"> </w:t>
      </w:r>
      <w:r>
        <w:rPr>
          <w:b/>
          <w:bCs/>
        </w:rPr>
        <w:t xml:space="preserve">totale degli emicranici</w:t>
      </w:r>
      <w:r>
        <w:t xml:space="preserve"> </w:t>
      </w:r>
      <w:r>
        <w:t xml:space="preserve">la prendevano (Lipton,</w:t>
      </w:r>
      <w:r>
        <w:t xml:space="preserve"> </w:t>
      </w:r>
      <w:r>
        <w:rPr>
          <w:i/>
          <w:iCs/>
        </w:rPr>
        <w:t xml:space="preserve">Neurology</w:t>
      </w:r>
      <w:r>
        <w:t xml:space="preserve"> </w:t>
      </w:r>
      <w:r>
        <w:t xml:space="preserve">2007, PMID 17261680). Questo ti autorizza a trattare un paziente che non è coperto da niente, e a scriverlo al suo medico. Non ti autorizza a presentare il tuo lavoro come alternativa alla profilassi.</w:t>
      </w:r>
    </w:p>
    <w:p>
      <w:r>
        <w:pict>
          <v:rect style="width:0;height:1.5pt" o:hralign="center" o:hrstd="t" o:hr="t"/>
        </w:pict>
      </w:r>
    </w:p>
    <w:bookmarkEnd w:id="14"/>
    <w:bookmarkEnd w:id="15"/>
    <w:bookmarkStart w:id="21" w:name="capitolo-2-che-cosè-davvero"/>
    <w:p>
      <w:pPr>
        <w:pStyle w:val="Heading2"/>
      </w:pPr>
      <w:r>
        <w:t xml:space="preserve">Capitolo 2 — Che cos’è davvero</w:t>
      </w:r>
    </w:p>
    <w:p>
      <w:pPr>
        <w:pStyle w:val="BlockText"/>
      </w:pPr>
      <w:r>
        <w:rPr>
          <w:b/>
          <w:bCs/>
        </w:rPr>
        <w:t xml:space="preserve">In una riga:</w:t>
      </w:r>
      <w:r>
        <w:t xml:space="preserve"> </w:t>
      </w:r>
      <w:r>
        <w:t xml:space="preserve">l’emicrania non è un mal di testa forte, è una condizione del sistema nervoso che si diagnostica ascoltando e non fotografando, e la risonanza normale ne fa parte.</w:t>
      </w:r>
    </w:p>
    <w:bookmarkStart w:id="16" w:name="la-definizione"/>
    <w:p>
      <w:pPr>
        <w:pStyle w:val="Heading3"/>
      </w:pPr>
      <w:r>
        <w:t xml:space="preserve">La definizione</w:t>
      </w:r>
    </w:p>
    <w:p>
      <w:pPr>
        <w:pStyle w:val="FirstParagraph"/>
      </w:pPr>
      <w:r>
        <w:t xml:space="preserve">L’emicrania è una cefalea primaria ricorrente. Gli attacchi durano da 4 a 72 ore se non trattati.</w:t>
      </w:r>
    </w:p>
    <w:p>
      <w:pPr>
        <w:pStyle w:val="BodyText"/>
      </w:pPr>
      <w:r>
        <w:t xml:space="preserve">Il dolore ha almeno due di queste quattro caratteristiche: sede su un lato, qualità pulsante, intensità da moderata a forte, peggioramento con l’attività fisica ordinaria. E si accompagna a nausea, oppure a fastidio per luce e suoni insieme (ICHD-3,</w:t>
      </w:r>
      <w:r>
        <w:t xml:space="preserve"> </w:t>
      </w:r>
      <w:r>
        <w:rPr>
          <w:i/>
          <w:iCs/>
        </w:rPr>
        <w:t xml:space="preserve">Cephalalgia</w:t>
      </w:r>
      <w:r>
        <w:t xml:space="preserve"> </w:t>
      </w:r>
      <w:r>
        <w:t xml:space="preserve">2018).</w:t>
      </w:r>
    </w:p>
    <w:p>
      <w:pPr>
        <w:pStyle w:val="BlockText"/>
      </w:pPr>
      <w:r>
        <w:rPr>
          <w:b/>
          <w:bCs/>
        </w:rPr>
        <w:t xml:space="preserve">Attenzione, e vale come regola di sicurezza.</w:t>
      </w:r>
      <w:r>
        <w:t xml:space="preserve"> </w:t>
      </w:r>
      <w:r>
        <w:rPr>
          <w:i/>
          <w:iCs/>
        </w:rPr>
        <w:t xml:space="preserve">Peggiorata</w:t>
      </w:r>
      <w:r>
        <w:t xml:space="preserve"> </w:t>
      </w:r>
      <w:r>
        <w:t xml:space="preserve">dal movimento è un criterio dell’emicrania.</w:t>
      </w:r>
      <w:r>
        <w:t xml:space="preserve"> </w:t>
      </w:r>
      <w:r>
        <w:rPr>
          <w:i/>
          <w:iCs/>
        </w:rPr>
        <w:t xml:space="preserve">Scatenata</w:t>
      </w:r>
      <w:r>
        <w:t xml:space="preserve"> </w:t>
      </w:r>
      <w:r>
        <w:t xml:space="preserve">da un colpo di tosse, uno starnuto o uno sforzo a glottide chiusa è un’altra cosa: è una bandiera rossa. Le due frasi si somigliano e non vogliono dire la stessa cosa.</w:t>
      </w:r>
    </w:p>
    <w:p>
      <w:pPr>
        <w:pStyle w:val="FirstParagraph"/>
      </w:pPr>
      <w:r>
        <w:t xml:space="preserve">L’aura è un sintomo neurologico che si sviluppa</w:t>
      </w:r>
      <w:r>
        <w:t xml:space="preserve"> </w:t>
      </w:r>
      <w:r>
        <w:rPr>
          <w:b/>
          <w:bCs/>
        </w:rPr>
        <w:t xml:space="preserve">gradualmente</w:t>
      </w:r>
      <w:r>
        <w:t xml:space="preserve">, in cinque-venti minuti, e dura meno di un’ora. Si vedono luci o zig-zag, manca un pezzo di campo visivo, a volte compare formicolio o difficoltà a trovare le parole. La gradualità la distingue da un evento vascolare, che arriva tutto insieme.</w:t>
      </w:r>
    </w:p>
    <w:p>
      <w:pPr>
        <w:pStyle w:val="BlockText"/>
      </w:pPr>
      <w:r>
        <w:rPr>
          <w:b/>
          <w:bCs/>
        </w:rPr>
        <w:t xml:space="preserve">Cosa cambia per te.</w:t>
      </w:r>
      <w:r>
        <w:t xml:space="preserve"> </w:t>
      </w:r>
      <w:r>
        <w:t xml:space="preserve">Le parole operative sono</w:t>
      </w:r>
      <w:r>
        <w:t xml:space="preserve"> </w:t>
      </w:r>
      <w:r>
        <w:rPr>
          <w:b/>
          <w:bCs/>
        </w:rPr>
        <w:t xml:space="preserve">ricorrente</w:t>
      </w:r>
      <w:r>
        <w:t xml:space="preserve"> </w:t>
      </w:r>
      <w:r>
        <w:t xml:space="preserve">e</w:t>
      </w:r>
      <w:r>
        <w:t xml:space="preserve"> </w:t>
      </w:r>
      <w:r>
        <w:rPr>
          <w:b/>
          <w:bCs/>
        </w:rPr>
        <w:t xml:space="preserve">primaria</w:t>
      </w:r>
      <w:r>
        <w:t xml:space="preserve">. Ricorrente: il tuo esito si misura su un mese, non su una seduta. Primaria: non c’è una lesione da trovare. Il paziente che chiede</w:t>
      </w:r>
      <w:r>
        <w:t xml:space="preserve"> </w:t>
      </w:r>
      <w:r>
        <w:rPr>
          <w:i/>
          <w:iCs/>
        </w:rPr>
        <w:t xml:space="preserve">“ma cosa ho?”</w:t>
      </w:r>
      <w:r>
        <w:t xml:space="preserve"> </w:t>
      </w:r>
      <w:r>
        <w:t xml:space="preserve">ha già la risposta, e nessuno gliel’ha spiegata.</w:t>
      </w:r>
    </w:p>
    <w:bookmarkEnd w:id="16"/>
    <w:bookmarkStart w:id="17" w:name="quanto-è-diffusa"/>
    <w:p>
      <w:pPr>
        <w:pStyle w:val="Heading3"/>
      </w:pPr>
      <w:r>
        <w:t xml:space="preserve">Quanto è diffusa</w:t>
      </w:r>
    </w:p>
    <w:p>
      <w:pPr>
        <w:pStyle w:val="FirstParagraph"/>
      </w:pPr>
      <w:r>
        <w:t xml:space="preserve">Circa quattordici persone su cento nel mondo hanno emicrania attiva. Il 4,6%</w:t>
      </w:r>
      <w:r>
        <w:t xml:space="preserve"> </w:t>
      </w:r>
      <w:r>
        <w:rPr>
          <w:b/>
          <w:bCs/>
        </w:rPr>
        <w:t xml:space="preserve">della popolazione generale</w:t>
      </w:r>
      <w:r>
        <w:t xml:space="preserve"> </w:t>
      </w:r>
      <w:r>
        <w:t xml:space="preserve">ha mal di testa quindici giorni al mese o più (Stovner,</w:t>
      </w:r>
      <w:r>
        <w:t xml:space="preserve"> </w:t>
      </w:r>
      <w:r>
        <w:rPr>
          <w:i/>
          <w:iCs/>
        </w:rPr>
        <w:t xml:space="preserve">J Headache Pain</w:t>
      </w:r>
      <w:r>
        <w:t xml:space="preserve"> </w:t>
      </w:r>
      <w:r>
        <w:t xml:space="preserve">2022, PMID 35410119). Colpisce le donne da due a tre volte più degli uomini, con il picco nell’età di mezzo.</w:t>
      </w:r>
    </w:p>
    <w:p>
      <w:pPr>
        <w:pStyle w:val="BodyText"/>
      </w:pPr>
      <w:r>
        <w:rPr>
          <w:b/>
          <w:bCs/>
        </w:rPr>
        <w:t xml:space="preserve">Per te:</w:t>
      </w:r>
      <w:r>
        <w:t xml:space="preserve"> </w:t>
      </w:r>
      <w:r>
        <w:t xml:space="preserve">una persona su sette in sala d’attesa ha emicrania, e quasi nessuna è venuta da te per quella. È per due terzi una popolazione femminile in età fertile, quindi</w:t>
      </w:r>
      <w:r>
        <w:t xml:space="preserve"> </w:t>
      </w:r>
      <w:r>
        <w:rPr>
          <w:b/>
          <w:bCs/>
        </w:rPr>
        <w:t xml:space="preserve">il ciclo</w:t>
      </w:r>
      <w:r>
        <w:t xml:space="preserve"> </w:t>
      </w:r>
      <w:r>
        <w:t xml:space="preserve">e</w:t>
      </w:r>
      <w:r>
        <w:t xml:space="preserve"> </w:t>
      </w:r>
      <w:r>
        <w:rPr>
          <w:b/>
          <w:bCs/>
        </w:rPr>
        <w:t xml:space="preserve">il contraccettivo</w:t>
      </w:r>
      <w:r>
        <w:t xml:space="preserve"> </w:t>
      </w:r>
      <w:r>
        <w:t xml:space="preserve">diventano domande di routine.</w:t>
      </w:r>
    </w:p>
    <w:bookmarkEnd w:id="17"/>
    <w:bookmarkStart w:id="18" w:name="come-evolve-se-non-fai-nulla"/>
    <w:p>
      <w:pPr>
        <w:pStyle w:val="Heading3"/>
      </w:pPr>
      <w:r>
        <w:t xml:space="preserve">Come evolve se non fai nulla</w:t>
      </w:r>
    </w:p>
    <w:p>
      <w:pPr>
        <w:pStyle w:val="FirstParagraph"/>
      </w:pPr>
      <w:r>
        <w:t xml:space="preserve">Meglio di quanto il paziente creda. Ed è il dato che ti impedisce di prenderti i meriti della storia naturale.</w:t>
      </w:r>
    </w:p>
    <w:p>
      <w:pPr>
        <w:pStyle w:val="BodyText"/>
      </w:pPr>
      <w:r>
        <w:t xml:space="preserve">Una coorte danese è stata seguita per dodici anni. Dei 64 emicranici di partenza, il 42% era in remissione, il 38% aveva una frequenza bassa e il 20% un decorso sfavorevole (Lyngberg,</w:t>
      </w:r>
      <w:r>
        <w:t xml:space="preserve"> </w:t>
      </w:r>
      <w:r>
        <w:rPr>
          <w:i/>
          <w:iCs/>
        </w:rPr>
        <w:t xml:space="preserve">Neurology</w:t>
      </w:r>
      <w:r>
        <w:t xml:space="preserve"> </w:t>
      </w:r>
      <w:r>
        <w:t xml:space="preserve">2005, PMID 16116119).</w:t>
      </w:r>
      <w:r>
        <w:t xml:space="preserve"> </w:t>
      </w:r>
      <w:r>
        <w:rPr>
          <w:b/>
          <w:bCs/>
        </w:rPr>
        <w:t xml:space="preserve">Per te:</w:t>
      </w:r>
      <w:r>
        <w:t xml:space="preserve"> </w:t>
      </w:r>
      <w:r>
        <w:t xml:space="preserve">su dieci pazienti che tratti oggi, quattro sarebbero migliorati comunque. Per questo il tuo esito si legge sul diario, e non sulla sensazione del paziente a fine ciclo.</w:t>
      </w:r>
    </w:p>
    <w:p>
      <w:pPr>
        <w:pStyle w:val="BodyText"/>
      </w:pPr>
      <w:r>
        <w:rPr>
          <w:b/>
          <w:bCs/>
        </w:rPr>
        <w:t xml:space="preserve">E c’è una fluttuazione più corta, che ti riguarda di più.</w:t>
      </w:r>
      <w:r>
        <w:t xml:space="preserve"> </w:t>
      </w:r>
      <w:r>
        <w:t xml:space="preserve">La tua finestra di verifica è di quattro-otto settimane. Su quella finestra i giorni scendono anche senza trattamento specifico. Si vede nei bracci di controllo di Chaibi 2017 e di Wells 2021, che tornano per esteso in «Cosa dice la scienza» e in «Cosa può fare il paziente da solo».</w:t>
      </w:r>
      <w:r>
        <w:t xml:space="preserve"> </w:t>
      </w:r>
      <w:r>
        <w:rPr>
          <w:b/>
          <w:bCs/>
        </w:rPr>
        <w:t xml:space="preserve">Il solo passare del tempo e l’attenzione ricevuta valgono uno-due giorni al mese: è il numero che il tuo lavoro deve battere.</w:t>
      </w:r>
      <w:r>
        <w:t xml:space="preserve"> </w:t>
      </w:r>
      <w:r>
        <w:t xml:space="preserve">È come arrivare su un lavoro già mezzo fatto: conta solo quello che aggiungi tu.</w:t>
      </w:r>
    </w:p>
    <w:p>
      <w:pPr>
        <w:pStyle w:val="BodyText"/>
      </w:pPr>
      <w:r>
        <w:t xml:space="preserve">Nella direzione opposta, ogni anno circa due emicranici su cento passano dalla forma episodica a quella cronica. Fra chi usa triptani la quota sale a tre su cento (Lipton,</w:t>
      </w:r>
      <w:r>
        <w:t xml:space="preserve"> </w:t>
      </w:r>
      <w:r>
        <w:rPr>
          <w:i/>
          <w:iCs/>
        </w:rPr>
        <w:t xml:space="preserve">Headache</w:t>
      </w:r>
      <w:r>
        <w:t xml:space="preserve"> </w:t>
      </w:r>
      <w:r>
        <w:t xml:space="preserve">2013, PMID 23992516).</w:t>
      </w:r>
    </w:p>
    <w:p>
      <w:pPr>
        <w:pStyle w:val="BodyText"/>
      </w:pPr>
      <w:r>
        <w:rPr>
          <w:b/>
          <w:bCs/>
        </w:rPr>
        <w:t xml:space="preserve">Per te:</w:t>
      </w:r>
      <w:r>
        <w:t xml:space="preserve"> </w:t>
      </w:r>
      <w:r>
        <w:t xml:space="preserve">due su cento all’anno vuol dire che su cinquanta emicranici che segui, uno diventa cronico nell’anno in cui lo vedi. Non lo intercetti guardando il collo. Lo intercetti contando i giorni di farmaco a ogni controllo, e scrivendoli.</w:t>
      </w:r>
    </w:p>
    <w:bookmarkEnd w:id="18"/>
    <w:bookmarkStart w:id="19" w:name="Xf33191a235e8a6dfd8f44f84e0f81b4b00e733b"/>
    <w:p>
      <w:pPr>
        <w:pStyle w:val="Heading3"/>
      </w:pPr>
      <w:r>
        <w:t xml:space="preserve">Cosa dicono le etichette diagnostiche che porta, e cosa non dicono</w:t>
      </w:r>
    </w:p>
    <w:p>
      <w:pPr>
        <w:pStyle w:val="FirstParagraph"/>
      </w:pPr>
      <w:r>
        <w:rPr>
          <w:b/>
          <w:bCs/>
        </w:rPr>
        <w:t xml:space="preserve">“Risonanza negativa”</w:t>
      </w:r>
      <w:r>
        <w:t xml:space="preserve"> </w:t>
      </w:r>
      <w:r>
        <w:t xml:space="preserve">non vuol dire</w:t>
      </w:r>
      <w:r>
        <w:t xml:space="preserve"> </w:t>
      </w:r>
      <w:r>
        <w:rPr>
          <w:i/>
          <w:iCs/>
        </w:rPr>
        <w:t xml:space="preserve">“non hai niente”</w:t>
      </w:r>
      <w:r>
        <w:t xml:space="preserve">. Vuol dire</w:t>
      </w:r>
      <w:r>
        <w:t xml:space="preserve"> </w:t>
      </w:r>
      <w:r>
        <w:rPr>
          <w:i/>
          <w:iCs/>
        </w:rPr>
        <w:t xml:space="preserve">“non hai quelle cose lì”</w:t>
      </w:r>
      <w:r>
        <w:t xml:space="preserve">. L’emicrania non si vede in risonanza perché non è una lesione. Dirlo con queste parole è già metà del tuo lavoro di quel giorno.</w:t>
      </w:r>
    </w:p>
    <w:p>
      <w:pPr>
        <w:pStyle w:val="BodyText"/>
      </w:pPr>
      <w:r>
        <w:rPr>
          <w:b/>
          <w:bCs/>
        </w:rPr>
        <w:t xml:space="preserve">“Con aura”</w:t>
      </w:r>
      <w:r>
        <w:rPr>
          <w:b/>
          <w:bCs/>
        </w:rPr>
        <w:t xml:space="preserve"> </w:t>
      </w:r>
      <w:r>
        <w:rPr>
          <w:b/>
          <w:bCs/>
        </w:rPr>
        <w:t xml:space="preserve">o</w:t>
      </w:r>
      <w:r>
        <w:rPr>
          <w:b/>
          <w:bCs/>
        </w:rPr>
        <w:t xml:space="preserve"> </w:t>
      </w:r>
      <w:r>
        <w:rPr>
          <w:b/>
          <w:bCs/>
        </w:rPr>
        <w:t xml:space="preserve">“senz’aura”</w:t>
      </w:r>
      <w:r>
        <w:t xml:space="preserve"> </w:t>
      </w:r>
      <w:r>
        <w:t xml:space="preserve">è una descrizione, non una gravità. L’aura però cambia il profilo di rischio vascolare della persona, e per questo ricompare in «Non è una condizione sola».</w:t>
      </w:r>
    </w:p>
    <w:p>
      <w:pPr>
        <w:pStyle w:val="BodyText"/>
      </w:pPr>
      <w:r>
        <w:rPr>
          <w:b/>
          <w:bCs/>
        </w:rPr>
        <w:t xml:space="preserve">“Emicrania cronica”</w:t>
      </w:r>
      <w:r>
        <w:t xml:space="preserve"> </w:t>
      </w:r>
      <w:r>
        <w:t xml:space="preserve">ha un confine numerico: quindici o più giorni di mal di testa al mese, di cui almeno otto emicranici, da più di tre mesi. Non è</w:t>
      </w:r>
      <w:r>
        <w:t xml:space="preserve"> </w:t>
      </w:r>
      <w:r>
        <w:t xml:space="preserve">“emicrania forte”</w:t>
      </w:r>
      <w:r>
        <w:t xml:space="preserve">: è un’altra categoria.</w:t>
      </w:r>
    </w:p>
    <w:p>
      <w:pPr>
        <w:pStyle w:val="BodyText"/>
      </w:pPr>
      <w:r>
        <w:rPr>
          <w:b/>
          <w:bCs/>
        </w:rPr>
        <w:t xml:space="preserve">La diagnosi è atto medico.</w:t>
      </w:r>
      <w:r>
        <w:t xml:space="preserve"> </w:t>
      </w:r>
      <w:r>
        <w:t xml:space="preserve">Qui impari a leggere un referto e a riconoscere un pattern da rimandare al medico. Non a formulare una diagnosi.</w:t>
      </w:r>
    </w:p>
    <w:bookmarkEnd w:id="19"/>
    <w:bookmarkStart w:id="20" w:name="cosa-non-è"/>
    <w:p>
      <w:pPr>
        <w:pStyle w:val="Heading3"/>
      </w:pPr>
      <w:r>
        <w:t xml:space="preserve">Cosa non è</w:t>
      </w:r>
    </w:p>
    <w:p>
      <w:pPr>
        <w:pStyle w:val="Compact"/>
        <w:numPr>
          <w:ilvl w:val="0"/>
          <w:numId w:val="1006"/>
        </w:numPr>
      </w:pPr>
      <w:r>
        <w:rPr>
          <w:b/>
          <w:bCs/>
        </w:rPr>
        <w:t xml:space="preserve">La cefalea di tipo tensivo</w:t>
      </w:r>
      <w:r>
        <w:t xml:space="preserve"> </w:t>
      </w:r>
      <w:r>
        <w:t xml:space="preserve">— bilaterale, gravativa, non peggiora salendo le scale, senza nausea. Convive spesso con l’emicrania nella stessa persona.</w:t>
      </w:r>
    </w:p>
    <w:p>
      <w:pPr>
        <w:pStyle w:val="Compact"/>
        <w:numPr>
          <w:ilvl w:val="0"/>
          <w:numId w:val="1006"/>
        </w:numPr>
      </w:pPr>
      <w:r>
        <w:rPr>
          <w:b/>
          <w:bCs/>
        </w:rPr>
        <w:t xml:space="preserve">La cefalea cervicogenica</w:t>
      </w:r>
      <w:r>
        <w:t xml:space="preserve"> </w:t>
      </w:r>
      <w:r>
        <w:t xml:space="preserve">— sempre lo stesso lato, riprodotta da movimenti o posizioni del collo, con mobilità ridotta. È la condizione in cui il collo è la causa. I criteri che la separano davvero stanno in «Non è una condizione sola»; il resto è nella Bibbia della Cervicalgia.</w:t>
      </w:r>
    </w:p>
    <w:p>
      <w:pPr>
        <w:pStyle w:val="Compact"/>
        <w:numPr>
          <w:ilvl w:val="0"/>
          <w:numId w:val="1006"/>
        </w:numPr>
      </w:pPr>
      <w:r>
        <w:rPr>
          <w:b/>
          <w:bCs/>
        </w:rPr>
        <w:t xml:space="preserve">La cefalea da uso eccessivo di farmaci</w:t>
      </w:r>
      <w:r>
        <w:t xml:space="preserve"> </w:t>
      </w:r>
      <w:r>
        <w:t xml:space="preserve">— condizione a sé, con soglie di giorni precise, e la gestisce il medico.</w:t>
      </w:r>
    </w:p>
    <w:p>
      <w:pPr>
        <w:pStyle w:val="Compact"/>
        <w:numPr>
          <w:ilvl w:val="0"/>
          <w:numId w:val="1006"/>
        </w:numPr>
      </w:pPr>
      <w:r>
        <w:rPr>
          <w:b/>
          <w:bCs/>
        </w:rPr>
        <w:t xml:space="preserve">La cefalea a grappolo</w:t>
      </w:r>
      <w:r>
        <w:t xml:space="preserve"> </w:t>
      </w:r>
      <w:r>
        <w:t xml:space="preserve">— attacchi brevi attorno all’occhio, con lacrimazione e naso chiuso da quel lato, e un paziente che non sta fermo.</w:t>
      </w:r>
    </w:p>
    <w:p>
      <w:pPr>
        <w:pStyle w:val="Compact"/>
        <w:numPr>
          <w:ilvl w:val="0"/>
          <w:numId w:val="1006"/>
        </w:numPr>
      </w:pPr>
      <w:r>
        <w:rPr>
          <w:b/>
          <w:bCs/>
        </w:rPr>
        <w:t xml:space="preserve">La nevralgia occipitale</w:t>
      </w:r>
      <w:r>
        <w:t xml:space="preserve"> </w:t>
      </w:r>
      <w:r>
        <w:t xml:space="preserve">— fitte elettriche sul territorio del grande occipitale, non un dolore pulsante di ore.</w:t>
      </w:r>
    </w:p>
    <w:p>
      <w:pPr>
        <w:pStyle w:val="Compact"/>
        <w:numPr>
          <w:ilvl w:val="0"/>
          <w:numId w:val="1006"/>
        </w:numPr>
      </w:pPr>
      <w:r>
        <w:rPr>
          <w:b/>
          <w:bCs/>
        </w:rPr>
        <w:t xml:space="preserve">L’arterite a cellule giganti</w:t>
      </w:r>
      <w:r>
        <w:t xml:space="preserve"> </w:t>
      </w:r>
      <w:r>
        <w:t xml:space="preserve">— è la diagnosi che questo documento ti fa rischiare di più, perché ti insegna a premere sul temporale. Sopra i cinquant’anni cerca questi segni: tempia dolente comparsa da poco, cuoio capelluto che fa male a pettinarsi, dolore alla masticazione che obbliga a fermarsi, febbricola o calo di peso, vista offuscata.</w:t>
      </w:r>
      <w:r>
        <w:t xml:space="preserve"> </w:t>
      </w:r>
      <w:r>
        <w:rPr>
          <w:b/>
          <w:bCs/>
        </w:rPr>
        <w:t xml:space="preserve">Non è un punto trigger.</w:t>
      </w:r>
      <w:r>
        <w:t xml:space="preserve"> </w:t>
      </w:r>
      <w:r>
        <w:t xml:space="preserve">Nei criteri internazionali l’età ≥50 anni è un requisito assoluto. Claudicatio mandibolare, cefalea temporale nuova, cuoio capelluto dolente e anomalia dell’arteria temporale pesano due punti ciascuno (Ponte,</w:t>
      </w:r>
      <w:r>
        <w:t xml:space="preserve"> </w:t>
      </w:r>
      <w:r>
        <w:rPr>
          <w:i/>
          <w:iCs/>
        </w:rPr>
        <w:t xml:space="preserve">Arthritis Rheumatol</w:t>
      </w:r>
      <w:r>
        <w:t xml:space="preserve"> </w:t>
      </w:r>
      <w:r>
        <w:t xml:space="preserve">2022, PMID 36350123). Quello che si perde è la vista di un occhio, in giorni (Mackie,</w:t>
      </w:r>
      <w:r>
        <w:t xml:space="preserve"> </w:t>
      </w:r>
      <w:r>
        <w:rPr>
          <w:i/>
          <w:iCs/>
        </w:rPr>
        <w:t xml:space="preserve">Rheumatology</w:t>
      </w:r>
      <w:r>
        <w:t xml:space="preserve"> </w:t>
      </w:r>
      <w:r>
        <w:t xml:space="preserve">2020, PMID 31970405).</w:t>
      </w:r>
    </w:p>
    <w:p>
      <w:pPr>
        <w:pStyle w:val="FirstParagraph"/>
      </w:pPr>
      <w:r>
        <w:rPr>
          <w:b/>
          <w:bCs/>
        </w:rPr>
        <w:t xml:space="preserve">Le tre cose da ricordare, più una</w:t>
      </w:r>
    </w:p>
    <w:p>
      <w:pPr>
        <w:pStyle w:val="Compact"/>
        <w:numPr>
          <w:ilvl w:val="0"/>
          <w:numId w:val="1007"/>
        </w:numPr>
      </w:pPr>
      <w:r>
        <w:t xml:space="preserve">L’emicrania si diagnostica ascoltando. Una risonanza normale è parte del quadro, non un fallimento.</w:t>
      </w:r>
    </w:p>
    <w:p>
      <w:pPr>
        <w:pStyle w:val="Compact"/>
        <w:numPr>
          <w:ilvl w:val="0"/>
          <w:numId w:val="1007"/>
        </w:numPr>
      </w:pPr>
      <w:r>
        <w:t xml:space="preserve">L’esito si misura in giorni al mese, e su quattro-otto settimane uno-due giorni scendono da soli.</w:t>
      </w:r>
    </w:p>
    <w:p>
      <w:pPr>
        <w:pStyle w:val="Compact"/>
        <w:numPr>
          <w:ilvl w:val="0"/>
          <w:numId w:val="1007"/>
        </w:numPr>
      </w:pPr>
      <w:r>
        <w:t xml:space="preserve">Sopra i cinquant’anni un temporale dolente non è un punto trigger finché non hai escluso l’arterite.</w:t>
      </w:r>
    </w:p>
    <w:p>
      <w:pPr>
        <w:pStyle w:val="Compact"/>
        <w:numPr>
          <w:ilvl w:val="0"/>
          <w:numId w:val="1007"/>
        </w:numPr>
      </w:pPr>
      <w:r>
        <w:rPr>
          <w:b/>
          <w:bCs/>
        </w:rPr>
        <w:t xml:space="preserve">Perché ci sei tu.</w:t>
      </w:r>
      <w:r>
        <w:t xml:space="preserve"> </w:t>
      </w:r>
      <w:r>
        <w:t xml:space="preserve">In dodici anni su popolazione, il 42% degli emicranici va in remissione da solo (Lyngberg,</w:t>
      </w:r>
      <w:r>
        <w:t xml:space="preserve"> </w:t>
      </w:r>
      <w:r>
        <w:rPr>
          <w:i/>
          <w:iCs/>
        </w:rPr>
        <w:t xml:space="preserve">Neurology</w:t>
      </w:r>
      <w:r>
        <w:t xml:space="preserve"> </w:t>
      </w:r>
      <w:r>
        <w:t xml:space="preserve">2005, PMID 16116119). Questo ti autorizza a pretendere una misura scritta prima e dopo: senza, non distingui il tuo lavoro dal decorso spontaneo. Non ti autorizza ad attribuirti il miglioramento di chi stava già scendendo.</w:t>
      </w:r>
    </w:p>
    <w:p>
      <w:r>
        <w:pict>
          <v:rect style="width:0;height:1.5pt" o:hralign="center" o:hrstd="t" o:hr="t"/>
        </w:pict>
      </w:r>
    </w:p>
    <w:bookmarkEnd w:id="20"/>
    <w:bookmarkEnd w:id="21"/>
    <w:bookmarkStart w:id="23" w:name="capitolo-3-le-strutture-in-gioco"/>
    <w:p>
      <w:pPr>
        <w:pStyle w:val="Heading2"/>
      </w:pPr>
      <w:r>
        <w:t xml:space="preserve">Capitolo 3 — Le strutture in gioco</w:t>
      </w:r>
    </w:p>
    <w:p>
      <w:pPr>
        <w:pStyle w:val="BlockText"/>
      </w:pPr>
      <w:r>
        <w:rPr>
          <w:b/>
          <w:bCs/>
        </w:rPr>
        <w:t xml:space="preserve">In una riga:</w:t>
      </w:r>
      <w:r>
        <w:t xml:space="preserve"> </w:t>
      </w:r>
      <w:r>
        <w:t xml:space="preserve">tutta l’anatomia che conta qui converge in un punto solo del midollo alto, dove la faccia e il collo finiscono sugli stessi neuroni — e dentro quella stessa zona passano due arterie.</w:t>
      </w:r>
    </w:p>
    <w:p>
      <w:pPr>
        <w:pStyle w:val="BlockText"/>
      </w:pPr>
      <w:r>
        <w:rPr>
          <w:b/>
          <w:bCs/>
        </w:rPr>
        <w:t xml:space="preserve">Le parole del metodo</w:t>
      </w:r>
      <w:r>
        <w:t xml:space="preserve"> </w:t>
      </w:r>
      <w:r>
        <w:t xml:space="preserve">—</w:t>
      </w:r>
      <w:r>
        <w:t xml:space="preserve"> </w:t>
      </w:r>
      <w:r>
        <w:rPr>
          <w:rStyle w:val="VerbatimChar"/>
        </w:rPr>
        <w:t xml:space="preserve">catena</w:t>
      </w:r>
      <w:r>
        <w:t xml:space="preserve">,</w:t>
      </w:r>
      <w:r>
        <w:t xml:space="preserve"> </w:t>
      </w:r>
      <w:r>
        <w:rPr>
          <w:rStyle w:val="VerbatimChar"/>
        </w:rPr>
        <w:t xml:space="preserve">marker</w:t>
      </w:r>
      <w:r>
        <w:t xml:space="preserve">,</w:t>
      </w:r>
      <w:r>
        <w:t xml:space="preserve"> </w:t>
      </w:r>
      <w:r>
        <w:rPr>
          <w:rStyle w:val="VerbatimChar"/>
        </w:rPr>
        <w:t xml:space="preserve">reperto disfunzionale</w:t>
      </w:r>
      <w:r>
        <w:t xml:space="preserve">,</w:t>
      </w:r>
      <w:r>
        <w:t xml:space="preserve"> </w:t>
      </w:r>
      <w:r>
        <w:rPr>
          <w:rStyle w:val="VerbatimChar"/>
        </w:rPr>
        <w:t xml:space="preserve">disfunzione somatica</w:t>
      </w:r>
      <w:r>
        <w:t xml:space="preserve">,</w:t>
      </w:r>
      <w:r>
        <w:t xml:space="preserve"> </w:t>
      </w:r>
      <w:r>
        <w:rPr>
          <w:rStyle w:val="VerbatimChar"/>
        </w:rPr>
        <w:t xml:space="preserve">compenso</w:t>
      </w:r>
      <w:r>
        <w:t xml:space="preserve">,</w:t>
      </w:r>
      <w:r>
        <w:t xml:space="preserve"> </w:t>
      </w:r>
      <w:r>
        <w:rPr>
          <w:rStyle w:val="VerbatimChar"/>
        </w:rPr>
        <w:t xml:space="preserve">sistema dominante</w:t>
      </w:r>
      <w:r>
        <w:t xml:space="preserve">,</w:t>
      </w:r>
      <w:r>
        <w:t xml:space="preserve"> </w:t>
      </w:r>
      <w:r>
        <w:rPr>
          <w:rStyle w:val="VerbatimChar"/>
        </w:rPr>
        <w:t xml:space="preserve">lesione primaria</w:t>
      </w:r>
      <w:r>
        <w:t xml:space="preserve"> </w:t>
      </w:r>
      <w:r>
        <w:t xml:space="preserve">— stanno nel Glossario, e ciascuna compare per esteso una volta sola.</w:t>
      </w:r>
    </w:p>
    <w:p>
      <w:pPr>
        <w:pStyle w:val="FirstParagraph"/>
      </w:pPr>
      <w:r>
        <w:rPr>
          <w:b/>
          <w:bCs/>
        </w:rPr>
        <w:t xml:space="preserve">Il complesso trigemino-cervicale.</w:t>
      </w:r>
      <w:r>
        <w:t xml:space="preserve"> </w:t>
      </w:r>
      <w:r>
        <w:t xml:space="preserve">È il perno di tutto il documento. Il nucleo caudale del trigemino e le corna dorsali dei primi tre segmenti cervicali formano una colonna continua di neuroni.</w:t>
      </w:r>
      <w:r>
        <w:t xml:space="preserve"> </w:t>
      </w:r>
      <w:r>
        <w:rPr>
          <w:i/>
          <w:iCs/>
        </w:rPr>
        <w:t xml:space="preserve">Cosa fa:</w:t>
      </w:r>
      <w:r>
        <w:t xml:space="preserve"> </w:t>
      </w:r>
      <w:r>
        <w:t xml:space="preserve">riceve il dolore della faccia, della dura madre e del collo alto, e lo manda al talamo.</w:t>
      </w:r>
      <w:r>
        <w:t xml:space="preserve"> </w:t>
      </w:r>
      <w:r>
        <w:rPr>
          <w:i/>
          <w:iCs/>
        </w:rPr>
        <w:t xml:space="preserve">Perché conta:</w:t>
      </w:r>
      <w:r>
        <w:t xml:space="preserve"> </w:t>
      </w:r>
      <w:r>
        <w:t xml:space="preserve">è la ragione anatomica per cui un ingresso cervicale può cambiare un dolore in fronte, e per cui un dolore in fronte può rendere dolente il collo. La freccia va nei due sensi, e il doppio senso cambia tutto.</w:t>
      </w:r>
    </w:p>
    <w:p>
      <w:pPr>
        <w:pStyle w:val="BodyText"/>
      </w:pPr>
      <w:r>
        <w:rPr>
          <w:b/>
          <w:bCs/>
        </w:rPr>
        <w:t xml:space="preserve">La dura madre.</w:t>
      </w:r>
      <w:r>
        <w:t xml:space="preserve"> </w:t>
      </w:r>
      <w:r>
        <w:rPr>
          <w:i/>
          <w:iCs/>
        </w:rPr>
        <w:t xml:space="preserve">Cos’è:</w:t>
      </w:r>
      <w:r>
        <w:t xml:space="preserve"> </w:t>
      </w:r>
      <w:r>
        <w:t xml:space="preserve">la membrana che riveste il cervello, innervata dalla prima branca del trigemino.</w:t>
      </w:r>
      <w:r>
        <w:t xml:space="preserve"> </w:t>
      </w:r>
      <w:r>
        <w:rPr>
          <w:i/>
          <w:iCs/>
        </w:rPr>
        <w:t xml:space="preserve">Perché conta:</w:t>
      </w:r>
      <w:r>
        <w:t xml:space="preserve"> </w:t>
      </w:r>
      <w:r>
        <w:t xml:space="preserve">il cervello non ha recettori del dolore, la dura sì. È da lì che, nel modello corrente, nasce il dolore dell’emicrania.</w:t>
      </w:r>
    </w:p>
    <w:p>
      <w:pPr>
        <w:pStyle w:val="BodyText"/>
      </w:pPr>
      <w:r>
        <w:rPr>
          <w:b/>
          <w:bCs/>
        </w:rPr>
        <w:t xml:space="preserve">Il nervo grande occipitale.</w:t>
      </w:r>
      <w:r>
        <w:t xml:space="preserve"> </w:t>
      </w:r>
      <w:r>
        <w:rPr>
          <w:i/>
          <w:iCs/>
        </w:rPr>
        <w:t xml:space="preserve">Cos’è:</w:t>
      </w:r>
      <w:r>
        <w:t xml:space="preserve"> </w:t>
      </w:r>
      <w:r>
        <w:t xml:space="preserve">il ramo dorsale della seconda radice cervicale. Attraversa il semispinale e l’aponeurosi del trapezio, emerge sulla nuca e porta la sensibilità della metà posteriore del cuoio capelluto.</w:t>
      </w:r>
      <w:r>
        <w:t xml:space="preserve"> </w:t>
      </w:r>
      <w:r>
        <w:rPr>
          <w:i/>
          <w:iCs/>
        </w:rPr>
        <w:t xml:space="preserve">Perché conta:</w:t>
      </w:r>
      <w:r>
        <w:t xml:space="preserve"> </w:t>
      </w:r>
      <w:r>
        <w:t xml:space="preserve">i suoi</w:t>
      </w:r>
      <w:r>
        <w:t xml:space="preserve"> </w:t>
      </w:r>
      <w:r>
        <w:rPr>
          <w:b/>
          <w:bCs/>
        </w:rPr>
        <w:t xml:space="preserve">neuroni di secondo ordine</w:t>
      </w:r>
      <w:r>
        <w:t xml:space="preserve"> </w:t>
      </w:r>
      <w:r>
        <w:t xml:space="preserve">— le cellule del midollo che ricevono il primo nervo e passano il segnale verso l’alto — sono gli stessi che ricevono la dura. È la porta d’ingresso del collo nel sistema del mal di testa.</w:t>
      </w:r>
    </w:p>
    <w:p>
      <w:pPr>
        <w:pStyle w:val="BodyText"/>
      </w:pPr>
      <w:r>
        <w:rPr>
          <w:b/>
          <w:bCs/>
        </w:rPr>
        <w:t xml:space="preserve">I muscoli sub-occipitali.</w:t>
      </w:r>
      <w:r>
        <w:t xml:space="preserve"> </w:t>
      </w:r>
      <w:r>
        <w:rPr>
          <w:i/>
          <w:iCs/>
        </w:rPr>
        <w:t xml:space="preserve">Cosa sono:</w:t>
      </w:r>
      <w:r>
        <w:t xml:space="preserve"> </w:t>
      </w:r>
      <w:r>
        <w:t xml:space="preserve">quattro coppie profonde fra occipite, atlante ed epistrofeo.</w:t>
      </w:r>
      <w:r>
        <w:t xml:space="preserve"> </w:t>
      </w:r>
      <w:r>
        <w:rPr>
          <w:i/>
          <w:iCs/>
        </w:rPr>
        <w:t xml:space="preserve">Cosa fanno:</w:t>
      </w:r>
      <w:r>
        <w:t xml:space="preserve"> </w:t>
      </w:r>
      <w:r>
        <w:t xml:space="preserve">controllano i movimenti fini del capo.</w:t>
      </w:r>
      <w:r>
        <w:t xml:space="preserve"> </w:t>
      </w:r>
      <w:r>
        <w:rPr>
          <w:i/>
          <w:iCs/>
        </w:rPr>
        <w:t xml:space="preserve">Perché conta:</w:t>
      </w:r>
      <w:r>
        <w:t xml:space="preserve"> </w:t>
      </w:r>
      <w:r>
        <w:t xml:space="preserve">i loro</w:t>
      </w:r>
      <w:r>
        <w:t xml:space="preserve"> </w:t>
      </w:r>
      <w:r>
        <w:rPr>
          <w:b/>
          <w:bCs/>
        </w:rPr>
        <w:t xml:space="preserve">nocicettori</w:t>
      </w:r>
      <w:r>
        <w:t xml:space="preserve"> </w:t>
      </w:r>
      <w:r>
        <w:t xml:space="preserve">— le terminazioni sottili che segnalano il danno — entrano in C1-C2, dentro il complesso.</w:t>
      </w:r>
    </w:p>
    <w:p>
      <w:pPr>
        <w:pStyle w:val="BodyText"/>
      </w:pPr>
      <w:r>
        <w:rPr>
          <w:b/>
          <w:bCs/>
        </w:rPr>
        <w:t xml:space="preserve">Non sono i fusi neuromuscolari a fare questo lavoro.</w:t>
      </w:r>
      <w:r>
        <w:t xml:space="preserve"> </w:t>
      </w:r>
      <w:r>
        <w:t xml:space="preserve">I fusi misurano lunghezza e velocità di allungamento, viaggiano su fibre a bassa soglia e servono al controllo del capo. La convergenza dimostrata sul neurone che genera il mal di testa è</w:t>
      </w:r>
      <w:r>
        <w:t xml:space="preserve"> </w:t>
      </w:r>
      <w:r>
        <w:rPr>
          <w:b/>
          <w:bCs/>
        </w:rPr>
        <w:t xml:space="preserve">nocicettiva</w:t>
      </w:r>
      <w:r>
        <w:t xml:space="preserve">, non propriocettiva. La conseguenza in stanza è secca:</w:t>
      </w:r>
      <w:r>
        <w:t xml:space="preserve"> </w:t>
      </w:r>
      <w:r>
        <w:rPr>
          <w:b/>
          <w:bCs/>
        </w:rPr>
        <w:t xml:space="preserve">un segmento rigido ma indolore non è un ingresso; lo è un segmento che alla pressione riproduce.</w:t>
      </w:r>
    </w:p>
    <w:p>
      <w:pPr>
        <w:pStyle w:val="BodyText"/>
      </w:pPr>
      <w:r>
        <w:t xml:space="preserve">E quei muscoli riproducono quasi quanto l’osso. Trenta emicranici sono stati esaminati fra un attacco e l’altro. La pressione manuale ha riprodotto il mal di testa familiare in tre punti: sull’arco posteriore di C1 nel 92% dei casi, su un retto capitis posterior major nell’84,6%, su un obliquo capitis inferior nel 76,9%. La pressione media usata stava fra 0,82 e 1,2 kg/cm² (De Hertogh,</w:t>
      </w:r>
      <w:r>
        <w:t xml:space="preserve"> </w:t>
      </w:r>
      <w:r>
        <w:rPr>
          <w:i/>
          <w:iCs/>
        </w:rPr>
        <w:t xml:space="preserve">J Clin Med</w:t>
      </w:r>
      <w:r>
        <w:t xml:space="preserve"> </w:t>
      </w:r>
      <w:r>
        <w:t xml:space="preserve">2022, PMID 36362501) —</w:t>
      </w:r>
      <w:r>
        <w:t xml:space="preserve"> </w:t>
      </w:r>
      <w:r>
        <w:rPr>
          <w:i/>
          <w:iCs/>
        </w:rPr>
        <w:t xml:space="preserve">trenta pazienti, nessun gruppo di controllo e nessun cieco: dice dove premere, non che premere serva a qualcosa nel mese.</w:t>
      </w:r>
    </w:p>
    <w:p>
      <w:pPr>
        <w:pStyle w:val="BodyText"/>
      </w:pPr>
      <w:r>
        <w:rPr>
          <w:b/>
          <w:bCs/>
        </w:rPr>
        <w:t xml:space="preserve">I muscoli masticatori e l’articolazione temporo-mandibolare.</w:t>
      </w:r>
      <w:r>
        <w:t xml:space="preserve"> </w:t>
      </w:r>
      <w:r>
        <w:rPr>
          <w:i/>
          <w:iCs/>
        </w:rPr>
        <w:t xml:space="preserve">Cosa sono:</w:t>
      </w:r>
      <w:r>
        <w:t xml:space="preserve"> </w:t>
      </w:r>
      <w:r>
        <w:t xml:space="preserve">temporale, massetere, pterigoidei e l’articolazione che muovono.</w:t>
      </w:r>
      <w:r>
        <w:t xml:space="preserve"> </w:t>
      </w:r>
      <w:r>
        <w:rPr>
          <w:i/>
          <w:iCs/>
        </w:rPr>
        <w:t xml:space="preserve">Perché conta:</w:t>
      </w:r>
      <w:r>
        <w:t xml:space="preserve"> </w:t>
      </w:r>
      <w:r>
        <w:t xml:space="preserve">sono innervati dalla terza branca dello stesso trigemino. Un serramento notturno è quindi un ingresso continuo sullo stesso nucleo che riceve la dura.</w:t>
      </w:r>
      <w:r>
        <w:t xml:space="preserve"> </w:t>
      </w:r>
      <w:r>
        <w:rPr>
          <w:i/>
          <w:iCs/>
        </w:rPr>
        <w:t xml:space="preserve">Limite:</w:t>
      </w:r>
      <w:r>
        <w:t xml:space="preserve"> </w:t>
      </w:r>
      <w:r>
        <w:t xml:space="preserve">gli pterigoidei si raggiungono solo per via intra-orale, fuori dal perimetro «tecniche esterne» del DPR 131/2021. Qui spiegano il carico, non indicano un bersaglio.</w:t>
      </w:r>
    </w:p>
    <w:p>
      <w:pPr>
        <w:pStyle w:val="BodyText"/>
      </w:pPr>
      <w:r>
        <w:rPr>
          <w:b/>
          <w:bCs/>
        </w:rPr>
        <w:t xml:space="preserve">L’ipotalamo.</w:t>
      </w:r>
      <w:r>
        <w:t xml:space="preserve"> </w:t>
      </w:r>
      <w:r>
        <w:rPr>
          <w:i/>
          <w:iCs/>
        </w:rPr>
        <w:t xml:space="preserve">Cos’è:</w:t>
      </w:r>
      <w:r>
        <w:t xml:space="preserve"> </w:t>
      </w:r>
      <w:r>
        <w:t xml:space="preserve">il regolatore centrale di sonno, appetito, ritmi e risposta allo stress.</w:t>
      </w:r>
      <w:r>
        <w:t xml:space="preserve"> </w:t>
      </w:r>
      <w:r>
        <w:rPr>
          <w:i/>
          <w:iCs/>
        </w:rPr>
        <w:t xml:space="preserve">Cosa fa:</w:t>
      </w:r>
      <w:r>
        <w:t xml:space="preserve"> </w:t>
      </w:r>
      <w:r>
        <w:t xml:space="preserve">imposta le soglie con cui il sistema legge tutto il resto.</w:t>
      </w:r>
      <w:r>
        <w:t xml:space="preserve"> </w:t>
      </w:r>
      <w:r>
        <w:rPr>
          <w:i/>
          <w:iCs/>
        </w:rPr>
        <w:t xml:space="preserve">Perché conta:</w:t>
      </w:r>
      <w:r>
        <w:t xml:space="preserve"> </w:t>
      </w:r>
      <w:r>
        <w:t xml:space="preserve">è dove si osservano i</w:t>
      </w:r>
      <w:r>
        <w:t xml:space="preserve"> </w:t>
      </w:r>
      <w:r>
        <w:rPr>
          <w:b/>
          <w:bCs/>
        </w:rPr>
        <w:t xml:space="preserve">primi cambiamenti misurati</w:t>
      </w:r>
      <w:r>
        <w:t xml:space="preserve"> </w:t>
      </w:r>
      <w:r>
        <w:t xml:space="preserve">dell’attacco, ore prima del dolore. Sbadigli e voglia di dolci non sono capricci: è il regolatore che si muove.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le due affermazioni di questo capitolo che non sono anatomia descrittiva — che il dolore nasca dalla dura madre, e che l’attacco cominci dall’ipotalamo. La prima è un modello coerente, non una misura nell’uomo. La seconda poggia su una risonanza funzionale ripetuta per trenta giorni</w:t>
      </w:r>
      <w:r>
        <w:t xml:space="preserve"> </w:t>
      </w:r>
      <w:r>
        <w:rPr>
          <w:b/>
          <w:bCs/>
        </w:rPr>
        <w:t xml:space="preserve">su un solo paziente</w:t>
      </w:r>
      <w:r>
        <w:t xml:space="preserve"> </w:t>
      </w:r>
      <w:r>
        <w:t xml:space="preserve">(Schulte &amp; May,</w:t>
      </w:r>
      <w:r>
        <w:t xml:space="preserve"> </w:t>
      </w:r>
      <w:r>
        <w:rPr>
          <w:i/>
          <w:iCs/>
        </w:rPr>
        <w:t xml:space="preserve">Brain</w:t>
      </w:r>
      <w:r>
        <w:t xml:space="preserve"> </w:t>
      </w:r>
      <w:r>
        <w:t xml:space="preserve">2016, PMID 27190019).</w:t>
      </w:r>
    </w:p>
    <w:p>
      <w:pPr>
        <w:pStyle w:val="FirstParagraph"/>
      </w:pPr>
      <w:r>
        <w:rPr>
          <w:b/>
          <w:bCs/>
        </w:rPr>
        <w:t xml:space="preserve">Le due arterie che stanno dentro la zona che tratti.</w:t>
      </w:r>
    </w:p>
    <w:p>
      <w:pPr>
        <w:pStyle w:val="BodyText"/>
      </w:pPr>
      <w:r>
        <w:rPr>
          <w:i/>
          <w:iCs/>
        </w:rPr>
        <w:t xml:space="preserve">L’arteria vertebrale, tratto V3:</w:t>
      </w:r>
      <w:r>
        <w:t xml:space="preserve"> </w:t>
      </w:r>
      <w:r>
        <w:t xml:space="preserve">esce da C2, gira nel solco sull’arco posteriore dell’atlante e perfora la membrana atlanto-occipitale. Porta sangue al tronco encefalico e passa</w:t>
      </w:r>
      <w:r>
        <w:t xml:space="preserve"> </w:t>
      </w:r>
      <w:r>
        <w:rPr>
          <w:b/>
          <w:bCs/>
        </w:rPr>
        <w:t xml:space="preserve">dentro il triangolo sub-occipitale</w:t>
      </w:r>
      <w:r>
        <w:t xml:space="preserve">, la zona che questo documento indica come bersaglio principale.</w:t>
      </w:r>
    </w:p>
    <w:p>
      <w:pPr>
        <w:pStyle w:val="BodyText"/>
      </w:pPr>
      <w:r>
        <w:rPr>
          <w:i/>
          <w:iCs/>
        </w:rPr>
        <w:t xml:space="preserve">La carotide interna:</w:t>
      </w:r>
      <w:r>
        <w:t xml:space="preserve"> </w:t>
      </w:r>
      <w:r>
        <w:t xml:space="preserve">corre nella guaina carotidea, profonda allo sternocleidomastoideo, che è l’altro bersaglio nominato. Dentro quella guaina corrono anche le fibre simpatiche dell’occhio.</w:t>
      </w:r>
    </w:p>
    <w:p>
      <w:pPr>
        <w:pStyle w:val="BlockText"/>
      </w:pPr>
      <w:r>
        <w:rPr>
          <w:b/>
          <w:bCs/>
        </w:rPr>
        <w:t xml:space="preserve">Attenzione.</w:t>
      </w:r>
      <w:r>
        <w:t xml:space="preserve"> </w:t>
      </w:r>
      <w:r>
        <w:t xml:space="preserve">Le due strutture non sono un divieto. Sono la ragione per cui su questa regione l’inquadramento vascolare precede la scelta della tecnica, dolce o forte che sia (Rushton,</w:t>
      </w:r>
      <w:r>
        <w:t xml:space="preserve"> </w:t>
      </w:r>
      <w:r>
        <w:rPr>
          <w:i/>
          <w:iCs/>
        </w:rPr>
        <w:t xml:space="preserve">J Orthop Sports Phys Ther</w:t>
      </w:r>
      <w:r>
        <w:t xml:space="preserve"> </w:t>
      </w:r>
      <w:r>
        <w:t xml:space="preserve">2023, PMID 36099171).</w:t>
      </w:r>
    </w:p>
    <w:bookmarkStart w:id="22" w:name="le-due-chicche"/>
    <w:p>
      <w:pPr>
        <w:pStyle w:val="Heading3"/>
      </w:pPr>
      <w:r>
        <w:t xml:space="preserve">Le due chicche</w:t>
      </w:r>
    </w:p>
    <w:p>
      <w:pPr>
        <w:pStyle w:val="FirstParagraph"/>
      </w:pPr>
      <w:r>
        <w:rPr>
          <w:b/>
          <w:bCs/>
        </w:rPr>
        <w:t xml:space="preserve">Il ponte mio-durale.</w:t>
      </w:r>
      <w:r>
        <w:t xml:space="preserve"> </w:t>
      </w:r>
      <w:r>
        <w:t xml:space="preserve">Fra il retto capitis posterior minor e la dura madre spinale, alla giunzione occipite-atlante, esiste un ponte di tessuto connettivo. È stato trovato in tutti i preparati esaminati (Hack,</w:t>
      </w:r>
      <w:r>
        <w:t xml:space="preserve"> </w:t>
      </w:r>
      <w:r>
        <w:rPr>
          <w:i/>
          <w:iCs/>
        </w:rPr>
        <w:t xml:space="preserve">Spine</w:t>
      </w:r>
      <w:r>
        <w:t xml:space="preserve"> </w:t>
      </w:r>
      <w:r>
        <w:t xml:space="preserve">1995, PMID 8610241). Nessuno però ha misurato la tensione durale o la pressione liquorale prima e dopo un trattamento nell’uomo.</w:t>
      </w:r>
      <w:r>
        <w:t xml:space="preserve"> </w:t>
      </w:r>
      <w:r>
        <w:rPr>
          <w:b/>
          <w:bCs/>
        </w:rPr>
        <w:t xml:space="preserve">Spiega perché quel muscolo è particolare. Non giustifica un claim di trazione sulla dura, e non si racconta al paziente come meccanismo.</w:t>
      </w:r>
    </w:p>
    <w:p>
      <w:pPr>
        <w:pStyle w:val="BodyText"/>
      </w:pPr>
      <w:r>
        <w:rPr>
          <w:b/>
          <w:bCs/>
        </w:rPr>
        <w:t xml:space="preserve">La regione della troclea.</w:t>
      </w:r>
      <w:r>
        <w:t xml:space="preserve"> </w:t>
      </w:r>
      <w:r>
        <w:t xml:space="preserve">Sopra l’angolo interno dell’orbita, dove l’obliquo superiore dell’occhio passa nel suo anello fibroso, c’è un punto che riproduce dolore dietro l’occhio.</w:t>
      </w:r>
    </w:p>
    <w:p>
      <w:pPr>
        <w:pStyle w:val="BodyText"/>
      </w:pPr>
      <w:r>
        <w:t xml:space="preserve">Sono stati esaminati venti pazienti con emicrania sempre dallo stesso lato. Sedici — l’80% — hanno percepito dolore riferito retro-orbitario alla palpazione, contro cinque su venti fra i controlli, e tutti i punti stavano dal lato del mal di testa (Fernández-de-las-Peñas,</w:t>
      </w:r>
      <w:r>
        <w:t xml:space="preserve"> </w:t>
      </w:r>
      <w:r>
        <w:rPr>
          <w:i/>
          <w:iCs/>
        </w:rPr>
        <w:t xml:space="preserve">Clin J Pain</w:t>
      </w:r>
      <w:r>
        <w:t xml:space="preserve"> </w:t>
      </w:r>
      <w:r>
        <w:t xml:space="preserve">2006, PMID 16788342). È territorio della prima branca del trigemino, cioè lo stesso ingresso della dura: per questo riproduce lì.</w:t>
      </w:r>
    </w:p>
    <w:p>
      <w:pPr>
        <w:pStyle w:val="BodyText"/>
      </w:pPr>
      <w:r>
        <w:rPr>
          <w:b/>
          <w:bCs/>
        </w:rPr>
        <w:t xml:space="preserve">Il punto è sul bordo osseo dell’orbita, non sul bulbo. Sul bulbo non si preme, mai.</w:t>
      </w:r>
      <w:r>
        <w:t xml:space="preserve"> </w:t>
      </w:r>
      <w:r>
        <w:t xml:space="preserve">La pressione sull’occhio innesca un riflesso trigemino-vagale che rallenta il cuore: è raro e serio (Yoo,</w:t>
      </w:r>
      <w:r>
        <w:t xml:space="preserve"> </w:t>
      </w:r>
      <w:r>
        <w:rPr>
          <w:i/>
          <w:iCs/>
        </w:rPr>
        <w:t xml:space="preserve">J Craniofac Surg</w:t>
      </w:r>
      <w:r>
        <w:t xml:space="preserve"> </w:t>
      </w:r>
      <w:r>
        <w:t xml:space="preserve">2021, PMID 33186288).</w:t>
      </w:r>
    </w:p>
    <w:p>
      <w:pPr>
        <w:pStyle w:val="BodyText"/>
      </w:pPr>
      <w:r>
        <w:rPr>
          <w:b/>
          <w:bCs/>
        </w:rPr>
        <w:t xml:space="preserve">Per te:</w:t>
      </w:r>
      <w:r>
        <w:t xml:space="preserve"> </w:t>
      </w:r>
      <w:r>
        <w:t xml:space="preserve">nessuno nel percorso del paziente ha mai toccato quel punto, si esamina in dieci secondi, e quando riproduce il dolore gli dimostra che qualcosa fuori dal cranio parla con il suo mal di testa. Lo studio è piccolo: è un reperto da verificare su questo paziente, non una prova generale.</w:t>
      </w:r>
    </w:p>
    <w:p>
      <w:pPr>
        <w:pStyle w:val="BodyText"/>
      </w:pPr>
      <w:r>
        <w:rPr>
          <w:b/>
          <w:bCs/>
        </w:rPr>
        <w:t xml:space="preserve">Un modificatore da chiedere:</w:t>
      </w:r>
      <w:r>
        <w:t xml:space="preserve"> </w:t>
      </w:r>
      <w:r>
        <w:t xml:space="preserve">un trauma pregresso del distretto — colpo di frusta, caduta sul capo, una cicatrice sulla nuca — cambia il tessuto che palpi, e si scrive. Se invece il mal di testa è</w:t>
      </w:r>
      <w:r>
        <w:t xml:space="preserve"> </w:t>
      </w:r>
      <w:r>
        <w:rPr>
          <w:b/>
          <w:bCs/>
        </w:rPr>
        <w:t xml:space="preserve">comparso</w:t>
      </w:r>
      <w:r>
        <w:t xml:space="preserve"> </w:t>
      </w:r>
      <w:r>
        <w:t xml:space="preserve">dopo un trauma cranico, è una bandiera rossa.</w:t>
      </w:r>
    </w:p>
    <w:p>
      <w:pPr>
        <w:pStyle w:val="BodyText"/>
      </w:pPr>
      <w:r>
        <w:rPr>
          <w:b/>
          <w:bCs/>
        </w:rPr>
        <w:t xml:space="preserve">Le tre cose da ricordare, più una</w:t>
      </w:r>
    </w:p>
    <w:p>
      <w:pPr>
        <w:pStyle w:val="Compact"/>
        <w:numPr>
          <w:ilvl w:val="0"/>
          <w:numId w:val="1008"/>
        </w:numPr>
      </w:pPr>
      <w:r>
        <w:t xml:space="preserve">Faccia, dura madre e collo alto finiscono sugli stessi neuroni: è l’unico fatto anatomico da sapere a memoria.</w:t>
      </w:r>
    </w:p>
    <w:p>
      <w:pPr>
        <w:pStyle w:val="Compact"/>
        <w:numPr>
          <w:ilvl w:val="0"/>
          <w:numId w:val="1008"/>
        </w:numPr>
      </w:pPr>
      <w:r>
        <w:t xml:space="preserve">L’ingresso che conta è nocicettivo, non propriocettivo: un segmento rigido e indolore non alimenta niente.</w:t>
      </w:r>
    </w:p>
    <w:p>
      <w:pPr>
        <w:pStyle w:val="Compact"/>
        <w:numPr>
          <w:ilvl w:val="0"/>
          <w:numId w:val="1008"/>
        </w:numPr>
      </w:pPr>
      <w:r>
        <w:t xml:space="preserve">Dentro la zona che tratti passano l’arteria vertebrale V3 e la carotide interna: non è un divieto, è il motivo per cui prima si inquadra.</w:t>
      </w:r>
    </w:p>
    <w:p>
      <w:pPr>
        <w:pStyle w:val="Compact"/>
        <w:numPr>
          <w:ilvl w:val="0"/>
          <w:numId w:val="1008"/>
        </w:numPr>
      </w:pPr>
      <w:r>
        <w:rPr>
          <w:b/>
          <w:bCs/>
        </w:rPr>
        <w:t xml:space="preserve">Perché ci sei tu.</w:t>
      </w:r>
      <w:r>
        <w:t xml:space="preserve"> </w:t>
      </w:r>
      <w:r>
        <w:t xml:space="preserve">Con esaminatore cieco, il 93% degli emicranici ha almeno tre disfunzioni su undici test (138 pazienti di un centro cefalee, 73 controlli sani; l’abstract non riporta la quota — Luedtke,</w:t>
      </w:r>
      <w:r>
        <w:t xml:space="preserve"> </w:t>
      </w:r>
      <w:r>
        <w:rPr>
          <w:i/>
          <w:iCs/>
        </w:rPr>
        <w:t xml:space="preserve">Cephalalgia</w:t>
      </w:r>
      <w:r>
        <w:t xml:space="preserve"> </w:t>
      </w:r>
      <w:r>
        <w:t xml:space="preserve">2018, PMID 28641450). Questo ti autorizza ad aspettarti un reperto quasi sempre, e a saperlo esaminare. Non ti autorizza a concludere che sia specifico dell’emicrania, né che causi gli attacchi: lo studio è trasversale e senza confronto dichiarato.</w:t>
      </w:r>
    </w:p>
    <w:p>
      <w:r>
        <w:pict>
          <v:rect style="width:0;height:1.5pt" o:hralign="center" o:hrstd="t" o:hr="t"/>
        </w:pict>
      </w:r>
    </w:p>
    <w:bookmarkEnd w:id="22"/>
    <w:bookmarkEnd w:id="23"/>
    <w:bookmarkStart w:id="24"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 sistema che funziona filtra: riceve moltissimi segnali dalla testa e dal collo e ne lascia passare pochissimi, e l’emicrania è quel filtro che perde selettività a intervalli.</w:t>
      </w:r>
    </w:p>
    <w:p>
      <w:pPr>
        <w:pStyle w:val="FirstParagraph"/>
      </w:pPr>
      <w:r>
        <w:t xml:space="preserve">La sequenza normale, in ordine:</w:t>
      </w:r>
    </w:p>
    <w:p>
      <w:pPr>
        <w:pStyle w:val="Compact"/>
        <w:numPr>
          <w:ilvl w:val="0"/>
          <w:numId w:val="1009"/>
        </w:numPr>
      </w:pPr>
      <w:r>
        <w:rPr>
          <w:b/>
          <w:bCs/>
        </w:rPr>
        <w:t xml:space="preserve">L’ipotalamo imposta la giornata.</w:t>
      </w:r>
      <w:r>
        <w:t xml:space="preserve"> </w:t>
      </w:r>
      <w:r>
        <w:t xml:space="preserve">Regola sonno, fame, ormoni e allerta. E fissa il</w:t>
      </w:r>
      <w:r>
        <w:t xml:space="preserve"> </w:t>
      </w:r>
      <w:r>
        <w:rPr>
          <w:b/>
          <w:bCs/>
        </w:rPr>
        <w:t xml:space="preserve">guadagno</w:t>
      </w:r>
      <w:r>
        <w:t xml:space="preserve"> </w:t>
      </w:r>
      <w:r>
        <w:t xml:space="preserve">con cui tutto il resto verrà letto: quanto conta un rumore, quanta luce è troppa, quanto pesa un digiuno. È la manopola del volume in macchina: la canzone è la stessa, e a un certo punto dà fastidio.</w:t>
      </w:r>
    </w:p>
    <w:p>
      <w:pPr>
        <w:pStyle w:val="Compact"/>
        <w:numPr>
          <w:ilvl w:val="0"/>
          <w:numId w:val="1009"/>
        </w:numPr>
      </w:pPr>
      <w:r>
        <w:rPr>
          <w:b/>
          <w:bCs/>
        </w:rPr>
        <w:t xml:space="preserve">La dura madre monitora.</w:t>
      </w:r>
      <w:r>
        <w:t xml:space="preserve"> </w:t>
      </w:r>
      <w:r>
        <w:t xml:space="preserve">Le sue terminazioni trigeminali sorvegliano i vasi meningei e, in condizioni normali, scaricano poco.</w:t>
      </w:r>
    </w:p>
    <w:p>
      <w:pPr>
        <w:pStyle w:val="Compact"/>
        <w:numPr>
          <w:ilvl w:val="0"/>
          <w:numId w:val="1009"/>
        </w:numPr>
      </w:pPr>
      <w:r>
        <w:rPr>
          <w:b/>
          <w:bCs/>
        </w:rPr>
        <w:t xml:space="preserve">Il collo e la mandibola mandano il loro traffico.</w:t>
      </w:r>
      <w:r>
        <w:t xml:space="preserve"> </w:t>
      </w:r>
      <w:r>
        <w:t xml:space="preserve">Nocicettori dei muscoli profondi della nuca, recettori articolari di C1-C3, afferenze dei masticatori: un flusso continuo che arriva nello stesso posto della dura.</w:t>
      </w:r>
    </w:p>
    <w:p>
      <w:pPr>
        <w:pStyle w:val="Compact"/>
        <w:numPr>
          <w:ilvl w:val="0"/>
          <w:numId w:val="1009"/>
        </w:numPr>
      </w:pPr>
      <w:r>
        <w:rPr>
          <w:b/>
          <w:bCs/>
        </w:rPr>
        <w:t xml:space="preserve">Il complesso trigemino-cervicale somma e filtra.</w:t>
      </w:r>
      <w:r>
        <w:t xml:space="preserve"> </w:t>
      </w:r>
      <w:r>
        <w:t xml:space="preserve">I neuroni di secondo ordine ricevono tutto insieme e hanno una soglia. Sotto quella soglia il traffico del collo non diventa dolore in testa.</w:t>
      </w:r>
    </w:p>
    <w:p>
      <w:pPr>
        <w:pStyle w:val="Compact"/>
        <w:numPr>
          <w:ilvl w:val="0"/>
          <w:numId w:val="1009"/>
        </w:numPr>
      </w:pPr>
      <w:r>
        <w:rPr>
          <w:b/>
          <w:bCs/>
        </w:rPr>
        <w:t xml:space="preserve">Il tronco encefalico frena dall’alto.</w:t>
      </w:r>
      <w:r>
        <w:t xml:space="preserve"> </w:t>
      </w:r>
      <w:r>
        <w:t xml:space="preserve">La sostanza grigia periacqueduttale e i nuclei del rafe tengono bassa l’eccitabilità di quei neuroni. È un freno attivo, non un’assenza di segnale.</w:t>
      </w:r>
    </w:p>
    <w:p>
      <w:pPr>
        <w:pStyle w:val="Compact"/>
        <w:numPr>
          <w:ilvl w:val="0"/>
          <w:numId w:val="1009"/>
        </w:numPr>
      </w:pPr>
      <w:r>
        <w:rPr>
          <w:b/>
          <w:bCs/>
        </w:rPr>
        <w:t xml:space="preserve">Il talamo decide cosa arriva alla coscienza.</w:t>
      </w:r>
      <w:r>
        <w:t xml:space="preserve"> </w:t>
      </w:r>
      <w:r>
        <w:t xml:space="preserve">È il piano dei</w:t>
      </w:r>
      <w:r>
        <w:t xml:space="preserve"> </w:t>
      </w:r>
      <w:r>
        <w:rPr>
          <w:b/>
          <w:bCs/>
        </w:rPr>
        <w:t xml:space="preserve">neuroni di terzo ordine</w:t>
      </w:r>
      <w:r>
        <w:t xml:space="preserve">. In un sistema che funziona lascia passare quasi niente; quando si sensibilizza lui, il fastidio esce dalla testa.</w:t>
      </w:r>
    </w:p>
    <w:p>
      <w:pPr>
        <w:pStyle w:val="BlockText"/>
      </w:pPr>
      <w:r>
        <w:rPr>
          <w:b/>
          <w:bCs/>
        </w:rPr>
        <w:t xml:space="preserve">Cosa cambia per te.</w:t>
      </w:r>
      <w:r>
        <w:t xml:space="preserve"> </w:t>
      </w:r>
      <w:r>
        <w:t xml:space="preserve">Il collo manda già il suo segnale anche quando stai bene. La differenza fra salute e attacco non è la presenza di quel segnale: è la soglia che lo ferma.</w:t>
      </w:r>
    </w:p>
    <w:p>
      <w:pPr>
        <w:pStyle w:val="FirstParagraph"/>
      </w:pPr>
      <w:r>
        <w:rPr>
          <w:b/>
          <w:bCs/>
        </w:rPr>
        <w:t xml:space="preserve">Questo è il sistema che funziona. Ora vediamo dove si rompe.</w:t>
      </w:r>
    </w:p>
    <w:p>
      <w:pPr>
        <w:pStyle w:val="BodyText"/>
      </w:pPr>
      <w:r>
        <w:rPr>
          <w:b/>
          <w:bCs/>
        </w:rPr>
        <w:t xml:space="preserve">Le tre cose da ricordare, più una</w:t>
      </w:r>
    </w:p>
    <w:p>
      <w:pPr>
        <w:pStyle w:val="Compact"/>
        <w:numPr>
          <w:ilvl w:val="0"/>
          <w:numId w:val="1010"/>
        </w:numPr>
      </w:pPr>
      <w:r>
        <w:t xml:space="preserve">Il collo alimenta il sistema del mal di testa anche nel soggetto sano: cambia solo se passa.</w:t>
      </w:r>
    </w:p>
    <w:p>
      <w:pPr>
        <w:pStyle w:val="Compact"/>
        <w:numPr>
          <w:ilvl w:val="0"/>
          <w:numId w:val="1010"/>
        </w:numPr>
      </w:pPr>
      <w:r>
        <w:t xml:space="preserve">Il freno discendente dal tronco è attivo. Un dolore che aumenta può essere un freno che molla, non un segnale che cresce.</w:t>
      </w:r>
    </w:p>
    <w:p>
      <w:pPr>
        <w:pStyle w:val="Compact"/>
        <w:numPr>
          <w:ilvl w:val="0"/>
          <w:numId w:val="1010"/>
        </w:numPr>
      </w:pPr>
      <w:r>
        <w:t xml:space="preserve">L’ipotalamo fissa il guadagno della giornata: sonno, digiuno e ciclo agiscono da lì, non sul collo.</w:t>
      </w:r>
    </w:p>
    <w:p>
      <w:pPr>
        <w:pStyle w:val="Compact"/>
        <w:numPr>
          <w:ilvl w:val="0"/>
          <w:numId w:val="1010"/>
        </w:numPr>
      </w:pPr>
      <w:r>
        <w:rPr>
          <w:b/>
          <w:bCs/>
        </w:rPr>
        <w:t xml:space="preserve">Perché ci sei tu.</w:t>
      </w:r>
      <w:r>
        <w:t xml:space="preserve"> </w:t>
      </w:r>
      <w:r>
        <w:t xml:space="preserve">Con diario elettronico, il collo rigido compare nel 50% degli attacchi preceduti da segnali di avvertimento. È il terzo sintomo premonitorio dopo stanchezza e difficoltà di concentrazione (Giffin,</w:t>
      </w:r>
      <w:r>
        <w:t xml:space="preserve"> </w:t>
      </w:r>
      <w:r>
        <w:rPr>
          <w:i/>
          <w:iCs/>
        </w:rPr>
        <w:t xml:space="preserve">Neurology</w:t>
      </w:r>
      <w:r>
        <w:t xml:space="preserve"> </w:t>
      </w:r>
      <w:r>
        <w:t xml:space="preserve">2003, PMID 12654956). Lo studio reclutava di proposito chi già riconosceva i propri sintomi premonitori: quel 50% non è la prevalenza generale. Questo ti autorizza a chiedere sistematicamente cosa succede al collo nelle ore prima. Non ti autorizza a leggere quella rigidità come la causa: spesso è già l’attacco cominciato.</w:t>
      </w:r>
    </w:p>
    <w:p>
      <w:r>
        <w:pict>
          <v:rect style="width:0;height:1.5pt" o:hralign="center" o:hrstd="t" o:hr="t"/>
        </w:pict>
      </w:r>
    </w:p>
    <w:bookmarkEnd w:id="24"/>
    <w:bookmarkStart w:id="31"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cose tengono in piedi questa condizione: le tue mani ne raggiungono due per intero, due solo di striscio, e la quinta per niente.</w:t>
      </w:r>
    </w:p>
    <w:p>
      <w:pPr>
        <w:pStyle w:val="FirstParagraph"/>
      </w:pPr>
      <w:r>
        <w:t xml:space="preserve">I meccanismi sono ordinati dal più solido al meno solido.</w:t>
      </w:r>
    </w:p>
    <w:bookmarkStart w:id="25" w:name="la-soglia-che-si-abbassa-a-ogni-attacco"/>
    <w:p>
      <w:pPr>
        <w:pStyle w:val="Heading3"/>
      </w:pPr>
      <w:r>
        <w:t xml:space="preserve">1. La soglia che si abbassa a ogni attacco</w:t>
      </w:r>
    </w:p>
    <w:p>
      <w:pPr>
        <w:pStyle w:val="Compact"/>
        <w:numPr>
          <w:ilvl w:val="0"/>
          <w:numId w:val="1011"/>
        </w:numPr>
      </w:pPr>
      <w:r>
        <w:t xml:space="preserve">Un attacco scarica ripetutamente i neuroni del complesso trigemino-cervicale.</w:t>
      </w:r>
    </w:p>
    <w:p>
      <w:pPr>
        <w:pStyle w:val="Compact"/>
        <w:numPr>
          <w:ilvl w:val="0"/>
          <w:numId w:val="1011"/>
        </w:numPr>
      </w:pPr>
      <w:r>
        <w:t xml:space="preserve">Quei neuroni diventano più eccitabili e allargano il proprio</w:t>
      </w:r>
      <w:r>
        <w:t xml:space="preserve"> </w:t>
      </w:r>
      <w:r>
        <w:rPr>
          <w:b/>
          <w:bCs/>
        </w:rPr>
        <w:t xml:space="preserve">campo recettivo</w:t>
      </w:r>
      <w:r>
        <w:t xml:space="preserve">, cioè l’area da cui accettano segnali.</w:t>
      </w:r>
    </w:p>
    <w:p>
      <w:pPr>
        <w:pStyle w:val="Compact"/>
        <w:numPr>
          <w:ilvl w:val="0"/>
          <w:numId w:val="1011"/>
        </w:numPr>
      </w:pPr>
      <w:r>
        <w:t xml:space="preserve">Stimoli che prima non facevano male cominciano a farlo,</w:t>
      </w:r>
      <w:r>
        <w:t xml:space="preserve"> </w:t>
      </w:r>
      <w:r>
        <w:rPr>
          <w:b/>
          <w:bCs/>
        </w:rPr>
        <w:t xml:space="preserve">sulla testa</w:t>
      </w:r>
      <w:r>
        <w:t xml:space="preserve">: pettinarsi, gli occhiali, il colletto. È allodinia cefalica, e nasce sul neurone di secondo ordine.</w:t>
      </w:r>
    </w:p>
    <w:p>
      <w:pPr>
        <w:pStyle w:val="Compact"/>
        <w:numPr>
          <w:ilvl w:val="0"/>
          <w:numId w:val="1011"/>
        </w:numPr>
      </w:pPr>
      <w:r>
        <w:rPr>
          <w:b/>
          <w:bCs/>
        </w:rPr>
        <w:t xml:space="preserve">Se la sensibilizzazione sale al talamo, il fastidio esce dalla testa:</w:t>
      </w:r>
      <w:r>
        <w:t xml:space="preserve"> </w:t>
      </w:r>
      <w:r>
        <w:t xml:space="preserve">la manica sull’avambraccio, l’acqua della doccia. Quella è allodinia extra-cefalica, di terzo ordine. In quei pazienti i sistemi che frenano il dolore risultano</w:t>
      </w:r>
      <w:r>
        <w:t xml:space="preserve"> </w:t>
      </w:r>
      <w:r>
        <w:rPr>
          <w:b/>
          <w:bCs/>
        </w:rPr>
        <w:t xml:space="preserve">spenti</w:t>
      </w:r>
      <w:r>
        <w:t xml:space="preserve"> </w:t>
      </w:r>
      <w:r>
        <w:t xml:space="preserve">durante l’attacco (Burstein,</w:t>
      </w:r>
      <w:r>
        <w:t xml:space="preserve"> </w:t>
      </w:r>
      <w:r>
        <w:rPr>
          <w:i/>
          <w:iCs/>
        </w:rPr>
        <w:t xml:space="preserve">Ann Neurol</w:t>
      </w:r>
      <w:r>
        <w:t xml:space="preserve"> </w:t>
      </w:r>
      <w:r>
        <w:t xml:space="preserve">2010, PMID 20582997; Maleki,</w:t>
      </w:r>
      <w:r>
        <w:t xml:space="preserve"> </w:t>
      </w:r>
      <w:r>
        <w:rPr>
          <w:i/>
          <w:iCs/>
        </w:rPr>
        <w:t xml:space="preserve">J Headache Pain</w:t>
      </w:r>
      <w:r>
        <w:t xml:space="preserve"> </w:t>
      </w:r>
      <w:r>
        <w:t xml:space="preserve">2021, PMID 33395413).</w:t>
      </w:r>
    </w:p>
    <w:p>
      <w:pPr>
        <w:pStyle w:val="Compact"/>
        <w:numPr>
          <w:ilvl w:val="0"/>
          <w:numId w:val="1011"/>
        </w:numPr>
      </w:pPr>
      <w:r>
        <w:t xml:space="preserve">Più attacchi ci sono, più il fenomeno resta anche fra un attacco e l’altro. Il paziente arriva con un dolore grande e un reperto piccolo.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che l’allodinia cutanea sia più frequente nell’emicrania e cresca con la frequenza degli attacchi. Su 16.573 questionari da popolazione generale riguardava il 63,2% degli emicranici episodici e il 68,3% di chi era passato alla forma cronica, contro il 36,7% delle cefalee tensive gravi (Bigal,</w:t>
      </w:r>
      <w:r>
        <w:t xml:space="preserve"> </w:t>
      </w:r>
      <w:r>
        <w:rPr>
          <w:i/>
          <w:iCs/>
        </w:rPr>
        <w:t xml:space="preserve">Neurology</w:t>
      </w:r>
      <w:r>
        <w:t xml:space="preserve"> </w:t>
      </w:r>
      <w:r>
        <w:t xml:space="preserve">2008, PMID 18427069).</w:t>
      </w:r>
      <w:r>
        <w:t xml:space="preserve"> </w:t>
      </w:r>
      <w:r>
        <w:rPr>
          <w:b/>
          <w:bCs/>
        </w:rPr>
        <w:t xml:space="preserve">PROBABILE</w:t>
      </w:r>
      <w:r>
        <w:t xml:space="preserve"> </w:t>
      </w:r>
      <w:r>
        <w:rPr>
          <w:i/>
          <w:iCs/>
        </w:rPr>
        <w:t xml:space="preserve">(razionale forte, prove parziali)</w:t>
      </w:r>
      <w:r>
        <w:t xml:space="preserve"> </w:t>
      </w:r>
      <w:r>
        <w:t xml:space="preserve">per la progressione attacco dopo attacco: quello studio è trasversale, e misura un’associazione con la frequenza, non una traiettoria. Che una mano inverta la sensibilizzazione non è dimostrato.</w:t>
      </w:r>
    </w:p>
    <w:p>
      <w:pPr>
        <w:pStyle w:val="FirstParagraph"/>
      </w:pPr>
      <w:r>
        <w:rPr>
          <w:b/>
          <w:bCs/>
        </w:rPr>
        <w:t xml:space="preserve">Come si vede addosso al paziente.</w:t>
      </w:r>
      <w:r>
        <w:t xml:space="preserve"> </w:t>
      </w:r>
      <w:r>
        <w:t xml:space="preserve">Durante l’attacco non sopporta i capelli raccolti. Una pressione lieve sul temporale gli dà un dolore sproporzionato alla forza che senti tu.</w:t>
      </w:r>
    </w:p>
    <w:p>
      <w:pPr>
        <w:pStyle w:val="BodyText"/>
      </w:pPr>
      <w:r>
        <w:t xml:space="preserve">La domanda che separa i due piani costa dieci secondi:</w:t>
      </w:r>
      <w:r>
        <w:t xml:space="preserve"> </w:t>
      </w:r>
      <w:r>
        <w:rPr>
          <w:b/>
          <w:bCs/>
        </w:rPr>
        <w:t xml:space="preserve">“durante l’attacco le dà fastidio anche la manica sul braccio, o l’acqua della doccia?”</w:t>
      </w:r>
      <w:r>
        <w:t xml:space="preserve"> </w:t>
      </w:r>
      <w:r>
        <w:t xml:space="preserve">Un sì dice due cose: il freno discendente è spento, e la tua leva più immediata lì ha meno da spostare.</w:t>
      </w:r>
    </w:p>
    <w:p>
      <w:pPr>
        <w:pStyle w:val="BodyText"/>
      </w:pPr>
      <w:r>
        <w:rPr>
          <w:b/>
          <w:bCs/>
        </w:rPr>
        <w:t xml:space="preserve">Una serratura forzata molte volte comincia ad aprirsi con qualunque chiave.</w:t>
      </w:r>
    </w:p>
    <w:bookmarkEnd w:id="25"/>
    <w:bookmarkStart w:id="26" w:name="il-ciclo-che-parte-ore-prima-del-dolore"/>
    <w:p>
      <w:pPr>
        <w:pStyle w:val="Heading3"/>
      </w:pPr>
      <w:r>
        <w:t xml:space="preserve">2. Il ciclo che parte ore prima del dolore</w:t>
      </w:r>
    </w:p>
    <w:p>
      <w:pPr>
        <w:pStyle w:val="Compact"/>
        <w:numPr>
          <w:ilvl w:val="0"/>
          <w:numId w:val="1012"/>
        </w:numPr>
      </w:pPr>
      <w:r>
        <w:t xml:space="preserve">L’ipotalamo cambia il proprio</w:t>
      </w:r>
      <w:r>
        <w:t xml:space="preserve"> </w:t>
      </w:r>
      <w:r>
        <w:rPr>
          <w:b/>
          <w:bCs/>
        </w:rPr>
        <w:t xml:space="preserve">accoppiamento</w:t>
      </w:r>
      <w:r>
        <w:t xml:space="preserve"> </w:t>
      </w:r>
      <w:r>
        <w:t xml:space="preserve">con il tronco encefalico — cioè quanto le due zone si accendono insieme — nelle ventiquattro ore che precedono l’attacco.</w:t>
      </w:r>
    </w:p>
    <w:p>
      <w:pPr>
        <w:pStyle w:val="Compact"/>
        <w:numPr>
          <w:ilvl w:val="0"/>
          <w:numId w:val="1012"/>
        </w:numPr>
      </w:pPr>
      <w:r>
        <w:t xml:space="preserve">Compaiono i sintomi premonitori: sbadigli, stanchezza, irritabilità, fame di dolci, collo rigido.</w:t>
      </w:r>
    </w:p>
    <w:p>
      <w:pPr>
        <w:pStyle w:val="Compact"/>
        <w:numPr>
          <w:ilvl w:val="0"/>
          <w:numId w:val="1012"/>
        </w:numPr>
      </w:pPr>
      <w:r>
        <w:t xml:space="preserve">La soglia del complesso scende. Un ingresso qualunque — un digiuno, una notte corta, un calo di tensione — trova un sistema già predisposto.</w:t>
      </w:r>
    </w:p>
    <w:p>
      <w:pPr>
        <w:pStyle w:val="Compact"/>
        <w:numPr>
          <w:ilvl w:val="0"/>
          <w:numId w:val="1012"/>
        </w:numPr>
      </w:pPr>
      <w:r>
        <w:t xml:space="preserve">Parte il dolore. A quel punto è la fine di un processo, non l’inizio.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l’accoppiamento fra ipotalamo, nuclei trigeminali e ponte cambia nel giorno che precede il dolore, ma lo studio è una risonanza funzionale ripetuta per trenta giorni</w:t>
      </w:r>
      <w:r>
        <w:t xml:space="preserve"> </w:t>
      </w:r>
      <w:r>
        <w:rPr>
          <w:b/>
          <w:bCs/>
        </w:rPr>
        <w:t xml:space="preserve">su un solo paziente</w:t>
      </w:r>
      <w:r>
        <w:t xml:space="preserve"> </w:t>
      </w:r>
      <w:r>
        <w:t xml:space="preserve">(Schulte &amp; May,</w:t>
      </w:r>
      <w:r>
        <w:t xml:space="preserve"> </w:t>
      </w:r>
      <w:r>
        <w:rPr>
          <w:i/>
          <w:iCs/>
        </w:rPr>
        <w:t xml:space="preserve">Brain</w:t>
      </w:r>
      <w:r>
        <w:t xml:space="preserve"> </w:t>
      </w:r>
      <w:r>
        <w:t xml:space="preserve">2016, PMID 27190019). La fenomenologia premonitoria è documentata su 97 pazienti (Giffin,</w:t>
      </w:r>
      <w:r>
        <w:t xml:space="preserve"> </w:t>
      </w:r>
      <w:r>
        <w:rPr>
          <w:i/>
          <w:iCs/>
        </w:rPr>
        <w:t xml:space="preserve">Neurology</w:t>
      </w:r>
      <w:r>
        <w:t xml:space="preserve"> </w:t>
      </w:r>
      <w:r>
        <w:t xml:space="preserve">2003, PMID 12654956).</w:t>
      </w:r>
    </w:p>
    <w:p>
      <w:pPr>
        <w:pStyle w:val="FirstParagraph"/>
      </w:pPr>
      <w:r>
        <w:rPr>
          <w:b/>
          <w:bCs/>
        </w:rPr>
        <w:t xml:space="preserve">Come si vede addosso al paziente.</w:t>
      </w:r>
      <w:r>
        <w:t xml:space="preserve"> </w:t>
      </w:r>
      <w:r>
        <w:t xml:space="preserve">Sa dirti che se ne accorge prima: sbadigli, voglia di dolci, insofferenza. E ti descrive il rilascio: l’attacco arriva il sabato mattina, non il giovedì sotto pressione.</w:t>
      </w:r>
    </w:p>
    <w:p>
      <w:pPr>
        <w:pStyle w:val="BodyText"/>
      </w:pPr>
      <w:r>
        <w:rPr>
          <w:b/>
          <w:bCs/>
        </w:rPr>
        <w:t xml:space="preserve">La marea. L’acqua alta si vede all’ultimo, ma il movimento era cominciato ore prima.</w:t>
      </w:r>
    </w:p>
    <w:bookmarkEnd w:id="26"/>
    <w:bookmarkStart w:id="27" w:name="Xd301e575c789aaff74f270bd4558d125f385ead"/>
    <w:p>
      <w:pPr>
        <w:pStyle w:val="Heading3"/>
      </w:pPr>
      <w:r>
        <w:t xml:space="preserve">3. Il collo e la testa che finiscono sullo stesso neurone</w:t>
      </w:r>
    </w:p>
    <w:p>
      <w:pPr>
        <w:pStyle w:val="Compact"/>
        <w:numPr>
          <w:ilvl w:val="0"/>
          <w:numId w:val="1013"/>
        </w:numPr>
      </w:pPr>
      <w:r>
        <w:t xml:space="preserve">Neuroni</w:t>
      </w:r>
      <w:r>
        <w:t xml:space="preserve"> </w:t>
      </w:r>
      <w:r>
        <w:rPr>
          <w:b/>
          <w:bCs/>
        </w:rPr>
        <w:t xml:space="preserve">nocicettivi</w:t>
      </w:r>
      <w:r>
        <w:t xml:space="preserve"> </w:t>
      </w:r>
      <w:r>
        <w:t xml:space="preserve">di secondo ordine in C1-C3 ricevono sulle stesse cellule due ingressi: le fibre sottili della dura madre, e quelle del grande occipitale e dei muscoli profondi della nuca.</w:t>
      </w:r>
    </w:p>
    <w:p>
      <w:pPr>
        <w:pStyle w:val="Compact"/>
        <w:numPr>
          <w:ilvl w:val="0"/>
          <w:numId w:val="1013"/>
        </w:numPr>
      </w:pPr>
      <w:r>
        <w:t xml:space="preserve">Un ingresso nocicettivo cervicale alto e prolungato somma il proprio contributo su quegli stessi neuroni. L’ingresso</w:t>
      </w:r>
      <w:r>
        <w:t xml:space="preserve"> </w:t>
      </w:r>
      <w:r>
        <w:rPr>
          <w:b/>
          <w:bCs/>
        </w:rPr>
        <w:t xml:space="preserve">muscolare profondo</w:t>
      </w:r>
      <w:r>
        <w:t xml:space="preserve"> </w:t>
      </w:r>
      <w:r>
        <w:t xml:space="preserve">facilita più a lungo di quello cutaneo: è la ragione per cui il bersaglio è profondo e non la pelle.</w:t>
      </w:r>
    </w:p>
    <w:p>
      <w:pPr>
        <w:pStyle w:val="Compact"/>
        <w:numPr>
          <w:ilvl w:val="0"/>
          <w:numId w:val="1013"/>
        </w:numPr>
      </w:pPr>
      <w:r>
        <w:t xml:space="preserve">Quando il traffico supera la soglia, il sistema non distingue più l’origine. Il dolore si sente in fronte e dietro l’occhio anche se la sorgente sta dietro.</w:t>
      </w:r>
    </w:p>
    <w:p>
      <w:pPr>
        <w:pStyle w:val="Compact"/>
        <w:numPr>
          <w:ilvl w:val="0"/>
          <w:numId w:val="1013"/>
        </w:numPr>
      </w:pPr>
      <w:r>
        <w:t xml:space="preserve">Nella direzione opposta, un attacco già in corso rende dolenti e ipersensibili le strutture cervicali.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 convergenza è dimostrata nel ratto nelle due direzioni. Stimolare il grande occipitale aumenta l’eccitabilità all’ingresso durale (Bartsch &amp; Goadsby,</w:t>
      </w:r>
      <w:r>
        <w:t xml:space="preserve"> </w:t>
      </w:r>
      <w:r>
        <w:rPr>
          <w:i/>
          <w:iCs/>
        </w:rPr>
        <w:t xml:space="preserve">Brain</w:t>
      </w:r>
      <w:r>
        <w:t xml:space="preserve"> </w:t>
      </w:r>
      <w:r>
        <w:t xml:space="preserve">2002, PMID 12077000); stimolare la dura aumenta le risposte all’ingresso cervicale, e allarga il campo recettivo nel 71% dei neuroni (Bartsch &amp; Goadsby,</w:t>
      </w:r>
      <w:r>
        <w:t xml:space="preserve"> </w:t>
      </w:r>
      <w:r>
        <w:rPr>
          <w:i/>
          <w:iCs/>
        </w:rPr>
        <w:t xml:space="preserve">Brain</w:t>
      </w:r>
      <w:r>
        <w:t xml:space="preserve"> </w:t>
      </w:r>
      <w:r>
        <w:t xml:space="preserve">2003, PMID 12821523).</w:t>
      </w:r>
      <w:r>
        <w:t xml:space="preserve"> </w:t>
      </w:r>
      <w:r>
        <w:rPr>
          <w:b/>
          <w:bCs/>
        </w:rPr>
        <w:t xml:space="preserve">Nell’uomo il passaggio sotto le mani è stato misurato, ma su un riflesso del tronco encefalico e su campioni da quindici a venti pazienti; che quel cambiamento si traduca in attacchi in meno non è dimostrato.</w:t>
      </w:r>
      <w:r>
        <w:t xml:space="preserve"> </w:t>
      </w:r>
      <w:r>
        <w:t xml:space="preserve">Le misure stanno in «Perché le mani possono cambiare qualcosa».</w:t>
      </w:r>
    </w:p>
    <w:p>
      <w:pPr>
        <w:pStyle w:val="FirstParagraph"/>
      </w:pPr>
      <w:r>
        <w:rPr>
          <w:b/>
          <w:bCs/>
        </w:rPr>
        <w:t xml:space="preserve">Come si vede addosso al paziente.</w:t>
      </w:r>
      <w:r>
        <w:t xml:space="preserve"> </w:t>
      </w:r>
      <w:r>
        <w:t xml:space="preserve">Tieni una pressione sostenuta sui segmenti cervicali alti e guardi se il dolore</w:t>
      </w:r>
      <w:r>
        <w:t xml:space="preserve"> </w:t>
      </w:r>
      <w:r>
        <w:rPr>
          <w:b/>
          <w:bCs/>
        </w:rPr>
        <w:t xml:space="preserve">si sposta in testa</w:t>
      </w:r>
      <w:r>
        <w:t xml:space="preserve">. Su 179 emicranici esaminati da un fisioterapista cieco sulla diagnosi, l’11% non aveva dolore, il 42% aveva solo dolore locale e il 47% dolore riferito in testa (Luedtke &amp; May,</w:t>
      </w:r>
      <w:r>
        <w:t xml:space="preserve"> </w:t>
      </w:r>
      <w:r>
        <w:rPr>
          <w:i/>
          <w:iCs/>
        </w:rPr>
        <w:t xml:space="preserve">J Headache Pain</w:t>
      </w:r>
      <w:r>
        <w:t xml:space="preserve"> </w:t>
      </w:r>
      <w:r>
        <w:t xml:space="preserve">2017, PMID 28952052). Il dolore al collo accompagna l’attacco più spesso della nausea (Calhoun,</w:t>
      </w:r>
      <w:r>
        <w:t xml:space="preserve"> </w:t>
      </w:r>
      <w:r>
        <w:rPr>
          <w:i/>
          <w:iCs/>
        </w:rPr>
        <w:t xml:space="preserve">Headache</w:t>
      </w:r>
      <w:r>
        <w:t xml:space="preserve"> </w:t>
      </w:r>
      <w:r>
        <w:t xml:space="preserve">2010, PMID 20100298).</w:t>
      </w:r>
    </w:p>
    <w:p>
      <w:pPr>
        <w:pStyle w:val="BodyText"/>
      </w:pPr>
      <w:r>
        <w:rPr>
          <w:b/>
          <w:bCs/>
        </w:rPr>
        <w:t xml:space="preserve">E quel test non separa il malato dal sano.</w:t>
      </w:r>
      <w:r>
        <w:t xml:space="preserve"> </w:t>
      </w:r>
      <w:r>
        <w:t xml:space="preserve">Un solo studio ha applicato la stessa pressione sostenuta anche a controlli senza mal di testa: 8 su 14 — il 57% — hanno riferito dolore in testa, mentre nessuna delle manovre di controllo sul braccio lo ha prodotto in nessuno (Watson &amp; Drummond,</w:t>
      </w:r>
      <w:r>
        <w:t xml:space="preserve"> </w:t>
      </w:r>
      <w:r>
        <w:rPr>
          <w:i/>
          <w:iCs/>
        </w:rPr>
        <w:t xml:space="preserve">Headache</w:t>
      </w:r>
      <w:r>
        <w:t xml:space="preserve"> </w:t>
      </w:r>
      <w:r>
        <w:t xml:space="preserve">2012, PMID 22607581).</w:t>
      </w:r>
      <w:r>
        <w:t xml:space="preserve"> </w:t>
      </w:r>
      <w:r>
        <w:rPr>
          <w:i/>
          <w:iCs/>
        </w:rPr>
        <w:t xml:space="preserve">Quattordici controlli sono pochi, e la percentuale qui è molto più alta che nella stratificazione di Luedtke &amp; May: tecnica e durata cambiano il risultato. Cambia comunque il senso del test — misura il tuo bersaglio, non la diagnosi del paziente.</w:t>
      </w:r>
    </w:p>
    <w:p>
      <w:pPr>
        <w:pStyle w:val="BodyText"/>
      </w:pPr>
      <w:r>
        <w:rPr>
          <w:b/>
          <w:bCs/>
        </w:rPr>
        <w:t xml:space="preserve">Per te:</w:t>
      </w:r>
      <w:r>
        <w:t xml:space="preserve"> </w:t>
      </w:r>
      <w:r>
        <w:t xml:space="preserve">quel test divide i tuoi pazienti in tre gruppi in un minuto, prima che tu decida cosa fare. Il gruppo che ti interessa è quello in cui il dolore si sposta in testa. Ed è un bersaglio da trattare e da rimisurare, non un segno della malattia.</w:t>
      </w:r>
    </w:p>
    <w:p>
      <w:pPr>
        <w:pStyle w:val="BodyText"/>
      </w:pPr>
      <w:r>
        <w:rPr>
          <w:b/>
          <w:bCs/>
        </w:rPr>
        <w:t xml:space="preserve">Il citofono con un solo pulsante per due appartamenti: suona, e non sai chi ha chiamato.</w:t>
      </w:r>
    </w:p>
    <w:bookmarkEnd w:id="27"/>
    <w:bookmarkStart w:id="28" w:name="Xf758f2a342014f9cd0f3868f38636571d58c5ed"/>
    <w:p>
      <w:pPr>
        <w:pStyle w:val="Heading3"/>
      </w:pPr>
      <w:r>
        <w:t xml:space="preserve">4. Il carico miofasciale continuo su collo e masticatori</w:t>
      </w:r>
    </w:p>
    <w:p>
      <w:pPr>
        <w:pStyle w:val="Compact"/>
        <w:numPr>
          <w:ilvl w:val="0"/>
          <w:numId w:val="1014"/>
        </w:numPr>
      </w:pPr>
      <w:r>
        <w:t xml:space="preserve">Punti trigger attivi nei muscoli di testa e collo generano un dolore riferito che riproduce il pattern del mal di testa.</w:t>
      </w:r>
    </w:p>
    <w:p>
      <w:pPr>
        <w:pStyle w:val="Compact"/>
        <w:numPr>
          <w:ilvl w:val="0"/>
          <w:numId w:val="1014"/>
        </w:numPr>
      </w:pPr>
      <w:r>
        <w:t xml:space="preserve">Quel dolore riferito è un ingresso continuo, non un evento, e arriva sullo stesso nucleo che riceve la dura.</w:t>
      </w:r>
      <w:r>
        <w:t xml:space="preserve"> </w:t>
      </w:r>
      <w:r>
        <w:rPr>
          <w:b/>
          <w:bCs/>
        </w:rPr>
        <w:t xml:space="preserve">Il continuo pesa più dell’intermittente:</w:t>
      </w:r>
      <w:r>
        <w:t xml:space="preserve"> </w:t>
      </w:r>
      <w:r>
        <w:t xml:space="preserve">nel modello animale, la stimolazione delle afferenze muscolari facilita quei neuroni molto più a lungo di quella cutanea (Bartsch &amp; Goadsby 2002).</w:t>
      </w:r>
    </w:p>
    <w:p>
      <w:pPr>
        <w:pStyle w:val="Compact"/>
        <w:numPr>
          <w:ilvl w:val="0"/>
          <w:numId w:val="1014"/>
        </w:numPr>
      </w:pPr>
      <w:r>
        <w:t xml:space="preserve">Il sistema, già predisposto dal meccanismo 2, ha bisogno di meno per superare la soglia.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su venti emicranici unilaterali contro venti controlli, i punti trigger attivi erano più numerosi e stavano dal lato del mal di testa (Fernández-de-las-Peñas,</w:t>
      </w:r>
      <w:r>
        <w:t xml:space="preserve"> </w:t>
      </w:r>
      <w:r>
        <w:rPr>
          <w:i/>
          <w:iCs/>
        </w:rPr>
        <w:t xml:space="preserve">Cephalalgia</w:t>
      </w:r>
      <w:r>
        <w:t xml:space="preserve"> </w:t>
      </w:r>
      <w:r>
        <w:t xml:space="preserve">2006, PMID 16919056). La meta-analisi sul trattamento manuale dei punti trigger riporta 1,92 attacchi al mese in meno, su due soli studi controllati, con qualità delle prove molto bassa (Falsiroli Maistrello,</w:t>
      </w:r>
      <w:r>
        <w:t xml:space="preserve"> </w:t>
      </w:r>
      <w:r>
        <w:rPr>
          <w:i/>
          <w:iCs/>
        </w:rPr>
        <w:t xml:space="preserve">Front Neurol</w:t>
      </w:r>
      <w:r>
        <w:t xml:space="preserve"> </w:t>
      </w:r>
      <w:r>
        <w:t xml:space="preserve">2018, PMID 29740386).</w:t>
      </w:r>
    </w:p>
    <w:p>
      <w:pPr>
        <w:pStyle w:val="FirstParagraph"/>
      </w:pPr>
      <w:r>
        <w:rPr>
          <w:b/>
          <w:bCs/>
        </w:rPr>
        <w:t xml:space="preserve">Come si vede addosso al paziente.</w:t>
      </w:r>
      <w:r>
        <w:t xml:space="preserve"> </w:t>
      </w:r>
      <w:r>
        <w:t xml:space="preserve">Temporale e trapezio superiore dolenti alla pressione, più dal lato del mal di testa. Serramento notturno, massetere ipertrofico, troclea che riproduce il dolore dietro l’occhio.</w:t>
      </w:r>
      <w:r>
        <w:t xml:space="preserve"> </w:t>
      </w:r>
      <w:r>
        <w:rPr>
          <w:b/>
          <w:bCs/>
        </w:rPr>
        <w:t xml:space="preserve">Sopra i cinquant’anni, prima di chiamare</w:t>
      </w:r>
      <w:r>
        <w:rPr>
          <w:b/>
          <w:bCs/>
        </w:rPr>
        <w:t xml:space="preserve"> </w:t>
      </w:r>
      <w:r>
        <w:rPr>
          <w:b/>
          <w:bCs/>
        </w:rPr>
        <w:t xml:space="preserve">“punto trigger”</w:t>
      </w:r>
      <w:r>
        <w:rPr>
          <w:b/>
          <w:bCs/>
        </w:rPr>
        <w:t xml:space="preserve"> </w:t>
      </w:r>
      <w:r>
        <w:rPr>
          <w:b/>
          <w:bCs/>
        </w:rPr>
        <w:t xml:space="preserve">un temporale dolente, applica le domande dell’arterite di «Che cos’è davvero».</w:t>
      </w:r>
    </w:p>
    <w:p>
      <w:pPr>
        <w:pStyle w:val="BodyText"/>
      </w:pPr>
      <w:r>
        <w:rPr>
          <w:b/>
          <w:bCs/>
        </w:rPr>
        <w:t xml:space="preserve">Il rubinetto che gocciola nella vasca: una goccia non conta, ma la vasca si riempie lo stesso.</w:t>
      </w:r>
    </w:p>
    <w:bookmarkEnd w:id="28"/>
    <w:bookmarkStart w:id="29" w:name="X903ed79b5b9752be9d1dfeb4c34b91a1b91581a"/>
    <w:p>
      <w:pPr>
        <w:pStyle w:val="Heading3"/>
      </w:pPr>
      <w:r>
        <w:t xml:space="preserve">5. Il farmaco che diventa parte del problema</w:t>
      </w:r>
    </w:p>
    <w:p>
      <w:pPr>
        <w:pStyle w:val="Compact"/>
        <w:numPr>
          <w:ilvl w:val="0"/>
          <w:numId w:val="1015"/>
        </w:numPr>
      </w:pPr>
      <w:r>
        <w:t xml:space="preserve">Gli attacchi frequenti spingono ad assumere sintomatici molti giorni al mese.</w:t>
      </w:r>
    </w:p>
    <w:p>
      <w:pPr>
        <w:pStyle w:val="Compact"/>
        <w:numPr>
          <w:ilvl w:val="0"/>
          <w:numId w:val="1015"/>
        </w:numPr>
      </w:pPr>
      <w:r>
        <w:t xml:space="preserve">Oltre una soglia di giorni il quadro cambia: più diffuso, più quotidiano, meno riconoscibile.</w:t>
      </w:r>
    </w:p>
    <w:p>
      <w:pPr>
        <w:pStyle w:val="Compact"/>
        <w:numPr>
          <w:ilvl w:val="0"/>
          <w:numId w:val="1015"/>
        </w:numPr>
      </w:pPr>
      <w:r>
        <w:t xml:space="preserve">Ogni tentativo di ridurre produce un peggioramento, e il quadro non risponde più a niente. Compreso il tuo lavoro.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w:t>
      </w:r>
      <w:r>
        <w:rPr>
          <w:b/>
          <w:bCs/>
        </w:rPr>
        <w:t xml:space="preserve">entità diagnostica</w:t>
      </w:r>
      <w:r>
        <w:t xml:space="preserve">: la cefalea da uso eccessivo di farmaci è codificata con soglie precise — quindici o più giorni al mese di analgesici semplici, dieci o più di triptani, oppioidi o combinazioni, per più di tre mesi (ICHD-3,</w:t>
      </w:r>
      <w:r>
        <w:t xml:space="preserve"> </w:t>
      </w:r>
      <w:r>
        <w:rPr>
          <w:i/>
          <w:iCs/>
        </w:rPr>
        <w:t xml:space="preserve">Cephalalgia</w:t>
      </w:r>
      <w:r>
        <w:t xml:space="preserve"> </w:t>
      </w:r>
      <w:r>
        <w:t xml:space="preserve">2018).</w:t>
      </w:r>
      <w:r>
        <w:t xml:space="preserve"> </w:t>
      </w:r>
      <w:r>
        <w:rPr>
          <w:b/>
          <w:bCs/>
        </w:rPr>
        <w:t xml:space="preserve">PROBABILE</w:t>
      </w:r>
      <w:r>
        <w:t xml:space="preserve"> </w:t>
      </w:r>
      <w:r>
        <w:rPr>
          <w:i/>
          <w:iCs/>
        </w:rPr>
        <w:t xml:space="preserve">(razionale forte, prove parziali)</w:t>
      </w:r>
      <w:r>
        <w:t xml:space="preserve"> </w:t>
      </w:r>
      <w:r>
        <w:t xml:space="preserve">per la</w:t>
      </w:r>
      <w:r>
        <w:t xml:space="preserve"> </w:t>
      </w:r>
      <w:r>
        <w:rPr>
          <w:b/>
          <w:bCs/>
        </w:rPr>
        <w:t xml:space="preserve">sequenza causale</w:t>
      </w:r>
      <w:r>
        <w:t xml:space="preserve">: su 9.031 emicranici seguiti fino a cinque anni la frequenza di assunzione è associata al passaggio alla forma cronica, ma lo studio è osservazionale e non esclude la direzione inversa — si assume di più perché si sta peggio. Nello stesso lavoro i FANS risultano</w:t>
      </w:r>
      <w:r>
        <w:t xml:space="preserve"> </w:t>
      </w:r>
      <w:r>
        <w:rPr>
          <w:b/>
          <w:bCs/>
        </w:rPr>
        <w:t xml:space="preserve">protettivi</w:t>
      </w:r>
      <w:r>
        <w:t xml:space="preserve"> </w:t>
      </w:r>
      <w:r>
        <w:t xml:space="preserve">sotto i dieci giorni di cefalea al mese, e diventano un rischio solo sopra (Lipton,</w:t>
      </w:r>
      <w:r>
        <w:t xml:space="preserve"> </w:t>
      </w:r>
      <w:r>
        <w:rPr>
          <w:i/>
          <w:iCs/>
        </w:rPr>
        <w:t xml:space="preserve">Headache</w:t>
      </w:r>
      <w:r>
        <w:t xml:space="preserve"> </w:t>
      </w:r>
      <w:r>
        <w:t xml:space="preserve">2013, PMID 23992516). Il meccanismo non è monotono come il racconto.</w:t>
      </w:r>
    </w:p>
    <w:p>
      <w:pPr>
        <w:pStyle w:val="FirstParagraph"/>
      </w:pPr>
      <w:r>
        <w:rPr>
          <w:b/>
          <w:bCs/>
        </w:rPr>
        <w:t xml:space="preserve">Come si vede addosso al paziente.</w:t>
      </w:r>
      <w:r>
        <w:t xml:space="preserve"> </w:t>
      </w:r>
      <w:r>
        <w:t xml:space="preserve">Il dato non lo dice spontaneamente: lo conti tu, con lui. La domanda che funziona non è</w:t>
      </w:r>
      <w:r>
        <w:t xml:space="preserve"> </w:t>
      </w:r>
      <w:r>
        <w:rPr>
          <w:i/>
          <w:iCs/>
        </w:rPr>
        <w:t xml:space="preserve">“quanti ne prende?”</w:t>
      </w:r>
      <w:r>
        <w:t xml:space="preserve">. È</w:t>
      </w:r>
      <w:r>
        <w:t xml:space="preserve"> </w:t>
      </w:r>
      <w:r>
        <w:rPr>
          <w:i/>
          <w:iCs/>
        </w:rPr>
        <w:t xml:space="preserve">“in quanti giorni del mese scorso ha preso qualcosa per la testa, anche una sola pastiglia?”</w:t>
      </w:r>
      <w:r>
        <w:t xml:space="preserve">.</w:t>
      </w:r>
    </w:p>
    <w:p>
      <w:pPr>
        <w:pStyle w:val="BlockText"/>
      </w:pPr>
      <w:r>
        <w:rPr>
          <w:b/>
          <w:bCs/>
        </w:rPr>
        <w:t xml:space="preserve">Attenzione.</w:t>
      </w:r>
      <w:r>
        <w:t xml:space="preserve"> </w:t>
      </w:r>
      <w:r>
        <w:t xml:space="preserve">Su questo meccanismo non hai nessuna leva. Non commenti la terapia, non suggerisci di ridurla, non dici al paziente che i farmaci gli fanno male.</w:t>
      </w:r>
      <w:r>
        <w:t xml:space="preserve"> </w:t>
      </w:r>
      <w:r>
        <w:rPr>
          <w:b/>
          <w:bCs/>
        </w:rPr>
        <w:t xml:space="preserve">Conti i giorni, li scrivi, e li mandi per iscritto al curante.</w:t>
      </w:r>
      <w:r>
        <w:t xml:space="preserve"> </w:t>
      </w:r>
      <w:r>
        <w:t xml:space="preserve">Il resto è del prescrittore.</w:t>
      </w:r>
    </w:p>
    <w:p>
      <w:pPr>
        <w:pStyle w:val="FirstParagraph"/>
      </w:pPr>
      <w:r>
        <w:rPr>
          <w:b/>
          <w:bCs/>
        </w:rPr>
        <w:t xml:space="preserve">Il debito con l’interesse: paghi la rata di oggi e aumenti quella di domani.</w:t>
      </w:r>
    </w:p>
    <w:bookmarkEnd w:id="29"/>
    <w:bookmarkStart w:id="30" w:name="e-che-tipo-di-dolore-è-questo"/>
    <w:p>
      <w:pPr>
        <w:pStyle w:val="Heading3"/>
      </w:pPr>
      <w:r>
        <w:t xml:space="preserve">E che tipo di dolore è, questo</w:t>
      </w:r>
    </w:p>
    <w:p>
      <w:pPr>
        <w:pStyle w:val="FirstParagraph"/>
      </w:pPr>
      <w:r>
        <w:t xml:space="preserve">Nell’emicrania frequente il quadro atteso è un dolore con tratti</w:t>
      </w:r>
      <w:r>
        <w:t xml:space="preserve"> </w:t>
      </w:r>
      <w:r>
        <w:rPr>
          <w:b/>
          <w:bCs/>
        </w:rPr>
        <w:t xml:space="preserve">nociplastici</w:t>
      </w:r>
      <w:r>
        <w:t xml:space="preserve">: nasce da un sistema nervoso che amplifica, non da un tessuto danneggiato né da un nervo lesionato.</w:t>
      </w:r>
    </w:p>
    <w:p>
      <w:pPr>
        <w:pStyle w:val="BodyText"/>
      </w:pPr>
      <w:r>
        <w:t xml:space="preserve">Tre segni lo dicono: allodinia oltre la testa, fastidio a luce e suoni anche</w:t>
      </w:r>
      <w:r>
        <w:t xml:space="preserve"> </w:t>
      </w:r>
      <w:r>
        <w:rPr>
          <w:b/>
          <w:bCs/>
        </w:rPr>
        <w:t xml:space="preserve">fuori</w:t>
      </w:r>
      <w:r>
        <w:t xml:space="preserve"> </w:t>
      </w:r>
      <w:r>
        <w:t xml:space="preserve">dagli attacchi, dolore sproporzionato al reperto. È il paziente in cui insistere sul tessuto rende meno. Lo stratifica al basale il questionario di sensibilizzazione centrale (Suzuki,</w:t>
      </w:r>
      <w:r>
        <w:t xml:space="preserve"> </w:t>
      </w:r>
      <w:r>
        <w:rPr>
          <w:i/>
          <w:iCs/>
        </w:rPr>
        <w:t xml:space="preserve">J Clin Med</w:t>
      </w:r>
      <w:r>
        <w:t xml:space="preserve"> </w:t>
      </w:r>
      <w:r>
        <w:t xml:space="preserve">2025, PMID 39972460).</w:t>
      </w:r>
    </w:p>
    <w:p>
      <w:pPr>
        <w:pStyle w:val="BodyText"/>
      </w:pPr>
      <w:r>
        <w:rPr>
          <w:b/>
          <w:bCs/>
        </w:rPr>
        <w:t xml:space="preserve">Le tre cose da ricordare, più una</w:t>
      </w:r>
    </w:p>
    <w:p>
      <w:pPr>
        <w:pStyle w:val="Compact"/>
        <w:numPr>
          <w:ilvl w:val="0"/>
          <w:numId w:val="1016"/>
        </w:numPr>
      </w:pPr>
      <w:r>
        <w:t xml:space="preserve">Il meccanismo con più prove è la soglia che si abbassa, e non è quello su cui le tue mani hanno la leva migliore.</w:t>
      </w:r>
    </w:p>
    <w:p>
      <w:pPr>
        <w:pStyle w:val="Compact"/>
        <w:numPr>
          <w:ilvl w:val="0"/>
          <w:numId w:val="1016"/>
        </w:numPr>
      </w:pPr>
      <w:r>
        <w:t xml:space="preserve">L’allodinia che esce dalla testa è di terzo ordine: quel paziente ha il freno spento, e la tua leva immediata rende meno.</w:t>
      </w:r>
    </w:p>
    <w:p>
      <w:pPr>
        <w:pStyle w:val="Compact"/>
        <w:numPr>
          <w:ilvl w:val="0"/>
          <w:numId w:val="1016"/>
        </w:numPr>
      </w:pPr>
      <w:r>
        <w:t xml:space="preserve">Il conteggio dei giorni di assunzione è il dato che nessuno ha raccolto e che tu raccogli sempre.</w:t>
      </w:r>
    </w:p>
    <w:p>
      <w:pPr>
        <w:pStyle w:val="Compact"/>
        <w:numPr>
          <w:ilvl w:val="0"/>
          <w:numId w:val="1016"/>
        </w:numPr>
      </w:pPr>
      <w:r>
        <w:rPr>
          <w:b/>
          <w:bCs/>
        </w:rPr>
        <w:t xml:space="preserve">Perché ci sei tu.</w:t>
      </w:r>
      <w:r>
        <w:t xml:space="preserve"> </w:t>
      </w:r>
      <w:r>
        <w:t xml:space="preserve">L’allodinia cutanea riguarda più di sei emicranici su dieci, e cresce con la frequenza degli attacchi (Bigal,</w:t>
      </w:r>
      <w:r>
        <w:t xml:space="preserve"> </w:t>
      </w:r>
      <w:r>
        <w:rPr>
          <w:i/>
          <w:iCs/>
        </w:rPr>
        <w:t xml:space="preserve">Neurology</w:t>
      </w:r>
      <w:r>
        <w:t xml:space="preserve"> </w:t>
      </w:r>
      <w:r>
        <w:t xml:space="preserve">2008, PMID 18427069). Questo ti autorizza a spiegare perché anche un tocco leggero dà fastidio intorno all’attacco, e a modulare la pressione. Non ti autorizza a dire che il tuo trattamento riporta indietro quella sensibilizzazione.</w:t>
      </w:r>
    </w:p>
    <w:p>
      <w:r>
        <w:pict>
          <v:rect style="width:0;height:1.5pt" o:hralign="center" o:hrstd="t" o:hr="t"/>
        </w:pict>
      </w:r>
    </w:p>
    <w:bookmarkEnd w:id="30"/>
    <w:bookmarkEnd w:id="31"/>
    <w:bookmarkStart w:id="38"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sei pattern, e sapere quale hai davanti è più utile di qualunque tecnica.</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questa tabella è una costruzione clinica di lavoro, non una classificazione validata.</w:t>
      </w:r>
      <w:r>
        <w:t xml:space="preserve"> </w:t>
      </w:r>
      <w:r>
        <w:rPr>
          <w:b/>
          <w:bCs/>
        </w:rPr>
        <w:t xml:space="preserve">Una sola riga ha una base misurata:</w:t>
      </w:r>
      <w:r>
        <w:t xml:space="preserve"> </w:t>
      </w:r>
      <w:r>
        <w:t xml:space="preserve">la separazione «riferisce in testa / dolore locale / indolore» (Luedtke &amp; May 2017).</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Cosa cambia nella condotta</w:t>
            </w:r>
          </w:p>
        </w:tc>
      </w:tr>
      <w:tr>
        <w:tc>
          <w:tcPr/>
          <w:p>
            <w:pPr>
              <w:pStyle w:val="Compact"/>
            </w:pPr>
            <w:r>
              <w:t xml:space="preserve">Cervicale che riferisce in testa</w:t>
            </w:r>
          </w:p>
        </w:tc>
        <w:tc>
          <w:tcPr/>
          <w:p>
            <w:pPr>
              <w:pStyle w:val="Compact"/>
            </w:pPr>
            <w:r>
              <w:t xml:space="preserve">Pressione sostenuta sposta il dolore</w:t>
            </w:r>
          </w:p>
        </w:tc>
        <w:tc>
          <w:tcPr/>
          <w:p>
            <w:pPr>
              <w:pStyle w:val="Compact"/>
            </w:pPr>
            <w:r>
              <w:t xml:space="preserve">3, la convergenza collo-testa</w:t>
            </w:r>
          </w:p>
        </w:tc>
        <w:tc>
          <w:tcPr/>
          <w:p>
            <w:pPr>
              <w:pStyle w:val="Compact"/>
            </w:pPr>
            <w:r>
              <w:t xml:space="preserve">Reperto trattabile e verificabile</w:t>
            </w:r>
          </w:p>
        </w:tc>
      </w:tr>
      <w:tr>
        <w:tc>
          <w:tcPr/>
          <w:p>
            <w:pPr>
              <w:pStyle w:val="Compact"/>
            </w:pPr>
            <w:r>
              <w:t xml:space="preserve">Miofasciale e mandibolare</w:t>
            </w:r>
          </w:p>
        </w:tc>
        <w:tc>
          <w:tcPr/>
          <w:p>
            <w:pPr>
              <w:pStyle w:val="Compact"/>
            </w:pPr>
            <w:r>
              <w:t xml:space="preserve">Serramento, temporale e troclea dolenti</w:t>
            </w:r>
          </w:p>
        </w:tc>
        <w:tc>
          <w:tcPr/>
          <w:p>
            <w:pPr>
              <w:pStyle w:val="Compact"/>
            </w:pPr>
            <w:r>
              <w:t xml:space="preserve">4, il carico miofasciale</w:t>
            </w:r>
          </w:p>
        </w:tc>
        <w:tc>
          <w:tcPr/>
          <w:p>
            <w:pPr>
              <w:pStyle w:val="Compact"/>
            </w:pPr>
            <w:r>
              <w:t xml:space="preserve">Marker della prova diverso</w:t>
            </w:r>
          </w:p>
        </w:tc>
      </w:tr>
      <w:tr>
        <w:tc>
          <w:tcPr/>
          <w:p>
            <w:pPr>
              <w:pStyle w:val="Compact"/>
            </w:pPr>
            <w:r>
              <w:t xml:space="preserve">Senza reperto cervicale</w:t>
            </w:r>
          </w:p>
        </w:tc>
        <w:tc>
          <w:tcPr/>
          <w:p>
            <w:pPr>
              <w:pStyle w:val="Compact"/>
            </w:pPr>
            <w:r>
              <w:t xml:space="preserve">Palpazione indolore, allodinia fuori dalla testa</w:t>
            </w:r>
          </w:p>
        </w:tc>
        <w:tc>
          <w:tcPr/>
          <w:p>
            <w:pPr>
              <w:pStyle w:val="Compact"/>
            </w:pPr>
            <w:r>
              <w:t xml:space="preserve">1 e 2, soglia e ritmo</w:t>
            </w:r>
          </w:p>
        </w:tc>
        <w:tc>
          <w:tcPr/>
          <w:p>
            <w:pPr>
              <w:pStyle w:val="Compact"/>
            </w:pPr>
            <w:r>
              <w:t xml:space="preserve">Poco con le mani, molto da insegnare</w:t>
            </w:r>
          </w:p>
        </w:tc>
      </w:tr>
      <w:tr>
        <w:tc>
          <w:tcPr/>
          <w:p>
            <w:pPr>
              <w:pStyle w:val="Compact"/>
            </w:pPr>
            <w:r>
              <w:t xml:space="preserve">Mestruale o correlato al ciclo</w:t>
            </w:r>
          </w:p>
        </w:tc>
        <w:tc>
          <w:tcPr/>
          <w:p>
            <w:pPr>
              <w:pStyle w:val="Compact"/>
            </w:pPr>
            <w:r>
              <w:t xml:space="preserve">Attacchi attorno all’inizio del flusso</w:t>
            </w:r>
          </w:p>
        </w:tc>
        <w:tc>
          <w:tcPr/>
          <w:p>
            <w:pPr>
              <w:pStyle w:val="Compact"/>
            </w:pPr>
            <w:r>
              <w:t xml:space="preserve">2, il ciclo che precede</w:t>
            </w:r>
          </w:p>
        </w:tc>
        <w:tc>
          <w:tcPr/>
          <w:p>
            <w:pPr>
              <w:pStyle w:val="Compact"/>
            </w:pPr>
            <w:r>
              <w:t xml:space="preserve">Diario leggibile con le mestruazioni segnate</w:t>
            </w:r>
          </w:p>
        </w:tc>
      </w:tr>
      <w:tr>
        <w:tc>
          <w:tcPr/>
          <w:p>
            <w:pPr>
              <w:pStyle w:val="Compact"/>
            </w:pPr>
            <w:r>
              <w:t xml:space="preserve">Con uso eccessivo di sintomatici</w:t>
            </w:r>
          </w:p>
        </w:tc>
        <w:tc>
          <w:tcPr/>
          <w:p>
            <w:pPr>
              <w:pStyle w:val="Compact"/>
            </w:pPr>
            <w:r>
              <w:t xml:space="preserve">Dieci o più giorni al mese</w:t>
            </w:r>
          </w:p>
        </w:tc>
        <w:tc>
          <w:tcPr/>
          <w:p>
            <w:pPr>
              <w:pStyle w:val="Compact"/>
            </w:pPr>
            <w:r>
              <w:t xml:space="preserve">5, il farmaco</w:t>
            </w:r>
          </w:p>
        </w:tc>
        <w:tc>
          <w:tcPr/>
          <w:p>
            <w:pPr>
              <w:pStyle w:val="Compact"/>
            </w:pPr>
            <w:r>
              <w:t xml:space="preserve">Priorità alla comunicazione scritta</w:t>
            </w:r>
          </w:p>
        </w:tc>
      </w:tr>
      <w:tr>
        <w:tc>
          <w:tcPr/>
          <w:p>
            <w:pPr>
              <w:pStyle w:val="Compact"/>
            </w:pPr>
            <w:r>
              <w:t xml:space="preserve">Con aura</w:t>
            </w:r>
          </w:p>
        </w:tc>
        <w:tc>
          <w:tcPr/>
          <w:p>
            <w:pPr>
              <w:pStyle w:val="Compact"/>
            </w:pPr>
            <w:r>
              <w:t xml:space="preserve">Aura graduale, meno di un’ora</w:t>
            </w:r>
          </w:p>
        </w:tc>
        <w:tc>
          <w:tcPr/>
          <w:p>
            <w:pPr>
              <w:pStyle w:val="Compact"/>
            </w:pPr>
            <w:r>
              <w:t xml:space="preserve">Nessuno dei cinque: cambia il rischio</w:t>
            </w:r>
          </w:p>
        </w:tc>
        <w:tc>
          <w:tcPr/>
          <w:p>
            <w:pPr>
              <w:pStyle w:val="Compact"/>
            </w:pPr>
            <w:r>
              <w:t xml:space="preserve">Due domande obbligatorie; tecnica dichiarata</w:t>
            </w:r>
          </w:p>
        </w:tc>
      </w:tr>
    </w:tbl>
    <w:bookmarkStart w:id="32" w:name="cervicale-che-riferisce-in-testa"/>
    <w:p>
      <w:pPr>
        <w:pStyle w:val="Heading3"/>
      </w:pPr>
      <w:r>
        <w:t xml:space="preserve">Cervicale che riferisce in testa</w:t>
      </w:r>
    </w:p>
    <w:p>
      <w:pPr>
        <w:pStyle w:val="FirstParagraph"/>
      </w:pPr>
      <w:r>
        <w:t xml:space="preserve">È il gruppo del 47% nella stratificazione di Luedtke. Spesso convive una rotazione ridotta al test che isola il primo segmento. Qui il tuo reperto e il sintomo del paziente si toccano davanti a lui.</w:t>
      </w:r>
    </w:p>
    <w:p>
      <w:pPr>
        <w:pStyle w:val="BlockText"/>
      </w:pPr>
      <w:r>
        <w:rPr>
          <w:b/>
          <w:bCs/>
        </w:rPr>
        <w:t xml:space="preserve">Cosa cambia per te.</w:t>
      </w:r>
      <w:r>
        <w:t xml:space="preserve"> </w:t>
      </w:r>
      <w:r>
        <w:t xml:space="preserve">Come lo distingui da una cefalea cervicogenica? La differenza non sta nel collo, sta nell’attacco.</w:t>
      </w:r>
      <w:r>
        <w:t xml:space="preserve"> </w:t>
      </w:r>
      <w:r>
        <w:rPr>
          <w:b/>
          <w:bCs/>
        </w:rPr>
        <w:t xml:space="preserve">Resti nell’emicrania</w:t>
      </w:r>
      <w:r>
        <w:t xml:space="preserve"> </w:t>
      </w:r>
      <w:r>
        <w:t xml:space="preserve">se gli attacchi rispettano i criteri di «Che cos’è davvero» — 4-72 ore, pulsante, nausea o fastidio a luce e suoni — anche quando il dolore parte dal collo.</w:t>
      </w:r>
      <w:r>
        <w:t xml:space="preserve"> </w:t>
      </w:r>
      <w:r>
        <w:rPr>
          <w:b/>
          <w:bCs/>
        </w:rPr>
        <w:t xml:space="preserve">Ti sposti verso la cervicogenica</w:t>
      </w:r>
      <w:r>
        <w:t xml:space="preserve"> </w:t>
      </w:r>
      <w:r>
        <w:t xml:space="preserve">se il dolore è sempre e solo dallo stesso lato, se è riprodotto da movimenti e posizioni sostenute più che dalla palpazione, e se mancano nausea e fotofobia.</w:t>
      </w:r>
      <w:r>
        <w:t xml:space="preserve"> </w:t>
      </w:r>
      <w:r>
        <w:rPr>
          <w:b/>
          <w:bCs/>
        </w:rPr>
        <w:t xml:space="preserve">Possono convivere.</w:t>
      </w:r>
    </w:p>
    <w:bookmarkEnd w:id="32"/>
    <w:bookmarkStart w:id="33" w:name="miofasciale-e-mandibolare"/>
    <w:p>
      <w:pPr>
        <w:pStyle w:val="Heading3"/>
      </w:pPr>
      <w:r>
        <w:t xml:space="preserve">Miofasciale e mandibolare</w:t>
      </w:r>
    </w:p>
    <w:p>
      <w:pPr>
        <w:pStyle w:val="FirstParagraph"/>
      </w:pPr>
      <w:r>
        <w:t xml:space="preserve">Convive spesso con il precedente.</w:t>
      </w:r>
      <w:r>
        <w:t xml:space="preserve"> </w:t>
      </w:r>
      <w:r>
        <w:rPr>
          <w:b/>
          <w:bCs/>
        </w:rPr>
        <w:t xml:space="preserve">Sopra i cinquant’anni un temporale dolente non è un punto trigger finché non hai escluso l’arterite a cellule giganti:</w:t>
      </w:r>
      <w:r>
        <w:t xml:space="preserve"> </w:t>
      </w:r>
      <w:r>
        <w:t xml:space="preserve">chiedi se il dolore compare masticando e se la vista è cambiata, e invii. Se il quadro mandibolare pesa, vedi la Bibbia dell’ATM.</w:t>
      </w:r>
    </w:p>
    <w:bookmarkEnd w:id="33"/>
    <w:bookmarkStart w:id="34" w:name="senza-reperto-cervicale"/>
    <w:p>
      <w:pPr>
        <w:pStyle w:val="Heading3"/>
      </w:pPr>
      <w:r>
        <w:t xml:space="preserve">Senza reperto cervicale</w:t>
      </w:r>
    </w:p>
    <w:p>
      <w:pPr>
        <w:pStyle w:val="FirstParagraph"/>
      </w:pPr>
      <w:r>
        <w:t xml:space="preserve">È l’11% della stratificazione. Non si definisce per quello che gli manca: il suo tratto positivo sono i segni nociplastici — allodinia oltre la testa, fastidio a luce e suoni anche fra un attacco e l’altro, dolore sproporzionato al reperto.</w:t>
      </w:r>
    </w:p>
    <w:p>
      <w:pPr>
        <w:pStyle w:val="BodyText"/>
      </w:pPr>
      <w:r>
        <w:t xml:space="preserve">Qui comandano il ciclo e il livello di attivazione: sonno rotto, attacchi agganciati al rilascio dopo lo stress, ipervigilanza.</w:t>
      </w:r>
      <w:r>
        <w:t xml:space="preserve"> </w:t>
      </w:r>
      <w:r>
        <w:rPr>
          <w:b/>
          <w:bCs/>
        </w:rPr>
        <w:t xml:space="preserve">Non è un paziente da mandare via.</w:t>
      </w:r>
      <w:r>
        <w:t xml:space="preserve"> </w:t>
      </w:r>
      <w:r>
        <w:t xml:space="preserve">La leva esiste ed è tua da insegnare: esercizio, educazione, rilassamento, sonno. In più c’è il contatto e il tempo dedicato, con l’etichetta modesta di «Perché le mani possono cambiare qualcosa».</w:t>
      </w:r>
    </w:p>
    <w:bookmarkEnd w:id="34"/>
    <w:bookmarkStart w:id="35" w:name="mestruale-o-correlato-al-ciclo"/>
    <w:p>
      <w:pPr>
        <w:pStyle w:val="Heading3"/>
      </w:pPr>
      <w:r>
        <w:t xml:space="preserve">Mestruale o correlato al ciclo</w:t>
      </w:r>
    </w:p>
    <w:p>
      <w:pPr>
        <w:pStyle w:val="FirstParagraph"/>
      </w:pPr>
      <w:r>
        <w:t xml:space="preserve">Attacchi concentrati fra due giorni prima e tre giorni dopo l’inizio del flusso, riconoscibili su due-tre cicli di diario.</w:t>
      </w:r>
    </w:p>
    <w:p>
      <w:pPr>
        <w:pStyle w:val="BodyText"/>
      </w:pPr>
      <w:r>
        <w:t xml:space="preserve">Il 22% delle emicraniche fra i trenta e i trentaquattro anni ha emicrania in almeno metà delle mestruazioni (Vetvik,</w:t>
      </w:r>
      <w:r>
        <w:t xml:space="preserve"> </w:t>
      </w:r>
      <w:r>
        <w:rPr>
          <w:i/>
          <w:iCs/>
        </w:rPr>
        <w:t xml:space="preserve">Cephalalgia</w:t>
      </w:r>
      <w:r>
        <w:t xml:space="preserve"> </w:t>
      </w:r>
      <w:r>
        <w:t xml:space="preserve">2014, PMID 24101732). Quegli attacchi durano in media dieci ore in più e danno più spesso nausea grave (Vetvik,</w:t>
      </w:r>
      <w:r>
        <w:t xml:space="preserve"> </w:t>
      </w:r>
      <w:r>
        <w:rPr>
          <w:i/>
          <w:iCs/>
        </w:rPr>
        <w:t xml:space="preserve">Cephalalgia</w:t>
      </w:r>
      <w:r>
        <w:t xml:space="preserve"> </w:t>
      </w:r>
      <w:r>
        <w:t xml:space="preserve">2015, PMID 25754177). Nella stessa donna sono più disabilitanti e recidivano più spesso entro ventiquattro ore (MacGregor,</w:t>
      </w:r>
      <w:r>
        <w:t xml:space="preserve"> </w:t>
      </w:r>
      <w:r>
        <w:rPr>
          <w:i/>
          <w:iCs/>
        </w:rPr>
        <w:t xml:space="preserve">Headache</w:t>
      </w:r>
      <w:r>
        <w:t xml:space="preserve"> </w:t>
      </w:r>
      <w:r>
        <w:t xml:space="preserve">2010, PMID 20236340).</w:t>
      </w:r>
    </w:p>
    <w:p>
      <w:pPr>
        <w:pStyle w:val="BodyText"/>
      </w:pPr>
      <w:r>
        <w:rPr>
          <w:b/>
          <w:bCs/>
        </w:rPr>
        <w:t xml:space="preserve">Per te:</w:t>
      </w:r>
      <w:r>
        <w:t xml:space="preserve"> </w:t>
      </w:r>
      <w:r>
        <w:t xml:space="preserve">la tua finestra di verifica attraversa una o due mestruazioni.</w:t>
      </w:r>
      <w:r>
        <w:t xml:space="preserve"> </w:t>
      </w:r>
      <w:r>
        <w:rPr>
          <w:b/>
          <w:bCs/>
        </w:rPr>
        <w:t xml:space="preserve">Se sul diario non sono segnate, il numero non è leggibile</w:t>
      </w:r>
      <w:r>
        <w:t xml:space="preserve">, e attribuirai a te una variazione che è del calendario. È il consumo dell’auto che cala perché hai fatto autostrada, non perché guidi meglio.</w:t>
      </w:r>
    </w:p>
    <w:bookmarkEnd w:id="35"/>
    <w:bookmarkStart w:id="36" w:name="con-uso-eccessivo-di-sintomatici"/>
    <w:p>
      <w:pPr>
        <w:pStyle w:val="Heading3"/>
      </w:pPr>
      <w:r>
        <w:t xml:space="preserve">Con uso eccessivo di sintomatici</w:t>
      </w:r>
    </w:p>
    <w:p>
      <w:pPr>
        <w:pStyle w:val="FirstParagraph"/>
      </w:pPr>
      <w:r>
        <w:t xml:space="preserve">Il quadro non risponde finché quella condizione resta.</w:t>
      </w:r>
      <w:r>
        <w:t xml:space="preserve"> </w:t>
      </w:r>
      <w:r>
        <w:rPr>
          <w:b/>
          <w:bCs/>
        </w:rPr>
        <w:t xml:space="preserve">Non è un paziente da rifiutare:</w:t>
      </w:r>
      <w:r>
        <w:t xml:space="preserve"> </w:t>
      </w:r>
      <w:r>
        <w:t xml:space="preserve">canale medico prioritario, con comunicazione scritta e conteggio dei giorni. Nel frattempo il reperto cervicale resta documentato come</w:t>
      </w:r>
      <w:r>
        <w:t xml:space="preserve"> </w:t>
      </w:r>
      <w:r>
        <w:rPr>
          <w:b/>
          <w:bCs/>
        </w:rPr>
        <w:t xml:space="preserve">bersaglio secondario dichiarato</w:t>
      </w:r>
      <w:r>
        <w:t xml:space="preserve">.</w:t>
      </w:r>
    </w:p>
    <w:bookmarkEnd w:id="36"/>
    <w:bookmarkStart w:id="37" w:name="con-aura"/>
    <w:p>
      <w:pPr>
        <w:pStyle w:val="Heading3"/>
      </w:pPr>
      <w:r>
        <w:t xml:space="preserve">Con aura</w:t>
      </w:r>
    </w:p>
    <w:p>
      <w:pPr>
        <w:pStyle w:val="FirstParagraph"/>
      </w:pPr>
      <w:r>
        <w:rPr>
          <w:b/>
          <w:bCs/>
        </w:rPr>
        <w:t xml:space="preserve">L’aura cambia il rischio della persona, non il bersaglio del tuo lavoro.</w:t>
      </w:r>
      <w:r>
        <w:t xml:space="preserve"> </w:t>
      </w:r>
      <w:r>
        <w:t xml:space="preserve">Con aura il rischio di ictus ischemico è circa doppio: RR 2,16 contro 1,23 non significativo. E sale ancora sotto i 45 anni, con il fumo e con il contraccettivo orale (Schürks,</w:t>
      </w:r>
      <w:r>
        <w:t xml:space="preserve"> </w:t>
      </w:r>
      <w:r>
        <w:rPr>
          <w:i/>
          <w:iCs/>
        </w:rPr>
        <w:t xml:space="preserve">BMJ</w:t>
      </w:r>
      <w:r>
        <w:t xml:space="preserve"> </w:t>
      </w:r>
      <w:r>
        <w:t xml:space="preserve">2009, PMID 19861375). Il consenso europeo stabilisce che il contraccettivo combinato aumenta ulteriormente quel rischio proprio nell’emicrania con aura (Sacco,</w:t>
      </w:r>
      <w:r>
        <w:t xml:space="preserve"> </w:t>
      </w:r>
      <w:r>
        <w:rPr>
          <w:i/>
          <w:iCs/>
        </w:rPr>
        <w:t xml:space="preserve">J Headache Pain</w:t>
      </w:r>
      <w:r>
        <w:t xml:space="preserve"> </w:t>
      </w:r>
      <w:r>
        <w:t xml:space="preserve">2017, PMID 29086160).</w:t>
      </w:r>
    </w:p>
    <w:p>
      <w:pPr>
        <w:pStyle w:val="BodyText"/>
      </w:pPr>
      <w:r>
        <w:rPr>
          <w:b/>
          <w:bCs/>
        </w:rPr>
        <w:t xml:space="preserve">Per te, due domande obbligatorie:</w:t>
      </w:r>
      <w:r>
        <w:t xml:space="preserve"> </w:t>
      </w:r>
      <w:r>
        <w:rPr>
          <w:i/>
          <w:iCs/>
        </w:rPr>
        <w:t xml:space="preserve">assume un contraccettivo che contiene estrogeni?</w:t>
      </w:r>
      <w:r>
        <w:t xml:space="preserve"> </w:t>
      </w:r>
      <w:r>
        <w:t xml:space="preserve">e</w:t>
      </w:r>
      <w:r>
        <w:t xml:space="preserve"> </w:t>
      </w:r>
      <w:r>
        <w:rPr>
          <w:i/>
          <w:iCs/>
        </w:rPr>
        <w:t xml:space="preserve">fuma?</w:t>
      </w:r>
    </w:p>
    <w:p>
      <w:pPr>
        <w:pStyle w:val="BodyText"/>
      </w:pPr>
      <w:r>
        <w:t xml:space="preserve">Una risposta affermativa non è una controindicazione al tuo lavoro, e non si commenta con la paziente.</w:t>
      </w:r>
      <w:r>
        <w:t xml:space="preserve"> </w:t>
      </w:r>
      <w:r>
        <w:rPr>
          <w:b/>
          <w:bCs/>
        </w:rPr>
        <w:t xml:space="preserve">È un dato che entra nella comunicazione scritta al curante</w:t>
      </w:r>
      <w:r>
        <w:t xml:space="preserve">, accanto al conteggio dei giorni. Tu la vedi otto volte, il medico una volta l’anno.</w:t>
      </w:r>
    </w:p>
    <w:p>
      <w:pPr>
        <w:pStyle w:val="BodyText"/>
      </w:pPr>
      <w:r>
        <w:t xml:space="preserve">Sul lavoro manuale cambia una cosa: la scelta della tecnica diventa una decisione dichiarata. E cambia la soglia d’allarme: un’aura oltre l’ora, o che lascia un deficit, è una bandiera rossa.</w:t>
      </w:r>
    </w:p>
    <w:p>
      <w:pPr>
        <w:pStyle w:val="BodyText"/>
      </w:pPr>
      <w:r>
        <w:rPr>
          <w:b/>
          <w:bCs/>
        </w:rPr>
        <w:t xml:space="preserve">Condizioni spesso associate</w:t>
      </w:r>
      <w:r>
        <w:t xml:space="preserve">, che condividono il complesso trigemino-cervicale e la cerniera cranio-cervicale: cervicalgia, ATM, vertigini. Ognuna ha la sua Bibbia.</w:t>
      </w:r>
    </w:p>
    <w:p>
      <w:pPr>
        <w:pStyle w:val="BodyText"/>
      </w:pPr>
      <w:r>
        <w:rPr>
          <w:b/>
          <w:bCs/>
        </w:rPr>
        <w:t xml:space="preserve">Le tre cose da ricordare, più una</w:t>
      </w:r>
    </w:p>
    <w:p>
      <w:pPr>
        <w:pStyle w:val="Compact"/>
        <w:numPr>
          <w:ilvl w:val="0"/>
          <w:numId w:val="1017"/>
        </w:numPr>
      </w:pPr>
      <w:r>
        <w:t xml:space="preserve">La palpazione sostenuta dei segmenti cervicali alti separa tre gruppi, e li separa in un minuto.</w:t>
      </w:r>
    </w:p>
    <w:p>
      <w:pPr>
        <w:pStyle w:val="Compact"/>
        <w:numPr>
          <w:ilvl w:val="0"/>
          <w:numId w:val="1017"/>
        </w:numPr>
      </w:pPr>
      <w:r>
        <w:t xml:space="preserve">Nella donna, il diario si legge solo con le mestruazioni segnate sopra.</w:t>
      </w:r>
    </w:p>
    <w:p>
      <w:pPr>
        <w:pStyle w:val="Compact"/>
        <w:numPr>
          <w:ilvl w:val="0"/>
          <w:numId w:val="1017"/>
        </w:numPr>
      </w:pPr>
      <w:r>
        <w:t xml:space="preserve">Nel paziente con aura, due domande — estrogeni e fumo — valgono più di qualunque tecnica scelta bene.</w:t>
      </w:r>
    </w:p>
    <w:p>
      <w:pPr>
        <w:pStyle w:val="Compact"/>
        <w:numPr>
          <w:ilvl w:val="0"/>
          <w:numId w:val="1017"/>
        </w:numPr>
      </w:pPr>
      <w:r>
        <w:rPr>
          <w:b/>
          <w:bCs/>
        </w:rPr>
        <w:t xml:space="preserve">Perché ci sei tu.</w:t>
      </w:r>
      <w:r>
        <w:t xml:space="preserve"> </w:t>
      </w:r>
      <w:r>
        <w:t xml:space="preserve">Su 391 emicranici, 166 — poco più di quattro su dieci — riferivano dolore al collo durante l’attacco: due su tre come parte dell’attacco, uno su tre come innesco (Pradhan,</w:t>
      </w:r>
      <w:r>
        <w:t xml:space="preserve"> </w:t>
      </w:r>
      <w:r>
        <w:rPr>
          <w:i/>
          <w:iCs/>
        </w:rPr>
        <w:t xml:space="preserve">Neurol India</w:t>
      </w:r>
      <w:r>
        <w:t xml:space="preserve"> </w:t>
      </w:r>
      <w:r>
        <w:t xml:space="preserve">2018, PMID 29547158). La causa cervicale, per come il paziente la racconta, riguarda circa un emicranico su sette, ed è un’attribuzione riferita in intervista, non una misura. Questo ti autorizza a cercare quel gruppo. Non ti autorizza a trattare il collo di tutti come causa.</w:t>
      </w:r>
    </w:p>
    <w:p>
      <w:r>
        <w:pict>
          <v:rect style="width:0;height:1.5pt" o:hralign="center" o:hrstd="t" o:hr="t"/>
        </w:pict>
      </w:r>
    </w:p>
    <w:bookmarkEnd w:id="37"/>
    <w:bookmarkEnd w:id="38"/>
    <w:bookmarkStart w:id="44"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due modelli portano dati e tre portano razionale, e nessuno dei cinque si esaurisce nelle mani.</w:t>
      </w:r>
    </w:p>
    <w:bookmarkStart w:id="39" w:name="biomeccanico-strutturale"/>
    <w:p>
      <w:pPr>
        <w:pStyle w:val="Heading3"/>
      </w:pPr>
      <w:r>
        <w:t xml:space="preserve">Biomeccanico-Strutturale</w:t>
      </w:r>
    </w:p>
    <w:p>
      <w:pPr>
        <w:pStyle w:val="FirstParagraph"/>
      </w:pPr>
      <w:r>
        <w:rPr>
          <w:b/>
          <w:bCs/>
        </w:rPr>
        <w:t xml:space="preserve">Cosa governa qui.</w:t>
      </w:r>
      <w:r>
        <w:t xml:space="preserve"> </w:t>
      </w:r>
      <w:r>
        <w:t xml:space="preserve">Il movimento dei primi tre segmenti cervicali, la posizione del capo, la meccanica mandibolare, il controllo dei flessori profondi.</w:t>
      </w:r>
    </w:p>
    <w:p>
      <w:pPr>
        <w:pStyle w:val="BodyText"/>
      </w:pPr>
      <w:r>
        <w:rPr>
          <w:b/>
          <w:bCs/>
        </w:rPr>
        <w:t xml:space="preserve">Gli attori e i segnali</w:t>
      </w:r>
      <w:r>
        <w:t xml:space="preserve"> </w:t>
      </w:r>
      <w:r>
        <w:t xml:space="preserve">stanno altrove. L’anatomia è in «Le strutture in gioco». I segnali sono nella tabella dei marker: rotazione in flessione ridotta, pressione sostenuta che sposta il dolore in testa, punti trigger dal lato del mal di testa, capo avanzato.</w:t>
      </w:r>
    </w:p>
    <w:p>
      <w:pPr>
        <w:pStyle w:val="BodyText"/>
      </w:pPr>
      <w:r>
        <w:t xml:space="preserve">Uno solo non sta altrove: la</w:t>
      </w:r>
      <w:r>
        <w:t xml:space="preserve"> </w:t>
      </w:r>
      <w:r>
        <w:rPr>
          <w:b/>
          <w:bCs/>
        </w:rPr>
        <w:t xml:space="preserve">prestazione ridotta al test di flessione cranio-cervicale</w:t>
      </w:r>
      <w:r>
        <w:t xml:space="preserve">. È alterata negli emicranici indipendentemente dal dolore cervicale concomitante, ed è l’unico segnale biomeccanico che aggancia il modello a un lavoro attivo (Di Antonio,</w:t>
      </w:r>
      <w:r>
        <w:t xml:space="preserve"> </w:t>
      </w:r>
      <w:r>
        <w:rPr>
          <w:i/>
          <w:iCs/>
        </w:rPr>
        <w:t xml:space="preserve">Cephalalgia</w:t>
      </w:r>
      <w:r>
        <w:t xml:space="preserve"> </w:t>
      </w:r>
      <w:r>
        <w:t xml:space="preserve">2022, PMID 35332826).</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con esaminatore cieco sono stati somministrati</w:t>
      </w:r>
      <w:r>
        <w:t xml:space="preserve"> </w:t>
      </w:r>
      <w:r>
        <w:rPr>
          <w:b/>
          <w:bCs/>
        </w:rPr>
        <w:t xml:space="preserve">undici</w:t>
      </w:r>
      <w:r>
        <w:t xml:space="preserve"> </w:t>
      </w:r>
      <w:r>
        <w:t xml:space="preserve">test, di cui</w:t>
      </w:r>
      <w:r>
        <w:t xml:space="preserve"> </w:t>
      </w:r>
      <w:r>
        <w:rPr>
          <w:b/>
          <w:bCs/>
        </w:rPr>
        <w:t xml:space="preserve">sei hanno discriminato</w:t>
      </w:r>
      <w:r>
        <w:t xml:space="preserve"> </w:t>
      </w:r>
      <w:r>
        <w:t xml:space="preserve">gli emicranici dai controlli, e il 93% dei pazienti ha almeno tre disfunzioni (Luedtke,</w:t>
      </w:r>
      <w:r>
        <w:t xml:space="preserve"> </w:t>
      </w:r>
      <w:r>
        <w:rPr>
          <w:i/>
          <w:iCs/>
        </w:rPr>
        <w:t xml:space="preserve">Cephalalgia</w:t>
      </w:r>
      <w:r>
        <w:t xml:space="preserve"> </w:t>
      </w:r>
      <w:r>
        <w:t xml:space="preserve">2018, PMID 28641450). La sintesi di trentacinque studi conferma quali test discriminano: escursione cervicale, rotazione in flessione, soglia dolorosa alla pressione e capo avanzato (Szikszay,</w:t>
      </w:r>
      <w:r>
        <w:t xml:space="preserve"> </w:t>
      </w:r>
      <w:r>
        <w:rPr>
          <w:i/>
          <w:iCs/>
        </w:rPr>
        <w:t xml:space="preserve">Pain</w:t>
      </w:r>
      <w:r>
        <w:t xml:space="preserve"> </w:t>
      </w:r>
      <w:r>
        <w:t xml:space="preserve">2019, PMID 30690564). Il reperto è documentato; che correggerlo riduca gli attacchi non lo è.</w:t>
      </w:r>
    </w:p>
    <w:bookmarkEnd w:id="39"/>
    <w:bookmarkStart w:id="40" w:name="respiratorio-circolatorio"/>
    <w:p>
      <w:pPr>
        <w:pStyle w:val="Heading3"/>
      </w:pPr>
      <w:r>
        <w:t xml:space="preserve">Respiratorio-Circolatorio</w:t>
      </w:r>
    </w:p>
    <w:p>
      <w:pPr>
        <w:pStyle w:val="FirstParagraph"/>
      </w:pPr>
      <w:r>
        <w:rPr>
          <w:b/>
          <w:bCs/>
        </w:rPr>
        <w:t xml:space="preserve">Cosa governa qui.</w:t>
      </w:r>
      <w:r>
        <w:t xml:space="preserve"> </w:t>
      </w:r>
      <w:r>
        <w:t xml:space="preserve">Il respiro lento come ingresso al tono vagale, cioè al freno autonomico che abbassa il livello di attivazione.</w:t>
      </w:r>
    </w:p>
    <w:p>
      <w:pPr>
        <w:pStyle w:val="BlockText"/>
      </w:pPr>
      <w:r>
        <w:rPr>
          <w:b/>
          <w:bCs/>
        </w:rPr>
        <w:t xml:space="preserve">Attenzione.</w:t>
      </w:r>
      <w:r>
        <w:t xml:space="preserve"> </w:t>
      </w:r>
      <w:r>
        <w:t xml:space="preserve">Si usa la sola metà</w:t>
      </w:r>
      <w:r>
        <w:t xml:space="preserve"> </w:t>
      </w:r>
      <w:r>
        <w:rPr>
          <w:b/>
          <w:bCs/>
        </w:rPr>
        <w:t xml:space="preserve">ventilatoria</w:t>
      </w:r>
      <w:r>
        <w:t xml:space="preserve">. La metà circolatoria — deflusso venoso cranico, drenaggio linfatico, gradienti pressori — qui non si invoca: nessuno ha misurato quei parametri prima e dopo un trattamento manuale, e un razionale anatomico non è una misura.</w:t>
      </w:r>
    </w:p>
    <w:p>
      <w:pPr>
        <w:pStyle w:val="FirstParagraph"/>
      </w:pPr>
      <w:r>
        <w:rPr>
          <w:b/>
          <w:bCs/>
        </w:rPr>
        <w:t xml:space="preserve">Gli attori.</w:t>
      </w:r>
      <w:r>
        <w:t xml:space="preserve"> </w:t>
      </w:r>
      <w:r>
        <w:t xml:space="preserve">Diaframma e frequenza respiratoria.</w:t>
      </w:r>
      <w:r>
        <w:t xml:space="preserve"> </w:t>
      </w:r>
      <w:r>
        <w:rPr>
          <w:i/>
          <w:iCs/>
        </w:rPr>
        <w:t xml:space="preserve">(La cerniera cervico-toracica appartiene meccanicamente al modello biomeccanico: qui si rileva e si segnala, non porta una leva propria.)</w:t>
      </w:r>
      <w:r>
        <w:t xml:space="preserve"> </w:t>
      </w:r>
      <w:r>
        <w:rPr>
          <w:b/>
          <w:bCs/>
        </w:rPr>
        <w:t xml:space="preserve">I segnali:</w:t>
      </w:r>
      <w:r>
        <w:t xml:space="preserve"> </w:t>
      </w:r>
      <w:r>
        <w:t xml:space="preserve">respiro alto e corto con spalle che salgono, frequenza respiratoria a riposo elevata, torace che non si espande.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sull’esito nell’emicrania: nessuno ha misurato la respirazione come mediatore degli attacchi. Sul</w:t>
      </w:r>
      <w:r>
        <w:t xml:space="preserve"> </w:t>
      </w:r>
      <w:r>
        <w:rPr>
          <w:b/>
          <w:bCs/>
        </w:rPr>
        <w:t xml:space="preserve">meccanismo</w:t>
      </w:r>
      <w:r>
        <w:t xml:space="preserve"> </w:t>
      </w:r>
      <w:r>
        <w:t xml:space="preserve">la base c’è: la respirazione lenta volontaria aumenta la variabilità della frequenza cardiaca di origine vagale, su una revisione di 223 studi (Laborde,</w:t>
      </w:r>
      <w:r>
        <w:t xml:space="preserve"> </w:t>
      </w:r>
      <w:r>
        <w:rPr>
          <w:i/>
          <w:iCs/>
        </w:rPr>
        <w:t xml:space="preserve">Neurosci Biobehav Rev</w:t>
      </w:r>
      <w:r>
        <w:t xml:space="preserve"> </w:t>
      </w:r>
      <w:r>
        <w:t xml:space="preserve">2022, PMID 35623448) — su soggetti sani.</w:t>
      </w:r>
    </w:p>
    <w:bookmarkEnd w:id="40"/>
    <w:bookmarkStart w:id="41" w:name="neurologico"/>
    <w:p>
      <w:pPr>
        <w:pStyle w:val="Heading3"/>
      </w:pPr>
      <w:r>
        <w:t xml:space="preserve">Neurologico</w:t>
      </w:r>
    </w:p>
    <w:p>
      <w:pPr>
        <w:pStyle w:val="FirstParagraph"/>
      </w:pPr>
      <w:r>
        <w:rPr>
          <w:b/>
          <w:bCs/>
        </w:rPr>
        <w:t xml:space="preserve">Cosa governa qui.</w:t>
      </w:r>
      <w:r>
        <w:t xml:space="preserve"> </w:t>
      </w:r>
      <w:r>
        <w:t xml:space="preserve">Tre cose. La soglia del complesso trigemino-cervicale. La modulazione discendente del dolore. E il</w:t>
      </w:r>
      <w:r>
        <w:t xml:space="preserve"> </w:t>
      </w:r>
      <w:r>
        <w:rPr>
          <w:b/>
          <w:bCs/>
        </w:rPr>
        <w:t xml:space="preserve">livello di attivazione</w:t>
      </w:r>
      <w:r>
        <w:t xml:space="preserve"> </w:t>
      </w:r>
      <w:r>
        <w:t xml:space="preserve">del paziente, cioè lo stato di allerta del suo sistema nervoso: quanto dorme, quanto è ipervigile, quanta tensione di fondo porta addosso.</w:t>
      </w:r>
    </w:p>
    <w:p>
      <w:pPr>
        <w:pStyle w:val="BodyText"/>
      </w:pPr>
      <w:r>
        <w:rPr>
          <w:b/>
          <w:bCs/>
        </w:rPr>
        <w:t xml:space="preserve">Gli attori</w:t>
      </w:r>
      <w:r>
        <w:t xml:space="preserve"> </w:t>
      </w:r>
      <w:r>
        <w:t xml:space="preserve">sono la via descritta in «Le strutture in gioco», dal nucleo caudale del trigemino al talamo.</w:t>
      </w:r>
      <w:r>
        <w:t xml:space="preserve"> </w:t>
      </w:r>
      <w:r>
        <w:rPr>
          <w:b/>
          <w:bCs/>
        </w:rPr>
        <w:t xml:space="preserve">I segnali</w:t>
      </w:r>
      <w:r>
        <w:t xml:space="preserve"> </w:t>
      </w:r>
      <w:r>
        <w:t xml:space="preserve">sono i tre segni nociplastici di «Cosa si rompe», più i tessuti che respingono ogni correzione.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la convergenza e per l’</w:t>
      </w:r>
      <w:r>
        <w:rPr>
          <w:b/>
          <w:bCs/>
        </w:rPr>
        <w:t xml:space="preserve">ipoalgesia</w:t>
      </w:r>
      <w:r>
        <w:t xml:space="preserve"> </w:t>
      </w:r>
      <w:r>
        <w:t xml:space="preserve">immediata — cioè l’aumento della soglia del dolore — prodotta dalla mobilizzazione cervicale, misurata contro placebo e in doppio cieco su 30 soggetti con dolore cervicale (Sterling,</w:t>
      </w:r>
      <w:r>
        <w:t xml:space="preserve"> </w:t>
      </w:r>
      <w:r>
        <w:rPr>
          <w:i/>
          <w:iCs/>
        </w:rPr>
        <w:t xml:space="preserve">Man Ther</w:t>
      </w:r>
      <w:r>
        <w:t xml:space="preserve"> </w:t>
      </w:r>
      <w:r>
        <w:t xml:space="preserve">2001, PMID 11414776).</w:t>
      </w:r>
      <w:r>
        <w:t xml:space="preserve"> </w:t>
      </w:r>
      <w:r>
        <w:rPr>
          <w:b/>
          <w:bCs/>
        </w:rPr>
        <w:t xml:space="preserve">IPOTESI</w:t>
      </w:r>
      <w:r>
        <w:t xml:space="preserve"> </w:t>
      </w:r>
      <w:r>
        <w:rPr>
          <w:i/>
          <w:iCs/>
        </w:rPr>
        <w:t xml:space="preserve">(meccanismo coerente, nessuno studio)</w:t>
      </w:r>
      <w:r>
        <w:t xml:space="preserve"> </w:t>
      </w:r>
      <w:r>
        <w:t xml:space="preserve">per l’idea che il contatto lento</w:t>
      </w:r>
      <w:r>
        <w:t xml:space="preserve"> </w:t>
      </w:r>
      <w:r>
        <w:rPr>
          <w:b/>
          <w:bCs/>
        </w:rPr>
        <w:t xml:space="preserve">calmi</w:t>
      </w:r>
      <w:r>
        <w:t xml:space="preserve"> </w:t>
      </w:r>
      <w:r>
        <w:t xml:space="preserve">il sistema: nessuno l’ha misurato su emicranici, e la meta-analisi su 20 studi non trova effetto su ansia e stress (Gordon,</w:t>
      </w:r>
      <w:r>
        <w:t xml:space="preserve"> </w:t>
      </w:r>
      <w:r>
        <w:rPr>
          <w:i/>
          <w:iCs/>
        </w:rPr>
        <w:t xml:space="preserve">BMJ Open</w:t>
      </w:r>
      <w:r>
        <w:t xml:space="preserve"> </w:t>
      </w:r>
      <w:r>
        <w:t xml:space="preserve">2025, PMID 39920074).</w:t>
      </w:r>
    </w:p>
    <w:p>
      <w:pPr>
        <w:pStyle w:val="BlockText"/>
      </w:pPr>
      <w:r>
        <w:rPr>
          <w:b/>
          <w:bCs/>
        </w:rPr>
        <w:t xml:space="preserve">Definizione.</w:t>
      </w:r>
      <w:r>
        <w:t xml:space="preserve"> </w:t>
      </w:r>
      <w:r>
        <w:t xml:space="preserve">Due parole si somigliano e non sono la stessa cosa. L’</w:t>
      </w:r>
      <w:r>
        <w:rPr>
          <w:b/>
          <w:bCs/>
        </w:rPr>
        <w:t xml:space="preserve">attivazione simpatica immediata sotto la mano</w:t>
      </w:r>
      <w:r>
        <w:t xml:space="preserve"> </w:t>
      </w:r>
      <w:r>
        <w:t xml:space="preserve">è ciò che Sterling ha misurato: la conduttanza cutanea — la corrente che la pelle lascia passare, che sale con l’attività simpatica — aumenta, e gli autori la leggono come la firma attesa della via che frena il dolore, non come un fallimento. Il</w:t>
      </w:r>
      <w:r>
        <w:t xml:space="preserve"> </w:t>
      </w:r>
      <w:r>
        <w:rPr>
          <w:b/>
          <w:bCs/>
        </w:rPr>
        <w:t xml:space="preserve">livello di attivazione</w:t>
      </w:r>
      <w:r>
        <w:t xml:space="preserve"> </w:t>
      </w:r>
      <w:r>
        <w:t xml:space="preserve">del paziente è invece il suo stato di allerta nei giorni e nelle settimane. Le due non si contraddicono, e non si misurano allo stesso modo.</w:t>
      </w:r>
    </w:p>
    <w:bookmarkEnd w:id="41"/>
    <w:bookmarkStart w:id="42" w:name="metabolico-energetico"/>
    <w:p>
      <w:pPr>
        <w:pStyle w:val="Heading3"/>
      </w:pPr>
      <w:r>
        <w:t xml:space="preserve">Metabolico-Energetico</w:t>
      </w:r>
    </w:p>
    <w:p>
      <w:pPr>
        <w:pStyle w:val="FirstParagraph"/>
      </w:pPr>
      <w:r>
        <w:rPr>
          <w:b/>
          <w:bCs/>
        </w:rPr>
        <w:t xml:space="preserve">Cosa governa qui.</w:t>
      </w:r>
      <w:r>
        <w:t xml:space="preserve"> </w:t>
      </w:r>
      <w:r>
        <w:t xml:space="preserve">Sonno, pasti, alcol, caffeina, peso, ciclo ormonale, condizione fisica: i fattori che spostano la soglia del meccanismo 2.</w:t>
      </w:r>
    </w:p>
    <w:p>
      <w:pPr>
        <w:pStyle w:val="BodyText"/>
      </w:pPr>
      <w:r>
        <w:rPr>
          <w:b/>
          <w:bCs/>
        </w:rPr>
        <w:t xml:space="preserve">È il modello a cui appartiene la leva meglio documentata di tutto il documento</w:t>
      </w:r>
      <w:r>
        <w:t xml:space="preserve"> </w:t>
      </w:r>
      <w:r>
        <w:t xml:space="preserve">— l’esercizio — insieme alle abitudini del sonno. Non si lavorano con le mani, ma</w:t>
      </w:r>
      <w:r>
        <w:t xml:space="preserve"> </w:t>
      </w:r>
      <w:r>
        <w:rPr>
          <w:b/>
          <w:bCs/>
        </w:rPr>
        <w:t xml:space="preserve">si insegnano</w:t>
      </w:r>
      <w:r>
        <w:t xml:space="preserve">, e stanno in «Cosa può fare il paziente da solo». Quello che resta fuori dal nostro campo — dieta, ormoni, farmaci — si rileva, si segnala, si rimanda al medico.</w:t>
      </w:r>
    </w:p>
    <w:p>
      <w:pPr>
        <w:pStyle w:val="BodyText"/>
      </w:pPr>
      <w:r>
        <w:rPr>
          <w:b/>
          <w:bCs/>
        </w:rPr>
        <w:t xml:space="preserve">Gli attori</w:t>
      </w:r>
      <w:r>
        <w:t xml:space="preserve"> </w:t>
      </w:r>
      <w:r>
        <w:t xml:space="preserve">non sono strutture: sono abitudini, ritmi e condizione fisica.</w:t>
      </w:r>
      <w:r>
        <w:t xml:space="preserve"> </w:t>
      </w:r>
      <w:r>
        <w:rPr>
          <w:b/>
          <w:bCs/>
        </w:rPr>
        <w:t xml:space="preserve">I segnali</w:t>
      </w:r>
      <w:r>
        <w:t xml:space="preserve"> </w:t>
      </w:r>
      <w:r>
        <w:t xml:space="preserve">sono quegli stessi fattori quando compaiono nel racconto: digiuno, notte corta, giorni precisi del ciclo, caffeina, alcol, nessuna attività fisica regolare.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i fattori di rischio del passaggio alla forma cronica, che sono evidenza epidemiologica — e gli stessi autori concludono che modificarli è parte del trattamento (Bigal &amp; Lipton,</w:t>
      </w:r>
      <w:r>
        <w:t xml:space="preserve"> </w:t>
      </w:r>
      <w:r>
        <w:rPr>
          <w:i/>
          <w:iCs/>
        </w:rPr>
        <w:t xml:space="preserve">Curr Neurol Neurosci Rep</w:t>
      </w:r>
      <w:r>
        <w:t xml:space="preserve"> </w:t>
      </w:r>
      <w:r>
        <w:t xml:space="preserve">2011, PMID 21243447).</w:t>
      </w:r>
      <w:r>
        <w:t xml:space="preserve"> </w:t>
      </w:r>
      <w:r>
        <w:rPr>
          <w:b/>
          <w:bCs/>
        </w:rPr>
        <w:t xml:space="preserve">DIMOSTRATO</w:t>
      </w:r>
      <w:r>
        <w:t xml:space="preserve"> </w:t>
      </w:r>
      <w:r>
        <w:rPr>
          <w:i/>
          <w:iCs/>
        </w:rPr>
        <w:t xml:space="preserve">(studi sull’uomo, solidi)</w:t>
      </w:r>
      <w:r>
        <w:t xml:space="preserve"> </w:t>
      </w:r>
      <w:r>
        <w:t xml:space="preserve">per il fatto che l’esercizio riduca i giorni di emicrania: la misura e il suo limite stanno in «Cosa può fare il paziente da solo».</w:t>
      </w:r>
    </w:p>
    <w:bookmarkEnd w:id="42"/>
    <w:bookmarkStart w:id="43"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L’informazione che accompagna il trattamento, l’aspettativa, il senso di controllo, la catastrofizzazione, l’alleanza terapeutica.</w:t>
      </w:r>
    </w:p>
    <w:p>
      <w:pPr>
        <w:pStyle w:val="BodyText"/>
      </w:pPr>
      <w:r>
        <w:rPr>
          <w:b/>
          <w:bCs/>
        </w:rPr>
        <w:t xml:space="preserve">Gli attori.</w:t>
      </w:r>
      <w:r>
        <w:t xml:space="preserve"> </w:t>
      </w:r>
      <w:r>
        <w:t xml:space="preserve">Le parole che usi, il tempo che dedichi, la coerenza fra quello che dici e quello che misuri. E gli interventi comportamentali strutturati, che</w:t>
      </w:r>
      <w:r>
        <w:t xml:space="preserve"> </w:t>
      </w:r>
      <w:r>
        <w:rPr>
          <w:b/>
          <w:bCs/>
        </w:rPr>
        <w:t xml:space="preserve">non eroghi tu</w:t>
      </w:r>
      <w:r>
        <w:t xml:space="preserve">: rilassamento, biofeedback, terapia cognitivo-comportamentale, mindfulness.</w:t>
      </w:r>
      <w:r>
        <w:t xml:space="preserve"> </w:t>
      </w:r>
      <w:r>
        <w:rPr>
          <w:b/>
          <w:bCs/>
        </w:rPr>
        <w:t xml:space="preserve">I segnali:</w:t>
      </w:r>
      <w:r>
        <w:t xml:space="preserve"> </w:t>
      </w:r>
      <w:r>
        <w:t xml:space="preserve">frasi di resa (</w:t>
      </w:r>
      <w:r>
        <w:rPr>
          <w:i/>
          <w:iCs/>
        </w:rPr>
        <w:t xml:space="preserve">“ormai è la mia vita”</w:t>
      </w:r>
      <w:r>
        <w:t xml:space="preserve">), paura di programmare, ipervigilanza sui sintomi premonitori.</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una cosa sola, e va detta con precisione:</w:t>
      </w:r>
      <w:r>
        <w:t xml:space="preserve"> </w:t>
      </w:r>
      <w:r>
        <w:rPr>
          <w:b/>
          <w:bCs/>
        </w:rPr>
        <w:t xml:space="preserve">l’informazione data insieme al trattamento cambia l’esito dell’attacco acuto.</w:t>
      </w:r>
      <w:r>
        <w:t xml:space="preserve"> </w:t>
      </w:r>
      <w:r>
        <w:t xml:space="preserve">Su 66 emicranici e 459 attacchi, il placebo etichettato come farmaco e il farmaco etichettato come placebo hanno avuto efficacia simile. Oltre metà dell’effetto del farmaco veniva dal placebo (Kam-Hansen,</w:t>
      </w:r>
      <w:r>
        <w:t xml:space="preserve"> </w:t>
      </w:r>
      <w:r>
        <w:rPr>
          <w:i/>
          <w:iCs/>
        </w:rPr>
        <w:t xml:space="preserve">Sci Transl Med</w:t>
      </w:r>
      <w:r>
        <w:t xml:space="preserve"> </w:t>
      </w:r>
      <w:r>
        <w:t xml:space="preserve">2014, PMID 24401940).</w:t>
      </w:r>
      <w:r>
        <w:t xml:space="preserve"> </w:t>
      </w:r>
      <w:r>
        <w:rPr>
          <w:b/>
          <w:bCs/>
        </w:rPr>
        <w:t xml:space="preserve">PROBABILE</w:t>
      </w:r>
      <w:r>
        <w:t xml:space="preserve"> </w:t>
      </w:r>
      <w:r>
        <w:rPr>
          <w:i/>
          <w:iCs/>
        </w:rPr>
        <w:t xml:space="preserve">(razionale forte, prove parziali)</w:t>
      </w:r>
      <w:r>
        <w:t xml:space="preserve"> </w:t>
      </w:r>
      <w:r>
        <w:t xml:space="preserve">per alleanza terapeutica, senso di controllo e catastrofizzazione: nessuno le ha misurate in questo disegno. E</w:t>
      </w:r>
      <w:r>
        <w:t xml:space="preserve"> </w:t>
      </w:r>
      <w:r>
        <w:rPr>
          <w:b/>
          <w:bCs/>
        </w:rPr>
        <w:t xml:space="preserve">PROBABILE</w:t>
      </w:r>
      <w:r>
        <w:t xml:space="preserve"> </w:t>
      </w:r>
      <w:r>
        <w:rPr>
          <w:i/>
          <w:iCs/>
        </w:rPr>
        <w:t xml:space="preserve">(razionale forte, prove parziali)</w:t>
      </w:r>
      <w:r>
        <w:t xml:space="preserve"> </w:t>
      </w:r>
      <w:r>
        <w:t xml:space="preserve">per gli interventi comportamentali strutturati, che su 27 studi controllati riducono i giorni di cefalea di 0,70 al mese (Lee,</w:t>
      </w:r>
      <w:r>
        <w:t xml:space="preserve"> </w:t>
      </w:r>
      <w:r>
        <w:rPr>
          <w:i/>
          <w:iCs/>
        </w:rPr>
        <w:t xml:space="preserve">J Headache Pain</w:t>
      </w:r>
      <w:r>
        <w:t xml:space="preserve"> </w:t>
      </w:r>
      <w:r>
        <w:t xml:space="preserve">2019, PMID 30764752).</w:t>
      </w:r>
    </w:p>
    <w:p>
      <w:pPr>
        <w:pStyle w:val="FirstParagraph"/>
      </w:pPr>
      <w:r>
        <w:rPr>
          <w:b/>
          <w:bCs/>
        </w:rPr>
        <w:t xml:space="preserve">Le tre cose da ricordare, più una</w:t>
      </w:r>
    </w:p>
    <w:p>
      <w:pPr>
        <w:pStyle w:val="Compact"/>
        <w:numPr>
          <w:ilvl w:val="0"/>
          <w:numId w:val="1018"/>
        </w:numPr>
      </w:pPr>
      <w:r>
        <w:t xml:space="preserve">Il modello con i dati migliori qui non è il biomeccanico: è il comportamentale, e riguarda come spieghi.</w:t>
      </w:r>
    </w:p>
    <w:p>
      <w:pPr>
        <w:pStyle w:val="Compact"/>
        <w:numPr>
          <w:ilvl w:val="0"/>
          <w:numId w:val="1018"/>
        </w:numPr>
      </w:pPr>
      <w:r>
        <w:t xml:space="preserve">Il metabolico non si lavora con le mani e non si consegna fuori: si insegna, ed è dove sta l’esercizio.</w:t>
      </w:r>
    </w:p>
    <w:p>
      <w:pPr>
        <w:pStyle w:val="Compact"/>
        <w:numPr>
          <w:ilvl w:val="0"/>
          <w:numId w:val="1018"/>
        </w:numPr>
      </w:pPr>
      <w:r>
        <w:t xml:space="preserve">La metà circolatoria del modello respiratorio, su questo distretto, non si invoca: non ha misure.</w:t>
      </w:r>
    </w:p>
    <w:p>
      <w:pPr>
        <w:pStyle w:val="Compact"/>
        <w:numPr>
          <w:ilvl w:val="0"/>
          <w:numId w:val="1018"/>
        </w:numPr>
      </w:pPr>
      <w:r>
        <w:rPr>
          <w:b/>
          <w:bCs/>
        </w:rPr>
        <w:t xml:space="preserve">Perché ci sei tu.</w:t>
      </w:r>
      <w:r>
        <w:t xml:space="preserve"> </w:t>
      </w:r>
      <w:r>
        <w:t xml:space="preserve">Con un’informazione positiva l’efficacia del farmaco e quella del placebo aumentano entrambe durante l’attacco, e oltre il 50% dell’effetto del farmaco viene dal placebo (Kam-Hansen,</w:t>
      </w:r>
      <w:r>
        <w:t xml:space="preserve"> </w:t>
      </w:r>
      <w:r>
        <w:rPr>
          <w:i/>
          <w:iCs/>
        </w:rPr>
        <w:t xml:space="preserve">Sci Transl Med</w:t>
      </w:r>
      <w:r>
        <w:t xml:space="preserve"> </w:t>
      </w:r>
      <w:r>
        <w:t xml:space="preserve">2014, PMID 24401940). Questo ti autorizza a considerare la spiegazione una parte misurabile del trattamento. Non ti autorizza ad attribuire alla tua tecnica un miglioramento che quel dato spiega altrettanto bene.</w:t>
      </w:r>
    </w:p>
    <w:p>
      <w:r>
        <w:pict>
          <v:rect style="width:0;height:1.5pt" o:hralign="center" o:hrstd="t" o:hr="t"/>
        </w:pict>
      </w:r>
    </w:p>
    <w:bookmarkEnd w:id="43"/>
    <w:bookmarkEnd w:id="44"/>
    <w:bookmarkStart w:id="52"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la domanda non è</w:t>
      </w:r>
      <w:r>
        <w:t xml:space="preserve"> </w:t>
      </w:r>
      <w:r>
        <w:rPr>
          <w:i/>
          <w:iCs/>
        </w:rPr>
        <w:t xml:space="preserve">dove tratto</w:t>
      </w:r>
      <w:r>
        <w:t xml:space="preserve">, è</w:t>
      </w:r>
      <w:r>
        <w:t xml:space="preserve"> </w:t>
      </w:r>
      <w:r>
        <w:rPr>
          <w:i/>
          <w:iCs/>
        </w:rPr>
        <w:t xml:space="preserve">questo paziente ha un ingresso periferico che conta, o sto guardando il sintomo di un ciclo che parte altrove</w:t>
      </w:r>
      <w:r>
        <w:t xml:space="preserv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tutto questo capitolo è la cornice con cui decidiamo su cosa agire per primo. Non si presenta al paziente come prova.</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r>
        <w:t xml:space="preserve"> </w:t>
      </w:r>
      <w:r>
        <w:rPr>
          <w:i/>
          <w:iCs/>
        </w:rPr>
        <w:t xml:space="preserve">(«Lesione primaria», «reperto disfunzionale» e «compenso» sono nel Glossario.)</w:t>
      </w:r>
    </w:p>
    <w:bookmarkStart w:id="45" w:name="la-punta-e-il-sommerso"/>
    <w:p>
      <w:pPr>
        <w:pStyle w:val="Heading3"/>
      </w:pPr>
      <w:r>
        <w:t xml:space="preserve">La punta e il sommerso</w:t>
      </w:r>
    </w:p>
    <w:p>
      <w:pPr>
        <w:pStyle w:val="FirstParagraph"/>
      </w:pPr>
      <w:r>
        <w:t xml:space="preserve">La punta è sempre la stessa: giorni persi, dolore pulsante, nausea, buio. Il sommerso cambia, e con lui quello che fai.</w:t>
      </w:r>
    </w:p>
    <w:p>
      <w:pPr>
        <w:pStyle w:val="BodyText"/>
      </w:pPr>
      <w:r>
        <w:rPr>
          <w:b/>
          <w:bCs/>
        </w:rPr>
        <w:t xml:space="preserve">Paziente A — la donna di quarantadue anni con il collo che riferisce.</w:t>
      </w:r>
      <w:r>
        <w:t xml:space="preserve"> </w:t>
      </w:r>
      <w:r>
        <w:t xml:space="preserve">Otto giorni al mese, sempre a destra. La rotazione in flessione è ridotta a destra, e dieci secondi di pressione su C1-C2 le spostano il dolore in fronte.</w:t>
      </w:r>
    </w:p>
    <w:p>
      <w:pPr>
        <w:pStyle w:val="BodyText"/>
      </w:pPr>
      <w:r>
        <w:t xml:space="preserve">Il sommerso è l’ingresso cervicale alto. La lesione primaria ipotizzata è la restrizione del segmento che riproduce, e resta un’ipotesi scritta come tale.</w:t>
      </w:r>
      <w:r>
        <w:t xml:space="preserve"> </w:t>
      </w:r>
      <w:r>
        <w:rPr>
          <w:b/>
          <w:bCs/>
        </w:rPr>
        <w:t xml:space="preserve">Cosa fai:</w:t>
      </w:r>
      <w:r>
        <w:t xml:space="preserve"> </w:t>
      </w:r>
      <w:r>
        <w:t xml:space="preserve">lavori sul segmento e sui tessuti profondi della nuca.</w:t>
      </w:r>
      <w:r>
        <w:t xml:space="preserve"> </w:t>
      </w:r>
      <w:r>
        <w:rPr>
          <w:b/>
          <w:bCs/>
        </w:rPr>
        <w:t xml:space="preserve">Marker e soglia:</w:t>
      </w:r>
      <w:r>
        <w:t xml:space="preserve"> </w:t>
      </w:r>
      <w:r>
        <w:t xml:space="preserve">soglia dolorosa sul temporale, +20% dal basale, misurata alla stessa fase del ciclo emicranico.</w:t>
      </w:r>
      <w:r>
        <w:t xml:space="preserve"> </w:t>
      </w:r>
      <w:r>
        <w:rPr>
          <w:i/>
          <w:iCs/>
        </w:rPr>
        <w:t xml:space="preserve">(Road Map, domanda 6.)</w:t>
      </w:r>
    </w:p>
    <w:p>
      <w:pPr>
        <w:pStyle w:val="BodyText"/>
      </w:pPr>
      <w:r>
        <w:rPr>
          <w:b/>
          <w:bCs/>
        </w:rPr>
        <w:t xml:space="preserve">Paziente B — l’uomo di trentacinque anni che si ammala il sabato.</w:t>
      </w:r>
      <w:r>
        <w:t xml:space="preserve"> </w:t>
      </w:r>
      <w:r>
        <w:t xml:space="preserve">Sei giorni al mese, quasi tutti nel fine settimana. Dorme cinque ore, salta i pasti, è iper-controllato. Alla palpazione cervicale alta due segmenti sono dolenti a destra, ma la pressione sostenuta dà dolore locale e non lo sposta in testa.</w:t>
      </w:r>
    </w:p>
    <w:p>
      <w:pPr>
        <w:pStyle w:val="BodyText"/>
      </w:pPr>
      <w:r>
        <w:t xml:space="preserve">Il sommerso è il livello di attivazione e il ritmo.</w:t>
      </w:r>
      <w:r>
        <w:t xml:space="preserve"> </w:t>
      </w:r>
      <w:r>
        <w:rPr>
          <w:b/>
          <w:bCs/>
        </w:rPr>
        <w:t xml:space="preserve">Un reperto c’è, e non comanda:</w:t>
      </w:r>
      <w:r>
        <w:t xml:space="preserve"> </w:t>
      </w:r>
      <w:r>
        <w:t xml:space="preserve">agisci sul piano più alto fra quelli risultati positivi, cioè il ritmo, e il collo dolente scende a marker.</w:t>
      </w:r>
      <w:r>
        <w:t xml:space="preserve"> </w:t>
      </w:r>
      <w:r>
        <w:rPr>
          <w:i/>
          <w:iCs/>
        </w:rPr>
        <w:t xml:space="preserve">(Road Map, domande 4 e 6.)</w:t>
      </w:r>
    </w:p>
    <w:p>
      <w:pPr>
        <w:pStyle w:val="BodyText"/>
      </w:pPr>
      <w:r>
        <w:rPr>
          <w:b/>
          <w:bCs/>
        </w:rPr>
        <w:t xml:space="preserve">Cosa fai:</w:t>
      </w:r>
      <w:r>
        <w:t xml:space="preserve"> </w:t>
      </w:r>
      <w:r>
        <w:t xml:space="preserve">è il paziente in cui hai più da fare, non meno, e il grosso è insegnare — esercizio, educazione, rilassamento, sonno. La parte manuale è il contatto lento e il tempo dedicato, con l’etichetta modesta di «Perché le mani possono cambiare qualcosa».</w:t>
      </w:r>
    </w:p>
    <w:p>
      <w:pPr>
        <w:pStyle w:val="BodyText"/>
      </w:pPr>
      <w:r>
        <w:rPr>
          <w:b/>
          <w:bCs/>
        </w:rPr>
        <w:t xml:space="preserve">Marker e soglia:</w:t>
      </w:r>
      <w:r>
        <w:t xml:space="preserve"> </w:t>
      </w:r>
      <w:r>
        <w:t xml:space="preserve">dentro la seduta usi la frequenza respiratoria a riposo, che deve scendere di qualche atto al minuto.</w:t>
      </w:r>
      <w:r>
        <w:t xml:space="preserve"> </w:t>
      </w:r>
      <w:r>
        <w:rPr>
          <w:b/>
          <w:bCs/>
        </w:rPr>
        <w:t xml:space="preserve">È un marker fuori piano solo se non hai guidato tu il respiro. Se lo hai guidato, il fuori piano diventa la soglia dolorosa extra-cefalica.</w:t>
      </w:r>
      <w:r>
        <w:t xml:space="preserve"> </w:t>
      </w:r>
      <w:r>
        <w:t xml:space="preserve">Sui giorni, solo il diario a quattro-otto settimane.</w:t>
      </w:r>
      <w:r>
        <w:t xml:space="preserve"> </w:t>
      </w:r>
      <w:r>
        <w:rPr>
          <w:b/>
          <w:bCs/>
        </w:rPr>
        <w:t xml:space="preserve">Su questo paziente l’ipotesi di dominanza non è verificabile dentro la seduta</w:t>
      </w:r>
      <w:r>
        <w:t xml:space="preserve">, e il tempo di revisione va dichiarato a lui come tale.</w:t>
      </w:r>
    </w:p>
    <w:p>
      <w:pPr>
        <w:pStyle w:val="BodyText"/>
      </w:pPr>
      <w:r>
        <w:rPr>
          <w:b/>
          <w:bCs/>
        </w:rPr>
        <w:t xml:space="preserve">Paziente C — la donna di cinquantacinque anni con venti giorni di mal di testa.</w:t>
      </w:r>
      <w:r>
        <w:t xml:space="preserve"> </w:t>
      </w:r>
      <w:r>
        <w:t xml:space="preserve">Prende un triptano quindici giorni al mese da due anni. I reperti cervicali sono abbondanti, e nessuno spiega la quotidianità del quadro.</w:t>
      </w:r>
    </w:p>
    <w:p>
      <w:pPr>
        <w:pStyle w:val="BodyText"/>
      </w:pPr>
      <w:r>
        <w:t xml:space="preserve">Il sommerso è l’adattamento al farmaco.</w:t>
      </w:r>
      <w:r>
        <w:t xml:space="preserve"> </w:t>
      </w:r>
      <w:r>
        <w:rPr>
          <w:b/>
          <w:bCs/>
        </w:rPr>
        <w:t xml:space="preserve">Cosa fai:</w:t>
      </w:r>
      <w:r>
        <w:t xml:space="preserve"> </w:t>
      </w:r>
      <w:r>
        <w:t xml:space="preserve">conti i giorni con lei, li scrivi, li mandi al curante lo stesso giorno. Poi lavori sul reperto cervicale documentato, dicendole che non è il bersaglio principale.</w:t>
      </w:r>
      <w:r>
        <w:t xml:space="preserve"> </w:t>
      </w:r>
      <w:r>
        <w:rPr>
          <w:b/>
          <w:bCs/>
        </w:rPr>
        <w:t xml:space="preserve">Marker:</w:t>
      </w:r>
      <w:r>
        <w:t xml:space="preserve"> </w:t>
      </w:r>
      <w:r>
        <w:t xml:space="preserve">il conteggio dei giorni di assunzione, l’unica misura che segue il piano dominante.</w:t>
      </w:r>
      <w:r>
        <w:t xml:space="preserve"> </w:t>
      </w:r>
      <w:r>
        <w:rPr>
          <w:i/>
          <w:iCs/>
        </w:rPr>
        <w:t xml:space="preserve">(Road Map, domanda 2.)</w:t>
      </w:r>
    </w:p>
    <w:p>
      <w:pPr>
        <w:pStyle w:val="BodyText"/>
      </w:pPr>
      <w:r>
        <w:rPr>
          <w:b/>
          <w:bCs/>
        </w:rPr>
        <w:t xml:space="preserve">Paziente D — la donna di trentotto anni con reperto cervicale e attacchi perimestruali.</w:t>
      </w:r>
      <w:r>
        <w:t xml:space="preserve"> </w:t>
      </w:r>
      <w:r>
        <w:t xml:space="preserve">Reperto vero, leva vera, e un diario che non scende.</w:t>
      </w:r>
      <w:r>
        <w:t xml:space="preserve"> </w:t>
      </w:r>
      <w:r>
        <w:rPr>
          <w:b/>
          <w:bCs/>
        </w:rPr>
        <w:t xml:space="preserve">Cosa fai:</w:t>
      </w:r>
      <w:r>
        <w:t xml:space="preserve"> </w:t>
      </w:r>
      <w:r>
        <w:t xml:space="preserve">tratti il reperto come nel paziente A, e</w:t>
      </w:r>
      <w:r>
        <w:t xml:space="preserve"> </w:t>
      </w:r>
      <w:r>
        <w:rPr>
          <w:b/>
          <w:bCs/>
        </w:rPr>
        <w:t xml:space="preserve">segni le mestruazioni sul diario prima di decidere se il marker si è mosso.</w:t>
      </w:r>
      <w:r>
        <w:t xml:space="preserve"> </w:t>
      </w:r>
      <w:r>
        <w:rPr>
          <w:i/>
          <w:iCs/>
        </w:rPr>
        <w:t xml:space="preserve">(Road Map, domanda 7.)</w:t>
      </w:r>
    </w:p>
    <w:bookmarkEnd w:id="45"/>
    <w:bookmarkStart w:id="46" w:name="perché-si-indaga-da-monte"/>
    <w:p>
      <w:pPr>
        <w:pStyle w:val="Heading3"/>
      </w:pPr>
      <w:r>
        <w:t xml:space="preserve">Perché si indaga da monte</w:t>
      </w:r>
    </w:p>
    <w:p>
      <w:pPr>
        <w:pStyle w:val="FirstParagraph"/>
      </w:pPr>
      <w:r>
        <w:rPr>
          <w:b/>
          <w:bCs/>
        </w:rPr>
        <w:t xml:space="preserve">«A monte» non è una coordinata anatomica.</w:t>
      </w:r>
      <w:r>
        <w:t xml:space="preserve"> </w:t>
      </w:r>
      <w:r>
        <w:t xml:space="preserve">Vuol dire più in alto sul piano funzionale, su quello che comanda gli altri.</w:t>
      </w:r>
    </w:p>
    <w:p>
      <w:pPr>
        <w:pStyle w:val="BodyText"/>
      </w:pPr>
      <w:r>
        <w:t xml:space="preserve">La ragione qui è fisiologica, e sta in «Come funziona quando funziona»:</w:t>
      </w:r>
      <w:r>
        <w:t xml:space="preserve"> </w:t>
      </w:r>
      <w:r>
        <w:rPr>
          <w:b/>
          <w:bCs/>
        </w:rPr>
        <w:t xml:space="preserve">l’ipotalamo fissa il guadagno con cui tutto il resto viene letto</w:t>
      </w:r>
      <w:r>
        <w:t xml:space="preserve">. Un sistema con la soglia già bassa rende dolente un collo che in un’altra settimana non lo sarebbe.</w:t>
      </w:r>
    </w:p>
    <w:p>
      <w:pPr>
        <w:pStyle w:val="BodyText"/>
      </w:pPr>
      <w:r>
        <w:t xml:space="preserve">L’ordine di comando ha cinque piani:</w:t>
      </w:r>
    </w:p>
    <w:p>
      <w:pPr>
        <w:pStyle w:val="Compact"/>
        <w:numPr>
          <w:ilvl w:val="0"/>
          <w:numId w:val="1019"/>
        </w:numPr>
      </w:pPr>
      <w:r>
        <w:t xml:space="preserve">Il</w:t>
      </w:r>
      <w:r>
        <w:t xml:space="preserve"> </w:t>
      </w:r>
      <w:r>
        <w:rPr>
          <w:b/>
          <w:bCs/>
        </w:rPr>
        <w:t xml:space="preserve">farmaco</w:t>
      </w:r>
      <w:r>
        <w:t xml:space="preserve"> </w:t>
      </w:r>
      <w:r>
        <w:t xml:space="preserve">assunto oltre soglia. Quando c’è, sequestra tutto il resto.</w:t>
      </w:r>
    </w:p>
    <w:p>
      <w:pPr>
        <w:pStyle w:val="Compact"/>
        <w:numPr>
          <w:ilvl w:val="0"/>
          <w:numId w:val="1019"/>
        </w:numPr>
      </w:pPr>
      <w:r>
        <w:t xml:space="preserve">Il</w:t>
      </w:r>
      <w:r>
        <w:t xml:space="preserve"> </w:t>
      </w:r>
      <w:r>
        <w:rPr>
          <w:b/>
          <w:bCs/>
        </w:rPr>
        <w:t xml:space="preserve">ritmo e il livello di attivazione</w:t>
      </w:r>
      <w:r>
        <w:t xml:space="preserve">: sonno, digiuno, rilascio dopo lo stress, ipervigilanza.</w:t>
      </w:r>
    </w:p>
    <w:p>
      <w:pPr>
        <w:pStyle w:val="Compact"/>
        <w:numPr>
          <w:ilvl w:val="0"/>
          <w:numId w:val="1019"/>
        </w:numPr>
      </w:pPr>
      <w:r>
        <w:t xml:space="preserve">L’</w:t>
      </w:r>
      <w:r>
        <w:rPr>
          <w:b/>
          <w:bCs/>
        </w:rPr>
        <w:t xml:space="preserve">aspettativa e la spiegazione ricevuta</w:t>
      </w:r>
      <w:r>
        <w:t xml:space="preserve">, il piano con i dati migliori.</w:t>
      </w:r>
    </w:p>
    <w:p>
      <w:pPr>
        <w:pStyle w:val="Compact"/>
        <w:numPr>
          <w:ilvl w:val="0"/>
          <w:numId w:val="1019"/>
        </w:numPr>
      </w:pPr>
      <w:r>
        <w:t xml:space="preserve">Il</w:t>
      </w:r>
      <w:r>
        <w:t xml:space="preserve"> </w:t>
      </w:r>
      <w:r>
        <w:rPr>
          <w:b/>
          <w:bCs/>
        </w:rPr>
        <w:t xml:space="preserve">carico miofasciale</w:t>
      </w:r>
      <w:r>
        <w:t xml:space="preserve"> </w:t>
      </w:r>
      <w:r>
        <w:t xml:space="preserve">su collo e masticatori.</w:t>
      </w:r>
    </w:p>
    <w:p>
      <w:pPr>
        <w:pStyle w:val="Compact"/>
        <w:numPr>
          <w:ilvl w:val="0"/>
          <w:numId w:val="1019"/>
        </w:numPr>
      </w:pPr>
      <w:r>
        <w:t xml:space="preserve">La</w:t>
      </w:r>
      <w:r>
        <w:t xml:space="preserve"> </w:t>
      </w:r>
      <w:r>
        <w:rPr>
          <w:b/>
          <w:bCs/>
        </w:rPr>
        <w:t xml:space="preserve">restrizione articolare</w:t>
      </w:r>
      <w:r>
        <w:t xml:space="preserve"> </w:t>
      </w:r>
      <w:r>
        <w:t xml:space="preserve">dei segmenti cervicali alti.</w:t>
      </w:r>
    </w:p>
    <w:p>
      <w:pPr>
        <w:pStyle w:val="FirstParagraph"/>
      </w:pPr>
      <w:r>
        <w:rPr>
          <w:b/>
          <w:bCs/>
        </w:rPr>
        <w:t xml:space="preserve">Il piano che compensa non è il piano che comanda.</w:t>
      </w:r>
      <w:r>
        <w:t xml:space="preserve"> </w:t>
      </w:r>
      <w:r>
        <w:t xml:space="preserve">Un compenso trattato dà un miglioramento che dura una settimana e poi svanisce, perché quello che lo produceva è rimasto dov’era. Su questa condizione l’errore ha un nome preciso: il collo dolente che in due casi su tre è</w:t>
      </w:r>
      <w:r>
        <w:t xml:space="preserve"> </w:t>
      </w:r>
      <w:r>
        <w:rPr>
          <w:b/>
          <w:bCs/>
        </w:rPr>
        <w:t xml:space="preserve">parte</w:t>
      </w:r>
      <w:r>
        <w:t xml:space="preserve"> </w:t>
      </w:r>
      <w:r>
        <w:t xml:space="preserve">dell’attacco e non il suo innesco (Pradhan 2018). Trattarlo come comando è trattare un compenso e chiamarlo causa.</w:t>
      </w:r>
    </w:p>
    <w:p>
      <w:pPr>
        <w:pStyle w:val="BodyText"/>
      </w:pPr>
      <w:r>
        <w:rPr>
          <w:b/>
          <w:bCs/>
        </w:rPr>
        <w:t xml:space="preserve">Il punto in cui fa male non è il punto da trattare.</w:t>
      </w:r>
      <w:r>
        <w:t xml:space="preserve"> </w:t>
      </w:r>
      <w:r>
        <w:t xml:space="preserve">Il paziente sente male in testa; il bersaglio sono il collo alto e i masticatori, a monte sulla via che porta lì.</w:t>
      </w:r>
    </w:p>
    <w:p>
      <w:pPr>
        <w:pStyle w:val="BodyText"/>
      </w:pPr>
      <w:r>
        <w:rPr>
          <w:b/>
          <w:bCs/>
        </w:rPr>
        <w:t xml:space="preserve">Qui questa regola si applica, e il motivo va detto.</w:t>
      </w:r>
      <w:r>
        <w:t xml:space="preserve"> </w:t>
      </w:r>
      <w:r>
        <w:t xml:space="preserve">In testa non c’è niente su cui mettere le mani</w:t>
      </w:r>
      <w:r>
        <w:t xml:space="preserve"> </w:t>
      </w:r>
      <w:r>
        <w:rPr>
          <w:b/>
          <w:bCs/>
        </w:rPr>
        <w:t xml:space="preserve">dove il dolore si sente</w:t>
      </w:r>
      <w:r>
        <w:t xml:space="preserve">: la fronte, la profondità del cranio, dietro l’occhio. Il temporale e il bordo osseo della troclea sono in testa e si trattano, ma come ingressi sulla stessa via, non come sede del dolore.</w:t>
      </w:r>
    </w:p>
    <w:bookmarkEnd w:id="46"/>
    <w:bookmarkStart w:id="47" w:name="la-prova-della-chiave-di-volta"/>
    <w:p>
      <w:pPr>
        <w:pStyle w:val="Heading3"/>
      </w:pPr>
      <w:r>
        <w:t xml:space="preserve">La prova della chiave di volta</w:t>
      </w:r>
    </w:p>
    <w:p>
      <w:pPr>
        <w:pStyle w:val="FirstParagraph"/>
      </w:pPr>
      <w:r>
        <w:t xml:space="preserve">Tratti in prova il piano che sospetti dominante, poi rivaluti.</w:t>
      </w:r>
      <w:r>
        <w:t xml:space="preserve"> </w:t>
      </w:r>
      <w:r>
        <w:rPr>
          <w:b/>
          <w:bCs/>
        </w:rPr>
        <w:t xml:space="preserve">Il marker che decide deve appartenere a un piano che non hai toccato.</w:t>
      </w:r>
      <w:r>
        <w:t xml:space="preserve"> </w:t>
      </w:r>
      <w:r>
        <w:t xml:space="preserve">Se tratti il collo e rimisuri la rotazione del collo, verifichi che il tessuto appena inibito si è mosso, non che comandava. Come toccare il termosifone appena acceso: è caldo di sicuro, e non ti dice se la casa si scalda.</w:t>
      </w:r>
    </w:p>
    <w:p>
      <w:pPr>
        <w:pStyle w:val="BodyText"/>
      </w:pPr>
      <w:r>
        <w:t xml:space="preserve">Un marker che funziona ha quattro condizioni. È</w:t>
      </w:r>
      <w:r>
        <w:t xml:space="preserve"> </w:t>
      </w:r>
      <w:r>
        <w:rPr>
          <w:b/>
          <w:bCs/>
        </w:rPr>
        <w:t xml:space="preserve">misurabile in stanza</w:t>
      </w:r>
      <w:r>
        <w:t xml:space="preserve"> </w:t>
      </w:r>
      <w:r>
        <w:t xml:space="preserve">in meno di un minuto, con lo stesso metodo prima e dopo. È</w:t>
      </w:r>
      <w:r>
        <w:t xml:space="preserve"> </w:t>
      </w:r>
      <w:r>
        <w:rPr>
          <w:b/>
          <w:bCs/>
        </w:rPr>
        <w:t xml:space="preserve">scelto prima di trattare</w:t>
      </w:r>
      <w:r>
        <w:t xml:space="preserve">, e non cambiato dopo aver visto il risultato.</w:t>
      </w:r>
      <w:r>
        <w:t xml:space="preserve"> </w:t>
      </w:r>
      <w:r>
        <w:rPr>
          <w:b/>
          <w:bCs/>
        </w:rPr>
        <w:t xml:space="preserve">Appartiene a un piano che non hai trattato.</w:t>
      </w:r>
      <w:r>
        <w:t xml:space="preserve"> </w:t>
      </w:r>
      <w:r>
        <w:t xml:space="preserve">E ha una</w:t>
      </w:r>
      <w:r>
        <w:t xml:space="preserve"> </w:t>
      </w:r>
      <w:r>
        <w:rPr>
          <w:b/>
          <w:bCs/>
        </w:rPr>
        <w:t xml:space="preserve">soglia dichiarata</w:t>
      </w:r>
      <w:r>
        <w:t xml:space="preserve">.</w:t>
      </w:r>
    </w:p>
    <w:p>
      <w:pPr>
        <w:pStyle w:val="BodyText"/>
      </w:pPr>
      <w:r>
        <w:rPr>
          <w:b/>
          <w:bCs/>
        </w:rPr>
        <w:t xml:space="preserve">Quale marker è fuori piano dipende da cosa hai toccato, non dalla condizione.</w:t>
      </w:r>
      <w:r>
        <w:t xml:space="preserve"> </w:t>
      </w:r>
      <w:r>
        <w:t xml:space="preserve">Se tratti il piano cervicale alto, la prova è la soglia dolorosa sul temporale. Se tratti il piano miofasciale-mandibolare, e il temporale è un tuo bersaglio, quella soglia scende a marker di piano trattato. Allora la prova torna a essere la riproduzione del dolore alla pressione su C1-C3, oppure la soglia dolorosa</w:t>
      </w:r>
      <w:r>
        <w:t xml:space="preserve"> </w:t>
      </w:r>
      <w:r>
        <w:rPr>
          <w:b/>
          <w:bCs/>
        </w:rPr>
        <w:t xml:space="preserve">extra-cefalica</w:t>
      </w:r>
      <w:r>
        <w:t xml:space="preserve">, che è l’unico marker fuori piano in tutti i sottotipi.</w:t>
      </w:r>
    </w:p>
    <w:p>
      <w:pPr>
        <w:pStyle w:val="BodyText"/>
      </w:pPr>
      <w:r>
        <w:rPr>
          <w:b/>
          <w:bCs/>
        </w:rPr>
        <w:t xml:space="preserve">Come ti accorgi di aver sbagliato.</w:t>
      </w:r>
      <w:r>
        <w:t xml:space="preserve"> </w:t>
      </w:r>
      <w:r>
        <w:t xml:space="preserve">Se il piano che hai trattato comandava, il marker fuori piano si muove sopra la soglia dichiarata entro il tempo che hai fissato. Se non si muove, l’ipotesi era sbagliata e comanda un altro piano.</w:t>
      </w:r>
    </w:p>
    <w:bookmarkEnd w:id="47"/>
    <w:bookmarkStart w:id="48" w:name="Xd8ee6f16cda1c8ba8ce61dae64ccc91e9548a53"/>
    <w:p>
      <w:pPr>
        <w:pStyle w:val="Heading3"/>
      </w:pPr>
      <w:r>
        <w:t xml:space="preserve">La regola che viene prima della tabella: in che punto del ciclo stai misurando</w:t>
      </w:r>
    </w:p>
    <w:p>
      <w:pPr>
        <w:pStyle w:val="FirstParagraph"/>
      </w:pPr>
      <w:r>
        <w:t xml:space="preserve">La sensibilità meccanica dell’emicranico</w:t>
      </w:r>
      <w:r>
        <w:t xml:space="preserve"> </w:t>
      </w:r>
      <w:r>
        <w:rPr>
          <w:b/>
          <w:bCs/>
        </w:rPr>
        <w:t xml:space="preserve">cambia da sola</w:t>
      </w:r>
      <w:r>
        <w:t xml:space="preserve"> </w:t>
      </w:r>
      <w:r>
        <w:t xml:space="preserve">lungo il ciclo dell’attacco. Le soglie dolorose sono più basse nelle fasi che precedono, accompagnano e seguono l’attacco rispetto alla fase libera. Vale sul temporale, sul trapezio, su C1 e anche fuori dalla testa (Scholten-Peeters,</w:t>
      </w:r>
      <w:r>
        <w:t xml:space="preserve"> </w:t>
      </w:r>
      <w:r>
        <w:rPr>
          <w:i/>
          <w:iCs/>
        </w:rPr>
        <w:t xml:space="preserve">J Headache Pain</w:t>
      </w:r>
      <w:r>
        <w:t xml:space="preserve"> </w:t>
      </w:r>
      <w:r>
        <w:t xml:space="preserve">2020, PMID 32059650; Di Antonio,</w:t>
      </w:r>
      <w:r>
        <w:t xml:space="preserve"> </w:t>
      </w:r>
      <w:r>
        <w:rPr>
          <w:i/>
          <w:iCs/>
        </w:rPr>
        <w:t xml:space="preserve">Headache</w:t>
      </w:r>
      <w:r>
        <w:t xml:space="preserve"> </w:t>
      </w:r>
      <w:r>
        <w:t xml:space="preserve">2022, PMID 35122434, 135 pazienti, minimo in fase ictale).</w:t>
      </w:r>
    </w:p>
    <w:p>
      <w:pPr>
        <w:pStyle w:val="BodyText"/>
      </w:pPr>
      <w:r>
        <w:rPr>
          <w:b/>
          <w:bCs/>
        </w:rPr>
        <w:t xml:space="preserve">Cosa vuol dire in stanza.</w:t>
      </w:r>
      <w:r>
        <w:t xml:space="preserve"> </w:t>
      </w:r>
      <w:r>
        <w:t xml:space="preserve">Il paziente prenota quando sta male e torna quando sta bene. Se prendi il basale nel giorno brutto e il controllo nel giorno buono, il tuo +20% arriva da solo.</w:t>
      </w:r>
    </w:p>
    <w:p>
      <w:pPr>
        <w:pStyle w:val="BodyText"/>
      </w:pPr>
      <w:r>
        <w:t xml:space="preserve">Quindi,</w:t>
      </w:r>
      <w:r>
        <w:t xml:space="preserve"> </w:t>
      </w:r>
      <w:r>
        <w:rPr>
          <w:b/>
          <w:bCs/>
        </w:rPr>
        <w:t xml:space="preserve">prima di qualunque misura</w:t>
      </w:r>
      <w:r>
        <w:t xml:space="preserve">, fai una domanda:</w:t>
      </w:r>
      <w:r>
        <w:t xml:space="preserve"> </w:t>
      </w:r>
      <w:r>
        <w:rPr>
          <w:i/>
          <w:iCs/>
        </w:rPr>
        <w:t xml:space="preserve">“in che punto è oggi — quando è finito l’ultimo attacco, e ha sintomi premonitori adesso?”</w:t>
      </w:r>
      <w:r>
        <w:t xml:space="preserve">. Basale e controllo si prendono</w:t>
      </w:r>
      <w:r>
        <w:t xml:space="preserve"> </w:t>
      </w:r>
      <w:r>
        <w:rPr>
          <w:b/>
          <w:bCs/>
        </w:rPr>
        <w:t xml:space="preserve">nella stessa fase</w:t>
      </w:r>
      <w:r>
        <w:t xml:space="preserve">, preferibilmente lontano dagli attacchi. Una misura presa nelle ventiquattro ore prima, durante o dopo un attacco non è confrontabile, e si annota come tale.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la fluttuazione lungo il ciclo.</w:t>
      </w:r>
      <w:r>
        <w:t xml:space="preserve"> </w:t>
      </w:r>
      <w:r>
        <w:rPr>
          <w:b/>
          <w:bCs/>
        </w:rPr>
        <w:t xml:space="preserve">RAGIONAMENTO</w:t>
      </w:r>
      <w:r>
        <w:t xml:space="preserve"> </w:t>
      </w:r>
      <w:r>
        <w:rPr>
          <w:i/>
          <w:iCs/>
        </w:rPr>
        <w:t xml:space="preserve">(cornice clinica, non una prova)</w:t>
      </w:r>
      <w:r>
        <w:t xml:space="preserve"> </w:t>
      </w:r>
      <w:r>
        <w:t xml:space="preserve">per la regola operativa che ne ricaviamo.</w:t>
      </w:r>
    </w:p>
    <w:bookmarkEnd w:id="48"/>
    <w:bookmarkStart w:id="49" w:name="i-marker-di-questa-condizione"/>
    <w:p>
      <w:pPr>
        <w:pStyle w:val="Heading3"/>
      </w:pPr>
      <w:r>
        <w:t xml:space="preserve">I marker di questa condizione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Soglia che conta</w:t>
            </w:r>
          </w:p>
        </w:tc>
        <w:tc>
          <w:tcPr/>
          <w:p>
            <w:pPr>
              <w:pStyle w:val="Compact"/>
            </w:pPr>
            <w:r>
              <w:t xml:space="preserve">Stabile nel ciclo</w:t>
            </w:r>
          </w:p>
        </w:tc>
      </w:tr>
      <w:tr>
        <w:tc>
          <w:tcPr/>
          <w:p>
            <w:pPr>
              <w:pStyle w:val="Compact"/>
            </w:pPr>
            <w:r>
              <w:t xml:space="preserve">Riproduzione del dolore in testa</w:t>
            </w:r>
          </w:p>
        </w:tc>
        <w:tc>
          <w:tcPr/>
          <w:p>
            <w:pPr>
              <w:pStyle w:val="Compact"/>
            </w:pPr>
            <w:r>
              <w:t xml:space="preserve">Pressione sostenuta su C1-C3</w:t>
            </w:r>
          </w:p>
        </w:tc>
        <w:tc>
          <w:tcPr/>
          <w:p>
            <w:pPr>
              <w:pStyle w:val="Compact"/>
            </w:pPr>
            <w:r>
              <w:t xml:space="preserve">Scompare, o serve più pressione</w:t>
            </w:r>
          </w:p>
        </w:tc>
        <w:tc>
          <w:tcPr/>
          <w:p>
            <w:pPr>
              <w:pStyle w:val="Compact"/>
            </w:pPr>
            <w:r>
              <w:t xml:space="preserve">Sì</w:t>
            </w:r>
          </w:p>
        </w:tc>
      </w:tr>
      <w:tr>
        <w:tc>
          <w:tcPr/>
          <w:p>
            <w:pPr>
              <w:pStyle w:val="Compact"/>
            </w:pPr>
            <w:r>
              <w:t xml:space="preserve">Rotazione in flessione</w:t>
            </w:r>
          </w:p>
        </w:tc>
        <w:tc>
          <w:tcPr/>
          <w:p>
            <w:pPr>
              <w:pStyle w:val="Compact"/>
            </w:pPr>
            <w:r>
              <w:t xml:space="preserve">Goniometro, per lato, capo flesso</w:t>
            </w:r>
          </w:p>
        </w:tc>
        <w:tc>
          <w:tcPr/>
          <w:p>
            <w:pPr>
              <w:pStyle w:val="Compact"/>
            </w:pPr>
            <w:r>
              <w:t xml:space="preserve">Variazione ≥10° dal basale</w:t>
            </w:r>
          </w:p>
        </w:tc>
        <w:tc>
          <w:tcPr/>
          <w:p>
            <w:pPr>
              <w:pStyle w:val="Compact"/>
            </w:pPr>
            <w:r>
              <w:t xml:space="preserve">Sì</w:t>
            </w:r>
          </w:p>
        </w:tc>
      </w:tr>
      <w:tr>
        <w:tc>
          <w:tcPr/>
          <w:p>
            <w:pPr>
              <w:pStyle w:val="Compact"/>
            </w:pPr>
            <w:r>
              <w:t xml:space="preserve">Soglia dolorosa sul temporale</w:t>
            </w:r>
          </w:p>
        </w:tc>
        <w:tc>
          <w:tcPr/>
          <w:p>
            <w:pPr>
              <w:pStyle w:val="Compact"/>
            </w:pPr>
            <w:r>
              <w:t xml:space="preserve">Algometro, tre misure</w:t>
            </w:r>
          </w:p>
        </w:tc>
        <w:tc>
          <w:tcPr/>
          <w:p>
            <w:pPr>
              <w:pStyle w:val="Compact"/>
            </w:pPr>
            <w:r>
              <w:t xml:space="preserve">+20% dal basale</w:t>
            </w:r>
          </w:p>
        </w:tc>
        <w:tc>
          <w:tcPr/>
          <w:p>
            <w:pPr>
              <w:pStyle w:val="Compact"/>
            </w:pPr>
            <w:r>
              <w:t xml:space="preserve">No</w:t>
            </w:r>
          </w:p>
        </w:tc>
      </w:tr>
      <w:tr>
        <w:tc>
          <w:tcPr/>
          <w:p>
            <w:pPr>
              <w:pStyle w:val="Compact"/>
            </w:pPr>
            <w:r>
              <w:t xml:space="preserve">Soglia dolorosa extra-cefalica</w:t>
            </w:r>
          </w:p>
        </w:tc>
        <w:tc>
          <w:tcPr/>
          <w:p>
            <w:pPr>
              <w:pStyle w:val="Compact"/>
            </w:pPr>
            <w:r>
              <w:t xml:space="preserve">Algometro, tenar o tibiale</w:t>
            </w:r>
          </w:p>
        </w:tc>
        <w:tc>
          <w:tcPr/>
          <w:p>
            <w:pPr>
              <w:pStyle w:val="Compact"/>
            </w:pPr>
            <w:r>
              <w:t xml:space="preserve">+20% dal basale</w:t>
            </w:r>
          </w:p>
        </w:tc>
        <w:tc>
          <w:tcPr/>
          <w:p>
            <w:pPr>
              <w:pStyle w:val="Compact"/>
            </w:pPr>
            <w:r>
              <w:t xml:space="preserve">No</w:t>
            </w:r>
          </w:p>
        </w:tc>
      </w:tr>
      <w:tr>
        <w:tc>
          <w:tcPr/>
          <w:p>
            <w:pPr>
              <w:pStyle w:val="Compact"/>
            </w:pPr>
            <w:r>
              <w:t xml:space="preserve">Frequenza respiratoria a riposo</w:t>
            </w:r>
          </w:p>
        </w:tc>
        <w:tc>
          <w:tcPr/>
          <w:p>
            <w:pPr>
              <w:pStyle w:val="Compact"/>
            </w:pPr>
            <w:r>
              <w:t xml:space="preserve">Contata 60 secondi, senza dirlo</w:t>
            </w:r>
          </w:p>
        </w:tc>
        <w:tc>
          <w:tcPr/>
          <w:p>
            <w:pPr>
              <w:pStyle w:val="Compact"/>
            </w:pPr>
            <w:r>
              <w:t xml:space="preserve">Scende di qualche atto</w:t>
            </w:r>
          </w:p>
        </w:tc>
        <w:tc>
          <w:tcPr/>
          <w:p>
            <w:pPr>
              <w:pStyle w:val="Compact"/>
            </w:pPr>
            <w:r>
              <w:t xml:space="preserve">Sì</w:t>
            </w:r>
          </w:p>
        </w:tc>
      </w:tr>
      <w:tr>
        <w:tc>
          <w:tcPr/>
          <w:p>
            <w:pPr>
              <w:pStyle w:val="Compact"/>
            </w:pPr>
            <w:r>
              <w:t xml:space="preserve">Giorni di emicrania al mese</w:t>
            </w:r>
          </w:p>
        </w:tc>
        <w:tc>
          <w:tcPr/>
          <w:p>
            <w:pPr>
              <w:pStyle w:val="Compact"/>
            </w:pPr>
            <w:r>
              <w:t xml:space="preserve">Diario, con le mestruazioni segnate</w:t>
            </w:r>
          </w:p>
        </w:tc>
        <w:tc>
          <w:tcPr/>
          <w:p>
            <w:pPr>
              <w:pStyle w:val="Compact"/>
            </w:pPr>
            <w:r>
              <w:t xml:space="preserve">−3 giorni, o dimezzamento</w:t>
            </w:r>
          </w:p>
        </w:tc>
        <w:tc>
          <w:tcPr/>
          <w:p>
            <w:pPr>
              <w:pStyle w:val="Compact"/>
            </w:pPr>
            <w:r>
              <w:t xml:space="preserve">Sì</w:t>
            </w:r>
          </w:p>
        </w:tc>
      </w:tr>
    </w:tbl>
    <w:p>
      <w:pPr>
        <w:pStyle w:val="BodyText"/>
      </w:pPr>
      <w:r>
        <w:rPr>
          <w:b/>
          <w:bCs/>
        </w:rPr>
        <w:t xml:space="preserve">Sulla rotazione in flessione.</w:t>
      </w:r>
      <w:r>
        <w:t xml:space="preserve"> </w:t>
      </w:r>
      <w:r>
        <w:t xml:space="preserve">Si misura per lato, capo in flessione completa.</w:t>
      </w:r>
      <w:r>
        <w:t xml:space="preserve"> </w:t>
      </w:r>
      <w:r>
        <w:rPr>
          <w:b/>
          <w:bCs/>
        </w:rPr>
        <w:t xml:space="preserve">Non usiamo la soglia diagnostica di 32°:</w:t>
      </w:r>
      <w:r>
        <w:t xml:space="preserve"> </w:t>
      </w:r>
      <w:r>
        <w:t xml:space="preserve">quel valore è stato derivato per distinguere la</w:t>
      </w:r>
      <w:r>
        <w:t xml:space="preserve"> </w:t>
      </w:r>
      <w:r>
        <w:rPr>
          <w:b/>
          <w:bCs/>
        </w:rPr>
        <w:t xml:space="preserve">cefalea cervicogenica</w:t>
      </w:r>
      <w:r>
        <w:t xml:space="preserve">, non l’emicrania (Hall,</w:t>
      </w:r>
      <w:r>
        <w:t xml:space="preserve"> </w:t>
      </w:r>
      <w:r>
        <w:rPr>
          <w:i/>
          <w:iCs/>
        </w:rPr>
        <w:t xml:space="preserve">J Man Manip Ther</w:t>
      </w:r>
      <w:r>
        <w:t xml:space="preserve"> </w:t>
      </w:r>
      <w:r>
        <w:t xml:space="preserve">2010, PMID 21886422). Scriverlo in cartella significa scrivere un criterio che punta verso un’altra condizione. Qui vale solo la</w:t>
      </w:r>
      <w:r>
        <w:t xml:space="preserve"> </w:t>
      </w:r>
      <w:r>
        <w:rPr>
          <w:b/>
          <w:bCs/>
        </w:rPr>
        <w:t xml:space="preserve">variazione dentro lo stesso paziente</w:t>
      </w:r>
      <w:r>
        <w:t xml:space="preserve">, e i 10° stanno sopra l’errore di misura del test negli emicranici, che è circa 7° (Oliveira-Souza,</w:t>
      </w:r>
      <w:r>
        <w:t xml:space="preserve"> </w:t>
      </w:r>
      <w:r>
        <w:rPr>
          <w:i/>
          <w:iCs/>
        </w:rPr>
        <w:t xml:space="preserve">Musculoskelet Sci Pract</w:t>
      </w:r>
      <w:r>
        <w:t xml:space="preserve"> </w:t>
      </w:r>
      <w:r>
        <w:t xml:space="preserve">2020, PMID 32861519).</w:t>
      </w:r>
    </w:p>
    <w:p>
      <w:pPr>
        <w:pStyle w:val="BodyText"/>
      </w:pPr>
      <w:r>
        <w:rPr>
          <w:b/>
          <w:bCs/>
        </w:rPr>
        <w:t xml:space="preserve">Sulla riproduzione del dolore.</w:t>
      </w:r>
      <w:r>
        <w:t xml:space="preserve"> </w:t>
      </w:r>
      <w:r>
        <w:t xml:space="preserve">Tenendo la pressione, il dolore riferito scende dentro la stessa applicazione, e scende più in fretta alla terza che alla prima (De Hertogh 2022). È la risposta attesa del test dentro la seduta, non ancora un risultato sul mese.</w:t>
      </w:r>
    </w:p>
    <w:p>
      <w:pPr>
        <w:pStyle w:val="BodyText"/>
      </w:pPr>
      <w:r>
        <w:rPr>
          <w:b/>
          <w:bCs/>
        </w:rPr>
        <w:t xml:space="preserve">Sulla soglia extra-cefalica.</w:t>
      </w:r>
      <w:r>
        <w:t xml:space="preserve"> </w:t>
      </w:r>
      <w:r>
        <w:t xml:space="preserve">Negli emicranici la soglia dolorosa alla pressione risulta più bassa dei sani</w:t>
      </w:r>
      <w:r>
        <w:t xml:space="preserve"> </w:t>
      </w:r>
      <w:r>
        <w:rPr>
          <w:b/>
          <w:bCs/>
        </w:rPr>
        <w:t xml:space="preserve">sulla testa e sul collo, non fuori</w:t>
      </w:r>
      <w:r>
        <w:t xml:space="preserve"> </w:t>
      </w:r>
      <w:r>
        <w:t xml:space="preserve">(Nahman-Averbuch,</w:t>
      </w:r>
      <w:r>
        <w:t xml:space="preserve"> </w:t>
      </w:r>
      <w:r>
        <w:rPr>
          <w:i/>
          <w:iCs/>
        </w:rPr>
        <w:t xml:space="preserve">Pain</w:t>
      </w:r>
      <w:r>
        <w:t xml:space="preserve"> </w:t>
      </w:r>
      <w:r>
        <w:t xml:space="preserve">2018, PMID 29781957; 65 studi). Come marker fuori piano è pulito, ma parte da un valore normale, e chiedergli un +20% è chiedere molto.</w:t>
      </w:r>
      <w:r>
        <w:t xml:space="preserve"> </w:t>
      </w:r>
      <w:r>
        <w:rPr>
          <w:i/>
          <w:iCs/>
        </w:rPr>
        <w:t xml:space="preserve">È una differenza fra gruppi al basale, non la sensibilità della misura al trattamento nello stesso paziente: dice che il margine è stretto, non che la misura sia inutile.</w:t>
      </w:r>
    </w:p>
    <w:p>
      <w:pPr>
        <w:pStyle w:val="BodyText"/>
      </w:pPr>
      <w:r>
        <w:rPr>
          <w:b/>
          <w:bCs/>
        </w:rPr>
        <w:t xml:space="preserve">Sul +20%.</w:t>
      </w:r>
      <w:r>
        <w:t xml:space="preserve"> </w:t>
      </w:r>
      <w:r>
        <w:t xml:space="preserve">È una</w:t>
      </w:r>
      <w:r>
        <w:t xml:space="preserve"> </w:t>
      </w:r>
      <w:r>
        <w:rPr>
          <w:b/>
          <w:bCs/>
        </w:rPr>
        <w:t xml:space="preserve">soglia scelta da noi</w:t>
      </w:r>
      <w:r>
        <w:t xml:space="preserve">, non misurata: si dichiara come convenzione interna.</w:t>
      </w:r>
      <w:r>
        <w:t xml:space="preserve"> </w:t>
      </w:r>
      <w:r>
        <w:rPr>
          <w:b/>
          <w:bCs/>
        </w:rPr>
        <w:t xml:space="preserve">Sull’algometro:</w:t>
      </w:r>
      <w:r>
        <w:t xml:space="preserve"> </w:t>
      </w:r>
      <w:r>
        <w:t xml:space="preserve">è attrezzatura richiesta qui. Senza, l’unico marker fuori piano che resta è il diario, e la finestra passa da una seduta a quattro settimane.</w:t>
      </w:r>
    </w:p>
    <w:p>
      <w:pPr>
        <w:pStyle w:val="BodyText"/>
      </w:pPr>
      <w:r>
        <w:rPr>
          <w:b/>
          <w:bCs/>
        </w:rPr>
        <w:t xml:space="preserve">Quali reperti reggono al variare della fase.</w:t>
      </w:r>
      <w:r>
        <w:t xml:space="preserve"> </w:t>
      </w:r>
      <w:r>
        <w:t xml:space="preserve">Rotazione in flessione, flessione cranio-cervicale, numero di punti trigger e numero di segmenti che riproducono sono alterati in</w:t>
      </w:r>
      <w:r>
        <w:t xml:space="preserve"> </w:t>
      </w:r>
      <w:r>
        <w:rPr>
          <w:b/>
          <w:bCs/>
        </w:rPr>
        <w:t xml:space="preserve">tutte</w:t>
      </w:r>
      <w:r>
        <w:t xml:space="preserve"> </w:t>
      </w:r>
      <w:r>
        <w:t xml:space="preserve">le fasi. L’escursione cervicale e la soglia dolorosa cervicale lo sono solo in fase ictale (Di Antonio,</w:t>
      </w:r>
      <w:r>
        <w:t xml:space="preserve"> </w:t>
      </w:r>
      <w:r>
        <w:rPr>
          <w:i/>
          <w:iCs/>
        </w:rPr>
        <w:t xml:space="preserve">Cephalalgia</w:t>
      </w:r>
      <w:r>
        <w:t xml:space="preserve"> </w:t>
      </w:r>
      <w:r>
        <w:t xml:space="preserve">2022, PMID 35332826).</w:t>
      </w:r>
      <w:r>
        <w:t xml:space="preserve"> </w:t>
      </w:r>
      <w:r>
        <w:rPr>
          <w:b/>
          <w:bCs/>
        </w:rPr>
        <w:t xml:space="preserve">La soglia dolorosa è la misura più sensibile al trattamento e la meno stabile.</w:t>
      </w:r>
    </w:p>
    <w:p>
      <w:pPr>
        <w:pStyle w:val="BodyText"/>
      </w:pPr>
      <w:r>
        <w:rPr>
          <w:b/>
          <w:bCs/>
        </w:rPr>
        <w:t xml:space="preserve">Per te:</w:t>
      </w:r>
      <w:r>
        <w:t xml:space="preserve"> </w:t>
      </w:r>
      <w:r>
        <w:t xml:space="preserve">la soglia del temporale è l’unica con una base misurata, e quella base ha un limite. Il gruppo di controllo riceveva solo il farmaco, senza finto trattamento né tempo dedicato equivalente (Bevilaqua-Grossi 2016). La soglia si è mossa; quanto di quel movimento sia dell’aspettativa, quello studio non può dirlo.</w:t>
      </w:r>
    </w:p>
    <w:bookmarkEnd w:id="49"/>
    <w:bookmarkStart w:id="50" w:name="la-road-map"/>
    <w:p>
      <w:pPr>
        <w:pStyle w:val="Heading3"/>
      </w:pPr>
      <w:r>
        <w:t xml:space="preserve">La Road Map</w:t>
      </w:r>
    </w:p>
    <w:p>
      <w:pPr>
        <w:pStyle w:val="FirstParagraph"/>
      </w:pPr>
      <w:r>
        <w:t xml:space="preserve">Le prime tre domande sono di sicurezza e di leggibilità del risultato. Le successive seguono l’ordine di comando.</w:t>
      </w:r>
    </w:p>
    <w:p>
      <w:pPr>
        <w:pStyle w:val="Compact"/>
        <w:numPr>
          <w:ilvl w:val="0"/>
          <w:numId w:val="1020"/>
        </w:numPr>
      </w:pPr>
      <w:r>
        <w:rPr>
          <w:b/>
          <w:bCs/>
        </w:rPr>
        <w:t xml:space="preserve">C’è una bandiera rossa?</w:t>
      </w:r>
      <w:r>
        <w:t xml:space="preserve"> </w:t>
      </w:r>
      <w:r>
        <w:t xml:space="preserve">Se sì — con l’unica eccezione della riga sui sintomatici dieci o più giorni al mese — si esce dal capitolo che segue, e il resto non si applica.</w:t>
      </w:r>
    </w:p>
    <w:p>
      <w:pPr>
        <w:pStyle w:val="Compact"/>
        <w:numPr>
          <w:ilvl w:val="0"/>
          <w:numId w:val="1020"/>
        </w:numPr>
      </w:pPr>
      <w:r>
        <w:rPr>
          <w:b/>
          <w:bCs/>
        </w:rPr>
        <w:t xml:space="preserve">Quanti giorni al mese prende qualcosa per la testa?</w:t>
      </w:r>
      <w:r>
        <w:t xml:space="preserve"> </w:t>
      </w:r>
      <w:r>
        <w:t xml:space="preserve">Se dieci o più, il canale medico è prioritario e il tuo lavoro è dichiaratamente parallelo.</w:t>
      </w:r>
    </w:p>
    <w:p>
      <w:pPr>
        <w:pStyle w:val="Compact"/>
        <w:numPr>
          <w:ilvl w:val="0"/>
          <w:numId w:val="1020"/>
        </w:numPr>
      </w:pPr>
      <w:r>
        <w:rPr>
          <w:b/>
          <w:bCs/>
        </w:rPr>
        <w:t xml:space="preserve">Quale profilassi prende, da quando, ed è cambiata dentro la finestra di verifica?</w:t>
      </w:r>
      <w:r>
        <w:t xml:space="preserve"> </w:t>
      </w:r>
      <w:r>
        <w:t xml:space="preserve">Se è cambiata, il diario non è interpretabile.</w:t>
      </w:r>
    </w:p>
    <w:p>
      <w:pPr>
        <w:pStyle w:val="Compact"/>
        <w:numPr>
          <w:ilvl w:val="0"/>
          <w:numId w:val="1020"/>
        </w:numPr>
      </w:pPr>
      <w:r>
        <w:rPr>
          <w:b/>
          <w:bCs/>
        </w:rPr>
        <w:t xml:space="preserve">Comanda il ritmo o l’attivazione?</w:t>
      </w:r>
      <w:r>
        <w:t xml:space="preserve"> </w:t>
      </w:r>
      <w:r>
        <w:t xml:space="preserve">Sonno, digiuno, attacchi da rilascio, ipervigilanza, segni nociplastici. Se sì, la leva principale è quella che si insegna.</w:t>
      </w:r>
      <w:r>
        <w:t xml:space="preserve"> </w:t>
      </w:r>
      <w:r>
        <w:rPr>
          <w:b/>
          <w:bCs/>
        </w:rPr>
        <w:t xml:space="preserve">4-bis. Che spiegazione ha ricevuto finora, e cosa si aspetta da te?</w:t>
      </w:r>
      <w:r>
        <w:t xml:space="preserve"> </w:t>
      </w:r>
      <w:r>
        <w:t xml:space="preserve">È il piano con i dati migliori: se qui c’è un vuoto, la prima leva è quello che dici mentre lavori, non dove metti le mani.</w:t>
      </w:r>
    </w:p>
    <w:p>
      <w:pPr>
        <w:pStyle w:val="Compact"/>
        <w:numPr>
          <w:ilvl w:val="0"/>
          <w:numId w:val="1020"/>
        </w:numPr>
      </w:pPr>
      <w:r>
        <w:rPr>
          <w:b/>
          <w:bCs/>
        </w:rPr>
        <w:t xml:space="preserve">Ci sono punti trigger attivi dal lato del mal di testa, e la mandibola partecipa?</w:t>
      </w:r>
    </w:p>
    <w:p>
      <w:pPr>
        <w:pStyle w:val="Compact"/>
        <w:numPr>
          <w:ilvl w:val="0"/>
          <w:numId w:val="1020"/>
        </w:numPr>
      </w:pPr>
      <w:r>
        <w:rPr>
          <w:b/>
          <w:bCs/>
        </w:rPr>
        <w:t xml:space="preserve">La pressione sostenuta sui segmenti cervicali alti sposta il dolore in testa?</w:t>
      </w:r>
      <w:r>
        <w:t xml:space="preserve"> </w:t>
      </w:r>
      <w:r>
        <w:rPr>
          <w:i/>
          <w:iCs/>
        </w:rPr>
        <w:t xml:space="preserve">(Stratificazione: dice quanto è promettente il piano più basso, non che comandi — e nemmeno che il paziente sia malato: riferisce in testa anche più della metà dei controlli sani.)</w:t>
      </w:r>
    </w:p>
    <w:p>
      <w:pPr>
        <w:pStyle w:val="Compact"/>
        <w:numPr>
          <w:ilvl w:val="0"/>
          <w:numId w:val="1020"/>
        </w:numPr>
      </w:pPr>
      <w:r>
        <w:rPr>
          <w:b/>
          <w:bCs/>
        </w:rPr>
        <w:t xml:space="preserve">In che punto del ciclo sta oggi, e cosa misuri prima di toccare?</w:t>
      </w:r>
    </w:p>
    <w:p>
      <w:pPr>
        <w:pStyle w:val="FirstParagraph"/>
      </w:pPr>
      <w:r>
        <w:rPr>
          <w:b/>
          <w:bCs/>
        </w:rPr>
        <w:t xml:space="preserve">Quando più domande rispondono sì — ed è il caso frequente.</w:t>
      </w:r>
      <w:r>
        <w:t xml:space="preserve"> </w:t>
      </w:r>
      <w:r>
        <w:t xml:space="preserve">Non tratti tutto, e non scegli quello che ti riesce meglio.</w:t>
      </w:r>
      <w:r>
        <w:t xml:space="preserve"> </w:t>
      </w:r>
      <w:r>
        <w:rPr>
          <w:b/>
          <w:bCs/>
        </w:rPr>
        <w:t xml:space="preserve">Agisci sul piano più alto fra quelli risultati positivi, e usi un piano più basso come marker.</w:t>
      </w:r>
    </w:p>
    <w:bookmarkEnd w:id="50"/>
    <w:bookmarkStart w:id="51" w:name="i-tre-stati-del-paziente"/>
    <w:p>
      <w:pPr>
        <w:pStyle w:val="Heading3"/>
      </w:pPr>
      <w:r>
        <w:t xml:space="preserve">I tre stati del paziente</w:t>
      </w:r>
    </w:p>
    <w:p>
      <w:pPr>
        <w:pStyle w:val="FirstParagraph"/>
      </w:pPr>
      <w:r>
        <w:rPr>
          <w:b/>
          <w:bCs/>
        </w:rPr>
        <w:t xml:space="preserve">In difesa.</w:t>
      </w:r>
      <w:r>
        <w:t xml:space="preserve"> </w:t>
      </w:r>
      <w:r>
        <w:t xml:space="preserve">Parla al bisogno di sicurezza: la frase che apre è</w:t>
      </w:r>
      <w:r>
        <w:t xml:space="preserve"> </w:t>
      </w:r>
      <w:r>
        <w:rPr>
          <w:i/>
          <w:iCs/>
        </w:rPr>
        <w:t xml:space="preserve">“non le prometto che gli attacchi spariscano”</w:t>
      </w:r>
      <w:r>
        <w:t xml:space="preserve">.</w:t>
      </w:r>
    </w:p>
    <w:p>
      <w:pPr>
        <w:pStyle w:val="BodyText"/>
      </w:pPr>
      <w:r>
        <w:rPr>
          <w:b/>
          <w:bCs/>
        </w:rPr>
        <w:t xml:space="preserve">Emotivo.</w:t>
      </w:r>
      <w:r>
        <w:t xml:space="preserve"> </w:t>
      </w:r>
      <w:r>
        <w:t xml:space="preserve">Racconta i giorni persi, i figli, il lavoro.</w:t>
      </w:r>
      <w:r>
        <w:t xml:space="preserve"> </w:t>
      </w:r>
      <w:r>
        <w:rPr>
          <w:b/>
          <w:bCs/>
        </w:rPr>
        <w:t xml:space="preserve">Prima di qualunque test lo lasci finire e gli restituisci le sue parole.</w:t>
      </w:r>
      <w:r>
        <w:t xml:space="preserve"> </w:t>
      </w:r>
      <w:r>
        <w:t xml:space="preserve">Poi gli dai l’informazione che accompagna il gesto: è</w:t>
      </w:r>
      <w:r>
        <w:t xml:space="preserve"> </w:t>
      </w:r>
      <w:r>
        <w:rPr>
          <w:b/>
          <w:bCs/>
        </w:rPr>
        <w:t xml:space="preserve">l’informazione</w:t>
      </w:r>
      <w:r>
        <w:t xml:space="preserve">, non l’ascolto in sé, la parte che il capitolo precedente dichiara DIMOSTRATA.</w:t>
      </w:r>
    </w:p>
    <w:p>
      <w:pPr>
        <w:pStyle w:val="BodyText"/>
      </w:pPr>
      <w:r>
        <w:rPr>
          <w:b/>
          <w:bCs/>
        </w:rPr>
        <w:t xml:space="preserve">Razionale.</w:t>
      </w:r>
      <w:r>
        <w:t xml:space="preserve"> </w:t>
      </w:r>
      <w:r>
        <w:t xml:space="preserve">Mostragli il test di riproduzione prima e dopo, e digli l’etichetta di ogni cosa che affermi.</w:t>
      </w:r>
    </w:p>
    <w:p>
      <w:pPr>
        <w:pStyle w:val="BlockText"/>
      </w:pPr>
      <w:r>
        <w:rPr>
          <w:b/>
          <w:bCs/>
        </w:rPr>
        <w:t xml:space="preserve">Attenzione.</w:t>
      </w:r>
      <w:r>
        <w:t xml:space="preserve"> </w:t>
      </w:r>
      <w:r>
        <w:t xml:space="preserve">Le frasi di resa e il ritiro non sono sempre un registro comunicativo. Emicrania e depressione sono comorbide nelle due direzioni (Breslau,</w:t>
      </w:r>
      <w:r>
        <w:t xml:space="preserve"> </w:t>
      </w:r>
      <w:r>
        <w:rPr>
          <w:i/>
          <w:iCs/>
        </w:rPr>
        <w:t xml:space="preserve">Neurology</w:t>
      </w:r>
      <w:r>
        <w:t xml:space="preserve"> </w:t>
      </w:r>
      <w:r>
        <w:t xml:space="preserve">2003, PMID 12707434), e la depressione è anche un effetto avverso noto di una delle profilassi che questi pazienti prendono.</w:t>
      </w:r>
      <w:r>
        <w:t xml:space="preserve"> </w:t>
      </w:r>
      <w:r>
        <w:rPr>
          <w:b/>
          <w:bCs/>
        </w:rPr>
        <w:t xml:space="preserve">Non interpreti e non indaghi: annoti quello che la persona ha detto, con le sue parole, e lo metti nella comunicazione al curante.</w:t>
      </w:r>
    </w:p>
    <w:p>
      <w:pPr>
        <w:pStyle w:val="FirstParagraph"/>
      </w:pPr>
      <w:r>
        <w:rPr>
          <w:b/>
          <w:bCs/>
        </w:rPr>
        <w:t xml:space="preserve">Le tre cose da ricordare, più una</w:t>
      </w:r>
    </w:p>
    <w:p>
      <w:pPr>
        <w:pStyle w:val="Compact"/>
        <w:numPr>
          <w:ilvl w:val="0"/>
          <w:numId w:val="1021"/>
        </w:numPr>
      </w:pPr>
      <w:r>
        <w:t xml:space="preserve">La prima domanda non è dove tratti: è se questo paziente ha un ingresso periferico che conta.</w:t>
      </w:r>
    </w:p>
    <w:p>
      <w:pPr>
        <w:pStyle w:val="Compact"/>
        <w:numPr>
          <w:ilvl w:val="0"/>
          <w:numId w:val="1021"/>
        </w:numPr>
      </w:pPr>
      <w:r>
        <w:t xml:space="preserve">Quale marker è fuori piano dipende da cosa hai toccato, non dalla condizione.</w:t>
      </w:r>
    </w:p>
    <w:p>
      <w:pPr>
        <w:pStyle w:val="Compact"/>
        <w:numPr>
          <w:ilvl w:val="0"/>
          <w:numId w:val="1021"/>
        </w:numPr>
      </w:pPr>
      <w:r>
        <w:t xml:space="preserve">Con più piani positivi, agisci su quello più alto e usi quello più basso come marker.</w:t>
      </w:r>
    </w:p>
    <w:p>
      <w:pPr>
        <w:pStyle w:val="Compact"/>
        <w:numPr>
          <w:ilvl w:val="0"/>
          <w:numId w:val="1021"/>
        </w:numPr>
      </w:pPr>
      <w:r>
        <w:rPr>
          <w:b/>
          <w:bCs/>
        </w:rPr>
        <w:t xml:space="preserve">Perché ci sei tu.</w:t>
      </w:r>
      <w:r>
        <w:t xml:space="preserve"> </w:t>
      </w:r>
      <w:r>
        <w:t xml:space="preserve">La palpazione dei segmenti cervicali alti separa gli emicranici in tre gruppi in un minuto (Luedtke &amp; May,</w:t>
      </w:r>
      <w:r>
        <w:t xml:space="preserve"> </w:t>
      </w:r>
      <w:r>
        <w:rPr>
          <w:i/>
          <w:iCs/>
        </w:rPr>
        <w:t xml:space="preserve">J Headache Pain</w:t>
      </w:r>
      <w:r>
        <w:t xml:space="preserve"> </w:t>
      </w:r>
      <w:r>
        <w:t xml:space="preserve">2017, PMID 28952052). Questo ti autorizza a stratificare prima di decidere. Non ti autorizza a trasformare quel gruppo in una diagnosi: è un reperto, non un’etichetta clinica.</w:t>
      </w:r>
    </w:p>
    <w:p>
      <w:r>
        <w:pict>
          <v:rect style="width:0;height:1.5pt" o:hralign="center" o:hrstd="t" o:hr="t"/>
        </w:pict>
      </w:r>
    </w:p>
    <w:bookmarkEnd w:id="51"/>
    <w:bookmarkEnd w:id="52"/>
    <w:bookmarkStart w:id="59"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l’emicrania è essa stessa un fattore di rischio per la dissecazione dell’arteria cervicale, e questa singola frase cambia come scegli una tecnica su questo paziente.</w:t>
      </w:r>
    </w:p>
    <w:bookmarkStart w:id="53" w:name="le-bandiere-rosse"/>
    <w:p>
      <w:pPr>
        <w:pStyle w:val="Heading3"/>
      </w:pPr>
      <w:r>
        <w:t xml:space="preserve">Le bandiere rosse</w:t>
      </w:r>
    </w:p>
    <w:p>
      <w:pPr>
        <w:pStyle w:val="FirstParagraph"/>
      </w:pPr>
      <w:r>
        <w:t xml:space="preserve">La lista di riferimento è la SNNOOP10 (Do,</w:t>
      </w:r>
      <w:r>
        <w:t xml:space="preserve"> </w:t>
      </w:r>
      <w:r>
        <w:rPr>
          <w:i/>
          <w:iCs/>
        </w:rPr>
        <w:t xml:space="preserve">Neurology</w:t>
      </w:r>
      <w:r>
        <w:t xml:space="preserve"> </w:t>
      </w:r>
      <w:r>
        <w:t xml:space="preserve">2019, PMID 30587518). La tabella la riprende per intero, tranne il papilledema, che non è valutabile con le nostre mani. E aggiunge i segni della dissecazione arteriosa.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Dolore esplosivo al massimo in un minuto</w:t>
            </w:r>
          </w:p>
        </w:tc>
        <w:tc>
          <w:tcPr/>
          <w:p>
            <w:pPr>
              <w:pStyle w:val="Compact"/>
            </w:pPr>
            <w:r>
              <w:t xml:space="preserve">Pronto soccorso</w:t>
            </w:r>
          </w:p>
        </w:tc>
        <w:tc>
          <w:tcPr/>
          <w:p>
            <w:pPr>
              <w:pStyle w:val="Compact"/>
            </w:pPr>
            <w:r>
              <w:t xml:space="preserve">112</w:t>
            </w:r>
          </w:p>
        </w:tc>
      </w:tr>
      <w:tr>
        <w:tc>
          <w:tcPr/>
          <w:p>
            <w:pPr>
              <w:pStyle w:val="Compact"/>
            </w:pPr>
            <w:r>
              <w:t xml:space="preserve">Deficit neurologico o coscienza alterata</w:t>
            </w:r>
          </w:p>
        </w:tc>
        <w:tc>
          <w:tcPr/>
          <w:p>
            <w:pPr>
              <w:pStyle w:val="Compact"/>
            </w:pPr>
            <w:r>
              <w:t xml:space="preserve">Pronto soccorso</w:t>
            </w:r>
          </w:p>
        </w:tc>
        <w:tc>
          <w:tcPr/>
          <w:p>
            <w:pPr>
              <w:pStyle w:val="Compact"/>
            </w:pPr>
            <w:r>
              <w:t xml:space="preserve">112</w:t>
            </w:r>
          </w:p>
        </w:tc>
      </w:tr>
      <w:tr>
        <w:tc>
          <w:tcPr/>
          <w:p>
            <w:pPr>
              <w:pStyle w:val="Compact"/>
            </w:pPr>
            <w:r>
              <w:t xml:space="preserve">Febbre o altri sintomi sistemici, con cefalea nuova</w:t>
            </w:r>
          </w:p>
        </w:tc>
        <w:tc>
          <w:tcPr/>
          <w:p>
            <w:pPr>
              <w:pStyle w:val="Compact"/>
            </w:pPr>
            <w:r>
              <w:t xml:space="preserve">Pronto soccorso o curante</w:t>
            </w:r>
          </w:p>
        </w:tc>
        <w:tc>
          <w:tcPr/>
          <w:p>
            <w:pPr>
              <w:pStyle w:val="Compact"/>
            </w:pPr>
            <w:r>
              <w:t xml:space="preserve">Urgente</w:t>
            </w:r>
          </w:p>
        </w:tc>
      </w:tr>
      <w:tr>
        <w:tc>
          <w:tcPr/>
          <w:p>
            <w:pPr>
              <w:pStyle w:val="Compact"/>
            </w:pPr>
            <w:r>
              <w:t xml:space="preserve">Aura oltre un’ora, o deficit che resta</w:t>
            </w:r>
          </w:p>
        </w:tc>
        <w:tc>
          <w:tcPr/>
          <w:p>
            <w:pPr>
              <w:pStyle w:val="Compact"/>
            </w:pPr>
            <w:r>
              <w:t xml:space="preserve">Pronto soccorso</w:t>
            </w:r>
          </w:p>
        </w:tc>
        <w:tc>
          <w:tcPr/>
          <w:p>
            <w:pPr>
              <w:pStyle w:val="Compact"/>
            </w:pPr>
            <w:r>
              <w:t xml:space="preserve">112</w:t>
            </w:r>
          </w:p>
        </w:tc>
      </w:tr>
      <w:tr>
        <w:tc>
          <w:tcPr/>
          <w:p>
            <w:pPr>
              <w:pStyle w:val="Compact"/>
            </w:pPr>
            <w:r>
              <w:t xml:space="preserve">Dolore al collo diverso da ogni precedente</w:t>
            </w:r>
          </w:p>
        </w:tc>
        <w:tc>
          <w:tcPr/>
          <w:p>
            <w:pPr>
              <w:pStyle w:val="Compact"/>
            </w:pPr>
            <w:r>
              <w:t xml:space="preserve">Pronto soccorso</w:t>
            </w:r>
          </w:p>
        </w:tc>
        <w:tc>
          <w:tcPr/>
          <w:p>
            <w:pPr>
              <w:pStyle w:val="Compact"/>
            </w:pPr>
            <w:r>
              <w:t xml:space="preserve">Urgente</w:t>
            </w:r>
          </w:p>
        </w:tc>
      </w:tr>
      <w:tr>
        <w:tc>
          <w:tcPr/>
          <w:p>
            <w:pPr>
              <w:pStyle w:val="Compact"/>
            </w:pPr>
            <w:r>
              <w:t xml:space="preserve">Palpebra che cade e pupilla piccola, stesso lato</w:t>
            </w:r>
          </w:p>
        </w:tc>
        <w:tc>
          <w:tcPr/>
          <w:p>
            <w:pPr>
              <w:pStyle w:val="Compact"/>
            </w:pPr>
            <w:r>
              <w:t xml:space="preserve">Pronto soccorso</w:t>
            </w:r>
          </w:p>
        </w:tc>
        <w:tc>
          <w:tcPr/>
          <w:p>
            <w:pPr>
              <w:pStyle w:val="Compact"/>
            </w:pPr>
            <w:r>
              <w:t xml:space="preserve">112</w:t>
            </w:r>
          </w:p>
        </w:tc>
      </w:tr>
      <w:tr>
        <w:tc>
          <w:tcPr/>
          <w:p>
            <w:pPr>
              <w:pStyle w:val="Compact"/>
            </w:pPr>
            <w:r>
              <w:t xml:space="preserve">Fischio pulsante nell’orecchio, comparso adesso</w:t>
            </w:r>
          </w:p>
        </w:tc>
        <w:tc>
          <w:tcPr/>
          <w:p>
            <w:pPr>
              <w:pStyle w:val="Compact"/>
            </w:pPr>
            <w:r>
              <w:t xml:space="preserve">Pronto soccorso</w:t>
            </w:r>
          </w:p>
        </w:tc>
        <w:tc>
          <w:tcPr/>
          <w:p>
            <w:pPr>
              <w:pStyle w:val="Compact"/>
            </w:pPr>
            <w:r>
              <w:t xml:space="preserve">112</w:t>
            </w:r>
          </w:p>
        </w:tc>
      </w:tr>
      <w:tr>
        <w:tc>
          <w:tcPr/>
          <w:p>
            <w:pPr>
              <w:pStyle w:val="Compact"/>
            </w:pPr>
            <w:r>
              <w:t xml:space="preserve">Perdita di vista da un occhio, anche transitoria</w:t>
            </w:r>
          </w:p>
        </w:tc>
        <w:tc>
          <w:tcPr/>
          <w:p>
            <w:pPr>
              <w:pStyle w:val="Compact"/>
            </w:pPr>
            <w:r>
              <w:t xml:space="preserve">Pronto soccorso</w:t>
            </w:r>
          </w:p>
        </w:tc>
        <w:tc>
          <w:tcPr/>
          <w:p>
            <w:pPr>
              <w:pStyle w:val="Compact"/>
            </w:pPr>
            <w:r>
              <w:t xml:space="preserve">112</w:t>
            </w:r>
          </w:p>
        </w:tc>
      </w:tr>
      <w:tr>
        <w:tc>
          <w:tcPr/>
          <w:p>
            <w:pPr>
              <w:pStyle w:val="Compact"/>
            </w:pPr>
            <w:r>
              <w:t xml:space="preserve">Voce, deglutizione o lingua cambiate</w:t>
            </w:r>
          </w:p>
        </w:tc>
        <w:tc>
          <w:tcPr/>
          <w:p>
            <w:pPr>
              <w:pStyle w:val="Compact"/>
            </w:pPr>
            <w:r>
              <w:t xml:space="preserve">Pronto soccorso</w:t>
            </w:r>
          </w:p>
        </w:tc>
        <w:tc>
          <w:tcPr/>
          <w:p>
            <w:pPr>
              <w:pStyle w:val="Compact"/>
            </w:pPr>
            <w:r>
              <w:t xml:space="preserve">112</w:t>
            </w:r>
          </w:p>
        </w:tc>
      </w:tr>
      <w:tr>
        <w:tc>
          <w:tcPr/>
          <w:p>
            <w:pPr>
              <w:pStyle w:val="Compact"/>
            </w:pPr>
            <w:r>
              <w:t xml:space="preserve">Occhio rosso e dolente, calo del visus, aloni</w:t>
            </w:r>
          </w:p>
        </w:tc>
        <w:tc>
          <w:tcPr/>
          <w:p>
            <w:pPr>
              <w:pStyle w:val="Compact"/>
            </w:pPr>
            <w:r>
              <w:t xml:space="preserve">Pronto soccorso oculistico</w:t>
            </w:r>
          </w:p>
        </w:tc>
        <w:tc>
          <w:tcPr/>
          <w:p>
            <w:pPr>
              <w:pStyle w:val="Compact"/>
            </w:pPr>
            <w:r>
              <w:t xml:space="preserve">Urgente</w:t>
            </w:r>
          </w:p>
        </w:tc>
      </w:tr>
      <w:tr>
        <w:tc>
          <w:tcPr/>
          <w:p>
            <w:pPr>
              <w:pStyle w:val="Compact"/>
            </w:pPr>
            <w:r>
              <w:t xml:space="preserve">Over-50: tempia dolente, dolore masticando, vista offuscata</w:t>
            </w:r>
          </w:p>
        </w:tc>
        <w:tc>
          <w:tcPr/>
          <w:p>
            <w:pPr>
              <w:pStyle w:val="Compact"/>
            </w:pPr>
            <w:r>
              <w:t xml:space="preserve">Pronto soccorso o oculista</w:t>
            </w:r>
          </w:p>
        </w:tc>
        <w:tc>
          <w:tcPr/>
          <w:p>
            <w:pPr>
              <w:pStyle w:val="Compact"/>
            </w:pPr>
            <w:r>
              <w:t xml:space="preserve">Urgente; 112 se cala il visus</w:t>
            </w:r>
          </w:p>
        </w:tc>
      </w:tr>
      <w:tr>
        <w:tc>
          <w:tcPr/>
          <w:p>
            <w:pPr>
              <w:pStyle w:val="Compact"/>
            </w:pPr>
            <w:r>
              <w:t xml:space="preserve">Over-65 o anticoagulato, cefalea nuova o ingravescente</w:t>
            </w:r>
          </w:p>
        </w:tc>
        <w:tc>
          <w:tcPr/>
          <w:p>
            <w:pPr>
              <w:pStyle w:val="Compact"/>
            </w:pPr>
            <w:r>
              <w:t xml:space="preserve">Curante o pronto soccorso</w:t>
            </w:r>
          </w:p>
        </w:tc>
        <w:tc>
          <w:tcPr/>
          <w:p>
            <w:pPr>
              <w:pStyle w:val="Compact"/>
            </w:pPr>
            <w:r>
              <w:t xml:space="preserve">Urgente</w:t>
            </w:r>
          </w:p>
        </w:tc>
      </w:tr>
      <w:tr>
        <w:tc>
          <w:tcPr/>
          <w:p>
            <w:pPr>
              <w:pStyle w:val="Compact"/>
            </w:pPr>
            <w:r>
              <w:t xml:space="preserve">Cefalea scatenata da tosse, starnuto o sforzo</w:t>
            </w:r>
          </w:p>
        </w:tc>
        <w:tc>
          <w:tcPr/>
          <w:p>
            <w:pPr>
              <w:pStyle w:val="Compact"/>
            </w:pPr>
            <w:r>
              <w:t xml:space="preserve">Curante, via neurologica</w:t>
            </w:r>
          </w:p>
        </w:tc>
        <w:tc>
          <w:tcPr/>
          <w:p>
            <w:pPr>
              <w:pStyle w:val="Compact"/>
            </w:pPr>
            <w:r>
              <w:t xml:space="preserve">Invio, non attendere</w:t>
            </w:r>
          </w:p>
        </w:tc>
      </w:tr>
      <w:tr>
        <w:tc>
          <w:tcPr/>
          <w:p>
            <w:pPr>
              <w:pStyle w:val="Compact"/>
            </w:pPr>
            <w:r>
              <w:t xml:space="preserve">Peggiora sdraiandosi, o alzandosi in piedi</w:t>
            </w:r>
          </w:p>
        </w:tc>
        <w:tc>
          <w:tcPr/>
          <w:p>
            <w:pPr>
              <w:pStyle w:val="Compact"/>
            </w:pPr>
            <w:r>
              <w:t xml:space="preserve">Curante, via neurologica</w:t>
            </w:r>
          </w:p>
        </w:tc>
        <w:tc>
          <w:tcPr/>
          <w:p>
            <w:pPr>
              <w:pStyle w:val="Compact"/>
            </w:pPr>
            <w:r>
              <w:t xml:space="preserve">Invio, non attendere</w:t>
            </w:r>
          </w:p>
        </w:tc>
      </w:tr>
      <w:tr>
        <w:tc>
          <w:tcPr/>
          <w:p>
            <w:pPr>
              <w:pStyle w:val="Compact"/>
            </w:pPr>
            <w:r>
              <w:t xml:space="preserve">Prima cefalea comparsa dopo i cinquant’anni</w:t>
            </w:r>
          </w:p>
        </w:tc>
        <w:tc>
          <w:tcPr/>
          <w:p>
            <w:pPr>
              <w:pStyle w:val="Compact"/>
            </w:pPr>
            <w:r>
              <w:t xml:space="preserve">Curante</w:t>
            </w:r>
          </w:p>
        </w:tc>
        <w:tc>
          <w:tcPr/>
          <w:p>
            <w:pPr>
              <w:pStyle w:val="Compact"/>
            </w:pPr>
            <w:r>
              <w:t xml:space="preserve">Invio, non attendere</w:t>
            </w:r>
          </w:p>
        </w:tc>
      </w:tr>
      <w:tr>
        <w:tc>
          <w:tcPr/>
          <w:p>
            <w:pPr>
              <w:pStyle w:val="Compact"/>
            </w:pPr>
            <w:r>
              <w:t xml:space="preserve">Cambio di forma, sede o frequenza</w:t>
            </w:r>
          </w:p>
        </w:tc>
        <w:tc>
          <w:tcPr/>
          <w:p>
            <w:pPr>
              <w:pStyle w:val="Compact"/>
            </w:pPr>
            <w:r>
              <w:t xml:space="preserve">Curante o neurologo</w:t>
            </w:r>
          </w:p>
        </w:tc>
        <w:tc>
          <w:tcPr/>
          <w:p>
            <w:pPr>
              <w:pStyle w:val="Compact"/>
            </w:pPr>
            <w:r>
              <w:t xml:space="preserve">Invio, non attendere</w:t>
            </w:r>
          </w:p>
        </w:tc>
      </w:tr>
      <w:tr>
        <w:tc>
          <w:tcPr/>
          <w:p>
            <w:pPr>
              <w:pStyle w:val="Compact"/>
            </w:pPr>
            <w:r>
              <w:t xml:space="preserve">Cefalea in gravidanza o dopo il parto</w:t>
            </w:r>
          </w:p>
        </w:tc>
        <w:tc>
          <w:tcPr/>
          <w:p>
            <w:pPr>
              <w:pStyle w:val="Compact"/>
            </w:pPr>
            <w:r>
              <w:t xml:space="preserve">Curante</w:t>
            </w:r>
          </w:p>
        </w:tc>
        <w:tc>
          <w:tcPr/>
          <w:p>
            <w:pPr>
              <w:pStyle w:val="Compact"/>
            </w:pPr>
            <w:r>
              <w:t xml:space="preserve">Invio, non attendere</w:t>
            </w:r>
          </w:p>
        </w:tc>
      </w:tr>
      <w:tr>
        <w:tc>
          <w:tcPr/>
          <w:p>
            <w:pPr>
              <w:pStyle w:val="Compact"/>
            </w:pPr>
            <w:r>
              <w:t xml:space="preserve">Storia oncologica, o difese immunitarie ridotte</w:t>
            </w:r>
          </w:p>
        </w:tc>
        <w:tc>
          <w:tcPr/>
          <w:p>
            <w:pPr>
              <w:pStyle w:val="Compact"/>
            </w:pPr>
            <w:r>
              <w:t xml:space="preserve">Curante</w:t>
            </w:r>
          </w:p>
        </w:tc>
        <w:tc>
          <w:tcPr/>
          <w:p>
            <w:pPr>
              <w:pStyle w:val="Compact"/>
            </w:pPr>
            <w:r>
              <w:t xml:space="preserve">Invio, non attendere</w:t>
            </w:r>
          </w:p>
        </w:tc>
      </w:tr>
      <w:tr>
        <w:tc>
          <w:tcPr/>
          <w:p>
            <w:pPr>
              <w:pStyle w:val="Compact"/>
            </w:pPr>
            <w:r>
              <w:t xml:space="preserve">Cefalea comparsa dopo trauma cranico</w:t>
            </w:r>
          </w:p>
        </w:tc>
        <w:tc>
          <w:tcPr/>
          <w:p>
            <w:pPr>
              <w:pStyle w:val="Compact"/>
            </w:pPr>
            <w:r>
              <w:t xml:space="preserve">Curante</w:t>
            </w:r>
          </w:p>
        </w:tc>
        <w:tc>
          <w:tcPr/>
          <w:p>
            <w:pPr>
              <w:pStyle w:val="Compact"/>
            </w:pPr>
            <w:r>
              <w:t xml:space="preserve">Invio</w:t>
            </w:r>
          </w:p>
        </w:tc>
      </w:tr>
      <w:tr>
        <w:tc>
          <w:tcPr/>
          <w:p>
            <w:pPr>
              <w:pStyle w:val="Compact"/>
            </w:pPr>
            <w:r>
              <w:t xml:space="preserve">Sintomatici dieci o più giorni al mese</w:t>
            </w:r>
          </w:p>
        </w:tc>
        <w:tc>
          <w:tcPr/>
          <w:p>
            <w:pPr>
              <w:pStyle w:val="Compact"/>
            </w:pPr>
            <w:r>
              <w:t xml:space="preserve">Curante o neurologo</w:t>
            </w:r>
          </w:p>
        </w:tc>
        <w:tc>
          <w:tcPr/>
          <w:p>
            <w:pPr>
              <w:pStyle w:val="Compact"/>
            </w:pPr>
            <w:r>
              <w:t xml:space="preserve">Invio programmato</w:t>
            </w:r>
          </w:p>
        </w:tc>
      </w:tr>
    </w:tbl>
    <w:p>
      <w:pPr>
        <w:pStyle w:val="BodyText"/>
      </w:pPr>
      <w:r>
        <w:rPr>
          <w:b/>
          <w:bCs/>
        </w:rPr>
        <w:t xml:space="preserve">Una riga di questa tabella non porta all’uscita ROSSO ma al GIALLO con canale medico prioritario.</w:t>
      </w:r>
      <w:r>
        <w:t xml:space="preserve"> </w:t>
      </w:r>
      <w:r>
        <w:t xml:space="preserve">I sintomatici dieci o più giorni al mese sono un invio programmato, non uno stop. Nel frattempo il reperto cervicale documentato resta un bersaglio secondario dichiarato.</w:t>
      </w:r>
    </w:p>
    <w:p>
      <w:pPr>
        <w:pStyle w:val="BodyText"/>
      </w:pPr>
      <w:r>
        <w:t xml:space="preserve">In pronto soccorso, su 100 pazienti con cefalea, la lista ha individuato tutte le cefalee ad alto rischio: sensibilità del 100% (García-Azorín,</w:t>
      </w:r>
      <w:r>
        <w:t xml:space="preserve"> </w:t>
      </w:r>
      <w:r>
        <w:rPr>
          <w:i/>
          <w:iCs/>
        </w:rPr>
        <w:t xml:space="preserve">Cephalalgia</w:t>
      </w:r>
      <w:r>
        <w:t xml:space="preserve"> </w:t>
      </w:r>
      <w:r>
        <w:t xml:space="preserve">2022, PMID 36003002).</w:t>
      </w:r>
    </w:p>
    <w:p>
      <w:pPr>
        <w:pStyle w:val="BodyText"/>
      </w:pPr>
      <w:r>
        <w:rPr>
          <w:b/>
          <w:bCs/>
        </w:rPr>
        <w:t xml:space="preserve">Per te:</w:t>
      </w:r>
      <w:r>
        <w:t xml:space="preserve"> </w:t>
      </w:r>
      <w:r>
        <w:t xml:space="preserve">quel 100% è stato misurato dove due cefalee su tre erano secondarie.</w:t>
      </w:r>
      <w:r>
        <w:t xml:space="preserve"> </w:t>
      </w:r>
      <w:r>
        <w:rPr>
          <w:b/>
          <w:bCs/>
        </w:rPr>
        <w:t xml:space="preserve">Da noi la prevalenza è molto più bassa: la lista resta lo strumento giusto per decidere chi esce, ma quel 100% non è il nostro 100%.</w:t>
      </w:r>
      <w:r>
        <w:t xml:space="preserve"> </w:t>
      </w:r>
      <w:r>
        <w:t xml:space="preserve">Usala tutta, ogni volta, e scrivi che l’hai usata, con la data.</w:t>
      </w:r>
    </w:p>
    <w:bookmarkEnd w:id="53"/>
    <w:bookmarkStart w:id="54" w:name="X431e9e18005607736fce43bc7177b98e2874097"/>
    <w:p>
      <w:pPr>
        <w:pStyle w:val="Heading3"/>
      </w:pPr>
      <w:r>
        <w:t xml:space="preserve">Il paziente che devi conoscere meglio di chiunque altro</w:t>
      </w:r>
    </w:p>
    <w:p>
      <w:pPr>
        <w:pStyle w:val="FirstParagraph"/>
      </w:pPr>
      <w:r>
        <w:t xml:space="preserve">La dissecazione dell’arteria cervicale è rara, e si presenta come dolore al collo e mal di testa.</w:t>
      </w:r>
      <w:r>
        <w:t xml:space="preserve"> </w:t>
      </w:r>
      <w:r>
        <w:rPr>
          <w:b/>
          <w:bCs/>
        </w:rPr>
        <w:t xml:space="preserve">L’emicrania compare fra i fattori di rischio con certezza delle prove moderata</w:t>
      </w:r>
      <w:r>
        <w:t xml:space="preserve">, il livello di fiducia più alto assegnato in quella revisione (Jacobs,</w:t>
      </w:r>
      <w:r>
        <w:t xml:space="preserve"> </w:t>
      </w:r>
      <w:r>
        <w:rPr>
          <w:i/>
          <w:iCs/>
        </w:rPr>
        <w:t xml:space="preserve">Stroke Vasc Neurol</w:t>
      </w:r>
      <w:r>
        <w:t xml:space="preserve"> </w:t>
      </w:r>
      <w:r>
        <w:t xml:space="preserve">2026, PMID 40866078).</w:t>
      </w:r>
    </w:p>
    <w:p>
      <w:pPr>
        <w:pStyle w:val="BodyText"/>
      </w:pPr>
      <w:r>
        <w:rPr>
          <w:b/>
          <w:bCs/>
        </w:rPr>
        <w:t xml:space="preserve">Per te:</w:t>
      </w:r>
      <w:r>
        <w:t xml:space="preserve"> </w:t>
      </w:r>
      <w:r>
        <w:t xml:space="preserve">hai davanti una popolazione a rischio aumentato per l’evento raro e grave di questa regione. Non ti arriva chi sta per avere una dissecazione a causa tua: ti arriva chi ce l’ha già e viene per il dolore.</w:t>
      </w:r>
    </w:p>
    <w:p>
      <w:pPr>
        <w:pStyle w:val="BodyText"/>
      </w:pPr>
      <w:r>
        <w:t xml:space="preserve">Due domande, a ogni seduta.</w:t>
      </w:r>
      <w:r>
        <w:t xml:space="preserve"> </w:t>
      </w:r>
      <w:r>
        <w:rPr>
          <w:b/>
          <w:bCs/>
        </w:rPr>
        <w:t xml:space="preserve">“Questo dolore è diverso da tutti gli altri che ha avuto?”</w:t>
      </w:r>
      <w:r>
        <w:t xml:space="preserve"> </w:t>
      </w:r>
      <w:r>
        <w:t xml:space="preserve">— un</w:t>
      </w:r>
      <w:r>
        <w:t xml:space="preserve"> </w:t>
      </w:r>
      <w:r>
        <w:t xml:space="preserve">“sì”</w:t>
      </w:r>
      <w:r>
        <w:t xml:space="preserve"> </w:t>
      </w:r>
      <w:r>
        <w:t xml:space="preserve">è una bandiera rossa anche se tutto il resto è normale. E</w:t>
      </w:r>
      <w:r>
        <w:t xml:space="preserve"> </w:t>
      </w:r>
      <w:r>
        <w:rPr>
          <w:b/>
          <w:bCs/>
        </w:rPr>
        <w:t xml:space="preserve">“prende anticoagulanti o antiaggreganti?”</w:t>
      </w:r>
      <w:r>
        <w:t xml:space="preserve">, perché nell’anziano che li assume un ematoma cronico si manifesta settimane dopo un urto dimenticato, con la cefalea come primo sintomo (Mattle,</w:t>
      </w:r>
      <w:r>
        <w:t xml:space="preserve"> </w:t>
      </w:r>
      <w:r>
        <w:rPr>
          <w:i/>
          <w:iCs/>
        </w:rPr>
        <w:t xml:space="preserve">J Neurol Neurosurg Psychiatry</w:t>
      </w:r>
      <w:r>
        <w:t xml:space="preserve"> </w:t>
      </w:r>
      <w:r>
        <w:t xml:space="preserve">1989, PMID 2769275).</w:t>
      </w:r>
    </w:p>
    <w:p>
      <w:pPr>
        <w:pStyle w:val="BodyText"/>
      </w:pPr>
      <w:r>
        <w:rPr>
          <w:b/>
          <w:bCs/>
        </w:rPr>
        <w:t xml:space="preserve">Due cose che nessuno ti dirà.</w:t>
      </w:r>
    </w:p>
    <w:p>
      <w:pPr>
        <w:pStyle w:val="BodyText"/>
      </w:pPr>
      <w:r>
        <w:rPr>
          <w:b/>
          <w:bCs/>
        </w:rPr>
        <w:t xml:space="preserve">La fase dolorosa può precedere l’evento neurologico fino a quattordici giorni.</w:t>
      </w:r>
      <w:r>
        <w:t xml:space="preserve"> </w:t>
      </w:r>
      <w:r>
        <w:t xml:space="preserve">In quella finestra il paziente è normale a qualunque esame tu faccia, e l’unica cosa che lo trova è la storia (Taylor,</w:t>
      </w:r>
      <w:r>
        <w:t xml:space="preserve"> </w:t>
      </w:r>
      <w:r>
        <w:rPr>
          <w:i/>
          <w:iCs/>
        </w:rPr>
        <w:t xml:space="preserve">Braz J Phys Ther</w:t>
      </w:r>
      <w:r>
        <w:t xml:space="preserve"> </w:t>
      </w:r>
      <w:r>
        <w:t xml:space="preserve">2023, PMID 37027997).</w:t>
      </w:r>
    </w:p>
    <w:p>
      <w:pPr>
        <w:pStyle w:val="BodyText"/>
      </w:pPr>
      <w:r>
        <w:rPr>
          <w:b/>
          <w:bCs/>
        </w:rPr>
        <w:t xml:space="preserve">E non esiste un test manuale che escluda un problema vascolare prima di toccare.</w:t>
      </w:r>
      <w:r>
        <w:t xml:space="preserve"> </w:t>
      </w:r>
      <w:r>
        <w:t xml:space="preserve">I test pre-manipolativi si sono dimostrati inaffidabili (Kranenburg,</w:t>
      </w:r>
      <w:r>
        <w:t xml:space="preserve"> </w:t>
      </w:r>
      <w:r>
        <w:rPr>
          <w:i/>
          <w:iCs/>
        </w:rPr>
        <w:t xml:space="preserve">Musculoskelet Sci Pract</w:t>
      </w:r>
      <w:r>
        <w:t xml:space="preserve"> </w:t>
      </w:r>
      <w:r>
        <w:t xml:space="preserve">2017, PMID 28171776: 227 casi di evento avverso, dissecazione nel 57%). Lo standard con cui si esamina questa regione è l’IFOMPT Cervical Framework (Rushton,</w:t>
      </w:r>
      <w:r>
        <w:t xml:space="preserve"> </w:t>
      </w:r>
      <w:r>
        <w:rPr>
          <w:i/>
          <w:iCs/>
        </w:rPr>
        <w:t xml:space="preserve">J Orthop Sports Phys Ther</w:t>
      </w:r>
      <w:r>
        <w:t xml:space="preserve"> </w:t>
      </w:r>
      <w:r>
        <w:t xml:space="preserve">2023, PMID 36099171), e la Procedura ne è l’applicazione.</w:t>
      </w:r>
    </w:p>
    <w:bookmarkEnd w:id="54"/>
    <w:bookmarkStart w:id="55" w:name="cosa-prende-e-cosa-vuol-dire"/>
    <w:p>
      <w:pPr>
        <w:pStyle w:val="Heading3"/>
      </w:pPr>
      <w:r>
        <w:t xml:space="preserve">Cosa prende, e cosa vuol dire</w:t>
      </w:r>
    </w:p>
    <w:p>
      <w:pPr>
        <w:pStyle w:val="FirstParagraph"/>
      </w:pPr>
      <w:r>
        <w:t xml:space="preserve">Non commenti nulla e non suggerisci nulla. Ma devi sapere cosa fanno, perché</w:t>
      </w:r>
      <w:r>
        <w:t xml:space="preserve"> </w:t>
      </w:r>
      <w:r>
        <w:rPr>
          <w:b/>
          <w:bCs/>
        </w:rPr>
        <w:t xml:space="preserve">alcuni dei loro effetti verranno letti come reperti tuoi.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Cosa prende</w:t>
            </w:r>
          </w:p>
        </w:tc>
        <w:tc>
          <w:tcPr/>
          <w:p>
            <w:pPr>
              <w:pStyle w:val="Compact"/>
            </w:pPr>
            <w:r>
              <w:t xml:space="preserve">Cosa potresti scambiare per un reperto tuo</w:t>
            </w:r>
          </w:p>
        </w:tc>
      </w:tr>
      <w:tr>
        <w:tc>
          <w:tcPr/>
          <w:p>
            <w:pPr>
              <w:pStyle w:val="Compact"/>
            </w:pPr>
            <w:r>
              <w:t xml:space="preserve">Flunarizina</w:t>
            </w:r>
          </w:p>
        </w:tc>
        <w:tc>
          <w:tcPr/>
          <w:p>
            <w:pPr>
              <w:pStyle w:val="Compact"/>
            </w:pPr>
            <w:r>
              <w:t xml:space="preserve">Lentezza, rigidità, umore spento: è un effetto avverso</w:t>
            </w:r>
          </w:p>
        </w:tc>
      </w:tr>
      <w:tr>
        <w:tc>
          <w:tcPr/>
          <w:p>
            <w:pPr>
              <w:pStyle w:val="Compact"/>
            </w:pPr>
            <w:r>
              <w:t xml:space="preserve">Topiramato</w:t>
            </w:r>
          </w:p>
        </w:tc>
        <w:tc>
          <w:tcPr/>
          <w:p>
            <w:pPr>
              <w:pStyle w:val="Compact"/>
            </w:pPr>
            <w:r>
              <w:t xml:space="preserve">Cerca un figlio? Comunicazione da mandare oggi</w:t>
            </w:r>
          </w:p>
        </w:tc>
      </w:tr>
      <w:tr>
        <w:tc>
          <w:tcPr/>
          <w:p>
            <w:pPr>
              <w:pStyle w:val="Compact"/>
            </w:pPr>
            <w:r>
              <w:t xml:space="preserve">Propranololo</w:t>
            </w:r>
          </w:p>
        </w:tc>
        <w:tc>
          <w:tcPr/>
          <w:p>
            <w:pPr>
              <w:pStyle w:val="Compact"/>
            </w:pPr>
            <w:r>
              <w:t xml:space="preserve">La frequenza cardiaca non sale con lo sforzo</w:t>
            </w:r>
          </w:p>
        </w:tc>
      </w:tr>
      <w:tr>
        <w:tc>
          <w:tcPr/>
          <w:p>
            <w:pPr>
              <w:pStyle w:val="Compact"/>
            </w:pPr>
            <w:r>
              <w:t xml:space="preserve">Triptani</w:t>
            </w:r>
          </w:p>
        </w:tc>
        <w:tc>
          <w:tcPr/>
          <w:p>
            <w:pPr>
              <w:pStyle w:val="Compact"/>
            </w:pPr>
            <w:r>
              <w:t xml:space="preserve">Controindicazioni cardiovascolari, altri farmaci serotoninergici</w:t>
            </w:r>
          </w:p>
        </w:tc>
      </w:tr>
      <w:tr>
        <w:tc>
          <w:tcPr/>
          <w:p>
            <w:pPr>
              <w:pStyle w:val="Compact"/>
            </w:pPr>
            <w:r>
              <w:t xml:space="preserve">Anti-CGRP, gepanti</w:t>
            </w:r>
          </w:p>
        </w:tc>
        <w:tc>
          <w:tcPr/>
          <w:p>
            <w:pPr>
              <w:pStyle w:val="Compact"/>
            </w:pPr>
            <w:r>
              <w:t xml:space="preserve">Spostano il diario dentro la tua finestra</w:t>
            </w:r>
          </w:p>
        </w:tc>
      </w:tr>
    </w:tbl>
    <w:p>
      <w:pPr>
        <w:pStyle w:val="BodyText"/>
      </w:pPr>
      <w:r>
        <w:t xml:space="preserve">Fonti: Micheli 1989, PMID 2733706; Hernandez-Diaz 2018, PMID 29282333; Hyeraci 2023, PMID 36705316.</w:t>
      </w:r>
      <w:r>
        <w:t xml:space="preserve"> </w:t>
      </w:r>
      <w:r>
        <w:rPr>
          <w:b/>
          <w:bCs/>
        </w:rPr>
        <w:t xml:space="preserve">La regola: non commenti, scrivi.</w:t>
      </w:r>
    </w:p>
    <w:bookmarkEnd w:id="55"/>
    <w:bookmarkStart w:id="56" w:name="il-cancello-dingresso"/>
    <w:p>
      <w:pPr>
        <w:pStyle w:val="Heading3"/>
      </w:pPr>
      <w:r>
        <w:t xml:space="preserve">Il cancello d’ingresso</w:t>
      </w:r>
    </w:p>
    <w:p>
      <w:pPr>
        <w:pStyle w:val="FirstParagraph"/>
      </w:pPr>
      <w:r>
        <w:t xml:space="preserve">Il cancello non stabilisce se il paziente ha diritto al trattamento. Stabilisce</w:t>
      </w:r>
      <w:r>
        <w:t xml:space="preserve"> </w:t>
      </w:r>
      <w:r>
        <w:rPr>
          <w:b/>
          <w:bCs/>
        </w:rPr>
        <w:t xml:space="preserve">quale delle tre situazioni hai davanti</w:t>
      </w:r>
      <w:r>
        <w:t xml:space="preserve">. Sono due domande diverse, e vanno tenute separate.</w:t>
      </w:r>
    </w:p>
    <w:p>
      <w:pPr>
        <w:pStyle w:val="BodyText"/>
      </w:pPr>
      <w:r>
        <w:rPr>
          <w:b/>
          <w:bCs/>
        </w:rPr>
        <w:t xml:space="preserve">Cosa ti autorizza a mettere le mani.</w:t>
      </w:r>
      <w:r>
        <w:t xml:space="preserve"> </w:t>
      </w:r>
      <w:r>
        <w:t xml:space="preserve">Un reperto disfunzionale trovato e documentato, e un marker che si muove quando lo tratti.</w:t>
      </w:r>
      <w:r>
        <w:t xml:space="preserve"> </w:t>
      </w:r>
      <w:r>
        <w:rPr>
          <w:b/>
          <w:bCs/>
        </w:rPr>
        <w:t xml:space="preserve">Senza quelli non hai un motivo per lavorare, nemmeno con la diagnosi in mano.</w:t>
      </w:r>
    </w:p>
    <w:p>
      <w:pPr>
        <w:pStyle w:val="BodyText"/>
      </w:pPr>
      <w:r>
        <w:rPr>
          <w:b/>
          <w:bCs/>
        </w:rPr>
        <w:t xml:space="preserve">In che cornice normativa lo fai.</w:t>
      </w:r>
      <w:r>
        <w:t xml:space="preserve"> </w:t>
      </w:r>
      <w:r>
        <w:t xml:space="preserve">Quando l’inquadramento manca, il canale medico si attiva</w:t>
      </w:r>
      <w:r>
        <w:t xml:space="preserve"> </w:t>
      </w:r>
      <w:r>
        <w:rPr>
          <w:b/>
          <w:bCs/>
        </w:rPr>
        <w:t xml:space="preserve">contestualmente</w:t>
      </w:r>
      <w:r>
        <w:t xml:space="preserve"> </w:t>
      </w:r>
      <w:r>
        <w:t xml:space="preserve">al tuo lavoro, non dopo.</w:t>
      </w:r>
    </w:p>
    <w:p>
      <w:pPr>
        <w:pStyle w:val="BodyText"/>
      </w:pPr>
      <w:r>
        <w:rPr>
          <w:b/>
          <w:bCs/>
        </w:rPr>
        <w:t xml:space="preserve">Un reperto positivo giustifica il tuo lavoro, non sostituisce l’inquadramento medico.</w:t>
      </w:r>
      <w:r>
        <w:t xml:space="preserve"> </w:t>
      </w:r>
      <w:r>
        <w:t xml:space="preserve">Hai</w:t>
      </w:r>
      <w:r>
        <w:t xml:space="preserve"> </w:t>
      </w:r>
      <w:r>
        <w:rPr>
          <w:b/>
          <w:bCs/>
        </w:rPr>
        <w:t xml:space="preserve">qualcosa da trattare</w:t>
      </w:r>
      <w:r>
        <w:t xml:space="preserve">, non</w:t>
      </w:r>
      <w:r>
        <w:t xml:space="preserve"> </w:t>
      </w:r>
      <w:r>
        <w:rPr>
          <w:b/>
          <w:bCs/>
        </w:rPr>
        <w:t xml:space="preserve">sai cosa ha il paziente</w:t>
      </w:r>
      <w:r>
        <w:t xml:space="preserve">. Le due cose convivono, e vanno dette al paziente come conviventi.</w:t>
      </w:r>
    </w:p>
    <w:p>
      <w:pPr>
        <w:pStyle w:val="BodyText"/>
      </w:pPr>
      <w:r>
        <w:rPr>
          <w:b/>
          <w:bCs/>
        </w:rPr>
        <w:t xml:space="preserve">Perché tre uscite e non due.</w:t>
      </w:r>
      <w:r>
        <w:t xml:space="preserve"> </w:t>
      </w:r>
      <w:r>
        <w:t xml:space="preserve">Il cancello binario — inquadrato oppure no — dichiarava un requisito e veniva aggirato ogni volta che faceva comodo.</w:t>
      </w:r>
      <w:r>
        <w:t xml:space="preserve"> </w:t>
      </w:r>
      <w:r>
        <w:rPr>
          <w:b/>
          <w:bCs/>
        </w:rPr>
        <w:t xml:space="preserve">Una regola scritta e disattesa vale meno di nessuna regola.</w:t>
      </w:r>
      <w:r>
        <w:t xml:space="preserve"> </w:t>
      </w:r>
      <w:r>
        <w:t xml:space="preserve">Tre uscite dichiarano invece cosa fai davvero in ciascuna situazione: tengono il ROSSO rigido, e mettono per iscritto l’unica cosa che rende difendibile il GIALLO. Le quattro condizioni che seguono non sono un permesso: sono uno standard più alto.</w:t>
      </w:r>
    </w:p>
    <w:p>
      <w:pPr>
        <w:pStyle w:val="BodyText"/>
      </w:pPr>
      <w:r>
        <w:rPr>
          <w:b/>
          <w:bCs/>
        </w:rPr>
        <w:t xml:space="preserve">🔴 ROSSO — Stop.</w:t>
      </w:r>
      <w:r>
        <w:t xml:space="preserve"> </w:t>
      </w:r>
      <w:r>
        <w:t xml:space="preserve">Basta una sola bandiera rossa, con l’unica eccezione dichiarata sotto la tabella. Il paziente esce con un’indicazione medica</w:t>
      </w:r>
      <w:r>
        <w:t xml:space="preserve"> </w:t>
      </w:r>
      <w:r>
        <w:rPr>
          <w:b/>
          <w:bCs/>
        </w:rPr>
        <w:t xml:space="preserve">esplicita e scritta</w:t>
      </w:r>
      <w:r>
        <w:t xml:space="preserve">, con destinatario e tempi presi dalla tabella. Non si apre un ciclo e non si rimanda alla seduta dopo. Se coesiste una disfunzione somatica autonoma la si può trattare, ma il documento dichiara che la cefalea è in attesa di inquadramento e</w:t>
      </w:r>
      <w:r>
        <w:t xml:space="preserve"> </w:t>
      </w:r>
      <w:r>
        <w:rPr>
          <w:b/>
          <w:bCs/>
        </w:rPr>
        <w:t xml:space="preserve">non è il bersaglio</w:t>
      </w:r>
      <w:r>
        <w:t xml:space="preserve">.</w:t>
      </w:r>
      <w:r>
        <w:t xml:space="preserve"> </w:t>
      </w:r>
      <w:r>
        <w:rPr>
          <w:b/>
          <w:bCs/>
        </w:rPr>
        <w:t xml:space="preserve">Nessun reperto positivo scavalca questa uscita.</w:t>
      </w:r>
    </w:p>
    <w:p>
      <w:pPr>
        <w:pStyle w:val="BodyText"/>
      </w:pPr>
      <w:r>
        <w:rPr>
          <w:b/>
          <w:bCs/>
        </w:rPr>
        <w:t xml:space="preserve">🟡 GIALLO — Si lavora, in parallelo.</w:t>
      </w:r>
      <w:r>
        <w:t xml:space="preserve"> </w:t>
      </w:r>
      <w:r>
        <w:t xml:space="preserve">Nessuna bandiera rossa, e inquadramento assente o incompleto: una diagnosi di dieci anni fa, una risonanza di cui il paziente ricorda solo</w:t>
      </w:r>
      <w:r>
        <w:t xml:space="preserve"> </w:t>
      </w:r>
      <w:r>
        <w:rPr>
          <w:i/>
          <w:iCs/>
        </w:rPr>
        <w:t xml:space="preserve">“era a posto”</w:t>
      </w:r>
      <w:r>
        <w:t xml:space="preserve">, una profilassi interrotta senza dirlo.</w:t>
      </w:r>
      <w:r>
        <w:t xml:space="preserve"> </w:t>
      </w:r>
      <w:r>
        <w:rPr>
          <w:b/>
          <w:bCs/>
        </w:rPr>
        <w:t xml:space="preserve">Qui il giallo è la norma</w:t>
      </w:r>
      <w:r>
        <w:t xml:space="preserve">, e si lavora a quattro condizioni verificabili.</w:t>
      </w:r>
    </w:p>
    <w:p>
      <w:pPr>
        <w:pStyle w:val="Compact"/>
        <w:numPr>
          <w:ilvl w:val="0"/>
          <w:numId w:val="1022"/>
        </w:numPr>
      </w:pPr>
      <w:r>
        <w:rPr>
          <w:b/>
          <w:bCs/>
        </w:rPr>
        <w:t xml:space="preserve">Un reperto tuo, positivo e scritto in cartella.</w:t>
      </w:r>
      <w:r>
        <w:t xml:space="preserve"> </w:t>
      </w:r>
      <w:r>
        <w:t xml:space="preserve">Non</w:t>
      </w:r>
      <w:r>
        <w:t xml:space="preserve"> </w:t>
      </w:r>
      <w:r>
        <w:t xml:space="preserve">“il paziente ha emicrania”</w:t>
      </w:r>
      <w:r>
        <w:t xml:space="preserve">, ma: gradi di rotazione in flessione e da che lato, se la pressione su C1-C3 riferisce in testa, quali punti sono dolenti e da quale lato, la soglia dolorosa di partenza sul temporale con la fase del ciclo in cui l’hai presa, la prestazione al test di flessione cranio-cervicale.</w:t>
      </w:r>
    </w:p>
    <w:p>
      <w:pPr>
        <w:pStyle w:val="Compact"/>
        <w:numPr>
          <w:ilvl w:val="0"/>
          <w:numId w:val="1022"/>
        </w:numPr>
      </w:pPr>
      <w:r>
        <w:rPr>
          <w:b/>
          <w:bCs/>
        </w:rPr>
        <w:t xml:space="preserve">Il paziente sa cosa tratti e cosa no.</w:t>
      </w:r>
      <w:r>
        <w:t xml:space="preserve"> </w:t>
      </w:r>
      <w:r>
        <w:rPr>
          <w:i/>
          <w:iCs/>
        </w:rPr>
        <w:t xml:space="preserve">«Io lavoro sulla componente meccanica che ho trovato nel collo e nella mandibola. L’emicrania va comunque seguita dal tuo medico, e nel frattempo io non aspetto.»</w:t>
      </w:r>
    </w:p>
    <w:p>
      <w:pPr>
        <w:pStyle w:val="Compact"/>
        <w:numPr>
          <w:ilvl w:val="0"/>
          <w:numId w:val="1022"/>
        </w:numPr>
      </w:pPr>
      <w:r>
        <w:rPr>
          <w:b/>
          <w:bCs/>
        </w:rPr>
        <w:t xml:space="preserve">Canale medico attivato senza interrompere il lavoro:</w:t>
      </w:r>
      <w:r>
        <w:t xml:space="preserve"> </w:t>
      </w:r>
      <w:r>
        <w:t xml:space="preserve">una comunicazione scritta al curante o al neurologo, non un rinvio del paziente. Contiene</w:t>
      </w:r>
      <w:r>
        <w:t xml:space="preserve"> </w:t>
      </w:r>
      <w:r>
        <w:rPr>
          <w:b/>
          <w:bCs/>
        </w:rPr>
        <w:t xml:space="preserve">sempre</w:t>
      </w:r>
      <w:r>
        <w:t xml:space="preserve"> </w:t>
      </w:r>
      <w:r>
        <w:t xml:space="preserve">il conteggio dei giorni di assunzione, e nella donna con aura l’uso di un contraccettivo con estrogeni e il fumo.</w:t>
      </w:r>
    </w:p>
    <w:p>
      <w:pPr>
        <w:pStyle w:val="Compact"/>
        <w:numPr>
          <w:ilvl w:val="0"/>
          <w:numId w:val="1022"/>
        </w:numPr>
      </w:pPr>
      <w:r>
        <w:rPr>
          <w:b/>
          <w:bCs/>
        </w:rPr>
        <w:t xml:space="preserve">Tempo definito.</w:t>
      </w:r>
      <w:r>
        <w:t xml:space="preserve"> </w:t>
      </w:r>
      <w:r>
        <w:t xml:space="preserve">Entro il numero di sedute previsto dalla Procedura, il marker si muove oppure il quadro cambia uscita.</w:t>
      </w:r>
      <w:r>
        <w:t xml:space="preserve"> </w:t>
      </w:r>
      <w:r>
        <w:rPr>
          <w:b/>
          <w:bCs/>
        </w:rPr>
        <w:t xml:space="preserve">La revisione è programmata, non lasciata all’iniziativa.</w:t>
      </w:r>
    </w:p>
    <w:p>
      <w:pPr>
        <w:pStyle w:val="FirstParagraph"/>
      </w:pPr>
      <w:r>
        <w:rPr>
          <w:b/>
          <w:bCs/>
        </w:rPr>
        <w:t xml:space="preserve">Se il tempo scade e il marker non si è mosso</w:t>
      </w:r>
      <w:r>
        <w:t xml:space="preserve">, non è una rinuncia: è un’informazione. Il tuo reperto non era ciò che comanda, e il canale medico da parallelo diventa prioritario.</w:t>
      </w:r>
    </w:p>
    <w:p>
      <w:pPr>
        <w:pStyle w:val="BodyText"/>
      </w:pPr>
      <w:r>
        <w:rPr>
          <w:b/>
          <w:bCs/>
        </w:rPr>
        <w:t xml:space="preserve">🟢 VERDE — Si procede.</w:t>
      </w:r>
      <w:r>
        <w:t xml:space="preserve"> </w:t>
      </w:r>
      <w:r>
        <w:t xml:space="preserve">Nessuna bandiera rossa, e una fra queste tre: emicrania già inquadrata dal neurologo con accertamenti coerenti o negativi; profilassi in corso o già fatta; quadro tipico stabile da anni, già valutato e senza cambiamenti di forma.</w:t>
      </w:r>
    </w:p>
    <w:p>
      <w:pPr>
        <w:pStyle w:val="BodyText"/>
      </w:pPr>
      <w:r>
        <w:rPr>
          <w:b/>
          <w:bCs/>
        </w:rPr>
        <w:t xml:space="preserve">Anche il verde lascia una traccia scritta</w:t>
      </w:r>
      <w:r>
        <w:t xml:space="preserve">, tre righe:</w:t>
      </w:r>
      <w:r>
        <w:t xml:space="preserve"> </w:t>
      </w:r>
      <w:r>
        <w:rPr>
          <w:b/>
          <w:bCs/>
        </w:rPr>
        <w:t xml:space="preserve">chi</w:t>
      </w:r>
      <w:r>
        <w:t xml:space="preserve"> </w:t>
      </w:r>
      <w:r>
        <w:t xml:space="preserve">ha inquadrato,</w:t>
      </w:r>
      <w:r>
        <w:t xml:space="preserve"> </w:t>
      </w:r>
      <w:r>
        <w:rPr>
          <w:b/>
          <w:bCs/>
        </w:rPr>
        <w:t xml:space="preserve">in che anno</w:t>
      </w:r>
      <w:r>
        <w:t xml:space="preserve">, su</w:t>
      </w:r>
      <w:r>
        <w:t xml:space="preserve"> </w:t>
      </w:r>
      <w:r>
        <w:rPr>
          <w:b/>
          <w:bCs/>
        </w:rPr>
        <w:t xml:space="preserve">quali accertamenti</w:t>
      </w:r>
      <w:r>
        <w:t xml:space="preserve">, più la data in cui hai applicato la SNNOOP10. Senza, a due anni di distanza un giallo trattato come verde è indistinguibile da un verde vero.</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sintomo cambia carattere, sede o intensità: un mal di testa che non somiglia ai precedenti; un’aura più lunga, diversa o nuova; una frequenza che sale di parecchi giorni al mese in poche settimane.</w:t>
      </w:r>
      <w:r>
        <w:t xml:space="preserve"> </w:t>
      </w:r>
      <w:r>
        <w:rPr>
          <w:b/>
          <w:bCs/>
        </w:rPr>
        <w:t xml:space="preserve">Un quadro che cambia forma torna al triage, dall’inizio.</w:t>
      </w:r>
    </w:p>
    <w:p>
      <w:pPr>
        <w:pStyle w:val="BodyText"/>
      </w:pPr>
      <w:r>
        <w:rPr>
          <w:b/>
          <w:bCs/>
        </w:rPr>
        <w:t xml:space="preserve">Il vincolo che non si negozia.</w:t>
      </w:r>
      <w:r>
        <w:t xml:space="preserve"> </w:t>
      </w:r>
      <w:r>
        <w:t xml:space="preserve">Tutte e tre le uscite poggiano su qualcosa di</w:t>
      </w:r>
      <w:r>
        <w:t xml:space="preserve"> </w:t>
      </w:r>
      <w:r>
        <w:rPr>
          <w:b/>
          <w:bCs/>
        </w:rPr>
        <w:t xml:space="preserve">scritto</w:t>
      </w:r>
      <w:r>
        <w:t xml:space="preserve">.</w:t>
      </w:r>
      <w:r>
        <w:t xml:space="preserve"> </w:t>
      </w:r>
      <w:r>
        <w:rPr>
          <w:b/>
          <w:bCs/>
        </w:rPr>
        <w:t xml:space="preserve">Quello che non è scritto non esiste</w:t>
      </w:r>
      <w:r>
        <w:t xml:space="preserve">: né per il collega che riprende il paziente, né per il medico, né per chi chiedesse conto a due anni di distanza.</w:t>
      </w:r>
    </w:p>
    <w:bookmarkEnd w:id="56"/>
    <w:bookmarkStart w:id="57" w:name="X1ac5a1b3cdf7e22e51df529af64ae60c55cc369"/>
    <w:p>
      <w:pPr>
        <w:pStyle w:val="Heading3"/>
      </w:pPr>
      <w:r>
        <w:t xml:space="preserve">Cosa dichiari nel consenso, su questa condizione</w:t>
      </w:r>
    </w:p>
    <w:p>
      <w:pPr>
        <w:pStyle w:val="Compact"/>
        <w:numPr>
          <w:ilvl w:val="0"/>
          <w:numId w:val="1023"/>
        </w:numPr>
      </w:pPr>
      <w:r>
        <w:rPr>
          <w:b/>
          <w:bCs/>
        </w:rPr>
        <w:t xml:space="preserve">Che sull’emicrania la terapia manuale non ha un’efficacia stabilita.</w:t>
      </w:r>
      <w:r>
        <w:t xml:space="preserve"> </w:t>
      </w:r>
      <w:r>
        <w:t xml:space="preserve">La revisione più recente non trova effetto sull’intensità. E riporta un rischio di eventi avversi circa doppio, cioè un paziente in più ogni sei trattati: su due soli studi, con certezza molto bassa, e senza che la gravità sia stata riportata in modo uniforme (Posadzki,</w:t>
      </w:r>
      <w:r>
        <w:t xml:space="preserve"> </w:t>
      </w:r>
      <w:r>
        <w:rPr>
          <w:i/>
          <w:iCs/>
        </w:rPr>
        <w:t xml:space="preserve">Syst Rev</w:t>
      </w:r>
      <w:r>
        <w:t xml:space="preserve"> </w:t>
      </w:r>
      <w:r>
        <w:t xml:space="preserve">2024, PMID 39614402). Nell’unico studio con placebo occultato quegli eventi sono stati pochi, lievi e transitori (Chaibi,</w:t>
      </w:r>
      <w:r>
        <w:t xml:space="preserve"> </w:t>
      </w:r>
      <w:r>
        <w:rPr>
          <w:i/>
          <w:iCs/>
        </w:rPr>
        <w:t xml:space="preserve">Eur J Neurol</w:t>
      </w:r>
      <w:r>
        <w:t xml:space="preserve"> </w:t>
      </w:r>
      <w:r>
        <w:t xml:space="preserve">2017, PMID 27696633).</w:t>
      </w:r>
    </w:p>
    <w:p>
      <w:pPr>
        <w:pStyle w:val="Compact"/>
        <w:numPr>
          <w:ilvl w:val="0"/>
          <w:numId w:val="1023"/>
        </w:numPr>
      </w:pPr>
      <w:r>
        <w:rPr>
          <w:b/>
          <w:bCs/>
        </w:rPr>
        <w:t xml:space="preserve">Che l’evento più probabile, se succede, è un peggioramento del mal di testa nelle ore dopo la seduta.</w:t>
      </w:r>
      <w:r>
        <w:t xml:space="preserve"> </w:t>
      </w:r>
      <w:r>
        <w:t xml:space="preserve">Va detto prima: chi lo sente e non è stato avvisato conclude di aver subito un danno. Si segnala perché cambia come si continua.</w:t>
      </w:r>
    </w:p>
    <w:p>
      <w:pPr>
        <w:pStyle w:val="Compact"/>
        <w:numPr>
          <w:ilvl w:val="0"/>
          <w:numId w:val="1023"/>
        </w:numPr>
      </w:pPr>
      <w:r>
        <w:rPr>
          <w:b/>
          <w:bCs/>
        </w:rPr>
        <w:t xml:space="preserve">Che l’emicrania è essa stessa un fattore di rischio per la dissecazione dell’arteria cervicale</w:t>
      </w:r>
      <w:r>
        <w:t xml:space="preserve">, e che per questo la scelta della tecnica è dichiarata e motivata.</w:t>
      </w:r>
      <w:r>
        <w:t xml:space="preserve"> </w:t>
      </w:r>
      <w:r>
        <w:rPr>
          <w:b/>
          <w:bCs/>
        </w:rPr>
        <w:t xml:space="preserve">La cautela non riguarda solo le tecniche a spinta rapida: riguarda la regione.</w:t>
      </w:r>
    </w:p>
    <w:p>
      <w:pPr>
        <w:pStyle w:val="Compact"/>
        <w:numPr>
          <w:ilvl w:val="0"/>
          <w:numId w:val="1023"/>
        </w:numPr>
      </w:pPr>
      <w:r>
        <w:rPr>
          <w:b/>
          <w:bCs/>
        </w:rPr>
        <w:t xml:space="preserve">Che l’oggetto del trattamento è la componente muscolo-scheletrica cervicale e masticatoria documentata</w:t>
      </w:r>
      <w:r>
        <w:t xml:space="preserve">, non la cura dell’emicrania.</w:t>
      </w:r>
    </w:p>
    <w:p>
      <w:pPr>
        <w:pStyle w:val="Compact"/>
        <w:numPr>
          <w:ilvl w:val="0"/>
          <w:numId w:val="1023"/>
        </w:numPr>
      </w:pPr>
      <w:r>
        <w:rPr>
          <w:b/>
          <w:bCs/>
        </w:rPr>
        <w:t xml:space="preserve">Che il conteggio dei giorni di assunzione viene raccolto e comunicato per iscritto al curante</w:t>
      </w:r>
      <w:r>
        <w:t xml:space="preserve">, e che è parte del trattamento.</w:t>
      </w:r>
    </w:p>
    <w:bookmarkEnd w:id="57"/>
    <w:bookmarkStart w:id="58" w:name="il-confine-di-atto-e-il-prescrittore"/>
    <w:p>
      <w:pPr>
        <w:pStyle w:val="Heading3"/>
      </w:pPr>
      <w:r>
        <w:t xml:space="preserve">Il confine di atto, e il prescrittore</w:t>
      </w:r>
    </w:p>
    <w:p>
      <w:pPr>
        <w:pStyle w:val="FirstParagraph"/>
      </w:pPr>
      <w:r>
        <w:t xml:space="preserve">Tre atti restano fuori dal tuo perimetro.</w:t>
      </w:r>
    </w:p>
    <w:p>
      <w:pPr>
        <w:pStyle w:val="BodyText"/>
      </w:pPr>
      <w:r>
        <w:rPr>
          <w:b/>
          <w:bCs/>
        </w:rPr>
        <w:t xml:space="preserve">Distinguere una cefalea primaria da una secondaria:</w:t>
      </w:r>
      <w:r>
        <w:t xml:space="preserve"> </w:t>
      </w:r>
      <w:r>
        <w:t xml:space="preserve">riconosci il pattern e mandi, non escludi niente.</w:t>
      </w:r>
      <w:r>
        <w:t xml:space="preserve"> </w:t>
      </w:r>
      <w:r>
        <w:rPr>
          <w:b/>
          <w:bCs/>
        </w:rPr>
        <w:t xml:space="preserve">Attribuire l’emicrania al collo:</w:t>
      </w:r>
      <w:r>
        <w:t xml:space="preserve"> </w:t>
      </w:r>
      <w:r>
        <w:t xml:space="preserve">è una diagnosi, ed è anche falsa nella maggior parte dei casi.</w:t>
      </w:r>
      <w:r>
        <w:t xml:space="preserve"> </w:t>
      </w:r>
      <w:r>
        <w:rPr>
          <w:b/>
          <w:bCs/>
        </w:rPr>
        <w:t xml:space="preserve">Toccare la regione cervicale con un sospetto vascolare attivo</w:t>
      </w:r>
      <w:r>
        <w:t xml:space="preserve">, anche con tecniche dolci.</w:t>
      </w:r>
    </w:p>
    <w:p>
      <w:pPr>
        <w:pStyle w:val="BodyText"/>
      </w:pPr>
      <w:r>
        <w:t xml:space="preserve">Il DPR 131/2021 riserva la diagnosi al medico, e definisce l’osteopatia con tecniche esclusivamente manuali, non invasive ed</w:t>
      </w:r>
      <w:r>
        <w:t xml:space="preserve"> </w:t>
      </w:r>
      <w:r>
        <w:rPr>
          <w:b/>
          <w:bCs/>
        </w:rPr>
        <w:t xml:space="preserve">esterne</w:t>
      </w:r>
      <w:r>
        <w:t xml:space="preserve">. È la ragione per cui gli pterigoidei restano una spiegazione e non un bersaglio.</w:t>
      </w:r>
    </w:p>
    <w:p>
      <w:pPr>
        <w:pStyle w:val="BodyText"/>
      </w:pPr>
      <w:r>
        <w:t xml:space="preserve">Sui farmaci non commenti e non suggerisci di ridurre: decide il prescrittore, e una riduzione mal gestita produce un peggioramento.</w:t>
      </w:r>
      <w:r>
        <w:t xml:space="preserve"> </w:t>
      </w:r>
      <w:r>
        <w:rPr>
          <w:b/>
          <w:bCs/>
        </w:rPr>
        <w:t xml:space="preserve">L’unica cosa che fai è un’informazione scritta:</w:t>
      </w:r>
      <w:r>
        <w:t xml:space="preserve"> </w:t>
      </w:r>
      <w:r>
        <w:t xml:space="preserve">i giorni al mese in cui il paziente assume qualcosa per la testa.</w:t>
      </w:r>
    </w:p>
    <w:p>
      <w:pPr>
        <w:pStyle w:val="BodyText"/>
      </w:pPr>
      <w:r>
        <w:rPr>
          <w:b/>
          <w:bCs/>
        </w:rPr>
        <w:t xml:space="preserve">Le tre cose da ricordare, più una</w:t>
      </w:r>
    </w:p>
    <w:p>
      <w:pPr>
        <w:pStyle w:val="Compact"/>
        <w:numPr>
          <w:ilvl w:val="0"/>
          <w:numId w:val="1024"/>
        </w:numPr>
      </w:pPr>
      <w:r>
        <w:t xml:space="preserve">La domanda di sicurezza di questa condizione si ripete a ogni seduta:</w:t>
      </w:r>
      <w:r>
        <w:t xml:space="preserve"> </w:t>
      </w:r>
      <w:r>
        <w:rPr>
          <w:i/>
          <w:iCs/>
        </w:rPr>
        <w:t xml:space="preserve">questo dolore è diverso da tutti gli altri?</w:t>
      </w:r>
    </w:p>
    <w:p>
      <w:pPr>
        <w:pStyle w:val="Compact"/>
        <w:numPr>
          <w:ilvl w:val="0"/>
          <w:numId w:val="1024"/>
        </w:numPr>
      </w:pPr>
      <w:r>
        <w:t xml:space="preserve">Nessun test manuale ti protegge: ti protegge la storia, e la fase dolorosa può precedere l’evento di giorni.</w:t>
      </w:r>
    </w:p>
    <w:p>
      <w:pPr>
        <w:pStyle w:val="Compact"/>
        <w:numPr>
          <w:ilvl w:val="0"/>
          <w:numId w:val="1024"/>
        </w:numPr>
      </w:pPr>
      <w:r>
        <w:t xml:space="preserve">Il giallo è la norma, e regge su quattro cose scritte. La terza contiene sempre il conteggio dei giorni.</w:t>
      </w:r>
    </w:p>
    <w:p>
      <w:pPr>
        <w:pStyle w:val="Compact"/>
        <w:numPr>
          <w:ilvl w:val="0"/>
          <w:numId w:val="1024"/>
        </w:numPr>
      </w:pPr>
      <w:r>
        <w:rPr>
          <w:b/>
          <w:bCs/>
        </w:rPr>
        <w:t xml:space="preserve">Perché ci sei tu.</w:t>
      </w:r>
      <w:r>
        <w:t xml:space="preserve"> </w:t>
      </w:r>
      <w:r>
        <w:t xml:space="preserve">Nella revisione dei fattori di rischio per la dissecazione dell’arteria cervicale, l’emicrania è uno dei due soli fattori con certezza moderata (Jacobs,</w:t>
      </w:r>
      <w:r>
        <w:t xml:space="preserve"> </w:t>
      </w:r>
      <w:r>
        <w:rPr>
          <w:i/>
          <w:iCs/>
        </w:rPr>
        <w:t xml:space="preserve">Stroke Vasc Neurol</w:t>
      </w:r>
      <w:r>
        <w:t xml:space="preserve"> </w:t>
      </w:r>
      <w:r>
        <w:t xml:space="preserve">2026, PMID 40866078). Questo ti autorizza a scegliere e dichiarare tecniche a basso rischio. Non ti autorizza a considerarle una garanzia: protegge la domanda sul dolore diverso, non la manovra.</w:t>
      </w:r>
    </w:p>
    <w:p>
      <w:r>
        <w:pict>
          <v:rect style="width:0;height:1.5pt" o:hralign="center" o:hrstd="t" o:hr="t"/>
        </w:pict>
      </w:r>
    </w:p>
    <w:bookmarkEnd w:id="58"/>
    <w:bookmarkEnd w:id="59"/>
    <w:bookmarkStart w:id="65" w:name="capitolo-10-cosa-dice-la-scienza"/>
    <w:p>
      <w:pPr>
        <w:pStyle w:val="Heading2"/>
      </w:pPr>
      <w:r>
        <w:t xml:space="preserve">Capitolo 10 — Cosa dice la scienza</w:t>
      </w:r>
    </w:p>
    <w:p>
      <w:pPr>
        <w:pStyle w:val="BlockText"/>
      </w:pPr>
      <w:r>
        <w:rPr>
          <w:b/>
          <w:bCs/>
        </w:rPr>
        <w:t xml:space="preserve">In una riga:</w:t>
      </w:r>
      <w:r>
        <w:t xml:space="preserve"> </w:t>
      </w:r>
      <w:r>
        <w:t xml:space="preserve">sull’emicrania esistono studi controllati veri, e il migliore per disegno dice che l’effetto della manipolazione era probabilmente una risposta al placebo.</w:t>
      </w:r>
    </w:p>
    <w:bookmarkStart w:id="60" w:name="le-due-ancore"/>
    <w:p>
      <w:pPr>
        <w:pStyle w:val="Heading3"/>
      </w:pPr>
      <w:r>
        <w:t xml:space="preserve">Le due ancore</w:t>
      </w:r>
    </w:p>
    <w:p>
      <w:pPr>
        <w:pStyle w:val="FirstParagraph"/>
      </w:pPr>
      <w:r>
        <w:rPr>
          <w:b/>
          <w:bCs/>
        </w:rPr>
        <w:t xml:space="preserve">L’ancora clinica è Kerstin Luedtke</w:t>
      </w:r>
      <w:r>
        <w:t xml:space="preserve">, dell’Università di Lubecca. Ha dimostrato due cose, con esaminatori ciechi e protocolli standardizzati: che il dolore al collo dell’emicranico corrisponde ad alterazioni muscolari e articolari misurabili, e che una palpazione di un minuto stratifica i pazienti in tre gruppi. È anche l’autrice della meta-analisi che dichiara bassa la qualità delle prove sugli interventi dei fisioterapisti nella cefalea (Luedtke,</w:t>
      </w:r>
      <w:r>
        <w:t xml:space="preserve"> </w:t>
      </w:r>
      <w:r>
        <w:rPr>
          <w:i/>
          <w:iCs/>
        </w:rPr>
        <w:t xml:space="preserve">Cephalalgia</w:t>
      </w:r>
      <w:r>
        <w:t xml:space="preserve"> </w:t>
      </w:r>
      <w:r>
        <w:t xml:space="preserve">2016, PMID 26229071).</w:t>
      </w:r>
      <w:r>
        <w:t xml:space="preserve"> </w:t>
      </w:r>
      <w:r>
        <w:rPr>
          <w:b/>
          <w:bCs/>
        </w:rPr>
        <w:t xml:space="preserve">Ci ha dato il reperto e, con la stessa mano, il limite.</w:t>
      </w:r>
    </w:p>
    <w:p>
      <w:pPr>
        <w:pStyle w:val="BodyText"/>
      </w:pPr>
      <w:r>
        <w:rPr>
          <w:b/>
          <w:bCs/>
        </w:rPr>
        <w:t xml:space="preserve">L’ancora fisiologica è Peter J. Goadsby</w:t>
      </w:r>
      <w:r>
        <w:t xml:space="preserve">, del King’s College London, con Thomas Bartsch. Hanno stabilito nel modello animale la convergenza trigemino-cervicale nelle due direzioni, ed è quella convergenza a rendere anatomicamente sensato il nostro lavoro.</w:t>
      </w:r>
      <w:r>
        <w:t xml:space="preserve"> </w:t>
      </w:r>
      <w:r>
        <w:rPr>
          <w:b/>
          <w:bCs/>
        </w:rPr>
        <w:t xml:space="preserve">Qui l’ancora fisiologica è molto più autorevole di quella clinica, e dirlo è più forte che gonfiare.</w:t>
      </w:r>
    </w:p>
    <w:bookmarkEnd w:id="60"/>
    <w:bookmarkStart w:id="61"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Chaibi 2017 (27696633)</w:t>
            </w:r>
          </w:p>
        </w:tc>
        <w:tc>
          <w:tcPr/>
          <w:p>
            <w:pPr>
              <w:pStyle w:val="Compact"/>
            </w:pPr>
            <w:r>
              <w:t xml:space="preserve">Manipolazione contro placebo, 104 pazienti</w:t>
            </w:r>
          </w:p>
        </w:tc>
        <w:tc>
          <w:tcPr/>
          <w:p>
            <w:pPr>
              <w:pStyle w:val="Compact"/>
            </w:pPr>
            <w:r>
              <w:t xml:space="preserve">Non promettere effetto specifico</w:t>
            </w:r>
          </w:p>
        </w:tc>
      </w:tr>
      <w:tr>
        <w:tc>
          <w:tcPr/>
          <w:p>
            <w:pPr>
              <w:pStyle w:val="Compact"/>
            </w:pPr>
            <w:r>
              <w:t xml:space="preserve">Posadzki 2024 (39614402)</w:t>
            </w:r>
          </w:p>
        </w:tc>
        <w:tc>
          <w:tcPr/>
          <w:p>
            <w:pPr>
              <w:pStyle w:val="Compact"/>
            </w:pPr>
            <w:r>
              <w:t xml:space="preserve">6 studi, 645 pazienti</w:t>
            </w:r>
          </w:p>
        </w:tc>
        <w:tc>
          <w:tcPr/>
          <w:p>
            <w:pPr>
              <w:pStyle w:val="Compact"/>
            </w:pPr>
            <w:r>
              <w:t xml:space="preserve">Dichiarare più eventi avversi</w:t>
            </w:r>
          </w:p>
        </w:tc>
      </w:tr>
      <w:tr>
        <w:tc>
          <w:tcPr/>
          <w:p>
            <w:pPr>
              <w:pStyle w:val="Compact"/>
            </w:pPr>
            <w:r>
              <w:t xml:space="preserve">Rist 2019 (30973196)</w:t>
            </w:r>
          </w:p>
        </w:tc>
        <w:tc>
          <w:tcPr/>
          <w:p>
            <w:pPr>
              <w:pStyle w:val="Compact"/>
            </w:pPr>
            <w:r>
              <w:t xml:space="preserve">6 studi, 677 pazienti</w:t>
            </w:r>
          </w:p>
        </w:tc>
        <w:tc>
          <w:tcPr/>
          <w:p>
            <w:pPr>
              <w:pStyle w:val="Compact"/>
            </w:pPr>
            <w:r>
              <w:t xml:space="preserve">Aspettarti un effetto piccolo</w:t>
            </w:r>
          </w:p>
        </w:tc>
      </w:tr>
      <w:tr>
        <w:tc>
          <w:tcPr/>
          <w:p>
            <w:pPr>
              <w:pStyle w:val="Compact"/>
            </w:pPr>
            <w:r>
              <w:t xml:space="preserve">Cerritelli 2015 (25847552)</w:t>
            </w:r>
          </w:p>
        </w:tc>
        <w:tc>
          <w:tcPr/>
          <w:p>
            <w:pPr>
              <w:pStyle w:val="Compact"/>
            </w:pPr>
            <w:r>
              <w:t xml:space="preserve">Osteopatia contro sham, 105 pazienti</w:t>
            </w:r>
          </w:p>
        </w:tc>
        <w:tc>
          <w:tcPr/>
          <w:p>
            <w:pPr>
              <w:pStyle w:val="Compact"/>
            </w:pPr>
            <w:r>
              <w:t xml:space="preserve">Cautela sulle grandi differenze</w:t>
            </w:r>
          </w:p>
        </w:tc>
      </w:tr>
      <w:tr>
        <w:tc>
          <w:tcPr/>
          <w:p>
            <w:pPr>
              <w:pStyle w:val="Compact"/>
            </w:pPr>
            <w:r>
              <w:t xml:space="preserve">Luedtke 2018 (28641450)</w:t>
            </w:r>
          </w:p>
        </w:tc>
        <w:tc>
          <w:tcPr/>
          <w:p>
            <w:pPr>
              <w:pStyle w:val="Compact"/>
            </w:pPr>
            <w:r>
              <w:t xml:space="preserve">Undici test, esaminatore cieco</w:t>
            </w:r>
          </w:p>
        </w:tc>
        <w:tc>
          <w:tcPr/>
          <w:p>
            <w:pPr>
              <w:pStyle w:val="Compact"/>
            </w:pPr>
            <w:r>
              <w:t xml:space="preserve">Esaminare e documentare il reperto</w:t>
            </w:r>
          </w:p>
        </w:tc>
      </w:tr>
      <w:tr>
        <w:tc>
          <w:tcPr/>
          <w:p>
            <w:pPr>
              <w:pStyle w:val="Compact"/>
            </w:pPr>
            <w:r>
              <w:t xml:space="preserve">Bevilaqua-Grossi 2016 (26718237)</w:t>
            </w:r>
          </w:p>
        </w:tc>
        <w:tc>
          <w:tcPr/>
          <w:p>
            <w:pPr>
              <w:pStyle w:val="Compact"/>
            </w:pPr>
            <w:r>
              <w:t xml:space="preserve">Soglia dolorosa, 50 donne</w:t>
            </w:r>
          </w:p>
        </w:tc>
        <w:tc>
          <w:tcPr/>
          <w:p>
            <w:pPr>
              <w:pStyle w:val="Compact"/>
            </w:pPr>
            <w:r>
              <w:t xml:space="preserve">Usare la soglia come marker</w:t>
            </w:r>
          </w:p>
        </w:tc>
      </w:tr>
      <w:tr>
        <w:tc>
          <w:tcPr/>
          <w:p>
            <w:pPr>
              <w:pStyle w:val="Compact"/>
            </w:pPr>
            <w:r>
              <w:t xml:space="preserve">Woldeamanuel 2022 (36229774)</w:t>
            </w:r>
          </w:p>
        </w:tc>
        <w:tc>
          <w:tcPr/>
          <w:p>
            <w:pPr>
              <w:pStyle w:val="Compact"/>
            </w:pPr>
            <w:r>
              <w:t xml:space="preserve">21 studi, esercizio</w:t>
            </w:r>
          </w:p>
        </w:tc>
        <w:tc>
          <w:tcPr/>
          <w:p>
            <w:pPr>
              <w:pStyle w:val="Compact"/>
            </w:pPr>
            <w:r>
              <w:t xml:space="preserve">Insegnare lo strumento attivo</w:t>
            </w:r>
          </w:p>
        </w:tc>
      </w:tr>
    </w:tbl>
    <w:bookmarkEnd w:id="61"/>
    <w:bookmarkStart w:id="62" w:name="i-tre-cerchi"/>
    <w:p>
      <w:pPr>
        <w:pStyle w:val="Heading3"/>
      </w:pPr>
      <w:r>
        <w:t xml:space="preserve">I tre cerchi</w:t>
      </w:r>
    </w:p>
    <w:p>
      <w:pPr>
        <w:pStyle w:val="FirstParagraph"/>
      </w:pPr>
      <w:r>
        <w:rPr>
          <w:b/>
          <w:bCs/>
        </w:rPr>
        <w:t xml:space="preserve">Cerchio 1 — l’evidenza specifica.</w:t>
      </w:r>
      <w:r>
        <w:t xml:space="preserve"> </w:t>
      </w:r>
      <w:r>
        <w:t xml:space="preserve">Esiste, ed è contraddittoria.</w:t>
      </w:r>
    </w:p>
    <w:p>
      <w:pPr>
        <w:pStyle w:val="BodyText"/>
      </w:pPr>
      <w:r>
        <w:t xml:space="preserve">L’unico studio con placebo occultato e cieco sul paziente ha randomizzato 104 emicranici a manipolazione, placebo o cure abituali. I giorni sono scesi in tutti e tre i gruppi, la differenza fra manipolazione e placebo non è risultata significativa, e gli autori concludono che l’effetto è probabilmente una risposta al placebo (Chaibi 2017).</w:t>
      </w:r>
    </w:p>
    <w:p>
      <w:pPr>
        <w:pStyle w:val="BodyText"/>
      </w:pPr>
      <w:r>
        <w:t xml:space="preserve">La meta-analisi favorevole trova una</w:t>
      </w:r>
      <w:r>
        <w:t xml:space="preserve"> </w:t>
      </w:r>
      <w:r>
        <w:rPr>
          <w:b/>
          <w:bCs/>
        </w:rPr>
        <w:t xml:space="preserve">dimensione d’effetto standardizzata piccola</w:t>
      </w:r>
      <w:r>
        <w:t xml:space="preserve">: Hedges’ g −0,35, un numero senza unità di misura,</w:t>
      </w:r>
      <w:r>
        <w:t xml:space="preserve"> </w:t>
      </w:r>
      <w:r>
        <w:rPr>
          <w:b/>
          <w:bCs/>
        </w:rPr>
        <w:t xml:space="preserve">non giorni</w:t>
      </w:r>
      <w:r>
        <w:t xml:space="preserve">. Ci arriva dopo aver escluso per eterogeneità l’unico studio su emicrania cronica, e definisce preliminari i propri risultati (Rist 2019).</w:t>
      </w:r>
      <w:r>
        <w:t xml:space="preserve"> </w:t>
      </w:r>
      <w:r>
        <w:rPr>
          <w:b/>
          <w:bCs/>
        </w:rPr>
        <w:t xml:space="preserve">Quel numero non si converte in giorni, e non è confrontabile con il 3,55 del capitolo sull’esercizio.</w:t>
      </w:r>
    </w:p>
    <w:p>
      <w:pPr>
        <w:pStyle w:val="BodyText"/>
      </w:pPr>
      <w:r>
        <w:t xml:space="preserve">La revisione più rigorosa non trova effetto sull’intensità, con certezza molto bassa, e trova un rischio di eventi avversi circa doppio (Posadzki 2024). Una lettera del 2025 ne contesta l’analisi, in particolare per aver mescolato eventi lievi e gravi (Trager,</w:t>
      </w:r>
      <w:r>
        <w:t xml:space="preserve"> </w:t>
      </w:r>
      <w:r>
        <w:rPr>
          <w:i/>
          <w:iCs/>
        </w:rPr>
        <w:t xml:space="preserve">Syst Rev</w:t>
      </w:r>
      <w:r>
        <w:t xml:space="preserve"> </w:t>
      </w:r>
      <w:r>
        <w:t xml:space="preserve">2025, PMID 41131621).</w:t>
      </w:r>
    </w:p>
    <w:p>
      <w:pPr>
        <w:pStyle w:val="BodyText"/>
      </w:pPr>
      <w:r>
        <w:t xml:space="preserve">Lo studio osteopatico più citato riporta differenze molto ampie, fra cui 21 giorni di emicrania in meno rispetto alle cure abituali (Cerritelli 2015).</w:t>
      </w:r>
    </w:p>
    <w:p>
      <w:pPr>
        <w:pStyle w:val="BodyText"/>
      </w:pPr>
      <w:r>
        <w:rPr>
          <w:b/>
          <w:bCs/>
        </w:rPr>
        <w:t xml:space="preserve">Per te:</w:t>
      </w:r>
      <w:r>
        <w:t xml:space="preserve"> </w:t>
      </w:r>
      <w:r>
        <w:t xml:space="preserve">quella differenza è troppo grande per un intervento manuale, e la meta-analisi favorevole ha dovuto escludere proprio quello studio per eterogeneità.</w:t>
      </w:r>
      <w:r>
        <w:t xml:space="preserve"> </w:t>
      </w:r>
      <w:r>
        <w:rPr>
          <w:b/>
          <w:bCs/>
        </w:rPr>
        <w:t xml:space="preserve">Il numero che ti riguarda è quello di Rist, non quello di Cerritelli.</w:t>
      </w:r>
    </w:p>
    <w:p>
      <w:pPr>
        <w:pStyle w:val="BodyText"/>
      </w:pPr>
      <w:r>
        <w:rPr>
          <w:b/>
          <w:bCs/>
        </w:rPr>
        <w:t xml:space="preserve">Cerchio 2 — il meccanismo, misurato altrove.</w:t>
      </w:r>
      <w:r>
        <w:t xml:space="preserve"> </w:t>
      </w:r>
      <w:r>
        <w:t xml:space="preserve">In ordine di forza decrescente. E la famiglia più forte non è il tocco: è la neurofisiologia della via cervico-trigeminale.</w:t>
      </w:r>
    </w:p>
    <w:p>
      <w:pPr>
        <w:pStyle w:val="BodyText"/>
      </w:pPr>
      <w:r>
        <w:rPr>
          <w:b/>
          <w:bCs/>
        </w:rPr>
        <w:t xml:space="preserve">Che la via esista nell’uomo, e sia percorribile.</w:t>
      </w:r>
      <w:r>
        <w:t xml:space="preserve"> </w:t>
      </w:r>
      <w:r>
        <w:t xml:space="preserve">Il</w:t>
      </w:r>
      <w:r>
        <w:t xml:space="preserve"> </w:t>
      </w:r>
      <w:r>
        <w:rPr>
          <w:b/>
          <w:bCs/>
        </w:rPr>
        <w:t xml:space="preserve">riflesso di ammiccamento nocicettivo</w:t>
      </w:r>
      <w:r>
        <w:t xml:space="preserve"> </w:t>
      </w:r>
      <w:r>
        <w:t xml:space="preserve">è un riflesso del tronco encefalico, evocato da uno stimolo sopra l’orbita. Un blocco anestetico unilaterale del nervo grande occipitale ne riduce l’area della risposta R2. E ne allunga le latenze,</w:t>
      </w:r>
      <w:r>
        <w:t xml:space="preserve"> </w:t>
      </w:r>
      <w:r>
        <w:rPr>
          <w:b/>
          <w:bCs/>
        </w:rPr>
        <w:t xml:space="preserve">solo dal lato iniettato</w:t>
      </w:r>
      <w:r>
        <w:t xml:space="preserve"> </w:t>
      </w:r>
      <w:r>
        <w:t xml:space="preserve">(Busch,</w:t>
      </w:r>
      <w:r>
        <w:t xml:space="preserve"> </w:t>
      </w:r>
      <w:r>
        <w:rPr>
          <w:i/>
          <w:iCs/>
        </w:rPr>
        <w:t xml:space="preserve">Cephalalgia</w:t>
      </w:r>
      <w:r>
        <w:t xml:space="preserve"> </w:t>
      </w:r>
      <w:r>
        <w:t xml:space="preserve">2006, PMID 16396666) —</w:t>
      </w:r>
      <w:r>
        <w:t xml:space="preserve"> </w:t>
      </w:r>
      <w:r>
        <w:rPr>
          <w:i/>
          <w:iCs/>
        </w:rPr>
        <w:t xml:space="preserve">quindici volontari sani e un anestetico locale, non emicranici e non una mano: dimostra che la via esiste ed è percorribile, non che la percorriamo noi.</w:t>
      </w:r>
    </w:p>
    <w:p>
      <w:pPr>
        <w:pStyle w:val="BodyText"/>
      </w:pPr>
      <w:r>
        <w:t xml:space="preserve">Su emicranici cronici, una meta-analisi con cinque studi in analisi quantitativa trova che spegnere quel nervo con un anestetico, contro placebo, riduce frequenza e intensità nei primi due mesi. Gli autori chiedono cautela per il numero e la dimensione degli studi (Mustafa,</w:t>
      </w:r>
      <w:r>
        <w:t xml:space="preserve"> </w:t>
      </w:r>
      <w:r>
        <w:rPr>
          <w:i/>
          <w:iCs/>
        </w:rPr>
        <w:t xml:space="preserve">BMC Neurol</w:t>
      </w:r>
      <w:r>
        <w:t xml:space="preserve"> </w:t>
      </w:r>
      <w:r>
        <w:t xml:space="preserve">2024, PMID 39244547) —</w:t>
      </w:r>
      <w:r>
        <w:t xml:space="preserve"> </w:t>
      </w:r>
      <w:r>
        <w:rPr>
          <w:i/>
          <w:iCs/>
        </w:rPr>
        <w:t xml:space="preserve">misurato con un blocco eseguito da un medico su emicranici cronici, non con le mani: dice che il bersaglio è giusto, non che noi lo colpiamo.</w:t>
      </w:r>
      <w:r>
        <w:t xml:space="preserve"> </w:t>
      </w:r>
      <w:r>
        <w:t xml:space="preserve">L’infiltrazione è atto medico e sta fuori dal DPR 131/2021: quel dato giustifica il bersaglio, non un rinvio per infiltrazione.</w:t>
      </w:r>
    </w:p>
    <w:p>
      <w:pPr>
        <w:pStyle w:val="BodyText"/>
      </w:pPr>
      <w:r>
        <w:rPr>
          <w:b/>
          <w:bCs/>
        </w:rPr>
        <w:t xml:space="preserve">Che una mano su quella via cambi qualcosa.</w:t>
      </w:r>
      <w:r>
        <w:t xml:space="preserve"> </w:t>
      </w:r>
      <w:r>
        <w:t xml:space="preserve">È stato misurato su emicranici, sullo stesso riflesso, e con un sito di controllo e un finto trattamento. Le due misure stanno in «Perché le mani possono cambiare qualcosa» (Watson &amp; Drummond 2014; Jafari 2024).</w:t>
      </w:r>
    </w:p>
    <w:p>
      <w:pPr>
        <w:pStyle w:val="BodyText"/>
      </w:pPr>
      <w:r>
        <w:rPr>
          <w:b/>
          <w:bCs/>
        </w:rPr>
        <w:t xml:space="preserve">Il tocco e lo stato autonomico</w:t>
      </w:r>
      <w:r>
        <w:t xml:space="preserve"> </w:t>
      </w:r>
      <w:r>
        <w:t xml:space="preserve">sono la famiglia con la resa più bassa. Quattro voci:</w:t>
      </w:r>
    </w:p>
    <w:p>
      <w:pPr>
        <w:pStyle w:val="Compact"/>
        <w:numPr>
          <w:ilvl w:val="0"/>
          <w:numId w:val="1025"/>
        </w:numPr>
      </w:pPr>
      <w:r>
        <w:t xml:space="preserve">La mobilizzazione cervicale produce ipoalgesia immediata, insieme a un aumento della conduttanza cutanea. Gli autori leggono quell’aumento come la firma della sostanza grigia periacqueduttale dorsale (Sterling,</w:t>
      </w:r>
      <w:r>
        <w:t xml:space="preserve"> </w:t>
      </w:r>
      <w:r>
        <w:rPr>
          <w:i/>
          <w:iCs/>
        </w:rPr>
        <w:t xml:space="preserve">Man Ther</w:t>
      </w:r>
      <w:r>
        <w:t xml:space="preserve"> </w:t>
      </w:r>
      <w:r>
        <w:t xml:space="preserve">2001, PMID 11414776) —</w:t>
      </w:r>
      <w:r>
        <w:t xml:space="preserve"> </w:t>
      </w:r>
      <w:r>
        <w:rPr>
          <w:i/>
          <w:iCs/>
        </w:rPr>
        <w:t xml:space="preserve">su 30 soggetti con dolore cervicale medio-basso, non su emicranici e non sul collo alto</w:t>
      </w:r>
      <w:r>
        <w:t xml:space="preserve">.</w:t>
      </w:r>
    </w:p>
    <w:p>
      <w:pPr>
        <w:pStyle w:val="Compact"/>
        <w:numPr>
          <w:ilvl w:val="0"/>
          <w:numId w:val="1025"/>
        </w:numPr>
      </w:pPr>
      <w:r>
        <w:t xml:space="preserve">Venti studi sugli effetti psicofisiologici del trattamento osteopatico: nessun effetto su ansia e stress, e una</w:t>
      </w:r>
      <w:r>
        <w:t xml:space="preserve"> </w:t>
      </w:r>
      <w:r>
        <w:rPr>
          <w:b/>
          <w:bCs/>
        </w:rPr>
        <w:t xml:space="preserve">riduzione della depressione</w:t>
      </w:r>
      <w:r>
        <w:t xml:space="preserve"> </w:t>
      </w:r>
      <w:r>
        <w:t xml:space="preserve">(g −0,47), più marcata nelle popolazioni con dolore (Gordon,</w:t>
      </w:r>
      <w:r>
        <w:t xml:space="preserve"> </w:t>
      </w:r>
      <w:r>
        <w:rPr>
          <w:i/>
          <w:iCs/>
        </w:rPr>
        <w:t xml:space="preserve">BMJ Open</w:t>
      </w:r>
      <w:r>
        <w:t xml:space="preserve"> </w:t>
      </w:r>
      <w:r>
        <w:t xml:space="preserve">2025, PMID 39920074) —</w:t>
      </w:r>
      <w:r>
        <w:t xml:space="preserve"> </w:t>
      </w:r>
      <w:r>
        <w:rPr>
          <w:i/>
          <w:iCs/>
        </w:rPr>
        <w:t xml:space="preserve">su popolazioni miste</w:t>
      </w:r>
      <w:r>
        <w:t xml:space="preserve">.</w:t>
      </w:r>
    </w:p>
    <w:p>
      <w:pPr>
        <w:pStyle w:val="Compact"/>
        <w:numPr>
          <w:ilvl w:val="0"/>
          <w:numId w:val="1025"/>
        </w:numPr>
      </w:pPr>
      <w:r>
        <w:t xml:space="preserve">Il tocco lento attiva una classe di fibre a sé, le C-tattili (Löken,</w:t>
      </w:r>
      <w:r>
        <w:t xml:space="preserve"> </w:t>
      </w:r>
      <w:r>
        <w:rPr>
          <w:i/>
          <w:iCs/>
        </w:rPr>
        <w:t xml:space="preserve">Nat Neurosci</w:t>
      </w:r>
      <w:r>
        <w:t xml:space="preserve"> </w:t>
      </w:r>
      <w:r>
        <w:t xml:space="preserve">2009, PMID 19363489) —</w:t>
      </w:r>
      <w:r>
        <w:t xml:space="preserve"> </w:t>
      </w:r>
      <w:r>
        <w:rPr>
          <w:i/>
          <w:iCs/>
        </w:rPr>
        <w:t xml:space="preserve">su volontari sani</w:t>
      </w:r>
      <w:r>
        <w:t xml:space="preserve">.</w:t>
      </w:r>
    </w:p>
    <w:p>
      <w:pPr>
        <w:pStyle w:val="Compact"/>
        <w:numPr>
          <w:ilvl w:val="0"/>
          <w:numId w:val="1025"/>
        </w:numPr>
      </w:pPr>
      <w:r>
        <w:t xml:space="preserve">La respirazione lenta aumenta la variabilità cardiaca di origine vagale (Laborde,</w:t>
      </w:r>
      <w:r>
        <w:t xml:space="preserve"> </w:t>
      </w:r>
      <w:r>
        <w:rPr>
          <w:i/>
          <w:iCs/>
        </w:rPr>
        <w:t xml:space="preserve">Neurosci Biobehav Rev</w:t>
      </w:r>
      <w:r>
        <w:t xml:space="preserve"> </w:t>
      </w:r>
      <w:r>
        <w:t xml:space="preserve">2022, PMID 35623448) —</w:t>
      </w:r>
      <w:r>
        <w:t xml:space="preserve"> </w:t>
      </w:r>
      <w:r>
        <w:rPr>
          <w:i/>
          <w:iCs/>
        </w:rPr>
        <w:t xml:space="preserve">su soggetti sani</w:t>
      </w:r>
      <w:r>
        <w:t xml:space="preserve">.</w:t>
      </w:r>
    </w:p>
    <w:p>
      <w:pPr>
        <w:pStyle w:val="FirstParagraph"/>
      </w:pPr>
      <w:r>
        <w:rPr>
          <w:b/>
          <w:bCs/>
        </w:rPr>
        <w:t xml:space="preserve">La regola del ponte.</w:t>
      </w:r>
      <w:r>
        <w:t xml:space="preserve"> </w:t>
      </w:r>
      <w:r>
        <w:t xml:space="preserve">Tutto questo alza l’etichetta del</w:t>
      </w:r>
      <w:r>
        <w:t xml:space="preserve"> </w:t>
      </w:r>
      <w:r>
        <w:rPr>
          <w:b/>
          <w:bCs/>
        </w:rPr>
        <w:t xml:space="preserve">meccanismo</w:t>
      </w:r>
      <w:r>
        <w:t xml:space="preserve">, mai quella della</w:t>
      </w:r>
      <w:r>
        <w:t xml:space="preserve"> </w:t>
      </w:r>
      <w:r>
        <w:rPr>
          <w:b/>
          <w:bCs/>
        </w:rPr>
        <w:t xml:space="preserve">leva</w:t>
      </w:r>
      <w:r>
        <w:t xml:space="preserve"> </w:t>
      </w:r>
      <w:r>
        <w:t xml:space="preserve">sull’emicrania. Di questi studi tre hanno misurato emicranici, e</w:t>
      </w:r>
      <w:r>
        <w:t xml:space="preserve"> </w:t>
      </w:r>
      <w:r>
        <w:rPr>
          <w:b/>
          <w:bCs/>
        </w:rPr>
        <w:t xml:space="preserve">nessuno ha misurato un giorno di emicrania.</w:t>
      </w:r>
    </w:p>
    <w:p>
      <w:pPr>
        <w:pStyle w:val="BodyText"/>
      </w:pPr>
      <w:r>
        <w:rPr>
          <w:b/>
          <w:bCs/>
        </w:rPr>
        <w:t xml:space="preserve">Cerchio 3 — la fisiologia.</w:t>
      </w:r>
      <w:r>
        <w:t xml:space="preserve"> </w:t>
      </w:r>
      <w:r>
        <w:t xml:space="preserve">È la convergenza del ratto, l’allodinia talamica e il cambiamento dell’accoppiamento ipotalamo-tronco. Sta per esteso, con le stesse fonti, in «Le strutture in gioco» e in «Cosa si rompe».</w:t>
      </w:r>
      <w:r>
        <w:t xml:space="preserve"> </w:t>
      </w:r>
      <w:r>
        <w:rPr>
          <w:b/>
          <w:bCs/>
        </w:rPr>
        <w:t xml:space="preserve">La fisiologia regge il razionale. Non regge nessuna efficacia.</w:t>
      </w:r>
    </w:p>
    <w:bookmarkEnd w:id="62"/>
    <w:bookmarkStart w:id="63" w:name="cosa-possiamo-dire-e-cosa-no"/>
    <w:p>
      <w:pPr>
        <w:pStyle w:val="Heading3"/>
      </w:pPr>
      <w:r>
        <w:t xml:space="preserve">Cosa possiamo dire e cosa 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Puoi dire</w:t>
            </w:r>
          </w:p>
        </w:tc>
        <w:tc>
          <w:tcPr/>
          <w:p>
            <w:pPr>
              <w:pStyle w:val="Compact"/>
            </w:pPr>
            <w:r>
              <w:t xml:space="preserve">Non puoi dire</w:t>
            </w:r>
          </w:p>
        </w:tc>
      </w:tr>
      <w:tr>
        <w:tc>
          <w:tcPr/>
          <w:p>
            <w:pPr>
              <w:pStyle w:val="Compact"/>
            </w:pPr>
            <w:r>
              <w:t xml:space="preserve">Il collo e la testa condividono neuroni</w:t>
            </w:r>
          </w:p>
        </w:tc>
        <w:tc>
          <w:tcPr/>
          <w:p>
            <w:pPr>
              <w:pStyle w:val="Compact"/>
            </w:pPr>
            <w:r>
              <w:t xml:space="preserve">Il collo causa l’emicrania</w:t>
            </w:r>
          </w:p>
        </w:tc>
      </w:tr>
      <w:tr>
        <w:tc>
          <w:tcPr/>
          <w:p>
            <w:pPr>
              <w:pStyle w:val="Compact"/>
            </w:pPr>
            <w:r>
              <w:t xml:space="preserve">Il reperto muscolo-scheletrico è quasi sempre presente</w:t>
            </w:r>
          </w:p>
        </w:tc>
        <w:tc>
          <w:tcPr/>
          <w:p>
            <w:pPr>
              <w:pStyle w:val="Compact"/>
            </w:pPr>
            <w:r>
              <w:t xml:space="preserve">Correggerlo riduce gli attacchi</w:t>
            </w:r>
          </w:p>
        </w:tc>
      </w:tr>
      <w:tr>
        <w:tc>
          <w:tcPr/>
          <w:p>
            <w:pPr>
              <w:pStyle w:val="Compact"/>
            </w:pPr>
            <w:r>
              <w:t xml:space="preserve">La soglia dolorosa si è mossa negli studi</w:t>
            </w:r>
          </w:p>
        </w:tc>
        <w:tc>
          <w:tcPr/>
          <w:p>
            <w:pPr>
              <w:pStyle w:val="Compact"/>
            </w:pPr>
            <w:r>
              <w:t xml:space="preserve">Gli studi confermano il trattamento</w:t>
            </w:r>
          </w:p>
        </w:tc>
      </w:tr>
      <w:tr>
        <w:tc>
          <w:tcPr/>
          <w:p>
            <w:pPr>
              <w:pStyle w:val="Compact"/>
            </w:pPr>
            <w:r>
              <w:t xml:space="preserve">L’esercizio riduce i giorni di emicrania</w:t>
            </w:r>
          </w:p>
        </w:tc>
        <w:tc>
          <w:tcPr/>
          <w:p>
            <w:pPr>
              <w:pStyle w:val="Compact"/>
            </w:pPr>
            <w:r>
              <w:t xml:space="preserve">Le mie mani riducono i giorni</w:t>
            </w:r>
          </w:p>
        </w:tc>
      </w:tr>
      <w:tr>
        <w:tc>
          <w:tcPr/>
          <w:p>
            <w:pPr>
              <w:pStyle w:val="Compact"/>
            </w:pPr>
            <w:r>
              <w:t xml:space="preserve">La spiegazione cambia l’esito dell’attacco</w:t>
            </w:r>
          </w:p>
        </w:tc>
        <w:tc>
          <w:tcPr/>
          <w:p>
            <w:pPr>
              <w:pStyle w:val="Compact"/>
            </w:pPr>
            <w:r>
              <w:t xml:space="preserve">Il mio trattamento è provato</w:t>
            </w:r>
          </w:p>
        </w:tc>
      </w:tr>
      <w:tr>
        <w:tc>
          <w:tcPr/>
          <w:p>
            <w:pPr>
              <w:pStyle w:val="Compact"/>
            </w:pPr>
            <w:r>
              <w:t xml:space="preserve">La pressione sul collo alto riproduce il dolore</w:t>
            </w:r>
          </w:p>
        </w:tc>
        <w:tc>
          <w:tcPr/>
          <w:p>
            <w:pPr>
              <w:pStyle w:val="Compact"/>
            </w:pPr>
            <w:r>
              <w:t xml:space="preserve">Che riprodurlo distingua l’emicranico dal sano</w:t>
            </w:r>
          </w:p>
        </w:tc>
      </w:tr>
      <w:tr>
        <w:tc>
          <w:tcPr/>
          <w:p>
            <w:pPr>
              <w:pStyle w:val="Compact"/>
            </w:pPr>
            <w:r>
              <w:t xml:space="preserve">Le mani hanno mosso un riflesso trigeminale</w:t>
            </w:r>
          </w:p>
        </w:tc>
        <w:tc>
          <w:tcPr/>
          <w:p>
            <w:pPr>
              <w:pStyle w:val="Compact"/>
            </w:pPr>
            <w:r>
              <w:t xml:space="preserve">Che questo si traduca in attacchi in meno</w:t>
            </w:r>
          </w:p>
        </w:tc>
      </w:tr>
      <w:tr>
        <w:tc>
          <w:tcPr/>
          <w:p>
            <w:pPr>
              <w:pStyle w:val="Compact"/>
            </w:pPr>
            <w:r>
              <w:t xml:space="preserve">Un anestetico sul grande occipitale riduce i giorni</w:t>
            </w:r>
          </w:p>
        </w:tc>
        <w:tc>
          <w:tcPr/>
          <w:p>
            <w:pPr>
              <w:pStyle w:val="Compact"/>
            </w:pPr>
            <w:r>
              <w:t xml:space="preserve">Che le mie mani lo spengano</w:t>
            </w:r>
          </w:p>
        </w:tc>
      </w:tr>
    </w:tbl>
    <w:bookmarkEnd w:id="63"/>
    <w:bookmarkStart w:id="64" w:name="quando-la-scienza-tace"/>
    <w:p>
      <w:pPr>
        <w:pStyle w:val="Heading3"/>
      </w:pPr>
      <w:r>
        <w:t xml:space="preserve">Quando la scienza tace</w:t>
      </w:r>
    </w:p>
    <w:p>
      <w:pPr>
        <w:pStyle w:val="FirstParagraph"/>
      </w:pPr>
      <w:r>
        <w:rPr>
          <w:b/>
          <w:bCs/>
        </w:rPr>
        <w:t xml:space="preserve">Assenza di prove non è prova di assenza.</w:t>
      </w:r>
      <w:r>
        <w:t xml:space="preserve"> </w:t>
      </w:r>
      <w:r>
        <w:t xml:space="preserve">Che il trattamento manuale dell’emicrania non abbia un corpo di prove solido non dice che non funzioni: dice che non è stato misurato bene. Sono due affermazioni diverse, e confonderle è un errore di logica, non un eccesso di prudenza. Qui però una parte</w:t>
      </w:r>
      <w:r>
        <w:t xml:space="preserve"> </w:t>
      </w:r>
      <w:r>
        <w:rPr>
          <w:b/>
          <w:bCs/>
        </w:rPr>
        <w:t xml:space="preserve">è</w:t>
      </w:r>
      <w:r>
        <w:t xml:space="preserve"> </w:t>
      </w:r>
      <w:r>
        <w:t xml:space="preserve">stata misurata, e va detta per prima: dove il placebo era credibile e occultato, la differenza non è comparsa.</w:t>
      </w:r>
    </w:p>
    <w:p>
      <w:pPr>
        <w:pStyle w:val="BodyText"/>
      </w:pPr>
      <w:r>
        <w:rPr>
          <w:b/>
          <w:bCs/>
        </w:rPr>
        <w:t xml:space="preserve">Perché quella letteratura è così scarsa.</w:t>
      </w:r>
      <w:r>
        <w:t xml:space="preserve"> </w:t>
      </w:r>
      <w:r>
        <w:t xml:space="preserve">Non perché siano stati fatti tanti studi e siano risultati tutti negativi. Perché sono pochi e piccoli: sei studi controllati in tutto il mondo, il più grande da 218 partecipanti. Non esiste un placebo credibile per il tocco, non esiste un finanziamento paragonabile a quello dei farmaci, e ogni gruppo ha misurato esiti diversi.</w:t>
      </w:r>
    </w:p>
    <w:p>
      <w:pPr>
        <w:pStyle w:val="BodyText"/>
      </w:pPr>
      <w:r>
        <w:rPr>
          <w:b/>
          <w:bCs/>
        </w:rPr>
        <w:t xml:space="preserve">Su cosa ti basi allora</w:t>
      </w:r>
      <w:r>
        <w:t xml:space="preserve">, in ordine di forza.</w:t>
      </w:r>
    </w:p>
    <w:p>
      <w:pPr>
        <w:pStyle w:val="BodyText"/>
      </w:pPr>
      <w:r>
        <w:t xml:space="preserve">Primo, il</w:t>
      </w:r>
      <w:r>
        <w:t xml:space="preserve"> </w:t>
      </w:r>
      <w:r>
        <w:rPr>
          <w:b/>
          <w:bCs/>
        </w:rPr>
        <w:t xml:space="preserve">meccanismo fisiologico</w:t>
      </w:r>
      <w:r>
        <w:t xml:space="preserve"> </w:t>
      </w:r>
      <w:r>
        <w:t xml:space="preserve">dei cerchi 2 e 3. Su questa condizione quel meccanismo, nel tratto che ci riguarda, è stato misurato anche nell’uomo: su riflessi del tronco encefalico e su campioni piccoli, mai su giorni di emicrania. Secondo, il</w:t>
      </w:r>
      <w:r>
        <w:t xml:space="preserve"> </w:t>
      </w:r>
      <w:r>
        <w:rPr>
          <w:b/>
          <w:bCs/>
        </w:rPr>
        <w:t xml:space="preserve">ragionamento clinico</w:t>
      </w:r>
      <w:r>
        <w:t xml:space="preserve"> </w:t>
      </w:r>
      <w:r>
        <w:t xml:space="preserve">del capitolo precedente, dichiarato per quello che è. Terzo, e regge tutto il resto, la</w:t>
      </w:r>
      <w:r>
        <w:t xml:space="preserve"> </w:t>
      </w:r>
      <w:r>
        <w:rPr>
          <w:b/>
          <w:bCs/>
        </w:rPr>
        <w:t xml:space="preserve">verifica sul singolo paziente</w:t>
      </w:r>
      <w:r>
        <w:t xml:space="preserve">: un marker scelto prima di trattare, misurato prima e dopo alla stessa fase del ciclo, con una soglia dichiarata.</w:t>
      </w:r>
    </w:p>
    <w:p>
      <w:pPr>
        <w:pStyle w:val="BodyText"/>
      </w:pPr>
      <w:r>
        <w:rPr>
          <w:b/>
          <w:bCs/>
        </w:rPr>
        <w:t xml:space="preserve">Cosa separa il nostro lavoro dal pensiero magico, e cosa non autorizza.</w:t>
      </w:r>
      <w:r>
        <w:t xml:space="preserve"> </w:t>
      </w:r>
      <w:r>
        <w:t xml:space="preserve">La verifica, e nient’altro: la misura scelta prima di toccare, e il verdetto accettato anche quando è negativo. La libertà che ne viene è quella di</w:t>
      </w:r>
      <w:r>
        <w:t xml:space="preserve"> </w:t>
      </w:r>
      <w:r>
        <w:rPr>
          <w:b/>
          <w:bCs/>
        </w:rPr>
        <w:t xml:space="preserve">trattare e verificare</w:t>
      </w:r>
      <w:r>
        <w:t xml:space="preserve">, non quella di affermare. I divieti per esteso stanno in «Cosa dire al paziente».</w:t>
      </w:r>
    </w:p>
    <w:p>
      <w:pPr>
        <w:pStyle w:val="BodyText"/>
      </w:pPr>
      <w:r>
        <w:rPr>
          <w:b/>
          <w:bCs/>
        </w:rPr>
        <w:t xml:space="preserve">Le tre cose da ricordare, più una</w:t>
      </w:r>
    </w:p>
    <w:p>
      <w:pPr>
        <w:pStyle w:val="Compact"/>
        <w:numPr>
          <w:ilvl w:val="0"/>
          <w:numId w:val="1026"/>
        </w:numPr>
      </w:pPr>
      <w:r>
        <w:t xml:space="preserve">Lo studio meglio disegnato sull’emicrania non ha trovato differenza fra manipolazione e placebo occultato.</w:t>
      </w:r>
    </w:p>
    <w:p>
      <w:pPr>
        <w:pStyle w:val="Compact"/>
        <w:numPr>
          <w:ilvl w:val="0"/>
          <w:numId w:val="1026"/>
        </w:numPr>
      </w:pPr>
      <w:r>
        <w:t xml:space="preserve">Il −0,35 di Rist non è in giorni: è una dimensione d’effetto, e non si confronta con il 3,55 dell’esercizio.</w:t>
      </w:r>
    </w:p>
    <w:p>
      <w:pPr>
        <w:pStyle w:val="Compact"/>
        <w:numPr>
          <w:ilvl w:val="0"/>
          <w:numId w:val="1026"/>
        </w:numPr>
      </w:pPr>
      <w:r>
        <w:t xml:space="preserve">L’ancora fisiologica di questa condizione è molto più forte di quella clinica: dillo, non nasconderlo.</w:t>
      </w:r>
    </w:p>
    <w:p>
      <w:pPr>
        <w:pStyle w:val="Compact"/>
        <w:numPr>
          <w:ilvl w:val="0"/>
          <w:numId w:val="1026"/>
        </w:numPr>
      </w:pPr>
      <w:r>
        <w:rPr>
          <w:b/>
          <w:bCs/>
        </w:rPr>
        <w:t xml:space="preserve">Perché ci sei tu.</w:t>
      </w:r>
      <w:r>
        <w:t xml:space="preserve"> </w:t>
      </w:r>
      <w:r>
        <w:t xml:space="preserve">Nell’unico studio sull’emicrania con placebo occultato il cieco ha tenuto per tutti i diciassette mesi, e gli eventi avversi sono stati pochi, lievi e transitori (Chaibi,</w:t>
      </w:r>
      <w:r>
        <w:t xml:space="preserve"> </w:t>
      </w:r>
      <w:r>
        <w:rPr>
          <w:i/>
          <w:iCs/>
        </w:rPr>
        <w:t xml:space="preserve">Eur J Neurol</w:t>
      </w:r>
      <w:r>
        <w:t xml:space="preserve"> </w:t>
      </w:r>
      <w:r>
        <w:t xml:space="preserve">2017, PMID 27696633). Questo ti autorizza a dire che quello che fai è stato studiato con un placebo credibile, e che lì non ha prodotto eventi rilevanti su 104 pazienti. Non ti autorizza a chiamarlo sicuro in generale — un’altra revisione trova il doppio di eventi avversi — né a dire che ha superato la prova: non l’ha superata.</w:t>
      </w:r>
    </w:p>
    <w:p>
      <w:r>
        <w:pict>
          <v:rect style="width:0;height:1.5pt" o:hralign="center" o:hrstd="t" o:hr="t"/>
        </w:pict>
      </w:r>
    </w:p>
    <w:bookmarkEnd w:id="64"/>
    <w:bookmarkEnd w:id="65"/>
    <w:bookmarkStart w:id="72"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tue mani hanno una via anatomica reale verso il sistema che genera questo dolore, e la cosa più onesta che puoi dire è che quella via è documentata e il suo effetto clinico no.</w:t>
      </w:r>
    </w:p>
    <w:p>
      <w:pPr>
        <w:pStyle w:val="FirstParagraph"/>
      </w:pPr>
      <w:r>
        <w:rPr>
          <w:b/>
          <w:bCs/>
        </w:rPr>
        <w:t xml:space="preserve">Cosa non possono fare le mani, detto per primo.</w:t>
      </w:r>
      <w:r>
        <w:t xml:space="preserve"> </w:t>
      </w:r>
      <w:r>
        <w:t xml:space="preserve">Non cambiano il terreno. Non agiscono sull’aura. Non risolvono la cefalea da uso eccessivo di farmaci. E non hanno dimostrato di ridurre i giorni di emicrania in uno studio con placebo credibile.</w:t>
      </w:r>
    </w:p>
    <w:bookmarkStart w:id="66" w:name="X52a5928d6f08956f37d98a9dd9b2f48def71140"/>
    <w:p>
      <w:pPr>
        <w:pStyle w:val="Heading3"/>
      </w:pPr>
      <w:r>
        <w:t xml:space="preserve">Sul meccanismo 3, la convergenza trigemino-cervicale</w:t>
      </w:r>
    </w:p>
    <w:p>
      <w:pPr>
        <w:pStyle w:val="FirstParagraph"/>
      </w:pPr>
      <w:r>
        <w:rPr>
          <w:i/>
          <w:iCs/>
        </w:rPr>
        <w:t xml:space="preserve">(Modello biomeccanico e neurologico.)</w:t>
      </w:r>
    </w:p>
    <w:p>
      <w:pPr>
        <w:pStyle w:val="BodyText"/>
      </w:pPr>
      <w:r>
        <w:rPr>
          <w:b/>
          <w:bCs/>
        </w:rPr>
        <w:t xml:space="preserve">Su cosa può agire una mano, e che effetto ci si aspetta.</w:t>
      </w:r>
      <w:r>
        <w:t xml:space="preserve"> </w:t>
      </w:r>
      <w:r>
        <w:t xml:space="preserve">I bersagli sono i segmenti C0-C1, C1-C2 e C2-C3, i sub-occipitali e il decorso del grande occipitale attraverso il semispinale e l’aponeurosi del trapezio. L’effetto atteso è meno ingresso nocicettivo su neuroni condivisi con la dura madre, quindi una soglia più alta perché quel traffico diventi dolore in testa. L’effetto è sul sistema, non sul muscolo.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 convergenza nel ratto e il reperto cervicale nell’uomo con esaminatori ciechi stanno in «Cosa si rompe», meccanismo 3.</w:t>
      </w:r>
      <w:r>
        <w:t xml:space="preserve"> </w:t>
      </w:r>
      <w:r>
        <w:rPr>
          <w:b/>
          <w:bCs/>
        </w:rPr>
        <w:t xml:space="preserve">Nell’uomo il passaggio sotto le mani è stato misurato, ma su un riflesso del tronco encefalico e su campioni da quindici a venti pazienti</w:t>
      </w:r>
      <w:r>
        <w:t xml:space="preserve">, e che quel cambiamento riduca gli attacchi non è dimostrato.</w:t>
      </w:r>
    </w:p>
    <w:p>
      <w:pPr>
        <w:pStyle w:val="FirstParagraph"/>
      </w:pPr>
      <w:r>
        <w:rPr>
          <w:b/>
          <w:bCs/>
        </w:rPr>
        <w:t xml:space="preserve">Cosa è stato misurato, e su chi.</w:t>
      </w:r>
      <w:r>
        <w:t xml:space="preserve"> </w:t>
      </w:r>
      <w:r>
        <w:t xml:space="preserve">Quindici emicranici sono stati esaminati fra un attacco e l’altro. Una pressione intervertebrale sostenuta su atlanto-occipitale o C2-C3 ha evocato dolore in testa in tutti. Ha ridotto l’area della risposta R2 del riflesso di ammiccamento nocicettivo più di quanto abbia fatto la stessa pressione sul braccio (P = 0,037). E ne ha allungato le latenze (P = 0,012) (Watson &amp; Drummond,</w:t>
      </w:r>
      <w:r>
        <w:t xml:space="preserve"> </w:t>
      </w:r>
      <w:r>
        <w:rPr>
          <w:i/>
          <w:iCs/>
        </w:rPr>
        <w:t xml:space="preserve">Headache</w:t>
      </w:r>
      <w:r>
        <w:t xml:space="preserve"> </w:t>
      </w:r>
      <w:r>
        <w:t xml:space="preserve">2014, PMID 24666216).</w:t>
      </w:r>
      <w:r>
        <w:t xml:space="preserve"> </w:t>
      </w:r>
      <w:r>
        <w:rPr>
          <w:i/>
          <w:iCs/>
        </w:rPr>
        <w:t xml:space="preserve">Misurato su quindici emicranici e su un riflesso del tronco, non sul numero di attacchi: e una parte della riduzione c’era anche premendo il braccio — è il di più rispetto al braccio che conta, non la riduzione in sé.</w:t>
      </w:r>
    </w:p>
    <w:p>
      <w:pPr>
        <w:pStyle w:val="BodyText"/>
      </w:pPr>
      <w:r>
        <w:t xml:space="preserve">Con un finto trattamento come confronto l’effetto è rimasto. Venti soggetti con emicrania e dolore cervicale, dieci per braccio, quattro sedute: le latenze R2 si sono allungate nel gruppo trattato rispetto al finto, e gli autori lo leggono come inibizione sul complesso trigemino-cervicale (Jafari,</w:t>
      </w:r>
      <w:r>
        <w:t xml:space="preserve"> </w:t>
      </w:r>
      <w:r>
        <w:rPr>
          <w:i/>
          <w:iCs/>
        </w:rPr>
        <w:t xml:space="preserve">J Man Manip Ther</w:t>
      </w:r>
      <w:r>
        <w:t xml:space="preserve"> </w:t>
      </w:r>
      <w:r>
        <w:t xml:space="preserve">2024, PMID 37655399).</w:t>
      </w:r>
      <w:r>
        <w:t xml:space="preserve"> </w:t>
      </w:r>
      <w:r>
        <w:rPr>
          <w:i/>
          <w:iCs/>
        </w:rPr>
        <w:t xml:space="preserve">Venti pazienti e un riflesso del tronco encefalico: non un giorno di emicrania in meno.</w:t>
      </w:r>
    </w:p>
    <w:p>
      <w:pPr>
        <w:pStyle w:val="BodyText"/>
      </w:pPr>
      <w:r>
        <w:rPr>
          <w:b/>
          <w:bCs/>
        </w:rPr>
        <w:t xml:space="preserve">In quanto tempo si vedrebbe.</w:t>
      </w:r>
      <w:r>
        <w:t xml:space="preserve"> </w:t>
      </w:r>
      <w:r>
        <w:t xml:space="preserve">La riproduzione del dolore alla palpazione cambia dentro la seduta, o non cambia. Sui</w:t>
      </w:r>
      <w:r>
        <w:t xml:space="preserve"> </w:t>
      </w:r>
      <w:r>
        <w:rPr>
          <w:b/>
          <w:bCs/>
        </w:rPr>
        <w:t xml:space="preserve">giorni al mese</w:t>
      </w:r>
      <w:r>
        <w:t xml:space="preserve"> </w:t>
      </w:r>
      <w:r>
        <w:t xml:space="preserve">la risposta onesta è un’altra: dove quel calendario è stato misurato — otto sedute in quattro settimane — la frequenza degli attacchi non si è mossa (Bevilaqua-Grossi 2016). L’esito «giorni al mese» ha una leva documentata, ma sta nel capitolo che segue. E un effetto di seduta si tradurrebbe in un esito mensile solo per</w:t>
      </w:r>
      <w:r>
        <w:t xml:space="preserve"> </w:t>
      </w:r>
      <w:r>
        <w:rPr>
          <w:b/>
          <w:bCs/>
        </w:rPr>
        <w:t xml:space="preserve">ripetizione</w:t>
      </w:r>
      <w:r>
        <w:t xml:space="preserve">.</w:t>
      </w:r>
    </w:p>
    <w:bookmarkEnd w:id="66"/>
    <w:bookmarkStart w:id="67" w:name="sul-meccanismo-4-il-carico-miofasciale"/>
    <w:p>
      <w:pPr>
        <w:pStyle w:val="Heading3"/>
      </w:pPr>
      <w:r>
        <w:t xml:space="preserve">Sul meccanismo 4, il carico miofasciale</w:t>
      </w:r>
    </w:p>
    <w:p>
      <w:pPr>
        <w:pStyle w:val="FirstParagraph"/>
      </w:pPr>
      <w:r>
        <w:rPr>
          <w:i/>
          <w:iCs/>
        </w:rPr>
        <w:t xml:space="preserve">(Modello biomeccanico.)</w:t>
      </w:r>
    </w:p>
    <w:p>
      <w:pPr>
        <w:pStyle w:val="BodyText"/>
      </w:pPr>
      <w:r>
        <w:rPr>
          <w:b/>
          <w:bCs/>
        </w:rPr>
        <w:t xml:space="preserve">Su cosa può agire una mano, e che effetto ci si aspetta.</w:t>
      </w:r>
      <w:r>
        <w:t xml:space="preserve"> </w:t>
      </w:r>
      <w:r>
        <w:t xml:space="preserve">I bersagli sono i punti trigger attivi di temporale, trapezio superiore, sternocleidomastoideo e sub-occipitali, più il bordo osseo della troclea. Ci si aspetta una soglia dolorosa più alta e meno dolore riferito riproducibile.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su 50 donne con emicrania, otto sedute di terapia manuale in quattro settimane hanno aumentato la soglia dolorosa cervicale, con differenza fra i gruppi nella zona temporale. Hanno anche migliorato la percezione globale di cambiamento,</w:t>
      </w:r>
      <w:r>
        <w:t xml:space="preserve"> </w:t>
      </w:r>
      <w:r>
        <w:rPr>
          <w:b/>
          <w:bCs/>
        </w:rPr>
        <w:t xml:space="preserve">senza</w:t>
      </w:r>
      <w:r>
        <w:t xml:space="preserve"> </w:t>
      </w:r>
      <w:r>
        <w:t xml:space="preserve">effetto aggiuntivo sulla frequenza degli attacchi (Bevilaqua-Grossi,</w:t>
      </w:r>
      <w:r>
        <w:t xml:space="preserve"> </w:t>
      </w:r>
      <w:r>
        <w:rPr>
          <w:i/>
          <w:iCs/>
        </w:rPr>
        <w:t xml:space="preserve">Arch Phys Med Rehabil</w:t>
      </w:r>
      <w:r>
        <w:t xml:space="preserve"> </w:t>
      </w:r>
      <w:r>
        <w:t xml:space="preserve">2016, PMID 26718237). Il gruppo di controllo riceveva solo il farmaco, senza finto trattamento: quanto di quel movimento sia dell’aspettativa, lo studio non può dirlo.</w:t>
      </w:r>
    </w:p>
    <w:p>
      <w:pPr>
        <w:pStyle w:val="FirstParagraph"/>
      </w:pPr>
      <w:r>
        <w:rPr>
          <w:b/>
          <w:bCs/>
        </w:rPr>
        <w:t xml:space="preserve">In quanto tempo si vedrebbe.</w:t>
      </w:r>
      <w:r>
        <w:t xml:space="preserve"> </w:t>
      </w:r>
      <w:r>
        <w:t xml:space="preserve">La soglia dolorosa si muove nella singola seduta. La percezione di cambiamento, nelle quattro settimane misurate.</w:t>
      </w:r>
    </w:p>
    <w:bookmarkEnd w:id="67"/>
    <w:bookmarkStart w:id="68" w:name="sul-meccanismo-1-la-soglia-abbassata"/>
    <w:p>
      <w:pPr>
        <w:pStyle w:val="Heading3"/>
      </w:pPr>
      <w:r>
        <w:t xml:space="preserve">Sul meccanismo 1, la soglia abbassata</w:t>
      </w:r>
    </w:p>
    <w:p>
      <w:pPr>
        <w:pStyle w:val="FirstParagraph"/>
      </w:pPr>
      <w:r>
        <w:rPr>
          <w:i/>
          <w:iCs/>
        </w:rPr>
        <w:t xml:space="preserve">(Modello neurologico.)</w:t>
      </w:r>
    </w:p>
    <w:p>
      <w:pPr>
        <w:pStyle w:val="BodyText"/>
      </w:pPr>
      <w:r>
        <w:rPr>
          <w:b/>
          <w:bCs/>
        </w:rPr>
        <w:t xml:space="preserve">Su cosa può agire una mano, e che effetto ci si aspetta.</w:t>
      </w:r>
      <w:r>
        <w:t xml:space="preserve"> </w:t>
      </w:r>
      <w:r>
        <w:t xml:space="preserve">I sistemi discendenti che frenano il dolore, attivati dalla mobilizzazione. L’effetto atteso è ipoalgesia immediata nella regione trattata e attorno.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l’ipoalgesia immediata, misurata contro placebo e in doppio cieco, dove l’attivazione simpatica che l’accompagna è la firma attesa della via periacqueduttale dorsale (Sterling,</w:t>
      </w:r>
      <w:r>
        <w:t xml:space="preserve"> </w:t>
      </w:r>
      <w:r>
        <w:rPr>
          <w:i/>
          <w:iCs/>
        </w:rPr>
        <w:t xml:space="preserve">Man Ther</w:t>
      </w:r>
      <w:r>
        <w:t xml:space="preserve"> </w:t>
      </w:r>
      <w:r>
        <w:t xml:space="preserve">2001, PMID 11414776) — su soggetti con dolore cervicale medio-basso, non con emicrania.</w:t>
      </w:r>
      <w:r>
        <w:t xml:space="preserve"> </w:t>
      </w:r>
      <w:r>
        <w:rPr>
          <w:b/>
          <w:bCs/>
        </w:rPr>
        <w:t xml:space="preserve">IPOTESI</w:t>
      </w:r>
      <w:r>
        <w:t xml:space="preserve"> </w:t>
      </w:r>
      <w:r>
        <w:rPr>
          <w:i/>
          <w:iCs/>
        </w:rPr>
        <w:t xml:space="preserve">(meccanismo coerente, nessuno studio)</w:t>
      </w:r>
      <w:r>
        <w:t xml:space="preserve"> </w:t>
      </w:r>
      <w:r>
        <w:t xml:space="preserve">per l’idea che quell’ipoalgesia sposti in modo durevole la soglia dell’emicranico: nessuno l’ha misurato.</w:t>
      </w:r>
    </w:p>
    <w:p>
      <w:pPr>
        <w:pStyle w:val="FirstParagraph"/>
      </w:pPr>
      <w:r>
        <w:rPr>
          <w:b/>
          <w:bCs/>
        </w:rPr>
        <w:t xml:space="preserve">In quanto tempo si vedrebbe.</w:t>
      </w:r>
      <w:r>
        <w:t xml:space="preserve"> </w:t>
      </w:r>
      <w:r>
        <w:t xml:space="preserve">Subito, e solo subito: l’effetto documentato è di stato.</w:t>
      </w:r>
      <w:r>
        <w:t xml:space="preserve"> </w:t>
      </w:r>
      <w:r>
        <w:rPr>
          <w:b/>
          <w:bCs/>
        </w:rPr>
        <w:t xml:space="preserve">E nel paziente con allodinia fuori dalla testa quel freno è spento durante l’attacco</w:t>
      </w:r>
      <w:r>
        <w:t xml:space="preserve">, quindi «subito» può non arrivare affatto. Non è un fallimento della mano: è il sistema che in quel momento non ha il freno da premere.</w:t>
      </w:r>
    </w:p>
    <w:bookmarkEnd w:id="68"/>
    <w:bookmarkStart w:id="69" w:name="X21833b8330bcc7ab7865279e1bc76b108277583"/>
    <w:p>
      <w:pPr>
        <w:pStyle w:val="Heading3"/>
      </w:pPr>
      <w:r>
        <w:t xml:space="preserve">Sul meccanismo 2, il livello di attivazione e il ritmo</w:t>
      </w:r>
    </w:p>
    <w:p>
      <w:pPr>
        <w:pStyle w:val="FirstParagraph"/>
      </w:pPr>
      <w:r>
        <w:rPr>
          <w:i/>
          <w:iCs/>
        </w:rPr>
        <w:t xml:space="preserve">(Modello comportamentale e respiratorio.)</w:t>
      </w:r>
    </w:p>
    <w:p>
      <w:pPr>
        <w:pStyle w:val="BodyText"/>
      </w:pPr>
      <w:r>
        <w:rPr>
          <w:b/>
          <w:bCs/>
        </w:rPr>
        <w:t xml:space="preserve">Su cosa può agire una mano, e che effetto ci si aspetta.</w:t>
      </w:r>
      <w:r>
        <w:t xml:space="preserve"> </w:t>
      </w:r>
      <w:r>
        <w:t xml:space="preserve">Agiscono il contatto lento e sostenuto, il ritmo del respiro guidato, il tempo dedicato e la qualità della spiegazione che accompagna il gesto. Ci si aspetta un livello di allerta più basso durante e dopo la seduta, e un’aspettativa diversa verso l’attacco successivo.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per l’effetto calmante del contatto lento. La ragione dell’etichetta bassa è precisa: il contatto lento sostenuto passa da un canale afferente diverso, quello delle fibre C-tattili (Löken 2009), e</w:t>
      </w:r>
      <w:r>
        <w:t xml:space="preserve"> </w:t>
      </w:r>
      <w:r>
        <w:rPr>
          <w:b/>
          <w:bCs/>
        </w:rPr>
        <w:t xml:space="preserve">su quel canale, in emicrania, nessuno ha misurato niente</w:t>
      </w:r>
      <w:r>
        <w:t xml:space="preserve">. Sul respiro lento il meccanismo ha una base — aumenta la variabilità cardiaca vagale (Laborde 2022) — ma è misurata su sani.</w:t>
      </w:r>
      <w:r>
        <w:t xml:space="preserve"> </w:t>
      </w:r>
      <w:r>
        <w:rPr>
          <w:b/>
          <w:bCs/>
        </w:rPr>
        <w:t xml:space="preserve">DIMOSTRATO</w:t>
      </w:r>
      <w:r>
        <w:t xml:space="preserve"> </w:t>
      </w:r>
      <w:r>
        <w:rPr>
          <w:i/>
          <w:iCs/>
        </w:rPr>
        <w:t xml:space="preserve">(studi sull’uomo, solidi)</w:t>
      </w:r>
      <w:r>
        <w:t xml:space="preserve"> </w:t>
      </w:r>
      <w:r>
        <w:t xml:space="preserve">invece per l’effetto dell’informazione e del contesto sull’esito dell’attacco di emicrania, misurato su 459 attacchi (Kam-Hansen,</w:t>
      </w:r>
      <w:r>
        <w:t xml:space="preserve"> </w:t>
      </w:r>
      <w:r>
        <w:rPr>
          <w:i/>
          <w:iCs/>
        </w:rPr>
        <w:t xml:space="preserve">Sci Transl Med</w:t>
      </w:r>
      <w:r>
        <w:t xml:space="preserve"> </w:t>
      </w:r>
      <w:r>
        <w:t xml:space="preserve">2014, PMID 24401940).</w:t>
      </w:r>
    </w:p>
    <w:p>
      <w:pPr>
        <w:pStyle w:val="FirstParagraph"/>
      </w:pPr>
      <w:r>
        <w:rPr>
          <w:b/>
          <w:bCs/>
        </w:rPr>
        <w:t xml:space="preserve">In quanto tempo si vedrebbe.</w:t>
      </w:r>
      <w:r>
        <w:t xml:space="preserve"> </w:t>
      </w:r>
      <w:r>
        <w:t xml:space="preserve">Due tempi diversi, perché sono due fenomeni diversi.</w:t>
      </w:r>
      <w:r>
        <w:t xml:space="preserve"> </w:t>
      </w:r>
      <w:r>
        <w:rPr>
          <w:b/>
          <w:bCs/>
        </w:rPr>
        <w:t xml:space="preserve">Effetto di stato:</w:t>
      </w:r>
      <w:r>
        <w:t xml:space="preserve"> </w:t>
      </w:r>
      <w:r>
        <w:t xml:space="preserve">dentro la seduta, in minuti, e si spegne — lo verifichi sulla frequenza respiratoria a riposo. È il fuoco sotto la pentola: finché è acceso bolle, appena lo spegni no.</w:t>
      </w:r>
      <w:r>
        <w:t xml:space="preserve"> </w:t>
      </w:r>
      <w:r>
        <w:rPr>
          <w:b/>
          <w:bCs/>
        </w:rPr>
        <w:t xml:space="preserve">Spostamento della soglia:</w:t>
      </w:r>
      <w:r>
        <w:t xml:space="preserve"> </w:t>
      </w:r>
      <w:r>
        <w:t xml:space="preserve">settimane di ripetizione, e si legge solo sul diario.</w:t>
      </w:r>
      <w:r>
        <w:t xml:space="preserve"> </w:t>
      </w:r>
      <w:r>
        <w:rPr>
          <w:b/>
          <w:bCs/>
        </w:rPr>
        <w:t xml:space="preserve">Il primo non predice il secondo.</w:t>
      </w:r>
    </w:p>
    <w:p>
      <w:pPr>
        <w:pStyle w:val="BodyText"/>
      </w:pPr>
      <w:r>
        <w:rPr>
          <w:b/>
          <w:bCs/>
        </w:rPr>
        <w:t xml:space="preserve">Per te:</w:t>
      </w:r>
      <w:r>
        <w:t xml:space="preserve"> </w:t>
      </w:r>
      <w:r>
        <w:t xml:space="preserve">la leva è reale, ma la parte con le prove sono le parole che la accompagnano e gli strumenti attivi del capitolo che segue.</w:t>
      </w:r>
      <w:r>
        <w:t xml:space="preserve"> </w:t>
      </w:r>
      <w:r>
        <w:rPr>
          <w:b/>
          <w:bCs/>
        </w:rPr>
        <w:t xml:space="preserve">Questo è il paziente in cui hai più da fare, non meno:</w:t>
      </w:r>
      <w:r>
        <w:t xml:space="preserve"> </w:t>
      </w:r>
      <w:r>
        <w:t xml:space="preserve">il grosso è insegnare, non premere.</w:t>
      </w:r>
    </w:p>
    <w:bookmarkEnd w:id="69"/>
    <w:bookmarkStart w:id="70" w:name="X69533cf98f9ab252d3761011251c10babac231b"/>
    <w:p>
      <w:pPr>
        <w:pStyle w:val="Heading3"/>
      </w:pPr>
      <w:r>
        <w:t xml:space="preserve">Sul meccanismo 5, la cefalea da uso eccessivo di farmaci</w:t>
      </w:r>
    </w:p>
    <w:p>
      <w:pPr>
        <w:pStyle w:val="FirstParagraph"/>
      </w:pPr>
      <w:r>
        <w:t xml:space="preserve">Nessuna leva manuale.</w:t>
      </w:r>
      <w:r>
        <w:t xml:space="preserve"> </w:t>
      </w:r>
      <w:r>
        <w:rPr>
          <w:b/>
          <w:bCs/>
        </w:rPr>
        <w:t xml:space="preserve">Dove va il paziente:</w:t>
      </w:r>
      <w:r>
        <w:t xml:space="preserve"> </w:t>
      </w:r>
      <w:r>
        <w:t xml:space="preserve">al curante o al neurologo, con la tua comunicazione scritta e il conteggio dei giorni. Nel frattempo resta con te per il reperto cervicale documentato, che è un bersaglio secondario dichiarato.</w:t>
      </w:r>
    </w:p>
    <w:bookmarkEnd w:id="70"/>
    <w:bookmarkStart w:id="71" w:name="X313a9305afc17cefd332a43187892ca69ddea55"/>
    <w:p>
      <w:pPr>
        <w:pStyle w:val="Heading3"/>
      </w:pPr>
      <w:r>
        <w:t xml:space="preserve">Cosa fa l’osteopata che il resto del percorso non fa</w:t>
      </w:r>
    </w:p>
    <w:p>
      <w:pPr>
        <w:pStyle w:val="FirstParagraph"/>
      </w:pPr>
      <w:r>
        <w:t xml:space="preserve">Tre misure. E nel fascicolo del paziente non c’è nessuna delle tre.</w:t>
      </w:r>
    </w:p>
    <w:p>
      <w:pPr>
        <w:pStyle w:val="BodyText"/>
      </w:pPr>
      <w:r>
        <w:rPr>
          <w:b/>
          <w:bCs/>
        </w:rPr>
        <w:t xml:space="preserve">Se la pressione sui segmenti cervicali alti sposta il dolore in testa:</w:t>
      </w:r>
      <w:r>
        <w:t xml:space="preserve"> </w:t>
      </w:r>
      <w:r>
        <w:t xml:space="preserve">stratifica, e costa un minuto.</w:t>
      </w:r>
      <w:r>
        <w:t xml:space="preserve"> </w:t>
      </w:r>
      <w:r>
        <w:rPr>
          <w:b/>
          <w:bCs/>
        </w:rPr>
        <w:t xml:space="preserve">La soglia dolorosa su temporale e trapezio:</w:t>
      </w:r>
      <w:r>
        <w:t xml:space="preserve"> </w:t>
      </w:r>
      <w:r>
        <w:t xml:space="preserve">è l’unica misura che la terapia manuale ha spostato qui in modo riproducibile.</w:t>
      </w:r>
      <w:r>
        <w:t xml:space="preserve"> </w:t>
      </w:r>
      <w:r>
        <w:rPr>
          <w:b/>
          <w:bCs/>
        </w:rPr>
        <w:t xml:space="preserve">I giorni di assunzione al mese:</w:t>
      </w:r>
      <w:r>
        <w:t xml:space="preserve"> </w:t>
      </w:r>
      <w:r>
        <w:t xml:space="preserve">è il dato che decide una diagnosi.</w:t>
      </w:r>
    </w:p>
    <w:p>
      <w:pPr>
        <w:pStyle w:val="BodyText"/>
      </w:pPr>
      <w:r>
        <w:rPr>
          <w:b/>
          <w:bCs/>
        </w:rPr>
        <w:t xml:space="preserve">Il come si fa non è qui. Sta nella Procedura dell’Emicrania: due pagine, tecniche, dosi e piano delle sedute.</w:t>
      </w:r>
    </w:p>
    <w:p>
      <w:pPr>
        <w:pStyle w:val="BodyText"/>
      </w:pPr>
      <w:r>
        <w:rPr>
          <w:b/>
          <w:bCs/>
        </w:rPr>
        <w:t xml:space="preserve">Le tre cose da ricordare, più una</w:t>
      </w:r>
    </w:p>
    <w:p>
      <w:pPr>
        <w:pStyle w:val="Compact"/>
        <w:numPr>
          <w:ilvl w:val="0"/>
          <w:numId w:val="1027"/>
        </w:numPr>
      </w:pPr>
      <w:r>
        <w:t xml:space="preserve">La via anatomica esiste ed è a doppio senso: è il tuo razionale, e si ferma lì.</w:t>
      </w:r>
    </w:p>
    <w:p>
      <w:pPr>
        <w:pStyle w:val="Compact"/>
        <w:numPr>
          <w:ilvl w:val="0"/>
          <w:numId w:val="1027"/>
        </w:numPr>
      </w:pPr>
      <w:r>
        <w:t xml:space="preserve">Quello che le tue mani hanno spostato in modo riproducibile è la soglia dolorosa, non il numero di attacchi.</w:t>
      </w:r>
    </w:p>
    <w:p>
      <w:pPr>
        <w:pStyle w:val="Compact"/>
        <w:numPr>
          <w:ilvl w:val="0"/>
          <w:numId w:val="1027"/>
        </w:numPr>
      </w:pPr>
      <w:r>
        <w:t xml:space="preserve">Sul paziente comandato dall’attivazione la leva c’è, e la parte con le prove sono le parole e quello che insegni.</w:t>
      </w:r>
    </w:p>
    <w:p>
      <w:pPr>
        <w:pStyle w:val="Compact"/>
        <w:numPr>
          <w:ilvl w:val="0"/>
          <w:numId w:val="1027"/>
        </w:numPr>
      </w:pPr>
      <w:r>
        <w:rPr>
          <w:b/>
          <w:bCs/>
        </w:rPr>
        <w:t xml:space="preserve">Perché ci sei tu.</w:t>
      </w:r>
      <w:r>
        <w:t xml:space="preserve"> </w:t>
      </w:r>
      <w:r>
        <w:t xml:space="preserve">Su 50 donne la terapia manuale ha alzato la soglia dolorosa cervicale e ha migliorato la percezione di cambiamento, senza aggiungere niente sulla frequenza (Bevilaqua-Grossi,</w:t>
      </w:r>
      <w:r>
        <w:t xml:space="preserve"> </w:t>
      </w:r>
      <w:r>
        <w:rPr>
          <w:i/>
          <w:iCs/>
        </w:rPr>
        <w:t xml:space="preserve">Arch Phys Med Rehabil</w:t>
      </w:r>
      <w:r>
        <w:t xml:space="preserve"> </w:t>
      </w:r>
      <w:r>
        <w:t xml:space="preserve">2016, PMID 26718237). Questo ti autorizza a</w:t>
      </w:r>
      <w:r>
        <w:t xml:space="preserve"> </w:t>
      </w:r>
      <w:r>
        <w:rPr>
          <w:b/>
          <w:bCs/>
        </w:rPr>
        <w:t xml:space="preserve">proporre come obiettivo misurabile</w:t>
      </w:r>
      <w:r>
        <w:t xml:space="preserve"> </w:t>
      </w:r>
      <w:r>
        <w:t xml:space="preserve">una soglia più alta e una percezione di miglioramento, e a verificarle su questo paziente. Non ti autorizza a prometterle, né a promettere meno attacchi.</w:t>
      </w:r>
    </w:p>
    <w:p>
      <w:r>
        <w:pict>
          <v:rect style="width:0;height:1.5pt" o:hralign="center" o:hrstd="t" o:hr="t"/>
        </w:pict>
      </w:r>
    </w:p>
    <w:bookmarkEnd w:id="71"/>
    <w:bookmarkEnd w:id="72"/>
    <w:bookmarkStart w:id="77"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leva con le prove migliori non è il tocco, è quello che il paziente fa fra un attacco e l’altro — e si misura in giorni di emicrania al mese, l’esito che conta per lui.</w:t>
      </w:r>
    </w:p>
    <w:bookmarkStart w:id="73" w:name="Xe42f3c632f43ca0c6ed0008b4d0322439e0c057"/>
    <w:p>
      <w:pPr>
        <w:pStyle w:val="Heading3"/>
      </w:pPr>
      <w:r>
        <w:t xml:space="preserve">Strumento 1 — L’esercizio, di forza e aerobico</w:t>
      </w:r>
    </w:p>
    <w:p>
      <w:pPr>
        <w:pStyle w:val="FirstParagraph"/>
      </w:pPr>
      <w:r>
        <w:rPr>
          <w:i/>
          <w:iCs/>
        </w:rPr>
        <w:t xml:space="preserve">(Modello metabolico-energetico.)</w:t>
      </w:r>
    </w:p>
    <w:p>
      <w:pPr>
        <w:pStyle w:val="BodyText"/>
      </w:pPr>
      <w:r>
        <w:rPr>
          <w:b/>
          <w:bCs/>
        </w:rPr>
        <w:t xml:space="preserve">Cos’è.</w:t>
      </w:r>
      <w:r>
        <w:t xml:space="preserve"> </w:t>
      </w:r>
      <w:r>
        <w:t xml:space="preserve">Allenamento con carichi contro resistenza, attività aerobica continua a intensità moderata o alta, oppure yoga. È esercizio generale, non ginnastica per il collo.</w:t>
      </w:r>
      <w:r>
        <w:t xml:space="preserve"> </w:t>
      </w:r>
      <w:r>
        <w:rPr>
          <w:b/>
          <w:bCs/>
        </w:rPr>
        <w:t xml:space="preserve">Su quale meccanismo agisce:</w:t>
      </w:r>
      <w:r>
        <w:t xml:space="preserve"> </w:t>
      </w:r>
      <w:r>
        <w:t xml:space="preserve">sul meccanismo 2, il ciclo che parte ore prima del dolore, e sul meccanismo 1, la soglia che si abbassa. Agisce sul terreno fra un attacco e l’altro, non sull’attacco in corso.</w:t>
      </w:r>
    </w:p>
    <w:p>
      <w:pPr>
        <w:pStyle w:val="BodyText"/>
      </w:pPr>
      <w:r>
        <w:rPr>
          <w:b/>
          <w:bCs/>
        </w:rPr>
        <w:t xml:space="preserve">Cosa hanno misurato gli studi</w:t>
      </w:r>
      <w:r>
        <w:t xml:space="preserve">, dalla stima più diretta alla più indiretta.</w:t>
      </w:r>
    </w:p>
    <w:p>
      <w:pPr>
        <w:pStyle w:val="BodyText"/>
      </w:pPr>
      <w:r>
        <w:t xml:space="preserve">Sul solo esercizio aerobico:</w:t>
      </w:r>
      <w:r>
        <w:t xml:space="preserve"> </w:t>
      </w:r>
      <w:r>
        <w:rPr>
          <w:b/>
          <w:bCs/>
        </w:rPr>
        <w:t xml:space="preserve">0,6 giorni in meno al mese</w:t>
      </w:r>
      <w:r>
        <w:t xml:space="preserve"> </w:t>
      </w:r>
      <w:r>
        <w:t xml:space="preserve">su sei studi, con qualità delle prove moderata (Lemmens,</w:t>
      </w:r>
      <w:r>
        <w:t xml:space="preserve"> </w:t>
      </w:r>
      <w:r>
        <w:rPr>
          <w:i/>
          <w:iCs/>
        </w:rPr>
        <w:t xml:space="preserve">J Headache Pain</w:t>
      </w:r>
      <w:r>
        <w:t xml:space="preserve"> </w:t>
      </w:r>
      <w:r>
        <w:t xml:space="preserve">2019, PMID 30764753).</w:t>
      </w:r>
    </w:p>
    <w:p>
      <w:pPr>
        <w:pStyle w:val="BodyText"/>
      </w:pPr>
      <w:r>
        <w:t xml:space="preserve">Un randomizzato a tre bracci ha seguito 91 adulti: 40 minuti di esercizio tre volte a settimana per tre mesi, contro rilassamento registrato, contro topiramato alla massima dose tollerata. La riduzione è stata quasi identica nei tre gruppi,</w:t>
      </w:r>
      <w:r>
        <w:t xml:space="preserve"> </w:t>
      </w:r>
      <w:r>
        <w:rPr>
          <w:b/>
          <w:bCs/>
        </w:rPr>
        <w:t xml:space="preserve">attorno a un attacco al mese</w:t>
      </w:r>
      <w:r>
        <w:t xml:space="preserve"> </w:t>
      </w:r>
      <w:r>
        <w:t xml:space="preserve">(Varkey,</w:t>
      </w:r>
      <w:r>
        <w:t xml:space="preserve"> </w:t>
      </w:r>
      <w:r>
        <w:rPr>
          <w:i/>
          <w:iCs/>
        </w:rPr>
        <w:t xml:space="preserve">Cephalalgia</w:t>
      </w:r>
      <w:r>
        <w:t xml:space="preserve"> </w:t>
      </w:r>
      <w:r>
        <w:t xml:space="preserve">2011, PMID 21890526).</w:t>
      </w:r>
    </w:p>
    <w:p>
      <w:pPr>
        <w:pStyle w:val="BodyText"/>
      </w:pPr>
      <w:r>
        <w:t xml:space="preserve">Una rete di ventuno studi dà alla forza</w:t>
      </w:r>
      <w:r>
        <w:t xml:space="preserve"> </w:t>
      </w:r>
      <w:r>
        <w:rPr>
          <w:b/>
          <w:bCs/>
        </w:rPr>
        <w:t xml:space="preserve">3,55 giorni in meno</w:t>
      </w:r>
      <w:r>
        <w:t xml:space="preserve">, all’aerobica alta 3,13 e alla moderata 2,18, contro 0,98 del topiramato. Ma sono confronti</w:t>
      </w:r>
      <w:r>
        <w:t xml:space="preserve"> </w:t>
      </w:r>
      <w:r>
        <w:rPr>
          <w:b/>
          <w:bCs/>
        </w:rPr>
        <w:t xml:space="preserve">indiretti</w:t>
      </w:r>
      <w:r>
        <w:t xml:space="preserve">, con intervallo da 6,15 a 0,95 giorni (Woldeamanuel,</w:t>
      </w:r>
      <w:r>
        <w:t xml:space="preserve"> </w:t>
      </w:r>
      <w:r>
        <w:rPr>
          <w:i/>
          <w:iCs/>
        </w:rPr>
        <w:t xml:space="preserve">J Headache Pain</w:t>
      </w:r>
      <w:r>
        <w:t xml:space="preserve"> </w:t>
      </w:r>
      <w:r>
        <w:t xml:space="preserve">2022, PMID 36229774). Una rete più grande e recente, 28 studi, mette in testa yoga e aerobica alta e dichiara la qualità delle prove</w:t>
      </w:r>
      <w:r>
        <w:t xml:space="preserve"> </w:t>
      </w:r>
      <w:r>
        <w:rPr>
          <w:b/>
          <w:bCs/>
        </w:rPr>
        <w:t xml:space="preserve">molto bassa</w:t>
      </w:r>
      <w:r>
        <w:t xml:space="preserve"> </w:t>
      </w:r>
      <w:r>
        <w:t xml:space="preserve">(Reina-Varona,</w:t>
      </w:r>
      <w:r>
        <w:t xml:space="preserve"> </w:t>
      </w:r>
      <w:r>
        <w:rPr>
          <w:i/>
          <w:iCs/>
        </w:rPr>
        <w:t xml:space="preserve">Headache</w:t>
      </w:r>
      <w:r>
        <w:t xml:space="preserve"> </w:t>
      </w:r>
      <w:r>
        <w:t xml:space="preserve">2024, PMID 38597252).</w:t>
      </w:r>
    </w:p>
    <w:p>
      <w:pPr>
        <w:pStyle w:val="BodyText"/>
      </w:pPr>
      <w:r>
        <w:rPr>
          <w:b/>
          <w:bCs/>
        </w:rPr>
        <w:t xml:space="preserve">L’ordine di grandezza onesto è uno-tre giorni al mese.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l’affermazione</w:t>
      </w:r>
      <w:r>
        <w:t xml:space="preserve"> </w:t>
      </w:r>
      <w:r>
        <w:rPr>
          <w:b/>
          <w:bCs/>
        </w:rPr>
        <w:t xml:space="preserve">«l’esercizio riduce i giorni di emicrania»</w:t>
      </w:r>
      <w:r>
        <w:t xml:space="preserve">.</w:t>
      </w:r>
      <w:r>
        <w:t xml:space="preserve"> </w:t>
      </w:r>
      <w:r>
        <w:rPr>
          <w:b/>
          <w:bCs/>
        </w:rPr>
        <w:t xml:space="preserve">PROBABILE</w:t>
      </w:r>
      <w:r>
        <w:t xml:space="preserve"> </w:t>
      </w:r>
      <w:r>
        <w:rPr>
          <w:i/>
          <w:iCs/>
        </w:rPr>
        <w:t xml:space="preserve">(razionale forte, prove parziali)</w:t>
      </w:r>
      <w:r>
        <w:t xml:space="preserve"> </w:t>
      </w:r>
      <w:r>
        <w:t xml:space="preserve">per la stima puntuale di 3,55 e per la classifica fra le modalità: la certezza dichiarata dalle due reti va da molto bassa a moderata, e nessuna sostiene un numero preciso.</w:t>
      </w:r>
    </w:p>
    <w:p>
      <w:pPr>
        <w:pStyle w:val="FirstParagraph"/>
      </w:pPr>
      <w:r>
        <w:rPr>
          <w:b/>
          <w:bCs/>
        </w:rPr>
        <w:t xml:space="preserve">In quanto tempo si vedrebbe.</w:t>
      </w:r>
      <w:r>
        <w:t xml:space="preserve"> </w:t>
      </w:r>
      <w:r>
        <w:t xml:space="preserve">Negli studi la finestra è di</w:t>
      </w:r>
      <w:r>
        <w:t xml:space="preserve"> </w:t>
      </w:r>
      <w:r>
        <w:rPr>
          <w:b/>
          <w:bCs/>
        </w:rPr>
        <w:t xml:space="preserve">tre mesi</w:t>
      </w:r>
      <w:r>
        <w:t xml:space="preserve"> </w:t>
      </w:r>
      <w:r>
        <w:t xml:space="preserve">(Varkey). Chi giudica a tre settimane conclude che non funziona, e abbandona la leva migliore che ha. È un conto che torna a fine anno, non a fine settimana.</w:t>
      </w:r>
    </w:p>
    <w:p>
      <w:pPr>
        <w:pStyle w:val="BodyText"/>
      </w:pPr>
      <w:r>
        <w:rPr>
          <w:b/>
          <w:bCs/>
        </w:rPr>
        <w:t xml:space="preserve">Cosa NON fa.</w:t>
      </w:r>
      <w:r>
        <w:t xml:space="preserve"> </w:t>
      </w:r>
      <w:r>
        <w:t xml:space="preserve">Non agisce durante l’attacco: l’attività fisica ordinaria peggiora il dolore, ed è uno dei criteri diagnostici. Non sostituisce la profilassi.</w:t>
      </w:r>
    </w:p>
    <w:p>
      <w:pPr>
        <w:pStyle w:val="BodyText"/>
      </w:pPr>
      <w:r>
        <w:rPr>
          <w:b/>
          <w:bCs/>
        </w:rPr>
        <w:t xml:space="preserve">E non è ginnastica per il collo.</w:t>
      </w:r>
      <w:r>
        <w:t xml:space="preserve"> </w:t>
      </w:r>
      <w:r>
        <w:t xml:space="preserve">Il rinforzo cranio-cervicale contro ultrasuono finto, su 42 emicranici, non ha modificato né frequenza né intensità (Benatto,</w:t>
      </w:r>
      <w:r>
        <w:t xml:space="preserve"> </w:t>
      </w:r>
      <w:r>
        <w:rPr>
          <w:i/>
          <w:iCs/>
        </w:rPr>
        <w:t xml:space="preserve">BMC Neurol</w:t>
      </w:r>
      <w:r>
        <w:t xml:space="preserve"> </w:t>
      </w:r>
      <w:r>
        <w:t xml:space="preserve">2022, PMID 35366822). La revisione su dodici studi trova un effetto moderato sulla</w:t>
      </w:r>
      <w:r>
        <w:t xml:space="preserve"> </w:t>
      </w:r>
      <w:r>
        <w:rPr>
          <w:b/>
          <w:bCs/>
        </w:rPr>
        <w:t xml:space="preserve">disabilità</w:t>
      </w:r>
      <w:r>
        <w:t xml:space="preserve"> </w:t>
      </w:r>
      <w:r>
        <w:t xml:space="preserve">e nessuno su frequenza e intensità (Burus,</w:t>
      </w:r>
      <w:r>
        <w:t xml:space="preserve"> </w:t>
      </w:r>
      <w:r>
        <w:rPr>
          <w:i/>
          <w:iCs/>
        </w:rPr>
        <w:t xml:space="preserve">Cephalalgia</w:t>
      </w:r>
      <w:r>
        <w:t xml:space="preserve"> </w:t>
      </w:r>
      <w:r>
        <w:t xml:space="preserve">2026, PMID 42501000). Non è inutile: il suo esito documentato è un altro.</w:t>
      </w:r>
      <w:r>
        <w:t xml:space="preserve"> </w:t>
      </w:r>
      <w:r>
        <w:rPr>
          <w:b/>
          <w:bCs/>
        </w:rPr>
        <w:t xml:space="preserve">Cosa succede quando il paziente smette:</w:t>
      </w:r>
      <w:r>
        <w:t xml:space="preserve"> </w:t>
      </w:r>
      <w:r>
        <w:t xml:space="preserve">non è documentato, e si dice come un limite, non come una minaccia.</w:t>
      </w:r>
    </w:p>
    <w:p>
      <w:pPr>
        <w:pStyle w:val="BlockText"/>
      </w:pPr>
      <w:r>
        <w:rPr>
          <w:b/>
          <w:bCs/>
        </w:rPr>
        <w:t xml:space="preserve">Cosa cambia per te.</w:t>
      </w:r>
      <w:r>
        <w:t xml:space="preserve"> </w:t>
      </w:r>
      <w:r>
        <w:t xml:space="preserve">L’obiezione che sentirai alla prima seduta è</w:t>
      </w:r>
      <w:r>
        <w:t xml:space="preserve"> </w:t>
      </w:r>
      <w:r>
        <w:rPr>
          <w:i/>
          <w:iCs/>
        </w:rPr>
        <w:t xml:space="preserve">«io se faccio sport mi viene»</w:t>
      </w:r>
      <w:r>
        <w:t xml:space="preserve">. Ha una base: l’esercizio è segnalato sia come fattore scatenante sia come profilassi, e quello regolare alza probabilmente la soglia di innesco (Amin,</w:t>
      </w:r>
      <w:r>
        <w:t xml:space="preserve"> </w:t>
      </w:r>
      <w:r>
        <w:rPr>
          <w:i/>
          <w:iCs/>
        </w:rPr>
        <w:t xml:space="preserve">J Headache Pain</w:t>
      </w:r>
      <w:r>
        <w:t xml:space="preserve"> </w:t>
      </w:r>
      <w:r>
        <w:t xml:space="preserve">2018, PMID 30203180). Il dato che rovescia la paura: su 26 emicranici non allenati, dodici settimane di cyclette tre volte a settimana hanno prodotto</w:t>
      </w:r>
      <w:r>
        <w:t xml:space="preserve"> </w:t>
      </w:r>
      <w:r>
        <w:rPr>
          <w:b/>
          <w:bCs/>
        </w:rPr>
        <w:t xml:space="preserve">un solo</w:t>
      </w:r>
      <w:r>
        <w:t xml:space="preserve"> </w:t>
      </w:r>
      <w:r>
        <w:t xml:space="preserve">attacco iniziato subito dopo un allenamento, e nessun peggioramento (Varkey,</w:t>
      </w:r>
      <w:r>
        <w:t xml:space="preserve"> </w:t>
      </w:r>
      <w:r>
        <w:rPr>
          <w:i/>
          <w:iCs/>
        </w:rPr>
        <w:t xml:space="preserve">Headache</w:t>
      </w:r>
      <w:r>
        <w:t xml:space="preserve"> </w:t>
      </w:r>
      <w:r>
        <w:t xml:space="preserve">2009, PMID 18783448).</w:t>
      </w:r>
    </w:p>
    <w:p>
      <w:pPr>
        <w:pStyle w:val="BlockText"/>
      </w:pPr>
      <w:r>
        <w:rPr>
          <w:b/>
          <w:bCs/>
        </w:rPr>
        <w:t xml:space="preserve">Attenzione.</w:t>
      </w:r>
      <w:r>
        <w:t xml:space="preserve"> </w:t>
      </w:r>
      <w:r>
        <w:t xml:space="preserve">L’idoneità all’esercizio ad alta intensità non la stabiliamo noi. In chi ha fattori di rischio cardiovascolare, o è in profilassi con un beta-bloccante che tronca la risposta del cuore allo sforzo, intensità e idoneità le decide il medico.</w:t>
      </w:r>
    </w:p>
    <w:p>
      <w:pPr>
        <w:pStyle w:val="FirstParagraph"/>
      </w:pPr>
      <w:r>
        <w:rPr>
          <w:b/>
          <w:bCs/>
        </w:rPr>
        <w:t xml:space="preserve">Come e quando consegnarlo al tuo paziente sta nella Procedura.</w:t>
      </w:r>
    </w:p>
    <w:bookmarkEnd w:id="73"/>
    <w:bookmarkStart w:id="74" w:name="strumento-2-leducazione-sulla-condizione"/>
    <w:p>
      <w:pPr>
        <w:pStyle w:val="Heading3"/>
      </w:pPr>
      <w:r>
        <w:t xml:space="preserve">Strumento 2 — L’educazione sulla condizione</w:t>
      </w:r>
    </w:p>
    <w:p>
      <w:pPr>
        <w:pStyle w:val="FirstParagraph"/>
      </w:pPr>
      <w:r>
        <w:rPr>
          <w:i/>
          <w:iCs/>
        </w:rPr>
        <w:t xml:space="preserve">(Modello comportamentale.)</w:t>
      </w:r>
    </w:p>
    <w:p>
      <w:pPr>
        <w:pStyle w:val="BodyText"/>
      </w:pPr>
      <w:r>
        <w:rPr>
          <w:b/>
          <w:bCs/>
        </w:rPr>
        <w:t xml:space="preserve">Cos’è.</w:t>
      </w:r>
      <w:r>
        <w:t xml:space="preserve"> </w:t>
      </w:r>
      <w:r>
        <w:t xml:space="preserve">Spiegare cos’è l’emicrania, perché la risonanza è normale, cosa sono i sintomi premonitori, come si tiene un diario — con le mestruazioni segnate — e cosa significa il conteggio dei giorni di farmaco.</w:t>
      </w:r>
      <w:r>
        <w:t xml:space="preserve"> </w:t>
      </w:r>
      <w:r>
        <w:rPr>
          <w:b/>
          <w:bCs/>
        </w:rPr>
        <w:t xml:space="preserve">Su quale meccanismo agisce:</w:t>
      </w:r>
      <w:r>
        <w:t xml:space="preserve"> </w:t>
      </w:r>
      <w:r>
        <w:t xml:space="preserve">sul meccanismo 1, attraverso aspettativa e catastrofizzazione, e sul meccanismo 5, perché chi conta i giorni riconosce il problema prima.</w:t>
      </w:r>
    </w:p>
    <w:p>
      <w:pPr>
        <w:pStyle w:val="BodyText"/>
      </w:pPr>
      <w:r>
        <w:rPr>
          <w:b/>
          <w:bCs/>
        </w:rPr>
        <w:t xml:space="preserve">Cosa hanno misurato gli studi.</w:t>
      </w:r>
      <w:r>
        <w:t xml:space="preserve"> </w:t>
      </w:r>
      <w:r>
        <w:t xml:space="preserve">Su 89 adulti, un programma di educazione in gruppo — due ore a settimana per otto settimane — ha ridotto i giorni di 2,0 al mese a dodici settimane. La meditazione ne ha tolti 1,6: nessuna differenza sui giorni, ma un miglioramento di disabilità, qualità della vita, autoefficacia e catastrofizzazione (Wells,</w:t>
      </w:r>
      <w:r>
        <w:t xml:space="preserve"> </w:t>
      </w:r>
      <w:r>
        <w:rPr>
          <w:i/>
          <w:iCs/>
        </w:rPr>
        <w:t xml:space="preserve">JAMA Intern Med</w:t>
      </w:r>
      <w:r>
        <w:t xml:space="preserve"> </w:t>
      </w:r>
      <w:r>
        <w:t xml:space="preserve">2021, PMID 33315046). La sintesi più ampia — 50 studi, 6.024 adulti — conclude che l’educazione da sola migliora</w:t>
      </w:r>
      <w:r>
        <w:t xml:space="preserve"> </w:t>
      </w:r>
      <w:r>
        <w:rPr>
          <w:b/>
          <w:bCs/>
        </w:rPr>
        <w:t xml:space="preserve">la disabilità</w:t>
      </w:r>
      <w:r>
        <w:t xml:space="preserve">, e non la elenca fra gli interventi che riducono la frequenza (Treadwell,</w:t>
      </w:r>
      <w:r>
        <w:t xml:space="preserve"> </w:t>
      </w:r>
      <w:r>
        <w:rPr>
          <w:i/>
          <w:iCs/>
        </w:rPr>
        <w:t xml:space="preserve">Headache</w:t>
      </w:r>
      <w:r>
        <w:t xml:space="preserve"> </w:t>
      </w:r>
      <w:r>
        <w:t xml:space="preserve">2025, PMID 39968795).</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in quello studio l’educazione era il braccio di confronto e non aveva un gruppo senza trattamento. Parte di quella riduzione appartiene quindi al rientro spontaneo e all’attenzione ricevuta.</w:t>
      </w:r>
      <w:r>
        <w:t xml:space="preserve"> </w:t>
      </w:r>
      <w:r>
        <w:rPr>
          <w:b/>
          <w:bCs/>
        </w:rPr>
        <w:t xml:space="preserve">Dove regge davanti a un neurologo è sulla disabilità e sull’autoefficacia</w:t>
      </w:r>
      <w:r>
        <w:t xml:space="preserve">, non sui giorni.</w:t>
      </w:r>
    </w:p>
    <w:p>
      <w:pPr>
        <w:pStyle w:val="FirstParagraph"/>
      </w:pPr>
      <w:r>
        <w:rPr>
          <w:b/>
          <w:bCs/>
        </w:rPr>
        <w:t xml:space="preserve">In quanto tempo si vedrebbe.</w:t>
      </w:r>
      <w:r>
        <w:t xml:space="preserve"> </w:t>
      </w:r>
      <w:r>
        <w:t xml:space="preserve">Dodici settimane, nello studio che l’ha misurata.</w:t>
      </w:r>
    </w:p>
    <w:p>
      <w:pPr>
        <w:pStyle w:val="BodyText"/>
      </w:pPr>
      <w:r>
        <w:rPr>
          <w:b/>
          <w:bCs/>
        </w:rPr>
        <w:t xml:space="preserve">Cosa NON fa.</w:t>
      </w:r>
      <w:r>
        <w:t xml:space="preserve"> </w:t>
      </w:r>
      <w:r>
        <w:t xml:space="preserve">Non riduce la disabilità quanto un percorso strutturato sullo stress, e non sostituisce la visita: le informazioni sulla terapia le dà il medico.</w:t>
      </w:r>
    </w:p>
    <w:p>
      <w:pPr>
        <w:pStyle w:val="BodyText"/>
      </w:pPr>
      <w:r>
        <w:rPr>
          <w:b/>
          <w:bCs/>
        </w:rPr>
        <w:t xml:space="preserve">Come e quando consegnarlo al tuo paziente sta nella Procedura.</w:t>
      </w:r>
    </w:p>
    <w:bookmarkEnd w:id="74"/>
    <w:bookmarkStart w:id="75" w:name="strumento-3-rilassamento-e-mindfulness"/>
    <w:p>
      <w:pPr>
        <w:pStyle w:val="Heading3"/>
      </w:pPr>
      <w:r>
        <w:t xml:space="preserve">Strumento 3 — Rilassamento e mindfulness</w:t>
      </w:r>
    </w:p>
    <w:p>
      <w:pPr>
        <w:pStyle w:val="FirstParagraph"/>
      </w:pPr>
      <w:r>
        <w:rPr>
          <w:i/>
          <w:iCs/>
        </w:rPr>
        <w:t xml:space="preserve">(Modello comportamentale.)</w:t>
      </w:r>
    </w:p>
    <w:p>
      <w:pPr>
        <w:pStyle w:val="BodyText"/>
      </w:pPr>
      <w:r>
        <w:rPr>
          <w:b/>
          <w:bCs/>
        </w:rPr>
        <w:t xml:space="preserve">Cos’è.</w:t>
      </w:r>
      <w:r>
        <w:t xml:space="preserve"> </w:t>
      </w:r>
      <w:r>
        <w:t xml:space="preserve">Training di rilassamento, biofeedback, mindfulness.</w:t>
      </w:r>
      <w:r>
        <w:t xml:space="preserve"> </w:t>
      </w:r>
      <w:r>
        <w:rPr>
          <w:b/>
          <w:bCs/>
        </w:rPr>
        <w:t xml:space="preserve">Non li eroghi tu:</w:t>
      </w:r>
      <w:r>
        <w:t xml:space="preserve"> </w:t>
      </w:r>
      <w:r>
        <w:t xml:space="preserve">li riconosci, li nomini come opzione con prove proprie, e sai a chi mandare.</w:t>
      </w:r>
      <w:r>
        <w:t xml:space="preserve"> </w:t>
      </w:r>
      <w:r>
        <w:rPr>
          <w:b/>
          <w:bCs/>
        </w:rPr>
        <w:t xml:space="preserve">Su quale meccanismo agisce:</w:t>
      </w:r>
      <w:r>
        <w:t xml:space="preserve"> </w:t>
      </w:r>
      <w:r>
        <w:t xml:space="preserve">sul meccanismo 2, il ciclo e il livello di attivazione. È lo strumento del paziente senza reperto cervicale e del Paziente B.</w:t>
      </w:r>
    </w:p>
    <w:p>
      <w:pPr>
        <w:pStyle w:val="BodyText"/>
      </w:pPr>
      <w:r>
        <w:rPr>
          <w:b/>
          <w:bCs/>
        </w:rPr>
        <w:t xml:space="preserve">Cosa hanno misurato gli studi.</w:t>
      </w:r>
      <w:r>
        <w:t xml:space="preserve"> </w:t>
      </w:r>
      <w:r>
        <w:t xml:space="preserve">Su 50 studi e 6.024 adulti, terapia cognitivo-comportamentale, rilassamento e mindfulness possono ciascuna ridurre la frequenza degli attacchi, con forza dell’evidenza bassa; e la mindfulness riduce la disabilità più dell’educazione (Treadwell 2025). In Wells 2021 ha superato l’educazione su disabilità, qualità della vita, autoefficacia, catastrofizzazione e depressione, con effetti mantenuti a trentasei settimane.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w:t>
      </w:r>
    </w:p>
    <w:p>
      <w:pPr>
        <w:pStyle w:val="FirstParagraph"/>
      </w:pPr>
      <w:r>
        <w:rPr>
          <w:b/>
          <w:bCs/>
        </w:rPr>
        <w:t xml:space="preserve">In quanto tempo si vedrebbe.</w:t>
      </w:r>
      <w:r>
        <w:t xml:space="preserve"> </w:t>
      </w:r>
      <w:r>
        <w:t xml:space="preserve">Otto settimane di programma, con gli esiti letti a dodici.</w:t>
      </w:r>
      <w:r>
        <w:t xml:space="preserve"> </w:t>
      </w:r>
      <w:r>
        <w:rPr>
          <w:b/>
          <w:bCs/>
        </w:rPr>
        <w:t xml:space="preserve">Cosa NON fa:</w:t>
      </w:r>
      <w:r>
        <w:t xml:space="preserve"> </w:t>
      </w:r>
      <w:r>
        <w:t xml:space="preserve">non ha ridotto i giorni più dell’educazione; ha spostato la disabilità e il modo in cui il paziente legge il proprio dolore.</w:t>
      </w:r>
      <w:r>
        <w:t xml:space="preserve"> </w:t>
      </w:r>
      <w:r>
        <w:rPr>
          <w:b/>
          <w:bCs/>
        </w:rPr>
        <w:t xml:space="preserve">Come e quando consegnarlo sta nella Procedura.</w:t>
      </w:r>
    </w:p>
    <w:bookmarkEnd w:id="75"/>
    <w:bookmarkStart w:id="76" w:name="strumento-4-le-abitudini-del-sonno"/>
    <w:p>
      <w:pPr>
        <w:pStyle w:val="Heading3"/>
      </w:pPr>
      <w:r>
        <w:t xml:space="preserve">Strumento 4 — Le abitudini del sonno</w:t>
      </w:r>
    </w:p>
    <w:p>
      <w:pPr>
        <w:pStyle w:val="FirstParagraph"/>
      </w:pPr>
      <w:r>
        <w:rPr>
          <w:i/>
          <w:iCs/>
        </w:rPr>
        <w:t xml:space="preserve">(Modello metabolico-energetico.)</w:t>
      </w:r>
    </w:p>
    <w:p>
      <w:pPr>
        <w:pStyle w:val="BodyText"/>
      </w:pPr>
      <w:r>
        <w:rPr>
          <w:b/>
          <w:bCs/>
        </w:rPr>
        <w:t xml:space="preserve">Cos’è.</w:t>
      </w:r>
      <w:r>
        <w:t xml:space="preserve"> </w:t>
      </w:r>
      <w:r>
        <w:t xml:space="preserve">Orario regolare, durata sufficiente, igiene delle ore che precedono il sonno.</w:t>
      </w:r>
      <w:r>
        <w:t xml:space="preserve"> </w:t>
      </w:r>
      <w:r>
        <w:rPr>
          <w:b/>
          <w:bCs/>
        </w:rPr>
        <w:t xml:space="preserve">Su quale meccanismo agisce:</w:t>
      </w:r>
      <w:r>
        <w:t xml:space="preserve"> </w:t>
      </w:r>
      <w:r>
        <w:t xml:space="preserve">sul meccanismo 2 — il sonno è uno degli ingressi con cui l’ipotalamo fissa il guadagno della giornata.</w:t>
      </w:r>
    </w:p>
    <w:p>
      <w:pPr>
        <w:pStyle w:val="BodyText"/>
      </w:pPr>
      <w:r>
        <w:rPr>
          <w:b/>
          <w:bCs/>
        </w:rPr>
        <w:t xml:space="preserve">Cosa hanno misurato gli studi.</w:t>
      </w:r>
      <w:r>
        <w:t xml:space="preserve"> </w:t>
      </w:r>
      <w:r>
        <w:t xml:space="preserve">Su 43 donne con emicrania trasformata, istruzioni sul sonno contro istruzioni placebo hanno ridotto frequenza e intensità: il 48,5% del gruppo trattato è tornato alla forma episodica alla prima visita dopo l’intervento, contro nessuno del controllo (Calhoun &amp; Ford,</w:t>
      </w:r>
      <w:r>
        <w:t xml:space="preserve"> </w:t>
      </w:r>
      <w:r>
        <w:rPr>
          <w:i/>
          <w:iCs/>
        </w:rPr>
        <w:t xml:space="preserve">Headache</w:t>
      </w:r>
      <w:r>
        <w:t xml:space="preserve"> </w:t>
      </w:r>
      <w:r>
        <w:t xml:space="preserve">2007, PMID 17883522).</w:t>
      </w:r>
    </w:p>
    <w:p>
      <w:pPr>
        <w:pStyle w:val="BodyText"/>
      </w:pPr>
      <w:r>
        <w:t xml:space="preserve">E la direzione della freccia fra sonno ed emicrania è stata testata con</w:t>
      </w:r>
      <w:r>
        <w:t xml:space="preserve"> </w:t>
      </w:r>
      <w:r>
        <w:rPr>
          <w:b/>
          <w:bCs/>
        </w:rPr>
        <w:t xml:space="preserve">una randomizzazione mendeliana</w:t>
      </w:r>
      <w:r>
        <w:t xml:space="preserve">, il disegno costruito per la domanda causale. La difficoltà a svegliarsi risulta avere un effetto causale potenziale sul rischio di emicrania (OR 1,37; IC 95% 1,12-1,68). Su nove tratti del sonno nella UK Biobank e 59.674 casi, l’evidenza sui sintomi insonni è solo</w:t>
      </w:r>
      <w:r>
        <w:t xml:space="preserve"> </w:t>
      </w:r>
      <w:r>
        <w:rPr>
          <w:b/>
          <w:bCs/>
        </w:rPr>
        <w:t xml:space="preserve">nominale</w:t>
      </w:r>
      <w:r>
        <w:t xml:space="preserve">, ed è minima nella direzione opposta (Daghlas,</w:t>
      </w:r>
      <w:r>
        <w:t xml:space="preserve"> </w:t>
      </w:r>
      <w:r>
        <w:rPr>
          <w:i/>
          <w:iCs/>
        </w:rPr>
        <w:t xml:space="preserve">Ann Clin Transl Neurol</w:t>
      </w:r>
      <w:r>
        <w:t xml:space="preserve"> </w:t>
      </w:r>
      <w:r>
        <w:t xml:space="preserve">2020, PMID 33125193).</w:t>
      </w:r>
      <w:r>
        <w:t xml:space="preserve"> </w:t>
      </w:r>
      <w:r>
        <w:rPr>
          <w:i/>
          <w:iCs/>
        </w:rPr>
        <w:t xml:space="preserve">Misurato su varianti genetiche in centinaia di migliaia di persone, non su un paziente che cambia le proprie abitudini: dice che dormire male alza il rischio, non che sistemare il sonno abbassi i giorni di questo paziente.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il dato di intervento è un pilota di un solo centro su 43 donne, mai replicato sull’emicrania episodica. Il dato causale è robusto ma genetico, e non misura un cambio di abitudini.</w:t>
      </w:r>
    </w:p>
    <w:p>
      <w:pPr>
        <w:pStyle w:val="FirstParagraph"/>
      </w:pPr>
      <w:r>
        <w:rPr>
          <w:b/>
          <w:bCs/>
        </w:rPr>
        <w:t xml:space="preserve">In quanto tempo si vedrebbe.</w:t>
      </w:r>
      <w:r>
        <w:t xml:space="preserve"> </w:t>
      </w:r>
      <w:r>
        <w:t xml:space="preserve">Sei settimane per la prima verifica, dodici per il dato sul ritorno alla forma episodica.</w:t>
      </w:r>
    </w:p>
    <w:p>
      <w:pPr>
        <w:pStyle w:val="BodyText"/>
      </w:pPr>
      <w:r>
        <w:rPr>
          <w:b/>
          <w:bCs/>
        </w:rPr>
        <w:t xml:space="preserve">Cosa NON fa.</w:t>
      </w:r>
      <w:r>
        <w:t xml:space="preserve"> </w:t>
      </w:r>
      <w:r>
        <w:t xml:space="preserve">Non sostituisce la valutazione di un disturbo del sonno vero, che è del medico.</w:t>
      </w:r>
    </w:p>
    <w:p>
      <w:pPr>
        <w:pStyle w:val="BodyText"/>
      </w:pPr>
      <w:r>
        <w:rPr>
          <w:b/>
          <w:bCs/>
        </w:rPr>
        <w:t xml:space="preserve">Come e quando consegnarlo al tuo paziente sta nella Procedura.</w:t>
      </w:r>
    </w:p>
    <w:p>
      <w:pPr>
        <w:pStyle w:val="BodyText"/>
      </w:pPr>
      <w:r>
        <w:rPr>
          <w:b/>
          <w:bCs/>
        </w:rPr>
        <w:t xml:space="preserve">Le tre cose da ricordare, più una</w:t>
      </w:r>
    </w:p>
    <w:p>
      <w:pPr>
        <w:pStyle w:val="Compact"/>
        <w:numPr>
          <w:ilvl w:val="0"/>
          <w:numId w:val="1028"/>
        </w:numPr>
      </w:pPr>
      <w:r>
        <w:t xml:space="preserve">L’intervento con le prove migliori su questa condizione è l’esercizio, e non lo fai tu: lo insegni.</w:t>
      </w:r>
    </w:p>
    <w:p>
      <w:pPr>
        <w:pStyle w:val="Compact"/>
        <w:numPr>
          <w:ilvl w:val="0"/>
          <w:numId w:val="1028"/>
        </w:numPr>
      </w:pPr>
      <w:r>
        <w:t xml:space="preserve">La banda onesta è uno-tre giorni al mese, e la finestra è di tre mesi, non di tre settimane.</w:t>
      </w:r>
    </w:p>
    <w:p>
      <w:pPr>
        <w:pStyle w:val="Compact"/>
        <w:numPr>
          <w:ilvl w:val="0"/>
          <w:numId w:val="1028"/>
        </w:numPr>
      </w:pPr>
      <w:r>
        <w:t xml:space="preserve">Il paziente senza reperto cervicale ha quattro strumenti, e nessuno dei quattro sta nelle tue mani.</w:t>
      </w:r>
    </w:p>
    <w:p>
      <w:pPr>
        <w:pStyle w:val="Compact"/>
        <w:numPr>
          <w:ilvl w:val="0"/>
          <w:numId w:val="1028"/>
        </w:numPr>
      </w:pPr>
      <w:r>
        <w:rPr>
          <w:b/>
          <w:bCs/>
        </w:rPr>
        <w:t xml:space="preserve">Perché ci sei tu.</w:t>
      </w:r>
      <w:r>
        <w:t xml:space="preserve"> </w:t>
      </w:r>
      <w:r>
        <w:t xml:space="preserve">In una rete di ventuno studi l’allenamento di forza toglie 3,55 giorni di emicrania al mese, più di qualunque altro intervento confrontato (Woldeamanuel,</w:t>
      </w:r>
      <w:r>
        <w:t xml:space="preserve"> </w:t>
      </w:r>
      <w:r>
        <w:rPr>
          <w:i/>
          <w:iCs/>
        </w:rPr>
        <w:t xml:space="preserve">J Headache Pain</w:t>
      </w:r>
      <w:r>
        <w:t xml:space="preserve"> </w:t>
      </w:r>
      <w:r>
        <w:t xml:space="preserve">2022, PMID 36229774). E in un confronto diretto tre mesi di esercizio hanno ridotto gli attacchi quanto il topiramato alla massima dose tollerata (Varkey,</w:t>
      </w:r>
      <w:r>
        <w:t xml:space="preserve"> </w:t>
      </w:r>
      <w:r>
        <w:rPr>
          <w:i/>
          <w:iCs/>
        </w:rPr>
        <w:t xml:space="preserve">Cephalalgia</w:t>
      </w:r>
      <w:r>
        <w:t xml:space="preserve"> </w:t>
      </w:r>
      <w:r>
        <w:t xml:space="preserve">2011, PMID 21890526). Questo ti autorizza a mettere l’esercizio al centro e a insegnarlo: nessun altro nel percorso del paziente ha il tempo per farlo. Non ti autorizza a presentarlo come alternativa alla terapia prescritta.</w:t>
      </w:r>
    </w:p>
    <w:p>
      <w:r>
        <w:pict>
          <v:rect style="width:0;height:1.5pt" o:hralign="center" o:hrstd="t" o:hr="t"/>
        </w:pict>
      </w:r>
    </w:p>
    <w:bookmarkEnd w:id="76"/>
    <w:bookmarkEnd w:id="77"/>
    <w:bookmarkStart w:id="81"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frase che funziona è quella che separa il terreno da quello che lo accende, e che non attribuisce niente prima di averlo cercato.</w:t>
      </w:r>
    </w:p>
    <w:bookmarkStart w:id="78" w:name="lo-script"/>
    <w:p>
      <w:pPr>
        <w:pStyle w:val="Heading3"/>
      </w:pPr>
      <w:r>
        <w:t xml:space="preserve">Lo script</w:t>
      </w:r>
    </w:p>
    <w:p>
      <w:pPr>
        <w:pStyle w:val="FirstParagraph"/>
      </w:pPr>
      <w:r>
        <w:rPr>
          <w:i/>
          <w:iCs/>
        </w:rPr>
        <w:t xml:space="preserve">“L’emicrania è un cervello che sente più forte del normale: quello è il terreno, e non lo cambio io. Io guardo un’altra cosa: se nel suo caso il collo e la mandibola stanno aggiungendo carico. Adesso lo verifichiamo con un test. Se trovo qualcosa che le riproduce il dolore, lavoro su quello, lo misuro prima e dopo, e in un tempo definito le dico se si è mosso. Se non trovo niente, glielo dico. Il suo medico continua a seguirla: le due cose stanno insieme.”</w:t>
      </w:r>
    </w:p>
    <w:bookmarkEnd w:id="78"/>
    <w:bookmarkStart w:id="79" w:name="le-obiezioni-e-le-risposte-oneste"/>
    <w:p>
      <w:pPr>
        <w:pStyle w:val="Heading3"/>
      </w:pPr>
      <w:r>
        <w:t xml:space="preserve">Le obiezioni, e le risposte oneste</w:t>
      </w:r>
    </w:p>
    <w:p>
      <w:pPr>
        <w:pStyle w:val="FirstParagraph"/>
      </w:pPr>
      <w:r>
        <w:rPr>
          <w:b/>
          <w:bCs/>
        </w:rPr>
        <w:t xml:space="preserve">“Il neurologo mi segue già.”</w:t>
      </w:r>
      <w:r>
        <w:t xml:space="preserve"> </w:t>
      </w:r>
      <w:r>
        <w:rPr>
          <w:i/>
          <w:iCs/>
        </w:rPr>
        <w:t xml:space="preserve">“Continui con lui, e mi dica chi è che gli scrivo. Io lavoro su collo e mandibola, la parte che la sua terapia non tocca. Se trovo qualcosa, glielo faccio sapere.”</w:t>
      </w:r>
    </w:p>
    <w:p>
      <w:pPr>
        <w:pStyle w:val="BodyText"/>
      </w:pPr>
      <w:r>
        <w:rPr>
          <w:b/>
          <w:bCs/>
        </w:rPr>
        <w:t xml:space="preserve">“L’emicrania è neurologica: cosa c’entrano le mani?”</w:t>
      </w:r>
      <w:r>
        <w:t xml:space="preserve"> </w:t>
      </w:r>
      <w:r>
        <w:rPr>
          <w:i/>
          <w:iCs/>
        </w:rPr>
        <w:t xml:space="preserve">“Ha ragione, il terreno è neurologico. Il collo e la testa però finiscono sugli stessi nervi nel midollo alto: è anatomia, non un’opinione. Fra un minuto le faccio un test, e vediamo insieme se nel suo caso quel collegamento c’è o non c’è.”</w:t>
      </w:r>
    </w:p>
    <w:p>
      <w:pPr>
        <w:pStyle w:val="BodyText"/>
      </w:pPr>
      <w:r>
        <w:rPr>
          <w:b/>
          <w:bCs/>
        </w:rPr>
        <w:t xml:space="preserve">“Ho già provato di tutto.”</w:t>
      </w:r>
      <w:r>
        <w:t xml:space="preserve"> </w:t>
      </w:r>
      <w:r>
        <w:rPr>
          <w:i/>
          <w:iCs/>
        </w:rPr>
        <w:t xml:space="preserve">“Quasi tutto quello che ha provato guardava dentro la testa. Io controllo altro: primi tre segmenti del collo, nuca, temporale, mandibola, un punto sul bordo dell’orbita. Se nessuno le riproduce il dolore, glielo dico e non le vendo un ciclo.”</w:t>
      </w:r>
    </w:p>
    <w:p>
      <w:pPr>
        <w:pStyle w:val="BodyText"/>
      </w:pPr>
      <w:r>
        <w:rPr>
          <w:b/>
          <w:bCs/>
        </w:rPr>
        <w:t xml:space="preserve">“Mi promettete che gli attacchi spariscono?”</w:t>
      </w:r>
      <w:r>
        <w:t xml:space="preserve"> </w:t>
      </w:r>
      <w:r>
        <w:rPr>
          <w:i/>
          <w:iCs/>
        </w:rPr>
        <w:t xml:space="preserve">“No, e nessuno onesto glielo prometterà. Gli studi sulla terapia manuale nell’emicrania sono pochi e discordi, e il migliore non ha trovato differenza rispetto a un finto trattamento. Le prometto un metodo: misuro qualcosa prima, misuro dopo, e in un tempo definito le dico se si è mosso.”</w:t>
      </w:r>
    </w:p>
    <w:p>
      <w:pPr>
        <w:pStyle w:val="BodyText"/>
      </w:pPr>
      <w:r>
        <w:rPr>
          <w:b/>
          <w:bCs/>
        </w:rPr>
        <w:t xml:space="preserve">“Perché non mi tratta?”</w:t>
      </w:r>
      <w:r>
        <w:t xml:space="preserve"> </w:t>
      </w:r>
      <w:r>
        <w:rPr>
          <w:i/>
          <w:iCs/>
        </w:rPr>
        <w:t xml:space="preserve">“Perché una cosa che ha raccontato non torna con l’emicrania, e va guardata prima. Le scrivo cosa ho visto e a chi rivolgersi. Non è un rifiuto: è l’ordine giusto.”</w:t>
      </w:r>
    </w:p>
    <w:p>
      <w:pPr>
        <w:pStyle w:val="BodyText"/>
      </w:pPr>
      <w:r>
        <w:rPr>
          <w:b/>
          <w:bCs/>
        </w:rPr>
        <w:t xml:space="preserve">“Se faccio sport mi viene il mal di testa.”</w:t>
      </w:r>
      <w:r>
        <w:t xml:space="preserve"> </w:t>
      </w:r>
      <w:r>
        <w:rPr>
          <w:i/>
          <w:iCs/>
        </w:rPr>
        <w:t xml:space="preserve">“Succede, ed è un motivo per partire piano, non per non partire. Negli studi chi si è allenato con regolarità ha avuto meno giorni di mal di testa al mese, e gli attacchi partiti subito dopo un allenamento sono stati rarissimi. L’esercizio è la cosa con le prove migliori che le posso insegnare.”</w:t>
      </w:r>
    </w:p>
    <w:bookmarkEnd w:id="79"/>
    <w:bookmarkStart w:id="80" w:name="cosa-non-promettere-mai"/>
    <w:p>
      <w:pPr>
        <w:pStyle w:val="Heading3"/>
      </w:pPr>
      <w:r>
        <w:t xml:space="preserve">Cosa non promettere mai</w:t>
      </w:r>
    </w:p>
    <w:p>
      <w:pPr>
        <w:pStyle w:val="FirstParagraph"/>
      </w:pPr>
      <w:r>
        <w:t xml:space="preserve">Mai la sparizione degli attacchi. Mai una riduzione numerica dei giorni. Mai che il collo sia la causa dell’emicrania. Mai suggerire di ridurre o sospendere un farmaco. E mai</w:t>
      </w:r>
      <w:r>
        <w:t xml:space="preserve"> </w:t>
      </w:r>
      <w:r>
        <w:rPr>
          <w:i/>
          <w:iCs/>
        </w:rPr>
        <w:t xml:space="preserve">“gli studi lo confermano”</w:t>
      </w:r>
      <w:r>
        <w:t xml:space="preserve">: qui non lo confermano.</w:t>
      </w:r>
    </w:p>
    <w:p>
      <w:pPr>
        <w:pStyle w:val="BodyText"/>
      </w:pPr>
      <w:r>
        <w:rPr>
          <w:b/>
          <w:bCs/>
        </w:rPr>
        <w:t xml:space="preserve">Le tre cose da ricordare, più una</w:t>
      </w:r>
    </w:p>
    <w:p>
      <w:pPr>
        <w:pStyle w:val="Compact"/>
        <w:numPr>
          <w:ilvl w:val="0"/>
          <w:numId w:val="1029"/>
        </w:numPr>
      </w:pPr>
      <w:r>
        <w:t xml:space="preserve">Lo script separa il terreno da quello che lo accende, e non attribuisce niente prima del test.</w:t>
      </w:r>
    </w:p>
    <w:p>
      <w:pPr>
        <w:pStyle w:val="Compact"/>
        <w:numPr>
          <w:ilvl w:val="0"/>
          <w:numId w:val="1029"/>
        </w:numPr>
      </w:pPr>
      <w:r>
        <w:t xml:space="preserve">La convivenza va detta come convivenza: io lavoro sulla componente meccanica, il medico segue l’emicrania.</w:t>
      </w:r>
    </w:p>
    <w:p>
      <w:pPr>
        <w:pStyle w:val="Compact"/>
        <w:numPr>
          <w:ilvl w:val="0"/>
          <w:numId w:val="1029"/>
        </w:numPr>
      </w:pPr>
      <w:r>
        <w:t xml:space="preserve">Il test di riproduzione fatto davanti al paziente vale più di qualunque spiegazione.</w:t>
      </w:r>
    </w:p>
    <w:p>
      <w:pPr>
        <w:pStyle w:val="Compact"/>
        <w:numPr>
          <w:ilvl w:val="0"/>
          <w:numId w:val="1029"/>
        </w:numPr>
      </w:pPr>
      <w:r>
        <w:rPr>
          <w:b/>
          <w:bCs/>
        </w:rPr>
        <w:t xml:space="preserve">Perché ci sei tu.</w:t>
      </w:r>
      <w:r>
        <w:t xml:space="preserve"> </w:t>
      </w:r>
      <w:r>
        <w:t xml:space="preserve">Dove l’educazione sulla cefalea era il braccio di confronto, quel solo programma ha tolto 2,0 giorni di emicrania al mese a dodici settimane (Wells,</w:t>
      </w:r>
      <w:r>
        <w:t xml:space="preserve"> </w:t>
      </w:r>
      <w:r>
        <w:rPr>
          <w:i/>
          <w:iCs/>
        </w:rPr>
        <w:t xml:space="preserve">JAMA Intern Med</w:t>
      </w:r>
      <w:r>
        <w:t xml:space="preserve"> </w:t>
      </w:r>
      <w:r>
        <w:t xml:space="preserve">2021, PMID 33315046). Questo ti autorizza a considerare la spiegazione un atto clinico e a dedicarle tempo. Non ti autorizza a chiamarla terapia: quel braccio non aveva un gruppo senza trattamento.</w:t>
      </w:r>
    </w:p>
    <w:p>
      <w:r>
        <w:pict>
          <v:rect style="width:0;height:1.5pt" o:hralign="center" o:hrstd="t" o:hr="t"/>
        </w:pict>
      </w:r>
    </w:p>
    <w:bookmarkEnd w:id="80"/>
    <w:bookmarkEnd w:id="81"/>
    <w:bookmarkStart w:id="83" w:name="capitolo-14-cosa-fare-adesso"/>
    <w:p>
      <w:pPr>
        <w:pStyle w:val="Heading2"/>
      </w:pPr>
      <w:r>
        <w:t xml:space="preserve">Capitolo 14 — Cosa fare adesso</w:t>
      </w:r>
    </w:p>
    <w:p>
      <w:pPr>
        <w:pStyle w:val="BlockText"/>
      </w:pPr>
      <w:r>
        <w:rPr>
          <w:b/>
          <w:bCs/>
        </w:rPr>
        <w:t xml:space="preserve">In una riga:</w:t>
      </w:r>
      <w:r>
        <w:t xml:space="preserve"> </w:t>
      </w:r>
      <w:r>
        <w:t xml:space="preserve">hai imparato a distinguere il terreno da quello che lo accende, e a misurare la differenza invece di raccontarla.</w:t>
      </w:r>
    </w:p>
    <w:p>
      <w:pPr>
        <w:pStyle w:val="FirstParagraph"/>
      </w:pPr>
      <w:r>
        <w:t xml:space="preserve">Il paziente che ti arriva ha escluso il grave e non ha ricevuto una spiegazione. Quello che si rompe è un sistema che filtra male, e il filtro sta in un punto del midollo alto dove faccia, dura madre e collo finiscono sugli stessi neuroni.</w:t>
      </w:r>
    </w:p>
    <w:p>
      <w:pPr>
        <w:pStyle w:val="BodyText"/>
      </w:pPr>
      <w:r>
        <w:t xml:space="preserve">Un reperto muscolo-scheletrico c’è quasi sempre (Luedtke 2018). Il dolore al collo durante l’attacco riguarda poco più di quattro emicranici su dieci, e fra questi solo uno su tre lo vive come innesco (Pradhan 2018).</w:t>
      </w:r>
      <w:r>
        <w:t xml:space="preserve"> </w:t>
      </w:r>
      <w:r>
        <w:rPr>
          <w:b/>
          <w:bCs/>
        </w:rPr>
        <w:t xml:space="preserve">Distinguere quel terzo è il lavoro.</w:t>
      </w:r>
    </w:p>
    <w:p>
      <w:pPr>
        <w:pStyle w:val="BodyText"/>
      </w:pPr>
      <w:r>
        <w:t xml:space="preserve">Le tue mani hanno una via reale verso quel punto, e un effetto piccolo: sposti la soglia dolorosa, non il numero di attacchi, e la leva più grande la insegni invece di applicarla. E il confine è netto: una popolazione a rischio aumentato per la dissecazione, e sopra i cinquant’anni un temporale dolente che può non essere tuo.</w:t>
      </w:r>
    </w:p>
    <w:p>
      <w:pPr>
        <w:pStyle w:val="BodyText"/>
      </w:pPr>
      <w:r>
        <w:rPr>
          <w:b/>
          <w:bCs/>
        </w:rPr>
        <w:t xml:space="preserve">Quando sei autonomo su questa condizione.</w:t>
      </w:r>
      <w:r>
        <w:t xml:space="preserve"> </w:t>
      </w:r>
      <w:r>
        <w:t xml:space="preserve">Non quando sai ripetere i cinque meccanismi. Lo sei quando distingui senza esitare il paziente in cui la pressione riferisce in testa da quello senza reperto; quando riconosci il paziente su cui puoi poco e sai cosa insegnargli; e quando sai dire a un medico cosa possiamo e cosa non possiamo affermare.</w:t>
      </w:r>
    </w:p>
    <w:bookmarkStart w:id="82" w:name="le-tre-cose-che-cambi-da-lunedì"/>
    <w:p>
      <w:pPr>
        <w:pStyle w:val="Heading3"/>
      </w:pPr>
      <w:r>
        <w:t xml:space="preserve">Le tre cose che cambi da lunedì</w:t>
      </w:r>
    </w:p>
    <w:p>
      <w:pPr>
        <w:pStyle w:val="Compact"/>
        <w:numPr>
          <w:ilvl w:val="0"/>
          <w:numId w:val="1030"/>
        </w:numPr>
      </w:pPr>
      <w:r>
        <w:rPr>
          <w:b/>
          <w:bCs/>
        </w:rPr>
        <w:t xml:space="preserve">Guarda</w:t>
      </w:r>
      <w:r>
        <w:t xml:space="preserve"> </w:t>
      </w:r>
      <w:r>
        <w:t xml:space="preserve">se la pressione sostenuta sui segmenti cervicali alti sposta il dolore in testa. Dieci secondi,</w:t>
      </w:r>
      <w:r>
        <w:t xml:space="preserve"> </w:t>
      </w:r>
      <w:r>
        <w:rPr>
          <w:b/>
          <w:bCs/>
        </w:rPr>
        <w:t xml:space="preserve">dopo le due domande di sicurezza</w:t>
      </w:r>
      <w:r>
        <w:t xml:space="preserve"> </w:t>
      </w:r>
      <w:r>
        <w:t xml:space="preserve">e prima di qualunque altra cosa. Poi scrivi in cartella in quale dei tre gruppi sta.</w:t>
      </w:r>
    </w:p>
    <w:p>
      <w:pPr>
        <w:pStyle w:val="Compact"/>
        <w:numPr>
          <w:ilvl w:val="0"/>
          <w:numId w:val="1030"/>
        </w:numPr>
      </w:pPr>
      <w:r>
        <w:rPr>
          <w:b/>
          <w:bCs/>
        </w:rPr>
        <w:t xml:space="preserve">Chiedi</w:t>
      </w:r>
      <w:r>
        <w:t xml:space="preserve"> </w:t>
      </w:r>
      <w:r>
        <w:t xml:space="preserve">in che punto del ciclo emicranico è oggi, prima di prendere qualunque misura. E alla donna chiedi di segnare le mestruazioni sul diario. Senza queste due cose i tuoi numeri non sono confrontabili.</w:t>
      </w:r>
    </w:p>
    <w:p>
      <w:pPr>
        <w:pStyle w:val="Compact"/>
        <w:numPr>
          <w:ilvl w:val="0"/>
          <w:numId w:val="1030"/>
        </w:numPr>
      </w:pPr>
      <w:r>
        <w:rPr>
          <w:b/>
          <w:bCs/>
        </w:rPr>
        <w:t xml:space="preserve">Smetti</w:t>
      </w:r>
      <w:r>
        <w:t xml:space="preserve"> </w:t>
      </w:r>
      <w:r>
        <w:t xml:space="preserve">di dire che il collo causa l’emicrania. Dici cosa hai trovato e cosa quel reperto riproduce, e lasci la causa fuori dalla frase.</w:t>
      </w:r>
    </w:p>
    <w:p>
      <w:pPr>
        <w:pStyle w:val="FirstParagraph"/>
      </w:pPr>
      <w:r>
        <w:rPr>
          <w:i/>
          <w:iCs/>
        </w:rPr>
        <w:t xml:space="preserve">Su questa condizione non sei il protagonista, e questo non ti toglie niente. Sei l’unico nel percorso di quella persona che le mette le mani addosso con un’ipotesi scritta, una misura presa prima e una scadenza dichiarata. Falla bene, quella misura: è tutto quello che serve.</w:t>
      </w:r>
    </w:p>
    <w:p>
      <w:pPr>
        <w:pStyle w:val="BodyText"/>
      </w:pPr>
      <w:r>
        <w:rPr>
          <w:b/>
          <w:bCs/>
        </w:rPr>
        <w:t xml:space="preserve">Le tre cose da ricordare, più una</w:t>
      </w:r>
    </w:p>
    <w:p>
      <w:pPr>
        <w:pStyle w:val="Compact"/>
        <w:numPr>
          <w:ilvl w:val="0"/>
          <w:numId w:val="1031"/>
        </w:numPr>
      </w:pPr>
      <w:r>
        <w:t xml:space="preserve">Guarda se la palpazione cervicale alta riferisce in testa, e scrivilo.</w:t>
      </w:r>
    </w:p>
    <w:p>
      <w:pPr>
        <w:pStyle w:val="Compact"/>
        <w:numPr>
          <w:ilvl w:val="0"/>
          <w:numId w:val="1031"/>
        </w:numPr>
      </w:pPr>
      <w:r>
        <w:t xml:space="preserve">Chiedi la fase del ciclo prima di misurare, e fai segnare le mestruazioni sul diario.</w:t>
      </w:r>
    </w:p>
    <w:p>
      <w:pPr>
        <w:pStyle w:val="Compact"/>
        <w:numPr>
          <w:ilvl w:val="0"/>
          <w:numId w:val="1031"/>
        </w:numPr>
      </w:pPr>
      <w:r>
        <w:t xml:space="preserve">Smetti di dire che il collo causa l’emicrania.</w:t>
      </w:r>
    </w:p>
    <w:p>
      <w:pPr>
        <w:pStyle w:val="Compact"/>
        <w:numPr>
          <w:ilvl w:val="0"/>
          <w:numId w:val="1031"/>
        </w:numPr>
      </w:pPr>
      <w:r>
        <w:rPr>
          <w:b/>
          <w:bCs/>
        </w:rPr>
        <w:t xml:space="preserve">Perché ci sei tu.</w:t>
      </w:r>
      <w:r>
        <w:t xml:space="preserve"> </w:t>
      </w:r>
      <w:r>
        <w:t xml:space="preserve">Un solo studio ha applicato la palpazione cervicale sostenuta anche a persone senza mal di testa: 8 su 14 hanno riferito dolore in testa, e nessuna manovra sul braccio lo ha prodotto in nessuno (Watson &amp; Drummond,</w:t>
      </w:r>
      <w:r>
        <w:t xml:space="preserve"> </w:t>
      </w:r>
      <w:r>
        <w:rPr>
          <w:i/>
          <w:iCs/>
        </w:rPr>
        <w:t xml:space="preserve">Headache</w:t>
      </w:r>
      <w:r>
        <w:t xml:space="preserve"> </w:t>
      </w:r>
      <w:r>
        <w:t xml:space="preserve">2012, PMID 22607581). Questo ti autorizza a usare quel test come bersaglio da trattare e da rimisurare. Non ti autorizza a leggerlo come un segno della malattia: quel test misura la sede, non la diagnosi.</w:t>
      </w:r>
    </w:p>
    <w:p>
      <w:r>
        <w:pict>
          <v:rect style="width:0;height:1.5pt" o:hralign="center" o:hrstd="t" o:hr="t"/>
        </w:pict>
      </w:r>
    </w:p>
    <w:bookmarkEnd w:id="82"/>
    <w:bookmarkEnd w:id="83"/>
    <w:bookmarkStart w:id="84" w:name="appendice-a-glossario"/>
    <w:p>
      <w:pPr>
        <w:pStyle w:val="Heading2"/>
      </w:pPr>
      <w:r>
        <w:t xml:space="preserve">Appendice A — Glossario</w:t>
      </w:r>
    </w:p>
    <w:p>
      <w:pPr>
        <w:pStyle w:val="FirstParagraph"/>
      </w:pPr>
      <w:r>
        <w:rPr>
          <w:b/>
          <w:bCs/>
        </w:rPr>
        <w:t xml:space="preserve">Allodinia</w:t>
      </w:r>
      <w:r>
        <w:t xml:space="preserve"> </w:t>
      </w:r>
      <w:r>
        <w:t xml:space="preserve">— dolore provocato da uno stimolo che normalmente non fa male, come pettinarsi o indossare gli occhiali.</w:t>
      </w:r>
      <w:r>
        <w:t xml:space="preserve"> </w:t>
      </w:r>
      <w:r>
        <w:rPr>
          <w:b/>
          <w:bCs/>
        </w:rPr>
        <w:t xml:space="preserve">Cefalica</w:t>
      </w:r>
      <w:r>
        <w:t xml:space="preserve"> </w:t>
      </w:r>
      <w:r>
        <w:t xml:space="preserve">sulla testa, di secondo ordine;</w:t>
      </w:r>
      <w:r>
        <w:t xml:space="preserve"> </w:t>
      </w:r>
      <w:r>
        <w:rPr>
          <w:b/>
          <w:bCs/>
        </w:rPr>
        <w:t xml:space="preserve">extra-cefalica</w:t>
      </w:r>
      <w:r>
        <w:t xml:space="preserve"> </w:t>
      </w:r>
      <w:r>
        <w:t xml:space="preserve">su braccio, tronco o gamba, di terzo ordine, talamica.</w:t>
      </w:r>
    </w:p>
    <w:p>
      <w:pPr>
        <w:pStyle w:val="BodyText"/>
      </w:pPr>
      <w:r>
        <w:rPr>
          <w:b/>
          <w:bCs/>
        </w:rPr>
        <w:t xml:space="preserve">Arterite a cellule giganti</w:t>
      </w:r>
      <w:r>
        <w:t xml:space="preserve"> </w:t>
      </w:r>
      <w:r>
        <w:t xml:space="preserve">— infiammazione arteriosa dopo i cinquant’anni: tempia dolente nuova, dolore alla masticazione, cuoio capelluto dolente. Non trattata porta alla cecità.</w:t>
      </w:r>
    </w:p>
    <w:p>
      <w:pPr>
        <w:pStyle w:val="BodyText"/>
      </w:pPr>
      <w:r>
        <w:rPr>
          <w:b/>
          <w:bCs/>
        </w:rPr>
        <w:t xml:space="preserve">Arteria vertebrale, tratto V3</w:t>
      </w:r>
      <w:r>
        <w:t xml:space="preserve"> </w:t>
      </w:r>
      <w:r>
        <w:t xml:space="preserve">— il segmento che esce da C2, gira sull’arco posteriore dell’atlante e perfora la membrana atlanto-occipitale: passa dentro il triangolo sub-occipitale.</w:t>
      </w:r>
    </w:p>
    <w:p>
      <w:pPr>
        <w:pStyle w:val="BodyText"/>
      </w:pPr>
      <w:r>
        <w:rPr>
          <w:b/>
          <w:bCs/>
        </w:rPr>
        <w:t xml:space="preserve">Aura</w:t>
      </w:r>
      <w:r>
        <w:t xml:space="preserve"> </w:t>
      </w:r>
      <w:r>
        <w:t xml:space="preserve">— sintomo neurologico che precede o accompagna l’attacco, si sviluppa in cinque-venti minuti e dura meno di un’ora.</w:t>
      </w:r>
    </w:p>
    <w:p>
      <w:pPr>
        <w:pStyle w:val="BodyText"/>
      </w:pPr>
      <w:r>
        <w:rPr>
          <w:b/>
          <w:bCs/>
        </w:rPr>
        <w:t xml:space="preserve">Campo recettivo</w:t>
      </w:r>
      <w:r>
        <w:t xml:space="preserve"> </w:t>
      </w:r>
      <w:r>
        <w:t xml:space="preserve">— l’area di pelle o di tessuto da cui un neurone accetta segnali. Nella sensibilizzazione si allarga.</w:t>
      </w:r>
    </w:p>
    <w:p>
      <w:pPr>
        <w:pStyle w:val="BodyText"/>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BodyText"/>
      </w:pPr>
      <w:r>
        <w:rPr>
          <w:b/>
          <w:bCs/>
        </w:rPr>
        <w:t xml:space="preserve">Cefalea da uso eccessivo di farmaci</w:t>
      </w:r>
      <w:r>
        <w:t xml:space="preserve"> </w:t>
      </w:r>
      <w:r>
        <w:t xml:space="preserve">— mal di testa quotidiano o quasi che si instaura assumendo sintomatici oltre una soglia di giorni al mese, per più di tre mesi.</w:t>
      </w:r>
    </w:p>
    <w:p>
      <w:pPr>
        <w:pStyle w:val="BodyText"/>
      </w:pPr>
      <w:r>
        <w:rPr>
          <w:b/>
          <w:bCs/>
        </w:rPr>
        <w:t xml:space="preserve">Cefalea primaria</w:t>
      </w:r>
      <w:r>
        <w:t xml:space="preserve"> </w:t>
      </w:r>
      <w:r>
        <w:t xml:space="preserve">— mal di testa che non dipende da un’altra malattia: l’emicrania è una di queste.</w:t>
      </w:r>
    </w:p>
    <w:p>
      <w:pPr>
        <w:pStyle w:val="BodyText"/>
      </w:pPr>
      <w:r>
        <w:rPr>
          <w:b/>
          <w:bCs/>
        </w:rPr>
        <w:t xml:space="preserve">CGRP</w:t>
      </w:r>
      <w:r>
        <w:t xml:space="preserve"> </w:t>
      </w:r>
      <w:r>
        <w:t xml:space="preserve">— la molecola che media il dolore nel sistema trigemino-vascolare. Contro di essa esistono anticorpi monoclonali iniettivi e gepanti orali, usati in profilassi.</w:t>
      </w:r>
    </w:p>
    <w:p>
      <w:pPr>
        <w:pStyle w:val="BodyText"/>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Complesso trigemino-cervicale</w:t>
      </w:r>
      <w:r>
        <w:t xml:space="preserve"> </w:t>
      </w:r>
      <w:r>
        <w:t xml:space="preserve">— la colonna continua di neuroni formata dal nucleo caudale del trigemino e dalle corna dorsali dei primi tre segmenti cervicali.</w:t>
      </w:r>
    </w:p>
    <w:p>
      <w:pPr>
        <w:pStyle w:val="BodyText"/>
      </w:pPr>
      <w:r>
        <w:rPr>
          <w:b/>
          <w:bCs/>
        </w:rPr>
        <w:t xml:space="preserve">Conduttanza cutanea</w:t>
      </w:r>
      <w:r>
        <w:t xml:space="preserve"> </w:t>
      </w:r>
      <w:r>
        <w:t xml:space="preserve">— la corrente che la pelle lascia passare: sale quando sale l’attività del sistema nervoso simpatico.</w:t>
      </w:r>
    </w:p>
    <w:p>
      <w:pPr>
        <w:pStyle w:val="BodyText"/>
      </w:pPr>
      <w:r>
        <w:rPr>
          <w:b/>
          <w:bCs/>
        </w:rPr>
        <w:t xml:space="preserve">DIMOSTRATO</w:t>
      </w:r>
      <w:r>
        <w:t xml:space="preserve"> </w:t>
      </w:r>
      <w:r>
        <w:t xml:space="preserve">— etichetta di solidità: studi sull’uomo, solidi.</w:t>
      </w:r>
    </w:p>
    <w:p>
      <w:pPr>
        <w:pStyle w:val="BodyText"/>
      </w:pPr>
      <w:r>
        <w:rPr>
          <w:b/>
          <w:bCs/>
        </w:rPr>
        <w:t xml:space="preserve">Disfunzione somatica</w:t>
      </w:r>
      <w:r>
        <w:t xml:space="preserve"> </w:t>
      </w:r>
      <w:r>
        <w:t xml:space="preserve">— alterazione della funzione di una parte del sistema muscolo-scheletrico e delle strutture collegate, riconoscibile all’esame manuale. È una descrizione di funzione, non una diagnosi di malattia.</w:t>
      </w:r>
    </w:p>
    <w:p>
      <w:pPr>
        <w:pStyle w:val="BodyText"/>
      </w:pPr>
      <w:r>
        <w:rPr>
          <w:b/>
          <w:bCs/>
        </w:rPr>
        <w:t xml:space="preserve">Dissecazione dell’arteria cervicale</w:t>
      </w:r>
      <w:r>
        <w:t xml:space="preserve"> </w:t>
      </w:r>
      <w:r>
        <w:t xml:space="preserve">— lacerazione della parete interna della vertebrale o della carotide, che può formare un coagulo e dare un ictus. Rara, si annuncia con dolore al collo e mal di testa nuovi, anche giorni prima di qualunque segno neurologico.</w:t>
      </w:r>
    </w:p>
    <w:p>
      <w:pPr>
        <w:pStyle w:val="BodyText"/>
      </w:pPr>
      <w:r>
        <w:rPr>
          <w:b/>
          <w:bCs/>
        </w:rPr>
        <w:t xml:space="preserve">Dura madre</w:t>
      </w:r>
      <w:r>
        <w:t xml:space="preserve"> </w:t>
      </w:r>
      <w:r>
        <w:t xml:space="preserve">— la membrana che riveste il cervello, innervata dal trigemino. Il cervello non sente dolore, lei sì.</w:t>
      </w:r>
    </w:p>
    <w:p>
      <w:pPr>
        <w:pStyle w:val="BodyText"/>
      </w:pPr>
      <w:r>
        <w:rPr>
          <w:b/>
          <w:bCs/>
        </w:rPr>
        <w:t xml:space="preserve">Fusi neuromuscolari</w:t>
      </w:r>
      <w:r>
        <w:t xml:space="preserve"> </w:t>
      </w:r>
      <w:r>
        <w:t xml:space="preserve">— i sensori dentro il muscolo che misurano</w:t>
      </w:r>
      <w:r>
        <w:t xml:space="preserve"> </w:t>
      </w:r>
      <w:r>
        <w:rPr>
          <w:b/>
          <w:bCs/>
        </w:rPr>
        <w:t xml:space="preserve">lunghezza e velocità di allungamento</w:t>
      </w:r>
      <w:r>
        <w:t xml:space="preserve">. La tensione la misurano invece gli organi tendinei del Golgi.</w:t>
      </w:r>
    </w:p>
    <w:p>
      <w:pPr>
        <w:pStyle w:val="BodyText"/>
      </w:pPr>
      <w:r>
        <w:rPr>
          <w:b/>
          <w:bCs/>
        </w:rPr>
        <w:t xml:space="preserve">IPOTESI</w:t>
      </w:r>
      <w:r>
        <w:t xml:space="preserve"> </w:t>
      </w:r>
      <w:r>
        <w:t xml:space="preserve">— etichetta di solidità: meccanismo coerente, nessuno studio.</w:t>
      </w:r>
    </w:p>
    <w:p>
      <w:pPr>
        <w:pStyle w:val="BodyText"/>
      </w:pPr>
      <w:r>
        <w:rPr>
          <w:b/>
          <w:bCs/>
        </w:rPr>
        <w:t xml:space="preserve">Ipoalgesia</w:t>
      </w:r>
      <w:r>
        <w:t xml:space="preserve"> </w:t>
      </w:r>
      <w:r>
        <w:t xml:space="preserve">— aumento della soglia del dolore, cioè meno dolore a parità di stimolo.</w:t>
      </w:r>
    </w:p>
    <w:p>
      <w:pPr>
        <w:pStyle w:val="BodyText"/>
      </w:pPr>
      <w:r>
        <w:rPr>
          <w:b/>
          <w:bCs/>
        </w:rPr>
        <w:t xml:space="preserve">Lesione primaria</w:t>
      </w:r>
      <w:r>
        <w:t xml:space="preserve"> </w:t>
      </w:r>
      <w:r>
        <w:t xml:space="preserve">— la disfunzione che, nella ricostruzione clinica, ha innescato le altre. È una ricostruzione a posteriori e non è una prova: si scrive come ipotesi, mai come fatto.</w:t>
      </w:r>
    </w:p>
    <w:p>
      <w:pPr>
        <w:pStyle w:val="BodyText"/>
      </w:pPr>
      <w:r>
        <w:rPr>
          <w:b/>
          <w:bCs/>
        </w:rPr>
        <w:t xml:space="preserve">Livello di attivazione</w:t>
      </w:r>
      <w:r>
        <w:t xml:space="preserve"> </w:t>
      </w:r>
      <w:r>
        <w:t xml:space="preserve">— lo stato di allerta del sistema nervoso del paziente nei giorni e nelle settimane. Da non confondere con l’attivazione simpatica immediata misurata sotto la mano.</w:t>
      </w:r>
    </w:p>
    <w:p>
      <w:pPr>
        <w:pStyle w:val="BodyText"/>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Nervo grande occipitale</w:t>
      </w:r>
      <w:r>
        <w:t xml:space="preserve"> </w:t>
      </w:r>
      <w:r>
        <w:t xml:space="preserve">— il ramo dorsale della seconda radice cervicale, che porta la sensibilità della metà posteriore del cuoio capelluto. Il suo</w:t>
      </w:r>
      <w:r>
        <w:t xml:space="preserve"> </w:t>
      </w:r>
      <w:r>
        <w:rPr>
          <w:b/>
          <w:bCs/>
        </w:rPr>
        <w:t xml:space="preserve">blocco</w:t>
      </w:r>
      <w:r>
        <w:t xml:space="preserve"> </w:t>
      </w:r>
      <w:r>
        <w:t xml:space="preserve">è l’iniezione di un anestetico locale attorno al nervo: è atto medico.</w:t>
      </w:r>
    </w:p>
    <w:p>
      <w:pPr>
        <w:pStyle w:val="BodyText"/>
      </w:pPr>
      <w:r>
        <w:rPr>
          <w:b/>
          <w:bCs/>
        </w:rPr>
        <w:t xml:space="preserve">Neuroni di secondo ordine</w:t>
      </w:r>
      <w:r>
        <w:t xml:space="preserve"> </w:t>
      </w:r>
      <w:r>
        <w:t xml:space="preserve">— le cellule del midollo che ricevono il primo nervo e passano il segnale verso l’alto. Quelli di</w:t>
      </w:r>
      <w:r>
        <w:t xml:space="preserve"> </w:t>
      </w:r>
      <w:r>
        <w:rPr>
          <w:b/>
          <w:bCs/>
        </w:rPr>
        <w:t xml:space="preserve">terzo ordine</w:t>
      </w:r>
      <w:r>
        <w:t xml:space="preserve"> </w:t>
      </w:r>
      <w:r>
        <w:t xml:space="preserve">stanno nel talamo.</w:t>
      </w:r>
    </w:p>
    <w:p>
      <w:pPr>
        <w:pStyle w:val="BodyText"/>
      </w:pPr>
      <w:r>
        <w:rPr>
          <w:b/>
          <w:bCs/>
        </w:rPr>
        <w:t xml:space="preserve">Nocicettori</w:t>
      </w:r>
      <w:r>
        <w:t xml:space="preserve"> </w:t>
      </w:r>
      <w:r>
        <w:t xml:space="preserve">— le terminazioni nervose a fibra sottile che segnalano il danno. Sono loro, non i fusi, a convergere sul neurone che genera il mal di testa.</w:t>
      </w:r>
    </w:p>
    <w:p>
      <w:pPr>
        <w:pStyle w:val="BodyText"/>
      </w:pPr>
      <w:r>
        <w:rPr>
          <w:b/>
          <w:bCs/>
        </w:rPr>
        <w:t xml:space="preserve">Nociplastico</w:t>
      </w:r>
      <w:r>
        <w:t xml:space="preserve"> </w:t>
      </w:r>
      <w:r>
        <w:t xml:space="preserve">— dolore che nasce da un sistema nervoso che amplifica, senza danno tissutale né lesione di nervo.</w:t>
      </w:r>
    </w:p>
    <w:p>
      <w:pPr>
        <w:pStyle w:val="BodyText"/>
      </w:pPr>
      <w:r>
        <w:rPr>
          <w:b/>
          <w:bCs/>
        </w:rPr>
        <w:t xml:space="preserve">PROBABILE</w:t>
      </w:r>
      <w:r>
        <w:t xml:space="preserve"> </w:t>
      </w:r>
      <w:r>
        <w:t xml:space="preserve">— etichetta di solidità: razionale forte, prove parziali.</w:t>
      </w:r>
    </w:p>
    <w:p>
      <w:pPr>
        <w:pStyle w:val="BodyText"/>
      </w:pPr>
      <w:r>
        <w:rPr>
          <w:b/>
          <w:bCs/>
        </w:rPr>
        <w:t xml:space="preserve">Randomizzazione mendeliana</w:t>
      </w:r>
      <w:r>
        <w:t xml:space="preserve"> </w:t>
      </w:r>
      <w:r>
        <w:t xml:space="preserve">— metodo che usa varianti genetiche assegnate alla nascita per stimare se un fattore causa davvero una condizione, invece di limitarsi ad accompagnarla.</w:t>
      </w:r>
    </w:p>
    <w:p>
      <w:pPr>
        <w:pStyle w:val="BodyText"/>
      </w:pPr>
      <w:r>
        <w:rPr>
          <w:b/>
          <w:bCs/>
        </w:rPr>
        <w:t xml:space="preserve">Riflesso di ammiccamento nocicettivo</w:t>
      </w:r>
      <w:r>
        <w:t xml:space="preserve"> </w:t>
      </w:r>
      <w:r>
        <w:t xml:space="preserve">— la risposta di chiusura della palpebra a uno stimolo doloroso sopra l’orbita. Si registra in millisecondi ed è una misura dell’eccitabilità delle vie trigeminali nel tronco encefalico: la sua componente tardiva si chiama R2.</w:t>
      </w:r>
    </w:p>
    <w:p>
      <w:pPr>
        <w:pStyle w:val="BodyText"/>
      </w:pPr>
      <w:r>
        <w:rPr>
          <w:b/>
          <w:bCs/>
        </w:rPr>
        <w:t xml:space="preserve">Ponte mio-durale</w:t>
      </w:r>
      <w:r>
        <w:t xml:space="preserve"> </w:t>
      </w:r>
      <w:r>
        <w:t xml:space="preserve">— connessione di tessuto connettivo fra il retto capitis posterior minor e la dura madre spinale, alla giunzione occipite-atlante.</w:t>
      </w:r>
    </w:p>
    <w:p>
      <w:pPr>
        <w:pStyle w:val="BodyText"/>
      </w:pPr>
      <w:r>
        <w:rPr>
          <w:b/>
          <w:bCs/>
        </w:rPr>
        <w:t xml:space="preserve">Punto trigger attivo</w:t>
      </w:r>
      <w:r>
        <w:t xml:space="preserve"> </w:t>
      </w:r>
      <w:r>
        <w:t xml:space="preserve">— punto dolente in una banda muscolare tesa che, alla pressione, riproduce un dolore riferito riconosciuto dal paziente.</w:t>
      </w:r>
    </w:p>
    <w:p>
      <w:pPr>
        <w:pStyle w:val="BodyText"/>
      </w:pPr>
      <w:r>
        <w:rPr>
          <w:b/>
          <w:bCs/>
        </w:rPr>
        <w:t xml:space="preserve">RAGIONAMENTO</w:t>
      </w:r>
      <w:r>
        <w:t xml:space="preserve"> </w:t>
      </w:r>
      <w:r>
        <w:t xml:space="preserve">— etichetta di solidità: cornice clinica, non una prova.</w:t>
      </w:r>
    </w:p>
    <w:p>
      <w:pPr>
        <w:pStyle w:val="BodyText"/>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Sintomi premonitori</w:t>
      </w:r>
      <w:r>
        <w:t xml:space="preserve"> </w:t>
      </w:r>
      <w:r>
        <w:t xml:space="preserve">— segnali che precedono il dolore di ore: sbadigli, stanchezza, irritabilità, fame di dolci, collo rigido.</w:t>
      </w:r>
    </w:p>
    <w:p>
      <w:pPr>
        <w:pStyle w:val="BodyText"/>
      </w:pPr>
      <w:r>
        <w:rPr>
          <w:b/>
          <w:bCs/>
        </w:rPr>
        <w:t xml:space="preserve">SNNOOP10</w:t>
      </w:r>
      <w:r>
        <w:t xml:space="preserve"> </w:t>
      </w:r>
      <w:r>
        <w:t xml:space="preserve">— la lista internazionale delle caratteristiche che indicano una possibile cefalea secondaria.</w:t>
      </w:r>
    </w:p>
    <w:p>
      <w:pPr>
        <w:pStyle w:val="BodyText"/>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Sistema trigemino-vascolare</w:t>
      </w:r>
      <w:r>
        <w:t xml:space="preserve"> </w:t>
      </w:r>
      <w:r>
        <w:t xml:space="preserve">— la rete di terminazioni trigeminali sui vasi meningei che genera il dolore dell’emicrania.</w:t>
      </w:r>
    </w:p>
    <w:p>
      <w:pPr>
        <w:pStyle w:val="BodyText"/>
      </w:pPr>
      <w:r>
        <w:rPr>
          <w:b/>
          <w:bCs/>
        </w:rPr>
        <w:t xml:space="preserve">Soglia dolorosa alla pressione</w:t>
      </w:r>
      <w:r>
        <w:t xml:space="preserve"> </w:t>
      </w:r>
      <w:r>
        <w:t xml:space="preserve">— la pressione minima, misurata con un algometro, alla quale il paziente comincia a sentire dolore.</w:t>
      </w:r>
    </w:p>
    <w:p>
      <w:pPr>
        <w:pStyle w:val="BodyText"/>
      </w:pPr>
      <w:r>
        <w:rPr>
          <w:b/>
          <w:bCs/>
        </w:rPr>
        <w:t xml:space="preserve">Sostanza grigia periacqueduttale</w:t>
      </w:r>
      <w:r>
        <w:t xml:space="preserve"> </w:t>
      </w:r>
      <w:r>
        <w:t xml:space="preserve">— struttura del tronco encefalico da cui partono le vie che frenano il dolore.</w:t>
      </w:r>
    </w:p>
    <w:p>
      <w:pPr>
        <w:pStyle w:val="BodyText"/>
      </w:pPr>
      <w:r>
        <w:rPr>
          <w:b/>
          <w:bCs/>
        </w:rPr>
        <w:t xml:space="preserve">Test di flessione cranio-cervicale</w:t>
      </w:r>
      <w:r>
        <w:t xml:space="preserve"> </w:t>
      </w:r>
      <w:r>
        <w:t xml:space="preserve">— misura il controllo dei flessori profondi del collo.</w:t>
      </w:r>
    </w:p>
    <w:p>
      <w:pPr>
        <w:pStyle w:val="BodyText"/>
      </w:pPr>
      <w:r>
        <w:rPr>
          <w:b/>
          <w:bCs/>
        </w:rPr>
        <w:t xml:space="preserve">Test di rotazione in flessione</w:t>
      </w:r>
      <w:r>
        <w:t xml:space="preserve"> </w:t>
      </w:r>
      <w:r>
        <w:t xml:space="preserve">— misura la rotazione disponibile al primo segmento cervicale, con il capo in flessione.</w:t>
      </w:r>
    </w:p>
    <w:p>
      <w:pPr>
        <w:pStyle w:val="BodyText"/>
      </w:pPr>
      <w:r>
        <w:rPr>
          <w:b/>
          <w:bCs/>
        </w:rPr>
        <w:t xml:space="preserve">Troclea</w:t>
      </w:r>
      <w:r>
        <w:t xml:space="preserve"> </w:t>
      </w:r>
      <w:r>
        <w:t xml:space="preserve">— l’anello fibroso sopra l’angolo interno dell’orbita in cui scorre il muscolo obliquo superiore dell’occhio.</w:t>
      </w:r>
    </w:p>
    <w:p>
      <w:r>
        <w:pict>
          <v:rect style="width:0;height:1.5pt" o:hralign="center" o:hrstd="t" o:hr="t"/>
        </w:pict>
      </w:r>
    </w:p>
    <w:bookmarkEnd w:id="84"/>
    <w:bookmarkStart w:id="164" w:name="appendice-b-le-fonti"/>
    <w:p>
      <w:pPr>
        <w:pStyle w:val="Heading2"/>
      </w:pPr>
      <w:r>
        <w:t xml:space="preserve">Appendice B — Le fonti</w:t>
      </w:r>
    </w:p>
    <w:p>
      <w:pPr>
        <w:pStyle w:val="FirstParagraph"/>
      </w:pPr>
      <w:r>
        <w:t xml:space="preserve">Tutte verificate su PubMed: autore, anno, rivista, PMID con link.</w:t>
      </w:r>
    </w:p>
    <w:p>
      <w:pPr>
        <w:numPr>
          <w:ilvl w:val="0"/>
          <w:numId w:val="1032"/>
        </w:numPr>
      </w:pPr>
      <w:r>
        <w:t xml:space="preserve">Posadzki 2024,</w:t>
      </w:r>
      <w:r>
        <w:t xml:space="preserve"> </w:t>
      </w:r>
      <w:r>
        <w:rPr>
          <w:i/>
          <w:iCs/>
        </w:rPr>
        <w:t xml:space="preserve">Syst Rev</w:t>
      </w:r>
      <w:r>
        <w:t xml:space="preserve"> </w:t>
      </w:r>
      <w:r>
        <w:t xml:space="preserve">—</w:t>
      </w:r>
      <w:r>
        <w:t xml:space="preserve"> </w:t>
      </w:r>
      <w:hyperlink r:id="rId85">
        <w:r>
          <w:rPr>
            <w:rStyle w:val="Hyperlink"/>
          </w:rPr>
          <w:t xml:space="preserve">39614402</w:t>
        </w:r>
      </w:hyperlink>
    </w:p>
    <w:p>
      <w:pPr>
        <w:numPr>
          <w:ilvl w:val="0"/>
          <w:numId w:val="1032"/>
        </w:numPr>
      </w:pPr>
      <w:r>
        <w:t xml:space="preserve">Lipton 2007,</w:t>
      </w:r>
      <w:r>
        <w:t xml:space="preserve"> </w:t>
      </w:r>
      <w:r>
        <w:rPr>
          <w:i/>
          <w:iCs/>
        </w:rPr>
        <w:t xml:space="preserve">Neurology</w:t>
      </w:r>
      <w:r>
        <w:t xml:space="preserve"> </w:t>
      </w:r>
      <w:r>
        <w:t xml:space="preserve">—</w:t>
      </w:r>
      <w:r>
        <w:t xml:space="preserve"> </w:t>
      </w:r>
      <w:hyperlink r:id="rId86">
        <w:r>
          <w:rPr>
            <w:rStyle w:val="Hyperlink"/>
          </w:rPr>
          <w:t xml:space="preserve">17261680</w:t>
        </w:r>
      </w:hyperlink>
    </w:p>
    <w:p>
      <w:pPr>
        <w:numPr>
          <w:ilvl w:val="0"/>
          <w:numId w:val="1032"/>
        </w:numPr>
      </w:pPr>
      <w:r>
        <w:t xml:space="preserve">ICHD-3,</w:t>
      </w:r>
      <w:r>
        <w:t xml:space="preserve"> </w:t>
      </w:r>
      <w:r>
        <w:rPr>
          <w:i/>
          <w:iCs/>
        </w:rPr>
        <w:t xml:space="preserve">Cephalalgia</w:t>
      </w:r>
      <w:r>
        <w:t xml:space="preserve"> </w:t>
      </w:r>
      <w:r>
        <w:t xml:space="preserve">2018;38(1):1-211 — monografia</w:t>
      </w:r>
    </w:p>
    <w:p>
      <w:pPr>
        <w:numPr>
          <w:ilvl w:val="0"/>
          <w:numId w:val="1032"/>
        </w:numPr>
      </w:pPr>
      <w:r>
        <w:t xml:space="preserve">Stovner 2022,</w:t>
      </w:r>
      <w:r>
        <w:t xml:space="preserve"> </w:t>
      </w:r>
      <w:r>
        <w:rPr>
          <w:i/>
          <w:iCs/>
        </w:rPr>
        <w:t xml:space="preserve">J Headache Pain</w:t>
      </w:r>
      <w:r>
        <w:t xml:space="preserve"> </w:t>
      </w:r>
      <w:r>
        <w:t xml:space="preserve">—</w:t>
      </w:r>
      <w:r>
        <w:t xml:space="preserve"> </w:t>
      </w:r>
      <w:hyperlink r:id="rId87">
        <w:r>
          <w:rPr>
            <w:rStyle w:val="Hyperlink"/>
          </w:rPr>
          <w:t xml:space="preserve">35410119</w:t>
        </w:r>
      </w:hyperlink>
    </w:p>
    <w:p>
      <w:pPr>
        <w:numPr>
          <w:ilvl w:val="0"/>
          <w:numId w:val="1032"/>
        </w:numPr>
      </w:pPr>
      <w:r>
        <w:t xml:space="preserve">Lyngberg 2005,</w:t>
      </w:r>
      <w:r>
        <w:t xml:space="preserve"> </w:t>
      </w:r>
      <w:r>
        <w:rPr>
          <w:i/>
          <w:iCs/>
        </w:rPr>
        <w:t xml:space="preserve">Neurology</w:t>
      </w:r>
      <w:r>
        <w:t xml:space="preserve"> </w:t>
      </w:r>
      <w:r>
        <w:t xml:space="preserve">—</w:t>
      </w:r>
      <w:r>
        <w:t xml:space="preserve"> </w:t>
      </w:r>
      <w:hyperlink r:id="rId88">
        <w:r>
          <w:rPr>
            <w:rStyle w:val="Hyperlink"/>
          </w:rPr>
          <w:t xml:space="preserve">16116119</w:t>
        </w:r>
      </w:hyperlink>
    </w:p>
    <w:p>
      <w:pPr>
        <w:numPr>
          <w:ilvl w:val="0"/>
          <w:numId w:val="1032"/>
        </w:numPr>
      </w:pPr>
      <w:r>
        <w:t xml:space="preserve">Lipton 2013,</w:t>
      </w:r>
      <w:r>
        <w:t xml:space="preserve"> </w:t>
      </w:r>
      <w:r>
        <w:rPr>
          <w:i/>
          <w:iCs/>
        </w:rPr>
        <w:t xml:space="preserve">Headache</w:t>
      </w:r>
      <w:r>
        <w:t xml:space="preserve"> </w:t>
      </w:r>
      <w:r>
        <w:t xml:space="preserve">—</w:t>
      </w:r>
      <w:r>
        <w:t xml:space="preserve"> </w:t>
      </w:r>
      <w:hyperlink r:id="rId89">
        <w:r>
          <w:rPr>
            <w:rStyle w:val="Hyperlink"/>
          </w:rPr>
          <w:t xml:space="preserve">23992516</w:t>
        </w:r>
      </w:hyperlink>
    </w:p>
    <w:p>
      <w:pPr>
        <w:numPr>
          <w:ilvl w:val="0"/>
          <w:numId w:val="1032"/>
        </w:numPr>
      </w:pPr>
      <w:r>
        <w:t xml:space="preserve">Hack 1995,</w:t>
      </w:r>
      <w:r>
        <w:t xml:space="preserve"> </w:t>
      </w:r>
      <w:r>
        <w:rPr>
          <w:i/>
          <w:iCs/>
        </w:rPr>
        <w:t xml:space="preserve">Spine</w:t>
      </w:r>
      <w:r>
        <w:t xml:space="preserve"> </w:t>
      </w:r>
      <w:r>
        <w:t xml:space="preserve">—</w:t>
      </w:r>
      <w:r>
        <w:t xml:space="preserve"> </w:t>
      </w:r>
      <w:hyperlink r:id="rId90">
        <w:r>
          <w:rPr>
            <w:rStyle w:val="Hyperlink"/>
          </w:rPr>
          <w:t xml:space="preserve">8610241</w:t>
        </w:r>
      </w:hyperlink>
    </w:p>
    <w:p>
      <w:pPr>
        <w:numPr>
          <w:ilvl w:val="0"/>
          <w:numId w:val="1032"/>
        </w:numPr>
      </w:pPr>
      <w:r>
        <w:t xml:space="preserve">Fernández-de-las-Peñas 2006,</w:t>
      </w:r>
      <w:r>
        <w:t xml:space="preserve"> </w:t>
      </w:r>
      <w:r>
        <w:rPr>
          <w:i/>
          <w:iCs/>
        </w:rPr>
        <w:t xml:space="preserve">Clin J Pain</w:t>
      </w:r>
      <w:r>
        <w:t xml:space="preserve"> </w:t>
      </w:r>
      <w:r>
        <w:t xml:space="preserve">—</w:t>
      </w:r>
      <w:r>
        <w:t xml:space="preserve"> </w:t>
      </w:r>
      <w:hyperlink r:id="rId91">
        <w:r>
          <w:rPr>
            <w:rStyle w:val="Hyperlink"/>
          </w:rPr>
          <w:t xml:space="preserve">16788342</w:t>
        </w:r>
      </w:hyperlink>
    </w:p>
    <w:p>
      <w:pPr>
        <w:numPr>
          <w:ilvl w:val="0"/>
          <w:numId w:val="1032"/>
        </w:numPr>
      </w:pPr>
      <w:r>
        <w:t xml:space="preserve">Luedtke 2018,</w:t>
      </w:r>
      <w:r>
        <w:t xml:space="preserve"> </w:t>
      </w:r>
      <w:r>
        <w:rPr>
          <w:i/>
          <w:iCs/>
        </w:rPr>
        <w:t xml:space="preserve">Cephalalgia</w:t>
      </w:r>
      <w:r>
        <w:t xml:space="preserve"> </w:t>
      </w:r>
      <w:r>
        <w:t xml:space="preserve">—</w:t>
      </w:r>
      <w:r>
        <w:t xml:space="preserve"> </w:t>
      </w:r>
      <w:hyperlink r:id="rId92">
        <w:r>
          <w:rPr>
            <w:rStyle w:val="Hyperlink"/>
          </w:rPr>
          <w:t xml:space="preserve">28641450</w:t>
        </w:r>
      </w:hyperlink>
    </w:p>
    <w:p>
      <w:pPr>
        <w:numPr>
          <w:ilvl w:val="0"/>
          <w:numId w:val="1032"/>
        </w:numPr>
      </w:pPr>
      <w:r>
        <w:t xml:space="preserve">Giffin 2003,</w:t>
      </w:r>
      <w:r>
        <w:t xml:space="preserve"> </w:t>
      </w:r>
      <w:r>
        <w:rPr>
          <w:i/>
          <w:iCs/>
        </w:rPr>
        <w:t xml:space="preserve">Neurology</w:t>
      </w:r>
      <w:r>
        <w:t xml:space="preserve"> </w:t>
      </w:r>
      <w:r>
        <w:t xml:space="preserve">—</w:t>
      </w:r>
      <w:r>
        <w:t xml:space="preserve"> </w:t>
      </w:r>
      <w:hyperlink r:id="rId93">
        <w:r>
          <w:rPr>
            <w:rStyle w:val="Hyperlink"/>
          </w:rPr>
          <w:t xml:space="preserve">12654956</w:t>
        </w:r>
      </w:hyperlink>
    </w:p>
    <w:p>
      <w:pPr>
        <w:numPr>
          <w:ilvl w:val="0"/>
          <w:numId w:val="1032"/>
        </w:numPr>
      </w:pPr>
      <w:r>
        <w:t xml:space="preserve">Bigal 2008,</w:t>
      </w:r>
      <w:r>
        <w:t xml:space="preserve"> </w:t>
      </w:r>
      <w:r>
        <w:rPr>
          <w:i/>
          <w:iCs/>
        </w:rPr>
        <w:t xml:space="preserve">Neurology</w:t>
      </w:r>
      <w:r>
        <w:t xml:space="preserve"> </w:t>
      </w:r>
      <w:r>
        <w:t xml:space="preserve">—</w:t>
      </w:r>
      <w:r>
        <w:t xml:space="preserve"> </w:t>
      </w:r>
      <w:hyperlink r:id="rId94">
        <w:r>
          <w:rPr>
            <w:rStyle w:val="Hyperlink"/>
          </w:rPr>
          <w:t xml:space="preserve">18427069</w:t>
        </w:r>
      </w:hyperlink>
    </w:p>
    <w:p>
      <w:pPr>
        <w:numPr>
          <w:ilvl w:val="0"/>
          <w:numId w:val="1032"/>
        </w:numPr>
      </w:pPr>
      <w:r>
        <w:t xml:space="preserve">Schulte &amp; May 2016,</w:t>
      </w:r>
      <w:r>
        <w:t xml:space="preserve"> </w:t>
      </w:r>
      <w:r>
        <w:rPr>
          <w:i/>
          <w:iCs/>
        </w:rPr>
        <w:t xml:space="preserve">Brain</w:t>
      </w:r>
      <w:r>
        <w:t xml:space="preserve"> </w:t>
      </w:r>
      <w:r>
        <w:t xml:space="preserve">—</w:t>
      </w:r>
      <w:r>
        <w:t xml:space="preserve"> </w:t>
      </w:r>
      <w:hyperlink r:id="rId95">
        <w:r>
          <w:rPr>
            <w:rStyle w:val="Hyperlink"/>
          </w:rPr>
          <w:t xml:space="preserve">27190019</w:t>
        </w:r>
      </w:hyperlink>
    </w:p>
    <w:p>
      <w:pPr>
        <w:numPr>
          <w:ilvl w:val="0"/>
          <w:numId w:val="1032"/>
        </w:numPr>
      </w:pPr>
      <w:r>
        <w:t xml:space="preserve">Bartsch &amp; Goadsby 2002,</w:t>
      </w:r>
      <w:r>
        <w:t xml:space="preserve"> </w:t>
      </w:r>
      <w:r>
        <w:rPr>
          <w:i/>
          <w:iCs/>
        </w:rPr>
        <w:t xml:space="preserve">Brain</w:t>
      </w:r>
      <w:r>
        <w:t xml:space="preserve"> </w:t>
      </w:r>
      <w:r>
        <w:t xml:space="preserve">—</w:t>
      </w:r>
      <w:r>
        <w:t xml:space="preserve"> </w:t>
      </w:r>
      <w:hyperlink r:id="rId96">
        <w:r>
          <w:rPr>
            <w:rStyle w:val="Hyperlink"/>
          </w:rPr>
          <w:t xml:space="preserve">12077000</w:t>
        </w:r>
      </w:hyperlink>
    </w:p>
    <w:p>
      <w:pPr>
        <w:numPr>
          <w:ilvl w:val="0"/>
          <w:numId w:val="1032"/>
        </w:numPr>
      </w:pPr>
      <w:r>
        <w:t xml:space="preserve">Bartsch &amp; Goadsby 2003,</w:t>
      </w:r>
      <w:r>
        <w:t xml:space="preserve"> </w:t>
      </w:r>
      <w:r>
        <w:rPr>
          <w:i/>
          <w:iCs/>
        </w:rPr>
        <w:t xml:space="preserve">Brain</w:t>
      </w:r>
      <w:r>
        <w:t xml:space="preserve"> </w:t>
      </w:r>
      <w:r>
        <w:t xml:space="preserve">—</w:t>
      </w:r>
      <w:r>
        <w:t xml:space="preserve"> </w:t>
      </w:r>
      <w:hyperlink r:id="rId97">
        <w:r>
          <w:rPr>
            <w:rStyle w:val="Hyperlink"/>
          </w:rPr>
          <w:t xml:space="preserve">12821523</w:t>
        </w:r>
      </w:hyperlink>
    </w:p>
    <w:p>
      <w:pPr>
        <w:numPr>
          <w:ilvl w:val="0"/>
          <w:numId w:val="1032"/>
        </w:numPr>
      </w:pPr>
      <w:r>
        <w:t xml:space="preserve">Luedtke &amp; May 2017,</w:t>
      </w:r>
      <w:r>
        <w:t xml:space="preserve"> </w:t>
      </w:r>
      <w:r>
        <w:rPr>
          <w:i/>
          <w:iCs/>
        </w:rPr>
        <w:t xml:space="preserve">J Headache Pain</w:t>
      </w:r>
      <w:r>
        <w:t xml:space="preserve"> </w:t>
      </w:r>
      <w:r>
        <w:t xml:space="preserve">—</w:t>
      </w:r>
      <w:r>
        <w:t xml:space="preserve"> </w:t>
      </w:r>
      <w:hyperlink r:id="rId98">
        <w:r>
          <w:rPr>
            <w:rStyle w:val="Hyperlink"/>
          </w:rPr>
          <w:t xml:space="preserve">28952052</w:t>
        </w:r>
      </w:hyperlink>
    </w:p>
    <w:p>
      <w:pPr>
        <w:numPr>
          <w:ilvl w:val="0"/>
          <w:numId w:val="1032"/>
        </w:numPr>
      </w:pPr>
      <w:r>
        <w:t xml:space="preserve">Fernández-de-las-Peñas 2006,</w:t>
      </w:r>
      <w:r>
        <w:t xml:space="preserve"> </w:t>
      </w:r>
      <w:r>
        <w:rPr>
          <w:i/>
          <w:iCs/>
        </w:rPr>
        <w:t xml:space="preserve">Cephalalgia</w:t>
      </w:r>
      <w:r>
        <w:t xml:space="preserve"> </w:t>
      </w:r>
      <w:r>
        <w:t xml:space="preserve">—</w:t>
      </w:r>
      <w:r>
        <w:t xml:space="preserve"> </w:t>
      </w:r>
      <w:hyperlink r:id="rId99">
        <w:r>
          <w:rPr>
            <w:rStyle w:val="Hyperlink"/>
          </w:rPr>
          <w:t xml:space="preserve">16919056</w:t>
        </w:r>
      </w:hyperlink>
    </w:p>
    <w:p>
      <w:pPr>
        <w:numPr>
          <w:ilvl w:val="0"/>
          <w:numId w:val="1032"/>
        </w:numPr>
      </w:pPr>
      <w:r>
        <w:t xml:space="preserve">Falsiroli Maistrello 2018,</w:t>
      </w:r>
      <w:r>
        <w:t xml:space="preserve"> </w:t>
      </w:r>
      <w:r>
        <w:rPr>
          <w:i/>
          <w:iCs/>
        </w:rPr>
        <w:t xml:space="preserve">Front Neurol</w:t>
      </w:r>
      <w:r>
        <w:t xml:space="preserve"> </w:t>
      </w:r>
      <w:r>
        <w:t xml:space="preserve">—</w:t>
      </w:r>
      <w:r>
        <w:t xml:space="preserve"> </w:t>
      </w:r>
      <w:hyperlink r:id="rId100">
        <w:r>
          <w:rPr>
            <w:rStyle w:val="Hyperlink"/>
          </w:rPr>
          <w:t xml:space="preserve">29740386</w:t>
        </w:r>
      </w:hyperlink>
    </w:p>
    <w:p>
      <w:pPr>
        <w:numPr>
          <w:ilvl w:val="0"/>
          <w:numId w:val="1032"/>
        </w:numPr>
      </w:pPr>
      <w:r>
        <w:t xml:space="preserve">Pradhan 2018,</w:t>
      </w:r>
      <w:r>
        <w:t xml:space="preserve"> </w:t>
      </w:r>
      <w:r>
        <w:rPr>
          <w:i/>
          <w:iCs/>
        </w:rPr>
        <w:t xml:space="preserve">Neurol India</w:t>
      </w:r>
      <w:r>
        <w:t xml:space="preserve"> </w:t>
      </w:r>
      <w:r>
        <w:t xml:space="preserve">—</w:t>
      </w:r>
      <w:r>
        <w:t xml:space="preserve"> </w:t>
      </w:r>
      <w:hyperlink r:id="rId101">
        <w:r>
          <w:rPr>
            <w:rStyle w:val="Hyperlink"/>
          </w:rPr>
          <w:t xml:space="preserve">29547158</w:t>
        </w:r>
      </w:hyperlink>
    </w:p>
    <w:p>
      <w:pPr>
        <w:numPr>
          <w:ilvl w:val="0"/>
          <w:numId w:val="1032"/>
        </w:numPr>
      </w:pPr>
      <w:r>
        <w:t xml:space="preserve">Sterling 2001,</w:t>
      </w:r>
      <w:r>
        <w:t xml:space="preserve"> </w:t>
      </w:r>
      <w:r>
        <w:rPr>
          <w:i/>
          <w:iCs/>
        </w:rPr>
        <w:t xml:space="preserve">Man Ther</w:t>
      </w:r>
      <w:r>
        <w:t xml:space="preserve"> </w:t>
      </w:r>
      <w:r>
        <w:t xml:space="preserve">—</w:t>
      </w:r>
      <w:r>
        <w:t xml:space="preserve"> </w:t>
      </w:r>
      <w:hyperlink r:id="rId102">
        <w:r>
          <w:rPr>
            <w:rStyle w:val="Hyperlink"/>
          </w:rPr>
          <w:t xml:space="preserve">11414776</w:t>
        </w:r>
      </w:hyperlink>
    </w:p>
    <w:p>
      <w:pPr>
        <w:numPr>
          <w:ilvl w:val="0"/>
          <w:numId w:val="1032"/>
        </w:numPr>
      </w:pPr>
      <w:r>
        <w:t xml:space="preserve">Gordon 2025,</w:t>
      </w:r>
      <w:r>
        <w:t xml:space="preserve"> </w:t>
      </w:r>
      <w:r>
        <w:rPr>
          <w:i/>
          <w:iCs/>
        </w:rPr>
        <w:t xml:space="preserve">BMJ Open</w:t>
      </w:r>
      <w:r>
        <w:t xml:space="preserve"> </w:t>
      </w:r>
      <w:r>
        <w:t xml:space="preserve">—</w:t>
      </w:r>
      <w:r>
        <w:t xml:space="preserve"> </w:t>
      </w:r>
      <w:hyperlink r:id="rId103">
        <w:r>
          <w:rPr>
            <w:rStyle w:val="Hyperlink"/>
          </w:rPr>
          <w:t xml:space="preserve">39920074</w:t>
        </w:r>
      </w:hyperlink>
    </w:p>
    <w:p>
      <w:pPr>
        <w:numPr>
          <w:ilvl w:val="0"/>
          <w:numId w:val="1032"/>
        </w:numPr>
      </w:pPr>
      <w:r>
        <w:t xml:space="preserve">Bigal &amp; Lipton 2011,</w:t>
      </w:r>
      <w:r>
        <w:t xml:space="preserve"> </w:t>
      </w:r>
      <w:r>
        <w:rPr>
          <w:i/>
          <w:iCs/>
        </w:rPr>
        <w:t xml:space="preserve">Curr Neurol Neurosci Rep</w:t>
      </w:r>
      <w:r>
        <w:t xml:space="preserve"> </w:t>
      </w:r>
      <w:r>
        <w:t xml:space="preserve">—</w:t>
      </w:r>
      <w:r>
        <w:t xml:space="preserve"> </w:t>
      </w:r>
      <w:hyperlink r:id="rId104">
        <w:r>
          <w:rPr>
            <w:rStyle w:val="Hyperlink"/>
          </w:rPr>
          <w:t xml:space="preserve">21243447</w:t>
        </w:r>
      </w:hyperlink>
    </w:p>
    <w:p>
      <w:pPr>
        <w:numPr>
          <w:ilvl w:val="0"/>
          <w:numId w:val="1032"/>
        </w:numPr>
      </w:pPr>
      <w:r>
        <w:t xml:space="preserve">Kam-Hansen 2014,</w:t>
      </w:r>
      <w:r>
        <w:t xml:space="preserve"> </w:t>
      </w:r>
      <w:r>
        <w:rPr>
          <w:i/>
          <w:iCs/>
        </w:rPr>
        <w:t xml:space="preserve">Sci Transl Med</w:t>
      </w:r>
      <w:r>
        <w:t xml:space="preserve"> </w:t>
      </w:r>
      <w:r>
        <w:t xml:space="preserve">—</w:t>
      </w:r>
      <w:r>
        <w:t xml:space="preserve"> </w:t>
      </w:r>
      <w:hyperlink r:id="rId105">
        <w:r>
          <w:rPr>
            <w:rStyle w:val="Hyperlink"/>
          </w:rPr>
          <w:t xml:space="preserve">24401940</w:t>
        </w:r>
      </w:hyperlink>
    </w:p>
    <w:p>
      <w:pPr>
        <w:numPr>
          <w:ilvl w:val="0"/>
          <w:numId w:val="1032"/>
        </w:numPr>
      </w:pPr>
      <w:r>
        <w:t xml:space="preserve">Bevilaqua-Grossi 2016,</w:t>
      </w:r>
      <w:r>
        <w:t xml:space="preserve"> </w:t>
      </w:r>
      <w:r>
        <w:rPr>
          <w:i/>
          <w:iCs/>
        </w:rPr>
        <w:t xml:space="preserve">Arch Phys Med Rehabil</w:t>
      </w:r>
      <w:r>
        <w:t xml:space="preserve"> </w:t>
      </w:r>
      <w:r>
        <w:t xml:space="preserve">—</w:t>
      </w:r>
      <w:r>
        <w:t xml:space="preserve"> </w:t>
      </w:r>
      <w:hyperlink r:id="rId106">
        <w:r>
          <w:rPr>
            <w:rStyle w:val="Hyperlink"/>
          </w:rPr>
          <w:t xml:space="preserve">26718237</w:t>
        </w:r>
      </w:hyperlink>
    </w:p>
    <w:p>
      <w:pPr>
        <w:numPr>
          <w:ilvl w:val="0"/>
          <w:numId w:val="1032"/>
        </w:numPr>
      </w:pPr>
      <w:r>
        <w:t xml:space="preserve">Do 2019,</w:t>
      </w:r>
      <w:r>
        <w:t xml:space="preserve"> </w:t>
      </w:r>
      <w:r>
        <w:rPr>
          <w:i/>
          <w:iCs/>
        </w:rPr>
        <w:t xml:space="preserve">Neurology</w:t>
      </w:r>
      <w:r>
        <w:t xml:space="preserve"> </w:t>
      </w:r>
      <w:r>
        <w:t xml:space="preserve">(SNNOOP10) —</w:t>
      </w:r>
      <w:r>
        <w:t xml:space="preserve"> </w:t>
      </w:r>
      <w:hyperlink r:id="rId107">
        <w:r>
          <w:rPr>
            <w:rStyle w:val="Hyperlink"/>
          </w:rPr>
          <w:t xml:space="preserve">30587518</w:t>
        </w:r>
      </w:hyperlink>
    </w:p>
    <w:p>
      <w:pPr>
        <w:numPr>
          <w:ilvl w:val="0"/>
          <w:numId w:val="1032"/>
        </w:numPr>
      </w:pPr>
      <w:r>
        <w:t xml:space="preserve">García-Azorín 2022,</w:t>
      </w:r>
      <w:r>
        <w:t xml:space="preserve"> </w:t>
      </w:r>
      <w:r>
        <w:rPr>
          <w:i/>
          <w:iCs/>
        </w:rPr>
        <w:t xml:space="preserve">Cephalalgia</w:t>
      </w:r>
      <w:r>
        <w:t xml:space="preserve"> </w:t>
      </w:r>
      <w:r>
        <w:t xml:space="preserve">—</w:t>
      </w:r>
      <w:r>
        <w:t xml:space="preserve"> </w:t>
      </w:r>
      <w:hyperlink r:id="rId108">
        <w:r>
          <w:rPr>
            <w:rStyle w:val="Hyperlink"/>
          </w:rPr>
          <w:t xml:space="preserve">36003002</w:t>
        </w:r>
      </w:hyperlink>
    </w:p>
    <w:p>
      <w:pPr>
        <w:numPr>
          <w:ilvl w:val="0"/>
          <w:numId w:val="1032"/>
        </w:numPr>
      </w:pPr>
      <w:r>
        <w:t xml:space="preserve">Jacobs 2026,</w:t>
      </w:r>
      <w:r>
        <w:t xml:space="preserve"> </w:t>
      </w:r>
      <w:r>
        <w:rPr>
          <w:i/>
          <w:iCs/>
        </w:rPr>
        <w:t xml:space="preserve">Stroke Vasc Neurol</w:t>
      </w:r>
      <w:r>
        <w:t xml:space="preserve"> </w:t>
      </w:r>
      <w:r>
        <w:t xml:space="preserve">—</w:t>
      </w:r>
      <w:r>
        <w:t xml:space="preserve"> </w:t>
      </w:r>
      <w:hyperlink r:id="rId109">
        <w:r>
          <w:rPr>
            <w:rStyle w:val="Hyperlink"/>
          </w:rPr>
          <w:t xml:space="preserve">40866078</w:t>
        </w:r>
      </w:hyperlink>
    </w:p>
    <w:p>
      <w:pPr>
        <w:numPr>
          <w:ilvl w:val="0"/>
          <w:numId w:val="1032"/>
        </w:numPr>
      </w:pPr>
      <w:r>
        <w:t xml:space="preserve">Chaibi 2017,</w:t>
      </w:r>
      <w:r>
        <w:t xml:space="preserve"> </w:t>
      </w:r>
      <w:r>
        <w:rPr>
          <w:i/>
          <w:iCs/>
        </w:rPr>
        <w:t xml:space="preserve">Eur J Neurol</w:t>
      </w:r>
      <w:r>
        <w:t xml:space="preserve"> </w:t>
      </w:r>
      <w:r>
        <w:t xml:space="preserve">—</w:t>
      </w:r>
      <w:r>
        <w:t xml:space="preserve"> </w:t>
      </w:r>
      <w:hyperlink r:id="rId110">
        <w:r>
          <w:rPr>
            <w:rStyle w:val="Hyperlink"/>
          </w:rPr>
          <w:t xml:space="preserve">27696633</w:t>
        </w:r>
      </w:hyperlink>
    </w:p>
    <w:p>
      <w:pPr>
        <w:numPr>
          <w:ilvl w:val="0"/>
          <w:numId w:val="1032"/>
        </w:numPr>
      </w:pPr>
      <w:r>
        <w:t xml:space="preserve">Rist 2019,</w:t>
      </w:r>
      <w:r>
        <w:t xml:space="preserve"> </w:t>
      </w:r>
      <w:r>
        <w:rPr>
          <w:i/>
          <w:iCs/>
        </w:rPr>
        <w:t xml:space="preserve">Headache</w:t>
      </w:r>
      <w:r>
        <w:t xml:space="preserve"> </w:t>
      </w:r>
      <w:r>
        <w:t xml:space="preserve">—</w:t>
      </w:r>
      <w:r>
        <w:t xml:space="preserve"> </w:t>
      </w:r>
      <w:hyperlink r:id="rId111">
        <w:r>
          <w:rPr>
            <w:rStyle w:val="Hyperlink"/>
          </w:rPr>
          <w:t xml:space="preserve">30973196</w:t>
        </w:r>
      </w:hyperlink>
    </w:p>
    <w:p>
      <w:pPr>
        <w:numPr>
          <w:ilvl w:val="0"/>
          <w:numId w:val="1032"/>
        </w:numPr>
      </w:pPr>
      <w:r>
        <w:t xml:space="preserve">Cerritelli 2015,</w:t>
      </w:r>
      <w:r>
        <w:t xml:space="preserve"> </w:t>
      </w:r>
      <w:r>
        <w:rPr>
          <w:i/>
          <w:iCs/>
        </w:rPr>
        <w:t xml:space="preserve">Complement Ther Med</w:t>
      </w:r>
      <w:r>
        <w:t xml:space="preserve"> </w:t>
      </w:r>
      <w:r>
        <w:t xml:space="preserve">—</w:t>
      </w:r>
      <w:r>
        <w:t xml:space="preserve"> </w:t>
      </w:r>
      <w:hyperlink r:id="rId112">
        <w:r>
          <w:rPr>
            <w:rStyle w:val="Hyperlink"/>
          </w:rPr>
          <w:t xml:space="preserve">25847552</w:t>
        </w:r>
      </w:hyperlink>
    </w:p>
    <w:p>
      <w:pPr>
        <w:numPr>
          <w:ilvl w:val="0"/>
          <w:numId w:val="1032"/>
        </w:numPr>
      </w:pPr>
      <w:r>
        <w:t xml:space="preserve">Trager 2025,</w:t>
      </w:r>
      <w:r>
        <w:t xml:space="preserve"> </w:t>
      </w:r>
      <w:r>
        <w:rPr>
          <w:i/>
          <w:iCs/>
        </w:rPr>
        <w:t xml:space="preserve">Syst Rev</w:t>
      </w:r>
      <w:r>
        <w:t xml:space="preserve"> </w:t>
      </w:r>
      <w:r>
        <w:t xml:space="preserve">—</w:t>
      </w:r>
      <w:r>
        <w:t xml:space="preserve"> </w:t>
      </w:r>
      <w:hyperlink r:id="rId113">
        <w:r>
          <w:rPr>
            <w:rStyle w:val="Hyperlink"/>
          </w:rPr>
          <w:t xml:space="preserve">41131621</w:t>
        </w:r>
      </w:hyperlink>
    </w:p>
    <w:p>
      <w:pPr>
        <w:numPr>
          <w:ilvl w:val="0"/>
          <w:numId w:val="1032"/>
        </w:numPr>
      </w:pPr>
      <w:r>
        <w:t xml:space="preserve">Luedtke 2016,</w:t>
      </w:r>
      <w:r>
        <w:t xml:space="preserve"> </w:t>
      </w:r>
      <w:r>
        <w:rPr>
          <w:i/>
          <w:iCs/>
        </w:rPr>
        <w:t xml:space="preserve">Cephalalgia</w:t>
      </w:r>
      <w:r>
        <w:t xml:space="preserve"> </w:t>
      </w:r>
      <w:r>
        <w:t xml:space="preserve">—</w:t>
      </w:r>
      <w:r>
        <w:t xml:space="preserve"> </w:t>
      </w:r>
      <w:hyperlink r:id="rId114">
        <w:r>
          <w:rPr>
            <w:rStyle w:val="Hyperlink"/>
          </w:rPr>
          <w:t xml:space="preserve">26229071</w:t>
        </w:r>
      </w:hyperlink>
    </w:p>
    <w:p>
      <w:pPr>
        <w:numPr>
          <w:ilvl w:val="0"/>
          <w:numId w:val="1032"/>
        </w:numPr>
      </w:pPr>
      <w:r>
        <w:t xml:space="preserve">Löken 2009,</w:t>
      </w:r>
      <w:r>
        <w:t xml:space="preserve"> </w:t>
      </w:r>
      <w:r>
        <w:rPr>
          <w:i/>
          <w:iCs/>
        </w:rPr>
        <w:t xml:space="preserve">Nat Neurosci</w:t>
      </w:r>
      <w:r>
        <w:t xml:space="preserve"> </w:t>
      </w:r>
      <w:r>
        <w:t xml:space="preserve">—</w:t>
      </w:r>
      <w:r>
        <w:t xml:space="preserve"> </w:t>
      </w:r>
      <w:hyperlink r:id="rId115">
        <w:r>
          <w:rPr>
            <w:rStyle w:val="Hyperlink"/>
          </w:rPr>
          <w:t xml:space="preserve">19363489</w:t>
        </w:r>
      </w:hyperlink>
    </w:p>
    <w:p>
      <w:pPr>
        <w:numPr>
          <w:ilvl w:val="0"/>
          <w:numId w:val="1032"/>
        </w:numPr>
      </w:pPr>
      <w:r>
        <w:t xml:space="preserve">Woldeamanuel &amp; Oliveira 2022,</w:t>
      </w:r>
      <w:r>
        <w:t xml:space="preserve"> </w:t>
      </w:r>
      <w:r>
        <w:rPr>
          <w:i/>
          <w:iCs/>
        </w:rPr>
        <w:t xml:space="preserve">J Headache Pain</w:t>
      </w:r>
      <w:r>
        <w:t xml:space="preserve"> </w:t>
      </w:r>
      <w:r>
        <w:t xml:space="preserve">—</w:t>
      </w:r>
      <w:r>
        <w:t xml:space="preserve"> </w:t>
      </w:r>
      <w:hyperlink r:id="rId116">
        <w:r>
          <w:rPr>
            <w:rStyle w:val="Hyperlink"/>
          </w:rPr>
          <w:t xml:space="preserve">36229774</w:t>
        </w:r>
      </w:hyperlink>
    </w:p>
    <w:p>
      <w:pPr>
        <w:numPr>
          <w:ilvl w:val="0"/>
          <w:numId w:val="1032"/>
        </w:numPr>
      </w:pPr>
      <w:r>
        <w:t xml:space="preserve">Varkey 2011,</w:t>
      </w:r>
      <w:r>
        <w:t xml:space="preserve"> </w:t>
      </w:r>
      <w:r>
        <w:rPr>
          <w:i/>
          <w:iCs/>
        </w:rPr>
        <w:t xml:space="preserve">Cephalalgia</w:t>
      </w:r>
      <w:r>
        <w:t xml:space="preserve"> </w:t>
      </w:r>
      <w:r>
        <w:t xml:space="preserve">—</w:t>
      </w:r>
      <w:r>
        <w:t xml:space="preserve"> </w:t>
      </w:r>
      <w:hyperlink r:id="rId117">
        <w:r>
          <w:rPr>
            <w:rStyle w:val="Hyperlink"/>
          </w:rPr>
          <w:t xml:space="preserve">21890526</w:t>
        </w:r>
      </w:hyperlink>
    </w:p>
    <w:p>
      <w:pPr>
        <w:numPr>
          <w:ilvl w:val="0"/>
          <w:numId w:val="1032"/>
        </w:numPr>
      </w:pPr>
      <w:r>
        <w:t xml:space="preserve">Lemmens 2019,</w:t>
      </w:r>
      <w:r>
        <w:t xml:space="preserve"> </w:t>
      </w:r>
      <w:r>
        <w:rPr>
          <w:i/>
          <w:iCs/>
        </w:rPr>
        <w:t xml:space="preserve">J Headache Pain</w:t>
      </w:r>
      <w:r>
        <w:t xml:space="preserve"> </w:t>
      </w:r>
      <w:r>
        <w:t xml:space="preserve">—</w:t>
      </w:r>
      <w:r>
        <w:t xml:space="preserve"> </w:t>
      </w:r>
      <w:hyperlink r:id="rId118">
        <w:r>
          <w:rPr>
            <w:rStyle w:val="Hyperlink"/>
          </w:rPr>
          <w:t xml:space="preserve">30764753</w:t>
        </w:r>
      </w:hyperlink>
    </w:p>
    <w:p>
      <w:pPr>
        <w:numPr>
          <w:ilvl w:val="0"/>
          <w:numId w:val="1032"/>
        </w:numPr>
      </w:pPr>
      <w:r>
        <w:t xml:space="preserve">Wells 2021,</w:t>
      </w:r>
      <w:r>
        <w:t xml:space="preserve"> </w:t>
      </w:r>
      <w:r>
        <w:rPr>
          <w:i/>
          <w:iCs/>
        </w:rPr>
        <w:t xml:space="preserve">JAMA Intern Med</w:t>
      </w:r>
      <w:r>
        <w:t xml:space="preserve"> </w:t>
      </w:r>
      <w:r>
        <w:t xml:space="preserve">—</w:t>
      </w:r>
      <w:r>
        <w:t xml:space="preserve"> </w:t>
      </w:r>
      <w:hyperlink r:id="rId119">
        <w:r>
          <w:rPr>
            <w:rStyle w:val="Hyperlink"/>
          </w:rPr>
          <w:t xml:space="preserve">33315046</w:t>
        </w:r>
      </w:hyperlink>
    </w:p>
    <w:p>
      <w:pPr>
        <w:numPr>
          <w:ilvl w:val="0"/>
          <w:numId w:val="1032"/>
        </w:numPr>
      </w:pPr>
      <w:r>
        <w:t xml:space="preserve">Calhoun 2010,</w:t>
      </w:r>
      <w:r>
        <w:t xml:space="preserve"> </w:t>
      </w:r>
      <w:r>
        <w:rPr>
          <w:i/>
          <w:iCs/>
        </w:rPr>
        <w:t xml:space="preserve">Headache</w:t>
      </w:r>
      <w:r>
        <w:t xml:space="preserve"> </w:t>
      </w:r>
      <w:r>
        <w:t xml:space="preserve">—</w:t>
      </w:r>
      <w:r>
        <w:t xml:space="preserve"> </w:t>
      </w:r>
      <w:hyperlink r:id="rId120">
        <w:r>
          <w:rPr>
            <w:rStyle w:val="Hyperlink"/>
          </w:rPr>
          <w:t xml:space="preserve">20100298</w:t>
        </w:r>
      </w:hyperlink>
    </w:p>
    <w:p>
      <w:pPr>
        <w:numPr>
          <w:ilvl w:val="0"/>
          <w:numId w:val="1032"/>
        </w:numPr>
      </w:pPr>
      <w:r>
        <w:t xml:space="preserve">Sacco 2022,</w:t>
      </w:r>
      <w:r>
        <w:t xml:space="preserve"> </w:t>
      </w:r>
      <w:r>
        <w:rPr>
          <w:i/>
          <w:iCs/>
        </w:rPr>
        <w:t xml:space="preserve">J Headache Pain</w:t>
      </w:r>
      <w:r>
        <w:t xml:space="preserve"> </w:t>
      </w:r>
      <w:r>
        <w:t xml:space="preserve">(anti-CGRP) —</w:t>
      </w:r>
      <w:r>
        <w:t xml:space="preserve"> </w:t>
      </w:r>
      <w:hyperlink r:id="rId121">
        <w:r>
          <w:rPr>
            <w:rStyle w:val="Hyperlink"/>
          </w:rPr>
          <w:t xml:space="preserve">35690723</w:t>
        </w:r>
      </w:hyperlink>
    </w:p>
    <w:p>
      <w:pPr>
        <w:numPr>
          <w:ilvl w:val="0"/>
          <w:numId w:val="1032"/>
        </w:numPr>
      </w:pPr>
      <w:r>
        <w:t xml:space="preserve">Ponte 2022,</w:t>
      </w:r>
      <w:r>
        <w:t xml:space="preserve"> </w:t>
      </w:r>
      <w:r>
        <w:rPr>
          <w:i/>
          <w:iCs/>
        </w:rPr>
        <w:t xml:space="preserve">Arthritis Rheumatol</w:t>
      </w:r>
      <w:r>
        <w:t xml:space="preserve"> </w:t>
      </w:r>
      <w:r>
        <w:t xml:space="preserve">(criteri arterite) —</w:t>
      </w:r>
      <w:r>
        <w:t xml:space="preserve"> </w:t>
      </w:r>
      <w:hyperlink r:id="rId122">
        <w:r>
          <w:rPr>
            <w:rStyle w:val="Hyperlink"/>
          </w:rPr>
          <w:t xml:space="preserve">36350123</w:t>
        </w:r>
      </w:hyperlink>
    </w:p>
    <w:p>
      <w:pPr>
        <w:numPr>
          <w:ilvl w:val="0"/>
          <w:numId w:val="1032"/>
        </w:numPr>
      </w:pPr>
      <w:r>
        <w:t xml:space="preserve">Mackie 2020,</w:t>
      </w:r>
      <w:r>
        <w:t xml:space="preserve"> </w:t>
      </w:r>
      <w:r>
        <w:rPr>
          <w:i/>
          <w:iCs/>
        </w:rPr>
        <w:t xml:space="preserve">Rheumatology</w:t>
      </w:r>
      <w:r>
        <w:t xml:space="preserve"> </w:t>
      </w:r>
      <w:r>
        <w:t xml:space="preserve">(linea guida arterite) —</w:t>
      </w:r>
      <w:r>
        <w:t xml:space="preserve"> </w:t>
      </w:r>
      <w:hyperlink r:id="rId123">
        <w:r>
          <w:rPr>
            <w:rStyle w:val="Hyperlink"/>
          </w:rPr>
          <w:t xml:space="preserve">31970405</w:t>
        </w:r>
      </w:hyperlink>
    </w:p>
    <w:p>
      <w:pPr>
        <w:numPr>
          <w:ilvl w:val="0"/>
          <w:numId w:val="1032"/>
        </w:numPr>
      </w:pPr>
      <w:r>
        <w:t xml:space="preserve">Sacco 2017,</w:t>
      </w:r>
      <w:r>
        <w:t xml:space="preserve"> </w:t>
      </w:r>
      <w:r>
        <w:rPr>
          <w:i/>
          <w:iCs/>
        </w:rPr>
        <w:t xml:space="preserve">J Headache Pain</w:t>
      </w:r>
      <w:r>
        <w:t xml:space="preserve"> </w:t>
      </w:r>
      <w:r>
        <w:t xml:space="preserve">(contraccettivi e aura) —</w:t>
      </w:r>
      <w:r>
        <w:t xml:space="preserve"> </w:t>
      </w:r>
      <w:hyperlink r:id="rId124">
        <w:r>
          <w:rPr>
            <w:rStyle w:val="Hyperlink"/>
          </w:rPr>
          <w:t xml:space="preserve">29086160</w:t>
        </w:r>
      </w:hyperlink>
    </w:p>
    <w:p>
      <w:pPr>
        <w:numPr>
          <w:ilvl w:val="0"/>
          <w:numId w:val="1032"/>
        </w:numPr>
      </w:pPr>
      <w:r>
        <w:t xml:space="preserve">Schürks 2009,</w:t>
      </w:r>
      <w:r>
        <w:t xml:space="preserve"> </w:t>
      </w:r>
      <w:r>
        <w:rPr>
          <w:i/>
          <w:iCs/>
        </w:rPr>
        <w:t xml:space="preserve">BMJ</w:t>
      </w:r>
      <w:r>
        <w:t xml:space="preserve"> </w:t>
      </w:r>
      <w:r>
        <w:t xml:space="preserve">—</w:t>
      </w:r>
      <w:r>
        <w:t xml:space="preserve"> </w:t>
      </w:r>
      <w:hyperlink r:id="rId125">
        <w:r>
          <w:rPr>
            <w:rStyle w:val="Hyperlink"/>
          </w:rPr>
          <w:t xml:space="preserve">19861375</w:t>
        </w:r>
      </w:hyperlink>
    </w:p>
    <w:p>
      <w:pPr>
        <w:numPr>
          <w:ilvl w:val="0"/>
          <w:numId w:val="1032"/>
        </w:numPr>
      </w:pPr>
      <w:r>
        <w:t xml:space="preserve">Rushton 2023,</w:t>
      </w:r>
      <w:r>
        <w:t xml:space="preserve"> </w:t>
      </w:r>
      <w:r>
        <w:rPr>
          <w:i/>
          <w:iCs/>
        </w:rPr>
        <w:t xml:space="preserve">J Orthop Sports Phys Ther</w:t>
      </w:r>
      <w:r>
        <w:t xml:space="preserve"> </w:t>
      </w:r>
      <w:r>
        <w:t xml:space="preserve">(IFOMPT) —</w:t>
      </w:r>
      <w:r>
        <w:t xml:space="preserve"> </w:t>
      </w:r>
      <w:hyperlink r:id="rId126">
        <w:r>
          <w:rPr>
            <w:rStyle w:val="Hyperlink"/>
          </w:rPr>
          <w:t xml:space="preserve">36099171</w:t>
        </w:r>
      </w:hyperlink>
    </w:p>
    <w:p>
      <w:pPr>
        <w:numPr>
          <w:ilvl w:val="0"/>
          <w:numId w:val="1032"/>
        </w:numPr>
      </w:pPr>
      <w:r>
        <w:t xml:space="preserve">Kranenburg 2017,</w:t>
      </w:r>
      <w:r>
        <w:t xml:space="preserve"> </w:t>
      </w:r>
      <w:r>
        <w:rPr>
          <w:i/>
          <w:iCs/>
        </w:rPr>
        <w:t xml:space="preserve">Musculoskelet Sci Pract</w:t>
      </w:r>
      <w:r>
        <w:t xml:space="preserve"> </w:t>
      </w:r>
      <w:r>
        <w:t xml:space="preserve">—</w:t>
      </w:r>
      <w:r>
        <w:t xml:space="preserve"> </w:t>
      </w:r>
      <w:hyperlink r:id="rId127">
        <w:r>
          <w:rPr>
            <w:rStyle w:val="Hyperlink"/>
          </w:rPr>
          <w:t xml:space="preserve">28171776</w:t>
        </w:r>
      </w:hyperlink>
    </w:p>
    <w:p>
      <w:pPr>
        <w:numPr>
          <w:ilvl w:val="0"/>
          <w:numId w:val="1032"/>
        </w:numPr>
      </w:pPr>
      <w:r>
        <w:t xml:space="preserve">Taylor 2023,</w:t>
      </w:r>
      <w:r>
        <w:t xml:space="preserve"> </w:t>
      </w:r>
      <w:r>
        <w:rPr>
          <w:i/>
          <w:iCs/>
        </w:rPr>
        <w:t xml:space="preserve">Braz J Phys Ther</w:t>
      </w:r>
      <w:r>
        <w:t xml:space="preserve"> </w:t>
      </w:r>
      <w:r>
        <w:t xml:space="preserve">—</w:t>
      </w:r>
      <w:r>
        <w:t xml:space="preserve"> </w:t>
      </w:r>
      <w:hyperlink r:id="rId128">
        <w:r>
          <w:rPr>
            <w:rStyle w:val="Hyperlink"/>
          </w:rPr>
          <w:t xml:space="preserve">37027997</w:t>
        </w:r>
      </w:hyperlink>
    </w:p>
    <w:p>
      <w:pPr>
        <w:numPr>
          <w:ilvl w:val="0"/>
          <w:numId w:val="1032"/>
        </w:numPr>
      </w:pPr>
      <w:r>
        <w:t xml:space="preserve">Yoo 2021,</w:t>
      </w:r>
      <w:r>
        <w:t xml:space="preserve"> </w:t>
      </w:r>
      <w:r>
        <w:rPr>
          <w:i/>
          <w:iCs/>
        </w:rPr>
        <w:t xml:space="preserve">J Craniofac Surg</w:t>
      </w:r>
      <w:r>
        <w:t xml:space="preserve"> </w:t>
      </w:r>
      <w:r>
        <w:t xml:space="preserve">(riflesso oculocardiaco) —</w:t>
      </w:r>
      <w:r>
        <w:t xml:space="preserve"> </w:t>
      </w:r>
      <w:hyperlink r:id="rId129">
        <w:r>
          <w:rPr>
            <w:rStyle w:val="Hyperlink"/>
          </w:rPr>
          <w:t xml:space="preserve">33186288</w:t>
        </w:r>
      </w:hyperlink>
    </w:p>
    <w:p>
      <w:pPr>
        <w:numPr>
          <w:ilvl w:val="0"/>
          <w:numId w:val="1032"/>
        </w:numPr>
      </w:pPr>
      <w:r>
        <w:t xml:space="preserve">Mattle 1989,</w:t>
      </w:r>
      <w:r>
        <w:t xml:space="preserve"> </w:t>
      </w:r>
      <w:r>
        <w:rPr>
          <w:i/>
          <w:iCs/>
        </w:rPr>
        <w:t xml:space="preserve">J Neurol Neurosurg Psychiatry</w:t>
      </w:r>
      <w:r>
        <w:t xml:space="preserve"> </w:t>
      </w:r>
      <w:r>
        <w:t xml:space="preserve">—</w:t>
      </w:r>
      <w:r>
        <w:t xml:space="preserve"> </w:t>
      </w:r>
      <w:hyperlink r:id="rId130">
        <w:r>
          <w:rPr>
            <w:rStyle w:val="Hyperlink"/>
          </w:rPr>
          <w:t xml:space="preserve">2769275</w:t>
        </w:r>
      </w:hyperlink>
    </w:p>
    <w:p>
      <w:pPr>
        <w:numPr>
          <w:ilvl w:val="0"/>
          <w:numId w:val="1032"/>
        </w:numPr>
      </w:pPr>
      <w:r>
        <w:t xml:space="preserve">Micheli 1989,</w:t>
      </w:r>
      <w:r>
        <w:t xml:space="preserve"> </w:t>
      </w:r>
      <w:r>
        <w:rPr>
          <w:i/>
          <w:iCs/>
        </w:rPr>
        <w:t xml:space="preserve">Mov Disord</w:t>
      </w:r>
      <w:r>
        <w:t xml:space="preserve"> </w:t>
      </w:r>
      <w:r>
        <w:t xml:space="preserve">(flunarizina) —</w:t>
      </w:r>
      <w:r>
        <w:t xml:space="preserve"> </w:t>
      </w:r>
      <w:hyperlink r:id="rId131">
        <w:r>
          <w:rPr>
            <w:rStyle w:val="Hyperlink"/>
          </w:rPr>
          <w:t xml:space="preserve">2733706</w:t>
        </w:r>
      </w:hyperlink>
    </w:p>
    <w:p>
      <w:pPr>
        <w:numPr>
          <w:ilvl w:val="0"/>
          <w:numId w:val="1032"/>
        </w:numPr>
      </w:pPr>
      <w:r>
        <w:t xml:space="preserve">Hernandez-Diaz 2018,</w:t>
      </w:r>
      <w:r>
        <w:t xml:space="preserve"> </w:t>
      </w:r>
      <w:r>
        <w:rPr>
          <w:i/>
          <w:iCs/>
        </w:rPr>
        <w:t xml:space="preserve">Neurology</w:t>
      </w:r>
      <w:r>
        <w:t xml:space="preserve"> </w:t>
      </w:r>
      <w:r>
        <w:t xml:space="preserve">(topiramato) —</w:t>
      </w:r>
      <w:r>
        <w:t xml:space="preserve"> </w:t>
      </w:r>
      <w:hyperlink r:id="rId132">
        <w:r>
          <w:rPr>
            <w:rStyle w:val="Hyperlink"/>
          </w:rPr>
          <w:t xml:space="preserve">29282333</w:t>
        </w:r>
      </w:hyperlink>
    </w:p>
    <w:p>
      <w:pPr>
        <w:numPr>
          <w:ilvl w:val="0"/>
          <w:numId w:val="1032"/>
        </w:numPr>
      </w:pPr>
      <w:r>
        <w:t xml:space="preserve">Hyeraci 2023,</w:t>
      </w:r>
      <w:r>
        <w:t xml:space="preserve"> </w:t>
      </w:r>
      <w:r>
        <w:rPr>
          <w:i/>
          <w:iCs/>
        </w:rPr>
        <w:t xml:space="preserve">Headache</w:t>
      </w:r>
      <w:r>
        <w:t xml:space="preserve"> </w:t>
      </w:r>
      <w:r>
        <w:t xml:space="preserve">(triptani) —</w:t>
      </w:r>
      <w:r>
        <w:t xml:space="preserve"> </w:t>
      </w:r>
      <w:hyperlink r:id="rId133">
        <w:r>
          <w:rPr>
            <w:rStyle w:val="Hyperlink"/>
          </w:rPr>
          <w:t xml:space="preserve">36705316</w:t>
        </w:r>
      </w:hyperlink>
    </w:p>
    <w:p>
      <w:pPr>
        <w:numPr>
          <w:ilvl w:val="0"/>
          <w:numId w:val="1032"/>
        </w:numPr>
      </w:pPr>
      <w:r>
        <w:t xml:space="preserve">Breslau 2003,</w:t>
      </w:r>
      <w:r>
        <w:t xml:space="preserve"> </w:t>
      </w:r>
      <w:r>
        <w:rPr>
          <w:i/>
          <w:iCs/>
        </w:rPr>
        <w:t xml:space="preserve">Neurology</w:t>
      </w:r>
      <w:r>
        <w:t xml:space="preserve"> </w:t>
      </w:r>
      <w:r>
        <w:t xml:space="preserve">(depressione comorbida) —</w:t>
      </w:r>
      <w:r>
        <w:t xml:space="preserve"> </w:t>
      </w:r>
      <w:hyperlink r:id="rId134">
        <w:r>
          <w:rPr>
            <w:rStyle w:val="Hyperlink"/>
          </w:rPr>
          <w:t xml:space="preserve">12707434</w:t>
        </w:r>
      </w:hyperlink>
    </w:p>
    <w:p>
      <w:pPr>
        <w:numPr>
          <w:ilvl w:val="0"/>
          <w:numId w:val="1032"/>
        </w:numPr>
      </w:pPr>
      <w:r>
        <w:t xml:space="preserve">Burstein 2010,</w:t>
      </w:r>
      <w:r>
        <w:t xml:space="preserve"> </w:t>
      </w:r>
      <w:r>
        <w:rPr>
          <w:i/>
          <w:iCs/>
        </w:rPr>
        <w:t xml:space="preserve">Ann Neurol</w:t>
      </w:r>
      <w:r>
        <w:t xml:space="preserve"> </w:t>
      </w:r>
      <w:r>
        <w:t xml:space="preserve">—</w:t>
      </w:r>
      <w:r>
        <w:t xml:space="preserve"> </w:t>
      </w:r>
      <w:hyperlink r:id="rId135">
        <w:r>
          <w:rPr>
            <w:rStyle w:val="Hyperlink"/>
          </w:rPr>
          <w:t xml:space="preserve">20582997</w:t>
        </w:r>
      </w:hyperlink>
    </w:p>
    <w:p>
      <w:pPr>
        <w:numPr>
          <w:ilvl w:val="0"/>
          <w:numId w:val="1032"/>
        </w:numPr>
      </w:pPr>
      <w:r>
        <w:t xml:space="preserve">Maleki 2021,</w:t>
      </w:r>
      <w:r>
        <w:t xml:space="preserve"> </w:t>
      </w:r>
      <w:r>
        <w:rPr>
          <w:i/>
          <w:iCs/>
        </w:rPr>
        <w:t xml:space="preserve">J Headache Pain</w:t>
      </w:r>
      <w:r>
        <w:t xml:space="preserve"> </w:t>
      </w:r>
      <w:r>
        <w:t xml:space="preserve">—</w:t>
      </w:r>
      <w:r>
        <w:t xml:space="preserve"> </w:t>
      </w:r>
      <w:hyperlink r:id="rId136">
        <w:r>
          <w:rPr>
            <w:rStyle w:val="Hyperlink"/>
          </w:rPr>
          <w:t xml:space="preserve">33395413</w:t>
        </w:r>
      </w:hyperlink>
    </w:p>
    <w:p>
      <w:pPr>
        <w:numPr>
          <w:ilvl w:val="0"/>
          <w:numId w:val="1032"/>
        </w:numPr>
      </w:pPr>
      <w:r>
        <w:t xml:space="preserve">Hall 2010,</w:t>
      </w:r>
      <w:r>
        <w:t xml:space="preserve"> </w:t>
      </w:r>
      <w:r>
        <w:rPr>
          <w:i/>
          <w:iCs/>
        </w:rPr>
        <w:t xml:space="preserve">J Man Manip Ther</w:t>
      </w:r>
      <w:r>
        <w:t xml:space="preserve"> </w:t>
      </w:r>
      <w:r>
        <w:t xml:space="preserve">(cut-off 32°) —</w:t>
      </w:r>
      <w:r>
        <w:t xml:space="preserve"> </w:t>
      </w:r>
      <w:hyperlink r:id="rId137">
        <w:r>
          <w:rPr>
            <w:rStyle w:val="Hyperlink"/>
          </w:rPr>
          <w:t xml:space="preserve">21886422</w:t>
        </w:r>
      </w:hyperlink>
    </w:p>
    <w:p>
      <w:pPr>
        <w:numPr>
          <w:ilvl w:val="0"/>
          <w:numId w:val="1032"/>
        </w:numPr>
      </w:pPr>
      <w:r>
        <w:t xml:space="preserve">Oliveira-Souza 2020,</w:t>
      </w:r>
      <w:r>
        <w:t xml:space="preserve"> </w:t>
      </w:r>
      <w:r>
        <w:rPr>
          <w:i/>
          <w:iCs/>
        </w:rPr>
        <w:t xml:space="preserve">Musculoskelet Sci Pract</w:t>
      </w:r>
      <w:r>
        <w:t xml:space="preserve"> </w:t>
      </w:r>
      <w:r>
        <w:t xml:space="preserve">—</w:t>
      </w:r>
      <w:r>
        <w:t xml:space="preserve"> </w:t>
      </w:r>
      <w:hyperlink r:id="rId138">
        <w:r>
          <w:rPr>
            <w:rStyle w:val="Hyperlink"/>
          </w:rPr>
          <w:t xml:space="preserve">32861519</w:t>
        </w:r>
      </w:hyperlink>
    </w:p>
    <w:p>
      <w:pPr>
        <w:numPr>
          <w:ilvl w:val="0"/>
          <w:numId w:val="1032"/>
        </w:numPr>
      </w:pPr>
      <w:r>
        <w:t xml:space="preserve">Suzuki 2025,</w:t>
      </w:r>
      <w:r>
        <w:t xml:space="preserve"> </w:t>
      </w:r>
      <w:r>
        <w:rPr>
          <w:i/>
          <w:iCs/>
        </w:rPr>
        <w:t xml:space="preserve">J Clin Med</w:t>
      </w:r>
      <w:r>
        <w:t xml:space="preserve"> </w:t>
      </w:r>
      <w:r>
        <w:t xml:space="preserve">(CSI) —</w:t>
      </w:r>
      <w:r>
        <w:t xml:space="preserve"> </w:t>
      </w:r>
      <w:hyperlink r:id="rId139">
        <w:r>
          <w:rPr>
            <w:rStyle w:val="Hyperlink"/>
          </w:rPr>
          <w:t xml:space="preserve">39972460</w:t>
        </w:r>
      </w:hyperlink>
    </w:p>
    <w:p>
      <w:pPr>
        <w:numPr>
          <w:ilvl w:val="0"/>
          <w:numId w:val="1032"/>
        </w:numPr>
      </w:pPr>
      <w:r>
        <w:t xml:space="preserve">Laborde 2022,</w:t>
      </w:r>
      <w:r>
        <w:t xml:space="preserve"> </w:t>
      </w:r>
      <w:r>
        <w:rPr>
          <w:i/>
          <w:iCs/>
        </w:rPr>
        <w:t xml:space="preserve">Neurosci Biobehav Rev</w:t>
      </w:r>
      <w:r>
        <w:t xml:space="preserve"> </w:t>
      </w:r>
      <w:r>
        <w:t xml:space="preserve">—</w:t>
      </w:r>
      <w:r>
        <w:t xml:space="preserve"> </w:t>
      </w:r>
      <w:hyperlink r:id="rId140">
        <w:r>
          <w:rPr>
            <w:rStyle w:val="Hyperlink"/>
          </w:rPr>
          <w:t xml:space="preserve">35623448</w:t>
        </w:r>
      </w:hyperlink>
    </w:p>
    <w:p>
      <w:pPr>
        <w:numPr>
          <w:ilvl w:val="0"/>
          <w:numId w:val="1032"/>
        </w:numPr>
      </w:pPr>
      <w:r>
        <w:t xml:space="preserve">Lee 2019,</w:t>
      </w:r>
      <w:r>
        <w:t xml:space="preserve"> </w:t>
      </w:r>
      <w:r>
        <w:rPr>
          <w:i/>
          <w:iCs/>
        </w:rPr>
        <w:t xml:space="preserve">J Headache Pain</w:t>
      </w:r>
      <w:r>
        <w:t xml:space="preserve"> </w:t>
      </w:r>
      <w:r>
        <w:t xml:space="preserve">(interventi psicologici) —</w:t>
      </w:r>
      <w:r>
        <w:t xml:space="preserve"> </w:t>
      </w:r>
      <w:hyperlink r:id="rId141">
        <w:r>
          <w:rPr>
            <w:rStyle w:val="Hyperlink"/>
          </w:rPr>
          <w:t xml:space="preserve">30764752</w:t>
        </w:r>
      </w:hyperlink>
    </w:p>
    <w:p>
      <w:pPr>
        <w:numPr>
          <w:ilvl w:val="0"/>
          <w:numId w:val="1032"/>
        </w:numPr>
      </w:pPr>
      <w:r>
        <w:t xml:space="preserve">Szikszay 2019,</w:t>
      </w:r>
      <w:r>
        <w:t xml:space="preserve"> </w:t>
      </w:r>
      <w:r>
        <w:rPr>
          <w:i/>
          <w:iCs/>
        </w:rPr>
        <w:t xml:space="preserve">Pain</w:t>
      </w:r>
      <w:r>
        <w:t xml:space="preserve"> </w:t>
      </w:r>
      <w:r>
        <w:t xml:space="preserve">—</w:t>
      </w:r>
      <w:r>
        <w:t xml:space="preserve"> </w:t>
      </w:r>
      <w:hyperlink r:id="rId142">
        <w:r>
          <w:rPr>
            <w:rStyle w:val="Hyperlink"/>
          </w:rPr>
          <w:t xml:space="preserve">30690564</w:t>
        </w:r>
      </w:hyperlink>
    </w:p>
    <w:p>
      <w:pPr>
        <w:numPr>
          <w:ilvl w:val="0"/>
          <w:numId w:val="1032"/>
        </w:numPr>
      </w:pPr>
      <w:r>
        <w:t xml:space="preserve">Di Antonio 2022,</w:t>
      </w:r>
      <w:r>
        <w:t xml:space="preserve"> </w:t>
      </w:r>
      <w:r>
        <w:rPr>
          <w:i/>
          <w:iCs/>
        </w:rPr>
        <w:t xml:space="preserve">Cephalalgia</w:t>
      </w:r>
      <w:r>
        <w:t xml:space="preserve"> </w:t>
      </w:r>
      <w:r>
        <w:t xml:space="preserve">(reperti per fase) —</w:t>
      </w:r>
      <w:r>
        <w:t xml:space="preserve"> </w:t>
      </w:r>
      <w:hyperlink r:id="rId143">
        <w:r>
          <w:rPr>
            <w:rStyle w:val="Hyperlink"/>
          </w:rPr>
          <w:t xml:space="preserve">35332826</w:t>
        </w:r>
      </w:hyperlink>
    </w:p>
    <w:p>
      <w:pPr>
        <w:numPr>
          <w:ilvl w:val="0"/>
          <w:numId w:val="1032"/>
        </w:numPr>
      </w:pPr>
      <w:r>
        <w:t xml:space="preserve">Di Antonio 2022,</w:t>
      </w:r>
      <w:r>
        <w:t xml:space="preserve"> </w:t>
      </w:r>
      <w:r>
        <w:rPr>
          <w:i/>
          <w:iCs/>
        </w:rPr>
        <w:t xml:space="preserve">Headache</w:t>
      </w:r>
      <w:r>
        <w:t xml:space="preserve"> </w:t>
      </w:r>
      <w:r>
        <w:t xml:space="preserve">(soglie per fase) —</w:t>
      </w:r>
      <w:r>
        <w:t xml:space="preserve"> </w:t>
      </w:r>
      <w:hyperlink r:id="rId144">
        <w:r>
          <w:rPr>
            <w:rStyle w:val="Hyperlink"/>
          </w:rPr>
          <w:t xml:space="preserve">35122434</w:t>
        </w:r>
      </w:hyperlink>
    </w:p>
    <w:p>
      <w:pPr>
        <w:numPr>
          <w:ilvl w:val="0"/>
          <w:numId w:val="1032"/>
        </w:numPr>
      </w:pPr>
      <w:r>
        <w:t xml:space="preserve">Scholten-Peeters 2020,</w:t>
      </w:r>
      <w:r>
        <w:t xml:space="preserve"> </w:t>
      </w:r>
      <w:r>
        <w:rPr>
          <w:i/>
          <w:iCs/>
        </w:rPr>
        <w:t xml:space="preserve">J Headache Pain</w:t>
      </w:r>
      <w:r>
        <w:t xml:space="preserve"> </w:t>
      </w:r>
      <w:r>
        <w:t xml:space="preserve">—</w:t>
      </w:r>
      <w:r>
        <w:t xml:space="preserve"> </w:t>
      </w:r>
      <w:hyperlink r:id="rId145">
        <w:r>
          <w:rPr>
            <w:rStyle w:val="Hyperlink"/>
          </w:rPr>
          <w:t xml:space="preserve">32059650</w:t>
        </w:r>
      </w:hyperlink>
    </w:p>
    <w:p>
      <w:pPr>
        <w:numPr>
          <w:ilvl w:val="0"/>
          <w:numId w:val="1032"/>
        </w:numPr>
      </w:pPr>
      <w:r>
        <w:t xml:space="preserve">Vetvik 2014,</w:t>
      </w:r>
      <w:r>
        <w:t xml:space="preserve"> </w:t>
      </w:r>
      <w:r>
        <w:rPr>
          <w:i/>
          <w:iCs/>
        </w:rPr>
        <w:t xml:space="preserve">Cephalalgia</w:t>
      </w:r>
      <w:r>
        <w:t xml:space="preserve"> </w:t>
      </w:r>
      <w:r>
        <w:t xml:space="preserve">(prevalenza mestruale) —</w:t>
      </w:r>
      <w:r>
        <w:t xml:space="preserve"> </w:t>
      </w:r>
      <w:hyperlink r:id="rId146">
        <w:r>
          <w:rPr>
            <w:rStyle w:val="Hyperlink"/>
          </w:rPr>
          <w:t xml:space="preserve">24101732</w:t>
        </w:r>
      </w:hyperlink>
    </w:p>
    <w:p>
      <w:pPr>
        <w:numPr>
          <w:ilvl w:val="0"/>
          <w:numId w:val="1032"/>
        </w:numPr>
      </w:pPr>
      <w:r>
        <w:t xml:space="preserve">Vetvik 2015,</w:t>
      </w:r>
      <w:r>
        <w:t xml:space="preserve"> </w:t>
      </w:r>
      <w:r>
        <w:rPr>
          <w:i/>
          <w:iCs/>
        </w:rPr>
        <w:t xml:space="preserve">Cephalalgia</w:t>
      </w:r>
      <w:r>
        <w:t xml:space="preserve"> </w:t>
      </w:r>
      <w:r>
        <w:t xml:space="preserve">—</w:t>
      </w:r>
      <w:r>
        <w:t xml:space="preserve"> </w:t>
      </w:r>
      <w:hyperlink r:id="rId147">
        <w:r>
          <w:rPr>
            <w:rStyle w:val="Hyperlink"/>
          </w:rPr>
          <w:t xml:space="preserve">25754177</w:t>
        </w:r>
      </w:hyperlink>
    </w:p>
    <w:p>
      <w:pPr>
        <w:numPr>
          <w:ilvl w:val="0"/>
          <w:numId w:val="1032"/>
        </w:numPr>
      </w:pPr>
      <w:r>
        <w:t xml:space="preserve">MacGregor 2010,</w:t>
      </w:r>
      <w:r>
        <w:t xml:space="preserve"> </w:t>
      </w:r>
      <w:r>
        <w:rPr>
          <w:i/>
          <w:iCs/>
        </w:rPr>
        <w:t xml:space="preserve">Headache</w:t>
      </w:r>
      <w:r>
        <w:t xml:space="preserve"> </w:t>
      </w:r>
      <w:r>
        <w:t xml:space="preserve">—</w:t>
      </w:r>
      <w:r>
        <w:t xml:space="preserve"> </w:t>
      </w:r>
      <w:hyperlink r:id="rId148">
        <w:r>
          <w:rPr>
            <w:rStyle w:val="Hyperlink"/>
          </w:rPr>
          <w:t xml:space="preserve">20236340</w:t>
        </w:r>
      </w:hyperlink>
    </w:p>
    <w:p>
      <w:pPr>
        <w:numPr>
          <w:ilvl w:val="0"/>
          <w:numId w:val="1032"/>
        </w:numPr>
      </w:pPr>
      <w:r>
        <w:t xml:space="preserve">Calhoun &amp; Ford 2007,</w:t>
      </w:r>
      <w:r>
        <w:t xml:space="preserve"> </w:t>
      </w:r>
      <w:r>
        <w:rPr>
          <w:i/>
          <w:iCs/>
        </w:rPr>
        <w:t xml:space="preserve">Headache</w:t>
      </w:r>
      <w:r>
        <w:t xml:space="preserve"> </w:t>
      </w:r>
      <w:r>
        <w:t xml:space="preserve">(sonno) —</w:t>
      </w:r>
      <w:r>
        <w:t xml:space="preserve"> </w:t>
      </w:r>
      <w:hyperlink r:id="rId149">
        <w:r>
          <w:rPr>
            <w:rStyle w:val="Hyperlink"/>
          </w:rPr>
          <w:t xml:space="preserve">17883522</w:t>
        </w:r>
      </w:hyperlink>
    </w:p>
    <w:p>
      <w:pPr>
        <w:numPr>
          <w:ilvl w:val="0"/>
          <w:numId w:val="1032"/>
        </w:numPr>
      </w:pPr>
      <w:r>
        <w:t xml:space="preserve">Treadwell 2025,</w:t>
      </w:r>
      <w:r>
        <w:t xml:space="preserve"> </w:t>
      </w:r>
      <w:r>
        <w:rPr>
          <w:i/>
          <w:iCs/>
        </w:rPr>
        <w:t xml:space="preserve">Headache</w:t>
      </w:r>
      <w:r>
        <w:t xml:space="preserve"> </w:t>
      </w:r>
      <w:r>
        <w:t xml:space="preserve">(interventi comportamentali) —</w:t>
      </w:r>
      <w:r>
        <w:t xml:space="preserve"> </w:t>
      </w:r>
      <w:hyperlink r:id="rId150">
        <w:r>
          <w:rPr>
            <w:rStyle w:val="Hyperlink"/>
          </w:rPr>
          <w:t xml:space="preserve">39968795</w:t>
        </w:r>
      </w:hyperlink>
    </w:p>
    <w:p>
      <w:pPr>
        <w:numPr>
          <w:ilvl w:val="0"/>
          <w:numId w:val="1032"/>
        </w:numPr>
      </w:pPr>
      <w:r>
        <w:t xml:space="preserve">Reina-Varona 2024,</w:t>
      </w:r>
      <w:r>
        <w:t xml:space="preserve"> </w:t>
      </w:r>
      <w:r>
        <w:rPr>
          <w:i/>
          <w:iCs/>
        </w:rPr>
        <w:t xml:space="preserve">Headache</w:t>
      </w:r>
      <w:r>
        <w:t xml:space="preserve"> </w:t>
      </w:r>
      <w:r>
        <w:t xml:space="preserve">(rete esercizio) —</w:t>
      </w:r>
      <w:r>
        <w:t xml:space="preserve"> </w:t>
      </w:r>
      <w:hyperlink r:id="rId151">
        <w:r>
          <w:rPr>
            <w:rStyle w:val="Hyperlink"/>
          </w:rPr>
          <w:t xml:space="preserve">38597252</w:t>
        </w:r>
      </w:hyperlink>
    </w:p>
    <w:p>
      <w:pPr>
        <w:numPr>
          <w:ilvl w:val="0"/>
          <w:numId w:val="1032"/>
        </w:numPr>
      </w:pPr>
      <w:r>
        <w:t xml:space="preserve">Benatto 2022,</w:t>
      </w:r>
      <w:r>
        <w:t xml:space="preserve"> </w:t>
      </w:r>
      <w:r>
        <w:rPr>
          <w:i/>
          <w:iCs/>
        </w:rPr>
        <w:t xml:space="preserve">BMC Neurol</w:t>
      </w:r>
      <w:r>
        <w:t xml:space="preserve"> </w:t>
      </w:r>
      <w:r>
        <w:t xml:space="preserve">—</w:t>
      </w:r>
      <w:r>
        <w:t xml:space="preserve"> </w:t>
      </w:r>
      <w:hyperlink r:id="rId152">
        <w:r>
          <w:rPr>
            <w:rStyle w:val="Hyperlink"/>
          </w:rPr>
          <w:t xml:space="preserve">35366822</w:t>
        </w:r>
      </w:hyperlink>
    </w:p>
    <w:p>
      <w:pPr>
        <w:numPr>
          <w:ilvl w:val="0"/>
          <w:numId w:val="1032"/>
        </w:numPr>
      </w:pPr>
      <w:r>
        <w:t xml:space="preserve">Burus 2026,</w:t>
      </w:r>
      <w:r>
        <w:t xml:space="preserve"> </w:t>
      </w:r>
      <w:r>
        <w:rPr>
          <w:i/>
          <w:iCs/>
        </w:rPr>
        <w:t xml:space="preserve">Cephalalgia</w:t>
      </w:r>
      <w:r>
        <w:t xml:space="preserve"> </w:t>
      </w:r>
      <w:r>
        <w:t xml:space="preserve">—</w:t>
      </w:r>
      <w:r>
        <w:t xml:space="preserve"> </w:t>
      </w:r>
      <w:hyperlink r:id="rId153">
        <w:r>
          <w:rPr>
            <w:rStyle w:val="Hyperlink"/>
          </w:rPr>
          <w:t xml:space="preserve">42501000</w:t>
        </w:r>
      </w:hyperlink>
    </w:p>
    <w:p>
      <w:pPr>
        <w:numPr>
          <w:ilvl w:val="0"/>
          <w:numId w:val="1032"/>
        </w:numPr>
      </w:pPr>
      <w:r>
        <w:t xml:space="preserve">Amin 2018,</w:t>
      </w:r>
      <w:r>
        <w:t xml:space="preserve"> </w:t>
      </w:r>
      <w:r>
        <w:rPr>
          <w:i/>
          <w:iCs/>
        </w:rPr>
        <w:t xml:space="preserve">J Headache Pain</w:t>
      </w:r>
      <w:r>
        <w:t xml:space="preserve"> </w:t>
      </w:r>
      <w:r>
        <w:t xml:space="preserve">—</w:t>
      </w:r>
      <w:r>
        <w:t xml:space="preserve"> </w:t>
      </w:r>
      <w:hyperlink r:id="rId154">
        <w:r>
          <w:rPr>
            <w:rStyle w:val="Hyperlink"/>
          </w:rPr>
          <w:t xml:space="preserve">30203180</w:t>
        </w:r>
      </w:hyperlink>
    </w:p>
    <w:p>
      <w:pPr>
        <w:numPr>
          <w:ilvl w:val="0"/>
          <w:numId w:val="1032"/>
        </w:numPr>
      </w:pPr>
      <w:r>
        <w:t xml:space="preserve">Varkey 2009,</w:t>
      </w:r>
      <w:r>
        <w:t xml:space="preserve"> </w:t>
      </w:r>
      <w:r>
        <w:rPr>
          <w:i/>
          <w:iCs/>
        </w:rPr>
        <w:t xml:space="preserve">Headache</w:t>
      </w:r>
      <w:r>
        <w:t xml:space="preserve"> </w:t>
      </w:r>
      <w:r>
        <w:t xml:space="preserve">—</w:t>
      </w:r>
      <w:r>
        <w:t xml:space="preserve"> </w:t>
      </w:r>
      <w:hyperlink r:id="rId155">
        <w:r>
          <w:rPr>
            <w:rStyle w:val="Hyperlink"/>
          </w:rPr>
          <w:t xml:space="preserve">18783448</w:t>
        </w:r>
      </w:hyperlink>
    </w:p>
    <w:p>
      <w:pPr>
        <w:numPr>
          <w:ilvl w:val="0"/>
          <w:numId w:val="1032"/>
        </w:numPr>
      </w:pPr>
      <w:r>
        <w:t xml:space="preserve">Watson &amp; Drummond 2014,</w:t>
      </w:r>
      <w:r>
        <w:t xml:space="preserve"> </w:t>
      </w:r>
      <w:r>
        <w:rPr>
          <w:i/>
          <w:iCs/>
        </w:rPr>
        <w:t xml:space="preserve">Headache</w:t>
      </w:r>
      <w:r>
        <w:t xml:space="preserve"> </w:t>
      </w:r>
      <w:r>
        <w:t xml:space="preserve">(riflesso di ammiccamento) —</w:t>
      </w:r>
      <w:r>
        <w:t xml:space="preserve"> </w:t>
      </w:r>
      <w:hyperlink r:id="rId156">
        <w:r>
          <w:rPr>
            <w:rStyle w:val="Hyperlink"/>
          </w:rPr>
          <w:t xml:space="preserve">24666216</w:t>
        </w:r>
      </w:hyperlink>
    </w:p>
    <w:p>
      <w:pPr>
        <w:numPr>
          <w:ilvl w:val="0"/>
          <w:numId w:val="1032"/>
        </w:numPr>
      </w:pPr>
      <w:r>
        <w:t xml:space="preserve">Watson &amp; Drummond 2012,</w:t>
      </w:r>
      <w:r>
        <w:t xml:space="preserve"> </w:t>
      </w:r>
      <w:r>
        <w:rPr>
          <w:i/>
          <w:iCs/>
        </w:rPr>
        <w:t xml:space="preserve">Headache</w:t>
      </w:r>
      <w:r>
        <w:t xml:space="preserve"> </w:t>
      </w:r>
      <w:r>
        <w:t xml:space="preserve">(controlli sani) —</w:t>
      </w:r>
      <w:r>
        <w:t xml:space="preserve"> </w:t>
      </w:r>
      <w:hyperlink r:id="rId157">
        <w:r>
          <w:rPr>
            <w:rStyle w:val="Hyperlink"/>
          </w:rPr>
          <w:t xml:space="preserve">22607581</w:t>
        </w:r>
      </w:hyperlink>
    </w:p>
    <w:p>
      <w:pPr>
        <w:numPr>
          <w:ilvl w:val="0"/>
          <w:numId w:val="1032"/>
        </w:numPr>
      </w:pPr>
      <w:r>
        <w:t xml:space="preserve">Jafari 2024,</w:t>
      </w:r>
      <w:r>
        <w:t xml:space="preserve"> </w:t>
      </w:r>
      <w:r>
        <w:rPr>
          <w:i/>
          <w:iCs/>
        </w:rPr>
        <w:t xml:space="preserve">J Man Manip Ther</w:t>
      </w:r>
      <w:r>
        <w:t xml:space="preserve"> </w:t>
      </w:r>
      <w:r>
        <w:t xml:space="preserve">(finto trattamento) —</w:t>
      </w:r>
      <w:r>
        <w:t xml:space="preserve"> </w:t>
      </w:r>
      <w:hyperlink r:id="rId158">
        <w:r>
          <w:rPr>
            <w:rStyle w:val="Hyperlink"/>
          </w:rPr>
          <w:t xml:space="preserve">37655399</w:t>
        </w:r>
      </w:hyperlink>
    </w:p>
    <w:p>
      <w:pPr>
        <w:numPr>
          <w:ilvl w:val="0"/>
          <w:numId w:val="1032"/>
        </w:numPr>
      </w:pPr>
      <w:r>
        <w:t xml:space="preserve">De Hertogh 2022,</w:t>
      </w:r>
      <w:r>
        <w:t xml:space="preserve"> </w:t>
      </w:r>
      <w:r>
        <w:rPr>
          <w:i/>
          <w:iCs/>
        </w:rPr>
        <w:t xml:space="preserve">J Clin Med</w:t>
      </w:r>
      <w:r>
        <w:t xml:space="preserve"> </w:t>
      </w:r>
      <w:r>
        <w:t xml:space="preserve">(pressione manuale) —</w:t>
      </w:r>
      <w:r>
        <w:t xml:space="preserve"> </w:t>
      </w:r>
      <w:hyperlink r:id="rId159">
        <w:r>
          <w:rPr>
            <w:rStyle w:val="Hyperlink"/>
          </w:rPr>
          <w:t xml:space="preserve">36362501</w:t>
        </w:r>
      </w:hyperlink>
    </w:p>
    <w:p>
      <w:pPr>
        <w:numPr>
          <w:ilvl w:val="0"/>
          <w:numId w:val="1032"/>
        </w:numPr>
      </w:pPr>
      <w:r>
        <w:t xml:space="preserve">Busch 2006,</w:t>
      </w:r>
      <w:r>
        <w:t xml:space="preserve"> </w:t>
      </w:r>
      <w:r>
        <w:rPr>
          <w:i/>
          <w:iCs/>
        </w:rPr>
        <w:t xml:space="preserve">Cephalalgia</w:t>
      </w:r>
      <w:r>
        <w:t xml:space="preserve"> </w:t>
      </w:r>
      <w:r>
        <w:t xml:space="preserve">(blocco del grande occipitale) —</w:t>
      </w:r>
      <w:r>
        <w:t xml:space="preserve"> </w:t>
      </w:r>
      <w:hyperlink r:id="rId160">
        <w:r>
          <w:rPr>
            <w:rStyle w:val="Hyperlink"/>
          </w:rPr>
          <w:t xml:space="preserve">16396666</w:t>
        </w:r>
      </w:hyperlink>
    </w:p>
    <w:p>
      <w:pPr>
        <w:numPr>
          <w:ilvl w:val="0"/>
          <w:numId w:val="1032"/>
        </w:numPr>
      </w:pPr>
      <w:r>
        <w:t xml:space="preserve">Mustafa 2024,</w:t>
      </w:r>
      <w:r>
        <w:t xml:space="preserve"> </w:t>
      </w:r>
      <w:r>
        <w:rPr>
          <w:i/>
          <w:iCs/>
        </w:rPr>
        <w:t xml:space="preserve">BMC Neurol</w:t>
      </w:r>
      <w:r>
        <w:t xml:space="preserve"> </w:t>
      </w:r>
      <w:r>
        <w:t xml:space="preserve">(blocco del grande occipitale) —</w:t>
      </w:r>
      <w:r>
        <w:t xml:space="preserve"> </w:t>
      </w:r>
      <w:hyperlink r:id="rId161">
        <w:r>
          <w:rPr>
            <w:rStyle w:val="Hyperlink"/>
          </w:rPr>
          <w:t xml:space="preserve">39244547</w:t>
        </w:r>
      </w:hyperlink>
    </w:p>
    <w:p>
      <w:pPr>
        <w:numPr>
          <w:ilvl w:val="0"/>
          <w:numId w:val="1032"/>
        </w:numPr>
      </w:pPr>
      <w:r>
        <w:t xml:space="preserve">Nahman-Averbuch 2018,</w:t>
      </w:r>
      <w:r>
        <w:t xml:space="preserve"> </w:t>
      </w:r>
      <w:r>
        <w:rPr>
          <w:i/>
          <w:iCs/>
        </w:rPr>
        <w:t xml:space="preserve">Pain</w:t>
      </w:r>
      <w:r>
        <w:t xml:space="preserve"> </w:t>
      </w:r>
      <w:r>
        <w:t xml:space="preserve">(QST) —</w:t>
      </w:r>
      <w:r>
        <w:t xml:space="preserve"> </w:t>
      </w:r>
      <w:hyperlink r:id="rId162">
        <w:r>
          <w:rPr>
            <w:rStyle w:val="Hyperlink"/>
          </w:rPr>
          <w:t xml:space="preserve">29781957</w:t>
        </w:r>
      </w:hyperlink>
    </w:p>
    <w:p>
      <w:pPr>
        <w:numPr>
          <w:ilvl w:val="0"/>
          <w:numId w:val="1032"/>
        </w:numPr>
      </w:pPr>
      <w:r>
        <w:t xml:space="preserve">Daghlas 2020,</w:t>
      </w:r>
      <w:r>
        <w:t xml:space="preserve"> </w:t>
      </w:r>
      <w:r>
        <w:rPr>
          <w:i/>
          <w:iCs/>
        </w:rPr>
        <w:t xml:space="preserve">Ann Clin Transl Neurol</w:t>
      </w:r>
      <w:r>
        <w:t xml:space="preserve"> </w:t>
      </w:r>
      <w:r>
        <w:t xml:space="preserve">(sonno) —</w:t>
      </w:r>
      <w:r>
        <w:t xml:space="preserve"> </w:t>
      </w:r>
      <w:hyperlink r:id="rId163">
        <w:r>
          <w:rPr>
            <w:rStyle w:val="Hyperlink"/>
          </w:rPr>
          <w:t xml:space="preserve">33125193</w:t>
        </w:r>
      </w:hyperlink>
    </w:p>
    <w:p>
      <w:pPr>
        <w:pStyle w:val="FirstParagraph"/>
      </w:pPr>
      <w:r>
        <w:rPr>
          <w:b/>
          <w:bCs/>
        </w:rPr>
        <w:t xml:space="preserve">Riferimento normativo:</w:t>
      </w:r>
      <w:r>
        <w:t xml:space="preserve"> </w:t>
      </w:r>
      <w:r>
        <w:t xml:space="preserve">DPR 131/2021, profilo professionale dell’osteopata.</w:t>
      </w:r>
    </w:p>
    <w:bookmarkEnd w:id="164"/>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2" Target="https://pubmed.ncbi.nlm.nih.gov/11414776/" TargetMode="External" /><Relationship Type="http://schemas.openxmlformats.org/officeDocument/2006/relationships/hyperlink" Id="rId96" Target="https://pubmed.ncbi.nlm.nih.gov/12077000/" TargetMode="External" /><Relationship Type="http://schemas.openxmlformats.org/officeDocument/2006/relationships/hyperlink" Id="rId93" Target="https://pubmed.ncbi.nlm.nih.gov/12654956/" TargetMode="External" /><Relationship Type="http://schemas.openxmlformats.org/officeDocument/2006/relationships/hyperlink" Id="rId134" Target="https://pubmed.ncbi.nlm.nih.gov/12707434/" TargetMode="External" /><Relationship Type="http://schemas.openxmlformats.org/officeDocument/2006/relationships/hyperlink" Id="rId97" Target="https://pubmed.ncbi.nlm.nih.gov/12821523/" TargetMode="External" /><Relationship Type="http://schemas.openxmlformats.org/officeDocument/2006/relationships/hyperlink" Id="rId88" Target="https://pubmed.ncbi.nlm.nih.gov/16116119/" TargetMode="External" /><Relationship Type="http://schemas.openxmlformats.org/officeDocument/2006/relationships/hyperlink" Id="rId160" Target="https://pubmed.ncbi.nlm.nih.gov/16396666/" TargetMode="External" /><Relationship Type="http://schemas.openxmlformats.org/officeDocument/2006/relationships/hyperlink" Id="rId91" Target="https://pubmed.ncbi.nlm.nih.gov/16788342/" TargetMode="External" /><Relationship Type="http://schemas.openxmlformats.org/officeDocument/2006/relationships/hyperlink" Id="rId99" Target="https://pubmed.ncbi.nlm.nih.gov/16919056/" TargetMode="External" /><Relationship Type="http://schemas.openxmlformats.org/officeDocument/2006/relationships/hyperlink" Id="rId86" Target="https://pubmed.ncbi.nlm.nih.gov/17261680/" TargetMode="External" /><Relationship Type="http://schemas.openxmlformats.org/officeDocument/2006/relationships/hyperlink" Id="rId149" Target="https://pubmed.ncbi.nlm.nih.gov/17883522/" TargetMode="External" /><Relationship Type="http://schemas.openxmlformats.org/officeDocument/2006/relationships/hyperlink" Id="rId94" Target="https://pubmed.ncbi.nlm.nih.gov/18427069/" TargetMode="External" /><Relationship Type="http://schemas.openxmlformats.org/officeDocument/2006/relationships/hyperlink" Id="rId155" Target="https://pubmed.ncbi.nlm.nih.gov/18783448/" TargetMode="External" /><Relationship Type="http://schemas.openxmlformats.org/officeDocument/2006/relationships/hyperlink" Id="rId115" Target="https://pubmed.ncbi.nlm.nih.gov/19363489/" TargetMode="External" /><Relationship Type="http://schemas.openxmlformats.org/officeDocument/2006/relationships/hyperlink" Id="rId125" Target="https://pubmed.ncbi.nlm.nih.gov/19861375/" TargetMode="External" /><Relationship Type="http://schemas.openxmlformats.org/officeDocument/2006/relationships/hyperlink" Id="rId120" Target="https://pubmed.ncbi.nlm.nih.gov/20100298/" TargetMode="External" /><Relationship Type="http://schemas.openxmlformats.org/officeDocument/2006/relationships/hyperlink" Id="rId148" Target="https://pubmed.ncbi.nlm.nih.gov/20236340/" TargetMode="External" /><Relationship Type="http://schemas.openxmlformats.org/officeDocument/2006/relationships/hyperlink" Id="rId135" Target="https://pubmed.ncbi.nlm.nih.gov/20582997/" TargetMode="External" /><Relationship Type="http://schemas.openxmlformats.org/officeDocument/2006/relationships/hyperlink" Id="rId104" Target="https://pubmed.ncbi.nlm.nih.gov/21243447/" TargetMode="External" /><Relationship Type="http://schemas.openxmlformats.org/officeDocument/2006/relationships/hyperlink" Id="rId137" Target="https://pubmed.ncbi.nlm.nih.gov/21886422/" TargetMode="External" /><Relationship Type="http://schemas.openxmlformats.org/officeDocument/2006/relationships/hyperlink" Id="rId117" Target="https://pubmed.ncbi.nlm.nih.gov/21890526/" TargetMode="External" /><Relationship Type="http://schemas.openxmlformats.org/officeDocument/2006/relationships/hyperlink" Id="rId157" Target="https://pubmed.ncbi.nlm.nih.gov/22607581/" TargetMode="External" /><Relationship Type="http://schemas.openxmlformats.org/officeDocument/2006/relationships/hyperlink" Id="rId89" Target="https://pubmed.ncbi.nlm.nih.gov/23992516/" TargetMode="External" /><Relationship Type="http://schemas.openxmlformats.org/officeDocument/2006/relationships/hyperlink" Id="rId146" Target="https://pubmed.ncbi.nlm.nih.gov/24101732/" TargetMode="External" /><Relationship Type="http://schemas.openxmlformats.org/officeDocument/2006/relationships/hyperlink" Id="rId105" Target="https://pubmed.ncbi.nlm.nih.gov/24401940/" TargetMode="External" /><Relationship Type="http://schemas.openxmlformats.org/officeDocument/2006/relationships/hyperlink" Id="rId156" Target="https://pubmed.ncbi.nlm.nih.gov/24666216/" TargetMode="External" /><Relationship Type="http://schemas.openxmlformats.org/officeDocument/2006/relationships/hyperlink" Id="rId147" Target="https://pubmed.ncbi.nlm.nih.gov/25754177/" TargetMode="External" /><Relationship Type="http://schemas.openxmlformats.org/officeDocument/2006/relationships/hyperlink" Id="rId112" Target="https://pubmed.ncbi.nlm.nih.gov/25847552/" TargetMode="External" /><Relationship Type="http://schemas.openxmlformats.org/officeDocument/2006/relationships/hyperlink" Id="rId114" Target="https://pubmed.ncbi.nlm.nih.gov/26229071/" TargetMode="External" /><Relationship Type="http://schemas.openxmlformats.org/officeDocument/2006/relationships/hyperlink" Id="rId106" Target="https://pubmed.ncbi.nlm.nih.gov/26718237/" TargetMode="External" /><Relationship Type="http://schemas.openxmlformats.org/officeDocument/2006/relationships/hyperlink" Id="rId95" Target="https://pubmed.ncbi.nlm.nih.gov/27190019/" TargetMode="External" /><Relationship Type="http://schemas.openxmlformats.org/officeDocument/2006/relationships/hyperlink" Id="rId131" Target="https://pubmed.ncbi.nlm.nih.gov/2733706/" TargetMode="External" /><Relationship Type="http://schemas.openxmlformats.org/officeDocument/2006/relationships/hyperlink" Id="rId130" Target="https://pubmed.ncbi.nlm.nih.gov/2769275/" TargetMode="External" /><Relationship Type="http://schemas.openxmlformats.org/officeDocument/2006/relationships/hyperlink" Id="rId110" Target="https://pubmed.ncbi.nlm.nih.gov/27696633/" TargetMode="External" /><Relationship Type="http://schemas.openxmlformats.org/officeDocument/2006/relationships/hyperlink" Id="rId127" Target="https://pubmed.ncbi.nlm.nih.gov/28171776/" TargetMode="External" /><Relationship Type="http://schemas.openxmlformats.org/officeDocument/2006/relationships/hyperlink" Id="rId92" Target="https://pubmed.ncbi.nlm.nih.gov/28641450/" TargetMode="External" /><Relationship Type="http://schemas.openxmlformats.org/officeDocument/2006/relationships/hyperlink" Id="rId98" Target="https://pubmed.ncbi.nlm.nih.gov/28952052/" TargetMode="External" /><Relationship Type="http://schemas.openxmlformats.org/officeDocument/2006/relationships/hyperlink" Id="rId124" Target="https://pubmed.ncbi.nlm.nih.gov/29086160/" TargetMode="External" /><Relationship Type="http://schemas.openxmlformats.org/officeDocument/2006/relationships/hyperlink" Id="rId132" Target="https://pubmed.ncbi.nlm.nih.gov/29282333/" TargetMode="External" /><Relationship Type="http://schemas.openxmlformats.org/officeDocument/2006/relationships/hyperlink" Id="rId101" Target="https://pubmed.ncbi.nlm.nih.gov/29547158/" TargetMode="External" /><Relationship Type="http://schemas.openxmlformats.org/officeDocument/2006/relationships/hyperlink" Id="rId100" Target="https://pubmed.ncbi.nlm.nih.gov/29740386/" TargetMode="External" /><Relationship Type="http://schemas.openxmlformats.org/officeDocument/2006/relationships/hyperlink" Id="rId162" Target="https://pubmed.ncbi.nlm.nih.gov/29781957/" TargetMode="External" /><Relationship Type="http://schemas.openxmlformats.org/officeDocument/2006/relationships/hyperlink" Id="rId154" Target="https://pubmed.ncbi.nlm.nih.gov/30203180/" TargetMode="External" /><Relationship Type="http://schemas.openxmlformats.org/officeDocument/2006/relationships/hyperlink" Id="rId107" Target="https://pubmed.ncbi.nlm.nih.gov/30587518/" TargetMode="External" /><Relationship Type="http://schemas.openxmlformats.org/officeDocument/2006/relationships/hyperlink" Id="rId142" Target="https://pubmed.ncbi.nlm.nih.gov/30690564/" TargetMode="External" /><Relationship Type="http://schemas.openxmlformats.org/officeDocument/2006/relationships/hyperlink" Id="rId141" Target="https://pubmed.ncbi.nlm.nih.gov/30764752/" TargetMode="External" /><Relationship Type="http://schemas.openxmlformats.org/officeDocument/2006/relationships/hyperlink" Id="rId118" Target="https://pubmed.ncbi.nlm.nih.gov/30764753/" TargetMode="External" /><Relationship Type="http://schemas.openxmlformats.org/officeDocument/2006/relationships/hyperlink" Id="rId111" Target="https://pubmed.ncbi.nlm.nih.gov/30973196/" TargetMode="External" /><Relationship Type="http://schemas.openxmlformats.org/officeDocument/2006/relationships/hyperlink" Id="rId123" Target="https://pubmed.ncbi.nlm.nih.gov/31970405/" TargetMode="External" /><Relationship Type="http://schemas.openxmlformats.org/officeDocument/2006/relationships/hyperlink" Id="rId145" Target="https://pubmed.ncbi.nlm.nih.gov/32059650/" TargetMode="External" /><Relationship Type="http://schemas.openxmlformats.org/officeDocument/2006/relationships/hyperlink" Id="rId138" Target="https://pubmed.ncbi.nlm.nih.gov/32861519/" TargetMode="External" /><Relationship Type="http://schemas.openxmlformats.org/officeDocument/2006/relationships/hyperlink" Id="rId163" Target="https://pubmed.ncbi.nlm.nih.gov/33125193/" TargetMode="External" /><Relationship Type="http://schemas.openxmlformats.org/officeDocument/2006/relationships/hyperlink" Id="rId129" Target="https://pubmed.ncbi.nlm.nih.gov/33186288/" TargetMode="External" /><Relationship Type="http://schemas.openxmlformats.org/officeDocument/2006/relationships/hyperlink" Id="rId119" Target="https://pubmed.ncbi.nlm.nih.gov/33315046/" TargetMode="External" /><Relationship Type="http://schemas.openxmlformats.org/officeDocument/2006/relationships/hyperlink" Id="rId136" Target="https://pubmed.ncbi.nlm.nih.gov/33395413/" TargetMode="External" /><Relationship Type="http://schemas.openxmlformats.org/officeDocument/2006/relationships/hyperlink" Id="rId144" Target="https://pubmed.ncbi.nlm.nih.gov/35122434/" TargetMode="External" /><Relationship Type="http://schemas.openxmlformats.org/officeDocument/2006/relationships/hyperlink" Id="rId143" Target="https://pubmed.ncbi.nlm.nih.gov/35332826/" TargetMode="External" /><Relationship Type="http://schemas.openxmlformats.org/officeDocument/2006/relationships/hyperlink" Id="rId152" Target="https://pubmed.ncbi.nlm.nih.gov/35366822/" TargetMode="External" /><Relationship Type="http://schemas.openxmlformats.org/officeDocument/2006/relationships/hyperlink" Id="rId87" Target="https://pubmed.ncbi.nlm.nih.gov/35410119/" TargetMode="External" /><Relationship Type="http://schemas.openxmlformats.org/officeDocument/2006/relationships/hyperlink" Id="rId140" Target="https://pubmed.ncbi.nlm.nih.gov/35623448/" TargetMode="External" /><Relationship Type="http://schemas.openxmlformats.org/officeDocument/2006/relationships/hyperlink" Id="rId121" Target="https://pubmed.ncbi.nlm.nih.gov/35690723/" TargetMode="External" /><Relationship Type="http://schemas.openxmlformats.org/officeDocument/2006/relationships/hyperlink" Id="rId108" Target="https://pubmed.ncbi.nlm.nih.gov/36003002/" TargetMode="External" /><Relationship Type="http://schemas.openxmlformats.org/officeDocument/2006/relationships/hyperlink" Id="rId126" Target="https://pubmed.ncbi.nlm.nih.gov/36099171/" TargetMode="External" /><Relationship Type="http://schemas.openxmlformats.org/officeDocument/2006/relationships/hyperlink" Id="rId116" Target="https://pubmed.ncbi.nlm.nih.gov/36229774/" TargetMode="External" /><Relationship Type="http://schemas.openxmlformats.org/officeDocument/2006/relationships/hyperlink" Id="rId122" Target="https://pubmed.ncbi.nlm.nih.gov/36350123/" TargetMode="External" /><Relationship Type="http://schemas.openxmlformats.org/officeDocument/2006/relationships/hyperlink" Id="rId159" Target="https://pubmed.ncbi.nlm.nih.gov/36362501/" TargetMode="External" /><Relationship Type="http://schemas.openxmlformats.org/officeDocument/2006/relationships/hyperlink" Id="rId133" Target="https://pubmed.ncbi.nlm.nih.gov/36705316/" TargetMode="External" /><Relationship Type="http://schemas.openxmlformats.org/officeDocument/2006/relationships/hyperlink" Id="rId128" Target="https://pubmed.ncbi.nlm.nih.gov/37027997/" TargetMode="External" /><Relationship Type="http://schemas.openxmlformats.org/officeDocument/2006/relationships/hyperlink" Id="rId158" Target="https://pubmed.ncbi.nlm.nih.gov/37655399/" TargetMode="External" /><Relationship Type="http://schemas.openxmlformats.org/officeDocument/2006/relationships/hyperlink" Id="rId151" Target="https://pubmed.ncbi.nlm.nih.gov/38597252/" TargetMode="External" /><Relationship Type="http://schemas.openxmlformats.org/officeDocument/2006/relationships/hyperlink" Id="rId161" Target="https://pubmed.ncbi.nlm.nih.gov/39244547/" TargetMode="External" /><Relationship Type="http://schemas.openxmlformats.org/officeDocument/2006/relationships/hyperlink" Id="rId85" Target="https://pubmed.ncbi.nlm.nih.gov/39614402/" TargetMode="External" /><Relationship Type="http://schemas.openxmlformats.org/officeDocument/2006/relationships/hyperlink" Id="rId103" Target="https://pubmed.ncbi.nlm.nih.gov/39920074/" TargetMode="External" /><Relationship Type="http://schemas.openxmlformats.org/officeDocument/2006/relationships/hyperlink" Id="rId150" Target="https://pubmed.ncbi.nlm.nih.gov/39968795/" TargetMode="External" /><Relationship Type="http://schemas.openxmlformats.org/officeDocument/2006/relationships/hyperlink" Id="rId139" Target="https://pubmed.ncbi.nlm.nih.gov/39972460/" TargetMode="External" /><Relationship Type="http://schemas.openxmlformats.org/officeDocument/2006/relationships/hyperlink" Id="rId109" Target="https://pubmed.ncbi.nlm.nih.gov/40866078/" TargetMode="External" /><Relationship Type="http://schemas.openxmlformats.org/officeDocument/2006/relationships/hyperlink" Id="rId113" Target="https://pubmed.ncbi.nlm.nih.gov/41131621/" TargetMode="External" /><Relationship Type="http://schemas.openxmlformats.org/officeDocument/2006/relationships/hyperlink" Id="rId153" Target="https://pubmed.ncbi.nlm.nih.gov/42501000/" TargetMode="External" /><Relationship Type="http://schemas.openxmlformats.org/officeDocument/2006/relationships/hyperlink" Id="rId90" Target="https://pubmed.ncbi.nlm.nih.gov/8610241/" TargetMode="External" /></Relationships>
</file>

<file path=word/_rels/footnotes.xml.rels><?xml version="1.0" encoding="UTF-8"?><Relationships xmlns="http://schemas.openxmlformats.org/package/2006/relationships"><Relationship Type="http://schemas.openxmlformats.org/officeDocument/2006/relationships/hyperlink" Id="rId102" Target="https://pubmed.ncbi.nlm.nih.gov/11414776/" TargetMode="External" /><Relationship Type="http://schemas.openxmlformats.org/officeDocument/2006/relationships/hyperlink" Id="rId96" Target="https://pubmed.ncbi.nlm.nih.gov/12077000/" TargetMode="External" /><Relationship Type="http://schemas.openxmlformats.org/officeDocument/2006/relationships/hyperlink" Id="rId93" Target="https://pubmed.ncbi.nlm.nih.gov/12654956/" TargetMode="External" /><Relationship Type="http://schemas.openxmlformats.org/officeDocument/2006/relationships/hyperlink" Id="rId134" Target="https://pubmed.ncbi.nlm.nih.gov/12707434/" TargetMode="External" /><Relationship Type="http://schemas.openxmlformats.org/officeDocument/2006/relationships/hyperlink" Id="rId97" Target="https://pubmed.ncbi.nlm.nih.gov/12821523/" TargetMode="External" /><Relationship Type="http://schemas.openxmlformats.org/officeDocument/2006/relationships/hyperlink" Id="rId88" Target="https://pubmed.ncbi.nlm.nih.gov/16116119/" TargetMode="External" /><Relationship Type="http://schemas.openxmlformats.org/officeDocument/2006/relationships/hyperlink" Id="rId160" Target="https://pubmed.ncbi.nlm.nih.gov/16396666/" TargetMode="External" /><Relationship Type="http://schemas.openxmlformats.org/officeDocument/2006/relationships/hyperlink" Id="rId91" Target="https://pubmed.ncbi.nlm.nih.gov/16788342/" TargetMode="External" /><Relationship Type="http://schemas.openxmlformats.org/officeDocument/2006/relationships/hyperlink" Id="rId99" Target="https://pubmed.ncbi.nlm.nih.gov/16919056/" TargetMode="External" /><Relationship Type="http://schemas.openxmlformats.org/officeDocument/2006/relationships/hyperlink" Id="rId86" Target="https://pubmed.ncbi.nlm.nih.gov/17261680/" TargetMode="External" /><Relationship Type="http://schemas.openxmlformats.org/officeDocument/2006/relationships/hyperlink" Id="rId149" Target="https://pubmed.ncbi.nlm.nih.gov/17883522/" TargetMode="External" /><Relationship Type="http://schemas.openxmlformats.org/officeDocument/2006/relationships/hyperlink" Id="rId94" Target="https://pubmed.ncbi.nlm.nih.gov/18427069/" TargetMode="External" /><Relationship Type="http://schemas.openxmlformats.org/officeDocument/2006/relationships/hyperlink" Id="rId155" Target="https://pubmed.ncbi.nlm.nih.gov/18783448/" TargetMode="External" /><Relationship Type="http://schemas.openxmlformats.org/officeDocument/2006/relationships/hyperlink" Id="rId115" Target="https://pubmed.ncbi.nlm.nih.gov/19363489/" TargetMode="External" /><Relationship Type="http://schemas.openxmlformats.org/officeDocument/2006/relationships/hyperlink" Id="rId125" Target="https://pubmed.ncbi.nlm.nih.gov/19861375/" TargetMode="External" /><Relationship Type="http://schemas.openxmlformats.org/officeDocument/2006/relationships/hyperlink" Id="rId120" Target="https://pubmed.ncbi.nlm.nih.gov/20100298/" TargetMode="External" /><Relationship Type="http://schemas.openxmlformats.org/officeDocument/2006/relationships/hyperlink" Id="rId148" Target="https://pubmed.ncbi.nlm.nih.gov/20236340/" TargetMode="External" /><Relationship Type="http://schemas.openxmlformats.org/officeDocument/2006/relationships/hyperlink" Id="rId135" Target="https://pubmed.ncbi.nlm.nih.gov/20582997/" TargetMode="External" /><Relationship Type="http://schemas.openxmlformats.org/officeDocument/2006/relationships/hyperlink" Id="rId104" Target="https://pubmed.ncbi.nlm.nih.gov/21243447/" TargetMode="External" /><Relationship Type="http://schemas.openxmlformats.org/officeDocument/2006/relationships/hyperlink" Id="rId137" Target="https://pubmed.ncbi.nlm.nih.gov/21886422/" TargetMode="External" /><Relationship Type="http://schemas.openxmlformats.org/officeDocument/2006/relationships/hyperlink" Id="rId117" Target="https://pubmed.ncbi.nlm.nih.gov/21890526/" TargetMode="External" /><Relationship Type="http://schemas.openxmlformats.org/officeDocument/2006/relationships/hyperlink" Id="rId157" Target="https://pubmed.ncbi.nlm.nih.gov/22607581/" TargetMode="External" /><Relationship Type="http://schemas.openxmlformats.org/officeDocument/2006/relationships/hyperlink" Id="rId89" Target="https://pubmed.ncbi.nlm.nih.gov/23992516/" TargetMode="External" /><Relationship Type="http://schemas.openxmlformats.org/officeDocument/2006/relationships/hyperlink" Id="rId146" Target="https://pubmed.ncbi.nlm.nih.gov/24101732/" TargetMode="External" /><Relationship Type="http://schemas.openxmlformats.org/officeDocument/2006/relationships/hyperlink" Id="rId105" Target="https://pubmed.ncbi.nlm.nih.gov/24401940/" TargetMode="External" /><Relationship Type="http://schemas.openxmlformats.org/officeDocument/2006/relationships/hyperlink" Id="rId156" Target="https://pubmed.ncbi.nlm.nih.gov/24666216/" TargetMode="External" /><Relationship Type="http://schemas.openxmlformats.org/officeDocument/2006/relationships/hyperlink" Id="rId147" Target="https://pubmed.ncbi.nlm.nih.gov/25754177/" TargetMode="External" /><Relationship Type="http://schemas.openxmlformats.org/officeDocument/2006/relationships/hyperlink" Id="rId112" Target="https://pubmed.ncbi.nlm.nih.gov/25847552/" TargetMode="External" /><Relationship Type="http://schemas.openxmlformats.org/officeDocument/2006/relationships/hyperlink" Id="rId114" Target="https://pubmed.ncbi.nlm.nih.gov/26229071/" TargetMode="External" /><Relationship Type="http://schemas.openxmlformats.org/officeDocument/2006/relationships/hyperlink" Id="rId106" Target="https://pubmed.ncbi.nlm.nih.gov/26718237/" TargetMode="External" /><Relationship Type="http://schemas.openxmlformats.org/officeDocument/2006/relationships/hyperlink" Id="rId95" Target="https://pubmed.ncbi.nlm.nih.gov/27190019/" TargetMode="External" /><Relationship Type="http://schemas.openxmlformats.org/officeDocument/2006/relationships/hyperlink" Id="rId131" Target="https://pubmed.ncbi.nlm.nih.gov/2733706/" TargetMode="External" /><Relationship Type="http://schemas.openxmlformats.org/officeDocument/2006/relationships/hyperlink" Id="rId130" Target="https://pubmed.ncbi.nlm.nih.gov/2769275/" TargetMode="External" /><Relationship Type="http://schemas.openxmlformats.org/officeDocument/2006/relationships/hyperlink" Id="rId110" Target="https://pubmed.ncbi.nlm.nih.gov/27696633/" TargetMode="External" /><Relationship Type="http://schemas.openxmlformats.org/officeDocument/2006/relationships/hyperlink" Id="rId127" Target="https://pubmed.ncbi.nlm.nih.gov/28171776/" TargetMode="External" /><Relationship Type="http://schemas.openxmlformats.org/officeDocument/2006/relationships/hyperlink" Id="rId92" Target="https://pubmed.ncbi.nlm.nih.gov/28641450/" TargetMode="External" /><Relationship Type="http://schemas.openxmlformats.org/officeDocument/2006/relationships/hyperlink" Id="rId98" Target="https://pubmed.ncbi.nlm.nih.gov/28952052/" TargetMode="External" /><Relationship Type="http://schemas.openxmlformats.org/officeDocument/2006/relationships/hyperlink" Id="rId124" Target="https://pubmed.ncbi.nlm.nih.gov/29086160/" TargetMode="External" /><Relationship Type="http://schemas.openxmlformats.org/officeDocument/2006/relationships/hyperlink" Id="rId132" Target="https://pubmed.ncbi.nlm.nih.gov/29282333/" TargetMode="External" /><Relationship Type="http://schemas.openxmlformats.org/officeDocument/2006/relationships/hyperlink" Id="rId101" Target="https://pubmed.ncbi.nlm.nih.gov/29547158/" TargetMode="External" /><Relationship Type="http://schemas.openxmlformats.org/officeDocument/2006/relationships/hyperlink" Id="rId100" Target="https://pubmed.ncbi.nlm.nih.gov/29740386/" TargetMode="External" /><Relationship Type="http://schemas.openxmlformats.org/officeDocument/2006/relationships/hyperlink" Id="rId162" Target="https://pubmed.ncbi.nlm.nih.gov/29781957/" TargetMode="External" /><Relationship Type="http://schemas.openxmlformats.org/officeDocument/2006/relationships/hyperlink" Id="rId154" Target="https://pubmed.ncbi.nlm.nih.gov/30203180/" TargetMode="External" /><Relationship Type="http://schemas.openxmlformats.org/officeDocument/2006/relationships/hyperlink" Id="rId107" Target="https://pubmed.ncbi.nlm.nih.gov/30587518/" TargetMode="External" /><Relationship Type="http://schemas.openxmlformats.org/officeDocument/2006/relationships/hyperlink" Id="rId142" Target="https://pubmed.ncbi.nlm.nih.gov/30690564/" TargetMode="External" /><Relationship Type="http://schemas.openxmlformats.org/officeDocument/2006/relationships/hyperlink" Id="rId141" Target="https://pubmed.ncbi.nlm.nih.gov/30764752/" TargetMode="External" /><Relationship Type="http://schemas.openxmlformats.org/officeDocument/2006/relationships/hyperlink" Id="rId118" Target="https://pubmed.ncbi.nlm.nih.gov/30764753/" TargetMode="External" /><Relationship Type="http://schemas.openxmlformats.org/officeDocument/2006/relationships/hyperlink" Id="rId111" Target="https://pubmed.ncbi.nlm.nih.gov/30973196/" TargetMode="External" /><Relationship Type="http://schemas.openxmlformats.org/officeDocument/2006/relationships/hyperlink" Id="rId123" Target="https://pubmed.ncbi.nlm.nih.gov/31970405/" TargetMode="External" /><Relationship Type="http://schemas.openxmlformats.org/officeDocument/2006/relationships/hyperlink" Id="rId145" Target="https://pubmed.ncbi.nlm.nih.gov/32059650/" TargetMode="External" /><Relationship Type="http://schemas.openxmlformats.org/officeDocument/2006/relationships/hyperlink" Id="rId138" Target="https://pubmed.ncbi.nlm.nih.gov/32861519/" TargetMode="External" /><Relationship Type="http://schemas.openxmlformats.org/officeDocument/2006/relationships/hyperlink" Id="rId163" Target="https://pubmed.ncbi.nlm.nih.gov/33125193/" TargetMode="External" /><Relationship Type="http://schemas.openxmlformats.org/officeDocument/2006/relationships/hyperlink" Id="rId129" Target="https://pubmed.ncbi.nlm.nih.gov/33186288/" TargetMode="External" /><Relationship Type="http://schemas.openxmlformats.org/officeDocument/2006/relationships/hyperlink" Id="rId119" Target="https://pubmed.ncbi.nlm.nih.gov/33315046/" TargetMode="External" /><Relationship Type="http://schemas.openxmlformats.org/officeDocument/2006/relationships/hyperlink" Id="rId136" Target="https://pubmed.ncbi.nlm.nih.gov/33395413/" TargetMode="External" /><Relationship Type="http://schemas.openxmlformats.org/officeDocument/2006/relationships/hyperlink" Id="rId144" Target="https://pubmed.ncbi.nlm.nih.gov/35122434/" TargetMode="External" /><Relationship Type="http://schemas.openxmlformats.org/officeDocument/2006/relationships/hyperlink" Id="rId143" Target="https://pubmed.ncbi.nlm.nih.gov/35332826/" TargetMode="External" /><Relationship Type="http://schemas.openxmlformats.org/officeDocument/2006/relationships/hyperlink" Id="rId152" Target="https://pubmed.ncbi.nlm.nih.gov/35366822/" TargetMode="External" /><Relationship Type="http://schemas.openxmlformats.org/officeDocument/2006/relationships/hyperlink" Id="rId87" Target="https://pubmed.ncbi.nlm.nih.gov/35410119/" TargetMode="External" /><Relationship Type="http://schemas.openxmlformats.org/officeDocument/2006/relationships/hyperlink" Id="rId140" Target="https://pubmed.ncbi.nlm.nih.gov/35623448/" TargetMode="External" /><Relationship Type="http://schemas.openxmlformats.org/officeDocument/2006/relationships/hyperlink" Id="rId121" Target="https://pubmed.ncbi.nlm.nih.gov/35690723/" TargetMode="External" /><Relationship Type="http://schemas.openxmlformats.org/officeDocument/2006/relationships/hyperlink" Id="rId108" Target="https://pubmed.ncbi.nlm.nih.gov/36003002/" TargetMode="External" /><Relationship Type="http://schemas.openxmlformats.org/officeDocument/2006/relationships/hyperlink" Id="rId126" Target="https://pubmed.ncbi.nlm.nih.gov/36099171/" TargetMode="External" /><Relationship Type="http://schemas.openxmlformats.org/officeDocument/2006/relationships/hyperlink" Id="rId116" Target="https://pubmed.ncbi.nlm.nih.gov/36229774/" TargetMode="External" /><Relationship Type="http://schemas.openxmlformats.org/officeDocument/2006/relationships/hyperlink" Id="rId122" Target="https://pubmed.ncbi.nlm.nih.gov/36350123/" TargetMode="External" /><Relationship Type="http://schemas.openxmlformats.org/officeDocument/2006/relationships/hyperlink" Id="rId159" Target="https://pubmed.ncbi.nlm.nih.gov/36362501/" TargetMode="External" /><Relationship Type="http://schemas.openxmlformats.org/officeDocument/2006/relationships/hyperlink" Id="rId133" Target="https://pubmed.ncbi.nlm.nih.gov/36705316/" TargetMode="External" /><Relationship Type="http://schemas.openxmlformats.org/officeDocument/2006/relationships/hyperlink" Id="rId128" Target="https://pubmed.ncbi.nlm.nih.gov/37027997/" TargetMode="External" /><Relationship Type="http://schemas.openxmlformats.org/officeDocument/2006/relationships/hyperlink" Id="rId158" Target="https://pubmed.ncbi.nlm.nih.gov/37655399/" TargetMode="External" /><Relationship Type="http://schemas.openxmlformats.org/officeDocument/2006/relationships/hyperlink" Id="rId151" Target="https://pubmed.ncbi.nlm.nih.gov/38597252/" TargetMode="External" /><Relationship Type="http://schemas.openxmlformats.org/officeDocument/2006/relationships/hyperlink" Id="rId161" Target="https://pubmed.ncbi.nlm.nih.gov/39244547/" TargetMode="External" /><Relationship Type="http://schemas.openxmlformats.org/officeDocument/2006/relationships/hyperlink" Id="rId85" Target="https://pubmed.ncbi.nlm.nih.gov/39614402/" TargetMode="External" /><Relationship Type="http://schemas.openxmlformats.org/officeDocument/2006/relationships/hyperlink" Id="rId103" Target="https://pubmed.ncbi.nlm.nih.gov/39920074/" TargetMode="External" /><Relationship Type="http://schemas.openxmlformats.org/officeDocument/2006/relationships/hyperlink" Id="rId150" Target="https://pubmed.ncbi.nlm.nih.gov/39968795/" TargetMode="External" /><Relationship Type="http://schemas.openxmlformats.org/officeDocument/2006/relationships/hyperlink" Id="rId139" Target="https://pubmed.ncbi.nlm.nih.gov/39972460/" TargetMode="External" /><Relationship Type="http://schemas.openxmlformats.org/officeDocument/2006/relationships/hyperlink" Id="rId109" Target="https://pubmed.ncbi.nlm.nih.gov/40866078/" TargetMode="External" /><Relationship Type="http://schemas.openxmlformats.org/officeDocument/2006/relationships/hyperlink" Id="rId113" Target="https://pubmed.ncbi.nlm.nih.gov/41131621/" TargetMode="External" /><Relationship Type="http://schemas.openxmlformats.org/officeDocument/2006/relationships/hyperlink" Id="rId153" Target="https://pubmed.ncbi.nlm.nih.gov/42501000/" TargetMode="External" /><Relationship Type="http://schemas.openxmlformats.org/officeDocument/2006/relationships/hyperlink" Id="rId90" Target="https://pubmed.ncbi.nlm.nih.gov/86102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Emicrania</dc:title>
  <dc:creator>Mobilitas — Direzione Osteopatica</dc:creator>
  <dc:language>it-IT</dc:language>
  <cp:keywords/>
  <dcterms:created xsi:type="dcterms:W3CDTF">2026-08-19T15:40:22Z</dcterms:created>
  <dcterms:modified xsi:type="dcterms:W3CDTF">2026-08-19T15:40:22Z</dcterms:modified>
</cp:coreProperties>
</file>

<file path=docProps/custom.xml><?xml version="1.0" encoding="utf-8"?>
<Properties xmlns="http://schemas.openxmlformats.org/officeDocument/2006/custom-properties" xmlns:vt="http://schemas.openxmlformats.org/officeDocument/2006/docPropsVTypes"/>
</file>