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Mobilitas — Direzione Osteopatica</w:t>
      </w:r>
    </w:p>
    <w:bookmarkStart w:id="17" w:name="mappa-concettuale-lombalgia"/>
    <w:p>
      <w:pPr>
        <w:pStyle w:val="Heading1"/>
      </w:pPr>
      <w:r>
        <w:t xml:space="preserve">Mappa concettuale — Lombalgia</w:t>
      </w:r>
    </w:p>
    <w:p>
      <w:pPr>
        <w:pStyle w:val="FirstParagraph"/>
      </w:pPr>
      <w:r>
        <w:rPr>
          <w:b/>
          <w:bCs/>
        </w:rPr>
        <w:t xml:space="preserve">Mobilitas · OsteoTouch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Ancora clinica:</w:t>
      </w:r>
      <w:r>
        <w:t xml:space="preserve"> </w:t>
      </w:r>
      <w:r>
        <w:t xml:space="preserve">Peter O’Sullivan ·</w:t>
      </w:r>
      <w:r>
        <w:t xml:space="preserve"> </w:t>
      </w:r>
      <w:r>
        <w:rPr>
          <w:b/>
          <w:bCs/>
        </w:rPr>
        <w:t xml:space="preserve">Ancora fisiologica:</w:t>
      </w:r>
      <w:r>
        <w:t xml:space="preserve"> </w:t>
      </w:r>
      <w:r>
        <w:t xml:space="preserve">Paul Hodges —</w:t>
      </w:r>
      <w:r>
        <w:t xml:space="preserve"> </w:t>
      </w:r>
      <w:r>
        <w:rPr>
          <w:b/>
          <w:bCs/>
        </w:rPr>
        <w:t xml:space="preserve">v7.0</w:t>
      </w:r>
      <w:r>
        <w:t xml:space="preserve">, agosto 2026</w:t>
      </w:r>
    </w:p>
    <w:p>
      <w:r>
        <w:pict>
          <v:rect style="width:0;height:1.5pt" o:hralign="center" o:hrstd="t" o:hr="t"/>
        </w:pict>
      </w:r>
    </w:p>
    <w:bookmarkStart w:id="9" w:name="la-condizione-in-tre-righe"/>
    <w:p>
      <w:pPr>
        <w:pStyle w:val="Heading2"/>
      </w:pPr>
      <w:r>
        <w:t xml:space="preserve">1. La condizione in tre righe</w:t>
      </w:r>
    </w:p>
    <w:p>
      <w:pPr>
        <w:pStyle w:val="FirstParagraph"/>
      </w:pPr>
      <w:r>
        <w:t xml:space="preserve">Dolore fra le coste basse e la piega glutea. Nella quasi totalità dei casi nessuno può dire quale tessuto lo genera.</w:t>
      </w:r>
      <w:r>
        <w:t xml:space="preserve"> </w:t>
      </w:r>
      <w:r>
        <w:t xml:space="preserve">È la prima causa di anni vissuti con disabilità al mondo. Tre esposizioni spiegano il 38,8% del carico, e la più grande è il lavoro (22,0%).</w:t>
      </w:r>
      <w:r>
        <w:t xml:space="preserve"> </w:t>
      </w:r>
      <w:r>
        <w:t xml:space="preserve">Migliora in fretta per sei settimane e poi si ferma. Il 69% ha un nuovo episodio entro dodici mesi.</w:t>
      </w:r>
    </w:p>
    <w:bookmarkEnd w:id="9"/>
    <w:bookmarkStart w:id="10" w:name="la-catena-causale"/>
    <w:p>
      <w:pPr>
        <w:pStyle w:val="Heading2"/>
      </w:pPr>
      <w:r>
        <w:t xml:space="preserve">2. La catena causale</w:t>
      </w:r>
    </w:p>
    <w:p>
      <w:pPr>
        <w:pStyle w:val="FirstParagraph"/>
      </w:pPr>
      <w:r>
        <w:rPr>
          <w:rStyle w:val="VerbatimChar"/>
        </w:rPr>
        <w:t xml:space="preserve">episodio doloroso → protezione utile (tronco rigido, gesto evitato) → il tessuto guarisce e il comportamento resta → controllo profondo in ritardo e carico sempre sulla stessa zona → tolleranza al movimento che scende → blocco su un gesto banale</w:t>
      </w:r>
    </w:p>
    <w:bookmarkEnd w:id="10"/>
    <w:bookmarkStart w:id="11" w:name="i-meccanismi-e-quanto-sono-solidi"/>
    <w:p>
      <w:pPr>
        <w:pStyle w:val="Heading2"/>
      </w:pPr>
      <w:r>
        <w:t xml:space="preserve">3. I meccanismi e quanto sono solidi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Meccanismo</w:t>
            </w:r>
          </w:p>
        </w:tc>
        <w:tc>
          <w:tcPr/>
          <w:p>
            <w:pPr>
              <w:pStyle w:val="Compact"/>
            </w:pPr>
            <w:r>
              <w:t xml:space="preserve">Come lo riconosci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Protezione che resta</w:t>
            </w:r>
          </w:p>
        </w:tc>
        <w:tc>
          <w:tcPr/>
          <w:p>
            <w:pPr>
              <w:pStyle w:val="Compact"/>
            </w:pPr>
            <w:r>
              <w:t xml:space="preserve">Gesti evitati, parole di struttura</w:t>
            </w:r>
          </w:p>
        </w:tc>
        <w:tc>
          <w:tcPr/>
          <w:p>
            <w:pPr>
              <w:pStyle w:val="Compact"/>
            </w:pPr>
            <w:r>
              <w:t xml:space="preserve">PROBABILE il meccanismo, DIMOSTRATO la leva attiva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Controllo che arriva tardi</w:t>
            </w:r>
          </w:p>
        </w:tc>
        <w:tc>
          <w:tcPr/>
          <w:p>
            <w:pPr>
              <w:pStyle w:val="Compact"/>
            </w:pPr>
            <w:r>
              <w:t xml:space="preserve">Bacino parte per ultimo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Sorgente nel tessuto</w:t>
            </w:r>
          </w:p>
        </w:tc>
        <w:tc>
          <w:tcPr/>
          <w:p>
            <w:pPr>
              <w:pStyle w:val="Compact"/>
            </w:pPr>
            <w:r>
              <w:t xml:space="preserve">Dolore riproducibile con un carico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Diaframma con due mestieri</w:t>
            </w:r>
          </w:p>
        </w:tc>
        <w:tc>
          <w:tcPr/>
          <w:p>
            <w:pPr>
              <w:pStyle w:val="Compact"/>
            </w:pPr>
            <w:r>
              <w:t xml:space="preserve">Apnea nei test di controllo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Soglia che si abbassa</w:t>
            </w:r>
          </w:p>
        </w:tc>
        <w:tc>
          <w:tcPr/>
          <w:p>
            <w:pPr>
              <w:pStyle w:val="Compact"/>
            </w:pPr>
            <w:r>
              <w:t xml:space="preserve">Dolore che migra, sonno rotto</w:t>
            </w:r>
          </w:p>
        </w:tc>
        <w:tc>
          <w:tcPr/>
          <w:p>
            <w:pPr>
              <w:pStyle w:val="Compact"/>
            </w:pPr>
            <w:r>
              <w:t xml:space="preserve">PROBABILE</w:t>
            </w:r>
          </w:p>
        </w:tc>
      </w:tr>
    </w:tbl>
    <w:p>
      <w:pPr>
        <w:pStyle w:val="BodyText"/>
      </w:pPr>
      <w:r>
        <w:t xml:space="preserve">Nessuno dei cinque si diagnostica: si riconosce da un pattern e si verifica trattandolo.</w:t>
      </w:r>
    </w:p>
    <w:p>
      <w:pPr>
        <w:pStyle w:val="BodyText"/>
      </w:pPr>
      <w:r>
        <w:rPr>
          <w:b/>
          <w:bCs/>
        </w:rPr>
        <w:t xml:space="preserve">Sul quinto, un ingresso misurato:</w:t>
      </w:r>
      <w:r>
        <w:t xml:space="preserve"> </w:t>
      </w:r>
      <w:r>
        <w:t xml:space="preserve">peggiorare di un punto la qualità del sonno alza di 2,08 punti su 10 il dolore del giorno dopo (Alsaadi 2014). Si misura e si nomina. Che migliorarlo riduca il dolore non è stato misurato.</w:t>
      </w:r>
    </w:p>
    <w:bookmarkEnd w:id="11"/>
    <w:bookmarkStart w:id="12" w:name="i-sottotipi-e-chi-comanda"/>
    <w:p>
      <w:pPr>
        <w:pStyle w:val="Heading2"/>
      </w:pPr>
      <w:r>
        <w:t xml:space="preserve">4. I sottotipi e chi comanda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Sottotipo</w:t>
            </w:r>
          </w:p>
        </w:tc>
        <w:tc>
          <w:tcPr/>
          <w:p>
            <w:pPr>
              <w:pStyle w:val="Compact"/>
            </w:pPr>
            <w:r>
              <w:t xml:space="preserve">Segnale che lo riconosce</w:t>
            </w:r>
          </w:p>
        </w:tc>
        <w:tc>
          <w:tcPr/>
          <w:p>
            <w:pPr>
              <w:pStyle w:val="Compact"/>
            </w:pPr>
            <w:r>
              <w:t xml:space="preserve">Quanto puoi fare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Acuto bloccato</w:t>
            </w:r>
          </w:p>
        </w:tc>
        <w:tc>
          <w:tcPr/>
          <w:p>
            <w:pPr>
              <w:pStyle w:val="Compact"/>
            </w:pPr>
            <w:r>
              <w:t xml:space="preserve">Primo o secondo episodio, deviato di lato</w:t>
            </w:r>
          </w:p>
        </w:tc>
        <w:tc>
          <w:tcPr/>
          <w:p>
            <w:pPr>
              <w:pStyle w:val="Compact"/>
            </w:pPr>
            <w:r>
              <w:t xml:space="preserve">Molto sulla funzione, poco sulla curva del dolore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Meccanico ricorrente</w:t>
            </w:r>
          </w:p>
        </w:tc>
        <w:tc>
          <w:tcPr/>
          <w:p>
            <w:pPr>
              <w:pStyle w:val="Compact"/>
            </w:pPr>
            <w:r>
              <w:t xml:space="preserve">Blocchi ripetuti su gesti banali</w:t>
            </w:r>
          </w:p>
        </w:tc>
        <w:tc>
          <w:tcPr/>
          <w:p>
            <w:pPr>
              <w:pStyle w:val="Compact"/>
            </w:pPr>
            <w:r>
              <w:t xml:space="preserve">Molto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Protezione dominante</w:t>
            </w:r>
          </w:p>
        </w:tc>
        <w:tc>
          <w:tcPr/>
          <w:p>
            <w:pPr>
              <w:pStyle w:val="Compact"/>
            </w:pPr>
            <w:r>
              <w:t xml:space="preserve">Disabilità alta, dolore medio</w:t>
            </w:r>
          </w:p>
        </w:tc>
        <w:tc>
          <w:tcPr/>
          <w:p>
            <w:pPr>
              <w:pStyle w:val="Compact"/>
            </w:pPr>
            <w:r>
              <w:t xml:space="preserve">Molto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Soglia abbassata</w:t>
            </w:r>
          </w:p>
        </w:tc>
        <w:tc>
          <w:tcPr/>
          <w:p>
            <w:pPr>
              <w:pStyle w:val="Compact"/>
            </w:pPr>
            <w:r>
              <w:t xml:space="preserve">Dolore che migra, contatto leggero fastidioso</w:t>
            </w:r>
          </w:p>
        </w:tc>
        <w:tc>
          <w:tcPr/>
          <w:p>
            <w:pPr>
              <w:pStyle w:val="Compact"/>
            </w:pPr>
            <w:r>
              <w:t xml:space="preserve">Molto, ma lento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Radicolare</w:t>
            </w:r>
          </w:p>
        </w:tc>
        <w:tc>
          <w:tcPr/>
          <w:p>
            <w:pPr>
              <w:pStyle w:val="Compact"/>
            </w:pPr>
            <w:r>
              <w:t xml:space="preserve">Dolore sotto il ginocchio</w:t>
            </w:r>
          </w:p>
        </w:tc>
        <w:tc>
          <w:tcPr/>
          <w:p>
            <w:pPr>
              <w:pStyle w:val="Compact"/>
            </w:pPr>
            <w:r>
              <w:t xml:space="preserve">Abbastanza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Stenosi lombare</w:t>
            </w:r>
          </w:p>
        </w:tc>
        <w:tc>
          <w:tcPr/>
          <w:p>
            <w:pPr>
              <w:pStyle w:val="Compact"/>
            </w:pPr>
            <w:r>
              <w:t xml:space="preserve">Meglio seduto, peggio in piedi</w:t>
            </w:r>
          </w:p>
        </w:tc>
        <w:tc>
          <w:tcPr/>
          <w:p>
            <w:pPr>
              <w:pStyle w:val="Compact"/>
            </w:pPr>
            <w:r>
              <w:t xml:space="preserve">Poco, e dopo l’inquadramento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Infiammatorio</w:t>
            </w:r>
          </w:p>
        </w:tc>
        <w:tc>
          <w:tcPr/>
          <w:p>
            <w:pPr>
              <w:pStyle w:val="Compact"/>
            </w:pPr>
            <w:r>
              <w:t xml:space="preserve">Quattro criteri su cinque</w:t>
            </w:r>
          </w:p>
        </w:tc>
        <w:tc>
          <w:tcPr/>
          <w:p>
            <w:pPr>
              <w:pStyle w:val="Compact"/>
            </w:pPr>
            <w:r>
              <w:t xml:space="preserve">Niente, invio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Modificatore, non sottotipo — l’anziano fragile:</w:t>
      </w:r>
      <w:r>
        <w:t xml:space="preserve"> </w:t>
      </w:r>
      <w:r>
        <w:t xml:space="preserve">osteoporosi, cortisone prolungato, anticoagulante, over 70. Non cambia il pattern. Cambia cosa può esserci sotto e cosa non si può fare.</w:t>
      </w:r>
    </w:p>
    <w:bookmarkEnd w:id="12"/>
    <w:bookmarkStart w:id="13" w:name="le-bandiere-rosse"/>
    <w:p>
      <w:pPr>
        <w:pStyle w:val="Heading2"/>
      </w:pPr>
      <w:r>
        <w:t xml:space="preserve">5. Le bandiere rosse</w:t>
      </w:r>
    </w:p>
    <w:p>
      <w:pPr>
        <w:pStyle w:val="FirstParagraph"/>
      </w:pPr>
      <w:r>
        <w:rPr>
          <w:b/>
          <w:bCs/>
        </w:rPr>
        <w:t xml:space="preserve">Rosso immediato — non si tratta nulla:</w:t>
      </w:r>
      <w:r>
        <w:t xml:space="preserve"> </w:t>
      </w:r>
      <w:r>
        <w:t xml:space="preserve">- Ritenzione o incontinenza, anestesia a sella → pronto soccorso, neurochirurgia →</w:t>
      </w:r>
      <w:r>
        <w:t xml:space="preserve"> </w:t>
      </w:r>
      <w:r>
        <w:rPr>
          <w:b/>
          <w:bCs/>
        </w:rPr>
        <w:t xml:space="preserve">112</w:t>
      </w:r>
      <w:r>
        <w:t xml:space="preserve"> </w:t>
      </w:r>
      <w:r>
        <w:t xml:space="preserve">- Dolore lombo-addominale brusco, non posizionale, over 60 con rischio vascolare o massa pulsante → pronto soccorso →</w:t>
      </w:r>
      <w:r>
        <w:t xml:space="preserve"> </w:t>
      </w:r>
      <w:r>
        <w:rPr>
          <w:b/>
          <w:bCs/>
        </w:rPr>
        <w:t xml:space="preserve">112</w:t>
      </w:r>
      <w:r>
        <w:t xml:space="preserve"> </w:t>
      </w:r>
      <w:r>
        <w:t xml:space="preserve">- Deficit di forza severo, progressivo o persistente → pronto soccorso, ortopedia o neurochirurgia →</w:t>
      </w:r>
      <w:r>
        <w:t xml:space="preserve"> </w:t>
      </w:r>
      <w:r>
        <w:rPr>
          <w:b/>
          <w:bCs/>
        </w:rPr>
        <w:t xml:space="preserve">Urgente</w:t>
      </w:r>
      <w:r>
        <w:t xml:space="preserve"> </w:t>
      </w:r>
      <w:r>
        <w:t xml:space="preserve">- Febbre con dolore lombare, infezione recente, immunodepressione → medico curante, pronto soccorso →</w:t>
      </w:r>
      <w:r>
        <w:t xml:space="preserve"> </w:t>
      </w:r>
      <w:r>
        <w:rPr>
          <w:b/>
          <w:bCs/>
        </w:rPr>
        <w:t xml:space="preserve">Urgente</w:t>
      </w:r>
      <w:r>
        <w:t xml:space="preserve"> </w:t>
      </w:r>
      <w:r>
        <w:t xml:space="preserve">- Droghe iniettive, procedura spinale recente, catetere o batteriemia, con nuovo dolore lombare → pronto soccorso →</w:t>
      </w:r>
      <w:r>
        <w:t xml:space="preserve"> </w:t>
      </w:r>
      <w:r>
        <w:rPr>
          <w:b/>
          <w:bCs/>
        </w:rPr>
        <w:t xml:space="preserve">Urgente</w:t>
      </w:r>
    </w:p>
    <w:p>
      <w:pPr>
        <w:pStyle w:val="BodyText"/>
      </w:pPr>
      <w:r>
        <w:rPr>
          <w:b/>
          <w:bCs/>
        </w:rPr>
        <w:t xml:space="preserve">Invio, si può trattare un altro distretto dichiarandolo per iscritto — e nessuna tecnica a spinta su nessun distretto:</w:t>
      </w:r>
      <w:r>
        <w:t xml:space="preserve"> </w:t>
      </w:r>
      <w:r>
        <w:t xml:space="preserve">- Storia di tumore, calo di peso non voluto → medico curante →</w:t>
      </w:r>
      <w:r>
        <w:t xml:space="preserve"> </w:t>
      </w:r>
      <w:r>
        <w:rPr>
          <w:b/>
          <w:bCs/>
        </w:rPr>
        <w:t xml:space="preserve">Invio, non attendere</w:t>
      </w:r>
      <w:r>
        <w:t xml:space="preserve"> </w:t>
      </w:r>
      <w:r>
        <w:t xml:space="preserve">- Dolore notturno continuo che cresce a riposo → medico curante →</w:t>
      </w:r>
      <w:r>
        <w:t xml:space="preserve"> </w:t>
      </w:r>
      <w:r>
        <w:rPr>
          <w:b/>
          <w:bCs/>
        </w:rPr>
        <w:t xml:space="preserve">Invio, non attendere</w:t>
      </w:r>
      <w:r>
        <w:t xml:space="preserve"> </w:t>
      </w:r>
      <w:r>
        <w:t xml:space="preserve">- Trauma importante, corticosteroidi prolungati, over 70 → medico curante, radiologia →</w:t>
      </w:r>
      <w:r>
        <w:t xml:space="preserve"> </w:t>
      </w:r>
      <w:r>
        <w:rPr>
          <w:b/>
          <w:bCs/>
        </w:rPr>
        <w:t xml:space="preserve">Invio, non attendere</w:t>
      </w:r>
      <w:r>
        <w:t xml:space="preserve"> </w:t>
      </w:r>
      <w:r>
        <w:t xml:space="preserve">- Contusione o abrasione dopo un trauma → medico curante, radiologia →</w:t>
      </w:r>
      <w:r>
        <w:t xml:space="preserve"> </w:t>
      </w:r>
      <w:r>
        <w:rPr>
          <w:b/>
          <w:bCs/>
        </w:rPr>
        <w:t xml:space="preserve">Invio, non attendere</w:t>
      </w:r>
      <w:r>
        <w:t xml:space="preserve"> </w:t>
      </w:r>
      <w:r>
        <w:t xml:space="preserve">- Quattro criteri su cinque di dolore infiammatorio → reumatologo →</w:t>
      </w:r>
      <w:r>
        <w:t xml:space="preserve"> </w:t>
      </w:r>
      <w:r>
        <w:rPr>
          <w:b/>
          <w:bCs/>
        </w:rPr>
        <w:t xml:space="preserve">Invio programmato</w:t>
      </w:r>
      <w:r>
        <w:t xml:space="preserve"> </w:t>
      </w:r>
      <w:r>
        <w:t xml:space="preserve">- Pesantezza alle gambe camminando, che passa sedendosi → medico curante →</w:t>
      </w:r>
      <w:r>
        <w:t xml:space="preserve"> </w:t>
      </w:r>
      <w:r>
        <w:rPr>
          <w:b/>
          <w:bCs/>
        </w:rPr>
        <w:t xml:space="preserve">Invio programmato</w:t>
      </w:r>
    </w:p>
    <w:p>
      <w:pPr>
        <w:pStyle w:val="BodyText"/>
      </w:pPr>
      <w:r>
        <w:rPr>
          <w:b/>
          <w:bCs/>
        </w:rPr>
        <w:t xml:space="preserve">Controindicazioni assolute all’alta velocità sul rachide lombare:</w:t>
      </w:r>
      <w:r>
        <w:t xml:space="preserve"> </w:t>
      </w:r>
      <w:r>
        <w:t xml:space="preserve">osteoporosi accertata, anticoagulante in corso, frattura vertebrale recente, sospetto di patologia ossea.</w:t>
      </w:r>
    </w:p>
    <w:p>
      <w:pPr>
        <w:pStyle w:val="BodyText"/>
      </w:pPr>
      <w:r>
        <w:rPr>
          <w:b/>
          <w:bCs/>
        </w:rPr>
        <w:t xml:space="preserve">Il paziente esce con scritto in mano</w:t>
      </w:r>
      <w:r>
        <w:t xml:space="preserve"> </w:t>
      </w:r>
      <w:r>
        <w:t xml:space="preserve">cosa lo manda in pronto soccorso lo stesso giorno: difficoltà nuova a urinare o a trattenere; insensibilità nella zona della sella; una gamba o tutte e due che perdono forza da un giorno all’altro.</w:t>
      </w:r>
    </w:p>
    <w:bookmarkEnd w:id="13"/>
    <w:bookmarkStart w:id="14" w:name="come-decidi-e-su-cosa-verifichi"/>
    <w:p>
      <w:pPr>
        <w:pStyle w:val="Heading2"/>
      </w:pPr>
      <w:r>
        <w:t xml:space="preserve">6. Come decidi, e su cosa verifichi</w:t>
      </w:r>
    </w:p>
    <w:p>
      <w:pPr>
        <w:pStyle w:val="FirstParagraph"/>
      </w:pPr>
      <w:r>
        <w:rPr>
          <w:b/>
          <w:bCs/>
        </w:rPr>
        <w:t xml:space="preserve">Road map:</w:t>
      </w:r>
      <w:r>
        <w:t xml:space="preserve"> </w:t>
      </w:r>
      <w:r>
        <w:t xml:space="preserve">protezione → soglia → carico nella catena → controllo del movimento → respiro → tessuto locale.</w:t>
      </w:r>
      <w:r>
        <w:t xml:space="preserve"> </w:t>
      </w:r>
      <w:r>
        <w:t xml:space="preserve">L’ordine combina quanto un piano condiziona gli altri e quanto è forte la leva su quel piano.</w:t>
      </w:r>
    </w:p>
    <w:p>
      <w:pPr>
        <w:pStyle w:val="BodyText"/>
      </w:pPr>
      <w:r>
        <w:rPr>
          <w:b/>
          <w:bCs/>
        </w:rPr>
        <w:t xml:space="preserve">Piano = modello, mai regione.</w:t>
      </w:r>
      <w:r>
        <w:t xml:space="preserve"> </w:t>
      </w:r>
      <w:r>
        <w:t xml:space="preserve">Anca e lombare sono lo stesso piano.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Marker in seduta</w:t>
            </w:r>
          </w:p>
        </w:tc>
        <w:tc>
          <w:tcPr/>
          <w:p>
            <w:pPr>
              <w:pStyle w:val="Compact"/>
            </w:pPr>
            <w:r>
              <w:t xml:space="preserve">Piano</w:t>
            </w:r>
          </w:p>
        </w:tc>
        <w:tc>
          <w:tcPr/>
          <w:p>
            <w:pPr>
              <w:pStyle w:val="Compact"/>
            </w:pPr>
            <w:r>
              <w:t xml:space="preserve">Soglia che conta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Alzarsi dalla sedia 5 volte</w:t>
            </w:r>
          </w:p>
        </w:tc>
        <w:tc>
          <w:tcPr/>
          <w:p>
            <w:pPr>
              <w:pStyle w:val="Compact"/>
            </w:pPr>
            <w:r>
              <w:t xml:space="preserve">Biomeccanico</w:t>
            </w:r>
          </w:p>
        </w:tc>
        <w:tc>
          <w:tcPr/>
          <w:p>
            <w:pPr>
              <w:pStyle w:val="Compact"/>
            </w:pPr>
            <w:r>
              <w:t xml:space="preserve">Meno 20% sul tempo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Rotazione interna d’anca</w:t>
            </w:r>
          </w:p>
        </w:tc>
        <w:tc>
          <w:tcPr/>
          <w:p>
            <w:pPr>
              <w:pStyle w:val="Compact"/>
            </w:pPr>
            <w:r>
              <w:t xml:space="preserve">Biomeccanico</w:t>
            </w:r>
          </w:p>
        </w:tc>
        <w:tc>
          <w:tcPr/>
          <w:p>
            <w:pPr>
              <w:pStyle w:val="Compact"/>
            </w:pPr>
            <w:r>
              <w:t xml:space="preserve">Più 5 gradi, o simmetria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 gesto che ha nominato</w:t>
            </w:r>
          </w:p>
        </w:tc>
        <w:tc>
          <w:tcPr/>
          <w:p>
            <w:pPr>
              <w:pStyle w:val="Compact"/>
            </w:pPr>
            <w:r>
              <w:t xml:space="preserve">Comportamentale</w:t>
            </w:r>
          </w:p>
        </w:tc>
        <w:tc>
          <w:tcPr/>
          <w:p>
            <w:pPr>
              <w:pStyle w:val="Compact"/>
            </w:pPr>
            <w:r>
              <w:t xml:space="preserve">Lo esegue senza chiedere conferma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Apnea nel test di controllo</w:t>
            </w:r>
          </w:p>
        </w:tc>
        <w:tc>
          <w:tcPr/>
          <w:p>
            <w:pPr>
              <w:pStyle w:val="Compact"/>
            </w:pPr>
            <w:r>
              <w:t xml:space="preserve">Respiratorio</w:t>
            </w:r>
          </w:p>
        </w:tc>
        <w:tc>
          <w:tcPr/>
          <w:p>
            <w:pPr>
              <w:pStyle w:val="Compact"/>
            </w:pPr>
            <w:r>
              <w:t xml:space="preserve">Il respiro non si ferma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Pressione dolorosa a sito remoto</w:t>
            </w:r>
          </w:p>
        </w:tc>
        <w:tc>
          <w:tcPr/>
          <w:p>
            <w:pPr>
              <w:pStyle w:val="Compact"/>
            </w:pPr>
            <w:r>
              <w:t xml:space="preserve">Neurologico</w:t>
            </w:r>
          </w:p>
        </w:tc>
        <w:tc>
          <w:tcPr/>
          <w:p>
            <w:pPr>
              <w:pStyle w:val="Compact"/>
            </w:pPr>
            <w:r>
              <w:t xml:space="preserve">Più 15% sulla mediana di tre</w:t>
            </w:r>
          </w:p>
        </w:tc>
      </w:tr>
    </w:tbl>
    <w:p>
      <w:pPr>
        <w:pStyle w:val="BodyText"/>
      </w:pPr>
      <w:r>
        <w:rPr>
          <w:b/>
          <w:bCs/>
        </w:rPr>
        <w:t xml:space="preserve">Esiti di ciclo, non di seduta:</w:t>
      </w:r>
      <w:r>
        <w:t xml:space="preserve"> </w:t>
      </w:r>
      <w:r>
        <w:t xml:space="preserve">Roland-Morris (meno 30% dal basale), discriminazione fra due punti.</w:t>
      </w:r>
    </w:p>
    <w:p>
      <w:pPr>
        <w:pStyle w:val="BodyText"/>
      </w:pPr>
      <w:r>
        <w:rPr>
          <w:b/>
          <w:bCs/>
        </w:rPr>
        <w:t xml:space="preserve">Reggono come marker e come reperto in cartella</w:t>
      </w:r>
      <w:r>
        <w:t xml:space="preserve"> </w:t>
      </w:r>
      <w:r>
        <w:t xml:space="preserve">i segni riproducibili: provocazione del dolore con un carico, escursione regionale, test di controllo del movimento, tempo su un compito, soglia algometrica. Non la palpazione dei tessuti molli: 0% di affidabilità accettabile fra esaminatori (Seffinger 2004).</w:t>
      </w:r>
    </w:p>
    <w:p>
      <w:pPr>
        <w:pStyle w:val="BodyText"/>
      </w:pPr>
      <w:r>
        <w:rPr>
          <w:b/>
          <w:bCs/>
        </w:rPr>
        <w:t xml:space="preserve">E il bersaglio non è una mira.</w:t>
      </w:r>
      <w:r>
        <w:t xml:space="preserve"> </w:t>
      </w:r>
      <w:r>
        <w:t xml:space="preserve">Colpire il livello individuato non ha dato esiti migliori che colpirne un altro, con certezza moderata (Sørensen 2023). Il reperto dice che hai qualcosa da trattare e dove il paziente tollera il contatto, non che quel segmento è la causa.</w:t>
      </w:r>
    </w:p>
    <w:p>
      <w:pPr>
        <w:pStyle w:val="BodyText"/>
      </w:pPr>
      <w:r>
        <w:t xml:space="preserve">Verifichi su un piano che non hai trattato. Un marker che si muove in una seduta non basta: la curva naturale scende da sola, e la conferma vale se si ripete alla seduta dopo.</w:t>
      </w:r>
    </w:p>
    <w:bookmarkEnd w:id="14"/>
    <w:bookmarkStart w:id="15" w:name="cosa-fa-il-paziente-da-solo"/>
    <w:p>
      <w:pPr>
        <w:pStyle w:val="Heading2"/>
      </w:pPr>
      <w:r>
        <w:t xml:space="preserve">7. Cosa fa il paziente da solo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Movimento allenato</w:t>
      </w:r>
      <w:r>
        <w:t xml:space="preserve"> </w:t>
      </w:r>
      <w:r>
        <w:t xml:space="preserve">— meno 15,2 punti su 100 di dolore</w:t>
      </w:r>
      <w:r>
        <w:t xml:space="preserve"> </w:t>
      </w:r>
      <w:r>
        <w:rPr>
          <w:b/>
          <w:bCs/>
        </w:rPr>
        <w:t xml:space="preserve">nella lombalgia cronica</w:t>
      </w:r>
      <w:r>
        <w:t xml:space="preserve"> </w:t>
      </w:r>
      <w:r>
        <w:t xml:space="preserve">(oltre 12 settimane) — DIMOSTRATO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Nell’acuto</w:t>
      </w:r>
      <w:r>
        <w:t xml:space="preserve"> </w:t>
      </w:r>
      <w:r>
        <w:t xml:space="preserve">la leva misurata è restare attivi, non l’esercizio strutturato — PROBABILE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Capire il dolore e tornare al gesto evitato</w:t>
      </w:r>
      <w:r>
        <w:t xml:space="preserve"> </w:t>
      </w:r>
      <w:r>
        <w:t xml:space="preserve">— meno 4,6 punti Roland-Morris contro cure abituali, in un percorso guidato da un clinico — DIMOSTRATO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Allenamento dei muscoli inspiratori</w:t>
      </w:r>
      <w:r>
        <w:t xml:space="preserve"> </w:t>
      </w:r>
      <w:r>
        <w:t xml:space="preserve">— dolore ridotto (28 soggetti); una sintesi di 14 studi di qualità disomogenea muove anche la disabilità — PROBABILE</w:t>
      </w:r>
    </w:p>
    <w:p>
      <w:pPr>
        <w:pStyle w:val="Compact"/>
        <w:numPr>
          <w:ilvl w:val="0"/>
          <w:numId w:val="1001"/>
        </w:numPr>
      </w:pPr>
      <w:r>
        <w:t xml:space="preserve">Conta più il</w:t>
      </w:r>
      <w:r>
        <w:t xml:space="preserve"> </w:t>
      </w:r>
      <w:r>
        <w:rPr>
          <w:b/>
          <w:bCs/>
        </w:rPr>
        <w:t xml:space="preserve">formato</w:t>
      </w:r>
      <w:r>
        <w:t xml:space="preserve"> </w:t>
      </w:r>
      <w:r>
        <w:t xml:space="preserve">della forma: il programma scelto insieme e seguito batte la scheda lasciata a casa.</w:t>
      </w:r>
    </w:p>
    <w:p>
      <w:pPr>
        <w:pStyle w:val="Compact"/>
        <w:numPr>
          <w:ilvl w:val="0"/>
          <w:numId w:val="1001"/>
        </w:numPr>
      </w:pPr>
      <w:r>
        <w:t xml:space="preserve">Fasce lombari e plantari non prevengono gli episodi. L’educazione da sola nemmeno.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Il carico progressivo</w:t>
      </w:r>
      <w:r>
        <w:t xml:space="preserve"> </w:t>
      </w:r>
      <w:r>
        <w:t xml:space="preserve">attende l’inquadramento nel Blocco B, cambia forma nella stenosi, e nell’osso fragile la flessione caricata non è neutra.</w:t>
      </w:r>
    </w:p>
    <w:bookmarkEnd w:id="15"/>
    <w:bookmarkStart w:id="16" w:name="la-frase-per-il-paziente"/>
    <w:p>
      <w:pPr>
        <w:pStyle w:val="Heading2"/>
      </w:pPr>
      <w:r>
        <w:t xml:space="preserve">8. La frase per il paziente</w:t>
      </w:r>
    </w:p>
    <w:p>
      <w:pPr>
        <w:pStyle w:val="FirstParagraph"/>
      </w:pPr>
      <w:r>
        <w:rPr>
          <w:i/>
          <w:iCs/>
        </w:rPr>
        <w:t xml:space="preserve">“Il tuo mal di schiena non è un pezzo rotto: quelle immagini ce le hanno anche persone che non hanno mai avuto male, e l’esame serviva lo stesso. Dopo il primo blocco il corpo impara a proteggersi — è come tenere la mano stretta sul manico anche quando la pentola si è raffreddata.”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Perché ci sei tu.</w:t>
      </w:r>
      <w:r>
        <w:t xml:space="preserve"> </w:t>
      </w:r>
      <w:r>
        <w:t xml:space="preserve">La leva con la base di prove più ampia su questa condizione è il movimento allenato unito alla spiegazione. Riduce il dolore nel cronico e quasi dimezza il rischio di un nuovo episodio, e nel percorso del paziente non gliel’ha insegnata nessuno. Ti autorizza a costruire il ciclo attorno al movimento e a insegnarlo tu, aprendo con le mani la finestra in cui diventa possibile. Non ti autorizza a promettere che il dolore non torni, né ad attribuire alla tua tecnica un guadagno che appartiene alla ripetizione, né a dire che l’esercizio batte la tua mano: nel confronto diretto non è risultato diverso.</w:t>
      </w:r>
    </w:p>
    <w:p>
      <w:pPr>
        <w:pStyle w:val="BlockText"/>
      </w:pPr>
      <w:r>
        <w:rPr>
          <w:b/>
          <w:bCs/>
        </w:rPr>
        <w:t xml:space="preserve">DIMOSTRATO</w:t>
      </w:r>
      <w:r>
        <w:t xml:space="preserve"> </w:t>
      </w:r>
      <w:r>
        <w:t xml:space="preserve">studi sull’uomo, solidi ·</w:t>
      </w:r>
      <w:r>
        <w:t xml:space="preserve"> </w:t>
      </w:r>
      <w:r>
        <w:rPr>
          <w:b/>
          <w:bCs/>
        </w:rPr>
        <w:t xml:space="preserve">PROBABILE</w:t>
      </w:r>
      <w:r>
        <w:t xml:space="preserve"> </w:t>
      </w:r>
      <w:r>
        <w:t xml:space="preserve">razionale forte, prove parziali ·</w:t>
      </w:r>
      <w:r>
        <w:t xml:space="preserve"> </w:t>
      </w:r>
      <w:r>
        <w:rPr>
          <w:b/>
          <w:bCs/>
        </w:rPr>
        <w:t xml:space="preserve">IPOTESI</w:t>
      </w:r>
      <w:r>
        <w:t xml:space="preserve"> </w:t>
      </w:r>
      <w:r>
        <w:t xml:space="preserve">meccanismo coerente, nessuno studio ·</w:t>
      </w:r>
      <w:r>
        <w:t xml:space="preserve"> </w:t>
      </w:r>
      <w:r>
        <w:rPr>
          <w:b/>
          <w:bCs/>
        </w:rPr>
        <w:t xml:space="preserve">RAGIONAMENTO</w:t>
      </w:r>
      <w:r>
        <w:t xml:space="preserve"> </w:t>
      </w:r>
      <w:r>
        <w:t xml:space="preserve">cornice clinica, non una prova</w:t>
      </w:r>
    </w:p>
    <w:p>
      <w:pPr>
        <w:pStyle w:val="FirstParagraph"/>
      </w:pPr>
      <w:r>
        <w:rPr>
          <w:i/>
          <w:iCs/>
        </w:rPr>
        <w:t xml:space="preserve">Blocchi 6 e 7 fuori dallo standard a sei blocchi, secondo le deviazioni D-018 e D-011.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Mobilitas — Direzione Osteopatica</dc:creator>
  <dc:language>it-IT</dc:language>
  <cp:keywords/>
  <dcterms:created xsi:type="dcterms:W3CDTF">2026-08-19T09:10:16Z</dcterms:created>
  <dcterms:modified xsi:type="dcterms:W3CDTF">2026-08-19T09:10:16Z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