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mal-di-testa-tensivo"/>
    <w:p>
      <w:pPr>
        <w:pStyle w:val="Heading1"/>
      </w:pPr>
      <w:r>
        <w:t xml:space="preserve">Mappa — Mal di Testa Tensivo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César Fernández-de-las-Peñas (URJC Madrid)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Lars Bendtsen (Danish Headache Center) ·</w:t>
      </w:r>
      <w:r>
        <w:t xml:space="preserve"> </w:t>
      </w:r>
      <w:r>
        <w:rPr>
          <w:b/>
          <w:bCs/>
        </w:rPr>
        <w:t xml:space="preserve">v4.0 intermedia</w:t>
      </w:r>
      <w:r>
        <w:t xml:space="preserve"> </w:t>
      </w:r>
      <w:r>
        <w:t xml:space="preserve">·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— La condizione in tre righe</w:t>
      </w:r>
    </w:p>
    <w:p>
      <w:pPr>
        <w:pStyle w:val="FirstParagraph"/>
      </w:pPr>
      <w:r>
        <w:t xml:space="preserve">Cefalea primaria. Servono almeno dieci episodi, una durata da 30 minuti a 7 giorni, e</w:t>
      </w:r>
      <w:r>
        <w:t xml:space="preserve"> </w:t>
      </w:r>
      <w:r>
        <w:rPr>
          <w:b/>
          <w:bCs/>
        </w:rPr>
        <w:t xml:space="preserve">almeno due su quattro</w:t>
      </w:r>
      <w:r>
        <w:t xml:space="preserve"> </w:t>
      </w:r>
      <w:r>
        <w:t xml:space="preserve">fra bilaterale, premente, lieve-moderata, non peggiora salendo le scale. Prevalenza globale 26%: il disturbo neurologico più diffuso al mondo.</w:t>
      </w:r>
      <w:r>
        <w:t xml:space="preserve"> </w:t>
      </w:r>
      <w:r>
        <w:t xml:space="preserve">A dodici anni il 45% va in remissione, il 39% resta episodico frequente, il 16% diventa cronico. E la condizione</w:t>
      </w:r>
      <w:r>
        <w:t xml:space="preserve"> </w:t>
      </w:r>
      <w:r>
        <w:rPr>
          <w:b/>
          <w:bCs/>
        </w:rPr>
        <w:t xml:space="preserve">fluttua da sola</w:t>
      </w:r>
      <w:r>
        <w:t xml:space="preserve"> </w:t>
      </w:r>
      <w:r>
        <w:t xml:space="preserve">mese su mese.</w:t>
      </w:r>
    </w:p>
    <w:bookmarkEnd w:id="9"/>
    <w:bookmarkStart w:id="10" w:name="la-catena-causale"/>
    <w:p>
      <w:pPr>
        <w:pStyle w:val="Heading2"/>
      </w:pPr>
      <w:r>
        <w:t xml:space="preserve">2 — La catena causale</w:t>
      </w:r>
    </w:p>
    <w:p>
      <w:pPr>
        <w:pStyle w:val="FirstParagraph"/>
      </w:pPr>
      <w:r>
        <w:rPr>
          <w:rStyle w:val="VerbatimChar"/>
        </w:rPr>
        <w:t xml:space="preserve">ore di carico statico, denti stretti (anche di notte) → muscoli pericranici dolenti → nocicezione continua per C1-C3 al complesso trigemino-cervicale → il freno discendente non trattiene più → fascia stretta bilaterale a fine giornata → se dura, il freno si inverte e la soglia si abbassa anche fuori dalla testa → forma cronica, dolore nociplastico</w:t>
      </w:r>
    </w:p>
    <w:bookmarkEnd w:id="10"/>
    <w:bookmarkStart w:id="11" w:name="i-meccanismi-e-quanto-sono-solidi"/>
    <w:p>
      <w:pPr>
        <w:pStyle w:val="Heading2"/>
      </w:pPr>
      <w:r>
        <w:t xml:space="preserve">3 —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L’ingresso che non si chiude</w:t>
            </w:r>
          </w:p>
        </w:tc>
        <w:tc>
          <w:tcPr/>
          <w:p>
            <w:pPr>
              <w:pStyle w:val="Compact"/>
            </w:pPr>
            <w:r>
              <w:t xml:space="preserve">Palpazione riproduce il quadro</w:t>
            </w:r>
          </w:p>
        </w:tc>
        <w:tc>
          <w:tcPr/>
          <w:p>
            <w:pPr>
              <w:pStyle w:val="Compact"/>
            </w:pPr>
            <w:r>
              <w:t xml:space="preserve">DIMOSTRATO / 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due strade, stesso incrocio</w:t>
            </w:r>
          </w:p>
        </w:tc>
        <w:tc>
          <w:tcPr/>
          <w:p>
            <w:pPr>
              <w:pStyle w:val="Compact"/>
            </w:pPr>
            <w:r>
              <w:t xml:space="preserve">Pressione su C1-C3 riferisce in testa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bilancia parte da tre chili</w:t>
            </w:r>
          </w:p>
        </w:tc>
        <w:tc>
          <w:tcPr/>
          <w:p>
            <w:pPr>
              <w:pStyle w:val="Compact"/>
            </w:pPr>
            <w:r>
              <w:t xml:space="preserve">Soglia bassa fuori dalla testa; freno invertito</w:t>
            </w:r>
          </w:p>
        </w:tc>
        <w:tc>
          <w:tcPr/>
          <w:p>
            <w:pPr>
              <w:pStyle w:val="Compact"/>
            </w:pPr>
            <w:r>
              <w:t xml:space="preserve">DIMOSTRATO / 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borsa al minuto quaranta</w:t>
            </w:r>
          </w:p>
        </w:tc>
        <w:tc>
          <w:tcPr/>
          <w:p>
            <w:pPr>
              <w:pStyle w:val="Compact"/>
            </w:pPr>
            <w:r>
              <w:t xml:space="preserve">Orario fisso, migliora in ferie</w:t>
            </w:r>
          </w:p>
        </w:tc>
        <w:tc>
          <w:tcPr/>
          <w:p>
            <w:pPr>
              <w:pStyle w:val="Compact"/>
            </w:pPr>
            <w:r>
              <w:t xml:space="preserve">DIMOSTRATO / 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molla lasciata in tensione</w:t>
            </w:r>
          </w:p>
        </w:tc>
        <w:tc>
          <w:tcPr/>
          <w:p>
            <w:pPr>
              <w:pStyle w:val="Compact"/>
            </w:pPr>
            <w:r>
              <w:t xml:space="preserve">Tessuti reattivi, evento di vita</w:t>
            </w:r>
          </w:p>
        </w:tc>
        <w:tc>
          <w:tcPr/>
          <w:p>
            <w:pPr>
              <w:pStyle w:val="Compact"/>
            </w:pPr>
            <w:r>
              <w:t xml:space="preserve">RAGIONAMENTO (+ 2 pezzi DIMOSTRATI)</w:t>
            </w:r>
          </w:p>
        </w:tc>
      </w:tr>
    </w:tbl>
    <w:p>
      <w:pPr>
        <w:pStyle w:val="BodyText"/>
      </w:pPr>
      <w:r>
        <w:t xml:space="preserve">L’etichetta si spezza dove i componenti hanno forza diversa.</w:t>
      </w:r>
      <w:r>
        <w:t xml:space="preserve"> </w:t>
      </w:r>
      <w:r>
        <w:rPr>
          <w:b/>
          <w:bCs/>
        </w:rPr>
        <w:t xml:space="preserve">La genesi periferica è PROBABILE, non DIMOSTRATA, e vale per la forma episodica: sul cronico la fonte stessa la esclude.</w:t>
      </w:r>
      <w:r>
        <w:t xml:space="preserve"> </w:t>
      </w:r>
      <w:r>
        <w:t xml:space="preserve">Nella molla il tessuto</w:t>
      </w:r>
      <w:r>
        <w:t xml:space="preserve"> </w:t>
      </w:r>
      <w:r>
        <w:rPr>
          <w:b/>
          <w:bCs/>
        </w:rPr>
        <w:t xml:space="preserve">può palpare uguale</w:t>
      </w:r>
      <w:r>
        <w:t xml:space="preserve">: cambia il guadagno della modulazione, non il tono.</w:t>
      </w:r>
    </w:p>
    <w:p>
      <w:pPr>
        <w:pStyle w:val="BodyText"/>
      </w:pPr>
      <w:r>
        <w:rPr>
          <w:b/>
          <w:bCs/>
        </w:rPr>
        <w:t xml:space="preserve">Il dato che ridimensiona la mano, e va tenuto insieme.</w:t>
      </w:r>
      <w:r>
        <w:t xml:space="preserve"> </w:t>
      </w:r>
      <w:r>
        <w:t xml:space="preserve">Contro placebo — ultrasuono disattivato, 56 pazienti — la frequenza è scesa</w:t>
      </w:r>
      <w:r>
        <w:t xml:space="preserve"> </w:t>
      </w:r>
      <w:r>
        <w:rPr>
          <w:b/>
          <w:bCs/>
        </w:rPr>
        <w:t xml:space="preserve">sia col massaggio sia col placebo</w:t>
      </w:r>
      <w:r>
        <w:t xml:space="preserve">, e fra i due nessuna differenza. A separare i gruppi è stato il cambiamento</w:t>
      </w:r>
      <w:r>
        <w:t xml:space="preserve"> </w:t>
      </w:r>
      <w:r>
        <w:rPr>
          <w:b/>
          <w:bCs/>
        </w:rPr>
        <w:t xml:space="preserve">percepito</w:t>
      </w:r>
      <w:r>
        <w:t xml:space="preserve"> </w:t>
      </w:r>
      <w:r>
        <w:t xml:space="preserve">(Moraska 2015, PMID 25329141). Sugli stessi pazienti, la soglia di pressione ai punti trigger di suboccipitali e trapezio è salita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col massaggio (Moraska 2017, PMID 28248690).</w:t>
      </w:r>
      <w:r>
        <w:t xml:space="preserve"> </w:t>
      </w:r>
      <w:r>
        <w:rPr>
          <w:b/>
          <w:bCs/>
        </w:rPr>
        <w:t xml:space="preserve">Il meccanismo si muove e si separa dal placebo; l’esito si muove e dal placebo non si separa.</w:t>
      </w:r>
    </w:p>
    <w:bookmarkEnd w:id="11"/>
    <w:bookmarkStart w:id="12" w:name="i-sottotipi-e-chi-comanda"/>
    <w:p>
      <w:pPr>
        <w:pStyle w:val="Heading2"/>
      </w:pPr>
      <w:r>
        <w:t xml:space="preserve">4 —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Episodico con punto attivo</w:t>
            </w:r>
          </w:p>
        </w:tc>
        <w:tc>
          <w:tcPr/>
          <w:p>
            <w:pPr>
              <w:pStyle w:val="Compact"/>
            </w:pPr>
            <w:r>
              <w:t xml:space="preserve">La palpazione riproduce il dolore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Episodico da carico statico</w:t>
            </w:r>
          </w:p>
        </w:tc>
        <w:tc>
          <w:tcPr/>
          <w:p>
            <w:pPr>
              <w:pStyle w:val="Compact"/>
            </w:pPr>
            <w:r>
              <w:t xml:space="preserve">Orario fisso, migliora in ferie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componente mandibolare</w:t>
            </w:r>
          </w:p>
        </w:tc>
        <w:tc>
          <w:tcPr/>
          <w:p>
            <w:pPr>
              <w:pStyle w:val="Compact"/>
            </w:pPr>
            <w:r>
              <w:t xml:space="preserve">Serramento</w:t>
            </w:r>
            <w:r>
              <w:t xml:space="preserve"> </w:t>
            </w:r>
            <w:r>
              <w:rPr>
                <w:b/>
                <w:bCs/>
              </w:rPr>
              <w:t xml:space="preserve">da sveglio</w:t>
            </w:r>
            <w:r>
              <w:t xml:space="preserve">, temporale dolente</w:t>
            </w:r>
          </w:p>
        </w:tc>
        <w:tc>
          <w:tcPr/>
          <w:p>
            <w:pPr>
              <w:pStyle w:val="Compact"/>
            </w:pPr>
            <w:r>
              <w:t xml:space="preserve">Abbastanza —</w:t>
            </w:r>
            <w:r>
              <w:t xml:space="preserve"> </w:t>
            </w:r>
            <w:r>
              <w:rPr>
                <w:b/>
                <w:bCs/>
              </w:rPr>
              <w:t xml:space="preserve">over 50: prima escludi l’arterite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Cronico sensibilizzato</w:t>
            </w:r>
          </w:p>
        </w:tc>
        <w:tc>
          <w:tcPr/>
          <w:p>
            <w:pPr>
              <w:pStyle w:val="Compact"/>
            </w:pPr>
            <w:r>
              <w:t xml:space="preserve">Sensibilità diffusa fuori dalla testa</w:t>
            </w:r>
          </w:p>
        </w:tc>
        <w:tc>
          <w:tcPr/>
          <w:p>
            <w:pPr>
              <w:pStyle w:val="Compact"/>
            </w:pPr>
            <w:r>
              <w:t xml:space="preserve">Abbastanza — quadro</w:t>
            </w:r>
            <w:r>
              <w:t xml:space="preserve"> </w:t>
            </w:r>
            <w:r>
              <w:rPr>
                <w:b/>
                <w:bCs/>
              </w:rPr>
              <w:t xml:space="preserve">nociplastico</w:t>
            </w:r>
            <w:r>
              <w:t xml:space="preserve">, la periferia rende meno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driver di attivazione</w:t>
            </w:r>
          </w:p>
        </w:tc>
        <w:tc>
          <w:tcPr/>
          <w:p>
            <w:pPr>
              <w:pStyle w:val="Compact"/>
            </w:pPr>
            <w:r>
              <w:t xml:space="preserve">Esordio agganciato a un evento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Senza dolorabilità pericranica</w:t>
            </w:r>
          </w:p>
        </w:tc>
        <w:tc>
          <w:tcPr/>
          <w:p>
            <w:pPr>
              <w:pStyle w:val="Compact"/>
            </w:pPr>
            <w:r>
              <w:t xml:space="preserve">Punteggio basso, nessun punto</w:t>
            </w:r>
          </w:p>
        </w:tc>
        <w:tc>
          <w:tcPr/>
          <w:p>
            <w:pPr>
              <w:pStyle w:val="Compact"/>
            </w:pPr>
            <w:r>
              <w:t xml:space="preserve">Poco a mano, molto in regia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Tensiva + emicrania</w:t>
            </w:r>
          </w:p>
        </w:tc>
        <w:tc>
          <w:tcPr/>
          <w:p>
            <w:pPr>
              <w:pStyle w:val="Compact"/>
            </w:pPr>
            <w:r>
              <w:t xml:space="preserve">Due mal di testa che sa distinguere</w:t>
            </w:r>
          </w:p>
        </w:tc>
        <w:tc>
          <w:tcPr/>
          <w:p>
            <w:pPr>
              <w:pStyle w:val="Compact"/>
            </w:pPr>
            <w:r>
              <w:t xml:space="preserve">Abbastanza, sui soli giorni tensivi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uso eccessivo di farmaci</w:t>
            </w:r>
          </w:p>
        </w:tc>
        <w:tc>
          <w:tcPr/>
          <w:p>
            <w:pPr>
              <w:pStyle w:val="Compact"/>
            </w:pPr>
            <w:r>
              <w:t xml:space="preserve">15 giorni/mese di analgesico</w:t>
            </w:r>
          </w:p>
        </w:tc>
        <w:tc>
          <w:tcPr/>
          <w:p>
            <w:pPr>
              <w:pStyle w:val="Compact"/>
            </w:pPr>
            <w:r>
              <w:t xml:space="preserve">Canale medico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lavoro sul tessuto in parallelo</w:t>
            </w:r>
          </w:p>
        </w:tc>
      </w:tr>
    </w:tbl>
    <w:p>
      <w:pPr>
        <w:pStyle w:val="BodyText"/>
      </w:pPr>
      <w:r>
        <w:t xml:space="preserve">«Quanto puoi fare» misura quanto del risultato dipende</w:t>
      </w:r>
      <w:r>
        <w:t xml:space="preserve"> </w:t>
      </w:r>
      <w:r>
        <w:rPr>
          <w:b/>
          <w:bCs/>
        </w:rPr>
        <w:t xml:space="preserve">dalla tua mano</w:t>
      </w:r>
      <w:r>
        <w:t xml:space="preserve">, non quanto il paziente ha bisogno di te.</w:t>
      </w:r>
      <w:r>
        <w:t xml:space="preserve"> </w:t>
      </w:r>
      <w:r>
        <w:rPr>
          <w:b/>
          <w:bCs/>
        </w:rPr>
        <w:t xml:space="preserve">Il serramento che conta qui è quello di giorno.</w:t>
      </w:r>
      <w:r>
        <w:t xml:space="preserve"> </w:t>
      </w:r>
      <w:r>
        <w:t xml:space="preserve">Il bruxismo da sveglio ha un OR di</w:t>
      </w:r>
      <w:r>
        <w:t xml:space="preserve"> </w:t>
      </w:r>
      <w:r>
        <w:rPr>
          <w:b/>
          <w:bCs/>
        </w:rPr>
        <w:t xml:space="preserve">5,23</w:t>
      </w:r>
      <w:r>
        <w:t xml:space="preserve"> </w:t>
      </w:r>
      <w:r>
        <w:t xml:space="preserve">(IC 95% 2,57–10,65), su tre studi osservazionali. Il bruxismo</w:t>
      </w:r>
      <w:r>
        <w:t xml:space="preserve"> </w:t>
      </w:r>
      <w:r>
        <w:rPr>
          <w:b/>
          <w:bCs/>
        </w:rPr>
        <w:t xml:space="preserve">del sonno</w:t>
      </w:r>
      <w:r>
        <w:t xml:space="preserve"> </w:t>
      </w:r>
      <w:r>
        <w:t xml:space="preserve">non ha mostrato associazione con questa cefalea (Réus 2021, PMID 34129658). È un’associazione, non una direzione.</w:t>
      </w:r>
      <w:r>
        <w:t xml:space="preserve"> </w:t>
      </w:r>
      <w:r>
        <w:rPr>
          <w:b/>
          <w:bCs/>
        </w:rPr>
        <w:t xml:space="preserve">Associate:</w:t>
      </w:r>
      <w:r>
        <w:t xml:space="preserve"> </w:t>
      </w:r>
      <w:r>
        <w:t xml:space="preserve">Emicrania · Cervicalgia · Bruxismo.</w:t>
      </w:r>
    </w:p>
    <w:bookmarkEnd w:id="12"/>
    <w:bookmarkStart w:id="13" w:name="le-bandiere-rosse"/>
    <w:p>
      <w:pPr>
        <w:pStyle w:val="Heading2"/>
      </w:pPr>
      <w:r>
        <w:t xml:space="preserve">5 — Le bandiere rosse</w:t>
      </w:r>
    </w:p>
    <w:p>
      <w:pPr>
        <w:pStyle w:val="FirstParagraph"/>
      </w:pPr>
      <w:r>
        <w:rPr>
          <w:b/>
          <w:bCs/>
        </w:rPr>
        <w:t xml:space="preserve">Blocco A — non si tratta nulla, in nessun distretto</w:t>
      </w:r>
      <w:r>
        <w:t xml:space="preserve"> </w:t>
      </w:r>
      <w:r>
        <w:t xml:space="preserve">- Dolore esplosivo, il peggiore mai avuto → PS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Febbre o sintomi sistemici con collo rigido → PS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Deficit di forza, parola, vista o coscienza → PS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Convulsione con il mal di testa → PS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Dolore diverso da ogni episodio precedente</w:t>
      </w:r>
      <w:r>
        <w:t xml:space="preserve"> </w:t>
      </w:r>
      <w:r>
        <w:t xml:space="preserve">→ PS →</w:t>
      </w:r>
      <w:r>
        <w:t xml:space="preserve"> </w:t>
      </w:r>
      <w:r>
        <w:rPr>
          <w:b/>
          <w:bCs/>
        </w:rPr>
        <w:t xml:space="preserve">112 se segni neurologici, altrimenti Urgente</w:t>
      </w:r>
      <w:r>
        <w:t xml:space="preserve"> </w:t>
      </w:r>
      <w:r>
        <w:rPr>
          <w:i/>
          <w:iCs/>
        </w:rPr>
        <w:t xml:space="preserve">(dissezione arteriosa cervicale: non serve che sia esplosivo — era diverso dai precedenti in 19 casi su 20)</w:t>
      </w:r>
      <w:r>
        <w:t xml:space="preserve"> </w:t>
      </w:r>
      <w:r>
        <w:t xml:space="preserve">- Cefalea</w:t>
      </w:r>
      <w:r>
        <w:t xml:space="preserve"> </w:t>
      </w:r>
      <w:r>
        <w:rPr>
          <w:b/>
          <w:bCs/>
        </w:rPr>
        <w:t xml:space="preserve">nuova o diversa</w:t>
      </w:r>
      <w:r>
        <w:t xml:space="preserve"> </w:t>
      </w:r>
      <w:r>
        <w:t xml:space="preserve">in gravidanza o post-parto → PS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BodyText"/>
      </w:pPr>
      <w:r>
        <w:rPr>
          <w:b/>
          <w:bCs/>
        </w:rPr>
        <w:t xml:space="preserve">Blocco B — si può trattare un altro distretto, e non questo. Fanno eccezione le righe a Invio programmato: lì l’inquadramento non manca, e si lavora in parallelo anche qui</w:t>
      </w:r>
      <w:r>
        <w:t xml:space="preserve"> </w:t>
      </w:r>
      <w:r>
        <w:t xml:space="preserve">- Primo episodio dopo i 50 anni → curante, poi neurologo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Cuoio capelluto dolente, mandibola stanca, over 50 → curante;</w:t>
      </w:r>
      <w:r>
        <w:t xml:space="preserve"> </w:t>
      </w:r>
      <w:r>
        <w:rPr>
          <w:b/>
          <w:bCs/>
        </w:rPr>
        <w:t xml:space="preserve">PS se cala la vista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Peggiora sdraiato o al risveglio, con vomito → neurologo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Compare in piedi, si allevia sdraiandosi</w:t>
      </w:r>
      <w:r>
        <w:t xml:space="preserve"> </w:t>
      </w:r>
      <w:r>
        <w:t xml:space="preserve">→ neurologo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Compare o peggiora con tosse e sforzo → neurologo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Cambia forma o cresce settimana dopo settimana → curante, poi neurologo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Cefalea nuova o cambiata in chi è anticoagulato</w:t>
      </w:r>
      <w:r>
        <w:t xml:space="preserve"> </w:t>
      </w:r>
      <w:r>
        <w:t xml:space="preserve">→ curante, per imaging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rPr>
          <w:i/>
          <w:iCs/>
        </w:rPr>
        <w:t xml:space="preserve">(vale anche senza trauma ricordato)</w:t>
      </w:r>
      <w:r>
        <w:t xml:space="preserve"> </w:t>
      </w:r>
      <w:r>
        <w:t xml:space="preserve">- Storia di tumore o immunodepressione → curante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Compare dopo un trauma cranico → curante →</w:t>
      </w:r>
      <w:r>
        <w:t xml:space="preserve"> </w:t>
      </w:r>
      <w:r>
        <w:rPr>
          <w:b/>
          <w:bCs/>
        </w:rPr>
        <w:t xml:space="preserve">Invio</w:t>
      </w:r>
      <w:r>
        <w:t xml:space="preserve"> </w:t>
      </w:r>
      <w:r>
        <w:t xml:space="preserve">- Occhio dolente e arrossato con lacrimazione →</w:t>
      </w:r>
      <w:r>
        <w:t xml:space="preserve"> </w:t>
      </w:r>
      <w:r>
        <w:rPr>
          <w:b/>
          <w:bCs/>
        </w:rPr>
        <w:t xml:space="preserve">oculista o 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 risveglio quasi ogni mattina, con russamento</w:t>
      </w:r>
      <w:r>
        <w:t xml:space="preserve"> </w:t>
      </w:r>
      <w:r>
        <w:t xml:space="preserve">→ curante, per il sonno →</w:t>
      </w:r>
      <w:r>
        <w:t xml:space="preserve"> </w:t>
      </w:r>
      <w:r>
        <w:rPr>
          <w:b/>
          <w:bCs/>
        </w:rPr>
        <w:t xml:space="preserve">Invio programmato</w:t>
      </w:r>
      <w:r>
        <w:t xml:space="preserve"> </w:t>
      </w:r>
      <w:r>
        <w:rPr>
          <w:i/>
          <w:iCs/>
        </w:rPr>
        <w:t xml:space="preserve">(sospetto apnea: pause riferite, sonnolenza diurna)</w:t>
      </w:r>
      <w:r>
        <w:t xml:space="preserve"> </w:t>
      </w:r>
      <w:r>
        <w:t xml:space="preserve">- Analgesico 15 giorni/mese, 10 se combinato → curante →</w:t>
      </w:r>
      <w:r>
        <w:t xml:space="preserve"> </w:t>
      </w:r>
      <w:r>
        <w:rPr>
          <w:b/>
          <w:bCs/>
        </w:rPr>
        <w:t xml:space="preserve">Invio programmato</w:t>
      </w:r>
      <w:r>
        <w:t xml:space="preserve">, e si lavora in parallelo</w:t>
      </w:r>
    </w:p>
    <w:p>
      <w:pPr>
        <w:pStyle w:val="BodyText"/>
      </w:pPr>
      <w:r>
        <w:rPr>
          <w:b/>
          <w:bCs/>
        </w:rPr>
        <w:t xml:space="preserve">Non è una bandiera rossa, e per questo sta qui e non in lista:</w:t>
      </w:r>
      <w:r>
        <w:t xml:space="preserve"> </w:t>
      </w:r>
      <w:r>
        <w:t xml:space="preserve">la cefalea tensiva</w:t>
      </w:r>
      <w:r>
        <w:t xml:space="preserve"> </w:t>
      </w:r>
      <w:r>
        <w:rPr>
          <w:b/>
          <w:bCs/>
        </w:rPr>
        <w:t xml:space="preserve">preesistente e invariata</w:t>
      </w:r>
      <w:r>
        <w:t xml:space="preserve"> </w:t>
      </w:r>
      <w:r>
        <w:t xml:space="preserve">in gravidanza si tratta. Informa per iscritto il ginecologo curante, e scrivi reperto e comunicazione in cartella.</w:t>
      </w:r>
      <w:r>
        <w:t xml:space="preserve"> </w:t>
      </w:r>
      <w:r>
        <w:rPr>
          <w:b/>
          <w:bCs/>
        </w:rPr>
        <w:t xml:space="preserve">Perché tre uscite e non due:</w:t>
      </w:r>
      <w:r>
        <w:t xml:space="preserve"> </w:t>
      </w:r>
      <w:r>
        <w:t xml:space="preserve">una regola scritta e disattesa vale meno di nessuna regola. Il GIALLO non è una concessione. Regge su quattro cose: reperto tuo, marker, canale medico attivato, tempo definito.</w:t>
      </w:r>
    </w:p>
    <w:p>
      <w:pPr>
        <w:pStyle w:val="BodyText"/>
      </w:pPr>
      <w:r>
        <w:rPr>
          <w:b/>
          <w:bCs/>
        </w:rPr>
        <w:t xml:space="preserve">Fuori perimetro, sempre:</w:t>
      </w:r>
      <w:r>
        <w:t xml:space="preserve"> </w:t>
      </w:r>
      <w:r>
        <w:t xml:space="preserve">lavoro intra-orale sui masticatori · triangolo anteriore del collo.</w:t>
      </w:r>
      <w:r>
        <w:t xml:space="preserve"> </w:t>
      </w:r>
      <w:r>
        <w:rPr>
          <w:b/>
          <w:bCs/>
        </w:rPr>
        <w:t xml:space="preserve">Zona a rischio proprio: C0-C1-C2.</w:t>
      </w:r>
      <w:r>
        <w:t xml:space="preserve"> </w:t>
      </w:r>
      <w:r>
        <w:t xml:space="preserve">Ci passa l’arteria vertebrale, e l’evento è la dissezione arteriosa cervicale. Prima di qualunque tecnica lì, il ragionamento vascolare è obbligato (IFOMPT, Rushton 2023). Secondo profilo: incompetenza legamentosa — artrite reumatoide, Down, connettivopatie, post-traumatico. È spesso silente, e va chiesta in anamnesi.</w:t>
      </w:r>
    </w:p>
    <w:bookmarkEnd w:id="13"/>
    <w:bookmarkStart w:id="14" w:name="come-decidi-e-su-cosa-verifichi"/>
    <w:p>
      <w:pPr>
        <w:pStyle w:val="Heading2"/>
      </w:pPr>
      <w:r>
        <w:t xml:space="preserve">6 — Come decidi, e su cosa verifichi</w:t>
      </w:r>
    </w:p>
    <w:p>
      <w:pPr>
        <w:pStyle w:val="FirstParagraph"/>
      </w:pPr>
      <w:r>
        <w:rPr>
          <w:b/>
          <w:bCs/>
        </w:rPr>
        <w:t xml:space="preserve">Road map.</w:t>
      </w:r>
      <w:r>
        <w:t xml:space="preserve"> </w:t>
      </w:r>
      <w:r>
        <w:t xml:space="preserve">1) quante assunzioni al mese → 2) il sistema è in allerta → 3) come recupera (sonno, pause, attività) → 4) la soglia è bassa fuori dalla testa, o il freno non risponde → 5) quanto ingresso periferico, e da dove → 6) quanto carico statico, e quanta capacità.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raggiungibilità non entra nella classifica</w:t>
      </w:r>
      <w:r>
        <w:t xml:space="preserve">: un piano può comandare ed essere fuori dalle tue mani, e allora il rinvio è la seduta.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Misura</w:t>
            </w:r>
          </w:p>
        </w:tc>
        <w:tc>
          <w:tcPr/>
          <w:p>
            <w:pPr>
              <w:pStyle w:val="Compact"/>
            </w:pPr>
            <w:r>
              <w:t xml:space="preserve">Come si prende</w:t>
            </w:r>
          </w:p>
        </w:tc>
        <w:tc>
          <w:tcPr/>
          <w:p>
            <w:pPr>
              <w:pStyle w:val="Compact"/>
            </w:pPr>
            <w:r>
              <w:t xml:space="preserve">Soglia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pericranico</w:t>
            </w:r>
          </w:p>
        </w:tc>
        <w:tc>
          <w:tcPr/>
          <w:p>
            <w:pPr>
              <w:pStyle w:val="Compact"/>
            </w:pPr>
            <w:r>
              <w:t xml:space="preserve">Palpazione</w:t>
            </w:r>
            <w:r>
              <w:t xml:space="preserve"> </w:t>
            </w:r>
            <w:r>
              <w:rPr>
                <w:b/>
                <w:bCs/>
              </w:rPr>
              <w:t xml:space="preserve">8 siti per lato</w:t>
            </w:r>
            <w:r>
              <w:t xml:space="preserve">, 0-3, totale</w:t>
            </w:r>
            <w:r>
              <w:t xml:space="preserve"> </w:t>
            </w:r>
            <w:r>
              <w:rPr>
                <w:b/>
                <w:bCs/>
              </w:rPr>
              <w:t xml:space="preserve">0-48</w:t>
            </w:r>
          </w:p>
        </w:tc>
        <w:tc>
          <w:tcPr/>
          <w:p>
            <w:pPr>
              <w:pStyle w:val="Compact"/>
            </w:pPr>
            <w:r>
              <w:t xml:space="preserve">Calo ≥ 4 punti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Riproduzione in testa</w:t>
            </w:r>
          </w:p>
        </w:tc>
        <w:tc>
          <w:tcPr/>
          <w:p>
            <w:pPr>
              <w:pStyle w:val="Compact"/>
            </w:pPr>
            <w:r>
              <w:t xml:space="preserve">Pressione sostenuta 10 s su C1-C3</w:t>
            </w:r>
          </w:p>
        </w:tc>
        <w:tc>
          <w:tcPr/>
          <w:p>
            <w:pPr>
              <w:pStyle w:val="Compact"/>
            </w:pPr>
            <w:r>
              <w:t xml:space="preserve">Da riferita a 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Frequenza respiratoria</w:t>
            </w:r>
          </w:p>
        </w:tc>
        <w:tc>
          <w:tcPr/>
          <w:p>
            <w:pPr>
              <w:pStyle w:val="Compact"/>
            </w:pPr>
            <w:r>
              <w:t xml:space="preserve">Conteggio 60 s, senza avvisare</w:t>
            </w:r>
          </w:p>
        </w:tc>
        <w:tc>
          <w:tcPr/>
          <w:p>
            <w:pPr>
              <w:pStyle w:val="Compact"/>
            </w:pPr>
            <w:r>
              <w:t xml:space="preserve">Calo ≥ 3 atti sul basale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su sito lontano</w:t>
            </w:r>
          </w:p>
        </w:tc>
        <w:tc>
          <w:tcPr/>
          <w:p>
            <w:pPr>
              <w:pStyle w:val="Compact"/>
            </w:pPr>
            <w:r>
              <w:t xml:space="preserve">Algometro, 2° metacarpo, mediana di tre</w:t>
            </w:r>
          </w:p>
        </w:tc>
        <w:tc>
          <w:tcPr/>
          <w:p>
            <w:pPr>
              <w:pStyle w:val="Compact"/>
            </w:pPr>
            <w:r>
              <w:t xml:space="preserve">Aumento ≥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Modulazione condizionata (CPM)</w:t>
            </w:r>
          </w:p>
        </w:tc>
        <w:tc>
          <w:tcPr/>
          <w:p>
            <w:pPr>
              <w:pStyle w:val="Compact"/>
            </w:pPr>
            <w:r>
              <w:t xml:space="preserve">Stessa misura, mano opposta in acqua fredda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  <w:r>
              <w:t xml:space="preserve"> </w:t>
            </w:r>
            <w:r>
              <w:t xml:space="preserve">“non sale”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“sale”</w:t>
            </w:r>
          </w:p>
        </w:tc>
      </w:tr>
    </w:tbl>
    <w:p>
      <w:pPr>
        <w:pStyle w:val="BodyText"/>
      </w:pPr>
      <w:r>
        <w:t xml:space="preserve">Le prime tre stanno sul piano che tratti: sono</w:t>
      </w:r>
      <w:r>
        <w:t xml:space="preserve"> </w:t>
      </w:r>
      <w:r>
        <w:rPr>
          <w:b/>
          <w:bCs/>
        </w:rPr>
        <w:t xml:space="preserve">misure di effetto immediato del gesto</w:t>
      </w:r>
      <w:r>
        <w:t xml:space="preserve">. Le ultime due sono i</w:t>
      </w:r>
      <w:r>
        <w:t xml:space="preserve"> </w:t>
      </w:r>
      <w:r>
        <w:rPr>
          <w:b/>
          <w:bCs/>
        </w:rPr>
        <w:t xml:space="preserve">marker della prova della chiave di volta</w:t>
      </w:r>
      <w:r>
        <w:t xml:space="preserve">.</w:t>
      </w:r>
      <w:r>
        <w:t xml:space="preserve"> </w:t>
      </w:r>
      <w:r>
        <w:rPr>
          <w:b/>
          <w:bCs/>
        </w:rPr>
        <w:t xml:space="preserve">Le tre soglie numeriche sono convenzioni di misura del metodo, non numeri della letteratura.</w:t>
      </w:r>
      <w:r>
        <w:t xml:space="preserve"> </w:t>
      </w:r>
      <w:r>
        <w:rPr>
          <w:b/>
          <w:bCs/>
        </w:rPr>
        <w:t xml:space="preserve">La verità sulla verifica.</w:t>
      </w:r>
      <w:r>
        <w:t xml:space="preserve"> </w:t>
      </w:r>
      <w:r>
        <w:t xml:space="preserve">La prova basata sul</w:t>
      </w:r>
      <w:r>
        <w:t xml:space="preserve"> </w:t>
      </w:r>
      <w:r>
        <w:rPr>
          <w:i/>
          <w:iCs/>
        </w:rPr>
        <w:t xml:space="preserve">livello</w:t>
      </w:r>
      <w:r>
        <w:t xml:space="preserve"> </w:t>
      </w:r>
      <w:r>
        <w:t xml:space="preserve">di una misura ha margine</w:t>
      </w:r>
      <w:r>
        <w:t xml:space="preserve"> </w:t>
      </w:r>
      <w:r>
        <w:rPr>
          <w:b/>
          <w:bCs/>
        </w:rPr>
        <w:t xml:space="preserve">solo nel cronico sensibilizzato</w:t>
      </w:r>
      <w:r>
        <w:t xml:space="preserve">. Nell’episodico serve il test di</w:t>
      </w:r>
      <w:r>
        <w:t xml:space="preserve"> </w:t>
      </w:r>
      <w:r>
        <w:rPr>
          <w:i/>
          <w:iCs/>
        </w:rPr>
        <w:t xml:space="preserve">funzione</w:t>
      </w:r>
      <w:r>
        <w:t xml:space="preserve">, cioè il CPM. Nel paziente in cui comanda l’attivazione la prova in seduta</w:t>
      </w:r>
      <w:r>
        <w:t xml:space="preserve"> </w:t>
      </w:r>
      <w:r>
        <w:rPr>
          <w:b/>
          <w:bCs/>
        </w:rPr>
        <w:t xml:space="preserve">non è disponibile per livello</w:t>
      </w:r>
      <w:r>
        <w:t xml:space="preserve">, perché pericranio e respiro sono il piano che stai trattando: resta il solo test di funzione. Dove nemmeno quello è praticabile, la verifica è differita al conteggio prospettico su quattro settimane. Dice se il quadro è cambiato, non quale piano comandava.</w:t>
      </w:r>
      <w:r>
        <w:t xml:space="preserve"> </w:t>
      </w:r>
      <w:r>
        <w:rPr>
          <w:b/>
          <w:bCs/>
        </w:rPr>
        <w:t xml:space="preserve">La soglia algometrica non classifica una persona:</w:t>
      </w:r>
      <w:r>
        <w:t xml:space="preserve"> </w:t>
      </w:r>
      <w:r>
        <w:t xml:space="preserve">fra episodico frequente e cronico non sono state trovate differenze (Palacios-Ceña 2018). È un marker di variazione dello stesso paziente.</w:t>
      </w:r>
      <w:r>
        <w:t xml:space="preserve"> </w:t>
      </w:r>
      <w:r>
        <w:rPr>
          <w:b/>
          <w:bCs/>
        </w:rPr>
        <w:t xml:space="preserve">RAGIONAMENTO.</w:t>
      </w:r>
      <w:r>
        <w:t xml:space="preserve"> </w:t>
      </w:r>
      <w:r>
        <w:rPr>
          <w:b/>
          <w:bCs/>
        </w:rPr>
        <w:t xml:space="preserve">Il conteggio dei giorni è prospettico e separato per tipo di episodio.</w:t>
      </w:r>
      <w:r>
        <w:t xml:space="preserve"> </w:t>
      </w:r>
      <w:r>
        <w:t xml:space="preserve">Chi non ha l’algometro resta con la verifica differita, e la scrive come tale.</w:t>
      </w:r>
    </w:p>
    <w:p>
      <w:pPr>
        <w:pStyle w:val="BodyText"/>
      </w:pPr>
      <w:r>
        <w:rPr>
          <w:b/>
          <w:bCs/>
        </w:rPr>
        <w:t xml:space="preserve">Sul sonno la domanda è «si sveglia, e quante volte», non «quante ore dorme».</w:t>
      </w:r>
      <w:r>
        <w:t xml:space="preserve"> </w:t>
      </w:r>
      <w:r>
        <w:t xml:space="preserve">È la</w:t>
      </w:r>
      <w:r>
        <w:t xml:space="preserve"> </w:t>
      </w:r>
      <w:r>
        <w:rPr>
          <w:b/>
          <w:bCs/>
        </w:rPr>
        <w:t xml:space="preserve">frammentazione</w:t>
      </w:r>
      <w:r>
        <w:t xml:space="preserve">, non la riduzione delle ore, a far perdere l’inibizione del dolore (Smith 2007, PMID 17520794 — su donne sane in laboratorio, non su pazienti con questa cefalea).</w:t>
      </w:r>
      <w:r>
        <w:t xml:space="preserve"> </w:t>
      </w:r>
      <w:r>
        <w:rPr>
          <w:b/>
          <w:bCs/>
        </w:rPr>
        <w:t xml:space="preserve">Che una mano sposti il freno discendente non è mai stato misurato qui.</w:t>
      </w:r>
      <w:r>
        <w:t xml:space="preserve"> </w:t>
      </w:r>
      <w:r>
        <w:t xml:space="preserve">Fuori da questa condizione è misurato, ed è poco e breve: CPM +0,34, sommazione temporale −0,21, effetti limitati all’immediato e al breve termine (Arribas-Romano 2020; Martínez-Pozas 2023). Alza il</w:t>
      </w:r>
      <w:r>
        <w:t xml:space="preserve"> </w:t>
      </w:r>
      <w:r>
        <w:rPr>
          <w:b/>
          <w:bCs/>
        </w:rPr>
        <w:t xml:space="preserve">meccanismo</w:t>
      </w:r>
      <w:r>
        <w:t xml:space="preserve">, non la leva.</w:t>
      </w:r>
      <w:r>
        <w:t xml:space="preserve"> </w:t>
      </w:r>
      <w:r>
        <w:t xml:space="preserve">Le due misure su C1-C3 e sul pericranio presuppongono il</w:t>
      </w:r>
      <w:r>
        <w:t xml:space="preserve"> </w:t>
      </w:r>
      <w:r>
        <w:rPr>
          <w:b/>
          <w:bCs/>
        </w:rPr>
        <w:t xml:space="preserve">ragionamento vascolare già fatto</w:t>
      </w:r>
      <w:r>
        <w:t xml:space="preserve">: vedi blocco 5.</w:t>
      </w:r>
    </w:p>
    <w:bookmarkEnd w:id="14"/>
    <w:bookmarkStart w:id="15" w:name="cosa-fa-il-paziente-da-solo"/>
    <w:p>
      <w:pPr>
        <w:pStyle w:val="Heading2"/>
      </w:pPr>
      <w:r>
        <w:t xml:space="preserve">7 — Cosa fa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Cosa hanno misurato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Forza collo e spalle</w:t>
            </w:r>
          </w:p>
        </w:tc>
        <w:tc>
          <w:tcPr/>
          <w:p>
            <w:pPr>
              <w:pStyle w:val="Compact"/>
            </w:pPr>
            <w:r>
              <w:t xml:space="preserve">573 impiegati, 1 h/sett., 20 sett., −50%; 3 RCT su pazienti diagnosticati (2 favorevoli, 1 negativo)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DIMOSTRATO</w:t>
            </w:r>
            <w:r>
              <w:t xml:space="preserve"> </w:t>
            </w:r>
            <w:r>
              <w:t xml:space="preserve">sull’esercizio contro resistenza /</w:t>
            </w:r>
            <w:r>
              <w:t xml:space="preserve"> </w:t>
            </w:r>
            <w:r>
              <w:rPr>
                <w:b/>
                <w:bCs/>
              </w:rPr>
              <w:t xml:space="preserve">PROBABILE</w:t>
            </w:r>
            <w:r>
              <w:t xml:space="preserve"> </w:t>
            </w:r>
            <w:r>
              <w:t xml:space="preserve">sul trasferimento al paziente diagnosticato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Rilassamento con riscontro EMG</w:t>
            </w:r>
          </w:p>
        </w:tc>
        <w:tc>
          <w:tcPr/>
          <w:p>
            <w:pPr>
              <w:pStyle w:val="Compact"/>
            </w:pPr>
            <w:r>
              <w:t xml:space="preserve">94 studi, effetti stabili a 14 mesi, «efficace e specifico»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DIMOSTRATO</w:t>
            </w:r>
            <w:r>
              <w:t xml:space="preserve"> </w:t>
            </w:r>
            <w:r>
              <w:t xml:space="preserve">— ma richiede un apparecchio: si</w:t>
            </w:r>
            <w:r>
              <w:t xml:space="preserve"> </w:t>
            </w:r>
            <w:r>
              <w:rPr>
                <w:b/>
                <w:bCs/>
              </w:rPr>
              <w:t xml:space="preserve">invia</w:t>
            </w:r>
            <w:r>
              <w:t xml:space="preserve">, non si consegna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Rilassamento senza apparecchio</w:t>
            </w:r>
          </w:p>
        </w:tc>
        <w:tc>
          <w:tcPr/>
          <w:p>
            <w:pPr>
              <w:pStyle w:val="Compact"/>
            </w:pPr>
            <w:r>
              <w:t xml:space="preserve">169 cronici randomizzati: meno dolore, meno disabilità, sonno migliore a 12 settimane (Gopichandran) · frequenza −1,36</w:t>
            </w:r>
            <w:r>
              <w:t xml:space="preserve"> </w:t>
            </w:r>
            <w:r>
              <w:rPr>
                <w:b/>
                <w:bCs/>
              </w:rPr>
              <w:t xml:space="preserve">in raggruppamento con il rinforzo</w:t>
            </w:r>
            <w:r>
              <w:t xml:space="preserve"> </w:t>
            </w:r>
            <w:r>
              <w:t xml:space="preserve">(Onan)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PROBABILE</w:t>
            </w:r>
            <w:r>
              <w:t xml:space="preserve"> </w:t>
            </w:r>
            <w:r>
              <w:t xml:space="preserve">— è la versione che il paziente può eseguire</w:t>
            </w:r>
          </w:p>
        </w:tc>
      </w:tr>
    </w:tbl>
    <w:p>
      <w:pPr>
        <w:pStyle w:val="BodyText"/>
      </w:pPr>
      <w:r>
        <w:t xml:space="preserve">Negli studi che l’hanno misurato:</w:t>
      </w:r>
      <w:r>
        <w:t xml:space="preserve"> </w:t>
      </w:r>
      <w:r>
        <w:rPr>
          <w:b/>
          <w:bCs/>
        </w:rPr>
        <w:t xml:space="preserve">un’ora a settimana, comunque distribuita.</w:t>
      </w:r>
      <w:r>
        <w:t xml:space="preserve"> </w:t>
      </w:r>
      <w:r>
        <w:t xml:space="preserve">La distribuzione non conta;</w:t>
      </w:r>
      <w:r>
        <w:t xml:space="preserve"> </w:t>
      </w:r>
      <w:r>
        <w:rPr>
          <w:b/>
          <w:bCs/>
        </w:rPr>
        <w:t xml:space="preserve">la supervisione sì</w:t>
      </w:r>
      <w:r>
        <w:t xml:space="preserve"> </w:t>
      </w:r>
      <w:r>
        <w:t xml:space="preserve">— le pastiglie sono scese solo nei gruppi supervisionati.</w:t>
      </w:r>
      <w:r>
        <w:t xml:space="preserve"> </w:t>
      </w:r>
      <w:r>
        <w:rPr>
          <w:b/>
          <w:bCs/>
        </w:rPr>
        <w:t xml:space="preserve">Abbandono:</w:t>
      </w:r>
      <w:r>
        <w:t xml:space="preserve"> </w:t>
      </w:r>
      <w:r>
        <w:t xml:space="preserve">dal 3,7% a circa un paziente su quattro. Cosa succede quando smette:</w:t>
      </w:r>
      <w:r>
        <w:t xml:space="preserve"> </w:t>
      </w:r>
      <w:r>
        <w:rPr>
          <w:b/>
          <w:bCs/>
        </w:rPr>
        <w:t xml:space="preserve">nessuno l’ha misurato.</w:t>
      </w:r>
      <w:r>
        <w:t xml:space="preserve"> </w:t>
      </w:r>
      <w:r>
        <w:rPr>
          <w:b/>
          <w:bCs/>
        </w:rPr>
        <w:t xml:space="preserve">Lo stretching non è il ripiego del carico.</w:t>
      </w:r>
      <w:r>
        <w:t xml:space="preserve"> </w:t>
      </w:r>
      <w:r>
        <w:t xml:space="preserve">Nell’unica sintesi che ha separato i tipi di esercizio, l’allungamento andava verso l’</w:t>
      </w:r>
      <w:r>
        <w:rPr>
          <w:b/>
          <w:bCs/>
        </w:rPr>
        <w:t xml:space="preserve">aumento</w:t>
      </w:r>
      <w:r>
        <w:t xml:space="preserve"> </w:t>
      </w:r>
      <w:r>
        <w:t xml:space="preserve">della frequenza (+4,60), la resistenza verso la riduzione (−6,00). Certezza molto bassa.</w:t>
      </w:r>
      <w:r>
        <w:t xml:space="preserve"> </w:t>
      </w:r>
      <w:r>
        <w:rPr>
          <w:b/>
          <w:bCs/>
        </w:rPr>
        <w:t xml:space="preserve">Salto di popolazione:</w:t>
      </w:r>
      <w:r>
        <w:t xml:space="preserve"> </w:t>
      </w:r>
      <w:r>
        <w:t xml:space="preserve">misurati su impiegati e adulti di mezza età, non sull’anziano fragile, sull’adolescente o sulla gravida.</w:t>
      </w:r>
      <w:r>
        <w:t xml:space="preserve"> </w:t>
      </w:r>
      <w:r>
        <w:rPr>
          <w:b/>
          <w:bCs/>
        </w:rPr>
        <w:t xml:space="preserve">Nessuno dei numeri di Onan isola il rilassamento:</w:t>
      </w:r>
      <w:r>
        <w:t xml:space="preserve"> </w:t>
      </w:r>
      <w:r>
        <w:t xml:space="preserve">appartengono a raggruppamenti di più approcci, uno dei quali comprende l’elettroagopuntura.</w:t>
      </w:r>
      <w:r>
        <w:t xml:space="preserve"> </w:t>
      </w:r>
      <w:r>
        <w:rPr>
          <w:b/>
          <w:bCs/>
        </w:rPr>
        <w:t xml:space="preserve">Perché il rinforzo funzioni non lo sappiamo.</w:t>
      </w:r>
      <w:r>
        <w:t xml:space="preserve"> </w:t>
      </w:r>
      <w:r>
        <w:t xml:space="preserve">Dove l’ipoalgesia da esercizio è stata misurata, il carico dinamico ne produce poca nei sani, e l’isometrico nessuna nel dolore cronico (Wewege 2021 — su sani e dolore muscolo-scheletrico, non su questa cefalea).</w:t>
      </w:r>
    </w:p>
    <w:bookmarkEnd w:id="15"/>
    <w:bookmarkStart w:id="16" w:name="la-frase-per-il-paziente"/>
    <w:p>
      <w:pPr>
        <w:pStyle w:val="Heading2"/>
      </w:pPr>
      <w:r>
        <w:t xml:space="preserve">8 — La frase per il paziente</w:t>
      </w:r>
    </w:p>
    <w:p>
      <w:pPr>
        <w:pStyle w:val="FirstParagraph"/>
      </w:pPr>
      <w:r>
        <w:rPr>
          <w:i/>
          <w:iCs/>
        </w:rPr>
        <w:t xml:space="preserve">“La risonanza ha escluso le cose serie. Quello che ho trovato io non si vede nelle immagini: muscoli di collo, spalle e mandibola tesi per ore, che mandano segnale verso l’alto. Quando premo qui, lei riconosce il suo dolore: quello è il mio bersaglio. È un rubinetto che gocciola: nessuna goccia riempie niente, e a sera il lavandino è pieno. Io lavoro sul rubinetto. La terapia serale che le ha dato il medico non si tocca, e non ne parliamo né io né lei. Non le prometto che sparisce: le prometto che misuriamo se cambia, e in quanto tempo.”</w:t>
      </w:r>
    </w:p>
    <w:p>
      <w:pPr>
        <w:pStyle w:val="BodyText"/>
      </w:pPr>
      <w:r>
        <w:t xml:space="preserve">E la frase che chiude il colloquio:</w:t>
      </w:r>
      <w:r>
        <w:t xml:space="preserve"> </w:t>
      </w:r>
      <w:r>
        <w:rPr>
          <w:b/>
          <w:bCs/>
        </w:rPr>
        <w:t xml:space="preserve">“io lavoro sulla componente muscolare che ho trovato. Il mal di testa va comunque inquadrato dal suo medico, e nel frattempo io non aspetto.”</w:t>
      </w:r>
    </w:p>
    <w:p>
      <w:pPr>
        <w:pStyle w:val="BodyText"/>
      </w:pPr>
      <w:r>
        <w:rPr>
          <w:b/>
          <w:bCs/>
        </w:rPr>
        <w:t xml:space="preserve">Si racconta il reperto trovato, mai l’origine del sintomo.</w:t>
      </w:r>
      <w:r>
        <w:t xml:space="preserve"> </w:t>
      </w:r>
      <w:r>
        <w:t xml:space="preserve">Sull’educazione del paziente in questa condizione non esistono studi randomizzati: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 che esca.</w:t>
      </w:r>
      <w:r>
        <w:t xml:space="preserve"> </w:t>
      </w:r>
      <w:r>
        <w:t xml:space="preserve">Fastidio o indolenzimento per 24-48 ore: atteso, e si dice.</w:t>
      </w:r>
      <w:r>
        <w:t xml:space="preserve"> </w:t>
      </w:r>
      <w:r>
        <w:rPr>
          <w:b/>
          <w:bCs/>
        </w:rPr>
        <w:t xml:space="preserve">Non atteso, e si va in PS (112):</w:t>
      </w:r>
      <w:r>
        <w:t xml:space="preserve"> </w:t>
      </w:r>
      <w:r>
        <w:t xml:space="preserve">mal di testa o dolore al collo improvviso e diverso da tutti i suoi; vertigine, visione doppia, difficoltà a parlare, formicolio o debolezza a un braccio, instabilità nel camminare.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La revisione internazionale di riferimento ritiene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che i meccanismi periferici siano responsabili della genesi del dolore. E il dolore pericranico alla palpazione è correlato alla frequenza degli episodi, su 735 adulti della popolazione generale (Ashina S,</w:t>
      </w:r>
      <w:r>
        <w:t xml:space="preserve"> </w:t>
      </w:r>
      <w:r>
        <w:rPr>
          <w:i/>
          <w:iCs/>
        </w:rPr>
        <w:t xml:space="preserve">Nat Rev Dis Primers</w:t>
      </w:r>
      <w:r>
        <w:t xml:space="preserve"> </w:t>
      </w:r>
      <w:r>
        <w:t xml:space="preserve">2021, PMID 33767185; Jensen,</w:t>
      </w:r>
      <w:r>
        <w:t xml:space="preserve"> </w:t>
      </w:r>
      <w:r>
        <w:rPr>
          <w:i/>
          <w:iCs/>
        </w:rPr>
        <w:t xml:space="preserve">Pain</w:t>
      </w:r>
      <w:r>
        <w:t xml:space="preserve"> </w:t>
      </w:r>
      <w:r>
        <w:t xml:space="preserve">1993, PMID 8455967). Questo ti autorizza a dire che il bersaglio muscolo-scheletrico sta dentro la fisiopatologia riconosciuta di questa cefalea. Non ti autorizza a dedurne che il trattamento manuale funzioni, né a portare quell’argomento sul paziente cronico, che è proprio quello in cui la stessa fonte lo esclude.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rPr>
          <w:b/>
          <w:bCs/>
        </w:rPr>
        <w:t xml:space="preserve">Deviazioni dichiarate.</w:t>
      </w:r>
      <w:r>
        <w:t xml:space="preserve"> </w:t>
      </w:r>
      <w:r>
        <w:t xml:space="preserve">Il blocco 7 «Cosa fa il paziente da solo» (D-011) e il blocco 6 «Come decidi, e su cosa verifichi» (D-018) sono aggiunte allo schema a sei blocchi. Nuove in v2:</w:t>
      </w:r>
      <w:r>
        <w:t xml:space="preserve"> </w:t>
      </w:r>
      <w:r>
        <w:rPr>
          <w:b/>
          <w:bCs/>
        </w:rPr>
        <w:t xml:space="preserve">D-034</w:t>
      </w:r>
      <w:r>
        <w:t xml:space="preserve"> </w:t>
      </w:r>
      <w:r>
        <w:t xml:space="preserve">(disponibilità reale della prova della chiave di volta) e</w:t>
      </w:r>
      <w:r>
        <w:t xml:space="preserve"> </w:t>
      </w:r>
      <w:r>
        <w:rPr>
          <w:b/>
          <w:bCs/>
        </w:rPr>
        <w:t xml:space="preserve">D-035</w:t>
      </w:r>
      <w:r>
        <w:t xml:space="preserve"> </w:t>
      </w:r>
      <w:r>
        <w:t xml:space="preserve">(i tre stati governano il registro comunicativo, non l’attribuzione di dominanza). Nuova in v3:</w:t>
      </w:r>
      <w:r>
        <w:t xml:space="preserve"> </w:t>
      </w:r>
      <w:r>
        <w:rPr>
          <w:b/>
          <w:bCs/>
        </w:rPr>
        <w:t xml:space="preserve">D-036</w:t>
      </w:r>
      <w:r>
        <w:t xml:space="preserve"> </w:t>
      </w:r>
      <w:r>
        <w:t xml:space="preserve">(un sottotipo che cambia l’uscita del triage o il metodo di misura dell’esito non conta nel tetto dei 3-6, e si dichiara come cancello). Nuova in v4:</w:t>
      </w:r>
      <w:r>
        <w:t xml:space="preserve"> </w:t>
      </w:r>
      <w:r>
        <w:rPr>
          <w:b/>
          <w:bCs/>
        </w:rPr>
        <w:t xml:space="preserve">D-037</w:t>
      </w:r>
      <w:r>
        <w:t xml:space="preserve"> </w:t>
      </w:r>
      <w:r>
        <w:t xml:space="preserve">(l’ordine di peso dei modelli e l’ordine d’indagine della Road Map si leggono in parallelo; se non coincidono si dichiara perché, e non si dichiarano mai uguali).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2026-08-20T18:10:24Z</dcterms:created>
  <dcterms:modified xsi:type="dcterms:W3CDTF">2026-08-20T18:10:24Z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