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sciatalgia"/>
    <w:p>
      <w:pPr>
        <w:pStyle w:val="Heading1"/>
      </w:pPr>
      <w:r>
        <w:t xml:space="preserve">Mappa concettuale — Sciatalgia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Kika Konstantinou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Annina B. Schmid —</w:t>
      </w:r>
      <w:r>
        <w:t xml:space="preserve"> </w:t>
      </w:r>
      <w:r>
        <w:rPr>
          <w:b/>
          <w:bCs/>
        </w:rPr>
        <w:t xml:space="preserve">v7.0 finale</w:t>
      </w:r>
      <w:r>
        <w:t xml:space="preserve"> </w:t>
      </w:r>
      <w:r>
        <w:t xml:space="preserve">·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Non è una malattia, è un sintomo: dolore che si irradia lungo il territorio di una radice lombosacrale, per compressione e infiammazione della radice.</w:t>
      </w:r>
      <w:r>
        <w:t xml:space="preserve"> </w:t>
      </w:r>
      <w:r>
        <w:t xml:space="preserve">Le stime di quante persone l’abbiano avuta vanno da una su cento a più di quattro su dieci, perché ogni studio la definisce in modo diverso.</w:t>
      </w:r>
      <w:r>
        <w:t xml:space="preserve"> </w:t>
      </w:r>
      <w:r>
        <w:t xml:space="preserve">A dodici mesi è migliorato il 55% dei pazienti di medicina generale; sette estrusioni su dieci si riassorbono da sole.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2"/>
      </w:pPr>
      <w:r>
        <w:t xml:space="preserve">2 · La catena causale</w:t>
      </w:r>
    </w:p>
    <w:p>
      <w:pPr>
        <w:pStyle w:val="FirstParagraph"/>
      </w:pPr>
      <w:r>
        <w:rPr>
          <w:rStyle w:val="VerbatimChar"/>
        </w:rPr>
        <w:t xml:space="preserve">materiale discale nel forame → compressione della radice a 20-30 mmHg → infiammazione che arriva al ganglio → perdita di scorrimento del nervo → dolore lungo una linea, formicolio, scarica alla tosse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Radice schiacciata e infiammata</w:t>
            </w:r>
          </w:p>
        </w:tc>
        <w:tc>
          <w:tcPr/>
          <w:p>
            <w:pPr>
              <w:pStyle w:val="Compact"/>
            </w:pPr>
            <w:r>
              <w:t xml:space="preserve">Linea stretta, scarica alla tosse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Nervo che non scorre più</w:t>
            </w:r>
          </w:p>
        </w:tc>
        <w:tc>
          <w:tcPr/>
          <w:p>
            <w:pPr>
              <w:pStyle w:val="Compact"/>
            </w:pPr>
            <w:r>
              <w:t xml:space="preserve">La dorsiflessione riproduce, a SLR fermo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Nervo disturbato nel gluteo</w:t>
            </w:r>
          </w:p>
        </w:tc>
        <w:tc>
          <w:tcPr/>
          <w:p>
            <w:pPr>
              <w:pStyle w:val="Compact"/>
            </w:pPr>
            <w:r>
              <w:t xml:space="preserve">Punto profondo, nessuna scarica alla tosse</w:t>
            </w:r>
          </w:p>
        </w:tc>
        <w:tc>
          <w:tcPr/>
          <w:p>
            <w:pPr>
              <w:pStyle w:val="Compact"/>
            </w:pPr>
            <w:r>
              <w:t xml:space="preserve">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Carico che non cambia posizione</w:t>
            </w:r>
          </w:p>
        </w:tc>
        <w:tc>
          <w:tcPr/>
          <w:p>
            <w:pPr>
              <w:pStyle w:val="Compact"/>
            </w:pPr>
            <w:r>
              <w:t xml:space="preserve">Male dopo un tempo prevedibile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abbassata e paura</w:t>
            </w:r>
          </w:p>
        </w:tc>
        <w:tc>
          <w:tcPr/>
          <w:p>
            <w:pPr>
              <w:pStyle w:val="Compact"/>
            </w:pPr>
            <w:r>
              <w:t xml:space="preserve">Reperto piccolo e quadro grande</w:t>
            </w:r>
          </w:p>
        </w:tc>
        <w:tc>
          <w:tcPr/>
          <w:p>
            <w:pPr>
              <w:pStyle w:val="Compact"/>
            </w:pPr>
            <w:r>
              <w:t xml:space="preserve">DIMOSTRATO come predittore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mani hanno una leva su tutti e cinque, e nessuna etichetta di leva arriva a DIMOSTRATO.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Riferito somatico</w:t>
            </w:r>
          </w:p>
        </w:tc>
        <w:tc>
          <w:tcPr/>
          <w:p>
            <w:pPr>
              <w:pStyle w:val="Compact"/>
            </w:pPr>
            <w:r>
              <w:t xml:space="preserve">Dolore largo sopra il ginocchio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Extraspinale gluteo</w:t>
            </w:r>
          </w:p>
        </w:tc>
        <w:tc>
          <w:tcPr/>
          <w:p>
            <w:pPr>
              <w:pStyle w:val="Compact"/>
            </w:pPr>
            <w:r>
              <w:t xml:space="preserve">Parte dal gluteo, nessuna scarica alla tosse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Radicolare discale</w:t>
            </w:r>
          </w:p>
        </w:tc>
        <w:tc>
          <w:tcPr/>
          <w:p>
            <w:pPr>
              <w:pStyle w:val="Compact"/>
            </w:pPr>
            <w:r>
              <w:t xml:space="preserve">Linea stretta sotto il ginocchio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Compressione risolta, gamba sintomatica</w:t>
            </w:r>
          </w:p>
        </w:tc>
        <w:tc>
          <w:tcPr/>
          <w:p>
            <w:pPr>
              <w:pStyle w:val="Compact"/>
            </w:pPr>
            <w:r>
              <w:t xml:space="preserve">Mesi, referto pulito, bruciore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Cronico con segni centrali</w:t>
            </w:r>
          </w:p>
        </w:tc>
        <w:tc>
          <w:tcPr/>
          <w:p>
            <w:pPr>
              <w:pStyle w:val="Compact"/>
            </w:pPr>
            <w:r>
              <w:t xml:space="preserve">Ipersensibilità oltre il territorio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Stenosi del recesso</w:t>
            </w:r>
          </w:p>
        </w:tc>
        <w:tc>
          <w:tcPr/>
          <w:p>
            <w:pPr>
              <w:pStyle w:val="Compact"/>
            </w:pPr>
            <w:r>
              <w:t xml:space="preserve">Migliora piegandosi in avanti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deficit progressivo</w:t>
            </w:r>
          </w:p>
        </w:tc>
        <w:tc>
          <w:tcPr/>
          <w:p>
            <w:pPr>
              <w:pStyle w:val="Compact"/>
            </w:pPr>
            <w:r>
              <w:t xml:space="preserve">Forza che cala ogni settimana</w:t>
            </w:r>
          </w:p>
        </w:tc>
        <w:tc>
          <w:tcPr/>
          <w:p>
            <w:pPr>
              <w:pStyle w:val="Compact"/>
            </w:pPr>
            <w:r>
              <w:t xml:space="preserve">Niente: invio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Sull’extraspinale gluteo la parola è «neuropatico per presentazione»: nella maggior parte dei casi pubblicati il quadro è miofasciale, e nessun test lo separa da una neuropatia.</w:t>
      </w:r>
    </w:p>
    <w:p>
      <w:pPr>
        <w:pStyle w:val="BodyText"/>
      </w:pPr>
      <w:r>
        <w:rPr>
          <w:b/>
          <w:bCs/>
        </w:rPr>
        <w:t xml:space="preserve">Condizioni associate:</w:t>
      </w:r>
      <w:r>
        <w:t xml:space="preserve"> </w:t>
      </w:r>
      <w:r>
        <w:t xml:space="preserve">Lombalgia · Ernia del disco · Dolore sacroiliaco · Trocanterite.</w:t>
      </w:r>
    </w:p>
    <w:p>
      <w:r>
        <w:pict>
          <v:rect style="width:0;height:1.5pt" o:hralign="center" o:hrstd="t" o:hr="t"/>
        </w:pict>
      </w:r>
    </w:p>
    <w:bookmarkEnd w:id="12"/>
    <w:bookmarkStart w:id="13" w:name="cosa-fa-il-paziente-da-solo"/>
    <w:p>
      <w:pPr>
        <w:pStyle w:val="Heading2"/>
      </w:pPr>
      <w:r>
        <w:t xml:space="preserve">5 · Cosa fa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cosa agisce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Restare in movimento, non a letto</w:t>
            </w:r>
          </w:p>
        </w:tc>
        <w:tc>
          <w:tcPr/>
          <w:p>
            <w:pPr>
              <w:pStyle w:val="Compact"/>
            </w:pPr>
            <w:r>
              <w:t xml:space="preserve">Soglia e carico</w:t>
            </w:r>
          </w:p>
        </w:tc>
        <w:tc>
          <w:tcPr/>
          <w:p>
            <w:pPr>
              <w:pStyle w:val="Compact"/>
            </w:pPr>
            <w:r>
              <w:t xml:space="preserve">DIMOSTRATO (come dato negativo)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Esercizio strutturato</w:t>
            </w:r>
          </w:p>
        </w:tc>
        <w:tc>
          <w:tcPr/>
          <w:p>
            <w:pPr>
              <w:pStyle w:val="Compact"/>
            </w:pPr>
            <w:r>
              <w:t xml:space="preserve">Scorrimento e carico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Educazione più esposizione</w:t>
            </w:r>
          </w:p>
        </w:tc>
        <w:tc>
          <w:tcPr/>
          <w:p>
            <w:pPr>
              <w:pStyle w:val="Compact"/>
            </w:pPr>
            <w:r>
              <w:t xml:space="preserve">Soglia e paura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Nella sciatalgia restare attivi pareggia il riposo a letto sul dolore, non lo batte.</w:t>
      </w:r>
      <w:r>
        <w:t xml:space="preserve"> </w:t>
      </w:r>
      <w:r>
        <w:rPr>
          <w:b/>
          <w:bCs/>
        </w:rPr>
        <w:t xml:space="preserve">La respirazione non è uno strumento attivo di questa condizione: non esiste nessuno studio controllato.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"/>
    <w:p>
      <w:pPr>
        <w:pStyle w:val="Heading2"/>
      </w:pPr>
      <w:r>
        <w:t xml:space="preserve">6 · Le bandiere rosse</w:t>
      </w:r>
    </w:p>
    <w:p>
      <w:pPr>
        <w:pStyle w:val="Compact"/>
        <w:numPr>
          <w:ilvl w:val="0"/>
          <w:numId w:val="1001"/>
        </w:numPr>
      </w:pPr>
      <w:r>
        <w:t xml:space="preserve">Ritenzione o incontinenza urinaria nuova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112</w:t>
      </w:r>
    </w:p>
    <w:p>
      <w:pPr>
        <w:pStyle w:val="Compact"/>
        <w:numPr>
          <w:ilvl w:val="0"/>
          <w:numId w:val="1001"/>
        </w:numPr>
      </w:pPr>
      <w:r>
        <w:t xml:space="preserve">Perdita di sensibilità a sella o genitali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112</w:t>
      </w:r>
    </w:p>
    <w:p>
      <w:pPr>
        <w:pStyle w:val="Compact"/>
        <w:numPr>
          <w:ilvl w:val="0"/>
          <w:numId w:val="1001"/>
        </w:numPr>
      </w:pPr>
      <w:r>
        <w:t xml:space="preserve">Sciatalgia bilaterale comparsa di colpo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112</w:t>
      </w:r>
    </w:p>
    <w:p>
      <w:pPr>
        <w:pStyle w:val="Compact"/>
        <w:numPr>
          <w:ilvl w:val="0"/>
          <w:numId w:val="1001"/>
        </w:numPr>
      </w:pPr>
      <w:r>
        <w:t xml:space="preserve">Difficoltà nuova a controllare le feci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112</w:t>
      </w:r>
    </w:p>
    <w:p>
      <w:pPr>
        <w:pStyle w:val="Compact"/>
        <w:numPr>
          <w:ilvl w:val="0"/>
          <w:numId w:val="1001"/>
        </w:numPr>
      </w:pPr>
      <w:r>
        <w:t xml:space="preserve">Anticoagulante o piastrinopenia, dolore spinale improvviso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112</w:t>
      </w:r>
    </w:p>
    <w:p>
      <w:pPr>
        <w:pStyle w:val="Compact"/>
        <w:numPr>
          <w:ilvl w:val="0"/>
          <w:numId w:val="1001"/>
        </w:numPr>
      </w:pPr>
      <w:r>
        <w:t xml:space="preserve">Piede cadente o forza che crolla →</w:t>
      </w:r>
      <w:r>
        <w:t xml:space="preserve"> </w:t>
      </w:r>
      <w:r>
        <w:rPr>
          <w:b/>
          <w:bCs/>
        </w:rPr>
        <w:t xml:space="preserve">pronto soccorso, via neurochirurgica</w:t>
      </w:r>
      <w:r>
        <w:t xml:space="preserve"> </w:t>
      </w:r>
      <w:r>
        <w:t xml:space="preserve">→ urgente</w:t>
      </w:r>
    </w:p>
    <w:p>
      <w:pPr>
        <w:pStyle w:val="Compact"/>
        <w:numPr>
          <w:ilvl w:val="0"/>
          <w:numId w:val="1001"/>
        </w:numPr>
      </w:pPr>
      <w:r>
        <w:t xml:space="preserve">Forza che cala di settimana in settimana →</w:t>
      </w:r>
      <w:r>
        <w:t xml:space="preserve"> </w:t>
      </w:r>
      <w:r>
        <w:rPr>
          <w:b/>
          <w:bCs/>
        </w:rPr>
        <w:t xml:space="preserve">pronto soccorso, via neurochirurgica</w:t>
      </w:r>
      <w:r>
        <w:t xml:space="preserve"> </w:t>
      </w:r>
      <w:r>
        <w:t xml:space="preserve">→ urgente</w:t>
      </w:r>
    </w:p>
    <w:p>
      <w:pPr>
        <w:pStyle w:val="Compact"/>
        <w:numPr>
          <w:ilvl w:val="0"/>
          <w:numId w:val="1001"/>
        </w:numPr>
      </w:pPr>
      <w:r>
        <w:t xml:space="preserve">Dolore spinale notturno con fattore di rischio infettivo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urgente</w:t>
      </w:r>
    </w:p>
    <w:p>
      <w:pPr>
        <w:pStyle w:val="Compact"/>
        <w:numPr>
          <w:ilvl w:val="0"/>
          <w:numId w:val="1001"/>
        </w:numPr>
      </w:pPr>
      <w:r>
        <w:t xml:space="preserve">Massa addominale pulsante, o dolore non meccanico vascolare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urgente</w:t>
      </w:r>
    </w:p>
    <w:p>
      <w:pPr>
        <w:pStyle w:val="Compact"/>
        <w:numPr>
          <w:ilvl w:val="0"/>
          <w:numId w:val="1001"/>
        </w:numPr>
      </w:pPr>
      <w:r>
        <w:t xml:space="preserve">Storia oncologica, dolore nuovo con segni neurologici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urgente</w:t>
      </w:r>
    </w:p>
    <w:p>
      <w:pPr>
        <w:pStyle w:val="Compact"/>
        <w:numPr>
          <w:ilvl w:val="0"/>
          <w:numId w:val="1001"/>
        </w:numPr>
      </w:pPr>
      <w:r>
        <w:t xml:space="preserve">Storia oncologica e dolore nuovo, senza segni neurologici →</w:t>
      </w:r>
      <w:r>
        <w:t xml:space="preserve"> </w:t>
      </w:r>
      <w:r>
        <w:rPr>
          <w:b/>
          <w:bCs/>
        </w:rPr>
        <w:t xml:space="preserve">curante</w:t>
      </w:r>
      <w:r>
        <w:t xml:space="preserve"> </w:t>
      </w:r>
      <w:r>
        <w:t xml:space="preserve">→ invio, non attendere</w:t>
      </w:r>
    </w:p>
    <w:p>
      <w:pPr>
        <w:pStyle w:val="Compact"/>
        <w:numPr>
          <w:ilvl w:val="0"/>
          <w:numId w:val="1001"/>
        </w:numPr>
      </w:pPr>
      <w:r>
        <w:t xml:space="preserve">Dolore notturno crescente e calo di peso →</w:t>
      </w:r>
      <w:r>
        <w:t xml:space="preserve"> </w:t>
      </w:r>
      <w:r>
        <w:rPr>
          <w:b/>
          <w:bCs/>
        </w:rPr>
        <w:t xml:space="preserve">curante</w:t>
      </w:r>
      <w:r>
        <w:t xml:space="preserve"> </w:t>
      </w:r>
      <w:r>
        <w:t xml:space="preserve">→ invio, non attendere</w:t>
      </w:r>
    </w:p>
    <w:p>
      <w:pPr>
        <w:pStyle w:val="Compact"/>
        <w:numPr>
          <w:ilvl w:val="0"/>
          <w:numId w:val="1001"/>
        </w:numPr>
      </w:pPr>
      <w:r>
        <w:t xml:space="preserve">Trauma, osteoporosi o cortisone prolungato →</w:t>
      </w:r>
      <w:r>
        <w:t xml:space="preserve"> </w:t>
      </w:r>
      <w:r>
        <w:rPr>
          <w:b/>
          <w:bCs/>
        </w:rPr>
        <w:t xml:space="preserve">curante, via radiologica</w:t>
      </w:r>
      <w:r>
        <w:t xml:space="preserve"> </w:t>
      </w:r>
      <w:r>
        <w:t xml:space="preserve">→ invio, non attendere</w:t>
      </w:r>
    </w:p>
    <w:p>
      <w:pPr>
        <w:pStyle w:val="Compact"/>
        <w:numPr>
          <w:ilvl w:val="0"/>
          <w:numId w:val="1001"/>
        </w:numPr>
      </w:pPr>
      <w:r>
        <w:t xml:space="preserve">Deficit motorio obiettivo (MRC ≤ 4/5), anche stabile →</w:t>
      </w:r>
      <w:r>
        <w:t xml:space="preserve"> </w:t>
      </w:r>
      <w:r>
        <w:rPr>
          <w:b/>
          <w:bCs/>
        </w:rPr>
        <w:t xml:space="preserve">curante, via neurochirurgica</w:t>
      </w:r>
      <w:r>
        <w:t xml:space="preserve"> </w:t>
      </w:r>
      <w:r>
        <w:t xml:space="preserve">→ invio, non attendere</w:t>
      </w:r>
    </w:p>
    <w:p>
      <w:pPr>
        <w:pStyle w:val="Compact"/>
        <w:numPr>
          <w:ilvl w:val="0"/>
          <w:numId w:val="1001"/>
        </w:numPr>
      </w:pPr>
      <w:r>
        <w:t xml:space="preserve">Deficit sensitivo stabile, un territorio, forza conservata →</w:t>
      </w:r>
      <w:r>
        <w:t xml:space="preserve"> </w:t>
      </w:r>
      <w:r>
        <w:rPr>
          <w:b/>
          <w:bCs/>
        </w:rPr>
        <w:t xml:space="preserve">curante</w:t>
      </w:r>
      <w:r>
        <w:t xml:space="preserve"> </w:t>
      </w:r>
      <w:r>
        <w:t xml:space="preserve">→ invio</w:t>
      </w:r>
    </w:p>
    <w:p>
      <w:pPr>
        <w:pStyle w:val="Compact"/>
        <w:numPr>
          <w:ilvl w:val="0"/>
          <w:numId w:val="1001"/>
        </w:numPr>
      </w:pPr>
      <w:r>
        <w:t xml:space="preserve">Sciatalgia oltre dodici settimane mai inquadrata →</w:t>
      </w:r>
      <w:r>
        <w:t xml:space="preserve"> </w:t>
      </w:r>
      <w:r>
        <w:rPr>
          <w:b/>
          <w:bCs/>
        </w:rPr>
        <w:t xml:space="preserve">curante</w:t>
      </w:r>
      <w:r>
        <w:t xml:space="preserve"> </w:t>
      </w:r>
      <w:r>
        <w:t xml:space="preserve">→ invio programmato</w:t>
      </w:r>
    </w:p>
    <w:p>
      <w:pPr>
        <w:pStyle w:val="FirstParagraph"/>
      </w:pPr>
      <w:r>
        <w:t xml:space="preserve">La domanda su vescica, sella e feci si fa a ogni paziente, ogni volta che il quadro cambia, e si scrive. Vale doppio nelle 48 ore dopo una seduta.</w:t>
      </w:r>
    </w:p>
    <w:p>
      <w:r>
        <w:pict>
          <v:rect style="width:0;height:1.5pt" o:hralign="center" o:hrstd="t" o:hr="t"/>
        </w:pict>
      </w:r>
    </w:p>
    <w:bookmarkEnd w:id="14"/>
    <w:bookmarkStart w:id="15" w:name="come-decidi-e-su-cosa-verifichi"/>
    <w:p>
      <w:pPr>
        <w:pStyle w:val="Heading2"/>
      </w:pPr>
      <w:r>
        <w:t xml:space="preserve">7 · Come decidi, e su cosa verifichi</w:t>
      </w:r>
    </w:p>
    <w:p>
      <w:pPr>
        <w:pStyle w:val="FirstParagraph"/>
      </w:pPr>
      <w:r>
        <w:rPr>
          <w:b/>
          <w:bCs/>
        </w:rPr>
        <w:t xml:space="preserve">Road map:</w:t>
      </w:r>
      <w:r>
        <w:t xml:space="preserve"> </w:t>
      </w:r>
      <w:r>
        <w:t xml:space="preserve">bandiera rossa → radicolare o riferito somatico → livello di attivazione → dove il nervo è disturbato lungo la strada → quanto scorrimento resta → quale posizione della giornata lo tiene in piedi.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 che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 di comparsa del sintomo distale (SLR)</w:t>
            </w:r>
          </w:p>
        </w:tc>
        <w:tc>
          <w:tcPr/>
          <w:p>
            <w:pPr>
              <w:pStyle w:val="Compact"/>
            </w:pPr>
            <w:r>
              <w:t xml:space="preserve">+ 20°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Differenziazione strutturale</w:t>
            </w:r>
          </w:p>
        </w:tc>
        <w:tc>
          <w:tcPr/>
          <w:p>
            <w:pPr>
              <w:pStyle w:val="Compact"/>
            </w:pPr>
            <w:r>
              <w:t xml:space="preserve">Da positiva a negativa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interna d’anca</w:t>
            </w:r>
          </w:p>
        </w:tc>
        <w:tc>
          <w:tcPr/>
          <w:p>
            <w:pPr>
              <w:pStyle w:val="Compact"/>
            </w:pPr>
            <w:r>
              <w:t xml:space="preserve">+ 10°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Flessione lombare, dita-suolo</w:t>
            </w:r>
          </w:p>
        </w:tc>
        <w:tc>
          <w:tcPr/>
          <w:p>
            <w:pPr>
              <w:pStyle w:val="Compact"/>
            </w:pPr>
            <w:r>
              <w:t xml:space="preserve">− 5 cm</w:t>
            </w:r>
          </w:p>
        </w:tc>
      </w:tr>
    </w:tbl>
    <w:p>
      <w:pPr>
        <w:pStyle w:val="BodyText"/>
      </w:pPr>
      <w:r>
        <w:rPr>
          <w:b/>
          <w:bCs/>
        </w:rPr>
        <w:t xml:space="preserve">Gli ultimi due sono la coppia della prova: usi quello del piano che non hai trattato.</w:t>
      </w:r>
      <w:r>
        <w:t xml:space="preserve"> </w:t>
      </w:r>
      <w:r>
        <w:rPr>
          <w:b/>
          <w:bCs/>
        </w:rPr>
        <w:t xml:space="preserve">Un marker che non si muove falsifica l’ipotesi; uno che si muove non la conferma.</w:t>
      </w:r>
      <w:r>
        <w:t xml:space="preserve"> </w:t>
      </w:r>
      <w:r>
        <w:rPr>
          <w:b/>
          <w:bCs/>
        </w:rPr>
        <w:t xml:space="preserve">La soglia di pressione su sito remoto non ha soglia numerica, e dopo una manipolazione non è più un piano non trattato.</w:t>
      </w:r>
    </w:p>
    <w:p>
      <w:r>
        <w:pict>
          <v:rect style="width:0;height:1.5pt" o:hralign="center" o:hrstd="t" o:hr="t"/>
        </w:pict>
      </w:r>
    </w:p>
    <w:bookmarkEnd w:id="15"/>
    <w:bookmarkStart w:id="16" w:name="la-frase-per-il-paziente"/>
    <w:p>
      <w:pPr>
        <w:pStyle w:val="Heading2"/>
      </w:pPr>
      <w:r>
        <w:t xml:space="preserve">8 · La frase per il paziente</w:t>
      </w:r>
    </w:p>
    <w:p>
      <w:pPr>
        <w:pStyle w:val="FirstParagraph"/>
      </w:pPr>
      <w:r>
        <w:rPr>
          <w:i/>
          <w:iCs/>
        </w:rPr>
        <w:t xml:space="preserve">“Il dolore ti dice dove il nervo soffre, non dove viene disturbato.”</w:t>
      </w:r>
    </w:p>
    <w:p>
      <w:r>
        <w:pict>
          <v:rect style="width:0;height:1.5pt" o:hralign="center" o:hrstd="t" o:hr="t"/>
        </w:pict>
      </w:r>
    </w:p>
    <w:bookmarkEnd w:id="16"/>
    <w:bookmarkStart w:id="17" w:name="perché-ci-sei-tu"/>
    <w:p>
      <w:pPr>
        <w:pStyle w:val="Heading2"/>
      </w:pPr>
      <w:r>
        <w:t xml:space="preserve">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Diciotto studi controllati e 2.699 pazienti con sciatalgia non hanno trovato differenza fra gli interventi di fisioterapia e i controlli sui totali, a nessuna distanza di tempo (Dove e Schmid,</w:t>
      </w:r>
      <w:r>
        <w:t xml:space="preserve"> </w:t>
      </w:r>
      <w:r>
        <w:rPr>
          <w:i/>
          <w:iCs/>
        </w:rPr>
        <w:t xml:space="preserve">Eur Spine J</w:t>
      </w:r>
      <w:r>
        <w:t xml:space="preserve"> </w:t>
      </w:r>
      <w:r>
        <w:t xml:space="preserve">2023, PMID 36580149). Questo ti autorizza a lavorare per verifica sul singolo paziente, con un marker scelto prima e una scadenza scritta. Non ti autorizza a dire che il tuo trattamento è provato su questa condizione: non lo è.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Blocchi 5 e 7 secondo le deviazioni D-011 e D-018.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2026-08-19T19:14:42Z</dcterms:created>
  <dcterms:modified xsi:type="dcterms:W3CDTF">2026-08-19T19:14:42Z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