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9" w:name="mappa-concettuale-pseudoscoliosi"/>
    <w:p>
      <w:pPr>
        <w:pStyle w:val="Heading1"/>
      </w:pPr>
      <w:r>
        <w:t xml:space="preserve">Mappa concettuale — Pseudoscoliosi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Stefano Negrini (SOSORT) ·</w:t>
      </w:r>
      <w:r>
        <w:t xml:space="preserve"> </w:t>
      </w:r>
      <w:r>
        <w:rPr>
          <w:b/>
          <w:bCs/>
        </w:rPr>
        <w:t xml:space="preserve">Ancora di misura:</w:t>
      </w:r>
      <w:r>
        <w:t xml:space="preserve"> </w:t>
      </w:r>
      <w:r>
        <w:t xml:space="preserve">Aulisa e Côté —</w:t>
      </w:r>
      <w:r>
        <w:t xml:space="preserve"> </w:t>
      </w:r>
      <w:r>
        <w:rPr>
          <w:b/>
          <w:bCs/>
        </w:rPr>
        <w:t xml:space="preserve">v7.0 (revisione di lingua)</w:t>
      </w:r>
      <w:r>
        <w:t xml:space="preserve">,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Deviazione laterale del tronco che non soddisfa i criteri radiografici di scoliosi: sotto i 10 gradi Cobb, oppure riducibile cambiando posizione. La parola non si usa prima della lastra.</w:t>
      </w:r>
      <w:r>
        <w:t xml:space="preserve"> </w:t>
      </w:r>
      <w:r>
        <w:t xml:space="preserve">Oltre i 60 anni la curva è la norma statistica (68%). In crescita è un cancello di triage. Oltre i 70, una piega</w:t>
      </w:r>
      <w:r>
        <w:t xml:space="preserve"> </w:t>
      </w:r>
      <w:r>
        <w:rPr>
          <w:b/>
          <w:bCs/>
        </w:rPr>
        <w:t xml:space="preserve">nuova</w:t>
      </w:r>
      <w:r>
        <w:t xml:space="preserve"> </w:t>
      </w:r>
      <w:r>
        <w:t xml:space="preserve">è un’uscita al triage, non un quadro.</w:t>
      </w:r>
      <w:r>
        <w:t xml:space="preserve"> </w:t>
      </w:r>
      <w:r>
        <w:t xml:space="preserve">Sul decorso spontaneo della deviazione riducibile dell’adulto</w:t>
      </w:r>
      <w:r>
        <w:t xml:space="preserve"> </w:t>
      </w:r>
      <w:r>
        <w:rPr>
          <w:b/>
          <w:bCs/>
        </w:rPr>
        <w:t xml:space="preserve">non esiste letteratura</w:t>
      </w:r>
      <w:r>
        <w:t xml:space="preserve">. In crescita, fra le deviazioni sotto i 10 gradi</w:t>
      </w:r>
      <w:r>
        <w:t xml:space="preserve"> </w:t>
      </w:r>
      <w:r>
        <w:rPr>
          <w:b/>
          <w:bCs/>
        </w:rPr>
        <w:t xml:space="preserve">già individuate da uno screening</w:t>
      </w:r>
      <w:r>
        <w:t xml:space="preserve">, il 35,8% è aumentato di almeno 5 gradi in dieci anni: gradi in più, non passaggio a scoliosi.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base inclinata (anatomica o funzionale) · anca senza corsa · bacino che non tiene su una gamba sola → piano sacrale obliquo → la colonna si inclina sopra → un lato smette di alternare → dolore unilaterale a fine giornata</w:t>
      </w:r>
    </w:p>
    <w:p>
      <w:pPr>
        <w:pStyle w:val="BodyText"/>
      </w:pPr>
      <w:r>
        <w:t xml:space="preserve">Il dolore non alza il tono:</w:t>
      </w:r>
      <w:r>
        <w:t xml:space="preserve"> </w:t>
      </w:r>
      <w:r>
        <w:rPr>
          <w:b/>
          <w:bCs/>
        </w:rPr>
        <w:t xml:space="preserve">ridistribuisce il carico e riduce l’alternanza</w:t>
      </w:r>
      <w:r>
        <w:t xml:space="preserve">. Quello che palpi non è un lato più duro, è un lato che non alterna.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curva che difende una radice</w:t>
            </w:r>
          </w:p>
        </w:tc>
        <w:tc>
          <w:tcPr/>
          <w:p>
            <w:pPr>
              <w:pStyle w:val="Compact"/>
            </w:pPr>
            <w:r>
              <w:t xml:space="preserve">Esordio in settimane, dolore all’arto</w:t>
            </w:r>
          </w:p>
        </w:tc>
        <w:tc>
          <w:tcPr/>
          <w:p>
            <w:pPr>
              <w:pStyle w:val="Compact"/>
            </w:pPr>
            <w:r>
              <w:t xml:space="preserve">DIMOSTRATO (frequenza) / IPOTESI (rientro spontaneo)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base inclinata, anatomica e funzionale</w:t>
            </w:r>
          </w:p>
        </w:tc>
        <w:tc>
          <w:tcPr/>
          <w:p>
            <w:pPr>
              <w:pStyle w:val="Compact"/>
            </w:pPr>
            <w:r>
              <w:t xml:space="preserve">Si livella da seduto; cambia dopo che hai lavorato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lato che paga, e il lato che non tiene</w:t>
            </w:r>
          </w:p>
        </w:tc>
        <w:tc>
          <w:tcPr/>
          <w:p>
            <w:pPr>
              <w:pStyle w:val="Compact"/>
            </w:pPr>
            <w:r>
              <w:t xml:space="preserve">Dolore sempre dallo stesso lato, legato alla durata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  <w:r>
              <w:t xml:space="preserve"> </w:t>
            </w:r>
            <w:r>
              <w:rPr>
                <w:i/>
                <w:iCs/>
              </w:rPr>
              <w:t xml:space="preserve">(prove contrarie)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L’anca che non gira</w:t>
            </w:r>
          </w:p>
        </w:tc>
        <w:tc>
          <w:tcPr/>
          <w:p>
            <w:pPr>
              <w:pStyle w:val="Compact"/>
            </w:pPr>
            <w:r>
              <w:t xml:space="preserve">Rotazione diversa fra i due lati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  <w:r>
              <w:t xml:space="preserve"> </w:t>
            </w:r>
            <w:r>
              <w:rPr>
                <w:i/>
                <w:iCs/>
              </w:rPr>
              <w:t xml:space="preserve">(54 studi: l’anca gira meno)</w:t>
            </w:r>
            <w:r>
              <w:t xml:space="preserve"> </w:t>
            </w:r>
            <w:r>
              <w:t xml:space="preserve">/ IPOTESI</w:t>
            </w:r>
            <w:r>
              <w:t xml:space="preserve"> </w:t>
            </w:r>
            <w:r>
              <w:rPr>
                <w:i/>
                <w:iCs/>
              </w:rPr>
              <w:t xml:space="preserve">(prove contrarie)</w:t>
            </w:r>
            <w:r>
              <w:t xml:space="preserve"> </w:t>
            </w:r>
            <w:r>
              <w:t xml:space="preserve">sul trasferimento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L’asse perduto e la parola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“Mi sento storto”</w:t>
            </w:r>
            <w:r>
              <w:t xml:space="preserve">, etichetta antica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  <w:r>
              <w:t xml:space="preserve"> </w:t>
            </w:r>
            <w:r>
              <w:rPr>
                <w:i/>
                <w:iCs/>
              </w:rPr>
              <w:t xml:space="preserve">(l’alterazione percettiva esiste, e l’etichetta cambia le intenzioni)</w:t>
            </w:r>
            <w:r>
              <w:t xml:space="preserve"> </w:t>
            </w:r>
            <w:r>
              <w:t xml:space="preserve">/ IPOTESI sul resto</w:t>
            </w:r>
          </w:p>
        </w:tc>
      </w:tr>
    </w:tbl>
    <w:p>
      <w:pPr>
        <w:pStyle w:val="BodyText"/>
      </w:pPr>
      <w:r>
        <w:t xml:space="preserve">Con due etichette l’affermazione si scompone: la prima vale sull’anello misurato, la seconda su quello successivo. Il rientro della deviazione antalgica è documentato</w:t>
      </w:r>
      <w:r>
        <w:t xml:space="preserve"> </w:t>
      </w:r>
      <w:r>
        <w:rPr>
          <w:b/>
          <w:bCs/>
        </w:rPr>
        <w:t xml:space="preserve">dopo discectomia</w:t>
      </w:r>
      <w:r>
        <w:t xml:space="preserve">.</w:t>
      </w:r>
    </w:p>
    <w:p>
      <w:pPr>
        <w:pStyle w:val="BodyText"/>
      </w:pPr>
      <w:r>
        <w:t xml:space="preserve">Sul quinto meccanismo, la discriminazione fra due punti in lombare è peggiore di</w:t>
      </w:r>
      <w:r>
        <w:t xml:space="preserve"> </w:t>
      </w:r>
      <w:r>
        <w:rPr>
          <w:b/>
          <w:bCs/>
        </w:rPr>
        <w:t xml:space="preserve">11,74 mm</w:t>
      </w:r>
      <w:r>
        <w:t xml:space="preserve"> </w:t>
      </w:r>
      <w:r>
        <w:t xml:space="preserve">in media in chi ha dolore persistente (meta-analisi, 19 studi, 547 pazienti). L’alterazione esiste ed è quantificata. Che abbia causato il dolore, no.</w:t>
      </w:r>
    </w:p>
    <w:p>
      <w:r>
        <w:pict>
          <v:rect style="width:0;height:1.5pt" o:hralign="center" o:hrstd="t" o:hr="t"/>
        </w:pict>
      </w:r>
    </w:p>
    <w:bookmarkEnd w:id="11"/>
    <w:bookmarkStart w:id="12" w:name="i-quadri-e-chi-comanda"/>
    <w:p>
      <w:pPr>
        <w:pStyle w:val="Heading2"/>
      </w:pPr>
      <w:r>
        <w:t xml:space="preserve">4 · I quadri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Quadro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Antalgico recente</w:t>
            </w:r>
          </w:p>
        </w:tc>
        <w:tc>
          <w:tcPr/>
          <w:p>
            <w:pPr>
              <w:pStyle w:val="Compact"/>
            </w:pPr>
            <w:r>
              <w:t xml:space="preserve">Esordio in settimane, dolore all’arto</w:t>
            </w:r>
          </w:p>
        </w:tc>
        <w:tc>
          <w:tcPr/>
          <w:p>
            <w:pPr>
              <w:pStyle w:val="Compact"/>
            </w:pPr>
            <w:r>
              <w:t xml:space="preserve">Abbastanza, non sulla 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base inclinata</w:t>
            </w:r>
          </w:p>
        </w:tc>
        <w:tc>
          <w:tcPr/>
          <w:p>
            <w:pPr>
              <w:pStyle w:val="Compact"/>
            </w:pPr>
            <w:r>
              <w:t xml:space="preserve">Si livella da seduto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contenitore rigido</w:t>
            </w:r>
          </w:p>
        </w:tc>
        <w:tc>
          <w:tcPr/>
          <w:p>
            <w:pPr>
              <w:pStyle w:val="Compact"/>
            </w:pPr>
            <w:r>
              <w:t xml:space="preserve">Anca che gira meno da un lato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Sovraccarico monolaterale cronico</w:t>
            </w:r>
          </w:p>
        </w:tc>
        <w:tc>
          <w:tcPr/>
          <w:p>
            <w:pPr>
              <w:pStyle w:val="Compact"/>
            </w:pPr>
            <w:r>
              <w:t xml:space="preserve">Dolore unilaterale legato alla durata, base a livello, le due anche uguali</w:t>
            </w:r>
          </w:p>
        </w:tc>
        <w:tc>
          <w:tcPr/>
          <w:p>
            <w:pPr>
              <w:pStyle w:val="Compact"/>
            </w:pPr>
            <w:r>
              <w:t xml:space="preserve">Molto, sul carico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Asimmetria senza sintomo</w:t>
            </w:r>
          </w:p>
        </w:tc>
        <w:tc>
          <w:tcPr/>
          <w:p>
            <w:pPr>
              <w:pStyle w:val="Compact"/>
            </w:pPr>
            <w:r>
              <w:t xml:space="preserve">Nessun dolore, molta preoccupazione</w:t>
            </w:r>
          </w:p>
        </w:tc>
        <w:tc>
          <w:tcPr/>
          <w:p>
            <w:pPr>
              <w:pStyle w:val="Compact"/>
            </w:pPr>
            <w:r>
              <w:t xml:space="preserve">Molto — informazione, contatto e compito percettivo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Variante del quarto quadro.</w:t>
      </w:r>
      <w:r>
        <w:t xml:space="preserve"> </w:t>
      </w:r>
      <w:r>
        <w:t xml:space="preserve">Dolore oltre i tre mesi, allargato oltre il lato caricato, non più legato alla durata, con ipersensibilità a stimoli prima innocui →</w:t>
      </w:r>
      <w:r>
        <w:t xml:space="preserve"> </w:t>
      </w:r>
      <w:r>
        <w:rPr>
          <w:b/>
          <w:bCs/>
        </w:rPr>
        <w:t xml:space="preserve">nociplastico</w:t>
      </w:r>
      <w:r>
        <w:t xml:space="preserve">. La soglia dolorosa non regge più come marker, né locale né a sito remoto, e la leva è esposizione graduata più informazione. Restano la discriminazione fra due punti e il tempo in piedi.</w:t>
      </w:r>
    </w:p>
    <w:p>
      <w:pPr>
        <w:pStyle w:val="BodyText"/>
      </w:pPr>
      <w:r>
        <w:rPr>
          <w:b/>
          <w:bCs/>
        </w:rPr>
        <w:t xml:space="preserve">I tre cancelli — non sono quadri, sono uscite di triage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Adolescente in crescita</w:t>
      </w:r>
      <w:r>
        <w:t xml:space="preserve"> </w:t>
      </w:r>
      <w:r>
        <w:t xml:space="preserve">(9-16 anni): niente sulla progressione della curva; sì su dolore, escursione e tolleranza, in GIALLO PRIORITARIO. Non riguarda solo la colonna: anca e dolore rachideo hanno righe rosse loro.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Curva strutturale non riconosciuta</w:t>
      </w:r>
      <w:r>
        <w:t xml:space="preserve"> </w:t>
      </w:r>
      <w:r>
        <w:t xml:space="preserve">(gibbo che resta, ATR ≥7°): comunicazione scritta al curante e indicazione a farsi prescrivere la lastra, prima di un ciclo sulla forma.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Anziano con cambiamento recente della forma</w:t>
      </w:r>
      <w:r>
        <w:t xml:space="preserve"> </w:t>
      </w:r>
      <w:r>
        <w:t xml:space="preserve">(&gt;70 anni, piega nuova, più osso fragile, cortisone, caduta, farmaci nuovi o rigidità): uscita al triage.</w:t>
      </w:r>
    </w:p>
    <w:p>
      <w:r>
        <w:pict>
          <v:rect style="width:0;height:1.5pt" o:hralign="center" o:hrstd="t" o:hr="t"/>
        </w:pict>
      </w:r>
    </w:p>
    <w:bookmarkEnd w:id="12"/>
    <w:bookmarkStart w:id="13" w:name="le-bandiere-rosse"/>
    <w:p>
      <w:pPr>
        <w:pStyle w:val="Heading2"/>
      </w:pPr>
      <w:r>
        <w:t xml:space="preserve">5 · Le bandiere rosse</w:t>
      </w:r>
    </w:p>
    <w:p>
      <w:pPr>
        <w:pStyle w:val="FirstParagraph"/>
      </w:pPr>
      <w:r>
        <w:t xml:space="preserve">Rete, non filtro: una riga presente ti ferma, tutte assenti non escludono niente.</w:t>
      </w:r>
      <w:r>
        <w:t xml:space="preserve"> </w:t>
      </w:r>
      <w:r>
        <w:rPr>
          <w:b/>
          <w:bCs/>
        </w:rPr>
        <w:t xml:space="preserve">Quando due righe si applicano, vale sempre l’uscita più restrittiva.</w:t>
      </w:r>
    </w:p>
    <w:p>
      <w:pPr>
        <w:pStyle w:val="BodyText"/>
      </w:pPr>
      <w:r>
        <w:rPr>
          <w:b/>
          <w:bCs/>
        </w:rPr>
        <w:t xml:space="preserve">112 / pronto soccorso:</w:t>
      </w:r>
      <w:r>
        <w:t xml:space="preserve"> </w:t>
      </w:r>
      <w:r>
        <w:t xml:space="preserve">disturbi sfinterici o anestesia a sella; deficit motorio comparso o peggiorato in 48 ore; febbre con dolore rachideo e postura antalgica.</w:t>
      </w:r>
      <w:r>
        <w:t xml:space="preserve"> </w:t>
      </w:r>
      <w:r>
        <w:rPr>
          <w:b/>
          <w:bCs/>
        </w:rPr>
        <w:t xml:space="preserve">Invio, non attendere:</w:t>
      </w:r>
      <w:r>
        <w:t xml:space="preserve"> </w:t>
      </w:r>
      <w:r>
        <w:t xml:space="preserve">deficit stabile o solo sensitivo; cortisone da mesi o trauma recente con nuovo dolore o nuova asimmetria; osso fragile con asimmetria nuova; dolore notturno fisso, calo di peso, storia oncologica; piega &gt;65 anni con rigidità, lentezza, tremore o passo strascicato, o dopo un farmaco nuovo; &gt;50 anni con dolore agli arti in piedi e nel cammino che si allevia sedendosi; deviazione con dolore rachideo in età evolutiva; rotazione interna d’anca ridotta fra 8 e 16 anni; curva peggiorata in crescita; curva &lt;10 anni, toracica sinistra o lombare destra, maschio, segni cutanei.</w:t>
      </w:r>
      <w:r>
        <w:t xml:space="preserve"> </w:t>
      </w:r>
      <w:r>
        <w:rPr>
          <w:b/>
          <w:bCs/>
        </w:rPr>
        <w:t xml:space="preserve">GIALLO PRIORITARIO:</w:t>
      </w:r>
      <w:r>
        <w:t xml:space="preserve"> </w:t>
      </w:r>
      <w:r>
        <w:t xml:space="preserve">asimmetria comparsa in settimane nell’adulto senza deficit; adolescente mai radiografato; osso fragile con asimmetria stabile.</w:t>
      </w:r>
    </w:p>
    <w:p>
      <w:r>
        <w:pict>
          <v:rect style="width:0;height:1.5pt" o:hralign="center" o:hrstd="t" o:hr="t"/>
        </w:pict>
      </w:r>
    </w:p>
    <w:bookmarkEnd w:id="13"/>
    <w:bookmarkStart w:id="14" w:name="la-sicurezza-del-gesto-in-quattro-righe"/>
    <w:p>
      <w:pPr>
        <w:pStyle w:val="Heading2"/>
      </w:pPr>
      <w:r>
        <w:t xml:space="preserve">6 · La sicurezza del gesto, in quattro righe</w:t>
      </w:r>
    </w:p>
    <w:p>
      <w:pPr>
        <w:pStyle w:val="FirstParagraph"/>
      </w:pPr>
      <w:r>
        <w:rPr>
          <w:b/>
          <w:bCs/>
        </w:rPr>
        <w:t xml:space="preserve">La variabile non è quanto spingi: è chi hai sotto le mani.</w:t>
      </w:r>
      <w:r>
        <w:t xml:space="preserve"> </w:t>
      </w:r>
      <w:r>
        <w:t xml:space="preserve">Negli eventi documentati il danno è comparso su patologie mai riconosciute e su ossa fragili. Quello che protegge è l’esame prima della manovra.</w:t>
      </w:r>
      <w:r>
        <w:t xml:space="preserve"> </w:t>
      </w:r>
      <w:r>
        <w:rPr>
          <w:b/>
          <w:bCs/>
        </w:rPr>
        <w:t xml:space="preserve">8-16 anni con rotazione interna d’anca ridotta da un lato:</w:t>
      </w:r>
      <w:r>
        <w:t xml:space="preserve"> </w:t>
      </w:r>
      <w:r>
        <w:t xml:space="preserve">epifisiolisi fino a prova contraria, anche col dolore al ginocchio. Si radiografa prima di mobilizzarla.</w:t>
      </w:r>
      <w:r>
        <w:t xml:space="preserve"> </w:t>
      </w:r>
      <w:r>
        <w:rPr>
          <w:b/>
          <w:bCs/>
        </w:rPr>
        <w:t xml:space="preserve">Deviazione comparsa in settimane con dolore all’arto:</w:t>
      </w:r>
      <w:r>
        <w:t xml:space="preserve"> </w:t>
      </w:r>
      <w:r>
        <w:t xml:space="preserve">è il solo paziente con un evento avverso ricorrente in letteratura, la cauda equina (38% dei casi gravi lombari). Raro in assoluto. Sfinteri e anestesia a sella si richiedono</w:t>
      </w:r>
      <w:r>
        <w:t xml:space="preserve"> </w:t>
      </w:r>
      <w:r>
        <w:rPr>
          <w:b/>
          <w:bCs/>
        </w:rPr>
        <w:t xml:space="preserve">a ogni seduta</w:t>
      </w:r>
      <w:r>
        <w:t xml:space="preserve">.</w:t>
      </w:r>
      <w:r>
        <w:t xml:space="preserve"> </w:t>
      </w:r>
      <w:r>
        <w:rPr>
          <w:b/>
          <w:bCs/>
        </w:rPr>
        <w:t xml:space="preserve">Colonna mai radiografata o osso fragile presunto:</w:t>
      </w:r>
      <w:r>
        <w:t xml:space="preserve"> </w:t>
      </w:r>
      <w:r>
        <w:t xml:space="preserve">stai lavorando su una struttura che non conosci. I due soli eventi gravi su 960.140 sedute sono fratture costali in donne oltre i sessant’anni con osteoporosi.</w:t>
      </w:r>
    </w:p>
    <w:p>
      <w:r>
        <w:pict>
          <v:rect style="width:0;height:1.5pt" o:hralign="center" o:hrstd="t" o:hr="t"/>
        </w:pict>
      </w:r>
    </w:p>
    <w:bookmarkEnd w:id="14"/>
    <w:bookmarkStart w:id="15" w:name="come-decidi-e-su-cosa-verifichi"/>
    <w:p>
      <w:pPr>
        <w:pStyle w:val="Heading2"/>
      </w:pPr>
      <w:r>
        <w:t xml:space="preserve">7 · Come decidi, e su cosa verifichi</w:t>
      </w:r>
    </w:p>
    <w:p>
      <w:pPr>
        <w:pStyle w:val="FirstParagraph"/>
      </w:pPr>
      <w:r>
        <w:rPr>
          <w:b/>
          <w:bCs/>
        </w:rPr>
        <w:t xml:space="preserve">Road map</w:t>
      </w:r>
      <w:r>
        <w:t xml:space="preserve"> </w:t>
      </w:r>
      <w:r>
        <w:t xml:space="preserve">(sequenza di interrogazione, non ordine di priorità): deviazione recente o posizionale? → cosa crede di avere? → base a livello? → il bacino tiene su una gamba sola? → l’anca gira uguale? → escursione regionale del tronco.</w:t>
      </w:r>
    </w:p>
    <w:p>
      <w:pPr>
        <w:pStyle w:val="BodyText"/>
      </w:pPr>
      <w:r>
        <w:rPr>
          <w:b/>
          <w:bCs/>
        </w:rPr>
        <w:t xml:space="preserve">Arbitraggio con due piani accesi.</w:t>
      </w:r>
      <w:r>
        <w:t xml:space="preserve"> </w:t>
      </w:r>
      <w:r>
        <w:t xml:space="preserve">Se il sintomo segue la</w:t>
      </w:r>
      <w:r>
        <w:t xml:space="preserve"> </w:t>
      </w:r>
      <w:r>
        <w:rPr>
          <w:b/>
          <w:bCs/>
        </w:rPr>
        <w:t xml:space="preserve">durata</w:t>
      </w:r>
      <w:r>
        <w:t xml:space="preserve">, comanda la base. Se segue</w:t>
      </w:r>
      <w:r>
        <w:t xml:space="preserve"> </w:t>
      </w:r>
      <w:r>
        <w:rPr>
          <w:b/>
          <w:bCs/>
        </w:rPr>
        <w:t xml:space="preserve">quello che crede</w:t>
      </w:r>
      <w:r>
        <w:t xml:space="preserve">, comanda il comportamentale. Se seguono entrambi, si tratta il piano su cui il marker si muove per primo.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Misura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Provenienza</w:t>
            </w:r>
          </w:p>
        </w:tc>
        <w:tc>
          <w:tcPr/>
          <w:p>
            <w:pPr>
              <w:pStyle w:val="Compact"/>
            </w:pPr>
            <w:r>
              <w:t xml:space="preserve">Piano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Inclinazione laterale, differenza dx-sx</w:t>
            </w:r>
          </w:p>
        </w:tc>
        <w:tc>
          <w:tcPr/>
          <w:p>
            <w:pPr>
              <w:pStyle w:val="Compact"/>
            </w:pPr>
            <w:r>
              <w:t xml:space="preserve">3 cm</w:t>
            </w:r>
          </w:p>
        </w:tc>
        <w:tc>
          <w:tcPr/>
          <w:p>
            <w:pPr>
              <w:pStyle w:val="Compact"/>
            </w:pPr>
            <w:r>
              <w:t xml:space="preserve">Errore strumento ×2</w:t>
            </w:r>
          </w:p>
        </w:tc>
        <w:tc>
          <w:tcPr/>
          <w:p>
            <w:pPr>
              <w:pStyle w:val="Compact"/>
            </w:pPr>
            <w:r>
              <w:t xml:space="preserve">Trattato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d’anca, goniometro</w:t>
            </w:r>
          </w:p>
        </w:tc>
        <w:tc>
          <w:tcPr/>
          <w:p>
            <w:pPr>
              <w:pStyle w:val="Compact"/>
            </w:pPr>
            <w:r>
              <w:t xml:space="preserve">10°</w:t>
            </w:r>
          </w:p>
        </w:tc>
        <w:tc>
          <w:tcPr/>
          <w:p>
            <w:pPr>
              <w:pStyle w:val="Compact"/>
            </w:pPr>
            <w:r>
              <w:t xml:space="preserve">Errore strumento ×2</w:t>
            </w:r>
          </w:p>
        </w:tc>
        <w:tc>
          <w:tcPr/>
          <w:p>
            <w:pPr>
              <w:pStyle w:val="Compact"/>
            </w:pPr>
            <w:r>
              <w:t xml:space="preserve">Trattato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a sito remoto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t xml:space="preserve">Convenzione del metodo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trattato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Discriminazione fra due punti, paravertebrale</w:t>
            </w:r>
          </w:p>
        </w:tc>
        <w:tc>
          <w:tcPr/>
          <w:p>
            <w:pPr>
              <w:pStyle w:val="Compact"/>
            </w:pPr>
            <w:r>
              <w:t xml:space="preserve">Differenza fra i lati che si riduce</w:t>
            </w:r>
          </w:p>
        </w:tc>
        <w:tc>
          <w:tcPr/>
          <w:p>
            <w:pPr>
              <w:pStyle w:val="Compact"/>
            </w:pPr>
            <w:r>
              <w:t xml:space="preserve">Convenzione del metodo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trattato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in piedi fermo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  <w:tc>
          <w:tcPr/>
          <w:p>
            <w:pPr>
              <w:pStyle w:val="Compact"/>
            </w:pPr>
            <w:r>
              <w:t xml:space="preserve">Convenzione del metodo</w:t>
            </w:r>
          </w:p>
        </w:tc>
        <w:tc>
          <w:tcPr/>
          <w:p>
            <w:pPr>
              <w:pStyle w:val="Compact"/>
            </w:pPr>
            <w:r>
              <w:t xml:space="preserve">Esito, fra le sedute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base non è uniforme fra le leve.</w:t>
      </w:r>
      <w:r>
        <w:t xml:space="preserve"> </w:t>
      </w:r>
      <w:r>
        <w:t xml:space="preserve">Su quella del quinto meccanismo — compito percettivo più informazione — esiste uno studio randomizzato contro finto trattamento con attenzione di pari durata, e il compito aggiunge</w:t>
      </w:r>
      <w:r>
        <w:t xml:space="preserve"> </w:t>
      </w:r>
      <w:r>
        <w:rPr>
          <w:b/>
          <w:bCs/>
        </w:rPr>
        <w:t xml:space="preserve">un punto di dolore su dieci</w:t>
      </w:r>
      <w:r>
        <w:t xml:space="preserve"> </w:t>
      </w:r>
      <w:r>
        <w:t xml:space="preserve">a 18 settimane. È un gradino sopra le altre quattro.</w:t>
      </w:r>
    </w:p>
    <w:p>
      <w:pPr>
        <w:pStyle w:val="BodyText"/>
      </w:pPr>
      <w:r>
        <w:rPr>
          <w:b/>
          <w:bCs/>
        </w:rPr>
        <w:t xml:space="preserve">Il marker della prova è una delle due misure “non trattato”.</w:t>
      </w:r>
      <w:r>
        <w:t xml:space="preserve"> </w:t>
      </w:r>
      <w:r>
        <w:t xml:space="preserve">E trattato o non trattato è relativo al piano che stai trattando tu: quando la leva è il compito percettivo, la discriminazione fra due punti diventa una misura del piano trattato, e la prova torna alla soglia dolorosa a sito remoto. Le prime due misurano l’effetto immediato del gesto. Il tempo in piedi si muove in due-tre settimane, non dentro la seduta. La discriminazione fra due punti è affidabile solo</w:t>
      </w:r>
      <w:r>
        <w:t xml:space="preserve"> </w:t>
      </w:r>
      <w:r>
        <w:rPr>
          <w:b/>
          <w:bCs/>
        </w:rPr>
        <w:t xml:space="preserve">entro lo stesso esaminatore</w:t>
      </w:r>
      <w:r>
        <w:t xml:space="preserve">. Con osso fragile la differenza dx-sx si prende contro la parete, non con dita-pavimento. Scoliometro e fotografie non sono marker.</w:t>
      </w:r>
    </w:p>
    <w:p>
      <w:r>
        <w:pict>
          <v:rect style="width:0;height:1.5pt" o:hralign="center" o:hrstd="t" o:hr="t"/>
        </w:pict>
      </w:r>
    </w:p>
    <w:bookmarkEnd w:id="15"/>
    <w:bookmarkStart w:id="16" w:name="cosa-fa-il-paziente-da-solo"/>
    <w:p>
      <w:pPr>
        <w:pStyle w:val="Heading2"/>
      </w:pPr>
      <w:r>
        <w:t xml:space="preserve">8 · Cosa fa il paziente da solo</w:t>
      </w:r>
    </w:p>
    <w:p>
      <w:pPr>
        <w:pStyle w:val="FirstParagraph"/>
      </w:pPr>
      <w:r>
        <w:rPr>
          <w:b/>
          <w:bCs/>
        </w:rPr>
        <w:t xml:space="preserve">Esercizio a carico progressivo.</w:t>
      </w:r>
      <w:r>
        <w:t xml:space="preserve"> </w:t>
      </w:r>
      <w:r>
        <w:t xml:space="preserve">Agisce su «Il lato che paga» (capacità), su «L’anca che non gira» (usare il guadagno passivo) e sulla</w:t>
      </w:r>
      <w:r>
        <w:t xml:space="preserve"> </w:t>
      </w:r>
      <w:r>
        <w:rPr>
          <w:b/>
          <w:bCs/>
        </w:rPr>
        <w:t xml:space="preserve">tenuta del bacino su una gamba sola</w:t>
      </w:r>
      <w:r>
        <w:t xml:space="preserve">, il suo bersaglio frontale.</w:t>
      </w:r>
      <w:r>
        <w:t xml:space="preserve"> </w:t>
      </w:r>
      <w:r>
        <w:rPr>
          <w:b/>
          <w:bCs/>
        </w:rPr>
        <w:t xml:space="preserve">I minuti in piedi appartengono a questa leva, non alla mano:</w:t>
      </w:r>
      <w:r>
        <w:t xml:space="preserve"> </w:t>
      </w:r>
      <w:r>
        <w:t xml:space="preserve">la mano sposta la corsa disponibile. Cochrane, 249 studi randomizzati: dolore −15,2/100 (IC 18,3-12,2, soglia di importanza clinica superata di poco), funzione −6,8 (soglia non raggiunta), certezza moderata.</w:t>
      </w:r>
      <w:r>
        <w:t xml:space="preserve"> </w:t>
      </w:r>
      <w:r>
        <w:rPr>
          <w:b/>
          <w:bCs/>
        </w:rPr>
        <w:t xml:space="preserve">PROBABILE</w:t>
      </w:r>
      <w:r>
        <w:t xml:space="preserve">, perché misurato su lombalgia cronica aspecifica.</w:t>
      </w:r>
      <w:r>
        <w:t xml:space="preserve"> </w:t>
      </w:r>
      <w:r>
        <w:t xml:space="preserve">Il</w:t>
      </w:r>
      <w:r>
        <w:t xml:space="preserve"> </w:t>
      </w:r>
      <w:r>
        <w:rPr>
          <w:b/>
          <w:bCs/>
        </w:rPr>
        <w:t xml:space="preserve">bersaglio frontale</w:t>
      </w:r>
      <w:r>
        <w:t xml:space="preserve"> </w:t>
      </w:r>
      <w:r>
        <w:t xml:space="preserve">ha una fonte a favore e una contro, e vanno lette insieme. Gli abduttori sono più deboli nei lombalgici (14 studi, 919 pazienti). Ma le prove che rinforzarli faccia scendere il dolore sono</w:t>
      </w:r>
      <w:r>
        <w:t xml:space="preserve"> </w:t>
      </w:r>
      <w:r>
        <w:rPr>
          <w:b/>
          <w:bCs/>
        </w:rPr>
        <w:t xml:space="preserve">scarse e incerte</w:t>
      </w:r>
      <w:r>
        <w:t xml:space="preserve">. Resta cosa da misurare, non cosa da promettere.</w:t>
      </w:r>
      <w:r>
        <w:t xml:space="preserve"> </w:t>
      </w:r>
      <w:r>
        <w:rPr>
          <w:b/>
          <w:bCs/>
        </w:rPr>
        <w:t xml:space="preserve">Non cambia la forma:</w:t>
      </w:r>
      <w:r>
        <w:t xml:space="preserve"> </w:t>
      </w:r>
      <w:r>
        <w:t xml:space="preserve">sulla scoliosi vera in crescita gli esercizi specifici spostano il Cobb di circa 2,8 gradi, dentro l’errore di misura.</w:t>
      </w:r>
      <w:r>
        <w:t xml:space="preserve"> </w:t>
      </w:r>
      <w:r>
        <w:rPr>
          <w:b/>
          <w:bCs/>
        </w:rPr>
        <w:t xml:space="preserve">Fino al 70% non esegue l’esercizio a casa: ciò che sposta l’aderenza è supervisionato, non consegnato.</w:t>
      </w:r>
      <w:r>
        <w:t xml:space="preserve"> </w:t>
      </w:r>
      <w:r>
        <w:rPr>
          <w:b/>
          <w:bCs/>
        </w:rPr>
        <w:t xml:space="preserve">Respiro lento e diaframmatico.</w:t>
      </w:r>
      <w:r>
        <w:t xml:space="preserve"> </w:t>
      </w:r>
      <w:r>
        <w:t xml:space="preserve">Su lombalgia cronica riduce dolore, disabilità e credenze di paura-evitamento, ma con GRADE da basso a molto basso:</w:t>
      </w:r>
      <w:r>
        <w:t xml:space="preserve"> </w:t>
      </w:r>
      <w:r>
        <w:rPr>
          <w:b/>
          <w:bCs/>
        </w:rPr>
        <w:t xml:space="preserve">IPOTESI</w:t>
      </w:r>
      <w:r>
        <w:t xml:space="preserve">. Non è una leva della mano.</w:t>
      </w:r>
      <w:r>
        <w:t xml:space="preserve"> </w:t>
      </w:r>
      <w:r>
        <w:t xml:space="preserve">Con osso fragile il carico si costruisce in estensione e isometria. Il lavoro attivo segue la stessa uscita di triage del lavoro manuale.</w:t>
      </w:r>
    </w:p>
    <w:p>
      <w:r>
        <w:pict>
          <v:rect style="width:0;height:1.5pt" o:hralign="center" o:hrstd="t" o:hr="t"/>
        </w:pict>
      </w:r>
    </w:p>
    <w:bookmarkEnd w:id="16"/>
    <w:bookmarkStart w:id="17" w:name="la-frase-per-il-paziente"/>
    <w:p>
      <w:pPr>
        <w:pStyle w:val="Heading2"/>
      </w:pPr>
      <w:r>
        <w:t xml:space="preserve">9 · La frase per il paziente</w:t>
      </w:r>
    </w:p>
    <w:p>
      <w:pPr>
        <w:pStyle w:val="FirstParagraph"/>
      </w:pPr>
      <w:r>
        <w:rPr>
          <w:i/>
          <w:iCs/>
        </w:rPr>
        <w:t xml:space="preserve">“Quello che vedo è una schiena che sta in equilibrio come può, e spesso sopra una base che non è a livello: è una delle spiegazioni possibili, e la verifico misurando. Io lavoro sulla componente meccanica che ho trovato — quanta corsa ha da un lato, quanti minuti regge in piedi — e la misuro prima di iniziare. Se quella deviazione sia una scoliosi vera lo dice una radiografia, non le mie mani, e nel frattempo io non aspetto. Non le raddrizzo la schiena, e non le prometto quanti minuti in più avrà: le prometto che li contiamo.”</w:t>
      </w:r>
    </w:p>
    <w:p>
      <w:pPr>
        <w:pStyle w:val="BodyText"/>
      </w:pPr>
      <w:r>
        <w:rPr>
          <w:b/>
          <w:bCs/>
        </w:rPr>
        <w:t xml:space="preserve">Al genitore:</w:t>
      </w:r>
      <w:r>
        <w:t xml:space="preserve"> </w:t>
      </w:r>
      <w:r>
        <w:rPr>
          <w:i/>
          <w:iCs/>
        </w:rPr>
        <w:t xml:space="preserve">“Non lavoro sulla curva e non posso dire se progredirà: lo stabilisce un ortopedico con una lastra in mano, e va fatto adesso.”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Mai</w:t>
      </w:r>
      <w:r>
        <w:t xml:space="preserve"> </w:t>
      </w:r>
      <w:r>
        <w:rPr>
          <w:i/>
          <w:iCs/>
        </w:rPr>
        <w:t xml:space="preserve">“è solo un atteggiamento”</w:t>
      </w:r>
      <w:r>
        <w:t xml:space="preserve">: è un’esclusione diagnostica, e non è nostra.</w:t>
      </w:r>
    </w:p>
    <w:p>
      <w:r>
        <w:pict>
          <v:rect style="width:0;height:1.5pt" o:hralign="center" o:hrstd="t" o:hr="t"/>
        </w:pict>
      </w:r>
    </w:p>
    <w:bookmarkEnd w:id="17"/>
    <w:bookmarkStart w:id="18" w:name="perché-ci-sei-tu"/>
    <w:p>
      <w:pPr>
        <w:pStyle w:val="Heading2"/>
      </w:pPr>
      <w:r>
        <w:t xml:space="preserve">Perché ci sei tu</w:t>
      </w:r>
    </w:p>
    <w:p>
      <w:pPr>
        <w:pStyle w:val="BlockText"/>
      </w:pPr>
      <w:r>
        <w:t xml:space="preserve">Il test del piegamento in avanti ha una sensibilità dell’84% e una specificità del 93%, su 2.700 ragazzi con radiografia disponibile per ciascuno: su 32 scoliosi vere, cinque gli sono sfuggite (Karachalios, 1999, PMID 10586455). Questo ti autorizza a non chiudere la questione con l’occhio e a mandare a fare l’esame. Non ti autorizza a dire</w:t>
      </w:r>
      <w:r>
        <w:t xml:space="preserve"> </w:t>
      </w:r>
      <w:r>
        <w:rPr>
          <w:i/>
          <w:iCs/>
        </w:rPr>
        <w:t xml:space="preserve">“è solo un atteggiamento”</w:t>
      </w:r>
      <w:r>
        <w:t xml:space="preserve">: quella è un’esclusione diagnostica, e non è nostra.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— nella variante</w:t>
      </w:r>
      <w:r>
        <w:t xml:space="preserve"> </w:t>
      </w:r>
      <w:r>
        <w:rPr>
          <w:i/>
          <w:iCs/>
        </w:rPr>
        <w:t xml:space="preserve">(prove contrarie)</w:t>
      </w:r>
      <w:r>
        <w:t xml:space="preserve">, studi diretti esistono e hanno trovato il contrario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Deviazioni dichiarate: blocco 7 (D-018), blocco 8 (D-011), blocco 6 (D-042). Aperte dalla v3 della Bibbia: D-051, D-052, più un’integrazione a D-019. Dalla v4 e dal 4º livello di asciugatura: nessuna.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2026-08-25T13:18:08Z</dcterms:created>
  <dcterms:modified xsi:type="dcterms:W3CDTF">2026-08-25T13:18:08Z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