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5" w:name="X51ac31ddcca6f65152ae1fad3198e813be3f14e"/>
    <w:p>
      <w:pPr>
        <w:pStyle w:val="Heading1"/>
      </w:pPr>
      <w:r>
        <w:t xml:space="preserve">Mappa concettuale — Reflusso gastroesofageo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Ancora:</w:t>
      </w:r>
      <w:r>
        <w:t xml:space="preserve"> </w:t>
      </w:r>
      <w:r>
        <w:t xml:space="preserve">Ángel Oliva-Pascual-Vaca (terapia manuale) · Ravinder K. Mittal (fisiologia) —</w:t>
      </w:r>
      <w:r>
        <w:t xml:space="preserve"> </w:t>
      </w:r>
      <w:r>
        <w:rPr>
          <w:b/>
          <w:bCs/>
        </w:rPr>
        <w:t xml:space="preserve">v6.0 finale</w:t>
      </w:r>
      <w:r>
        <w:t xml:space="preserve"> </w:t>
      </w:r>
      <w:r>
        <w:t xml:space="preserve">—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È una malattia della barriera, non dell’acido: il contenuto dello stomaco risale nell’esofago e produce sintomi o danno alla mucosa.</w:t>
      </w:r>
      <w:r>
        <w:t xml:space="preserve"> </w:t>
      </w:r>
      <w:r>
        <w:t xml:space="preserve">Prevalenza globale 13,98%, cioè circa un miliardo di persone. Fra chi assume un inibitore di pompa i sintomi persistono nel 17-32% negli studi clinici, e fino al 45% negli studi osservazionali.</w:t>
      </w:r>
      <w:r>
        <w:t xml:space="preserve"> </w:t>
      </w:r>
      <w:r>
        <w:t xml:space="preserve">È cronica e fluttuante. Nei trial il placebo vale il 18,85%: ogni miglioramento va letto con questo metro.</w:t>
      </w:r>
    </w:p>
    <w:p>
      <w:r>
        <w:pict>
          <v:rect style="width:0;height:1.5pt" o:hralign="center" o:hrstd="t" o:hr="t"/>
        </w:pict>
      </w:r>
    </w:p>
    <w:bookmarkEnd w:id="9"/>
    <w:bookmarkStart w:id="10" w:name="X683a141d583d4f0b2cf152eaafaab3da7d59e8d"/>
    <w:p>
      <w:pPr>
        <w:pStyle w:val="Heading2"/>
      </w:pPr>
      <w:r>
        <w:t xml:space="preserve">2 · La catena causale — il meccanismo principale, quello senza leva manuale</w:t>
      </w:r>
    </w:p>
    <w:p>
      <w:pPr>
        <w:pStyle w:val="FirstParagraph"/>
      </w:pPr>
      <w:r>
        <w:t xml:space="preserve">pasto abbondante → distensione del fondo gastrico → riflesso vagale che rilascia il LES + inibizione centrale che spegne il crus → i due sfinteri restano aperti insieme → il contenuto passa e resta a contatto → bruciore, rigurgito, tosse, nodo in gola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Rilasciamenti transitori</w:t>
            </w:r>
          </w:p>
        </w:tc>
        <w:tc>
          <w:tcPr/>
          <w:p>
            <w:pPr>
              <w:pStyle w:val="Compact"/>
            </w:pPr>
            <w:r>
              <w:t xml:space="preserve">Sintomo post-prandiale, eruttazioni, sazietà precoce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Separazione dei due sfinteri</w:t>
            </w:r>
          </w:p>
        </w:tc>
        <w:tc>
          <w:tcPr/>
          <w:p>
            <w:pPr>
              <w:pStyle w:val="Compact"/>
            </w:pPr>
            <w:r>
              <w:t xml:space="preserve">Rigurgito da sdraiato, ernia a referto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Amplificazione percettiva</w:t>
            </w:r>
          </w:p>
        </w:tc>
        <w:tc>
          <w:tcPr/>
          <w:p>
            <w:pPr>
              <w:pStyle w:val="Compact"/>
            </w:pPr>
            <w:r>
              <w:t xml:space="preserve">Referto pulito, farmaco inefficace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Gradiente pressorio addominale</w:t>
            </w:r>
          </w:p>
        </w:tc>
        <w:tc>
          <w:tcPr/>
          <w:p>
            <w:pPr>
              <w:pStyle w:val="Compact"/>
            </w:pPr>
            <w:r>
              <w:t xml:space="preserve">Peggiora piegandosi, addome teso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Contributo crurale ridotto</w:t>
            </w:r>
          </w:p>
        </w:tc>
        <w:tc>
          <w:tcPr/>
          <w:p>
            <w:pPr>
              <w:pStyle w:val="Compact"/>
            </w:pPr>
            <w:r>
              <w:t xml:space="preserve">Respiro apicale, dorsale rigida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Clearance notturna assente</w:t>
            </w:r>
          </w:p>
        </w:tc>
        <w:tc>
          <w:tcPr/>
          <w:p>
            <w:pPr>
              <w:pStyle w:val="Compact"/>
            </w:pPr>
            <w:r>
              <w:t xml:space="preserve">Tosse notturna, voce roca al mattino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Post-prandiale</w:t>
            </w:r>
          </w:p>
        </w:tc>
        <w:tc>
          <w:tcPr/>
          <w:p>
            <w:pPr>
              <w:pStyle w:val="Compact"/>
            </w:pPr>
            <w:r>
              <w:t xml:space="preserve">Conta il volume, non il cibo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Pressorio-posturale</w:t>
            </w:r>
          </w:p>
        </w:tc>
        <w:tc>
          <w:tcPr/>
          <w:p>
            <w:pPr>
              <w:pStyle w:val="Compact"/>
            </w:pPr>
            <w:r>
              <w:t xml:space="preserve">Peggiora piegandosi, anche a stomaco vuoto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Diaframmatico</w:t>
            </w:r>
          </w:p>
        </w:tc>
        <w:tc>
          <w:tcPr/>
          <w:p>
            <w:pPr>
              <w:pStyle w:val="Compact"/>
            </w:pPr>
            <w:r>
              <w:t xml:space="preserve">Carico e rigidità toracica, non a stomaco vuoto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Sproporzionato al referto</w:t>
            </w:r>
          </w:p>
        </w:tc>
        <w:tc>
          <w:tcPr/>
          <w:p>
            <w:pPr>
              <w:pStyle w:val="Compact"/>
            </w:pPr>
            <w:r>
              <w:t xml:space="preserve">Sintomo segue lo stato emotivo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Notturno-extraesofageo</w:t>
            </w:r>
          </w:p>
        </w:tc>
        <w:tc>
          <w:tcPr/>
          <w:p>
            <w:pPr>
              <w:pStyle w:val="Compact"/>
            </w:pPr>
            <w:r>
              <w:t xml:space="preserve">Tosse, disfonia, nodo in gola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Strutturale-erosivo</w:t>
            </w:r>
          </w:p>
        </w:tc>
        <w:tc>
          <w:tcPr/>
          <w:p>
            <w:pPr>
              <w:pStyle w:val="Compact"/>
            </w:pPr>
            <w:r>
              <w:t xml:space="preserve">Ernia voluminosa, esofagite, Barrett</w:t>
            </w:r>
          </w:p>
        </w:tc>
        <w:tc>
          <w:tcPr/>
          <w:p>
            <w:pPr>
              <w:pStyle w:val="Compact"/>
            </w:pPr>
            <w:r>
              <w:t xml:space="preserve">Niente: invio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e-bandiere-rosse"/>
    <w:p>
      <w:pPr>
        <w:pStyle w:val="Heading2"/>
      </w:pPr>
      <w:r>
        <w:t xml:space="preserve">5 · Le bandiere rosse</w:t>
      </w:r>
    </w:p>
    <w:p>
      <w:pPr>
        <w:pStyle w:val="Compact"/>
        <w:numPr>
          <w:ilvl w:val="0"/>
          <w:numId w:val="1001"/>
        </w:numPr>
      </w:pPr>
      <w:r>
        <w:t xml:space="preserve">Dolore toracico sotto sforzo, sudorazione, affanno → pronto soccorso → immediata</w:t>
      </w:r>
    </w:p>
    <w:p>
      <w:pPr>
        <w:pStyle w:val="Compact"/>
        <w:numPr>
          <w:ilvl w:val="0"/>
          <w:numId w:val="1001"/>
        </w:numPr>
      </w:pPr>
      <w:r>
        <w:t xml:space="preserve">Vomito con sangue o feci nere → pronto soccorso → immediata</w:t>
      </w:r>
    </w:p>
    <w:p>
      <w:pPr>
        <w:pStyle w:val="Compact"/>
        <w:numPr>
          <w:ilvl w:val="0"/>
          <w:numId w:val="1001"/>
        </w:numPr>
      </w:pPr>
      <w:r>
        <w:t xml:space="preserve">Epigastralgia in terzo trimestre, non bruciante → ostetrico → immediata</w:t>
      </w:r>
    </w:p>
    <w:p>
      <w:pPr>
        <w:pStyle w:val="Compact"/>
        <w:numPr>
          <w:ilvl w:val="0"/>
          <w:numId w:val="1001"/>
        </w:numPr>
      </w:pPr>
      <w:r>
        <w:t xml:space="preserve">Difficoltà o dolore a deglutire (disfagia, odinofagia) → gastroenterologo → giorni</w:t>
      </w:r>
    </w:p>
    <w:p>
      <w:pPr>
        <w:pStyle w:val="Compact"/>
        <w:numPr>
          <w:ilvl w:val="0"/>
          <w:numId w:val="1001"/>
        </w:numPr>
      </w:pPr>
      <w:r>
        <w:t xml:space="preserve">Calo di peso involontario → medico di base → giorni</w:t>
      </w:r>
    </w:p>
    <w:p>
      <w:pPr>
        <w:pStyle w:val="Compact"/>
        <w:numPr>
          <w:ilvl w:val="0"/>
          <w:numId w:val="1001"/>
        </w:numPr>
      </w:pPr>
      <w:r>
        <w:t xml:space="preserve">Vomito ripetuto che non si ferma → medico di base → giorni</w:t>
      </w:r>
    </w:p>
    <w:p>
      <w:pPr>
        <w:pStyle w:val="Compact"/>
        <w:numPr>
          <w:ilvl w:val="0"/>
          <w:numId w:val="1001"/>
        </w:numPr>
      </w:pPr>
      <w:r>
        <w:t xml:space="preserve">Massa addominale pulsante, o dolore profondo persistente → medico di base → prima del ciclo</w:t>
      </w:r>
    </w:p>
    <w:p>
      <w:pPr>
        <w:pStyle w:val="Compact"/>
        <w:numPr>
          <w:ilvl w:val="0"/>
          <w:numId w:val="1001"/>
        </w:numPr>
      </w:pPr>
      <w:r>
        <w:t xml:space="preserve">Raucedine o disfonia oltre tre settimane → otorinolaringoiatra → prima del ciclo</w:t>
      </w:r>
    </w:p>
    <w:p>
      <w:pPr>
        <w:pStyle w:val="Compact"/>
        <w:numPr>
          <w:ilvl w:val="0"/>
          <w:numId w:val="1001"/>
        </w:numPr>
      </w:pPr>
      <w:r>
        <w:t xml:space="preserve">Sintomi nuovi dopo i 50 anni · anemia o astenia → medico di base → prima del ciclo</w:t>
      </w:r>
    </w:p>
    <w:p>
      <w:pPr>
        <w:pStyle w:val="Compact"/>
        <w:numPr>
          <w:ilvl w:val="0"/>
          <w:numId w:val="1001"/>
        </w:numPr>
      </w:pPr>
      <w:r>
        <w:t xml:space="preserve">Bruciore epigastrico nuovo in donna, over-65, diabetico, nefropatico — anche senza sforzo, senza irradiazione, e anche se l’antiacido dà sollievo → pronto soccorso → immediata</w:t>
      </w:r>
    </w:p>
    <w:p>
      <w:r>
        <w:pict>
          <v:rect style="width:0;height:1.5pt" o:hralign="center" o:hrstd="t" o:hr="t"/>
        </w:pict>
      </w:r>
    </w:p>
    <w:bookmarkEnd w:id="13"/>
    <w:bookmarkStart w:id="14" w:name="la-frase-per-il-paziente"/>
    <w:p>
      <w:pPr>
        <w:pStyle w:val="Heading2"/>
      </w:pPr>
      <w:r>
        <w:t xml:space="preserve">6 · La frase per il paziente</w:t>
      </w:r>
    </w:p>
    <w:p>
      <w:pPr>
        <w:pStyle w:val="FirstParagraph"/>
      </w:pPr>
      <w:r>
        <w:rPr>
          <w:i/>
          <w:iCs/>
        </w:rPr>
        <w:t xml:space="preserve">“Non conta quanto è stretto il tappo del tubetto: conta quanto stringi il tubo.”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2026-08-04T21:54:45Z</dcterms:created>
  <dcterms:modified xsi:type="dcterms:W3CDTF">2026-08-04T21:54:45Z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