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concettuale-bruxismo"/>
    <w:p>
      <w:pPr>
        <w:pStyle w:val="Heading1"/>
      </w:pPr>
      <w:r>
        <w:t xml:space="preserve">Mappa concettuale — Bruxismo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Bruxismo (del sonno e della veglia)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Gilles Lavigne ·</w:t>
      </w:r>
      <w:r>
        <w:t xml:space="preserve"> </w:t>
      </w:r>
      <w:r>
        <w:rPr>
          <w:b/>
          <w:bCs/>
        </w:rPr>
        <w:t xml:space="preserve">Ancora clinica in terapia manuale:</w:t>
      </w:r>
      <w:r>
        <w:t xml:space="preserve"> </w:t>
      </w:r>
      <w:r>
        <w:t xml:space="preserve">Susan Armijo-Olivo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È un’attività ripetitiva dei muscoli masticatori — serramento, digrignamento, irrigidimento o spinta della mandibola — e</w:t>
      </w:r>
      <w:r>
        <w:t xml:space="preserve"> </w:t>
      </w:r>
      <w:r>
        <w:rPr>
          <w:b/>
          <w:bCs/>
        </w:rPr>
        <w:t xml:space="preserve">non una malattia dei denti</w:t>
      </w:r>
      <w:r>
        <w:t xml:space="preserve">.</w:t>
      </w:r>
      <w:r>
        <w:t xml:space="preserve"> </w:t>
      </w:r>
      <w:r>
        <w:t xml:space="preserve">È riferita dal 21% per il sonno e dal 23% per la veglia. Misurata con polisonnografia, la quota sale al 43%, e la maggior parte di chi digrigna non se ne accorge.</w:t>
      </w:r>
      <w:r>
        <w:t xml:space="preserve"> </w:t>
      </w:r>
      <w:r>
        <w:t xml:space="preserve">Oscilla da sola: nel dolore miofasciale masticatorio seguito per cinque anni il 33% va in remissione e il 36% è ricorrente. L’usura dentale, invece, non torna indietro.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carico della vita e ingressi esterni (acido, alcol, farmaci, lavoro odontoiatrico recente)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rPr>
          <w:rStyle w:val="VerbatimChar"/>
        </w:rPr>
        <w:t xml:space="preserve">si abbassa la soglia a cui il microrisveglio arriva ai masticatori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rPr>
          <w:rStyle w:val="VerbatimChar"/>
        </w:rPr>
        <w:t xml:space="preserve">spostamento simpatico otto minuti prima dell'episodio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rPr>
          <w:rStyle w:val="VerbatimChar"/>
        </w:rPr>
        <w:t xml:space="preserve">sequenza corticale e motoria: prima i sopraioidei, per ultimi gli elevatori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rPr>
          <w:rStyle w:val="VerbatimChar"/>
        </w:rPr>
        <w:t xml:space="preserve">presa mantenuta di 22,5 kgf per circa sette secondi, decine di volte a notte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rPr>
          <w:rStyle w:val="VerbatimChar"/>
        </w:rPr>
        <w:t xml:space="preserve">dolore e rigidità al risveglio, apertura ridotta, collo che paga insieme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L’episodio nasce dentro un risveglio</w:t>
            </w:r>
          </w:p>
        </w:tc>
        <w:tc>
          <w:tcPr/>
          <w:p>
            <w:pPr>
              <w:pStyle w:val="Compact"/>
            </w:pPr>
            <w:r>
              <w:t xml:space="preserve">Sonno non ristoratore, sintomo peggiore al risveglio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carico supera la massima forza da sveglio</w:t>
            </w:r>
          </w:p>
        </w:tc>
        <w:tc>
          <w:tcPr/>
          <w:p>
            <w:pPr>
              <w:pStyle w:val="Compact"/>
            </w:pPr>
            <w:r>
              <w:t xml:space="preserve">Masseteri ipertrofici, dolore che cala in mattinata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Mandibola e collo sono un motore solo</w:t>
            </w:r>
          </w:p>
        </w:tc>
        <w:tc>
          <w:tcPr/>
          <w:p>
            <w:pPr>
              <w:pStyle w:val="Compact"/>
            </w:pPr>
            <w:r>
              <w:t xml:space="preserve">Apertura che cambia correggendo la testa</w:t>
            </w:r>
          </w:p>
        </w:tc>
        <w:tc>
          <w:tcPr/>
          <w:p>
            <w:pPr>
              <w:pStyle w:val="Compact"/>
            </w:pPr>
            <w:r>
              <w:t xml:space="preserve">DIMOSTRATO l’integrazione motoria; PROBABILE l’associazione sui pazienti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Quanto stringe e quanto fa male sono due misure</w:t>
            </w:r>
          </w:p>
        </w:tc>
        <w:tc>
          <w:tcPr/>
          <w:p>
            <w:pPr>
              <w:pStyle w:val="Compact"/>
            </w:pPr>
            <w:r>
              <w:t xml:space="preserve">Dolore alto, digrignamento modesto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Ingressi che accendono il motore da sotto</w:t>
            </w:r>
          </w:p>
        </w:tc>
        <w:tc>
          <w:tcPr/>
          <w:p>
            <w:pPr>
              <w:pStyle w:val="Compact"/>
            </w:pPr>
            <w:r>
              <w:t xml:space="preserve">Peggiora dopo cena tarda, alcol, farmaco nuovo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Il meccanismo è solido, la leva è debole: sono due piani, e vanno tenuti separati quando parli.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Notturno con dolore mattutino</w:t>
            </w:r>
          </w:p>
        </w:tc>
        <w:tc>
          <w:tcPr/>
          <w:p>
            <w:pPr>
              <w:pStyle w:val="Compact"/>
            </w:pPr>
            <w:r>
              <w:t xml:space="preserve">Dolore massimo al risveglio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Serramento diurno</w:t>
            </w:r>
          </w:p>
        </w:tc>
        <w:tc>
          <w:tcPr/>
          <w:p>
            <w:pPr>
              <w:pStyle w:val="Compact"/>
            </w:pPr>
            <w:r>
              <w:t xml:space="preserve">Se ne accorge lavorando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evento articolare</w:t>
            </w:r>
          </w:p>
        </w:tc>
        <w:tc>
          <w:tcPr/>
          <w:p>
            <w:pPr>
              <w:pStyle w:val="Compact"/>
            </w:pPr>
            <w:r>
              <w:t xml:space="preserve">Click, scatto o blocco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dolore sproporzionato e diffuso</w:t>
            </w:r>
          </w:p>
        </w:tc>
        <w:tc>
          <w:tcPr/>
          <w:p>
            <w:pPr>
              <w:pStyle w:val="Compact"/>
            </w:pPr>
            <w:r>
              <w:t xml:space="preserve">Dolore alto, digrignamento modesto</w:t>
            </w:r>
          </w:p>
        </w:tc>
        <w:tc>
          <w:tcPr/>
          <w:p>
            <w:pPr>
              <w:pStyle w:val="Compact"/>
            </w:pPr>
            <w:r>
              <w:t xml:space="preserve">Poco per seduta, molto nel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farmaco o sostanza</w:t>
            </w:r>
          </w:p>
        </w:tc>
        <w:tc>
          <w:tcPr/>
          <w:p>
            <w:pPr>
              <w:pStyle w:val="Compact"/>
            </w:pPr>
            <w:r>
              <w:t xml:space="preserve">Comparso dopo un cambio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sospetto respiratorio nel sonno</w:t>
            </w:r>
          </w:p>
        </w:tc>
        <w:tc>
          <w:tcPr/>
          <w:p>
            <w:pPr>
              <w:pStyle w:val="Compact"/>
            </w:pPr>
            <w:r>
              <w:t xml:space="preserve">Pause riferite dal partner</w:t>
            </w:r>
          </w:p>
        </w:tc>
        <w:tc>
          <w:tcPr/>
          <w:p>
            <w:pPr>
              <w:pStyle w:val="Compact"/>
            </w:pPr>
            <w:r>
              <w:t xml:space="preserve">Invio prioritario, e intanto si lavora</w:t>
            </w:r>
          </w:p>
        </w:tc>
      </w:tr>
    </w:tbl>
    <w:p>
      <w:pPr>
        <w:pStyle w:val="BodyText"/>
      </w:pPr>
      <w:r>
        <w:t xml:space="preserve">Le caselle si sommano: il paziente più frequente stringe di giorno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digrigna di notte. Dopo i settant’anni cambia il terreno, non il pattern.</w:t>
      </w:r>
    </w:p>
    <w:p>
      <w:r>
        <w:pict>
          <v:rect style="width:0;height:1.5pt" o:hralign="center" o:hrstd="t" o:hr="t"/>
        </w:pict>
      </w:r>
    </w:p>
    <w:bookmarkEnd w:id="12"/>
    <w:bookmarkStart w:id="13" w:name="X96c78d7f8b9d2539df417f846761929ca736ef6"/>
    <w:p>
      <w:pPr>
        <w:pStyle w:val="Heading2"/>
      </w:pPr>
      <w:r>
        <w:t xml:space="preserve">5 · Cosa fa il paziente da solo</w:t>
      </w:r>
      <w:r>
        <w:t xml:space="preserve"> </w:t>
      </w:r>
      <w:r>
        <w:rPr>
          <w:i/>
          <w:iCs/>
        </w:rPr>
        <w:t xml:space="preserve">(blocco condizionale — D-011)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Autosservazione del serramento diurno</w:t>
            </w:r>
          </w:p>
        </w:tc>
        <w:tc>
          <w:tcPr/>
          <w:p>
            <w:pPr>
              <w:pStyle w:val="Compact"/>
            </w:pPr>
            <w:r>
              <w:t xml:space="preserve">Carico diurno e soglia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mandibolare, con stiramento</w:t>
            </w:r>
          </w:p>
        </w:tc>
        <w:tc>
          <w:tcPr/>
          <w:p>
            <w:pPr>
              <w:pStyle w:val="Compact"/>
            </w:pPr>
            <w:r>
              <w:t xml:space="preserve">Escursione e tolleranza al carico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Informazione e autogestione</w:t>
            </w:r>
          </w:p>
        </w:tc>
        <w:tc>
          <w:tcPr/>
          <w:p>
            <w:pPr>
              <w:pStyle w:val="Compact"/>
            </w:pPr>
            <w:r>
              <w:t xml:space="preserve">Soglia con cui il carico è riferito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Sul binario notturno il paziente non ha leve</w:t>
      </w:r>
      <w:r>
        <w:t xml:space="preserve"> </w:t>
      </w:r>
      <w:r>
        <w:rPr>
          <w:b/>
          <w:bCs/>
        </w:rPr>
        <w:t xml:space="preserve">nostre</w:t>
      </w:r>
      <w:r>
        <w:t xml:space="preserve">: igiene del sonno e rilassamento progressivo, provati con polisonnografia, non hanno mosso nessuna misura. Restano gli ingressi che abbassano la soglia — alcol, tabacco, caffè, cena tarda — e quelli si nominano e si rinviano, non si prescrivono.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· Le bandiere rosse</w:t>
      </w:r>
    </w:p>
    <w:p>
      <w:pPr>
        <w:pStyle w:val="FirstParagraph"/>
      </w:pPr>
      <w:r>
        <w:rPr>
          <w:b/>
          <w:bCs/>
        </w:rPr>
        <w:t xml:space="preserve">Blocco A — non si tratta nulla, in nessun distretto</w:t>
      </w:r>
    </w:p>
    <w:p>
      <w:pPr>
        <w:pStyle w:val="Compact"/>
        <w:numPr>
          <w:ilvl w:val="0"/>
          <w:numId w:val="1001"/>
        </w:numPr>
      </w:pPr>
      <w:r>
        <w:t xml:space="preserve">Dolore temporale nuovo dopo i 50 anni → pronto soccorso → urgente</w:t>
      </w:r>
    </w:p>
    <w:p>
      <w:pPr>
        <w:pStyle w:val="Compact"/>
        <w:numPr>
          <w:ilvl w:val="0"/>
          <w:numId w:val="1001"/>
        </w:numPr>
      </w:pPr>
      <w:r>
        <w:t xml:space="preserve">Affaticamento masticando che obbliga a fermarsi → pronto soccorso, o curante per VES e PCR → urgente</w:t>
      </w:r>
    </w:p>
    <w:p>
      <w:pPr>
        <w:pStyle w:val="Compact"/>
        <w:numPr>
          <w:ilvl w:val="0"/>
          <w:numId w:val="1001"/>
        </w:numPr>
      </w:pPr>
      <w:r>
        <w:t xml:space="preserve">Dolore masticando con calo della vista → pronto soccorso → 112</w:t>
      </w:r>
    </w:p>
    <w:p>
      <w:pPr>
        <w:pStyle w:val="Compact"/>
        <w:numPr>
          <w:ilvl w:val="0"/>
          <w:numId w:val="1001"/>
        </w:numPr>
      </w:pPr>
      <w:r>
        <w:t xml:space="preserve">Gonfiore caldo preauricolare con febbre → curante o pronto soccorso → urgente</w:t>
      </w:r>
    </w:p>
    <w:p>
      <w:pPr>
        <w:pStyle w:val="Compact"/>
        <w:numPr>
          <w:ilvl w:val="0"/>
          <w:numId w:val="1001"/>
        </w:numPr>
      </w:pPr>
      <w:r>
        <w:t xml:space="preserve">Dopo una seduta sul collo: cefalea o dolore cervicale che aumentano bruscamente, vertigine, nausea, vomito, disturbi visivi o della parola, formicolii nuovi → pronto soccorso → 112</w:t>
      </w:r>
    </w:p>
    <w:p>
      <w:pPr>
        <w:pStyle w:val="FirstParagraph"/>
      </w:pPr>
      <w:r>
        <w:rPr>
          <w:b/>
          <w:bCs/>
        </w:rPr>
        <w:t xml:space="preserve">Blocco B — invio non differibile, si può lavorare su un altro distretto</w:t>
      </w:r>
    </w:p>
    <w:p>
      <w:pPr>
        <w:pStyle w:val="Compact"/>
        <w:numPr>
          <w:ilvl w:val="0"/>
          <w:numId w:val="1002"/>
        </w:numPr>
      </w:pPr>
      <w:r>
        <w:t xml:space="preserve">Mandibola bloccata, non apre o non chiude → odontoiatra o maxillo-facciale → non attendere</w:t>
      </w:r>
    </w:p>
    <w:p>
      <w:pPr>
        <w:pStyle w:val="Compact"/>
        <w:numPr>
          <w:ilvl w:val="0"/>
          <w:numId w:val="1002"/>
        </w:numPr>
      </w:pPr>
      <w:r>
        <w:t xml:space="preserve">Apertura che cala fra due misure → odontoiatra o maxillo-facciale → non attendere</w:t>
      </w:r>
    </w:p>
    <w:p>
      <w:pPr>
        <w:pStyle w:val="Compact"/>
        <w:numPr>
          <w:ilvl w:val="0"/>
          <w:numId w:val="1002"/>
        </w:numPr>
      </w:pPr>
      <w:r>
        <w:t xml:space="preserve">Modifica recente dell’occlusione, o asimmetria comparsa → odontoiatra o maxillo-facciale → non attendere</w:t>
      </w:r>
    </w:p>
    <w:p>
      <w:pPr>
        <w:pStyle w:val="Compact"/>
        <w:numPr>
          <w:ilvl w:val="0"/>
          <w:numId w:val="1002"/>
        </w:numPr>
      </w:pPr>
      <w:r>
        <w:t xml:space="preserve">Anestesia di mento, labbro inferiore o guancia → curante o maxillo-facciale → non attendere, non è un formicolio</w:t>
      </w:r>
    </w:p>
    <w:p>
      <w:pPr>
        <w:pStyle w:val="Compact"/>
        <w:numPr>
          <w:ilvl w:val="0"/>
          <w:numId w:val="1002"/>
        </w:numPr>
      </w:pPr>
      <w:r>
        <w:t xml:space="preserve">Dolore facciale neuropatico progressivo → curante, poi maxillo-facciale o neurologo → non attendere</w:t>
      </w:r>
    </w:p>
    <w:p>
      <w:pPr>
        <w:pStyle w:val="Compact"/>
        <w:numPr>
          <w:ilvl w:val="0"/>
          <w:numId w:val="1002"/>
        </w:numPr>
      </w:pPr>
      <w:r>
        <w:t xml:space="preserve">Sintomi ORL unilaterali, o massa laterocervicale → curante, poi ORL → non attendere</w:t>
      </w:r>
    </w:p>
    <w:p>
      <w:pPr>
        <w:pStyle w:val="Compact"/>
        <w:numPr>
          <w:ilvl w:val="0"/>
          <w:numId w:val="1002"/>
        </w:numPr>
      </w:pPr>
      <w:r>
        <w:t xml:space="preserve">Dolore osseo in terapia antiriassorbitiva → odontoiatra o maxillo-facciale → non attendere</w:t>
      </w:r>
    </w:p>
    <w:p>
      <w:pPr>
        <w:pStyle w:val="Compact"/>
        <w:numPr>
          <w:ilvl w:val="0"/>
          <w:numId w:val="1002"/>
        </w:numPr>
      </w:pPr>
      <w:r>
        <w:t xml:space="preserve">Denti che si fratturano ripetutamente → odontoiatra → non attendere</w:t>
      </w:r>
    </w:p>
    <w:p>
      <w:pPr>
        <w:pStyle w:val="Compact"/>
        <w:numPr>
          <w:ilvl w:val="0"/>
          <w:numId w:val="1002"/>
        </w:numPr>
      </w:pPr>
      <w:r>
        <w:t xml:space="preserve">Quadro comparso dopo un nuovo farmaco → medico prescrittore → non attendere</w:t>
      </w:r>
    </w:p>
    <w:p>
      <w:pPr>
        <w:pStyle w:val="Compact"/>
        <w:numPr>
          <w:ilvl w:val="0"/>
          <w:numId w:val="1002"/>
        </w:numPr>
      </w:pPr>
      <w:r>
        <w:t xml:space="preserve">Morsicatura con sangue, o vocalizzazioni notturne → curante, poi neurologo o medicina del sonno → non attendere</w:t>
      </w:r>
    </w:p>
    <w:p>
      <w:pPr>
        <w:pStyle w:val="Compact"/>
        <w:numPr>
          <w:ilvl w:val="0"/>
          <w:numId w:val="1002"/>
        </w:numPr>
      </w:pPr>
      <w:r>
        <w:t xml:space="preserve">Russamento con pause respiratorie riferite → curante, medicina del sonno → invio</w:t>
      </w:r>
    </w:p>
    <w:p>
      <w:pPr>
        <w:pStyle w:val="Compact"/>
        <w:numPr>
          <w:ilvl w:val="0"/>
          <w:numId w:val="1002"/>
        </w:numPr>
      </w:pPr>
      <w:r>
        <w:t xml:space="preserve">Movimenti mandibolari involontari da sveglio → neurologo → invio</w:t>
      </w:r>
    </w:p>
    <w:p>
      <w:pPr>
        <w:pStyle w:val="FirstParagraph"/>
      </w:pPr>
      <w:r>
        <w:t xml:space="preserve">Il lavoro intra-orale, il triangolo anteriore del collo e il pavimento della bocca non sono bersaglio, su nessun paziente.</w:t>
      </w:r>
    </w:p>
    <w:p>
      <w:r>
        <w:pict>
          <v:rect style="width:0;height:1.5pt" o:hralign="center" o:hrstd="t" o:hr="t"/>
        </w:pict>
      </w:r>
    </w:p>
    <w:bookmarkEnd w:id="14"/>
    <w:bookmarkStart w:id="15" w:name="Xee5d32944cd2a03e761da8f109eae18850c7116"/>
    <w:p>
      <w:pPr>
        <w:pStyle w:val="Heading2"/>
      </w:pPr>
      <w:r>
        <w:t xml:space="preserve">7 · Come decidi, e su cosa verifichi</w:t>
      </w:r>
      <w:r>
        <w:t xml:space="preserve"> </w:t>
      </w:r>
      <w:r>
        <w:rPr>
          <w:i/>
          <w:iCs/>
        </w:rPr>
        <w:t xml:space="preserve">(blocco condizionale — D-018)</w:t>
      </w:r>
    </w:p>
    <w:p>
      <w:pPr>
        <w:pStyle w:val="FirstParagraph"/>
      </w:pPr>
      <w:r>
        <w:rPr>
          <w:b/>
          <w:bCs/>
        </w:rPr>
        <w:t xml:space="preserve">Road Map, dal regolatore all’esecutore:</w:t>
      </w:r>
      <w:r>
        <w:t xml:space="preserve"> </w:t>
      </w:r>
      <w:r>
        <w:t xml:space="preserve">ingressi esterni → evento meccanico d’esordio → livello di attivazione → piano comportamentale da sveglio → collo alto → articolazione e tolleranza del muscolo.</w:t>
      </w:r>
      <w:r>
        <w:t xml:space="preserve"> </w:t>
      </w:r>
      <w:r>
        <w:rPr>
          <w:i/>
          <w:iCs/>
        </w:rPr>
        <w:t xml:space="preserve">(Il triage di sicurezza viene prima di tutto e non è un passo di questa lista.)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attiva senza dolore</w:t>
            </w:r>
          </w:p>
        </w:tc>
        <w:tc>
          <w:tcPr/>
          <w:p>
            <w:pPr>
              <w:pStyle w:val="Compact"/>
            </w:pPr>
            <w:r>
              <w:t xml:space="preserve">Calibro fra bordi incisali, più overbite</w:t>
            </w:r>
          </w:p>
        </w:tc>
        <w:tc>
          <w:tcPr/>
          <w:p>
            <w:pPr>
              <w:pStyle w:val="Compact"/>
            </w:pPr>
            <w:r>
              <w:t xml:space="preserve">+6 mm dal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cervicale in flessione</w:t>
            </w:r>
          </w:p>
        </w:tc>
        <w:tc>
          <w:tcPr/>
          <w:p>
            <w:pPr>
              <w:pStyle w:val="Compact"/>
            </w:pPr>
            <w:r>
              <w:t xml:space="preserve">Test di flessione-rotazione, gradi</w:t>
            </w:r>
          </w:p>
        </w:tc>
        <w:tc>
          <w:tcPr/>
          <w:p>
            <w:pPr>
              <w:pStyle w:val="Compact"/>
            </w:pPr>
            <w:r>
              <w:t xml:space="preserve">+10° o oltre 32°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Muscoli mandibolari rilassati</w:t>
            </w:r>
          </w:p>
        </w:tc>
        <w:tc>
          <w:tcPr/>
          <w:p>
            <w:pPr>
              <w:pStyle w:val="Compact"/>
            </w:pPr>
            <w:r>
              <w:t xml:space="preserve">Conteggio a orari casuali, una settimana</w:t>
            </w:r>
          </w:p>
        </w:tc>
        <w:tc>
          <w:tcPr/>
          <w:p>
            <w:pPr>
              <w:pStyle w:val="Compact"/>
            </w:pPr>
            <w:r>
              <w:t xml:space="preserve">+10 punti percentuali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Frequenza respiratoria a riposo</w:t>
            </w:r>
          </w:p>
        </w:tc>
        <w:tc>
          <w:tcPr/>
          <w:p>
            <w:pPr>
              <w:pStyle w:val="Compact"/>
            </w:pPr>
            <w:r>
              <w:t xml:space="preserve">Sessanta secondi, a inizio seduta</w:t>
            </w:r>
          </w:p>
        </w:tc>
        <w:tc>
          <w:tcPr/>
          <w:p>
            <w:pPr>
              <w:pStyle w:val="Compact"/>
            </w:pPr>
            <w:r>
              <w:t xml:space="preserve">−2 atti al minuto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marker della prova appartiene a un piano che non hai trattato.</w:t>
      </w:r>
      <w:r>
        <w:t xml:space="preserve"> </w:t>
      </w:r>
      <w:r>
        <w:t xml:space="preserve">Si sceglie prima di toccare e non si cambia dopo. Quando non si muove, non si rinuncia: si rientra nella Road Map al passo successivo.</w:t>
      </w:r>
    </w:p>
    <w:p>
      <w:pPr>
        <w:pStyle w:val="BodyText"/>
      </w:pPr>
      <w:r>
        <w:rPr>
          <w:b/>
          <w:bCs/>
        </w:rPr>
        <w:t xml:space="preserve">La soglia dolorosa del massetere non è un marker:</w:t>
      </w:r>
      <w:r>
        <w:t xml:space="preserve"> </w:t>
      </w:r>
      <w:r>
        <w:t xml:space="preserve">contro trattamento finto non si è mossa. Si misura</w:t>
      </w:r>
      <w:r>
        <w:t xml:space="preserve"> </w:t>
      </w:r>
      <w:r>
        <w:rPr>
          <w:b/>
          <w:bCs/>
        </w:rPr>
        <w:t xml:space="preserve">una volta sola, al basale, su due punti</w:t>
      </w:r>
      <w:r>
        <w:t xml:space="preserve"> </w:t>
      </w:r>
      <w:r>
        <w:t xml:space="preserve">— il massetere e un punto fuori dalla faccia — e serve a stratificare. Bassa anche lontano dalla mandibola significa soglia abbassata, lavoro locale che rende poco, piano comportamentale che comanda. Il segnale fuori dalla faccia è misurato su mialgia temporo-mandibolare cronica, non su bruxisti (Cayrol, 2022 — PMID 35342987).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“Non ti prometto che smetterai di stringere. Ti prometto che misuriamo insieme, dall’inizio, se qualcosa si muove.”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Nel dolore miofasciale masticatorio seguito per cinque anni il 33% dei pazienti va in remissione e il 36% è ricorrente: due su tre migliorano almeno una volta senza di te (Rammelsberg,</w:t>
      </w:r>
      <w:r>
        <w:t xml:space="preserve"> </w:t>
      </w:r>
      <w:r>
        <w:rPr>
          <w:i/>
          <w:iCs/>
        </w:rPr>
        <w:t xml:space="preserve">J Orofac Pain</w:t>
      </w:r>
      <w:r>
        <w:t xml:space="preserve"> </w:t>
      </w:r>
      <w:r>
        <w:t xml:space="preserve">2003 — PMID 12756926). Questo ti autorizza a essere l’unico di tutto il percorso che prende una misura prima di toccare e la riprende dopo, e a leggere ogni miglioramento contro quel fondo. Non ti autorizza ad attribuirti un miglioramento che non hai verificato con un marker scelto prima: senza quello, non stai distinguendo il tuo lavoro dalla storia naturale.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Deviazioni dichiarate su questa Mappa: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D-011</w:t>
      </w:r>
      <w:r>
        <w:rPr>
          <w:i/>
          <w:iCs/>
        </w:rPr>
        <w:t xml:space="preserve"> </w:t>
      </w:r>
      <w:r>
        <w:rPr>
          <w:i/>
          <w:iCs/>
        </w:rPr>
        <w:t xml:space="preserve">(settimo blocco sugli strumenti attivi, dovuto perché il Capitolo 12 della Bibbia è attivo) 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D-018</w:t>
      </w:r>
      <w:r>
        <w:rPr>
          <w:i/>
          <w:iCs/>
        </w:rPr>
        <w:t xml:space="preserve"> </w:t>
      </w:r>
      <w:r>
        <w:rPr>
          <w:i/>
          <w:iCs/>
        </w:rPr>
        <w:t xml:space="preserve">(blocco sul ragionamento clinico e sui marker). Entrambe con stato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PROPOSTA</w:t>
      </w:r>
      <w:r>
        <w:rPr>
          <w:i/>
          <w:iCs/>
        </w:rP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2026-08-19T12:29:06Z</dcterms:created>
  <dcterms:modified xsi:type="dcterms:W3CDTF">2026-08-19T12:29:06Z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