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Cervicalgia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0" w:name="la-bibbia-della-cervicalgia"/>
    <w:p>
      <w:pPr>
        <w:pStyle w:val="Heading1"/>
      </w:pPr>
      <w:r>
        <w:t xml:space="preserve">La Bibbia della Cervicalgia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Gwendolen Jull (The University of Queensland) —</w:t>
      </w:r>
      <w:r>
        <w:t xml:space="preserve"> </w:t>
      </w:r>
      <w:r>
        <w:rPr>
          <w:b/>
          <w:bCs/>
        </w:rPr>
        <w:t xml:space="preserve">Ancora fisiologica:</w:t>
      </w:r>
      <w:r>
        <w:t xml:space="preserve"> </w:t>
      </w:r>
      <w:r>
        <w:t xml:space="preserve">Deborah Falla (University of Birmingham)</w:t>
      </w:r>
      <w:r>
        <w:t xml:space="preserve"> </w:t>
      </w:r>
      <w:r>
        <w:rPr>
          <w:b/>
          <w:bCs/>
        </w:rPr>
        <w:t xml:space="preserve">Versione:</w:t>
      </w:r>
      <w:r>
        <w:t xml:space="preserve"> </w:t>
      </w:r>
      <w:r>
        <w:t xml:space="preserve">v7.0 (revisione di lingua — 6º livello) —</w:t>
      </w:r>
      <w:r>
        <w:t xml:space="preserve"> </w:t>
      </w:r>
      <w:r>
        <w:rPr>
          <w:b/>
          <w:bCs/>
        </w:rPr>
        <w:t xml:space="preserve">Data:</w:t>
      </w:r>
      <w:r>
        <w:t xml:space="preserve"> </w:t>
      </w:r>
      <w:r>
        <w:t xml:space="preserve">agosto 2026</w:t>
      </w:r>
    </w:p>
    <w:p>
      <w:pPr>
        <w:pStyle w:val="BodyText"/>
      </w:pPr>
      <w:r>
        <w:rPr>
          <w:i/>
          <w:iCs/>
        </w:rPr>
        <w:t xml:space="preserve">Il corpo del documento è di 17.400 parole, contro un tetto di 13.000. La mappa di taglio del 4º livello è stata applicata per intero: tutti i RIDONDANTE e tutti i COMPRIMIBILE. Quello che resta non è ridondanza, è ampiezza. Il 38% del corpo è materiale che i livelli 2 e 3 hanno dichiarato intoccabile. La deviazione è registrata (D-019) invece che nascosta.</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dolore cervicale, non il piano di trattamento.</w:t>
      </w:r>
    </w:p>
    <w:p>
      <w:pPr>
        <w:pStyle w:val="FirstParagraph"/>
      </w:pPr>
      <w:r>
        <w:rPr>
          <w:b/>
          <w:bCs/>
        </w:rPr>
        <w:t xml:space="preserve">A chi parla.</w:t>
      </w:r>
      <w:r>
        <w:t xml:space="preserve"> </w:t>
      </w:r>
      <w:r>
        <w:t xml:space="preserve">All’osteopata del team. Qui non trovi cos’è il trapezio. Trovi cosa fa</w:t>
      </w:r>
      <w:r>
        <w:t xml:space="preserve"> </w:t>
      </w:r>
      <w:r>
        <w:rPr>
          <w:b/>
          <w:bCs/>
        </w:rPr>
        <w:t xml:space="preserve">in questa condizione</w:t>
      </w:r>
      <w:r>
        <w:t xml:space="preserve">, e perché quasi mai il problema è lui. Tecniche, dosi, sequenze e piano delle sedute stanno nella Procedura, due pagine a parte.</w:t>
      </w:r>
    </w:p>
    <w:p>
      <w:pPr>
        <w:pStyle w:val="BodyText"/>
      </w:pPr>
      <w:r>
        <w:rPr>
          <w:b/>
          <w:bCs/>
        </w:rPr>
        <w:t xml:space="preserve">Cosa non copre.</w:t>
      </w:r>
      <w:r>
        <w:t xml:space="preserve"> </w:t>
      </w:r>
      <w:r>
        <w:t xml:space="preserve">Il</w:t>
      </w:r>
      <w:r>
        <w:t xml:space="preserve"> </w:t>
      </w:r>
      <w:r>
        <w:rPr>
          <w:b/>
          <w:bCs/>
        </w:rPr>
        <w:t xml:space="preserve">disturbo associato a colpo di frusta</w:t>
      </w:r>
      <w:r>
        <w:t xml:space="preserve"> </w:t>
      </w:r>
      <w:r>
        <w:t xml:space="preserve">resta fuori. Ha prognosi, decorso e contesto medico-legale diversi. Dove i numeri di questo documento non valgono dopo un trauma, è scritto sul posto.</w:t>
      </w:r>
    </w:p>
    <w:p>
      <w:pPr>
        <w:pStyle w:val="BodyText"/>
      </w:pPr>
      <w:r>
        <w:rPr>
          <w:b/>
          <w:bCs/>
        </w:rPr>
        <w:t xml:space="preserve">Come si leggono le etichette.</w:t>
      </w:r>
      <w:r>
        <w:t xml:space="preserve"> </w:t>
      </w:r>
      <w:r>
        <w:t xml:space="preserve">Ogni meccanismo, ogni modello e ogni leva porta un box che dichiara quanto è solido. Le etichette sono quattro: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 E</w:t>
      </w:r>
      <w:r>
        <w:t xml:space="preserve"> </w:t>
      </w:r>
      <w:r>
        <w:rPr>
          <w:b/>
          <w:bCs/>
        </w:rPr>
        <w:t xml:space="preserve">IPOTESI significa</w:t>
      </w:r>
      <w:r>
        <w:rPr>
          <w:b/>
          <w:bCs/>
        </w:rPr>
        <w:t xml:space="preserve"> </w:t>
      </w:r>
      <w:r>
        <w:rPr>
          <w:b/>
          <w:bCs/>
        </w:rPr>
        <w:t xml:space="preserve">“nessuno ha misurato”</w:t>
      </w:r>
      <w:r>
        <w:t xml:space="preserve">. Non significa</w:t>
      </w:r>
      <w:r>
        <w:t xml:space="preserve"> </w:t>
      </w:r>
      <w:r>
        <w:t xml:space="preserve">“hanno misurato e non è venuto fuori niente”</w:t>
      </w:r>
      <w:r>
        <w:t xml:space="preserve">.</w:t>
      </w:r>
    </w:p>
    <w:p>
      <w:pPr>
        <w:pStyle w:val="BodyText"/>
      </w:pPr>
      <w:r>
        <w:rPr>
          <w:b/>
          <w:bCs/>
        </w:rPr>
        <w:t xml:space="preserve">Una precisazione su DIMOSTRATO, che qui serve tre volte.</w:t>
      </w:r>
      <w:r>
        <w:t xml:space="preserve"> </w:t>
      </w:r>
      <w:r>
        <w:t xml:space="preserve">L’etichetta copre tre cose:</w:t>
      </w:r>
    </w:p>
    <w:p>
      <w:pPr>
        <w:pStyle w:val="Compact"/>
        <w:numPr>
          <w:ilvl w:val="0"/>
          <w:numId w:val="1001"/>
        </w:numPr>
      </w:pPr>
      <w:r>
        <w:t xml:space="preserve">gli studi controllati sull’uomo;</w:t>
      </w:r>
    </w:p>
    <w:p>
      <w:pPr>
        <w:pStyle w:val="Compact"/>
        <w:numPr>
          <w:ilvl w:val="0"/>
          <w:numId w:val="1001"/>
        </w:numPr>
      </w:pPr>
      <w:r>
        <w:t xml:space="preserve">le coorti ampie con relazione dose-risposta;</w:t>
      </w:r>
    </w:p>
    <w:p>
      <w:pPr>
        <w:pStyle w:val="Compact"/>
        <w:numPr>
          <w:ilvl w:val="0"/>
          <w:numId w:val="1001"/>
        </w:numPr>
      </w:pPr>
      <w:r>
        <w:t xml:space="preserve">la misura sperimentale diretta nell’uomo.</w:t>
      </w:r>
    </w:p>
    <w:p>
      <w:pPr>
        <w:pStyle w:val="FirstParagraph"/>
      </w:pPr>
      <w:r>
        <w:t xml:space="preserve">Nei tre punti in cui questo documento la usa su una coorte, lo dichiara sul posto.</w:t>
      </w:r>
      <w:r>
        <w:t xml:space="preserve"> </w:t>
      </w:r>
      <w:r>
        <w:rPr>
          <w:b/>
          <w:bCs/>
        </w:rPr>
        <w:t xml:space="preserve">Non tutti i DIMOSTRATO che leggi qui sono studi randomizzati.</w:t>
      </w:r>
    </w:p>
    <w:p>
      <w:pPr>
        <w:pStyle w:val="BodyText"/>
      </w:pPr>
      <w:r>
        <w:rPr>
          <w:b/>
          <w:bCs/>
        </w:rPr>
        <w:t xml:space="preserve">Come si studia questa Bibbia.</w:t>
      </w:r>
    </w:p>
    <w:p>
      <w:pPr>
        <w:pStyle w:val="Compact"/>
        <w:numPr>
          <w:ilvl w:val="0"/>
          <w:numId w:val="1002"/>
        </w:numPr>
      </w:pPr>
      <w:r>
        <w:rPr>
          <w:b/>
          <w:bCs/>
        </w:rPr>
        <w:t xml:space="preserve">Prima lettura di fila, senza appunti.</w:t>
      </w:r>
      <w:r>
        <w:t xml:space="preserve"> </w:t>
      </w:r>
      <w:r>
        <w:t xml:space="preserve">Serve la mappa d’insieme. Quello che non torna si segna e si lascia lì.</w:t>
      </w:r>
    </w:p>
    <w:p>
      <w:pPr>
        <w:pStyle w:val="Compact"/>
        <w:numPr>
          <w:ilvl w:val="0"/>
          <w:numId w:val="1002"/>
        </w:numPr>
      </w:pPr>
      <w:r>
        <w:rPr>
          <w:b/>
          <w:bCs/>
        </w:rPr>
        <w:t xml:space="preserve">Seconda passata con un paziente vero in testa.</w:t>
      </w:r>
      <w:r>
        <w:t xml:space="preserve"> </w:t>
      </w:r>
      <w:r>
        <w:t xml:space="preserve">Rileggi solo «Cosa si rompe», «La lettura osteopatica»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sei meccanismi e da cosa si riconosce ciascuno.</w:t>
      </w:r>
      <w:r>
        <w:t xml:space="preserve"> </w:t>
      </w:r>
      <w:r>
        <w:rPr>
          <w:b/>
          <w:bCs/>
        </w:rPr>
        <w:t xml:space="preserve">Quello che non sai dire, non l’hai imparato</w:t>
      </w:r>
      <w:r>
        <w:t xml:space="preserve">, e torni solo lì. Le</w:t>
      </w:r>
      <w:r>
        <w:t xml:space="preserve"> </w:t>
      </w:r>
      <w:r>
        <w:rPr>
          <w:b/>
          <w:bCs/>
        </w:rPr>
        <w:t xml:space="preserve">tre cose da ricordare</w:t>
      </w:r>
      <w:r>
        <w:t xml:space="preserve"> </w:t>
      </w:r>
      <w:r>
        <w:t xml:space="preserve">di ogni capitolo sono la traccia di questa prova, non un riassunto.</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altro quando hai già visto un giallo.</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Questa Bibbia arriva fino al razionale della leva e si ferma lì.</w:t>
      </w:r>
    </w:p>
    <w:p>
      <w:pPr>
        <w:pStyle w:val="Compact"/>
        <w:numPr>
          <w:ilvl w:val="0"/>
          <w:numId w:val="1003"/>
        </w:numPr>
      </w:pPr>
      <w:r>
        <w:t xml:space="preserve">Ogni affermazione importante ha la sua etichetta: se manca, è un claim gonfiato.</w:t>
      </w:r>
    </w:p>
    <w:p>
      <w:pPr>
        <w:pStyle w:val="Compact"/>
        <w:numPr>
          <w:ilvl w:val="0"/>
          <w:numId w:val="1003"/>
        </w:numPr>
      </w:pPr>
      <w:r>
        <w:t xml:space="preserve">Sul collo il problema non è la povertà delle prove: è che dicono cose più modeste di quelle che si sentono.</w:t>
      </w:r>
    </w:p>
    <w:p>
      <w:pPr>
        <w:pStyle w:val="Compact"/>
        <w:numPr>
          <w:ilvl w:val="0"/>
          <w:numId w:val="1003"/>
        </w:numPr>
      </w:pPr>
      <w:r>
        <w:rPr>
          <w:b/>
          <w:bCs/>
        </w:rPr>
        <w:t xml:space="preserve">Perché ci sei tu.</w:t>
      </w:r>
      <w:r>
        <w:t xml:space="preserve"> </w:t>
      </w:r>
      <w:r>
        <w:t xml:space="preserve">Su 51 studi e 2.920 partecipanti, fra manipolazione e mobilizzazione nessuna delle due esce meglio dell’altra su nessun esito (Gross,</w:t>
      </w:r>
      <w:r>
        <w:t xml:space="preserve"> </w:t>
      </w:r>
      <w:r>
        <w:rPr>
          <w:i/>
          <w:iCs/>
        </w:rPr>
        <w:t xml:space="preserve">Cochrane</w:t>
      </w:r>
      <w:r>
        <w:t xml:space="preserve"> </w:t>
      </w:r>
      <w:r>
        <w:t xml:space="preserve">2015, PMID 26397370). La certezza dell’evidenza su ciascuna delle due va da molto bassa a bassa (Minnucci, PMID 37561605; Benetton, PMID 40019107). Questo ti autorizza a scegliere la tecnica sulla tolleranza del paziente e sul tuo reperto. Non ti autorizza a dire che una tecnica è più efficace di un’altra. E non ti autorizza a chiamare quel dato un’equivalenza dimostrata: è</w:t>
      </w:r>
      <w:r>
        <w:t xml:space="preserve"> </w:t>
      </w:r>
      <w:r>
        <w:rPr>
          <w:b/>
          <w:bCs/>
        </w:rPr>
        <w:t xml:space="preserve">l’assenza di una differenza rilevata</w:t>
      </w:r>
      <w:r>
        <w:t xml:space="preserve"> </w:t>
      </w:r>
      <w:r>
        <w:t xml:space="preserve">fra due interventi misurati male.</w:t>
      </w:r>
    </w:p>
    <w:p>
      <w:pPr>
        <w:pStyle w:val="FirstParagraph"/>
      </w:pPr>
      <w:r>
        <w:t xml:space="preserve">Buon nutrimento!</w:t>
      </w:r>
    </w:p>
    <w:p>
      <w:r>
        <w:pict>
          <v:rect style="width:0;height:1.5pt" o:hralign="center" o:hrstd="t" o:hr="t"/>
        </w:pict>
      </w:r>
    </w:p>
    <w:bookmarkEnd w:id="9"/>
    <w:bookmarkStart w:id="13"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ha smesso di girare la testa e gira il busto, e a cui hanno detto che è normale.</w:t>
      </w:r>
    </w:p>
    <w:bookmarkStart w:id="10" w:name="come-lo-racconta-lui"/>
    <w:p>
      <w:pPr>
        <w:pStyle w:val="Heading3"/>
      </w:pPr>
      <w:r>
        <w:t xml:space="preserve">Come lo racconta lui</w:t>
      </w:r>
    </w:p>
    <w:p>
      <w:pPr>
        <w:pStyle w:val="FirstParagraph"/>
      </w:pPr>
      <w:r>
        <w:t xml:space="preserve">Non dice</w:t>
      </w:r>
      <w:r>
        <w:t xml:space="preserve"> </w:t>
      </w:r>
      <w:r>
        <w:t xml:space="preserve">“cervicalgia”</w:t>
      </w:r>
      <w:r>
        <w:t xml:space="preserve">. Dice</w:t>
      </w:r>
      <w:r>
        <w:t xml:space="preserve"> </w:t>
      </w:r>
      <w:r>
        <w:rPr>
          <w:i/>
          <w:iCs/>
        </w:rPr>
        <w:t xml:space="preserve">“il collo non gira più”</w:t>
      </w:r>
      <w:r>
        <w:t xml:space="preserve">, e lo racconta con la retromarcia:</w:t>
      </w:r>
      <w:r>
        <w:t xml:space="preserve"> </w:t>
      </w:r>
      <w:r>
        <w:rPr>
          <w:i/>
          <w:iCs/>
        </w:rPr>
        <w:t xml:space="preserve">“devo girare tutto il busto, perché la testa da sola non arriva.”</w:t>
      </w:r>
      <w:r>
        <w:t xml:space="preserve"> </w:t>
      </w:r>
      <w:r>
        <w:t xml:space="preserve">Un gesto automatico è diventato una manovra.</w:t>
      </w:r>
    </w:p>
    <w:p>
      <w:pPr>
        <w:pStyle w:val="BodyText"/>
      </w:pPr>
      <w:r>
        <w:t xml:space="preserve">Poi arriva l’orario:</w:t>
      </w:r>
      <w:r>
        <w:t xml:space="preserve"> </w:t>
      </w:r>
      <w:r>
        <w:rPr>
          <w:i/>
          <w:iCs/>
        </w:rPr>
        <w:t xml:space="preserve">“alle cinque sento la morsa che sale dalla nuca.”</w:t>
      </w:r>
      <w:r>
        <w:t xml:space="preserve"> </w:t>
      </w:r>
      <w:r>
        <w:t xml:space="preserve">E poi il risveglio:</w:t>
      </w:r>
      <w:r>
        <w:t xml:space="preserve"> </w:t>
      </w:r>
      <w:r>
        <w:rPr>
          <w:i/>
          <w:iCs/>
        </w:rPr>
        <w:t xml:space="preserve">“ho cambiato tre cuscini, e mi sveglio lo stesso bloccato.”</w:t>
      </w:r>
    </w:p>
    <w:p>
      <w:pPr>
        <w:pStyle w:val="BodyText"/>
      </w:pPr>
      <w:r>
        <w:t xml:space="preserve">Poi la parte che non sembra collo:</w:t>
      </w:r>
      <w:r>
        <w:t xml:space="preserve"> </w:t>
      </w:r>
      <w:r>
        <w:rPr>
          <w:i/>
          <w:iCs/>
        </w:rPr>
        <w:t xml:space="preserve">“il mal di testa parte dal collo e mi prende le tempie”</w:t>
      </w:r>
      <w:r>
        <w:t xml:space="preserve">,</w:t>
      </w:r>
      <w:r>
        <w:t xml:space="preserve"> </w:t>
      </w:r>
      <w:r>
        <w:rPr>
          <w:i/>
          <w:iCs/>
        </w:rPr>
        <w:t xml:space="preserve">“ogni tanto le dita si addormentano”</w:t>
      </w:r>
      <w:r>
        <w:t xml:space="preserve">. Il dolore lo sopporta, il formicolio no.</w:t>
      </w:r>
    </w:p>
    <w:p>
      <w:pPr>
        <w:pStyle w:val="BodyText"/>
      </w:pPr>
      <w:r>
        <w:t xml:space="preserve">Infine, con imbarazzo:</w:t>
      </w:r>
      <w:r>
        <w:t xml:space="preserve"> </w:t>
      </w:r>
      <w:r>
        <w:rPr>
          <w:i/>
          <w:iCs/>
        </w:rPr>
        <w:t xml:space="preserve">“sono diventato più nervoso, più corto.”</w:t>
      </w:r>
      <w:r>
        <w:t xml:space="preserve"> </w:t>
      </w:r>
      <w:r>
        <w:t xml:space="preserve">Otto ore di collo bloccato e di testa che pulsa logorano chiunque.</w:t>
      </w:r>
    </w:p>
    <w:bookmarkEnd w:id="10"/>
    <w:bookmarkStart w:id="11" w:name="cosa-ha-già-fatto"/>
    <w:p>
      <w:pPr>
        <w:pStyle w:val="Heading3"/>
      </w:pPr>
      <w:r>
        <w:t xml:space="preserve">Cosa ha già fatto</w:t>
      </w:r>
    </w:p>
    <w:p>
      <w:pPr>
        <w:pStyle w:val="FirstParagraph"/>
      </w:pPr>
      <w:r>
        <w:t xml:space="preserve">Antinfiammatori, sempre più spesso: non ricorda l’ultima settimana senza. A volte un miorilassante, spesso un gel. Massaggi:</w:t>
      </w:r>
      <w:r>
        <w:t xml:space="preserve"> </w:t>
      </w:r>
      <w:r>
        <w:rPr>
          <w:i/>
          <w:iCs/>
        </w:rPr>
        <w:t xml:space="preserve">“esco che sono un altro, il terzo giorno sono da capo.”</w:t>
      </w:r>
      <w:r>
        <w:t xml:space="preserve"> </w:t>
      </w:r>
      <w:r>
        <w:t xml:space="preserve">Radiografia e spesso risonanza, con protrusioni e rettilineizzazione: una sentenza senza spiegazione. Sedia ergonomica, esercizi online, fisioterapia, che per un po’ lo ha fatto stare meglio. E la frase che gli ha tolto la voglia di riprovare:</w:t>
      </w:r>
      <w:r>
        <w:t xml:space="preserve"> </w:t>
      </w:r>
      <w:r>
        <w:rPr>
          <w:i/>
          <w:iCs/>
        </w:rPr>
        <w:t xml:space="preserve">“è la cervicale, ci convivono tutti.”</w:t>
      </w:r>
    </w:p>
    <w:p>
      <w:pPr>
        <w:pStyle w:val="BlockText"/>
      </w:pPr>
      <w:r>
        <w:rPr>
          <w:b/>
          <w:bCs/>
        </w:rPr>
        <w:t xml:space="preserve">Cosa cambia per te.</w:t>
      </w:r>
      <w:r>
        <w:t xml:space="preserve"> </w:t>
      </w:r>
      <w:r>
        <w:t xml:space="preserve">C’è una domanda che quasi nessuno gli fa, e devi fargliela tu:</w:t>
      </w:r>
      <w:r>
        <w:t xml:space="preserve"> </w:t>
      </w:r>
      <w:r>
        <w:rPr>
          <w:i/>
          <w:iCs/>
        </w:rPr>
        <w:t xml:space="preserve">quanti giorni al mese prendi qualcosa per il dolore?</w:t>
      </w:r>
      <w:r>
        <w:t xml:space="preserve"> </w:t>
      </w:r>
      <w:r>
        <w:t xml:space="preserve">Contati, non stimati. Dieci giorni o più da oltre tre mesi, con mal di testa quasi quotidiano, fanno di lui il candidato alla</w:t>
      </w:r>
      <w:r>
        <w:t xml:space="preserve"> </w:t>
      </w:r>
      <w:r>
        <w:rPr>
          <w:b/>
          <w:bCs/>
        </w:rPr>
        <w:t xml:space="preserve">cefalea da uso eccessivo di farmaci</w:t>
      </w:r>
      <w:r>
        <w:t xml:space="preserve">, cioè il mal di testa che l’analgesico stesso mantiene. Finché quel punto non lo affronta chi prescrive, il collo che tratti non ti dirà la verità.</w:t>
      </w:r>
    </w:p>
    <w:bookmarkEnd w:id="11"/>
    <w:bookmarkStart w:id="12" w:name="cosa-nessuno-ha-guardato"/>
    <w:p>
      <w:pPr>
        <w:pStyle w:val="Heading3"/>
      </w:pPr>
      <w:r>
        <w:t xml:space="preserve">Cosa nessuno ha guardato</w:t>
      </w:r>
    </w:p>
    <w:p>
      <w:pPr>
        <w:pStyle w:val="FirstParagraph"/>
      </w:pPr>
      <w:r>
        <w:t xml:space="preserve">Radiografia e risonanza escludono cose importanti, ma guardano</w:t>
      </w:r>
      <w:r>
        <w:t xml:space="preserve"> </w:t>
      </w:r>
      <w:r>
        <w:rPr>
          <w:b/>
          <w:bCs/>
        </w:rPr>
        <w:t xml:space="preserve">la struttura ferma</w:t>
      </w:r>
      <w:r>
        <w:t xml:space="preserve">: è la foto di un motore spento, che dice com’è fatto e non come gira. Nessuno ha guardato</w:t>
      </w:r>
      <w:r>
        <w:t xml:space="preserve"> </w:t>
      </w:r>
      <w:r>
        <w:rPr>
          <w:b/>
          <w:bCs/>
        </w:rPr>
        <w:t xml:space="preserve">il controllo del movimento</w:t>
      </w:r>
      <w:r>
        <w:t xml:space="preserve">: quali muscoli si accendono e in che ordine quando alza un braccio, quanto tiene la flessione profonda, quanta rotazione resta al primo segmento, quanto respiro c’è. Non è di quel campo. È del tuo.</w:t>
      </w:r>
    </w:p>
    <w:p>
      <w:pPr>
        <w:pStyle w:val="BodyText"/>
      </w:pPr>
      <w:r>
        <w:rPr>
          <w:b/>
          <w:bCs/>
        </w:rPr>
        <w:t xml:space="preserve">Ma non è sempre lui.</w:t>
      </w:r>
      <w:r>
        <w:t xml:space="preserve"> </w:t>
      </w:r>
      <w:r>
        <w:t xml:space="preserve">Quello che hai letto è l’adulto al computer, senza deficit. Cinque pazienti diversi cambiano le regole:</w:t>
      </w:r>
    </w:p>
    <w:p>
      <w:pPr>
        <w:pStyle w:val="Compact"/>
        <w:numPr>
          <w:ilvl w:val="0"/>
          <w:numId w:val="1004"/>
        </w:numPr>
      </w:pPr>
      <w:r>
        <w:rPr>
          <w:b/>
          <w:bCs/>
        </w:rPr>
        <w:t xml:space="preserve">trauma recente</w:t>
      </w:r>
      <w:r>
        <w:t xml:space="preserve"> </w:t>
      </w:r>
      <w:r>
        <w:t xml:space="preserve">→ vai a «Dove finisce il nostro campo». Il colpo di frusta di mesi o anni fa sta fuori dal perimetro di questa Bibbia: va detto, non assimilato al resto;</w:t>
      </w:r>
    </w:p>
    <w:p>
      <w:pPr>
        <w:pStyle w:val="Compact"/>
        <w:numPr>
          <w:ilvl w:val="0"/>
          <w:numId w:val="1004"/>
        </w:numPr>
      </w:pPr>
      <w:r>
        <w:rPr>
          <w:b/>
          <w:bCs/>
        </w:rPr>
        <w:t xml:space="preserve">formicolio che peggiora ogni settimana</w:t>
      </w:r>
      <w:r>
        <w:t xml:space="preserve"> </w:t>
      </w:r>
      <w:r>
        <w:t xml:space="preserve">→ si inquadra prima, non si tratta meglio;</w:t>
      </w:r>
    </w:p>
    <w:p>
      <w:pPr>
        <w:pStyle w:val="Compact"/>
        <w:numPr>
          <w:ilvl w:val="0"/>
          <w:numId w:val="1004"/>
        </w:numPr>
      </w:pPr>
      <w:r>
        <w:rPr>
          <w:b/>
          <w:bCs/>
        </w:rPr>
        <w:t xml:space="preserve">oltre i sessantacinque anni, scrittura peggiorata e inciampi</w:t>
      </w:r>
      <w:r>
        <w:t xml:space="preserve"> </w:t>
      </w:r>
      <w:r>
        <w:t xml:space="preserve">→ il sospetto non è muscolo-scheletrico;</w:t>
      </w:r>
    </w:p>
    <w:p>
      <w:pPr>
        <w:pStyle w:val="Compact"/>
        <w:numPr>
          <w:ilvl w:val="0"/>
          <w:numId w:val="1004"/>
        </w:numPr>
      </w:pPr>
      <w:r>
        <w:rPr>
          <w:b/>
          <w:bCs/>
        </w:rPr>
        <w:t xml:space="preserve">donna oltre i cinquanta, dolore bilaterale a collo e cingoli, rigidità mattutina lunga</w:t>
      </w:r>
      <w:r>
        <w:t xml:space="preserve"> </w:t>
      </w:r>
      <w:r>
        <w:t xml:space="preserve">→ è il quadro sistemico che somiglia di più al carico posturale, e non lo è;</w:t>
      </w:r>
    </w:p>
    <w:p>
      <w:pPr>
        <w:pStyle w:val="Compact"/>
        <w:numPr>
          <w:ilvl w:val="0"/>
          <w:numId w:val="1004"/>
        </w:numPr>
      </w:pPr>
      <w:r>
        <w:rPr>
          <w:b/>
          <w:bCs/>
        </w:rPr>
        <w:t xml:space="preserve">antidolorifico quasi ogni giorno da mesi</w:t>
      </w:r>
      <w:r>
        <w:t xml:space="preserve"> </w:t>
      </w:r>
      <w:r>
        <w:t xml:space="preserve">→ il problema non sta nel collo.</w:t>
      </w:r>
    </w:p>
    <w:p>
      <w:pPr>
        <w:pStyle w:val="FirstParagraph"/>
      </w:pPr>
      <w:r>
        <w:t xml:space="preserve">Le ultime quattro non sono eccezioni rare: il picco è fra i</w:t>
      </w:r>
      <w:r>
        <w:t xml:space="preserve"> </w:t>
      </w:r>
      <w:r>
        <w:rPr>
          <w:b/>
          <w:bCs/>
        </w:rPr>
        <w:t xml:space="preserve">45 e i 74 anni</w:t>
      </w:r>
      <w:r>
        <w:t xml:space="preserve">, più spesso femminile. Il paziente-tipo del computer è il più frequente, non il solo.</w:t>
      </w:r>
    </w:p>
    <w:p>
      <w:pPr>
        <w:pStyle w:val="BodyText"/>
      </w:pPr>
      <w:r>
        <w:rPr>
          <w:b/>
          <w:bCs/>
        </w:rPr>
        <w:t xml:space="preserve">Le tre domande che ti farà</w:t>
      </w:r>
      <w:r>
        <w:t xml:space="preserve"> </w:t>
      </w:r>
      <w:r>
        <w:t xml:space="preserve">riguardano le protrusioni, la paura dello scrocchio e i massaggi che durano tre giorni. Le risposte stanno in «Che cos’è davvero», in «Dove finisce il nostro campo» insieme a «Cosa dire al paziente», e in «Cosa si rompe».</w:t>
      </w:r>
    </w:p>
    <w:p>
      <w:pPr>
        <w:pStyle w:val="BodyText"/>
      </w:pPr>
      <w:r>
        <w:rPr>
          <w:b/>
          <w:bCs/>
        </w:rPr>
        <w:t xml:space="preserve">Le tre cose da ricordare, più una</w:t>
      </w:r>
    </w:p>
    <w:p>
      <w:pPr>
        <w:pStyle w:val="Compact"/>
        <w:numPr>
          <w:ilvl w:val="0"/>
          <w:numId w:val="1005"/>
        </w:numPr>
      </w:pPr>
      <w:r>
        <w:t xml:space="preserve">Arriva con un gesto perso e un orario fisso: la retromarcia e le cinque. Sono i suoi veri esiti.</w:t>
      </w:r>
    </w:p>
    <w:p>
      <w:pPr>
        <w:pStyle w:val="Compact"/>
        <w:numPr>
          <w:ilvl w:val="0"/>
          <w:numId w:val="1005"/>
        </w:numPr>
      </w:pPr>
      <w:r>
        <w:t xml:space="preserve">Porta sintomi che non sembrano collo — mal di testa dalla nuca, formicolio, testa pesante — che nessuno gli ha mai collegato.</w:t>
      </w:r>
    </w:p>
    <w:p>
      <w:pPr>
        <w:pStyle w:val="Compact"/>
        <w:numPr>
          <w:ilvl w:val="0"/>
          <w:numId w:val="1005"/>
        </w:numPr>
      </w:pPr>
      <w:r>
        <w:t xml:space="preserve">Il percorso medico ha guardato la struttura ferma; tu guardi il controllo. E conti i giorni di farmaco.</w:t>
      </w:r>
    </w:p>
    <w:p>
      <w:pPr>
        <w:pStyle w:val="Compact"/>
        <w:numPr>
          <w:ilvl w:val="0"/>
          <w:numId w:val="1005"/>
        </w:numPr>
      </w:pPr>
      <w:r>
        <w:rPr>
          <w:b/>
          <w:bCs/>
        </w:rPr>
        <w:t xml:space="preserve">Perché ci sei tu.</w:t>
      </w:r>
      <w:r>
        <w:t xml:space="preserve"> </w:t>
      </w:r>
      <w:r>
        <w:t xml:space="preserve">Fra chi ha un mal di testa primario l’85,7% ha anche dolore al collo. Fra chi non ha mal di testa la quota scende al 56,7% (Ashina,</w:t>
      </w:r>
      <w:r>
        <w:t xml:space="preserve"> </w:t>
      </w:r>
      <w:r>
        <w:rPr>
          <w:i/>
          <w:iCs/>
        </w:rPr>
        <w:t xml:space="preserve">Cephalalgia</w:t>
      </w:r>
      <w:r>
        <w:t xml:space="preserve"> </w:t>
      </w:r>
      <w:r>
        <w:t xml:space="preserve">2015, PMID 24853166). Questo ti autorizza a chiedere della testa a chi entra per il collo, e viceversa. Non ti autorizza a dire che il collo causa l’emicrania: la co-occorrenza non dice in che direzione va la freccia.</w:t>
      </w:r>
    </w:p>
    <w:p>
      <w:r>
        <w:pict>
          <v:rect style="width:0;height:1.5pt" o:hralign="center" o:hrstd="t" o:hr="t"/>
        </w:pict>
      </w:r>
    </w:p>
    <w:bookmarkEnd w:id="12"/>
    <w:bookmarkEnd w:id="13"/>
    <w:bookmarkStart w:id="19" w:name="capitolo-2-che-cosè-davvero"/>
    <w:p>
      <w:pPr>
        <w:pStyle w:val="Heading2"/>
      </w:pPr>
      <w:r>
        <w:t xml:space="preserve">Capitolo 2 — Che cos’è davvero</w:t>
      </w:r>
    </w:p>
    <w:p>
      <w:pPr>
        <w:pStyle w:val="BlockText"/>
      </w:pPr>
      <w:r>
        <w:rPr>
          <w:b/>
          <w:bCs/>
        </w:rPr>
        <w:t xml:space="preserve">In una riga:</w:t>
      </w:r>
      <w:r>
        <w:t xml:space="preserve"> </w:t>
      </w:r>
      <w:r>
        <w:t xml:space="preserve">la cervicalgia non è una malattia ma un episodio che ritorna, e il referto descrive quasi sempre qualcosa che hanno anche le persone senza dolore.</w:t>
      </w:r>
    </w:p>
    <w:bookmarkStart w:id="14" w:name="la-definizione"/>
    <w:p>
      <w:pPr>
        <w:pStyle w:val="Heading3"/>
      </w:pPr>
      <w:r>
        <w:t xml:space="preserve">La definizione</w:t>
      </w:r>
    </w:p>
    <w:p>
      <w:pPr>
        <w:pStyle w:val="FirstParagraph"/>
      </w:pPr>
      <w:r>
        <w:t xml:space="preserve">Il dolore si percepisce nella regione posteriore del collo, dalla linea nucale superiore alla prima vertebra toracica, con o senza irradiazione. La definizione che serve in stanza è della task force internazionale:</w:t>
      </w:r>
      <w:r>
        <w:t xml:space="preserve"> </w:t>
      </w:r>
      <w:r>
        <w:rPr>
          <w:b/>
          <w:bCs/>
        </w:rPr>
        <w:t xml:space="preserve">un fenomeno episodico lungo l’arco della vita, con recuperi variabili fra un episodio e l’altro</w:t>
      </w:r>
      <w:r>
        <w:t xml:space="preserve"> </w:t>
      </w:r>
      <w:r>
        <w:t xml:space="preserve">(Guzman,</w:t>
      </w:r>
      <w:r>
        <w:t xml:space="preserve"> </w:t>
      </w:r>
      <w:r>
        <w:rPr>
          <w:i/>
          <w:iCs/>
        </w:rPr>
        <w:t xml:space="preserve">Spine</w:t>
      </w:r>
      <w:r>
        <w:t xml:space="preserve"> </w:t>
      </w:r>
      <w:r>
        <w:t xml:space="preserve">2008, PMID 18204387).</w:t>
      </w:r>
    </w:p>
    <w:p>
      <w:pPr>
        <w:pStyle w:val="BodyText"/>
      </w:pPr>
      <w:r>
        <w:rPr>
          <w:b/>
          <w:bCs/>
        </w:rPr>
        <w:t xml:space="preserve">Episodico</w:t>
      </w:r>
      <w:r>
        <w:t xml:space="preserve"> </w:t>
      </w:r>
      <w:r>
        <w:t xml:space="preserve">vuol dire questo: non un collo rotto, ma un collo che si rompe periodicamente.</w:t>
      </w:r>
      <w:r>
        <w:t xml:space="preserve"> </w:t>
      </w:r>
      <w:r>
        <w:rPr>
          <w:b/>
          <w:bCs/>
        </w:rPr>
        <w:t xml:space="preserve">Recuperi variabili</w:t>
      </w:r>
      <w:r>
        <w:t xml:space="preserve"> </w:t>
      </w:r>
      <w:r>
        <w:t xml:space="preserve">vuol dire che alcuni tornano al pieno e altri no. Il bersaglio è quel residuo, non l’episodio.</w:t>
      </w:r>
    </w:p>
    <w:bookmarkEnd w:id="14"/>
    <w:bookmarkStart w:id="15" w:name="quanto-è-diffusa"/>
    <w:p>
      <w:pPr>
        <w:pStyle w:val="Heading3"/>
      </w:pPr>
      <w:r>
        <w:t xml:space="preserve">Quanto è diffusa</w:t>
      </w:r>
    </w:p>
    <w:p>
      <w:pPr>
        <w:pStyle w:val="FirstParagraph"/>
      </w:pPr>
      <w:r>
        <w:t xml:space="preserve">Nel 2020 riguardava 203 milioni di persone nel mondo. Colpisce più le donne, e il picco è fra i 45 e i 74 anni (GBD 2021 Neck Pain Collaborators,</w:t>
      </w:r>
      <w:r>
        <w:t xml:space="preserve"> </w:t>
      </w:r>
      <w:r>
        <w:rPr>
          <w:i/>
          <w:iCs/>
        </w:rPr>
        <w:t xml:space="preserve">Lancet Rheumatol</w:t>
      </w:r>
      <w:r>
        <w:t xml:space="preserve"> </w:t>
      </w:r>
      <w:r>
        <w:t xml:space="preserve">2024, PMID 38383088).</w:t>
      </w:r>
    </w:p>
    <w:p>
      <w:pPr>
        <w:pStyle w:val="BodyText"/>
      </w:pPr>
      <w:r>
        <w:rPr>
          <w:b/>
          <w:bCs/>
        </w:rPr>
        <w:t xml:space="preserve">Per te:</w:t>
      </w:r>
      <w:r>
        <w:t xml:space="preserve"> </w:t>
      </w:r>
      <w:r>
        <w:t xml:space="preserve">il tuo paziente-tipo non è il ventenne curvo sul telefono. Se costruisci la spiegazione attorno allo smartphone parli alla popolazione sbagliata. Se costruisci il differenziale attorno al solo meccanico, perdi il resto.</w:t>
      </w:r>
    </w:p>
    <w:bookmarkEnd w:id="15"/>
    <w:bookmarkStart w:id="16" w:name="come-evolve-se-non-fai-nulla"/>
    <w:p>
      <w:pPr>
        <w:pStyle w:val="Heading3"/>
      </w:pPr>
      <w:r>
        <w:t xml:space="preserve">Come evolve se non fai nulla</w:t>
      </w:r>
    </w:p>
    <w:p>
      <w:pPr>
        <w:pStyle w:val="FirstParagraph"/>
      </w:pPr>
      <w:r>
        <w:t xml:space="preserve">Evolve meglio di quanto si creda, e questo decorso spontaneo è il dato che ti protegge dal prenderti meriti non tuoi. Nel dolore cervicale acuto</w:t>
      </w:r>
      <w:r>
        <w:t xml:space="preserve"> </w:t>
      </w:r>
      <w:r>
        <w:rPr>
          <w:b/>
          <w:bCs/>
        </w:rPr>
        <w:t xml:space="preserve">idiopatico</w:t>
      </w:r>
      <w:r>
        <w:t xml:space="preserve">, cioè senza una causa identificata, il dolore medio parte da 64 su 100 e scende a 35 dopo sei settimane e mezzo. A dodici mesi è risalito a 42. La disabilità scende da 30 a 17, e poi si ferma (Hush,</w:t>
      </w:r>
      <w:r>
        <w:t xml:space="preserve"> </w:t>
      </w:r>
      <w:r>
        <w:rPr>
          <w:i/>
          <w:iCs/>
        </w:rPr>
        <w:t xml:space="preserve">Arch Phys Med Rehabil</w:t>
      </w:r>
      <w:r>
        <w:t xml:space="preserve"> </w:t>
      </w:r>
      <w:r>
        <w:t xml:space="preserve">2011, PMID 21458776).</w:t>
      </w:r>
    </w:p>
    <w:p>
      <w:pPr>
        <w:pStyle w:val="BodyText"/>
      </w:pPr>
      <w:r>
        <w:rPr>
          <w:b/>
          <w:bCs/>
        </w:rPr>
        <w:t xml:space="preserve">Per te:</w:t>
      </w:r>
      <w:r>
        <w:t xml:space="preserve"> </w:t>
      </w:r>
      <w:r>
        <w:t xml:space="preserve">la discesa delle prime sei settimane è storia naturale, non merito tuo. E quei 29 punti su 100</w:t>
      </w:r>
      <w:r>
        <w:t xml:space="preserve"> </w:t>
      </w:r>
      <w:r>
        <w:rPr>
          <w:b/>
          <w:bCs/>
        </w:rPr>
        <w:t xml:space="preserve">superano la minima differenza clinicamente importante</w:t>
      </w:r>
      <w:r>
        <w:t xml:space="preserve">: un paziente non trattato raggiunge da solo un miglioramento che percepisce.</w:t>
      </w:r>
      <w:r>
        <w:t xml:space="preserve"> </w:t>
      </w:r>
      <w:r>
        <w:rPr>
          <w:b/>
          <w:bCs/>
        </w:rPr>
        <w:t xml:space="preserve">Il tuo obiettivo verificabile è il plateau</w:t>
      </w:r>
      <w:r>
        <w:t xml:space="preserve">, cioè quel 42 a un anno e la disabilità ferma. Due avvertenze: la parola che delimita quei numeri è</w:t>
      </w:r>
      <w:r>
        <w:t xml:space="preserve"> </w:t>
      </w:r>
      <w:r>
        <w:rPr>
          <w:b/>
          <w:bCs/>
        </w:rPr>
        <w:t xml:space="preserve">idiopatico</w:t>
      </w:r>
      <w:r>
        <w:t xml:space="preserve">, e</w:t>
      </w:r>
      <w:r>
        <w:t xml:space="preserve"> </w:t>
      </w:r>
      <w:r>
        <w:rPr>
          <w:b/>
          <w:bCs/>
        </w:rPr>
        <w:t xml:space="preserve">quei numeri non valgono dopo un trauma</w:t>
      </w:r>
      <w:r>
        <w:t xml:space="preserve">.</w:t>
      </w:r>
    </w:p>
    <w:p>
      <w:pPr>
        <w:pStyle w:val="BodyText"/>
      </w:pPr>
      <w:r>
        <w:t xml:space="preserve">Il secondo dato spiega perché torna: fra metà e tre quarti di chi ha dolore al collo oggi lo riavrà entro uno-cinque anni (Carroll,</w:t>
      </w:r>
      <w:r>
        <w:t xml:space="preserve"> </w:t>
      </w:r>
      <w:r>
        <w:rPr>
          <w:i/>
          <w:iCs/>
        </w:rPr>
        <w:t xml:space="preserve">Spine</w:t>
      </w:r>
      <w:r>
        <w:t xml:space="preserve"> </w:t>
      </w:r>
      <w:r>
        <w:t xml:space="preserve">2008, PMID 18204403).</w:t>
      </w:r>
    </w:p>
    <w:p>
      <w:pPr>
        <w:pStyle w:val="BodyText"/>
      </w:pPr>
      <w:r>
        <w:rPr>
          <w:b/>
          <w:bCs/>
        </w:rPr>
        <w:t xml:space="preserve">Per te:</w:t>
      </w:r>
      <w:r>
        <w:t xml:space="preserve"> </w:t>
      </w:r>
      <w:r>
        <w:t xml:space="preserve">“questo passerà”</w:t>
      </w:r>
      <w:r>
        <w:t xml:space="preserve"> </w:t>
      </w:r>
      <w:r>
        <w:t xml:space="preserve">è vero e insufficiente. Passerà e tornerà. Quello su cui si lavora è</w:t>
      </w:r>
      <w:r>
        <w:t xml:space="preserve"> </w:t>
      </w:r>
      <w:r>
        <w:rPr>
          <w:b/>
          <w:bCs/>
        </w:rPr>
        <w:t xml:space="preserve">la frequenza degli episodi e quanto ne esce ogni volta.</w:t>
      </w:r>
    </w:p>
    <w:bookmarkEnd w:id="16"/>
    <w:bookmarkStart w:id="17" w:name="X33366b177538ae9fd773a963d812086931f46b7"/>
    <w:p>
      <w:pPr>
        <w:pStyle w:val="Heading3"/>
      </w:pPr>
      <w:r>
        <w:t xml:space="preserve">Cosa dicono le etichette diagnostiche, e cosa non dicono</w:t>
      </w:r>
    </w:p>
    <w:p>
      <w:pPr>
        <w:pStyle w:val="FirstParagraph"/>
      </w:pPr>
      <w:r>
        <w:t xml:space="preserve">Arriva con due parole del referto:</w:t>
      </w:r>
      <w:r>
        <w:t xml:space="preserve"> </w:t>
      </w:r>
      <w:r>
        <w:rPr>
          <w:b/>
          <w:bCs/>
        </w:rPr>
        <w:t xml:space="preserve">protrusione</w:t>
      </w:r>
      <w:r>
        <w:t xml:space="preserve"> </w:t>
      </w:r>
      <w:r>
        <w:t xml:space="preserve">e</w:t>
      </w:r>
      <w:r>
        <w:t xml:space="preserve"> </w:t>
      </w:r>
      <w:r>
        <w:rPr>
          <w:b/>
          <w:bCs/>
        </w:rPr>
        <w:t xml:space="preserve">rettilineizzazione</w:t>
      </w:r>
      <w:r>
        <w:t xml:space="preserve">.</w:t>
      </w:r>
    </w:p>
    <w:p>
      <w:pPr>
        <w:pStyle w:val="BlockText"/>
      </w:pPr>
      <w:r>
        <w:rPr>
          <w:b/>
          <w:bCs/>
        </w:rPr>
        <w:t xml:space="preserve">Definizione.</w:t>
      </w:r>
      <w:r>
        <w:t xml:space="preserve"> </w:t>
      </w:r>
      <w:r>
        <w:rPr>
          <w:i/>
          <w:iCs/>
        </w:rPr>
        <w:t xml:space="preserve">Protrusione discale</w:t>
      </w:r>
      <w:r>
        <w:t xml:space="preserve">: il disco sporge oltre il bordo del corpo vertebrale, senza rottura dell’anello esterno.</w:t>
      </w:r>
      <w:r>
        <w:t xml:space="preserve"> </w:t>
      </w:r>
      <w:r>
        <w:rPr>
          <w:i/>
          <w:iCs/>
        </w:rPr>
        <w:t xml:space="preserve">Rettilineizzazione</w:t>
      </w:r>
      <w:r>
        <w:t xml:space="preserve">: la curva a concavità posteriore del collo appare ridotta o assente sulla radiografia laterale.</w:t>
      </w:r>
    </w:p>
    <w:p>
      <w:pPr>
        <w:pStyle w:val="FirstParagraph"/>
      </w:pPr>
      <w:r>
        <w:t xml:space="preserve">Su 1.211 persone</w:t>
      </w:r>
      <w:r>
        <w:t xml:space="preserve"> </w:t>
      </w:r>
      <w:r>
        <w:rPr>
          <w:b/>
          <w:bCs/>
        </w:rPr>
        <w:t xml:space="preserve">senza alcun sintomo al collo</w:t>
      </w:r>
      <w:r>
        <w:t xml:space="preserve">, l’87,6% aveva almeno un disco che sporgeva. Fra i ventenni erano già tre su quattro. La compressione del midollo si vedeva nel 5,3% e l’alterazione di segnale nel 2,3%, e tutte e due crescevano molto dopo i cinquant’anni (Nakashima,</w:t>
      </w:r>
      <w:r>
        <w:t xml:space="preserve"> </w:t>
      </w:r>
      <w:r>
        <w:rPr>
          <w:i/>
          <w:iCs/>
        </w:rPr>
        <w:t xml:space="preserve">Spine</w:t>
      </w:r>
      <w:r>
        <w:t xml:space="preserve"> </w:t>
      </w:r>
      <w:r>
        <w:t xml:space="preserve">2015, PMID 25584950).</w:t>
      </w:r>
    </w:p>
    <w:p>
      <w:pPr>
        <w:pStyle w:val="BodyText"/>
      </w:pPr>
      <w:r>
        <w:rPr>
          <w:b/>
          <w:bCs/>
        </w:rPr>
        <w:t xml:space="preserve">Per te:</w:t>
      </w:r>
      <w:r>
        <w:t xml:space="preserve"> </w:t>
      </w:r>
      <w:r>
        <w:t xml:space="preserve">due frasi, da dire insieme.</w:t>
      </w:r>
      <w:r>
        <w:t xml:space="preserve"> </w:t>
      </w:r>
      <w:r>
        <w:rPr>
          <w:i/>
          <w:iCs/>
        </w:rPr>
        <w:t xml:space="preserve">“Quella protrusione ce l’hanno nove persone su dieci che non hanno male.”</w:t>
      </w:r>
      <w:r>
        <w:t xml:space="preserve"> </w:t>
      </w:r>
      <w:r>
        <w:t xml:space="preserve">E poi:</w:t>
      </w:r>
      <w:r>
        <w:t xml:space="preserve"> </w:t>
      </w:r>
      <w:r>
        <w:rPr>
          <w:i/>
          <w:iCs/>
        </w:rPr>
        <w:t xml:space="preserve">“la risonanza serve lo stesso. Una minoranza di referti descrive cose diverse — un midollo compresso, un segnale alterato — e quelle contano.”</w:t>
      </w:r>
      <w:r>
        <w:t xml:space="preserve"> </w:t>
      </w:r>
      <w:r>
        <w:t xml:space="preserve">La diagnosi è atto medico: qui impari a</w:t>
      </w:r>
      <w:r>
        <w:t xml:space="preserve"> </w:t>
      </w:r>
      <w:r>
        <w:rPr>
          <w:b/>
          <w:bCs/>
        </w:rPr>
        <w:t xml:space="preserve">leggere</w:t>
      </w:r>
      <w:r>
        <w:t xml:space="preserve"> </w:t>
      </w:r>
      <w:r>
        <w:t xml:space="preserve">un referto per capire cosa non spiega.</w:t>
      </w:r>
    </w:p>
    <w:bookmarkEnd w:id="17"/>
    <w:bookmarkStart w:id="18" w:name="cosa-non-è"/>
    <w:p>
      <w:pPr>
        <w:pStyle w:val="Heading3"/>
      </w:pPr>
      <w:r>
        <w:t xml:space="preserve">Cosa non 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Quadro</w:t>
            </w:r>
          </w:p>
        </w:tc>
        <w:tc>
          <w:tcPr/>
          <w:p>
            <w:pPr>
              <w:pStyle w:val="Compact"/>
            </w:pPr>
            <w:r>
              <w:t xml:space="preserve">Il segno che lo separa</w:t>
            </w:r>
          </w:p>
        </w:tc>
        <w:tc>
          <w:tcPr/>
          <w:p>
            <w:pPr>
              <w:pStyle w:val="Compact"/>
            </w:pPr>
            <w:r>
              <w:t xml:space="preserve">Fonte</w:t>
            </w:r>
          </w:p>
        </w:tc>
      </w:tr>
      <w:tr>
        <w:tc>
          <w:tcPr/>
          <w:p>
            <w:pPr>
              <w:pStyle w:val="Compact"/>
            </w:pPr>
            <w:r>
              <w:t xml:space="preserve">Cefalea tensiva</w:t>
            </w:r>
          </w:p>
        </w:tc>
        <w:tc>
          <w:tcPr/>
          <w:p>
            <w:pPr>
              <w:pStyle w:val="Compact"/>
            </w:pPr>
            <w:r>
              <w:t xml:space="preserve">Bilaterale, costrittiva, non si riproduce col collo</w:t>
            </w:r>
          </w:p>
        </w:tc>
        <w:tc>
          <w:tcPr/>
          <w:p>
            <w:pPr>
              <w:pStyle w:val="Compact"/>
            </w:pPr>
            <w:r>
              <w:t xml:space="preserve">—</w:t>
            </w:r>
          </w:p>
        </w:tc>
      </w:tr>
      <w:tr>
        <w:tc>
          <w:tcPr/>
          <w:p>
            <w:pPr>
              <w:pStyle w:val="Compact"/>
            </w:pPr>
            <w:r>
              <w:t xml:space="preserve">Emicrania</w:t>
            </w:r>
          </w:p>
        </w:tc>
        <w:tc>
          <w:tcPr/>
          <w:p>
            <w:pPr>
              <w:pStyle w:val="Compact"/>
            </w:pPr>
            <w:r>
              <w:t xml:space="preserve">Fotofobia, nausea, pulsatilità</w:t>
            </w:r>
          </w:p>
        </w:tc>
        <w:tc>
          <w:tcPr/>
          <w:p>
            <w:pPr>
              <w:pStyle w:val="Compact"/>
            </w:pPr>
            <w:r>
              <w:t xml:space="preserve">—</w:t>
            </w:r>
          </w:p>
        </w:tc>
      </w:tr>
      <w:tr>
        <w:tc>
          <w:tcPr/>
          <w:p>
            <w:pPr>
              <w:pStyle w:val="Compact"/>
            </w:pPr>
            <w:r>
              <w:t xml:space="preserve">Cefalea da uso eccessivo di farmaci</w:t>
            </w:r>
          </w:p>
        </w:tc>
        <w:tc>
          <w:tcPr/>
          <w:p>
            <w:pPr>
              <w:pStyle w:val="Compact"/>
            </w:pPr>
            <w:r>
              <w:t xml:space="preserve">Cefalea 15+ giorni al mese, analgesici quasi quotidiani</w:t>
            </w:r>
          </w:p>
        </w:tc>
        <w:tc>
          <w:tcPr/>
          <w:p>
            <w:pPr>
              <w:pStyle w:val="Compact"/>
            </w:pPr>
            <w:r>
              <w:t xml:space="preserve">Hong, PMID 39497031</w:t>
            </w:r>
          </w:p>
        </w:tc>
      </w:tr>
      <w:tr>
        <w:tc>
          <w:tcPr/>
          <w:p>
            <w:pPr>
              <w:pStyle w:val="Compact"/>
            </w:pPr>
            <w:r>
              <w:t xml:space="preserve">Polimialgia reumatica</w:t>
            </w:r>
          </w:p>
        </w:tc>
        <w:tc>
          <w:tcPr/>
          <w:p>
            <w:pPr>
              <w:pStyle w:val="Compact"/>
            </w:pPr>
            <w:r>
              <w:t xml:space="preserve">Bilaterale ai cingoli, dopo i 50 anni</w:t>
            </w:r>
          </w:p>
        </w:tc>
        <w:tc>
          <w:tcPr/>
          <w:p>
            <w:pPr>
              <w:pStyle w:val="Compact"/>
            </w:pPr>
            <w:r>
              <w:t xml:space="preserve">González-Gay, PMID 28774422</w:t>
            </w:r>
          </w:p>
        </w:tc>
      </w:tr>
      <w:tr>
        <w:tc>
          <w:tcPr/>
          <w:p>
            <w:pPr>
              <w:pStyle w:val="Compact"/>
            </w:pPr>
            <w:r>
              <w:t xml:space="preserve">Cuffia o conflitto sub-acromiale</w:t>
            </w:r>
          </w:p>
        </w:tc>
        <w:tc>
          <w:tcPr/>
          <w:p>
            <w:pPr>
              <w:pStyle w:val="Compact"/>
            </w:pPr>
            <w:r>
              <w:t xml:space="preserve">Si riproduce coi movimenti della spalla</w:t>
            </w:r>
          </w:p>
        </w:tc>
        <w:tc>
          <w:tcPr/>
          <w:p>
            <w:pPr>
              <w:pStyle w:val="Compact"/>
            </w:pPr>
            <w:r>
              <w:t xml:space="preserve">—</w:t>
            </w:r>
          </w:p>
        </w:tc>
      </w:tr>
      <w:tr>
        <w:tc>
          <w:tcPr/>
          <w:p>
            <w:pPr>
              <w:pStyle w:val="Compact"/>
            </w:pPr>
            <w:r>
              <w:t xml:space="preserve">Capsulite adesiva</w:t>
            </w:r>
          </w:p>
        </w:tc>
        <w:tc>
          <w:tcPr/>
          <w:p>
            <w:pPr>
              <w:pStyle w:val="Compact"/>
            </w:pPr>
            <w:r>
              <w:t xml:space="preserve">Limitazione passiva e globale, rotazione esterna per prima</w:t>
            </w:r>
          </w:p>
        </w:tc>
        <w:tc>
          <w:tcPr/>
          <w:p>
            <w:pPr>
              <w:pStyle w:val="Compact"/>
            </w:pPr>
            <w:r>
              <w:t xml:space="preserve">—</w:t>
            </w:r>
          </w:p>
        </w:tc>
      </w:tr>
      <w:tr>
        <w:tc>
          <w:tcPr/>
          <w:p>
            <w:pPr>
              <w:pStyle w:val="Compact"/>
            </w:pPr>
            <w:r>
              <w:t xml:space="preserve">Stretto toracico superiore</w:t>
            </w:r>
          </w:p>
        </w:tc>
        <w:tc>
          <w:tcPr/>
          <w:p>
            <w:pPr>
              <w:pStyle w:val="Compact"/>
            </w:pPr>
            <w:r>
              <w:t xml:space="preserve">Formicolio non radicolare, legato alla posizione del braccio</w:t>
            </w:r>
          </w:p>
        </w:tc>
        <w:tc>
          <w:tcPr/>
          <w:p>
            <w:pPr>
              <w:pStyle w:val="Compact"/>
            </w:pPr>
            <w:r>
              <w:t xml:space="preserve">—</w:t>
            </w:r>
          </w:p>
        </w:tc>
      </w:tr>
      <w:tr>
        <w:tc>
          <w:tcPr/>
          <w:p>
            <w:pPr>
              <w:pStyle w:val="Compact"/>
            </w:pPr>
            <w:r>
              <w:t xml:space="preserve">Tunnel carpale</w:t>
            </w:r>
          </w:p>
        </w:tc>
        <w:tc>
          <w:tcPr/>
          <w:p>
            <w:pPr>
              <w:pStyle w:val="Compact"/>
            </w:pPr>
            <w:r>
              <w:t xml:space="preserve">Notturno, prime tre dita, spesso bilaterale</w:t>
            </w:r>
          </w:p>
        </w:tc>
        <w:tc>
          <w:tcPr/>
          <w:p>
            <w:pPr>
              <w:pStyle w:val="Compact"/>
            </w:pPr>
            <w:r>
              <w:t xml:space="preserve">Dong e Liu, PMID 36593820</w:t>
            </w:r>
          </w:p>
        </w:tc>
      </w:tr>
      <w:tr>
        <w:tc>
          <w:tcPr/>
          <w:p>
            <w:pPr>
              <w:pStyle w:val="Compact"/>
            </w:pPr>
            <w:r>
              <w:t xml:space="preserve">Polineuropatia</w:t>
            </w:r>
          </w:p>
        </w:tc>
        <w:tc>
          <w:tcPr/>
          <w:p>
            <w:pPr>
              <w:pStyle w:val="Compact"/>
            </w:pPr>
            <w:r>
              <w:t xml:space="preserve">Distale e simmetrica,</w:t>
            </w:r>
            <w:r>
              <w:t xml:space="preserve"> </w:t>
            </w:r>
            <w:r>
              <w:t xml:space="preserve">“a calza e guanto”</w:t>
            </w:r>
          </w:p>
        </w:tc>
        <w:tc>
          <w:tcPr/>
          <w:p>
            <w:pPr>
              <w:pStyle w:val="Compact"/>
            </w:pPr>
            <w:r>
              <w:t xml:space="preserve">—</w:t>
            </w:r>
          </w:p>
        </w:tc>
      </w:tr>
      <w:tr>
        <w:tc>
          <w:tcPr/>
          <w:p>
            <w:pPr>
              <w:pStyle w:val="Compact"/>
            </w:pPr>
            <w:r>
              <w:t xml:space="preserve">Mielopatia cervicale degenerativa</w:t>
            </w:r>
          </w:p>
        </w:tc>
        <w:tc>
          <w:tcPr/>
          <w:p>
            <w:pPr>
              <w:pStyle w:val="Compact"/>
            </w:pPr>
            <w:r>
              <w:t xml:space="preserve">Non dolore: perdita di funzione</w:t>
            </w:r>
          </w:p>
        </w:tc>
        <w:tc>
          <w:tcPr/>
          <w:p>
            <w:pPr>
              <w:pStyle w:val="Compact"/>
            </w:pPr>
            <w:r>
              <w:t xml:space="preserve">—</w:t>
            </w:r>
          </w:p>
        </w:tc>
      </w:tr>
      <w:tr>
        <w:tc>
          <w:tcPr/>
          <w:p>
            <w:pPr>
              <w:pStyle w:val="Compact"/>
            </w:pPr>
            <w:r>
              <w:t xml:space="preserve">Dolore riferito cardiaco o dell’apice polmonare</w:t>
            </w:r>
          </w:p>
        </w:tc>
        <w:tc>
          <w:tcPr/>
          <w:p>
            <w:pPr>
              <w:pStyle w:val="Compact"/>
            </w:pPr>
            <w:r>
              <w:t xml:space="preserve">Arriva alla spalla e alla base del collo</w:t>
            </w:r>
          </w:p>
        </w:tc>
        <w:tc>
          <w:tcPr/>
          <w:p>
            <w:pPr>
              <w:pStyle w:val="Compact"/>
            </w:pPr>
            <w:r>
              <w:t xml:space="preserve">—</w:t>
            </w:r>
          </w:p>
        </w:tc>
      </w:tr>
    </w:tbl>
    <w:p>
      <w:pPr>
        <w:pStyle w:val="BodyText"/>
      </w:pPr>
      <w:r>
        <w:t xml:space="preserve">Quattro dettagli che nella tabella non ci stavano. Nella cefalea da uso eccessivo di farmaci gli analgesici semplici si prendono quindici giorni al mese o più, dieci se sono triptani, oppioidi o associazioni. E li prende così da oltre 3 mesi. Nella polimialgia reumatica cerchi anche una rigidità mattutina lunga e gli indici di flogosi alterati. Il dolore della cuffia peggiora quando il braccio sale sopra la linea della spalla. Nel tunnel carpale la prevalenza arriva al 39,3% nel diabete di tipo 2 di lunga durata.</w:t>
      </w:r>
    </w:p>
    <w:p>
      <w:pPr>
        <w:pStyle w:val="BodyText"/>
      </w:pPr>
      <w:r>
        <w:t xml:space="preserve">Su 635 pazienti con cefalea da uso eccessivo di farmaci, il 57,6% aveva dolore al collo. La quota con dolore cervicale intenso scendeva insieme alla risoluzione della cefalea,</w:t>
      </w:r>
      <w:r>
        <w:t xml:space="preserve"> </w:t>
      </w:r>
      <w:r>
        <w:rPr>
          <w:b/>
          <w:bCs/>
        </w:rPr>
        <w:t xml:space="preserve">non al trattamento del collo</w:t>
      </w:r>
      <w:r>
        <w:t xml:space="preserve"> </w:t>
      </w:r>
      <w:r>
        <w:t xml:space="preserve">(Hong, PMID 39497031).</w:t>
      </w:r>
    </w:p>
    <w:p>
      <w:pPr>
        <w:pStyle w:val="BodyText"/>
      </w:pPr>
      <w:r>
        <w:t xml:space="preserve">Nella polineuropatia i piedi vengono prima delle mani, e la domanda che la trova è una sola:</w:t>
      </w:r>
      <w:r>
        <w:t xml:space="preserve"> </w:t>
      </w:r>
      <w:r>
        <w:rPr>
          <w:i/>
          <w:iCs/>
        </w:rPr>
        <w:t xml:space="preserve">ce l’hai anche ai piedi?</w:t>
      </w:r>
    </w:p>
    <w:p>
      <w:pPr>
        <w:pStyle w:val="BodyText"/>
      </w:pPr>
      <w:r>
        <w:rPr>
          <w:b/>
          <w:bCs/>
        </w:rPr>
        <w:t xml:space="preserve">Le tre cose da ricordare, più una</w:t>
      </w:r>
    </w:p>
    <w:p>
      <w:pPr>
        <w:pStyle w:val="Compact"/>
        <w:numPr>
          <w:ilvl w:val="0"/>
          <w:numId w:val="1006"/>
        </w:numPr>
      </w:pPr>
      <w:r>
        <w:t xml:space="preserve">La cervicalgia è episodica: non un collo rotto, un collo che si rompe periodicamente.</w:t>
      </w:r>
    </w:p>
    <w:p>
      <w:pPr>
        <w:pStyle w:val="Compact"/>
        <w:numPr>
          <w:ilvl w:val="0"/>
          <w:numId w:val="1006"/>
        </w:numPr>
      </w:pPr>
      <w:r>
        <w:t xml:space="preserve">La discesa delle prime sei settimane è storia naturale e supera la soglia di rilevanza clinica: il bersaglio è il plateau a dodici mesi.</w:t>
      </w:r>
    </w:p>
    <w:p>
      <w:pPr>
        <w:pStyle w:val="Compact"/>
        <w:numPr>
          <w:ilvl w:val="0"/>
          <w:numId w:val="1006"/>
        </w:numPr>
      </w:pPr>
      <w:r>
        <w:t xml:space="preserve">Il referto descrive quasi sempre reperti che hanno anche gli asintomatici, e in pochi casi cose che contano.</w:t>
      </w:r>
    </w:p>
    <w:p>
      <w:pPr>
        <w:pStyle w:val="Compact"/>
        <w:numPr>
          <w:ilvl w:val="0"/>
          <w:numId w:val="1006"/>
        </w:numPr>
      </w:pPr>
      <w:r>
        <w:rPr>
          <w:b/>
          <w:bCs/>
        </w:rPr>
        <w:t xml:space="preserve">Perché ci sei tu.</w:t>
      </w:r>
      <w:r>
        <w:t xml:space="preserve"> </w:t>
      </w:r>
      <w:r>
        <w:t xml:space="preserve">Su 1.211 persone senza sintomi, l’87,6% aveva un disco che sporgeva (Nakashima,</w:t>
      </w:r>
      <w:r>
        <w:t xml:space="preserve"> </w:t>
      </w:r>
      <w:r>
        <w:rPr>
          <w:i/>
          <w:iCs/>
        </w:rPr>
        <w:t xml:space="preserve">Spine</w:t>
      </w:r>
      <w:r>
        <w:t xml:space="preserve"> </w:t>
      </w:r>
      <w:r>
        <w:t xml:space="preserve">2015, PMID 25584950). Questo ti autorizza a spostare il paziente dalla struttura alla funzione. Non ti autorizza a dire che la risonanza non serve: il 5,3% con compressione midollare è il motivo per cui serve.</w:t>
      </w:r>
    </w:p>
    <w:p>
      <w:r>
        <w:pict>
          <v:rect style="width:0;height:1.5pt" o:hralign="center" o:hrstd="t" o:hr="t"/>
        </w:pict>
      </w:r>
    </w:p>
    <w:bookmarkEnd w:id="18"/>
    <w:bookmarkEnd w:id="19"/>
    <w:bookmarkStart w:id="20" w:name="capitolo-3-le-strutture-in-gioco"/>
    <w:p>
      <w:pPr>
        <w:pStyle w:val="Heading2"/>
      </w:pPr>
      <w:r>
        <w:t xml:space="preserve">Capitolo 3 — Le strutture in gioco</w:t>
      </w:r>
    </w:p>
    <w:p>
      <w:pPr>
        <w:pStyle w:val="BlockText"/>
      </w:pPr>
      <w:r>
        <w:rPr>
          <w:b/>
          <w:bCs/>
        </w:rPr>
        <w:t xml:space="preserve">In una riga:</w:t>
      </w:r>
      <w:r>
        <w:t xml:space="preserve"> </w:t>
      </w:r>
      <w:r>
        <w:t xml:space="preserve">il collo è prima di tutto un organo di senso, e solo dopo una colonna che regge un peso.</w:t>
      </w:r>
    </w:p>
    <w:p>
      <w:pPr>
        <w:pStyle w:val="FirstParagraph"/>
      </w:pPr>
      <w:r>
        <w:rPr>
          <w:b/>
          <w:bCs/>
        </w:rPr>
        <w:t xml:space="preserve">Il complesso C0-C1-C2.</w:t>
      </w:r>
      <w:r>
        <w:t xml:space="preserve"> </w:t>
      </w:r>
      <w:r>
        <w:t xml:space="preserve">L’occipite sull’atlante fa sì e no. L’atlante sull’epistrofeo fa quasi metà della rotazione totale del collo, e quando il resto del collo è in flessione la rotazione che resta è quasi tutta sua.</w:t>
      </w:r>
      <w:r>
        <w:t xml:space="preserve"> </w:t>
      </w:r>
      <w:r>
        <w:rPr>
          <w:b/>
          <w:bCs/>
        </w:rPr>
        <w:t xml:space="preserve">Perché conta qui.</w:t>
      </w:r>
      <w:r>
        <w:t xml:space="preserve"> </w:t>
      </w:r>
      <w:r>
        <w:t xml:space="preserve">È il segmento che misura il test di rotazione in flessione, ed è quello che il paziente con mal di testa dalla nuca porta ristretto. Se non lo isoli, misuri sette articolazioni insieme.</w:t>
      </w:r>
    </w:p>
    <w:p>
      <w:pPr>
        <w:pStyle w:val="BlockText"/>
      </w:pPr>
      <w:r>
        <w:rPr>
          <w:b/>
          <w:bCs/>
        </w:rPr>
        <w:t xml:space="preserve">Attenzione.</w:t>
      </w:r>
      <w:r>
        <w:t xml:space="preserve"> </w:t>
      </w:r>
      <w:r>
        <w:t xml:space="preserve">È anche il segmento a rischio più alto del collo. Le arterie vertebrali ci passano dentro, e la dissecazione — la lacerazione della parete dell’arteria — si presenta con dolore cervicale e cefalea. «Dove finisce il nostro campo» non è un capitolo da leggere dopo.</w:t>
      </w:r>
    </w:p>
    <w:p>
      <w:pPr>
        <w:pStyle w:val="FirstParagraph"/>
      </w:pPr>
      <w:r>
        <w:rPr>
          <w:b/>
          <w:bCs/>
        </w:rPr>
        <w:t xml:space="preserve">I flessori cervicali profondi — longo del collo e lungo della testa.</w:t>
      </w:r>
      <w:r>
        <w:t xml:space="preserve"> </w:t>
      </w:r>
      <w:r>
        <w:t xml:space="preserve">Sono due muscoli sottili davanti alle vertebre, che nessuno vede né palpa. Tengono i segmenti allineati</w:t>
      </w:r>
      <w:r>
        <w:t xml:space="preserve"> </w:t>
      </w:r>
      <w:r>
        <w:rPr>
          <w:b/>
          <w:bCs/>
        </w:rPr>
        <w:t xml:space="preserve">prima</w:t>
      </w:r>
      <w:r>
        <w:t xml:space="preserve"> </w:t>
      </w:r>
      <w:r>
        <w:t xml:space="preserve">che il movimento arrivi: muscoli di anticipo, non di forza.</w:t>
      </w:r>
    </w:p>
    <w:p>
      <w:pPr>
        <w:pStyle w:val="BodyText"/>
      </w:pPr>
      <w:r>
        <w:rPr>
          <w:b/>
          <w:bCs/>
        </w:rPr>
        <w:t xml:space="preserve">Perché contano qui.</w:t>
      </w:r>
      <w:r>
        <w:t xml:space="preserve"> </w:t>
      </w:r>
      <w:r>
        <w:t xml:space="preserve">Il longo del collo ha un’alta densità di</w:t>
      </w:r>
      <w:r>
        <w:t xml:space="preserve"> </w:t>
      </w:r>
      <w:r>
        <w:rPr>
          <w:b/>
          <w:bCs/>
        </w:rPr>
        <w:t xml:space="preserve">fusi neuromuscolari</w:t>
      </w:r>
      <w:r>
        <w:t xml:space="preserve">; il multifido cervicale ne ha molti meno (Boyd-Clark,</w:t>
      </w:r>
      <w:r>
        <w:t xml:space="preserve"> </w:t>
      </w:r>
      <w:r>
        <w:rPr>
          <w:i/>
          <w:iCs/>
        </w:rPr>
        <w:t xml:space="preserve">Spine</w:t>
      </w:r>
      <w:r>
        <w:t xml:space="preserve"> </w:t>
      </w:r>
      <w:r>
        <w:t xml:space="preserve">2002, PMID 11923661). Il fuso sta</w:t>
      </w:r>
      <w:r>
        <w:t xml:space="preserve"> </w:t>
      </w:r>
      <w:r>
        <w:rPr>
          <w:b/>
          <w:bCs/>
        </w:rPr>
        <w:t xml:space="preserve">in parallelo</w:t>
      </w:r>
      <w:r>
        <w:t xml:space="preserve"> </w:t>
      </w:r>
      <w:r>
        <w:t xml:space="preserve">alle fibre muscolari e codifica</w:t>
      </w:r>
      <w:r>
        <w:t xml:space="preserve"> </w:t>
      </w:r>
      <w:r>
        <w:rPr>
          <w:b/>
          <w:bCs/>
        </w:rPr>
        <w:t xml:space="preserve">la lunghezza e la velocità con cui la lunghezza cambia</w:t>
      </w:r>
      <w:r>
        <w:t xml:space="preserve">: è il sensore di posizione, non di tensione. La tensione la codifica l’organo tendineo del Golgi, che sta in serie. Il muscolo che regge il segmento è quindi anche quello che sa dove sta il segmento: è la mano che tiene il bicchiere e insieme sente quanto è pieno. E quella densità ha una conseguenza misurata proprio sul paziente di questa Bibbia. Nel dolore cervicale cronico</w:t>
      </w:r>
      <w:r>
        <w:t xml:space="preserve"> </w:t>
      </w:r>
      <w:r>
        <w:rPr>
          <w:b/>
          <w:bCs/>
        </w:rPr>
        <w:t xml:space="preserve">idiopatico</w:t>
      </w:r>
      <w:r>
        <w:t xml:space="preserve"> </w:t>
      </w:r>
      <w:r>
        <w:t xml:space="preserve">il riposizionamento del capo verso il neutro è meno accurato che nei sani (Stanton,</w:t>
      </w:r>
      <w:r>
        <w:t xml:space="preserve"> </w:t>
      </w:r>
      <w:r>
        <w:rPr>
          <w:i/>
          <w:iCs/>
        </w:rPr>
        <w:t xml:space="preserve">Phys Ther</w:t>
      </w:r>
      <w:r>
        <w:t xml:space="preserve"> </w:t>
      </w:r>
      <w:r>
        <w:t xml:space="preserve">2016, PMID 26472296).</w:t>
      </w:r>
    </w:p>
    <w:p>
      <w:pPr>
        <w:pStyle w:val="BodyText"/>
      </w:pPr>
      <w:r>
        <w:rPr>
          <w:b/>
          <w:bCs/>
        </w:rPr>
        <w:t xml:space="preserve">I suboccipitali.</w:t>
      </w:r>
      <w:r>
        <w:t xml:space="preserve"> </w:t>
      </w:r>
      <w:r>
        <w:t xml:space="preserve">Quattro piccoli muscoli per lato, fra occipite, atlante ed epistrofeo: muovono poco e informano moltissimo.</w:t>
      </w:r>
    </w:p>
    <w:p>
      <w:pPr>
        <w:pStyle w:val="BodyText"/>
      </w:pPr>
      <w:r>
        <w:rPr>
          <w:b/>
          <w:bCs/>
        </w:rPr>
        <w:t xml:space="preserve">Perché contano qui.</w:t>
      </w:r>
      <w:r>
        <w:t xml:space="preserve"> </w:t>
      </w:r>
      <w:r>
        <w:t xml:space="preserve">È la</w:t>
      </w:r>
      <w:r>
        <w:t xml:space="preserve"> </w:t>
      </w:r>
      <w:r>
        <w:rPr>
          <w:b/>
          <w:bCs/>
        </w:rPr>
        <w:t xml:space="preserve">chicca anatomica del capitolo</w:t>
      </w:r>
      <w:r>
        <w:t xml:space="preserve">. In muscoli grandi come una falange sono stati contati fino a 242 fusi neuromuscolari per grammo nell’obliquo inferiore, e 190 nel superiore (Kulkarni,</w:t>
      </w:r>
      <w:r>
        <w:t xml:space="preserve"> </w:t>
      </w:r>
      <w:r>
        <w:rPr>
          <w:i/>
          <w:iCs/>
        </w:rPr>
        <w:t xml:space="preserve">Neurol India</w:t>
      </w:r>
      <w:r>
        <w:t xml:space="preserve"> </w:t>
      </w:r>
      <w:r>
        <w:t xml:space="preserve">2001, PMID 11799407).</w:t>
      </w:r>
      <w:r>
        <w:t xml:space="preserve"> </w:t>
      </w:r>
      <w:r>
        <w:rPr>
          <w:i/>
          <w:iCs/>
        </w:rPr>
        <w:t xml:space="preserve">Misurato su feti umani a termine, non su adulti.</w:t>
      </w:r>
      <w:r>
        <w:t xml:space="preserve"> </w:t>
      </w:r>
      <w:r>
        <w:t xml:space="preserve">Sono afferenze</w:t>
      </w:r>
      <w:r>
        <w:t xml:space="preserve"> </w:t>
      </w:r>
      <w:r>
        <w:rPr>
          <w:b/>
          <w:bCs/>
        </w:rPr>
        <w:t xml:space="preserve">muscolari</w:t>
      </w:r>
      <w:r>
        <w:t xml:space="preserve">, e nel modello animale le afferenze muscolari facilitano il neurone convergente più a lungo di quelle cutanee (Bartsch e Goadsby,</w:t>
      </w:r>
      <w:r>
        <w:t xml:space="preserve"> </w:t>
      </w:r>
      <w:r>
        <w:rPr>
          <w:i/>
          <w:iCs/>
        </w:rPr>
        <w:t xml:space="preserve">Brain</w:t>
      </w:r>
      <w:r>
        <w:t xml:space="preserve"> </w:t>
      </w:r>
      <w:r>
        <w:t xml:space="preserve">2002, PMID 12077000).</w:t>
      </w:r>
    </w:p>
    <w:p>
      <w:pPr>
        <w:pStyle w:val="BodyText"/>
      </w:pPr>
      <w:r>
        <w:rPr>
          <w:b/>
          <w:bCs/>
        </w:rPr>
        <w:t xml:space="preserve">Il nucleo trigemino-cervicale.</w:t>
      </w:r>
      <w:r>
        <w:t xml:space="preserve"> </w:t>
      </w:r>
      <w:r>
        <w:t xml:space="preserve">È la zona del tronco encefalico e del midollo cervicale alto dove finiscono le fibre del trigemino: faccia, denti, mandibola, dura madre. Lì finiscono anche quelle delle prime tre radici cervicali. Smista i segnali, e mescolandoli li confonde.</w:t>
      </w:r>
      <w:r>
        <w:t xml:space="preserve"> </w:t>
      </w:r>
      <w:r>
        <w:rPr>
          <w:b/>
          <w:bCs/>
        </w:rPr>
        <w:t xml:space="preserve">Perché conta qui.</w:t>
      </w:r>
      <w:r>
        <w:t xml:space="preserve"> </w:t>
      </w:r>
      <w:r>
        <w:t xml:space="preserve">È la ragione anatomica per cui un dolore che nasce nel collo si sente nella tempia. E</w:t>
      </w:r>
      <w:r>
        <w:t xml:space="preserve"> </w:t>
      </w:r>
      <w:r>
        <w:rPr>
          <w:b/>
          <w:bCs/>
        </w:rPr>
        <w:t xml:space="preserve">il traffico va nei due sensi</w:t>
      </w:r>
      <w:r>
        <w:t xml:space="preserve">: il dettaglio, con i due studi, sta in «Cosa si rompe».</w:t>
      </w:r>
    </w:p>
    <w:p>
      <w:pPr>
        <w:pStyle w:val="BodyText"/>
      </w:pPr>
      <w:r>
        <w:rPr>
          <w:b/>
          <w:bCs/>
        </w:rPr>
        <w:t xml:space="preserve">La radice cervicale e il forame.</w:t>
      </w:r>
      <w:r>
        <w:t xml:space="preserve"> </w:t>
      </w:r>
      <w:r>
        <w:t xml:space="preserve">Il</w:t>
      </w:r>
      <w:r>
        <w:t xml:space="preserve"> </w:t>
      </w:r>
      <w:r>
        <w:rPr>
          <w:b/>
          <w:bCs/>
        </w:rPr>
        <w:t xml:space="preserve">forame</w:t>
      </w:r>
      <w:r>
        <w:t xml:space="preserve"> </w:t>
      </w:r>
      <w:r>
        <w:t xml:space="preserve">è il canale osseo laterale da cui esce la radice nervosa: da C1 a C3 va verso nuca e testa, da C5 a T1 verso il braccio.</w:t>
      </w:r>
      <w:r>
        <w:t xml:space="preserve"> </w:t>
      </w:r>
      <w:r>
        <w:rPr>
          <w:b/>
          <w:bCs/>
        </w:rPr>
        <w:t xml:space="preserve">Perché conta qui.</w:t>
      </w:r>
      <w:r>
        <w:t xml:space="preserve"> </w:t>
      </w:r>
      <w:r>
        <w:t xml:space="preserve">Un restringimento da spondilosi riduce lo spazio della radice. È l’unica struttura di questo capitolo che sposta</w:t>
      </w:r>
      <w:r>
        <w:t xml:space="preserve"> </w:t>
      </w:r>
      <w:r>
        <w:rPr>
          <w:b/>
          <w:bCs/>
        </w:rPr>
        <w:t xml:space="preserve">l’uscita del triage</w:t>
      </w:r>
      <w:r>
        <w:t xml:space="preserve"> </w:t>
      </w:r>
      <w:r>
        <w:t xml:space="preserve">invece del bersaglio: se è coinvolta, la domanda non è più cosa tratti, ma se lavori.</w:t>
      </w:r>
    </w:p>
    <w:p>
      <w:pPr>
        <w:pStyle w:val="BodyText"/>
      </w:pPr>
      <w:r>
        <w:rPr>
          <w:b/>
          <w:bCs/>
        </w:rPr>
        <w:t xml:space="preserve">Scaleni, sternocleidomastoideo e prima costa.</w:t>
      </w:r>
      <w:r>
        <w:t xml:space="preserve"> </w:t>
      </w:r>
      <w:r>
        <w:t xml:space="preserve">Sono i muscoli fra collo e prime coste, più il primo anello osseo del torace. Girano e inclinano la testa, e quando il respiro sale</w:t>
      </w:r>
      <w:r>
        <w:t xml:space="preserve"> </w:t>
      </w:r>
      <w:r>
        <w:rPr>
          <w:b/>
          <w:bCs/>
        </w:rPr>
        <w:t xml:space="preserve">sollevano le coste</w:t>
      </w:r>
      <w:r>
        <w:t xml:space="preserve">.</w:t>
      </w:r>
      <w:r>
        <w:t xml:space="preserve"> </w:t>
      </w:r>
      <w:r>
        <w:rPr>
          <w:b/>
          <w:bCs/>
        </w:rPr>
        <w:t xml:space="preserve">Perché contano qui.</w:t>
      </w:r>
      <w:r>
        <w:t xml:space="preserve"> </w:t>
      </w:r>
      <w:r>
        <w:t xml:space="preserve">Un respiro che sale trasforma tre muscoli del collo in muscoli della respirazione, sedici volte al minuto. Sotto ci sono il diaframma e il nervo frenico — che nasce da C3, C4 e C5 — e sono il ponte fra collo e respiro. Il ponte funziona nei due sensi.</w:t>
      </w:r>
    </w:p>
    <w:p>
      <w:pPr>
        <w:pStyle w:val="BlockText"/>
      </w:pPr>
      <w:r>
        <w:rPr>
          <w:b/>
          <w:bCs/>
        </w:rPr>
        <w:t xml:space="preserve">Attenzione.</w:t>
      </w:r>
      <w:r>
        <w:t xml:space="preserve"> </w:t>
      </w:r>
      <w:r>
        <w:t xml:space="preserve">Lo stretto toracico superiore è anche il punto in cui passano plesso brachiale, vasi succlavi e apice polmonare. È una zona in cui si sta con criterio: una compressione sostenuta lì non è un contatto qualunque. Come e quanto sta nella Procedura.</w:t>
      </w:r>
    </w:p>
    <w:p>
      <w:pPr>
        <w:pStyle w:val="FirstParagraph"/>
      </w:pPr>
      <w:r>
        <w:rPr>
          <w:b/>
          <w:bCs/>
        </w:rPr>
        <w:t xml:space="preserve">La cerniera cervico-toracica, le scapole e il trapezio superiore.</w:t>
      </w:r>
      <w:r>
        <w:t xml:space="preserve"> </w:t>
      </w:r>
      <w:r>
        <w:t xml:space="preserve">Sono il passaggio da C7 a T1, gli appoggi mobili del cingolo e il muscolo che il paziente indica dicendo</w:t>
      </w:r>
      <w:r>
        <w:t xml:space="preserve"> </w:t>
      </w:r>
      <w:r>
        <w:t xml:space="preserve">“qui”</w:t>
      </w:r>
      <w:r>
        <w:t xml:space="preserve">.</w:t>
      </w:r>
      <w:r>
        <w:t xml:space="preserve"> </w:t>
      </w:r>
      <w:r>
        <w:rPr>
          <w:b/>
          <w:bCs/>
        </w:rPr>
        <w:t xml:space="preserve">Perché contano qui.</w:t>
      </w:r>
      <w:r>
        <w:t xml:space="preserve"> </w:t>
      </w:r>
      <w:r>
        <w:t xml:space="preserve">Se la scapola non sale e non ruota, elevatore e trapezio superiore lavorano più a lungo, e il paziente lo sente come una corda fra collo e spalla. Il trapezio superiore è</w:t>
      </w:r>
      <w:r>
        <w:t xml:space="preserve"> </w:t>
      </w:r>
      <w:r>
        <w:rPr>
          <w:b/>
          <w:bCs/>
        </w:rPr>
        <w:t xml:space="preserve">quasi sempre dove si sente, e quasi mai da dove parte</w:t>
      </w:r>
      <w:r>
        <w:t xml:space="preserve">: va conosciuto per non trattarlo per riflesso.</w:t>
      </w:r>
    </w:p>
    <w:p>
      <w:pPr>
        <w:pStyle w:val="BodyText"/>
      </w:pPr>
      <w:r>
        <w:rPr>
          <w:b/>
          <w:bCs/>
        </w:rPr>
        <w:t xml:space="preserve">Le tre cose da ricordare, più una</w:t>
      </w:r>
    </w:p>
    <w:p>
      <w:pPr>
        <w:pStyle w:val="Compact"/>
        <w:numPr>
          <w:ilvl w:val="0"/>
          <w:numId w:val="1007"/>
        </w:numPr>
      </w:pPr>
      <w:r>
        <w:t xml:space="preserve">Il collo è denso di sensori di posizione: nei suboccipitali e nel longo del collo la densità di fusi è fra le più alte.</w:t>
      </w:r>
    </w:p>
    <w:p>
      <w:pPr>
        <w:pStyle w:val="Compact"/>
        <w:numPr>
          <w:ilvl w:val="0"/>
          <w:numId w:val="1007"/>
        </w:numPr>
      </w:pPr>
      <w:r>
        <w:t xml:space="preserve">Trigemino e prime radici cervicali finiscono nello stesso posto, e il traffico va nei due sensi.</w:t>
      </w:r>
    </w:p>
    <w:p>
      <w:pPr>
        <w:pStyle w:val="Compact"/>
        <w:numPr>
          <w:ilvl w:val="0"/>
          <w:numId w:val="1007"/>
        </w:numPr>
      </w:pPr>
      <w:r>
        <w:t xml:space="preserve">Scaleni e sternocleidomastoideo diventano respiratori appena il respiro sale.</w:t>
      </w:r>
    </w:p>
    <w:p>
      <w:pPr>
        <w:pStyle w:val="Compact"/>
        <w:numPr>
          <w:ilvl w:val="0"/>
          <w:numId w:val="1007"/>
        </w:numPr>
      </w:pPr>
      <w:r>
        <w:rPr>
          <w:b/>
          <w:bCs/>
        </w:rPr>
        <w:t xml:space="preserve">Perché ci sei tu.</w:t>
      </w:r>
      <w:r>
        <w:t xml:space="preserve"> </w:t>
      </w:r>
      <w:r>
        <w:t xml:space="preserve">Nel longo del collo la densità di fusi è alta, e negli obliqui suboccipitali si contano fino a 242 fusi per grammo (Boyd-Clark, PMID 11923661; Kulkarni, PMID 11799407). Questo ti autorizza a trattare il collo come organo di senso e a testare il controllo prima della forza. Non ti autorizza a dire che il tuo tocco</w:t>
      </w:r>
      <w:r>
        <w:t xml:space="preserve"> </w:t>
      </w:r>
      <w:r>
        <w:t xml:space="preserve">“riprogramma”</w:t>
      </w:r>
      <w:r>
        <w:t xml:space="preserve"> </w:t>
      </w:r>
      <w:r>
        <w:t xml:space="preserve">quei recettori: nessuno li ha misurati nell’uomo prima e dopo un trattamento manuale.</w:t>
      </w:r>
    </w:p>
    <w:p>
      <w:r>
        <w:pict>
          <v:rect style="width:0;height:1.5pt" o:hralign="center" o:hrstd="t" o:hr="t"/>
        </w:pict>
      </w:r>
    </w:p>
    <w:bookmarkEnd w:id="20"/>
    <w:bookmarkStart w:id="21"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collo sano non regge la testa con la forza, la regge con l’anticipo.</w:t>
      </w:r>
    </w:p>
    <w:p>
      <w:pPr>
        <w:pStyle w:val="FirstParagraph"/>
      </w:pPr>
      <w:r>
        <w:t xml:space="preserve">La testa pesa quattro-sei chili in cima a una colonna sottile e mobilissima. Non è un problema di potenza: è di tempismo, come in autobus, dove conta tenersi prima della frenata e non dopo.</w:t>
      </w:r>
    </w:p>
    <w:p>
      <w:pPr>
        <w:pStyle w:val="Compact"/>
        <w:numPr>
          <w:ilvl w:val="0"/>
          <w:numId w:val="1008"/>
        </w:numPr>
      </w:pPr>
      <w:r>
        <w:rPr>
          <w:b/>
          <w:bCs/>
        </w:rPr>
        <w:t xml:space="preserve">Il sistema sa dove sta la testa.</w:t>
      </w:r>
      <w:r>
        <w:t xml:space="preserve"> </w:t>
      </w:r>
      <w:r>
        <w:t xml:space="preserve">Fusi dei muscoli profondi, recettori delle faccette, vestibolo e occhi mandano insieme l’informazione di posizione. Le afferenze del collo arrivano ai nuclei vestibolari e ai centri che muovono gli occhi (Kristjansson e Treleaven,</w:t>
      </w:r>
      <w:r>
        <w:t xml:space="preserve"> </w:t>
      </w:r>
      <w:r>
        <w:rPr>
          <w:i/>
          <w:iCs/>
        </w:rPr>
        <w:t xml:space="preserve">JOSPT</w:t>
      </w:r>
      <w:r>
        <w:t xml:space="preserve"> </w:t>
      </w:r>
      <w:r>
        <w:t xml:space="preserve">2009, PMID 19411769).</w:t>
      </w:r>
    </w:p>
    <w:p>
      <w:pPr>
        <w:pStyle w:val="Compact"/>
        <w:numPr>
          <w:ilvl w:val="0"/>
          <w:numId w:val="1008"/>
        </w:numPr>
      </w:pPr>
      <w:r>
        <w:rPr>
          <w:b/>
          <w:bCs/>
        </w:rPr>
        <w:t xml:space="preserve">Prima che il movimento arrivi, i muscoli si accendono.</w:t>
      </w:r>
      <w:r>
        <w:t xml:space="preserve"> </w:t>
      </w:r>
      <w:r>
        <w:t xml:space="preserve">Quando alzi un braccio, i flessori profondi si attivano entro cinquanta millisecondi dal deltoide,</w:t>
      </w:r>
      <w:r>
        <w:t xml:space="preserve"> </w:t>
      </w:r>
      <w:r>
        <w:rPr>
          <w:b/>
          <w:bCs/>
        </w:rPr>
        <w:t xml:space="preserve">prima che la perturbazione raggiunga il collo</w:t>
      </w:r>
      <w:r>
        <w:t xml:space="preserve">. Nei sani, dentro quella stessa finestra, si accendono anche sternocleidomastoideo e scaleno anteriore (Falla,</w:t>
      </w:r>
      <w:r>
        <w:t xml:space="preserve"> </w:t>
      </w:r>
      <w:r>
        <w:rPr>
          <w:i/>
          <w:iCs/>
        </w:rPr>
        <w:t xml:space="preserve">Exp Brain Res</w:t>
      </w:r>
      <w:r>
        <w:t xml:space="preserve"> </w:t>
      </w:r>
      <w:r>
        <w:t xml:space="preserve">2004, PMID 14762639).</w:t>
      </w:r>
    </w:p>
    <w:p>
      <w:pPr>
        <w:pStyle w:val="Compact"/>
        <w:numPr>
          <w:ilvl w:val="0"/>
          <w:numId w:val="1008"/>
        </w:numPr>
      </w:pPr>
      <w:r>
        <w:rPr>
          <w:b/>
          <w:bCs/>
        </w:rPr>
        <w:t xml:space="preserve">Nei compiti lunghi e leggeri i superficiali restano fuori dal gioco.</w:t>
      </w:r>
      <w:r>
        <w:t xml:space="preserve"> </w:t>
      </w:r>
      <w:r>
        <w:t xml:space="preserve">Sternocleidomastoideo, scaleni e trapezio superiore sono muscoli di movimento e di carico. In un collo che funziona non partecipano ai compiti sostenuti a bassa soglia.</w:t>
      </w:r>
    </w:p>
    <w:p>
      <w:pPr>
        <w:pStyle w:val="Compact"/>
        <w:numPr>
          <w:ilvl w:val="0"/>
          <w:numId w:val="1008"/>
        </w:numPr>
      </w:pPr>
      <w:r>
        <w:rPr>
          <w:b/>
          <w:bCs/>
        </w:rPr>
        <w:t xml:space="preserve">Il respiro sta sotto, e il braccio lo porta la scapola.</w:t>
      </w:r>
      <w:r>
        <w:t xml:space="preserve"> </w:t>
      </w:r>
      <w:r>
        <w:t xml:space="preserve">A riposo lavora il diaframma. La scapola ruota sul torace e assorbe il carico dell’arto superiore.</w:t>
      </w:r>
    </w:p>
    <w:p>
      <w:pPr>
        <w:pStyle w:val="Compact"/>
        <w:numPr>
          <w:ilvl w:val="0"/>
          <w:numId w:val="1008"/>
        </w:numPr>
      </w:pPr>
      <w:r>
        <w:rPr>
          <w:b/>
          <w:bCs/>
        </w:rPr>
        <w:t xml:space="preserve">Il sistema si scarica.</w:t>
      </w:r>
      <w:r>
        <w:t xml:space="preserve"> </w:t>
      </w:r>
      <w:r>
        <w:t xml:space="preserve">Quando la posizione cambia, il carico si ridistribuisce e l’informazione si aggiorna.</w:t>
      </w:r>
      <w:r>
        <w:t xml:space="preserve"> </w:t>
      </w:r>
      <w:r>
        <w:rPr>
          <w:b/>
          <w:bCs/>
        </w:rPr>
        <w:t xml:space="preserve">Il riposo del collo non è stare fermi: è cambiare posizione.</w:t>
      </w:r>
    </w:p>
    <w:p>
      <w:pPr>
        <w:pStyle w:val="FirstParagraph"/>
      </w:pPr>
      <w:r>
        <w:rPr>
          <w:b/>
          <w:bCs/>
        </w:rPr>
        <w:t xml:space="preserve">Le tre cose da ricordare, più una</w:t>
      </w:r>
    </w:p>
    <w:p>
      <w:pPr>
        <w:pStyle w:val="Compact"/>
        <w:numPr>
          <w:ilvl w:val="0"/>
          <w:numId w:val="1009"/>
        </w:numPr>
      </w:pPr>
      <w:r>
        <w:t xml:space="preserve">Un collo sano regge la testa con l’anticipo, non con la forza dei superficiali nei compiti lunghi.</w:t>
      </w:r>
    </w:p>
    <w:p>
      <w:pPr>
        <w:pStyle w:val="Compact"/>
        <w:numPr>
          <w:ilvl w:val="0"/>
          <w:numId w:val="1009"/>
        </w:numPr>
      </w:pPr>
      <w:r>
        <w:t xml:space="preserve">La rotazione ha una riserva: in flessione resta quella di C1-C2.</w:t>
      </w:r>
    </w:p>
    <w:p>
      <w:pPr>
        <w:pStyle w:val="Compact"/>
        <w:numPr>
          <w:ilvl w:val="0"/>
          <w:numId w:val="1009"/>
        </w:numPr>
      </w:pPr>
      <w:r>
        <w:t xml:space="preserve">Il collo si scarica cambiando posizione, non stando fermo.</w:t>
      </w:r>
    </w:p>
    <w:p>
      <w:pPr>
        <w:pStyle w:val="Compact"/>
        <w:numPr>
          <w:ilvl w:val="0"/>
          <w:numId w:val="1009"/>
        </w:numPr>
      </w:pPr>
      <w:r>
        <w:rPr>
          <w:b/>
          <w:bCs/>
        </w:rPr>
        <w:t xml:space="preserve">Perché ci sei tu.</w:t>
      </w:r>
      <w:r>
        <w:t xml:space="preserve"> </w:t>
      </w:r>
      <w:r>
        <w:t xml:space="preserve">Chi ha dolore cronico al collo ha forza dei muscoli respiratori e ventilazione massima più basse dei controlli (Kapreli, PMID 19187335, 12 e 12). E ha anidride carbonica ridotta, correlata con dolore e resistenza dei profondi (Dimitriadis, PMID 23958733). Questo ti autorizza a misurare il respiro in chi viene per il collo. Non ti autorizza a dire che il respiro causa il dolore: sono studi trasversali, e la direzione non è stabilita.</w:t>
      </w:r>
    </w:p>
    <w:p>
      <w:r>
        <w:pict>
          <v:rect style="width:0;height:1.5pt" o:hralign="center" o:hrstd="t" o:hr="t"/>
        </w:pict>
      </w:r>
    </w:p>
    <w:bookmarkEnd w:id="21"/>
    <w:bookmarkStart w:id="29"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guasti diversi danno lo stesso dolore alla nuca, e solo due si vedono in un referto.</w:t>
      </w:r>
    </w:p>
    <w:p>
      <w:pPr>
        <w:pStyle w:val="FirstParagraph"/>
      </w:pPr>
      <w:r>
        <w:rPr>
          <w:b/>
          <w:bCs/>
        </w:rPr>
        <w:t xml:space="preserve">L’ordine di questo elenco non è quello della leva, né della solidità, né del comando.</w:t>
      </w:r>
      <w:r>
        <w:t xml:space="preserve"> </w:t>
      </w:r>
      <w:r>
        <w:t xml:space="preserve">Il</w:t>
      </w:r>
      <w:r>
        <w:t xml:space="preserve"> </w:t>
      </w:r>
      <w:r>
        <w:rPr>
          <w:b/>
          <w:bCs/>
        </w:rPr>
        <w:t xml:space="preserve">secondo</w:t>
      </w:r>
      <w:r>
        <w:t xml:space="preserve"> </w:t>
      </w:r>
      <w:r>
        <w:t xml:space="preserve">— la radice irritata — sta subito dopo il primo perché è il gradino del</w:t>
      </w:r>
      <w:r>
        <w:t xml:space="preserve"> </w:t>
      </w:r>
      <w:r>
        <w:rPr>
          <w:b/>
          <w:bCs/>
        </w:rPr>
        <w:t xml:space="preserve">triage</w:t>
      </w:r>
      <w:r>
        <w:t xml:space="preserve">, e va letto prima di tutti gli altri. Quanto puoi fare su ciascun meccanismo sta nella colonna «Quanto puoi fare» di «Non è una condizione sola». L’ordine di comando è quello della road map, in «Come ragiono davanti a questo paziente».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bookmarkStart w:id="22" w:name="Xf31b0b096dd6b45442f69e1252d4db266af172b"/>
    <w:p>
      <w:pPr>
        <w:pStyle w:val="Heading3"/>
      </w:pPr>
      <w:r>
        <w:t xml:space="preserve">Le tre classi di dolore, prima dei sei meccanismi</w:t>
      </w:r>
    </w:p>
    <w:p>
      <w:pPr>
        <w:pStyle w:val="FirstParagraph"/>
      </w:pPr>
      <w:r>
        <w:t xml:space="preserve">La terna internazionale cambia l’aspettativa. Le classi sono tre.</w:t>
      </w:r>
    </w:p>
    <w:p>
      <w:pPr>
        <w:pStyle w:val="Compact"/>
        <w:numPr>
          <w:ilvl w:val="0"/>
          <w:numId w:val="1010"/>
        </w:numPr>
      </w:pPr>
      <w:r>
        <w:rPr>
          <w:b/>
          <w:bCs/>
        </w:rPr>
        <w:t xml:space="preserve">Nocicettivo</w:t>
      </w:r>
      <w:r>
        <w:t xml:space="preserve"> </w:t>
      </w:r>
      <w:r>
        <w:t xml:space="preserve">— dolore da tessuto danneggiato o sovraccarico. Ci stanno i meccanismi 1, 5 e 6, più l’ingresso del 4.</w:t>
      </w:r>
    </w:p>
    <w:p>
      <w:pPr>
        <w:pStyle w:val="Compact"/>
        <w:numPr>
          <w:ilvl w:val="0"/>
          <w:numId w:val="1010"/>
        </w:numPr>
      </w:pPr>
      <w:r>
        <w:rPr>
          <w:b/>
          <w:bCs/>
        </w:rPr>
        <w:t xml:space="preserve">Neuropatico</w:t>
      </w:r>
      <w:r>
        <w:t xml:space="preserve"> </w:t>
      </w:r>
      <w:r>
        <w:t xml:space="preserve">— dolore da lesione del sistema somatosensoriale. Ci sta il meccanismo 2.</w:t>
      </w:r>
    </w:p>
    <w:p>
      <w:pPr>
        <w:pStyle w:val="Compact"/>
        <w:numPr>
          <w:ilvl w:val="0"/>
          <w:numId w:val="1010"/>
        </w:numPr>
      </w:pPr>
      <w:r>
        <w:rPr>
          <w:b/>
          <w:bCs/>
        </w:rPr>
        <w:t xml:space="preserve">Nociplastico</w:t>
      </w:r>
      <w:r>
        <w:t xml:space="preserve"> </w:t>
      </w:r>
      <w:r>
        <w:t xml:space="preserve">— dolore che né il tessuto né il nervo spiegano per intero. Ci sta il meccanismo 3, e ha criteri propri: tre mesi o più, distribuzione</w:t>
      </w:r>
      <w:r>
        <w:t xml:space="preserve"> </w:t>
      </w:r>
      <w:r>
        <w:rPr>
          <w:b/>
          <w:bCs/>
        </w:rPr>
        <w:t xml:space="preserve">regionale</w:t>
      </w:r>
      <w:r>
        <w:t xml:space="preserve">, ipersensibilità</w:t>
      </w:r>
      <w:r>
        <w:t xml:space="preserve"> </w:t>
      </w:r>
      <w:r>
        <w:rPr>
          <w:b/>
          <w:bCs/>
        </w:rPr>
        <w:t xml:space="preserve">almeno nella regione del dolore</w:t>
      </w:r>
      <w:r>
        <w:t xml:space="preserve"> </w:t>
      </w:r>
      <w:r>
        <w:t xml:space="preserve">(Kosek,</w:t>
      </w:r>
      <w:r>
        <w:t xml:space="preserve"> </w:t>
      </w:r>
      <w:r>
        <w:rPr>
          <w:i/>
          <w:iCs/>
        </w:rPr>
        <w:t xml:space="preserve">Pain</w:t>
      </w:r>
      <w:r>
        <w:t xml:space="preserve"> </w:t>
      </w:r>
      <w:r>
        <w:t xml:space="preserve">2021, PMID 33974577).</w:t>
      </w:r>
    </w:p>
    <w:p>
      <w:pPr>
        <w:pStyle w:val="FirstParagraph"/>
      </w:pPr>
      <w:r>
        <w:rPr>
          <w:b/>
          <w:bCs/>
        </w:rPr>
        <w:t xml:space="preserve">Le tre classi coesistono.</w:t>
      </w:r>
      <w:r>
        <w:t xml:space="preserve"> </w:t>
      </w:r>
      <w:r>
        <w:t xml:space="preserve">Il nociplastico non smette di avere un reperto meccanico, e per questo non è un capolinea.</w:t>
      </w:r>
    </w:p>
    <w:bookmarkEnd w:id="22"/>
    <w:bookmarkStart w:id="23" w:name="il-controllo-profondo-che-arriva-tardi"/>
    <w:p>
      <w:pPr>
        <w:pStyle w:val="Heading3"/>
      </w:pPr>
      <w:r>
        <w:t xml:space="preserve">1. Il controllo profondo che arriva tardi</w:t>
      </w:r>
    </w:p>
    <w:p>
      <w:pPr>
        <w:pStyle w:val="Compact"/>
        <w:numPr>
          <w:ilvl w:val="0"/>
          <w:numId w:val="1011"/>
        </w:numPr>
      </w:pPr>
      <w:r>
        <w:t xml:space="preserve">Nel dolore cervicale cronico i flessori profondi si attivano</w:t>
      </w:r>
      <w:r>
        <w:t xml:space="preserve"> </w:t>
      </w:r>
      <w:r>
        <w:rPr>
          <w:b/>
          <w:bCs/>
        </w:rPr>
        <w:t xml:space="preserve">in ritardo</w:t>
      </w:r>
      <w:r>
        <w:t xml:space="preserve"> </w:t>
      </w:r>
      <w:r>
        <w:t xml:space="preserve">rispetto al deltoide durante un movimento rapido del braccio. Insieme a loro ritardano anche sternocleidomastoideo e scaleno anteriore controlaterali (Falla,</w:t>
      </w:r>
      <w:r>
        <w:t xml:space="preserve"> </w:t>
      </w:r>
      <w:r>
        <w:rPr>
          <w:i/>
          <w:iCs/>
        </w:rPr>
        <w:t xml:space="preserve">Exp Brain Res</w:t>
      </w:r>
      <w:r>
        <w:t xml:space="preserve"> </w:t>
      </w:r>
      <w:r>
        <w:t xml:space="preserve">2004, PMID 14762639).</w:t>
      </w:r>
      <w:r>
        <w:t xml:space="preserve"> </w:t>
      </w:r>
      <w:r>
        <w:rPr>
          <w:b/>
          <w:bCs/>
        </w:rPr>
        <w:t xml:space="preserve">L’anticipo si perde in blocco: nessun muscolo parte prima.</w:t>
      </w:r>
    </w:p>
    <w:p>
      <w:pPr>
        <w:pStyle w:val="Compact"/>
        <w:numPr>
          <w:ilvl w:val="0"/>
          <w:numId w:val="1011"/>
        </w:numPr>
      </w:pPr>
      <w:r>
        <w:t xml:space="preserve">Il collo resta esposto alle forze del braccio.</w:t>
      </w:r>
    </w:p>
    <w:p>
      <w:pPr>
        <w:pStyle w:val="Compact"/>
        <w:numPr>
          <w:ilvl w:val="0"/>
          <w:numId w:val="1011"/>
        </w:numPr>
      </w:pPr>
      <w:r>
        <w:t xml:space="preserve">Il compenso arriva su un altro compito. Nei carichi bassi e lunghi i profondi riducono l’attività, e i superficiali lavorano più forte e più a lungo (Falla,</w:t>
      </w:r>
      <w:r>
        <w:t xml:space="preserve"> </w:t>
      </w:r>
      <w:r>
        <w:rPr>
          <w:i/>
          <w:iCs/>
        </w:rPr>
        <w:t xml:space="preserve">Spine</w:t>
      </w:r>
      <w:r>
        <w:t xml:space="preserve"> </w:t>
      </w:r>
      <w:r>
        <w:t xml:space="preserve">2004, PMID 15454700). Su un compito che non è il loro diventano dolenti. Sono quelli che il paziente indica.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Il ritardo è misurato su</w:t>
      </w:r>
      <w:r>
        <w:t xml:space="preserve"> </w:t>
      </w:r>
      <w:r>
        <w:rPr>
          <w:b/>
          <w:bCs/>
        </w:rPr>
        <w:t xml:space="preserve">dieci pazienti e dodici controlli</w:t>
      </w:r>
      <w:r>
        <w:t xml:space="preserve">: su un campione di questa taglia DIMOSTRATO non è sostenibile. Il fenomeno è replicato, ed è modificabile con l’allenamento (Jull,</w:t>
      </w:r>
      <w:r>
        <w:t xml:space="preserve"> </w:t>
      </w:r>
      <w:r>
        <w:rPr>
          <w:i/>
          <w:iCs/>
        </w:rPr>
        <w:t xml:space="preserve">Man Ther</w:t>
      </w:r>
      <w:r>
        <w:t xml:space="preserve"> </w:t>
      </w:r>
      <w:r>
        <w:t xml:space="preserve">2009, PMID 19632880, 46 pazienti). Che il ritardo</w:t>
      </w:r>
      <w:r>
        <w:t xml:space="preserve"> </w:t>
      </w:r>
      <w:r>
        <w:rPr>
          <w:b/>
          <w:bCs/>
        </w:rPr>
        <w:t xml:space="preserve">causi</w:t>
      </w:r>
      <w:r>
        <w:t xml:space="preserve"> </w:t>
      </w:r>
      <w:r>
        <w:t xml:space="preserve">il dolore, invece di seguirlo, resta da stabilire.</w:t>
      </w:r>
    </w:p>
    <w:p>
      <w:pPr>
        <w:pStyle w:val="FirstParagraph"/>
      </w:pPr>
      <w:r>
        <w:rPr>
          <w:b/>
          <w:bCs/>
        </w:rPr>
        <w:t xml:space="preserve">Come si vede addosso al paziente.</w:t>
      </w:r>
      <w:r>
        <w:t xml:space="preserve"> </w:t>
      </w:r>
      <w:r>
        <w:t xml:space="preserve">Non tiene la flessione profonda senza che lo sternocleidomastoideo si accenda e la testa scivoli avanti. Sotto carico basso trema. Fatica più nei compiti lunghi e leggeri che in quelli brevi e pesanti.</w:t>
      </w:r>
    </w:p>
    <w:p>
      <w:pPr>
        <w:pStyle w:val="BodyText"/>
      </w:pPr>
      <w:r>
        <w:rPr>
          <w:b/>
          <w:bCs/>
        </w:rPr>
        <w:t xml:space="preserve">I tiranti di un’antenna che si tendono un attimo dopo la raffica: l’antenna oscilla, e a reggerla resta il palo.</w:t>
      </w:r>
    </w:p>
    <w:bookmarkEnd w:id="23"/>
    <w:bookmarkStart w:id="24" w:name="la-radice-irritata"/>
    <w:p>
      <w:pPr>
        <w:pStyle w:val="Heading3"/>
      </w:pPr>
      <w:r>
        <w:t xml:space="preserve">2. La radice irritata</w:t>
      </w:r>
    </w:p>
    <w:p>
      <w:pPr>
        <w:pStyle w:val="Compact"/>
        <w:numPr>
          <w:ilvl w:val="0"/>
          <w:numId w:val="1012"/>
        </w:numPr>
      </w:pPr>
      <w:r>
        <w:t xml:space="preserve">Un’ernia, o più spesso un restringimento del forame da spondilosi, riduce lo spazio della radice. Ne segue compressione, trazione o irritazione chimica.</w:t>
      </w:r>
    </w:p>
    <w:p>
      <w:pPr>
        <w:pStyle w:val="Compact"/>
        <w:numPr>
          <w:ilvl w:val="0"/>
          <w:numId w:val="1012"/>
        </w:numPr>
      </w:pPr>
      <w:r>
        <w:t xml:space="preserve">Il dolore prende una traiettoria stabile — collo, scapola, braccio — con formicolio, ipoestesia e a volte deficit di forza in un territorio coerente.</w:t>
      </w:r>
    </w:p>
    <w:p>
      <w:pPr>
        <w:pStyle w:val="Compact"/>
        <w:numPr>
          <w:ilvl w:val="0"/>
          <w:numId w:val="1012"/>
        </w:numPr>
      </w:pPr>
      <w:r>
        <w:t xml:space="preserve">Il collo si difende: riduce la rotazione dal lato sintomatico e cerca le posizioni che aprono il forame, tipicamente il braccio sopra la testa.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Sono 83 casi ogni 100.000 abitanti all’anno, C7 è la radice più coinvolta, e la spondilosi è responsabile più spesso del disco (Radhakrishnan,</w:t>
      </w:r>
      <w:r>
        <w:t xml:space="preserve"> </w:t>
      </w:r>
      <w:r>
        <w:rPr>
          <w:i/>
          <w:iCs/>
        </w:rPr>
        <w:t xml:space="preserve">Brain</w:t>
      </w:r>
      <w:r>
        <w:t xml:space="preserve"> </w:t>
      </w:r>
      <w:r>
        <w:t xml:space="preserve">1994, PMID 8186959). Il cluster clinico è di quattro test:</w:t>
      </w:r>
    </w:p>
    <w:p>
      <w:pPr>
        <w:pStyle w:val="Compact"/>
        <w:numPr>
          <w:ilvl w:val="0"/>
          <w:numId w:val="1013"/>
        </w:numPr>
      </w:pPr>
      <w:r>
        <w:rPr>
          <w:b/>
          <w:bCs/>
        </w:rPr>
        <w:t xml:space="preserve">rotazione attiva del capo sotto i 60° dal lato sintomatico;</w:t>
      </w:r>
    </w:p>
    <w:p>
      <w:pPr>
        <w:pStyle w:val="Compact"/>
        <w:numPr>
          <w:ilvl w:val="0"/>
          <w:numId w:val="1013"/>
        </w:numPr>
      </w:pPr>
      <w:r>
        <w:rPr>
          <w:b/>
          <w:bCs/>
        </w:rPr>
        <w:t xml:space="preserve">Spurling;</w:t>
      </w:r>
    </w:p>
    <w:p>
      <w:pPr>
        <w:pStyle w:val="Compact"/>
        <w:numPr>
          <w:ilvl w:val="0"/>
          <w:numId w:val="1013"/>
        </w:numPr>
      </w:pPr>
      <w:r>
        <w:rPr>
          <w:b/>
          <w:bCs/>
        </w:rPr>
        <w:t xml:space="preserve">distrazione cervicale;</w:t>
      </w:r>
    </w:p>
    <w:p>
      <w:pPr>
        <w:pStyle w:val="Compact"/>
        <w:numPr>
          <w:ilvl w:val="0"/>
          <w:numId w:val="1013"/>
        </w:numPr>
      </w:pPr>
      <w:r>
        <w:rPr>
          <w:b/>
          <w:bCs/>
        </w:rPr>
        <w:t xml:space="preserve">tensione dell’arto superiore per il mediano.</w:t>
      </w:r>
    </w:p>
    <w:p>
      <w:pPr>
        <w:pStyle w:val="BlockText"/>
      </w:pPr>
      <w:r>
        <w:t xml:space="preserve">Quattro test su quattro positivi portano il</w:t>
      </w:r>
      <w:r>
        <w:t xml:space="preserve"> </w:t>
      </w:r>
      <w:r>
        <w:rPr>
          <w:b/>
          <w:bCs/>
        </w:rPr>
        <w:t xml:space="preserve">rapporto di verosimiglianza</w:t>
      </w:r>
      <w:r>
        <w:t xml:space="preserve"> </w:t>
      </w:r>
      <w:r>
        <w:t xml:space="preserve">a 30,3 (Wainner,</w:t>
      </w:r>
      <w:r>
        <w:t xml:space="preserve"> </w:t>
      </w:r>
      <w:r>
        <w:rPr>
          <w:i/>
          <w:iCs/>
        </w:rPr>
        <w:t xml:space="preserve">Spine</w:t>
      </w:r>
      <w:r>
        <w:t xml:space="preserve"> </w:t>
      </w:r>
      <w:r>
        <w:t xml:space="preserve">2003, PMID 12544957). Il rapporto di verosimiglianza dice quanto quel risultato sposta la probabilità che si tratti davvero di una radice.</w:t>
      </w:r>
      <w:r>
        <w:t xml:space="preserve"> </w:t>
      </w:r>
      <w:r>
        <w:rPr>
          <w:b/>
          <w:bCs/>
        </w:rPr>
        <w:t xml:space="preserve">Il cluster è derivato su 82 pazienti, con intervalli di confidenza ampi dichiarati dagli autori e nessuna validazione esterna: orienta il sospetto, non lo chiude.</w:t>
      </w:r>
      <w:r>
        <w:t xml:space="preserve"> </w:t>
      </w:r>
      <w:r>
        <w:t xml:space="preserve">Il test di tensione è il più utile per</w:t>
      </w:r>
      <w:r>
        <w:t xml:space="preserve"> </w:t>
      </w:r>
      <w:r>
        <w:rPr>
          <w:b/>
          <w:bCs/>
        </w:rPr>
        <w:t xml:space="preserve">escludere</w:t>
      </w:r>
      <w:r>
        <w:t xml:space="preserve"> </w:t>
      </w:r>
      <w:r>
        <w:t xml:space="preserve">la radice.</w:t>
      </w:r>
    </w:p>
    <w:p>
      <w:pPr>
        <w:pStyle w:val="FirstParagraph"/>
      </w:pPr>
      <w:r>
        <w:rPr>
          <w:b/>
          <w:bCs/>
        </w:rPr>
        <w:t xml:space="preserve">Come si vede addosso.</w:t>
      </w:r>
      <w:r>
        <w:t xml:space="preserve"> </w:t>
      </w:r>
      <w:r>
        <w:t xml:space="preserve">Il dolore al braccio supera quello al collo. Segue una linea e non una zona. Migliora col braccio sopra la testa, e peggiora estendendo e ruotando il capo verso il lato malato.</w:t>
      </w:r>
    </w:p>
    <w:p>
      <w:pPr>
        <w:pStyle w:val="BodyText"/>
      </w:pPr>
      <w:r>
        <w:rPr>
          <w:b/>
          <w:bCs/>
        </w:rPr>
        <w:t xml:space="preserve">Il filo elettrico schiacciato dalla porta: il disturbo si sente lungo tutto il filo, non nel punto in cui è schiacciato.</w:t>
      </w:r>
    </w:p>
    <w:bookmarkEnd w:id="24"/>
    <w:bookmarkStart w:id="25" w:name="la-soglia-che-si-abbassa"/>
    <w:p>
      <w:pPr>
        <w:pStyle w:val="Heading3"/>
      </w:pPr>
      <w:r>
        <w:t xml:space="preserve">3. La soglia che si abbassa</w:t>
      </w:r>
    </w:p>
    <w:p>
      <w:pPr>
        <w:pStyle w:val="Compact"/>
        <w:numPr>
          <w:ilvl w:val="0"/>
          <w:numId w:val="1014"/>
        </w:numPr>
      </w:pPr>
      <w:r>
        <w:t xml:space="preserve">Un dolore che dura mantiene attivo il sistema che lo elabora, e il guadagno sale. Compaiono dolore alla pressione anche lontano dal collo, sensibilità al freddo, fastidio a stimoli banali.</w:t>
      </w:r>
    </w:p>
    <w:p>
      <w:pPr>
        <w:pStyle w:val="Compact"/>
        <w:numPr>
          <w:ilvl w:val="0"/>
          <w:numId w:val="1014"/>
        </w:numPr>
      </w:pPr>
      <w:r>
        <w:rPr>
          <w:b/>
          <w:bCs/>
        </w:rPr>
        <w:t xml:space="preserve">La paura non riduce solo il movimento: alza il valore di minaccia dell’ingresso.</w:t>
      </w:r>
      <w:r>
        <w:t xml:space="preserve"> </w:t>
      </w:r>
      <w:r>
        <w:t xml:space="preserve">I circuiti discendenti che modulano il midollo passano da inibizione a facilitazione. È la facilitazione discendente guidata da minaccia e attenzione, non la mancanza di informazione da movimento ridotto.</w:t>
      </w:r>
    </w:p>
    <w:p>
      <w:pPr>
        <w:pStyle w:val="Compact"/>
        <w:numPr>
          <w:ilvl w:val="0"/>
          <w:numId w:val="1014"/>
        </w:numPr>
      </w:pPr>
      <w:r>
        <w:t xml:space="preserve">Il quadro non è più proporzionale a quello che trovi con le mani, e non lo sarà finché la soglia non risale.</w:t>
      </w:r>
    </w:p>
    <w:p>
      <w:pPr>
        <w:pStyle w:val="BlockText"/>
      </w:pPr>
      <w:r>
        <w:rPr>
          <w:b/>
          <w:bCs/>
        </w:rPr>
        <w:t xml:space="preserve">Quanto è solido:</w:t>
      </w:r>
      <w:r>
        <w:t xml:space="preserve"> </w:t>
      </w:r>
      <w:r>
        <w:t xml:space="preserve">l’etichetta va spezzata, perché sotto ci sono due affermazioni.</w:t>
      </w:r>
    </w:p>
    <w:p>
      <w:pPr>
        <w:pStyle w:val="BlockText"/>
      </w:pPr>
      <w:r>
        <w:rPr>
          <w:b/>
          <w:bCs/>
        </w:rPr>
        <w:t xml:space="preserve">DIMOSTRATO</w:t>
      </w:r>
      <w:r>
        <w:t xml:space="preserve"> </w:t>
      </w:r>
      <w:r>
        <w:rPr>
          <w:i/>
          <w:iCs/>
        </w:rPr>
        <w:t xml:space="preserve">(studi sull’uomo, solidi)</w:t>
      </w:r>
      <w:r>
        <w:t xml:space="preserve"> </w:t>
      </w:r>
      <w:r>
        <w:t xml:space="preserve">per la parte prognostica. I fattori psicosociali sono i</w:t>
      </w:r>
      <w:r>
        <w:t xml:space="preserve"> </w:t>
      </w:r>
      <w:r>
        <w:rPr>
          <w:b/>
          <w:bCs/>
        </w:rPr>
        <w:t xml:space="preserve">predittori più forti</w:t>
      </w:r>
      <w:r>
        <w:t xml:space="preserve"> </w:t>
      </w:r>
      <w:r>
        <w:t xml:space="preserve">dell’esito, e l’esercizio generico non lo predice (Carroll,</w:t>
      </w:r>
      <w:r>
        <w:t xml:space="preserve"> </w:t>
      </w:r>
      <w:r>
        <w:rPr>
          <w:i/>
          <w:iCs/>
        </w:rPr>
        <w:t xml:space="preserve">Spine</w:t>
      </w:r>
      <w:r>
        <w:t xml:space="preserve"> </w:t>
      </w:r>
      <w:r>
        <w:t xml:space="preserve">2008, PMID 18204403) —</w:t>
      </w:r>
      <w:r>
        <w:t xml:space="preserve"> </w:t>
      </w:r>
      <w:r>
        <w:rPr>
          <w:b/>
          <w:bCs/>
        </w:rPr>
        <w:t xml:space="preserve">DIMOSTRATO su coorte (vedi Cap. 0).</w:t>
      </w:r>
      <w:r>
        <w:t xml:space="preserve"> </w:t>
      </w:r>
      <w:r>
        <w:t xml:space="preserve">È un dato del piano comportamentale, non una misura di soglia.</w:t>
      </w:r>
    </w:p>
    <w:p>
      <w:pPr>
        <w:pStyle w:val="BlockText"/>
      </w:pPr>
      <w:r>
        <w:rPr>
          <w:b/>
          <w:bCs/>
        </w:rPr>
        <w:t xml:space="preserve">PROBABILE</w:t>
      </w:r>
      <w:r>
        <w:t xml:space="preserve"> </w:t>
      </w:r>
      <w:r>
        <w:rPr>
          <w:i/>
          <w:iCs/>
        </w:rPr>
        <w:t xml:space="preserve">(razionale forte, prove parziali)</w:t>
      </w:r>
      <w:r>
        <w:t xml:space="preserve"> </w:t>
      </w:r>
      <w:r>
        <w:t xml:space="preserve">per il meccanismo. L’unica revisione dedicata conclude che la sensibilizzazione centrale</w:t>
      </w:r>
      <w:r>
        <w:t xml:space="preserve"> </w:t>
      </w:r>
      <w:r>
        <w:rPr>
          <w:b/>
          <w:bCs/>
        </w:rPr>
        <w:t xml:space="preserve">non è una caratteristica del dolore cervicale idiopatico non traumatico, ma può essere presente in alcuni</w:t>
      </w:r>
      <w:r>
        <w:t xml:space="preserve"> </w:t>
      </w:r>
      <w:r>
        <w:t xml:space="preserve">(Malfliet,</w:t>
      </w:r>
      <w:r>
        <w:t xml:space="preserve"> </w:t>
      </w:r>
      <w:r>
        <w:rPr>
          <w:i/>
          <w:iCs/>
        </w:rPr>
        <w:t xml:space="preserve">Pain Physician</w:t>
      </w:r>
      <w:r>
        <w:t xml:space="preserve"> </w:t>
      </w:r>
      <w:r>
        <w:t xml:space="preserve">2015, PMID 26000666). Poi c’è la sintesi sulla</w:t>
      </w:r>
      <w:r>
        <w:t xml:space="preserve"> </w:t>
      </w:r>
      <w:r>
        <w:rPr>
          <w:b/>
          <w:bCs/>
        </w:rPr>
        <w:t xml:space="preserve">modulazione condizionata del dolore</w:t>
      </w:r>
      <w:r>
        <w:t xml:space="preserve">, cioè sulla capacità del sistema di alzare la propria soglia quando arriva un secondo stimolo doloroso. La trova alterata</w:t>
      </w:r>
      <w:r>
        <w:t xml:space="preserve"> </w:t>
      </w:r>
      <w:r>
        <w:rPr>
          <w:b/>
          <w:bCs/>
        </w:rPr>
        <w:t xml:space="preserve">in locale</w:t>
      </w:r>
      <w:r>
        <w:t xml:space="preserve">: cinque studi, 223 pazienti e 162 controlli, SMD −0,55 (IC −1,04 a −0,06).</w:t>
      </w:r>
      <w:r>
        <w:t xml:space="preserve"> </w:t>
      </w:r>
      <w:r>
        <w:rPr>
          <w:b/>
          <w:bCs/>
        </w:rPr>
        <w:t xml:space="preserve">A distanza no</w:t>
      </w:r>
      <w:r>
        <w:t xml:space="preserve">: tre studi, SMD −0,33 (p = 0,13). La sommazione temporale non è facilitata in nessuna delle due sedi, con certezza</w:t>
      </w:r>
      <w:r>
        <w:t xml:space="preserve"> </w:t>
      </w:r>
      <w:r>
        <w:rPr>
          <w:b/>
          <w:bCs/>
        </w:rPr>
        <w:t xml:space="preserve">molto bassa</w:t>
      </w:r>
      <w:r>
        <w:t xml:space="preserve"> </w:t>
      </w:r>
      <w:r>
        <w:t xml:space="preserve">(Arribas-Romano,</w:t>
      </w:r>
      <w:r>
        <w:t xml:space="preserve"> </w:t>
      </w:r>
      <w:r>
        <w:rPr>
          <w:i/>
          <w:iCs/>
        </w:rPr>
        <w:t xml:space="preserve">J Pain</w:t>
      </w:r>
      <w:r>
        <w:t xml:space="preserve"> </w:t>
      </w:r>
      <w:r>
        <w:t xml:space="preserve">2024, PMID 37734462).</w:t>
      </w:r>
    </w:p>
    <w:p>
      <w:pPr>
        <w:pStyle w:val="BlockText"/>
      </w:pPr>
      <w:r>
        <w:rPr>
          <w:b/>
          <w:bCs/>
        </w:rPr>
        <w:t xml:space="preserve">Nel colpo di frusta il pattern è invertito, e il colpo di frusta è fuori dal perimetro di questa Bibbia:</w:t>
      </w:r>
      <w:r>
        <w:t xml:space="preserve"> </w:t>
      </w:r>
      <w:r>
        <w:t xml:space="preserve">la soglia lontana non si prende in prestito da quella letteratura. È un fenomeno di sottogruppo, non la regola del tuo paziente-tipo.</w:t>
      </w:r>
    </w:p>
    <w:p>
      <w:pPr>
        <w:pStyle w:val="FirstParagraph"/>
      </w:pPr>
      <w:r>
        <w:rPr>
          <w:b/>
          <w:bCs/>
        </w:rPr>
        <w:t xml:space="preserve">Come si vede addosso.</w:t>
      </w:r>
      <w:r>
        <w:t xml:space="preserve"> </w:t>
      </w:r>
      <w:r>
        <w:t xml:space="preserve">Nessuna posizione spegne il dolore. Il tessuto reagisce appena appoggi le mani. Migliora in vacanza. Il racconto è pieno di parole di allarme, e l’esordio coincide con un evento di vita.</w:t>
      </w:r>
    </w:p>
    <w:p>
      <w:pPr>
        <w:pStyle w:val="BodyText"/>
      </w:pPr>
      <w:r>
        <w:rPr>
          <w:b/>
          <w:bCs/>
        </w:rPr>
        <w:t xml:space="preserve">La sveglia che suona a ogni rumore della casa: non è il rumore che è cambiato, è la soglia a cui scatta.</w:t>
      </w:r>
    </w:p>
    <w:bookmarkEnd w:id="25"/>
    <w:bookmarkStart w:id="26" w:name="il-collo-che-parla-alla-testa"/>
    <w:p>
      <w:pPr>
        <w:pStyle w:val="Heading3"/>
      </w:pPr>
      <w:r>
        <w:t xml:space="preserve">4. Il collo che parla alla testa</w:t>
      </w:r>
    </w:p>
    <w:p>
      <w:pPr>
        <w:pStyle w:val="Compact"/>
        <w:numPr>
          <w:ilvl w:val="0"/>
          <w:numId w:val="1015"/>
        </w:numPr>
      </w:pPr>
      <w:r>
        <w:t xml:space="preserve">Le fibre delle prime tre radici cervicali e quelle del trigemino finiscono sugli stessi neuroni del midollo cervicale alto.</w:t>
      </w:r>
    </w:p>
    <w:p>
      <w:pPr>
        <w:pStyle w:val="Compact"/>
        <w:numPr>
          <w:ilvl w:val="0"/>
          <w:numId w:val="1015"/>
        </w:numPr>
      </w:pPr>
      <w:r>
        <w:t xml:space="preserve">Un ingresso nocicettivo persistente dai tessuti cervicali alti arriva lì, e quei neuroni rispondono di più anche agli altri ingressi, allargando il campo. Le afferenze</w:t>
      </w:r>
      <w:r>
        <w:t xml:space="preserve"> </w:t>
      </w:r>
      <w:r>
        <w:rPr>
          <w:b/>
          <w:bCs/>
        </w:rPr>
        <w:t xml:space="preserve">muscolari</w:t>
      </w:r>
      <w:r>
        <w:t xml:space="preserve"> </w:t>
      </w:r>
      <w:r>
        <w:t xml:space="preserve">facilitano più a lungo di quelle cutanee: è il dato che regge il ruolo dei suboccipitali.</w:t>
      </w:r>
    </w:p>
    <w:p>
      <w:pPr>
        <w:pStyle w:val="Compact"/>
        <w:numPr>
          <w:ilvl w:val="0"/>
          <w:numId w:val="1015"/>
        </w:numPr>
      </w:pPr>
      <w:r>
        <w:t xml:space="preserve">Il dolore si sente dove il cervello ha imparato ad attribuirlo: tempia, orbita, fronte.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Nel ratto la stimolazione del grande occipitale facilita la risposta all’ingresso durale, ed è la direzione</w:t>
      </w:r>
      <w:r>
        <w:t xml:space="preserve"> </w:t>
      </w:r>
      <w:r>
        <w:rPr>
          <w:b/>
          <w:bCs/>
        </w:rPr>
        <w:t xml:space="preserve">collo → testa</w:t>
      </w:r>
      <w:r>
        <w:t xml:space="preserve"> </w:t>
      </w:r>
      <w:r>
        <w:t xml:space="preserve">che serve al modello (Bartsch e Goadsby,</w:t>
      </w:r>
      <w:r>
        <w:t xml:space="preserve"> </w:t>
      </w:r>
      <w:r>
        <w:rPr>
          <w:i/>
          <w:iCs/>
        </w:rPr>
        <w:t xml:space="preserve">Brain</w:t>
      </w:r>
      <w:r>
        <w:t xml:space="preserve"> </w:t>
      </w:r>
      <w:r>
        <w:t xml:space="preserve">2002, PMID 12077000). La direzione</w:t>
      </w:r>
      <w:r>
        <w:t xml:space="preserve"> </w:t>
      </w:r>
      <w:r>
        <w:rPr>
          <w:b/>
          <w:bCs/>
        </w:rPr>
        <w:t xml:space="preserve">opposta</w:t>
      </w:r>
      <w:r>
        <w:t xml:space="preserve"> </w:t>
      </w:r>
      <w:r>
        <w:t xml:space="preserve">è stata dimostrata dallo stesso gruppo l’anno dopo, con allargamento del campo nel 71% dei neuroni (PMID 12821523). Spiega perché nell’emicrania primaria il collo possa essere l’effetto invece della causa. Nell’uomo c’è solo il dato di co-occorrenza (Ashina, PMID 24853166).</w:t>
      </w:r>
      <w:r>
        <w:t xml:space="preserve"> </w:t>
      </w:r>
      <w:r>
        <w:rPr>
          <w:b/>
          <w:bCs/>
        </w:rPr>
        <w:t xml:space="preserve">Che il collo causi il mal di testa non è dimostrato. È dimostrato che i due viaggiano insieme molto più del caso, nei due sensi.</w:t>
      </w:r>
    </w:p>
    <w:p>
      <w:pPr>
        <w:pStyle w:val="FirstParagraph"/>
      </w:pPr>
      <w:r>
        <w:rPr>
          <w:b/>
          <w:bCs/>
        </w:rPr>
        <w:t xml:space="preserve">Come si vede addosso.</w:t>
      </w:r>
      <w:r>
        <w:t xml:space="preserve"> </w:t>
      </w:r>
      <w:r>
        <w:t xml:space="preserve">Mal di testa sempre dallo stesso lato, che parte dalla nuca. Rotazione ridotta nel test di rotazione in flessione. Dolore riprodotto premendo in alto. Nausea e fotofobia assenti o lievi.</w:t>
      </w:r>
    </w:p>
    <w:p>
      <w:pPr>
        <w:pStyle w:val="BodyText"/>
      </w:pPr>
      <w:r>
        <w:rPr>
          <w:b/>
          <w:bCs/>
        </w:rPr>
        <w:t xml:space="preserve">Due rubinetti che scaricano nello stesso sifone: apri quello del collo, e l’acqua esce dallo scarico della testa.</w:t>
      </w:r>
    </w:p>
    <w:bookmarkEnd w:id="26"/>
    <w:bookmarkStart w:id="27" w:name="il-carico-che-non-cambia-mai-posizione"/>
    <w:p>
      <w:pPr>
        <w:pStyle w:val="Heading3"/>
      </w:pPr>
      <w:r>
        <w:t xml:space="preserve">5. Il carico che non cambia mai posizione</w:t>
      </w:r>
    </w:p>
    <w:p>
      <w:pPr>
        <w:pStyle w:val="FirstParagraph"/>
      </w:pPr>
      <w:r>
        <w:t xml:space="preserve">Questo meccanismo ha</w:t>
      </w:r>
      <w:r>
        <w:t xml:space="preserve"> </w:t>
      </w:r>
      <w:r>
        <w:rPr>
          <w:b/>
          <w:bCs/>
        </w:rPr>
        <w:t xml:space="preserve">due vie d’ingresso e una sola via finale</w:t>
      </w:r>
      <w:r>
        <w:t xml:space="preserve">: unità motorie a bassa soglia che lavorano per ore senza mai spegnersi. Le due vie si tengono insieme perché finiscono lì, e si tengono distinte perché hanno</w:t>
      </w:r>
      <w:r>
        <w:t xml:space="preserve"> </w:t>
      </w:r>
      <w:r>
        <w:rPr>
          <w:b/>
          <w:bCs/>
        </w:rPr>
        <w:t xml:space="preserve">due marker diversi</w:t>
      </w:r>
      <w:r>
        <w:t xml:space="preserve">.</w:t>
      </w:r>
    </w:p>
    <w:p>
      <w:pPr>
        <w:pStyle w:val="Compact"/>
        <w:numPr>
          <w:ilvl w:val="0"/>
          <w:numId w:val="1016"/>
        </w:numPr>
      </w:pPr>
      <w:r>
        <w:rPr>
          <w:b/>
          <w:bCs/>
        </w:rPr>
        <w:t xml:space="preserve">La via posturale.</w:t>
      </w:r>
      <w:r>
        <w:t xml:space="preserve"> </w:t>
      </w:r>
      <w:r>
        <w:t xml:space="preserve">Il capo resta protratto e la scapola bassa e antepulsa per ore. Estensori cervicali e trapezio superiore lavorano senza interruzione, e reclutano</w:t>
      </w:r>
      <w:r>
        <w:t xml:space="preserve"> </w:t>
      </w:r>
      <w:r>
        <w:rPr>
          <w:b/>
          <w:bCs/>
        </w:rPr>
        <w:t xml:space="preserve">sempre le stesse unità motorie a bassa soglia</w:t>
      </w:r>
      <w:r>
        <w:t xml:space="preserve">. È l’ipotesi Cinderella: prime ad accendersi, ultime a spegnersi.</w:t>
      </w:r>
    </w:p>
    <w:p>
      <w:pPr>
        <w:pStyle w:val="Compact"/>
        <w:numPr>
          <w:ilvl w:val="0"/>
          <w:numId w:val="1016"/>
        </w:numPr>
      </w:pPr>
      <w:r>
        <w:rPr>
          <w:b/>
          <w:bCs/>
        </w:rPr>
        <w:t xml:space="preserve">La via respiratoria.</w:t>
      </w:r>
      <w:r>
        <w:t xml:space="preserve"> </w:t>
      </w:r>
      <w:r>
        <w:t xml:space="preserve">Quando il respiro sale, scaleni e sternocleidomastoideo passano da muscoli di riserva a muscoli di lavoro, per migliaia di atti al giorno. E un respiro più veloce del necessario abbassa l’anidride carbonica. Questa</w:t>
      </w:r>
      <w:r>
        <w:t xml:space="preserve"> </w:t>
      </w:r>
      <w:r>
        <w:rPr>
          <w:b/>
          <w:bCs/>
        </w:rPr>
        <w:t xml:space="preserve">ipocapnia</w:t>
      </w:r>
      <w:r>
        <w:t xml:space="preserve"> </w:t>
      </w:r>
      <w:r>
        <w:t xml:space="preserve">aumenta l’eccitabilità del nervo periferico, e si accompagna a</w:t>
      </w:r>
      <w:r>
        <w:t xml:space="preserve"> </w:t>
      </w:r>
      <w:r>
        <w:rPr>
          <w:b/>
          <w:bCs/>
        </w:rPr>
        <w:t xml:space="preserve">dolore più intenso</w:t>
      </w:r>
      <w:r>
        <w:t xml:space="preserve">. Non a una soglia più bassa: sono due cose diverse.</w:t>
      </w:r>
    </w:p>
    <w:p>
      <w:pPr>
        <w:pStyle w:val="Compact"/>
        <w:numPr>
          <w:ilvl w:val="0"/>
          <w:numId w:val="1016"/>
        </w:numPr>
      </w:pPr>
      <w:r>
        <w:t xml:space="preserve">Quelle unità motorie non si riposano mai e diventano dolenti. Il dolore compare a fine giornata: nasce dalla durata, non dall’intensità.</w:t>
      </w:r>
    </w:p>
    <w:p>
      <w:pPr>
        <w:pStyle w:val="BlockText"/>
      </w:pPr>
      <w:r>
        <w:rPr>
          <w:b/>
          <w:bCs/>
        </w:rPr>
        <w:t xml:space="preserve">Cosa cambia per te.</w:t>
      </w:r>
      <w:r>
        <w:t xml:space="preserve"> </w:t>
      </w:r>
      <w:r>
        <w:t xml:space="preserve">La parestesia da ipocapnia è</w:t>
      </w:r>
      <w:r>
        <w:t xml:space="preserve"> </w:t>
      </w:r>
      <w:r>
        <w:rPr>
          <w:b/>
          <w:bCs/>
        </w:rPr>
        <w:t xml:space="preserve">bilaterale, non dermatomerica, spesso periorale</w:t>
      </w:r>
      <w:r>
        <w:t xml:space="preserve">, e si accompagna alla testa leggera. È il segno che distingue il formicolio respiratorio da quello radicolare, e ti risparmia un triage sbagliato in due direzioni.</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via posturale. Negli adulti la posizione protratta del capo è più marcata in chi ha dolore cervicale, con correlazioni moderate con intensità e disabilità. Negli adolescenti quell’associazione non c’è (Mahmoud,</w:t>
      </w:r>
      <w:r>
        <w:t xml:space="preserve"> </w:t>
      </w:r>
      <w:r>
        <w:rPr>
          <w:i/>
          <w:iCs/>
        </w:rPr>
        <w:t xml:space="preserve">Curr Rev Musculoskelet Med</w:t>
      </w:r>
      <w:r>
        <w:t xml:space="preserve"> </w:t>
      </w:r>
      <w:r>
        <w:t xml:space="preserve">2019, PMID 31773477).</w:t>
      </w:r>
    </w:p>
    <w:p>
      <w:pPr>
        <w:pStyle w:val="BlockText"/>
      </w:pPr>
      <w:r>
        <w:rPr>
          <w:b/>
          <w:bCs/>
        </w:rPr>
        <w:t xml:space="preserve">PROBABILE</w:t>
      </w:r>
      <w:r>
        <w:t xml:space="preserve"> </w:t>
      </w:r>
      <w:r>
        <w:rPr>
          <w:i/>
          <w:iCs/>
        </w:rPr>
        <w:t xml:space="preserve">(razionale forte, prove parziali)</w:t>
      </w:r>
      <w:r>
        <w:t xml:space="preserve"> </w:t>
      </w:r>
      <w:r>
        <w:t xml:space="preserve">anche per la via respiratoria, ma solo come</w:t>
      </w:r>
      <w:r>
        <w:t xml:space="preserve"> </w:t>
      </w:r>
      <w:r>
        <w:rPr>
          <w:b/>
          <w:bCs/>
        </w:rPr>
        <w:t xml:space="preserve">associazione</w:t>
      </w:r>
      <w:r>
        <w:t xml:space="preserve">. Anidride carbonica più bassa e correlata con la resistenza dei profondi, la chinesiofobia e l’intensità del dolore (Dimitriadis,</w:t>
      </w:r>
      <w:r>
        <w:t xml:space="preserve"> </w:t>
      </w:r>
      <w:r>
        <w:rPr>
          <w:i/>
          <w:iCs/>
        </w:rPr>
        <w:t xml:space="preserve">Am J Phys Med Rehabil</w:t>
      </w:r>
      <w:r>
        <w:t xml:space="preserve"> </w:t>
      </w:r>
      <w:r>
        <w:t xml:space="preserve">2013, PMID 23958733). Forza dei muscoli respiratori e ventilazione massima ridotte (Kapreli,</w:t>
      </w:r>
      <w:r>
        <w:t xml:space="preserve"> </w:t>
      </w:r>
      <w:r>
        <w:rPr>
          <w:i/>
          <w:iCs/>
        </w:rPr>
        <w:t xml:space="preserve">Cephalalgia</w:t>
      </w:r>
      <w:r>
        <w:t xml:space="preserve"> </w:t>
      </w:r>
      <w:r>
        <w:t xml:space="preserve">2009, PMID 19187335).</w:t>
      </w:r>
      <w:r>
        <w:t xml:space="preserve"> </w:t>
      </w:r>
      <w:r>
        <w:rPr>
          <w:b/>
          <w:bCs/>
        </w:rPr>
        <w:t xml:space="preserve">Nessuno ha stabilito la direzione: potrebbe essere il dolore a cambiare il respiro.</w:t>
      </w:r>
      <w:r>
        <w:t xml:space="preserve"> </w:t>
      </w:r>
      <w:r>
        <w:t xml:space="preserve">Sono studi trasversali, e l’ipotesi Cinderella è un nesso nominato e quindi controllabile, non una misura. Che intervenire sul respiro riduca il dolore è invece una domanda con studi, non un vuoto: vedi «Cosa dice la scienza».</w:t>
      </w:r>
    </w:p>
    <w:p>
      <w:pPr>
        <w:pStyle w:val="FirstParagraph"/>
      </w:pPr>
      <w:r>
        <w:rPr>
          <w:b/>
          <w:bCs/>
        </w:rPr>
        <w:t xml:space="preserve">Come si vede addosso.</w:t>
      </w:r>
      <w:r>
        <w:t xml:space="preserve"> </w:t>
      </w:r>
      <w:r>
        <w:t xml:space="preserve">L’orario è il segno migliore: bene la mattina, male alle cinque, meglio muovendosi, peggio da fermo, bene il fine settimana. Sulla via respiratoria il segno è un altro: respiro alto, spalle che salgono a ogni inspirazione, sternocleidomastoideo e scaleni reclutati a riposo, espansione toracica bassa, sospiri frequenti. Qui appartiene anche</w:t>
      </w:r>
      <w:r>
        <w:t xml:space="preserve"> </w:t>
      </w:r>
      <w:r>
        <w:rPr>
          <w:b/>
          <w:bCs/>
        </w:rPr>
        <w:t xml:space="preserve">la rigidità di risveglio da posizione notturna e da immobilità prolungata</w:t>
      </w:r>
      <w:r>
        <w:t xml:space="preserve">. È cosa diversa dal sonno frammentato, che invece si valuta e si segnala (vedi modello metabolico).</w:t>
      </w:r>
    </w:p>
    <w:p>
      <w:pPr>
        <w:pStyle w:val="BodyText"/>
      </w:pPr>
      <w:r>
        <w:rPr>
          <w:b/>
          <w:bCs/>
        </w:rPr>
        <w:t xml:space="preserve">Il braccio teso che regge una borsa della spesa: al primo minuto non pesa niente, al decimo non la reggi più. Non è cambiato il peso, è cambiata la durata — e il respiro è una seconda borsa, che quel braccio solleva sedici volte al minuto.</w:t>
      </w:r>
    </w:p>
    <w:bookmarkEnd w:id="27"/>
    <w:bookmarkStart w:id="28" w:name="larticolazione-che-diventa-sorgente"/>
    <w:p>
      <w:pPr>
        <w:pStyle w:val="Heading3"/>
      </w:pPr>
      <w:r>
        <w:t xml:space="preserve">6. L’articolazione che diventa sorgente</w:t>
      </w:r>
    </w:p>
    <w:p>
      <w:pPr>
        <w:pStyle w:val="Compact"/>
        <w:numPr>
          <w:ilvl w:val="0"/>
          <w:numId w:val="1017"/>
        </w:numPr>
      </w:pPr>
      <w:r>
        <w:t xml:space="preserve">Le articolazioni zigapofisarie cervicali — le articolazioni posteriori fra due vertebre — sono innervate, e generano dolore da sole. Con o senza un’immagine che lo mostri.</w:t>
      </w:r>
    </w:p>
    <w:p>
      <w:pPr>
        <w:pStyle w:val="Compact"/>
        <w:numPr>
          <w:ilvl w:val="0"/>
          <w:numId w:val="1017"/>
        </w:numPr>
      </w:pPr>
      <w:r>
        <w:t xml:space="preserve">Ogni livello ha un</w:t>
      </w:r>
      <w:r>
        <w:t xml:space="preserve"> </w:t>
      </w:r>
      <w:r>
        <w:rPr>
          <w:b/>
          <w:bCs/>
        </w:rPr>
        <w:t xml:space="preserve">territorio riconoscibile</w:t>
      </w:r>
      <w:r>
        <w:t xml:space="preserve">: C2-C3 verso nuca e occipite, C3-C4 lungo il collo posteriore, C4-C5 e C5-C6 verso sovraspinato e spalla, C6-C7 verso la scapola.</w:t>
      </w:r>
    </w:p>
    <w:p>
      <w:pPr>
        <w:pStyle w:val="Compact"/>
        <w:numPr>
          <w:ilvl w:val="0"/>
          <w:numId w:val="1017"/>
        </w:numPr>
      </w:pPr>
      <w:r>
        <w:rPr>
          <w:b/>
          <w:bCs/>
        </w:rPr>
        <w:t xml:space="preserve">Da dove il paziente sente, prevedi quale segmento provare.</w:t>
      </w:r>
      <w:r>
        <w:t xml:space="preserve"> </w:t>
      </w:r>
      <w:r>
        <w:t xml:space="preserve">È questo che ti porta al livello invece che al trapezio.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l’esistenza del dolore articolare e per i territori. Le fonti sono due. La prima sono blocchi anestetici controllati in doppio cieco (Barnsley,</w:t>
      </w:r>
      <w:r>
        <w:t xml:space="preserve"> </w:t>
      </w:r>
      <w:r>
        <w:rPr>
          <w:i/>
          <w:iCs/>
        </w:rPr>
        <w:t xml:space="preserve">Spine</w:t>
      </w:r>
      <w:r>
        <w:t xml:space="preserve"> </w:t>
      </w:r>
      <w:r>
        <w:t xml:space="preserve">1995, PMID 7709275):</w:t>
      </w:r>
      <w:r>
        <w:t xml:space="preserve"> </w:t>
      </w:r>
      <w:r>
        <w:rPr>
          <w:b/>
          <w:bCs/>
        </w:rPr>
        <w:t xml:space="preserve">misurato su 50 pazienti con dolore cervicale cronico dopo colpo di frusta, non sul paziente-tipo di questa Bibbia</w:t>
      </w:r>
      <w:r>
        <w:t xml:space="preserve">. La seconda sono mappe ottenute stimolando ogni livello in</w:t>
      </w:r>
      <w:r>
        <w:t xml:space="preserve"> </w:t>
      </w:r>
      <w:r>
        <w:rPr>
          <w:b/>
          <w:bCs/>
        </w:rPr>
        <w:t xml:space="preserve">volontari sani</w:t>
      </w:r>
      <w:r>
        <w:t xml:space="preserve"> </w:t>
      </w:r>
      <w:r>
        <w:t xml:space="preserve">(Dwyer,</w:t>
      </w:r>
      <w:r>
        <w:t xml:space="preserve"> </w:t>
      </w:r>
      <w:r>
        <w:rPr>
          <w:i/>
          <w:iCs/>
        </w:rPr>
        <w:t xml:space="preserve">Spine</w:t>
      </w:r>
      <w:r>
        <w:t xml:space="preserve"> </w:t>
      </w:r>
      <w:r>
        <w:t xml:space="preserve">1990, PMID 2402682). I territori, che sono la parte che ti serve in stanza, vengono dai sani: il limite dichiarato non li tocca.</w:t>
      </w:r>
    </w:p>
    <w:p>
      <w:pPr>
        <w:pStyle w:val="BlockText"/>
      </w:pPr>
      <w:r>
        <w:rPr>
          <w:b/>
          <w:bCs/>
        </w:rPr>
        <w:t xml:space="preserve">IPOTESI</w:t>
      </w:r>
      <w:r>
        <w:t xml:space="preserve"> </w:t>
      </w:r>
      <w:r>
        <w:rPr>
          <w:i/>
          <w:iCs/>
        </w:rPr>
        <w:t xml:space="preserve">(meccanismo coerente, nessuno studio)</w:t>
      </w:r>
      <w:r>
        <w:t xml:space="preserve"> </w:t>
      </w:r>
      <w:r>
        <w:t xml:space="preserve">per l’inferenza successiva, cioè che il livello che trovi ristretto sia quello che genera.</w:t>
      </w:r>
      <w:r>
        <w:t xml:space="preserve"> </w:t>
      </w:r>
      <w:r>
        <w:rPr>
          <w:b/>
          <w:bCs/>
        </w:rPr>
        <w:t xml:space="preserve">Che l’articolazione faccia male è documentato; che sia ferma è un’ipotesi.</w:t>
      </w:r>
    </w:p>
    <w:p>
      <w:pPr>
        <w:pStyle w:val="FirstParagraph"/>
      </w:pPr>
      <w:r>
        <w:rPr>
          <w:b/>
          <w:bCs/>
        </w:rPr>
        <w:t xml:space="preserve">Come si vede addosso.</w:t>
      </w:r>
      <w:r>
        <w:t xml:space="preserve"> </w:t>
      </w:r>
      <w:r>
        <w:t xml:space="preserve">Dolore riprodotto da un test segmentale e non da una zona. Territorio coerente con un livello. Guadagno che regge qualche giorno dopo una mobilizzazione.</w:t>
      </w:r>
    </w:p>
    <w:p>
      <w:pPr>
        <w:pStyle w:val="BodyText"/>
      </w:pPr>
      <w:r>
        <w:rPr>
          <w:b/>
          <w:bCs/>
        </w:rPr>
        <w:t xml:space="preserve">Il campanello di un condominio: il suono esce sempre dallo stesso citofono, ma a suonare è un piano preciso.</w:t>
      </w:r>
    </w:p>
    <w:p>
      <w:pPr>
        <w:pStyle w:val="BodyText"/>
      </w:pPr>
      <w:r>
        <w:rPr>
          <w:b/>
          <w:bCs/>
        </w:rPr>
        <w:t xml:space="preserve">Le tre cose da ricordare, più una</w:t>
      </w:r>
    </w:p>
    <w:p>
      <w:pPr>
        <w:pStyle w:val="Compact"/>
        <w:numPr>
          <w:ilvl w:val="0"/>
          <w:numId w:val="1018"/>
        </w:numPr>
      </w:pPr>
      <w:r>
        <w:t xml:space="preserve">Sei meccanismi, un sintomo solo: quale hai davanti lo dicono orario, traiettoria, territorio e proporzione fra racconto e reperto.</w:t>
      </w:r>
    </w:p>
    <w:p>
      <w:pPr>
        <w:pStyle w:val="Compact"/>
        <w:numPr>
          <w:ilvl w:val="0"/>
          <w:numId w:val="1018"/>
        </w:numPr>
      </w:pPr>
      <w:r>
        <w:t xml:space="preserve">Il trapezio è quasi sempre dove si sente, quasi mai da dove parte.</w:t>
      </w:r>
    </w:p>
    <w:p>
      <w:pPr>
        <w:pStyle w:val="Compact"/>
        <w:numPr>
          <w:ilvl w:val="0"/>
          <w:numId w:val="1018"/>
        </w:numPr>
      </w:pPr>
      <w:r>
        <w:t xml:space="preserve">Il formicolio con traiettoria stabile cambia il triage; quello bilaterale e periorale cambia meccanismo.</w:t>
      </w:r>
    </w:p>
    <w:p>
      <w:pPr>
        <w:pStyle w:val="Compact"/>
        <w:numPr>
          <w:ilvl w:val="0"/>
          <w:numId w:val="1018"/>
        </w:numPr>
      </w:pPr>
      <w:r>
        <w:rPr>
          <w:b/>
          <w:bCs/>
        </w:rPr>
        <w:t xml:space="preserve">Perché ci sei tu.</w:t>
      </w:r>
      <w:r>
        <w:t xml:space="preserve"> </w:t>
      </w:r>
      <w:r>
        <w:t xml:space="preserve">Nel dolore cronico i flessori profondi si accendono in ritardo sul deltoide quando il paziente alza il braccio (Falla, PMID 14762639, 10 e 12). Questo ti autorizza a testare il controllo profondo prima di decidere cosa trattare. Non ti autorizza a dire che quel ritardo è la causa del dolore, né a chiamarlo DIMOSTRATO su dieci pazienti.</w:t>
      </w:r>
    </w:p>
    <w:p>
      <w:r>
        <w:pict>
          <v:rect style="width:0;height:1.5pt" o:hralign="center" o:hrstd="t" o:hr="t"/>
        </w:pict>
      </w:r>
    </w:p>
    <w:bookmarkEnd w:id="28"/>
    <w:bookmarkEnd w:id="29"/>
    <w:bookmarkStart w:id="30"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più un quadro che non è un sottotipo e va solo riconosciuto.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Da controllo motorio</w:t>
            </w:r>
          </w:p>
        </w:tc>
        <w:tc>
          <w:tcPr/>
          <w:p>
            <w:pPr>
              <w:pStyle w:val="Compact"/>
            </w:pPr>
            <w:r>
              <w:t xml:space="preserve">Non tiene la flessione profonda</w:t>
            </w:r>
          </w:p>
        </w:tc>
        <w:tc>
          <w:tcPr/>
          <w:p>
            <w:pPr>
              <w:pStyle w:val="Compact"/>
            </w:pPr>
            <w:r>
              <w:t xml:space="preserve">Controllo profondo tardivo</w:t>
            </w:r>
          </w:p>
        </w:tc>
        <w:tc>
          <w:tcPr/>
          <w:p>
            <w:pPr>
              <w:pStyle w:val="Compact"/>
            </w:pPr>
            <w:r>
              <w:t xml:space="preserve">Molto</w:t>
            </w:r>
          </w:p>
        </w:tc>
      </w:tr>
      <w:tr>
        <w:tc>
          <w:tcPr/>
          <w:p>
            <w:pPr>
              <w:pStyle w:val="Compact"/>
            </w:pPr>
            <w:r>
              <w:t xml:space="preserve">Segmentale articolare</w:t>
            </w:r>
          </w:p>
        </w:tc>
        <w:tc>
          <w:tcPr/>
          <w:p>
            <w:pPr>
              <w:pStyle w:val="Compact"/>
            </w:pPr>
            <w:r>
              <w:t xml:space="preserve">Territorio coerente con un livello</w:t>
            </w:r>
          </w:p>
        </w:tc>
        <w:tc>
          <w:tcPr/>
          <w:p>
            <w:pPr>
              <w:pStyle w:val="Compact"/>
            </w:pPr>
            <w:r>
              <w:t xml:space="preserve">Articolazione che genera</w:t>
            </w:r>
          </w:p>
        </w:tc>
        <w:tc>
          <w:tcPr/>
          <w:p>
            <w:pPr>
              <w:pStyle w:val="Compact"/>
            </w:pPr>
            <w:r>
              <w:t xml:space="preserve">Molto</w:t>
            </w:r>
          </w:p>
        </w:tc>
      </w:tr>
      <w:tr>
        <w:tc>
          <w:tcPr/>
          <w:p>
            <w:pPr>
              <w:pStyle w:val="Compact"/>
            </w:pPr>
            <w:r>
              <w:t xml:space="preserve">Cervicogenico con cefalea</w:t>
            </w:r>
          </w:p>
        </w:tc>
        <w:tc>
          <w:tcPr/>
          <w:p>
            <w:pPr>
              <w:pStyle w:val="Compact"/>
            </w:pPr>
            <w:r>
              <w:t xml:space="preserve">Testa dalla nuca, sempre un lato</w:t>
            </w:r>
          </w:p>
        </w:tc>
        <w:tc>
          <w:tcPr/>
          <w:p>
            <w:pPr>
              <w:pStyle w:val="Compact"/>
            </w:pPr>
            <w:r>
              <w:t xml:space="preserve">Convergenza cervico-trigeminale</w:t>
            </w:r>
          </w:p>
        </w:tc>
        <w:tc>
          <w:tcPr/>
          <w:p>
            <w:pPr>
              <w:pStyle w:val="Compact"/>
            </w:pPr>
            <w:r>
              <w:t xml:space="preserve">Molto</w:t>
            </w:r>
          </w:p>
        </w:tc>
      </w:tr>
      <w:tr>
        <w:tc>
          <w:tcPr/>
          <w:p>
            <w:pPr>
              <w:pStyle w:val="Compact"/>
            </w:pPr>
            <w:r>
              <w:t xml:space="preserve">Da carico continuo</w:t>
            </w:r>
          </w:p>
        </w:tc>
        <w:tc>
          <w:tcPr/>
          <w:p>
            <w:pPr>
              <w:pStyle w:val="Compact"/>
            </w:pPr>
            <w:r>
              <w:t xml:space="preserve">Bene al mattino, male alle 17</w:t>
            </w:r>
          </w:p>
        </w:tc>
        <w:tc>
          <w:tcPr/>
          <w:p>
            <w:pPr>
              <w:pStyle w:val="Compact"/>
            </w:pPr>
            <w:r>
              <w:t xml:space="preserve">Carico a bassa soglia</w:t>
            </w:r>
          </w:p>
        </w:tc>
        <w:tc>
          <w:tcPr/>
          <w:p>
            <w:pPr>
              <w:pStyle w:val="Compact"/>
            </w:pPr>
            <w:r>
              <w:t xml:space="preserve">Abbastanza</w:t>
            </w:r>
          </w:p>
        </w:tc>
      </w:tr>
      <w:tr>
        <w:tc>
          <w:tcPr/>
          <w:p>
            <w:pPr>
              <w:pStyle w:val="Compact"/>
            </w:pPr>
            <w:r>
              <w:t xml:space="preserve">Sensibilizzato</w:t>
            </w:r>
          </w:p>
        </w:tc>
        <w:tc>
          <w:tcPr/>
          <w:p>
            <w:pPr>
              <w:pStyle w:val="Compact"/>
            </w:pPr>
            <w:r>
              <w:t xml:space="preserve">Reperto piccolo, quadro grande</w:t>
            </w:r>
          </w:p>
        </w:tc>
        <w:tc>
          <w:tcPr/>
          <w:p>
            <w:pPr>
              <w:pStyle w:val="Compact"/>
            </w:pPr>
            <w:r>
              <w:t xml:space="preserve">Soglia che si abbassa</w:t>
            </w:r>
          </w:p>
        </w:tc>
        <w:tc>
          <w:tcPr/>
          <w:p>
            <w:pPr>
              <w:pStyle w:val="Compact"/>
            </w:pPr>
            <w:r>
              <w:t xml:space="preserve">Abbastanza</w:t>
            </w:r>
          </w:p>
        </w:tc>
      </w:tr>
      <w:tr>
        <w:tc>
          <w:tcPr/>
          <w:p>
            <w:pPr>
              <w:pStyle w:val="Compact"/>
            </w:pPr>
            <w:r>
              <w:t xml:space="preserve">Cervicobrachialgia</w:t>
            </w:r>
          </w:p>
        </w:tc>
        <w:tc>
          <w:tcPr/>
          <w:p>
            <w:pPr>
              <w:pStyle w:val="Compact"/>
            </w:pPr>
            <w:r>
              <w:t xml:space="preserve">Dolore lungo una linea, formicolio</w:t>
            </w:r>
          </w:p>
        </w:tc>
        <w:tc>
          <w:tcPr/>
          <w:p>
            <w:pPr>
              <w:pStyle w:val="Compact"/>
            </w:pPr>
            <w:r>
              <w:t xml:space="preserve">Radice irritata</w:t>
            </w:r>
          </w:p>
        </w:tc>
        <w:tc>
          <w:tcPr/>
          <w:p>
            <w:pPr>
              <w:pStyle w:val="Compact"/>
            </w:pPr>
            <w:r>
              <w:t xml:space="preserve">Poco sulla radice</w:t>
            </w:r>
          </w:p>
        </w:tc>
      </w:tr>
    </w:tbl>
    <w:p>
      <w:pPr>
        <w:pStyle w:val="BodyText"/>
      </w:pPr>
      <w:r>
        <w:rPr>
          <w:b/>
          <w:bCs/>
        </w:rPr>
        <w:t xml:space="preserve">Da controllo motorio.</w:t>
      </w:r>
      <w:r>
        <w:t xml:space="preserve"> </w:t>
      </w:r>
      <w:r>
        <w:t xml:space="preserve">Episodi ripetuti, recuperi incompleti, nessun trauma. È il sottotipo con le prove migliori, e «Cosa può fare il paziente da solo» è scritto per lui.</w:t>
      </w:r>
    </w:p>
    <w:p>
      <w:pPr>
        <w:pStyle w:val="BodyText"/>
      </w:pPr>
      <w:r>
        <w:rPr>
          <w:b/>
          <w:bCs/>
        </w:rPr>
        <w:t xml:space="preserve">Segmentale articolare, e la sua variante acuta.</w:t>
      </w:r>
      <w:r>
        <w:t xml:space="preserve"> </w:t>
      </w:r>
      <w:r>
        <w:t xml:space="preserve">Dentro questo pattern sta anche</w:t>
      </w:r>
      <w:r>
        <w:t xml:space="preserve"> </w:t>
      </w:r>
      <w:r>
        <w:rPr>
          <w:b/>
          <w:bCs/>
        </w:rPr>
        <w:t xml:space="preserve">il collo acuto bloccato</w:t>
      </w:r>
      <w:r>
        <w:t xml:space="preserve">: testa ferma di lato da poche ore, limitazione netta, nessun deficit. Lì l’esito atteso è</w:t>
      </w:r>
      <w:r>
        <w:t xml:space="preserve"> </w:t>
      </w:r>
      <w:r>
        <w:rPr>
          <w:b/>
          <w:bCs/>
        </w:rPr>
        <w:t xml:space="preserve">il recupero del gesto, non il numero del dolore</w:t>
      </w:r>
      <w:r>
        <w:t xml:space="preserve">, che scende comunque da solo.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variante acuta. Per l’acuto non esistono prove sull’esercizio, e sul manuale sono scarse. Il pattern segmentale resta</w:t>
      </w:r>
      <w:r>
        <w:t xml:space="preserve"> </w:t>
      </w:r>
      <w:r>
        <w:rPr>
          <w:b/>
          <w:bCs/>
        </w:rPr>
        <w:t xml:space="preserve">PROBABILE</w:t>
      </w:r>
      <w:r>
        <w:t xml:space="preserve"> </w:t>
      </w:r>
      <w:r>
        <w:rPr>
          <w:i/>
          <w:iCs/>
        </w:rPr>
        <w:t xml:space="preserve">(razionale forte, prove parziali)</w:t>
      </w:r>
      <w:r>
        <w:t xml:space="preserve">, con le fonti del sesto meccanismo.</w:t>
      </w:r>
    </w:p>
    <w:p>
      <w:pPr>
        <w:pStyle w:val="FirstParagraph"/>
      </w:pPr>
      <w:r>
        <w:rPr>
          <w:b/>
          <w:bCs/>
        </w:rPr>
        <w:t xml:space="preserve">Cervicogenico con cefalea, e la sua componente sensomotoria.</w:t>
      </w:r>
      <w:r>
        <w:t xml:space="preserve"> </w:t>
      </w:r>
      <w:r>
        <w:t xml:space="preserve">Un pattern differenzia questo sottotipo da emicrania e cefalea tensiva: restrizione cervicale alta più alterazione dei flessori profondi (Amiri e Jull,</w:t>
      </w:r>
      <w:r>
        <w:t xml:space="preserve"> </w:t>
      </w:r>
      <w:r>
        <w:rPr>
          <w:i/>
          <w:iCs/>
        </w:rPr>
        <w:t xml:space="preserve">Cephalalgia</w:t>
      </w:r>
      <w:r>
        <w:t xml:space="preserve"> </w:t>
      </w:r>
      <w:r>
        <w:t xml:space="preserve">2007, PMID 17608813).</w:t>
      </w:r>
    </w:p>
    <w:p>
      <w:pPr>
        <w:pStyle w:val="BlockText"/>
      </w:pPr>
      <w:r>
        <w:rPr>
          <w:b/>
          <w:bCs/>
        </w:rPr>
        <w:t xml:space="preserve">Attenzione.</w:t>
      </w:r>
      <w:r>
        <w:t xml:space="preserve"> </w:t>
      </w:r>
      <w:r>
        <w:t xml:space="preserve">La</w:t>
      </w:r>
      <w:r>
        <w:t xml:space="preserve"> </w:t>
      </w:r>
      <w:r>
        <w:rPr>
          <w:b/>
          <w:bCs/>
        </w:rPr>
        <w:t xml:space="preserve">diagnosi</w:t>
      </w:r>
      <w:r>
        <w:t xml:space="preserve"> </w:t>
      </w:r>
      <w:r>
        <w:t xml:space="preserve">di cefalea cervicogenica è formalizzata dall’ICHD-3 (voce 11.2.1) e dai criteri di Sjaastad, ed è atto medico. Quello che riconosci tu è il</w:t>
      </w:r>
      <w:r>
        <w:t xml:space="preserve"> </w:t>
      </w:r>
      <w:r>
        <w:rPr>
          <w:b/>
          <w:bCs/>
        </w:rPr>
        <w:t xml:space="preserve">pattern muscolo-scheletrico associato</w:t>
      </w:r>
      <w:r>
        <w:t xml:space="preserve">, e quel pattern giustifica il tuo lavoro, non l’etichetta diagnostica.</w:t>
      </w:r>
    </w:p>
    <w:p>
      <w:pPr>
        <w:pStyle w:val="FirstParagraph"/>
      </w:pPr>
      <w:r>
        <w:t xml:space="preserve">Una parte di questi pazienti dice anche</w:t>
      </w:r>
      <w:r>
        <w:t xml:space="preserve"> </w:t>
      </w:r>
      <w:r>
        <w:rPr>
          <w:i/>
          <w:iCs/>
        </w:rPr>
        <w:t xml:space="preserve">“quando giro la testa mi sento partire”</w:t>
      </w:r>
      <w:r>
        <w:t xml:space="preserve">: instabilità, galleggiamento, sguardo che fatica.</w:t>
      </w:r>
      <w:r>
        <w:t xml:space="preserve"> </w:t>
      </w:r>
      <w:r>
        <w:rPr>
          <w:b/>
          <w:bCs/>
        </w:rPr>
        <w:t xml:space="preserve">Non è la vertigine rotatoria acuta con gli altri segni neurologici — quella resta una bandiera rossa.</w:t>
      </w:r>
      <w:r>
        <w:t xml:space="preserve"> </w:t>
      </w:r>
      <w:r>
        <w:t xml:space="preserve">E una vertigine, anche non acuta, va inquadrata</w:t>
      </w:r>
      <w:r>
        <w:t xml:space="preserve"> </w:t>
      </w:r>
      <w:r>
        <w:rPr>
          <w:b/>
          <w:bCs/>
        </w:rPr>
        <w:t xml:space="preserve">prima</w:t>
      </w:r>
      <w:r>
        <w:t xml:space="preserve"> </w:t>
      </w:r>
      <w:r>
        <w:t xml:space="preserve">di lavorare sul collo alto.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il deficit propriocettivo nel paziente</w:t>
      </w:r>
      <w:r>
        <w:t xml:space="preserve"> </w:t>
      </w:r>
      <w:r>
        <w:rPr>
          <w:b/>
          <w:bCs/>
        </w:rPr>
        <w:t xml:space="preserve">idiopatico</w:t>
      </w:r>
      <w:r>
        <w:t xml:space="preserve">. Il riposizionamento del capo verso il neutro è peggiore che nei controlli asintomatici: tredici studi, meta-analisi su dieci, SMD 0,44 (IC 0,25-0,63). I test posturali invece non differiscono (Stanton,</w:t>
      </w:r>
      <w:r>
        <w:t xml:space="preserve"> </w:t>
      </w:r>
      <w:r>
        <w:rPr>
          <w:i/>
          <w:iCs/>
        </w:rPr>
        <w:t xml:space="preserve">Phys Ther</w:t>
      </w:r>
      <w:r>
        <w:t xml:space="preserve"> </w:t>
      </w:r>
      <w:r>
        <w:t xml:space="preserve">2016, PMID 26472296).</w:t>
      </w:r>
    </w:p>
    <w:p>
      <w:pPr>
        <w:pStyle w:val="BlockText"/>
      </w:pPr>
      <w:r>
        <w:rPr>
          <w:b/>
          <w:bCs/>
        </w:rPr>
        <w:t xml:space="preserve">PROBABILE</w:t>
      </w:r>
      <w:r>
        <w:t xml:space="preserve"> </w:t>
      </w:r>
      <w:r>
        <w:rPr>
          <w:i/>
          <w:iCs/>
        </w:rPr>
        <w:t xml:space="preserve">(razionale forte, prove parziali)</w:t>
      </w:r>
      <w:r>
        <w:t xml:space="preserve"> </w:t>
      </w:r>
      <w:r>
        <w:t xml:space="preserve">anche per l’associazione fra disfunzione afferente cervicale e disturbi di equilibrio e di sguardo. Ma è</w:t>
      </w:r>
      <w:r>
        <w:t xml:space="preserve"> </w:t>
      </w:r>
      <w:r>
        <w:rPr>
          <w:b/>
          <w:bCs/>
        </w:rPr>
        <w:t xml:space="preserve">misurata su dolore cervicale traumatico, popolazione che questa Bibbia dichiara fuori perimetro</w:t>
      </w:r>
      <w:r>
        <w:t xml:space="preserve"> </w:t>
      </w:r>
      <w:r>
        <w:t xml:space="preserve">(Treleaven, PMID 28622488).</w:t>
      </w:r>
    </w:p>
    <w:p>
      <w:pPr>
        <w:pStyle w:val="BlockText"/>
      </w:pPr>
      <w:r>
        <w:t xml:space="preserve">Sull’</w:t>
      </w:r>
      <w:r>
        <w:rPr>
          <w:b/>
          <w:bCs/>
        </w:rPr>
        <w:t xml:space="preserve">effetto delle mani</w:t>
      </w:r>
      <w:r>
        <w:t xml:space="preserve"> </w:t>
      </w:r>
      <w:r>
        <w:t xml:space="preserve">il dato non manca, ed è negativo: la terapia manuale ha migliorato l’escursione e</w:t>
      </w:r>
      <w:r>
        <w:t xml:space="preserve"> </w:t>
      </w:r>
      <w:r>
        <w:rPr>
          <w:b/>
          <w:bCs/>
        </w:rPr>
        <w:t xml:space="preserve">non</w:t>
      </w:r>
      <w:r>
        <w:t xml:space="preserve"> </w:t>
      </w:r>
      <w:r>
        <w:t xml:space="preserve">ha mosso il riposizionamento del capo (Reid, PMID 24792139).</w:t>
      </w:r>
      <w:r>
        <w:t xml:space="preserve"> </w:t>
      </w:r>
      <w:r>
        <w:rPr>
          <w:b/>
          <w:bCs/>
        </w:rPr>
        <w:t xml:space="preserve">È un deficit misurato, non un bersaglio della mano.</w:t>
      </w:r>
      <w:r>
        <w:t xml:space="preserve"> </w:t>
      </w:r>
      <w:r>
        <w:t xml:space="preserve">Il deficit esiste, e chi lo sposta è l’esercizio.</w:t>
      </w:r>
      <w:r>
        <w:t xml:space="preserve"> </w:t>
      </w:r>
      <w:r>
        <w:rPr>
          <w:b/>
          <w:bCs/>
        </w:rPr>
        <w:t xml:space="preserve">Non è un settimo meccanismo:</w:t>
      </w:r>
      <w:r>
        <w:t xml:space="preserve"> </w:t>
      </w:r>
      <w:r>
        <w:t xml:space="preserve">è una componente di questo sottotipo, ed è l’unico reperto del documento che la tua mano non sposta.</w:t>
      </w:r>
    </w:p>
    <w:p>
      <w:pPr>
        <w:pStyle w:val="FirstParagraph"/>
      </w:pPr>
      <w:r>
        <w:rPr>
          <w:b/>
          <w:bCs/>
        </w:rPr>
        <w:t xml:space="preserve">Da carico continuo.</w:t>
      </w:r>
      <w:r>
        <w:t xml:space="preserve"> </w:t>
      </w:r>
      <w:r>
        <w:t xml:space="preserve">Qui la parte del paziente pesa più della tua. Vale per entrambe le vie del quinto meccanismo — la postura che non cambia e il respiro che presta tre muscoli del collo — e la seconda si riconosce dal reclutamento accessorio a riposo, non dall’orario.</w:t>
      </w:r>
    </w:p>
    <w:p>
      <w:pPr>
        <w:pStyle w:val="BodyText"/>
      </w:pPr>
      <w:r>
        <w:rPr>
          <w:b/>
          <w:bCs/>
        </w:rPr>
        <w:t xml:space="preserve">Sensibilizzato. Non è il paziente su cui puoi meno: è quello in cui il bersaglio è un altro.</w:t>
      </w:r>
      <w:r>
        <w:t xml:space="preserve"> </w:t>
      </w:r>
      <w:r>
        <w:t xml:space="preserve">Il lavoro è sul livello di allarme — contatto lento, ritmo del respiro, tempo dedicato — e su un’esposizione al movimento che riparte da sotto la soglia. Anche l’esito da dichiarare prima è diverso:</w:t>
      </w:r>
      <w:r>
        <w:t xml:space="preserve"> </w:t>
      </w:r>
      <w:r>
        <w:rPr>
          <w:b/>
          <w:bCs/>
        </w:rPr>
        <w:t xml:space="preserve">funzione su e disabilità giù, col dolore che si muove dopo.</w:t>
      </w:r>
    </w:p>
    <w:p>
      <w:pPr>
        <w:pStyle w:val="BodyText"/>
      </w:pPr>
      <w:r>
        <w:rPr>
          <w:b/>
          <w:bCs/>
        </w:rPr>
        <w:t xml:space="preserve">Cervicobrachialgia.</w:t>
      </w:r>
      <w:r>
        <w:t xml:space="preserve"> </w:t>
      </w:r>
      <w:r>
        <w:t xml:space="preserve">Il triage precede sempre il trattamento.</w:t>
      </w:r>
      <w:r>
        <w:t xml:space="preserve"> </w:t>
      </w:r>
      <w:r>
        <w:rPr>
          <w:b/>
          <w:bCs/>
        </w:rPr>
        <w:t xml:space="preserve">“Poco”</w:t>
      </w:r>
      <w:r>
        <w:rPr>
          <w:b/>
          <w:bCs/>
        </w:rPr>
        <w:t xml:space="preserve"> </w:t>
      </w:r>
      <w:r>
        <w:rPr>
          <w:b/>
          <w:bCs/>
        </w:rPr>
        <w:t xml:space="preserve">vale sulla radice, non sul paziente.</w:t>
      </w:r>
      <w:r>
        <w:t xml:space="preserve"> </w:t>
      </w:r>
      <w:r>
        <w:t xml:space="preserve">Sul contorno si lavora — cerniera, prima costa, scapola, tolleranza posizionale — e soprattutto si lavora sulla paura. È il paziente che chiede più tempo di parola.</w:t>
      </w:r>
    </w:p>
    <w:p>
      <w:pPr>
        <w:pStyle w:val="BodyText"/>
      </w:pPr>
      <w:r>
        <w:t xml:space="preserve">Se ha anche emicrania, acufene o dolore mandibolare, vedi la Bibbia di quella condizione: i quattro quadri condividono l’asse cervico-cranico e il nucleo trigemino-cervicale.</w:t>
      </w:r>
    </w:p>
    <w:p>
      <w:pPr>
        <w:pStyle w:val="BlockText"/>
      </w:pPr>
      <w:r>
        <w:rPr>
          <w:b/>
          <w:bCs/>
        </w:rPr>
        <w:t xml:space="preserve">Attenzione — il quadro che non è un sottotipo.</w:t>
      </w:r>
      <w:r>
        <w:t xml:space="preserve"> </w:t>
      </w:r>
      <w:r>
        <w:t xml:space="preserve">La</w:t>
      </w:r>
      <w:r>
        <w:t xml:space="preserve"> </w:t>
      </w:r>
      <w:r>
        <w:rPr>
          <w:b/>
          <w:bCs/>
        </w:rPr>
        <w:t xml:space="preserve">mielopatia cervicale degenerativa</w:t>
      </w:r>
      <w:r>
        <w:t xml:space="preserve"> </w:t>
      </w:r>
      <w:r>
        <w:t xml:space="preserve">non è dolore: è perdita di funzione. Mani goffe nei gesti fini, scrittura peggiorata, andatura insicura, a volte disturbi sfinterici. Su 43 casi ricostruiti, dall’esordio alla visita neurochirurgica passavano in media quasi sedici mesi, con peggioramento durante l’attesa (Hilton,</w:t>
      </w:r>
      <w:r>
        <w:t xml:space="preserve"> </w:t>
      </w:r>
      <w:r>
        <w:rPr>
          <w:i/>
          <w:iCs/>
        </w:rPr>
        <w:t xml:space="preserve">BMJ Open</w:t>
      </w:r>
      <w:r>
        <w:t xml:space="preserve"> </w:t>
      </w:r>
      <w:r>
        <w:t xml:space="preserve">2019, PMID 31061045).</w:t>
      </w:r>
      <w:r>
        <w:t xml:space="preserve"> </w:t>
      </w:r>
      <w:r>
        <w:rPr>
          <w:b/>
          <w:bCs/>
        </w:rPr>
        <w:t xml:space="preserve">Qui il tuo valore è riconoscere in fretta, non trattare:</w:t>
      </w:r>
      <w:r>
        <w:t xml:space="preserve"> </w:t>
      </w:r>
      <w:r>
        <w:t xml:space="preserve">scrivilo, dillo e mandalo.</w:t>
      </w:r>
    </w:p>
    <w:p>
      <w:pPr>
        <w:pStyle w:val="FirstParagraph"/>
      </w:pPr>
      <w:r>
        <w:rPr>
          <w:b/>
          <w:bCs/>
        </w:rPr>
        <w:t xml:space="preserve">Le tre cose da ricordare, più una</w:t>
      </w:r>
    </w:p>
    <w:p>
      <w:pPr>
        <w:pStyle w:val="Compact"/>
        <w:numPr>
          <w:ilvl w:val="0"/>
          <w:numId w:val="1019"/>
        </w:numPr>
      </w:pPr>
      <w:r>
        <w:t xml:space="preserve">Orario, traiettoria, territorio e proporzione fra racconto e reperto separano quasi tutti i sottotipi senza toccare il paziente.</w:t>
      </w:r>
    </w:p>
    <w:p>
      <w:pPr>
        <w:pStyle w:val="Compact"/>
        <w:numPr>
          <w:ilvl w:val="0"/>
          <w:numId w:val="1019"/>
        </w:numPr>
      </w:pPr>
      <w:r>
        <w:t xml:space="preserve">Il sensibilizzato non è un capolinea: il bersaglio è l’allarme, e quello è lavoro manuale a tutti gli effetti.</w:t>
      </w:r>
    </w:p>
    <w:p>
      <w:pPr>
        <w:pStyle w:val="Compact"/>
        <w:numPr>
          <w:ilvl w:val="0"/>
          <w:numId w:val="1019"/>
        </w:numPr>
      </w:pPr>
      <w:r>
        <w:t xml:space="preserve">La mielopatia si riconosce dalle mani e dai piedi, non dal collo.</w:t>
      </w:r>
    </w:p>
    <w:p>
      <w:pPr>
        <w:pStyle w:val="Compact"/>
        <w:numPr>
          <w:ilvl w:val="0"/>
          <w:numId w:val="1019"/>
        </w:numPr>
      </w:pPr>
      <w:r>
        <w:rPr>
          <w:b/>
          <w:bCs/>
        </w:rPr>
        <w:t xml:space="preserve">Perché ci sei tu.</w:t>
      </w:r>
      <w:r>
        <w:t xml:space="preserve"> </w:t>
      </w:r>
      <w:r>
        <w:t xml:space="preserve">Nella coorte di riferimento sulla radicolopatia, 26 pazienti su 100 sono stati operati. A quasi cinque anni il 90% era senza sintomi o poco limitato (Radhakrishnan, PMID 8186959). Questo ti autorizza a non spaventare chi ha un formicolio stabile. Non ti autorizza a tenere in cura chi peggiora: un quarto finisce in sala operatoria, e chi peggiora è il candidato.</w:t>
      </w:r>
    </w:p>
    <w:p>
      <w:r>
        <w:pict>
          <v:rect style="width:0;height:1.5pt" o:hralign="center" o:hrstd="t" o:hr="t"/>
        </w:pict>
      </w:r>
    </w:p>
    <w:bookmarkEnd w:id="30"/>
    <w:bookmarkStart w:id="36"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tre modelli su cinque hanno prove, e i due deboli si dichiarano deboli.</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Start w:id="31" w:name="biomeccanico-strutturale"/>
    <w:p>
      <w:pPr>
        <w:pStyle w:val="Heading3"/>
      </w:pPr>
      <w:r>
        <w:t xml:space="preserve">Biomeccanico-strutturale</w:t>
      </w:r>
    </w:p>
    <w:p>
      <w:pPr>
        <w:pStyle w:val="FirstParagraph"/>
      </w:pPr>
      <w:r>
        <w:rPr>
          <w:b/>
          <w:bCs/>
        </w:rPr>
        <w:t xml:space="preserve">Cosa governa qui.</w:t>
      </w:r>
      <w:r>
        <w:t xml:space="preserve"> </w:t>
      </w:r>
      <w:r>
        <w:t xml:space="preserve">La distribuzione del movimento fra i segmenti, la generazione articolare del dolore e il comportamento della scapola sotto carico. È il modello in cui vive la disfunzione somatica cervicale.</w:t>
      </w:r>
    </w:p>
    <w:p>
      <w:pPr>
        <w:pStyle w:val="BodyText"/>
      </w:pPr>
      <w:r>
        <w:rPr>
          <w:b/>
          <w:bCs/>
        </w:rPr>
        <w:t xml:space="preserve">I segnali che ti dicono che pesa.</w:t>
      </w:r>
      <w:r>
        <w:t xml:space="preserve"> </w:t>
      </w:r>
      <w:r>
        <w:t xml:space="preserve">Rotazione in flessione asimmetrica. Dolore riprodotto da un test segmentale, con territorio coerente con un livello. Movimento che migliora dopo una mobilizzazione e regge giorni. Scapola che non ruota nell’elevazione del braccio.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leva (Gross, PMID 26397370; Minnucci, PMID 37561605; Benetton, PMID 40019107). Manipolazione e mobilizzazione producono cambiamenti simili. La certezza va da molto bassa a bassa. E per la mobilizzazione</w:t>
      </w:r>
      <w:r>
        <w:t xml:space="preserve"> </w:t>
      </w:r>
      <w:r>
        <w:rPr>
          <w:b/>
          <w:bCs/>
        </w:rPr>
        <w:t xml:space="preserve">nessuna caratteristica degli studi risulta associata all’effetto, dose e numero di sedute comprese</w:t>
      </w:r>
      <w:r>
        <w:t xml:space="preserve">. I numeri stanno in «Cosa dice la scienza».</w:t>
      </w:r>
      <w:r>
        <w:t xml:space="preserve"> </w:t>
      </w:r>
      <w:r>
        <w:rPr>
          <w:b/>
          <w:bCs/>
        </w:rPr>
        <w:t xml:space="preserve">Non è un’equivalenza dimostrata: è l’assenza di una differenza rilevata.</w:t>
      </w:r>
    </w:p>
    <w:p>
      <w:pPr>
        <w:pStyle w:val="BlockText"/>
      </w:pPr>
      <w:r>
        <w:rPr>
          <w:b/>
          <w:bCs/>
        </w:rPr>
        <w:t xml:space="preserve">PROBABILE</w:t>
      </w:r>
      <w:r>
        <w:t xml:space="preserve"> </w:t>
      </w:r>
      <w:r>
        <w:t xml:space="preserve">anche per la generazione articolare del dolore (Barnsley, PMID 7709275 — misurato dopo colpo di frusta, popolazione fuori perimetro; i territori vengono dai volontari sani di Dwyer).</w:t>
      </w:r>
      <w:r>
        <w:t xml:space="preserve"> </w:t>
      </w:r>
      <w:r>
        <w:rPr>
          <w:b/>
          <w:bCs/>
        </w:rPr>
        <w:t xml:space="preserve">IPOTESI</w:t>
      </w:r>
      <w:r>
        <w:t xml:space="preserve"> </w:t>
      </w:r>
      <w:r>
        <w:rPr>
          <w:i/>
          <w:iCs/>
        </w:rPr>
        <w:t xml:space="preserve">(meccanismo coerente, nessuno studio)</w:t>
      </w:r>
      <w:r>
        <w:t xml:space="preserve"> </w:t>
      </w:r>
      <w:r>
        <w:t xml:space="preserve">che la restrizione segmentale ne sia la causa.</w:t>
      </w:r>
    </w:p>
    <w:bookmarkEnd w:id="31"/>
    <w:bookmarkStart w:id="32" w:name="respiratorio-circolatorio"/>
    <w:p>
      <w:pPr>
        <w:pStyle w:val="Heading3"/>
      </w:pPr>
      <w:r>
        <w:t xml:space="preserve">Respiratorio-circolatorio</w:t>
      </w:r>
    </w:p>
    <w:p>
      <w:pPr>
        <w:pStyle w:val="FirstParagraph"/>
      </w:pPr>
      <w:r>
        <w:rPr>
          <w:b/>
          <w:bCs/>
        </w:rPr>
        <w:t xml:space="preserve">Cosa governa qui.</w:t>
      </w:r>
      <w:r>
        <w:t xml:space="preserve"> </w:t>
      </w:r>
      <w:r>
        <w:t xml:space="preserve">Quanto lavoro respiratorio finisce sul collo.</w:t>
      </w:r>
      <w:r>
        <w:t xml:space="preserve"> </w:t>
      </w:r>
      <w:r>
        <w:rPr>
          <w:b/>
          <w:bCs/>
        </w:rPr>
        <w:t xml:space="preserve">Su questo distretto si usa la sola meccanica ventilatoria.</w:t>
      </w:r>
      <w:r>
        <w:t xml:space="preserve"> </w:t>
      </w:r>
      <w:r>
        <w:t xml:space="preserve">La metà circolatoria del modello — ritorno venoso e linfatico, gradienti pressori — qui non è pertinente, e non viene invocata.</w:t>
      </w:r>
    </w:p>
    <w:p>
      <w:pPr>
        <w:pStyle w:val="BodyText"/>
      </w:pPr>
      <w:r>
        <w:rPr>
          <w:b/>
          <w:bCs/>
        </w:rPr>
        <w:t xml:space="preserve">I segnali che ti dicono che pesa.</w:t>
      </w:r>
      <w:r>
        <w:t xml:space="preserve"> </w:t>
      </w:r>
      <w:r>
        <w:t xml:space="preserve">Espansione toracica ridotta al nastro. Sternocleidomastoideo e scaleni reclutati durante il respiro tranquillo. Spalle che salgono. Sospiri frequenti. Frequenza respiratoria a riposo aumentata</w:t>
      </w:r>
      <w:r>
        <w:t xml:space="preserve"> </w:t>
      </w:r>
      <w:r>
        <w:rPr>
          <w:b/>
          <w:bCs/>
        </w:rPr>
        <w:t xml:space="preserve">rispetto alla baseline dello stesso paziente</w:t>
      </w:r>
      <w:r>
        <w:t xml:space="preserve">, contata per sessanta secondi senza avvisarlo. Non rispetto a una soglia fissa, perché l’intervallo normale va da dodici a venti.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l’associazione (Kapreli, PMID 19187335; Dimitriadis, PMID 23958733).</w:t>
      </w:r>
      <w:r>
        <w:t xml:space="preserve"> </w:t>
      </w:r>
      <w:r>
        <w:rPr>
          <w:b/>
          <w:bCs/>
        </w:rPr>
        <w:t xml:space="preserve">PROBABILE</w:t>
      </w:r>
      <w:r>
        <w:t xml:space="preserve"> </w:t>
      </w:r>
      <w:r>
        <w:t xml:space="preserve">anche per l’intervento,</w:t>
      </w:r>
      <w:r>
        <w:t xml:space="preserve"> </w:t>
      </w:r>
      <w:r>
        <w:rPr>
          <w:b/>
          <w:bCs/>
        </w:rPr>
        <w:t xml:space="preserve">con la discordanza dichiarata</w:t>
      </w:r>
      <w:r>
        <w:t xml:space="preserve">: due meta-analisi del 2025 concludono in modo opposto sugli stessi cinque studi, e i numeri stanno in «Cosa dice la scienza» (Cefalì, PMID 39941380; Park, PMID 41007191; Anwar, PMID 36006997).</w:t>
      </w:r>
      <w:r>
        <w:t xml:space="preserve"> </w:t>
      </w:r>
      <w:r>
        <w:rPr>
          <w:b/>
          <w:bCs/>
        </w:rPr>
        <w:t xml:space="preserve">Il nesso causale respiro → dolore resta IPOTESI</w:t>
      </w:r>
      <w:r>
        <w:t xml:space="preserve"> </w:t>
      </w:r>
      <w:r>
        <w:rPr>
          <w:i/>
          <w:iCs/>
        </w:rPr>
        <w:t xml:space="preserve">(meccanismo coerente, nessuno studio)</w:t>
      </w:r>
      <w:r>
        <w:t xml:space="preserve">: non è mai stato stabilito, ed è cosa diversa dall’effetto di un intervento.</w:t>
      </w:r>
    </w:p>
    <w:bookmarkEnd w:id="32"/>
    <w:bookmarkStart w:id="33" w:name="neurologico"/>
    <w:p>
      <w:pPr>
        <w:pStyle w:val="Heading3"/>
      </w:pPr>
      <w:r>
        <w:t xml:space="preserve">Neurologico</w:t>
      </w:r>
    </w:p>
    <w:p>
      <w:pPr>
        <w:pStyle w:val="FirstParagraph"/>
      </w:pPr>
      <w:r>
        <w:rPr>
          <w:b/>
          <w:bCs/>
        </w:rPr>
        <w:t xml:space="preserve">Cosa governa qui.</w:t>
      </w:r>
      <w:r>
        <w:t xml:space="preserve"> </w:t>
      </w:r>
      <w:r>
        <w:t xml:space="preserve">Tre cose: il</w:t>
      </w:r>
      <w:r>
        <w:t xml:space="preserve"> </w:t>
      </w:r>
      <w:r>
        <w:rPr>
          <w:b/>
          <w:bCs/>
        </w:rPr>
        <w:t xml:space="preserve">controllo motorio anticipatorio</w:t>
      </w:r>
      <w:r>
        <w:t xml:space="preserve"> </w:t>
      </w:r>
      <w:r>
        <w:t xml:space="preserve">del collo, il</w:t>
      </w:r>
      <w:r>
        <w:t xml:space="preserve"> </w:t>
      </w:r>
      <w:r>
        <w:rPr>
          <w:b/>
          <w:bCs/>
        </w:rPr>
        <w:t xml:space="preserve">guadagno</w:t>
      </w:r>
      <w:r>
        <w:t xml:space="preserve"> </w:t>
      </w:r>
      <w:r>
        <w:t xml:space="preserve">con cui il sistema elabora quello che arriva, e la</w:t>
      </w:r>
      <w:r>
        <w:t xml:space="preserve"> </w:t>
      </w:r>
      <w:r>
        <w:rPr>
          <w:b/>
          <w:bCs/>
        </w:rPr>
        <w:t xml:space="preserve">convergenza cervico-trigeminale</w:t>
      </w:r>
      <w:r>
        <w:t xml:space="preserve">.</w:t>
      </w:r>
    </w:p>
    <w:p>
      <w:pPr>
        <w:pStyle w:val="BodyText"/>
      </w:pPr>
      <w:r>
        <w:rPr>
          <w:b/>
          <w:bCs/>
        </w:rPr>
        <w:t xml:space="preserve">I segnali che ti dicono che pesa.</w:t>
      </w:r>
      <w:r>
        <w:t xml:space="preserve"> </w:t>
      </w:r>
      <w:r>
        <w:t xml:space="preserve">Flessione profonda che non tiene senza i superficiali. Dolore alla pressione anche fuori dal collo. Reperto piccolo e quadro grande. Mal di testa unilaterale dalla nuca. Formicolio con traiettoria stabile.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 tutti e tre i fronti. Ritardo del controllo anticipatorio e sua modificabilità con l’allenamento (Falla, PMID 14762639; Blomgren, PMID 30486819). Convergenza documentata nell’animale nei due sensi (Bartsch e Goadsby, PMID 12077000 e 12821523).</w:t>
      </w:r>
    </w:p>
    <w:p>
      <w:pPr>
        <w:pStyle w:val="BlockText"/>
      </w:pPr>
      <w:r>
        <w:rPr>
          <w:b/>
          <w:bCs/>
        </w:rPr>
        <w:t xml:space="preserve">Attenzione alla direzione dell’effetto del tocco: è il punto in cui questo modello viene gonfiato più spesso.</w:t>
      </w:r>
      <w:r>
        <w:t xml:space="preserve"> </w:t>
      </w:r>
      <w:r>
        <w:t xml:space="preserve">Una mobilizzazione cervicale alza la soglia del dolore alla pressione, e insieme sposta l’autonomico verso l’attivazione (Sterling, PMID 11414776, 30 soggetti, controllato con placebo in cieco doppio). La fisiologia per esteso sta in «Perché le mani possono cambiare qualcosa», leva 3. Non si scrive che il tocco</w:t>
      </w:r>
      <w:r>
        <w:t xml:space="preserve"> </w:t>
      </w:r>
      <w:r>
        <w:t xml:space="preserve">“calma il sistema nervoso”</w:t>
      </w:r>
      <w:r>
        <w:t xml:space="preserve">: si scrive che modula il dolore.</w:t>
      </w:r>
    </w:p>
    <w:bookmarkEnd w:id="33"/>
    <w:bookmarkStart w:id="34" w:name="metabolico-energetico"/>
    <w:p>
      <w:pPr>
        <w:pStyle w:val="Heading3"/>
      </w:pPr>
      <w:r>
        <w:t xml:space="preserve">Metabolico-energetico</w:t>
      </w:r>
    </w:p>
    <w:p>
      <w:pPr>
        <w:pStyle w:val="FirstParagraph"/>
      </w:pPr>
      <w:r>
        <w:rPr>
          <w:b/>
          <w:bCs/>
        </w:rPr>
        <w:t xml:space="preserve">Cosa governa qui.</w:t>
      </w:r>
      <w:r>
        <w:t xml:space="preserve"> </w:t>
      </w:r>
      <w:r>
        <w:t xml:space="preserve">Sonno, carico complessivo, recupero. È il modello che si</w:t>
      </w:r>
      <w:r>
        <w:t xml:space="preserve"> </w:t>
      </w:r>
      <w:r>
        <w:rPr>
          <w:b/>
          <w:bCs/>
        </w:rPr>
        <w:t xml:space="preserve">valuta</w:t>
      </w:r>
      <w:r>
        <w:t xml:space="preserve"> </w:t>
      </w:r>
      <w:r>
        <w:t xml:space="preserve">e si</w:t>
      </w:r>
      <w:r>
        <w:t xml:space="preserve"> </w:t>
      </w:r>
      <w:r>
        <w:rPr>
          <w:b/>
          <w:bCs/>
        </w:rPr>
        <w:t xml:space="preserve">segnala</w:t>
      </w:r>
      <w:r>
        <w:t xml:space="preserve">, non quello che si lavora.</w:t>
      </w:r>
    </w:p>
    <w:p>
      <w:pPr>
        <w:pStyle w:val="BodyText"/>
      </w:pPr>
      <w:r>
        <w:rPr>
          <w:b/>
          <w:bCs/>
        </w:rPr>
        <w:t xml:space="preserve">I segnali che ti dicono che pesa.</w:t>
      </w:r>
      <w:r>
        <w:t xml:space="preserve"> </w:t>
      </w:r>
      <w:r>
        <w:t xml:space="preserve">Sonno frammentato. Finché resta rotto, la resa del lavoro manuale è bassa, come una ricarica staccata a metà, e va dichiarato al paziente prima di cominciare.</w:t>
      </w:r>
      <w:r>
        <w:t xml:space="preserve"> </w:t>
      </w:r>
      <w:r>
        <w:rPr>
          <w:b/>
          <w:bCs/>
        </w:rPr>
        <w:t xml:space="preserve">Da non confondere con la rigidità di risveglio da posizione notturna, che è carico e appartiene al meccanismo 5.</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leva. Nessuno ha misurato l’effetto di un intervento metabolico sul dolore cervicale, e la funzione del modello resta di indagine: quanto di questo caso sta fuori dalle tue mani.</w:t>
      </w:r>
    </w:p>
    <w:p>
      <w:pPr>
        <w:pStyle w:val="BlockText"/>
      </w:pPr>
      <w:r>
        <w:t xml:space="preserve">Ma sul</w:t>
      </w:r>
      <w:r>
        <w:t xml:space="preserve"> </w:t>
      </w:r>
      <w:r>
        <w:rPr>
          <w:b/>
          <w:bCs/>
        </w:rPr>
        <w:t xml:space="preserve">sonno come predittore</w:t>
      </w:r>
      <w:r>
        <w:t xml:space="preserve"> </w:t>
      </w:r>
      <w:r>
        <w:t xml:space="preserve">il dato esiste, ed è</w:t>
      </w:r>
      <w:r>
        <w:t xml:space="preserve"> </w:t>
      </w:r>
      <w:r>
        <w:rPr>
          <w:b/>
          <w:bCs/>
        </w:rPr>
        <w:t xml:space="preserve">DIMOSTRATO</w:t>
      </w:r>
      <w:r>
        <w:t xml:space="preserve"> </w:t>
      </w:r>
      <w:r>
        <w:rPr>
          <w:i/>
          <w:iCs/>
        </w:rPr>
        <w:t xml:space="preserve">(studi sull’uomo, solidi)</w:t>
      </w:r>
      <w:r>
        <w:t xml:space="preserve">. Su 422 pazienti</w:t>
      </w:r>
      <w:r>
        <w:t xml:space="preserve"> </w:t>
      </w:r>
      <w:r>
        <w:rPr>
          <w:b/>
          <w:bCs/>
        </w:rPr>
        <w:t xml:space="preserve">con dolore cervicale</w:t>
      </w:r>
      <w:r>
        <w:t xml:space="preserve"> </w:t>
      </w:r>
      <w:r>
        <w:t xml:space="preserve">subacuto e cronico, una qualità del sonno peggiore predice il mancato miglioramento a tre mesi. Predice indipendentemente da età, sesso, catastrofizzazione, depressione e trattamento (Kovacs,</w:t>
      </w:r>
      <w:r>
        <w:t xml:space="preserve"> </w:t>
      </w:r>
      <w:r>
        <w:rPr>
          <w:i/>
          <w:iCs/>
        </w:rPr>
        <w:t xml:space="preserve">Clin J Pain</w:t>
      </w:r>
      <w:r>
        <w:t xml:space="preserve"> </w:t>
      </w:r>
      <w:r>
        <w:t xml:space="preserve">2015, PMID 26153781) —</w:t>
      </w:r>
      <w:r>
        <w:t xml:space="preserve"> </w:t>
      </w:r>
      <w:r>
        <w:rPr>
          <w:b/>
          <w:bCs/>
        </w:rPr>
        <w:t xml:space="preserve">DIMOSTRATO su coorte (vedi Cap. 0).</w:t>
      </w:r>
    </w:p>
    <w:p>
      <w:pPr>
        <w:pStyle w:val="BlockText"/>
      </w:pPr>
      <w:r>
        <w:t xml:space="preserve">E il meccanismo sotto non è più vuoto. La deprivazione di sonno aumenta la percezione del dolore. L’effetto è medio fra gruppi (cinque studi, 190 soggetti, SMD 0,62; IC 0,12-1,12) e grande entro gli stessi soggetti (dieci studi, SMD 1,49). È</w:t>
      </w:r>
      <w:r>
        <w:t xml:space="preserve"> </w:t>
      </w:r>
      <w:r>
        <w:rPr>
          <w:b/>
          <w:bCs/>
        </w:rPr>
        <w:t xml:space="preserve">PROBABILE</w:t>
      </w:r>
      <w:r>
        <w:t xml:space="preserve"> </w:t>
      </w:r>
      <w:r>
        <w:rPr>
          <w:i/>
          <w:iCs/>
        </w:rPr>
        <w:t xml:space="preserve">(razionale forte, prove parziali)</w:t>
      </w:r>
      <w:r>
        <w:t xml:space="preserve"> </w:t>
      </w:r>
      <w:r>
        <w:t xml:space="preserve">sul meccanismo (Schrimpf,</w:t>
      </w:r>
      <w:r>
        <w:t xml:space="preserve"> </w:t>
      </w:r>
      <w:r>
        <w:rPr>
          <w:i/>
          <w:iCs/>
        </w:rPr>
        <w:t xml:space="preserve">Sleep Med</w:t>
      </w:r>
      <w:r>
        <w:t xml:space="preserve"> </w:t>
      </w:r>
      <w:r>
        <w:t xml:space="preserve">2015, PMID 26498229).</w:t>
      </w:r>
      <w:r>
        <w:t xml:space="preserve"> </w:t>
      </w:r>
      <w:r>
        <w:rPr>
          <w:i/>
          <w:iCs/>
        </w:rPr>
        <w:t xml:space="preserve">Misurato su soggetti sani in deprivazione sperimentale, non su pazienti con dolore cervicale — e una notte tolta non è il sonno frammentato del tuo paziente.</w:t>
      </w:r>
      <w:r>
        <w:t xml:space="preserve"> </w:t>
      </w:r>
      <w:r>
        <w:t xml:space="preserve">La leva resta RAGIONAMENTO: il meccanismo alzato non alza quello che le tue mani fanno qui.</w:t>
      </w:r>
    </w:p>
    <w:bookmarkEnd w:id="34"/>
    <w:bookmarkStart w:id="35"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Credenze sul referto, paura di muovere, ritmo con cui riprende il carico.</w:t>
      </w:r>
    </w:p>
    <w:p>
      <w:pPr>
        <w:pStyle w:val="BodyText"/>
      </w:pPr>
      <w:r>
        <w:rPr>
          <w:b/>
          <w:bCs/>
        </w:rPr>
        <w:t xml:space="preserve">I segnali che ti dicono che pesa.</w:t>
      </w:r>
      <w:r>
        <w:t xml:space="preserve"> </w:t>
      </w:r>
      <w:r>
        <w:t xml:space="preserve">Parla della risonanza prima che del dolore. Evita gesti specifici. Ha una teoria fissa sulla causa. Migliora lontano dal lavoro.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come predittore. I fattori psicosociali sono i predittori più forti dell’esito, e l’esercizio generico non lo predice (Carroll, PMID 18204403) —</w:t>
      </w:r>
      <w:r>
        <w:t xml:space="preserve"> </w:t>
      </w:r>
      <w:r>
        <w:rPr>
          <w:b/>
          <w:bCs/>
        </w:rPr>
        <w:t xml:space="preserve">DIMOSTRATO su coorte (vedi Cap. 0).</w:t>
      </w:r>
    </w:p>
    <w:p>
      <w:pPr>
        <w:pStyle w:val="BlockText"/>
      </w:pPr>
      <w:r>
        <w:t xml:space="preserve">Che il tuo intervento su quei fattori cambi l’esito è</w:t>
      </w:r>
      <w:r>
        <w:t xml:space="preserve"> </w:t>
      </w:r>
      <w:r>
        <w:rPr>
          <w:b/>
          <w:bCs/>
        </w:rPr>
        <w:t xml:space="preserve">PROBABILE</w:t>
      </w:r>
      <w:r>
        <w:t xml:space="preserve"> </w:t>
      </w:r>
      <w:r>
        <w:rPr>
          <w:i/>
          <w:iCs/>
        </w:rPr>
        <w:t xml:space="preserve">(razionale forte, prove parziali)</w:t>
      </w:r>
      <w:r>
        <w:t xml:space="preserve">,</w:t>
      </w:r>
      <w:r>
        <w:t xml:space="preserve"> </w:t>
      </w:r>
      <w:r>
        <w:rPr>
          <w:b/>
          <w:bCs/>
        </w:rPr>
        <w:t xml:space="preserve">e su questa condizione le fonti esistono.</w:t>
      </w:r>
      <w:r>
        <w:t xml:space="preserve"> </w:t>
      </w:r>
      <w:r>
        <w:t xml:space="preserve">Tre. La Cochrane dedicata non trova vantaggi rilevanti del trattamento cognitivo-comportamentale su dolore e disabilità, rispetto ad altri trattamenti attivi. Trova però qualità moderata sulla</w:t>
      </w:r>
      <w:r>
        <w:t xml:space="preserve"> </w:t>
      </w:r>
      <w:r>
        <w:rPr>
          <w:b/>
          <w:bCs/>
        </w:rPr>
        <w:t xml:space="preserve">riduzione della chinesiofobia</w:t>
      </w:r>
      <w:r>
        <w:t xml:space="preserve"> </w:t>
      </w:r>
      <w:r>
        <w:t xml:space="preserve">(Monticone, PMID 26006174, 10 studi, 836 pazienti). Gli interventi educativi sull’auto-efficacia figurano fra i più efficaci (Hurwitz, PMID 18204386). E su 140 pazienti cervicali l’aspettativa dichiarata prima del trattamento si associa all’esito riferito dopo, nei due versi (Bishop, PMID 23508341 — vedi «Cosa dire al paziente»).</w:t>
      </w:r>
    </w:p>
    <w:p>
      <w:pPr>
        <w:pStyle w:val="FirstParagraph"/>
      </w:pPr>
      <w:r>
        <w:rPr>
          <w:b/>
          <w:bCs/>
        </w:rPr>
        <w:t xml:space="preserve">Le tre cose da ricordare, più una</w:t>
      </w:r>
    </w:p>
    <w:p>
      <w:pPr>
        <w:pStyle w:val="Compact"/>
        <w:numPr>
          <w:ilvl w:val="0"/>
          <w:numId w:val="1020"/>
        </w:numPr>
      </w:pPr>
      <w:r>
        <w:t xml:space="preserve">Tre modelli su cinque hanno prove: biomeccanico per la leva, neurologico per il meccanismo, comportamentale per la prognosi. Ed è il comportamentale, non il respiratorio, a dover comandare col biomeccanico.</w:t>
      </w:r>
    </w:p>
    <w:p>
      <w:pPr>
        <w:pStyle w:val="Compact"/>
        <w:numPr>
          <w:ilvl w:val="0"/>
          <w:numId w:val="1020"/>
        </w:numPr>
      </w:pPr>
      <w:r>
        <w:t xml:space="preserve">Il metabolico si valuta e si segnala, ma il sonno come predittore è un dato duro e va chiesto.</w:t>
      </w:r>
    </w:p>
    <w:p>
      <w:pPr>
        <w:pStyle w:val="Compact"/>
        <w:numPr>
          <w:ilvl w:val="0"/>
          <w:numId w:val="1020"/>
        </w:numPr>
      </w:pPr>
      <w:r>
        <w:t xml:space="preserve">Il respiratorio ha studi discordanti, non un vuoto: si scrive così.</w:t>
      </w:r>
    </w:p>
    <w:p>
      <w:pPr>
        <w:pStyle w:val="Compact"/>
        <w:numPr>
          <w:ilvl w:val="0"/>
          <w:numId w:val="1020"/>
        </w:numPr>
      </w:pPr>
      <w:r>
        <w:rPr>
          <w:b/>
          <w:bCs/>
        </w:rPr>
        <w:t xml:space="preserve">Perché ci sei tu.</w:t>
      </w:r>
      <w:r>
        <w:t xml:space="preserve"> </w:t>
      </w:r>
      <w:r>
        <w:t xml:space="preserve">Una mobilizzazione cervicale alza la soglia del dolore alla pressione e insieme</w:t>
      </w:r>
      <w:r>
        <w:t xml:space="preserve"> </w:t>
      </w:r>
      <w:r>
        <w:rPr>
          <w:b/>
          <w:bCs/>
        </w:rPr>
        <w:t xml:space="preserve">aumenta</w:t>
      </w:r>
      <w:r>
        <w:t xml:space="preserve"> </w:t>
      </w:r>
      <w:r>
        <w:t xml:space="preserve">la conduttanza cutanea (Sterling, PMID 11414776). Questo ti autorizza a usare le mani come leva sul dolore, e a spiegare che il sollievo non passa dal rilassamento. Non ti autorizza a dire che il tocco</w:t>
      </w:r>
      <w:r>
        <w:t xml:space="preserve"> </w:t>
      </w:r>
      <w:r>
        <w:t xml:space="preserve">“abbassa lo stress”</w:t>
      </w:r>
      <w:r>
        <w:t xml:space="preserve">.</w:t>
      </w:r>
    </w:p>
    <w:p>
      <w:r>
        <w:pict>
          <v:rect style="width:0;height:1.5pt" o:hralign="center" o:hrstd="t" o:hr="t"/>
        </w:pict>
      </w:r>
    </w:p>
    <w:bookmarkEnd w:id="35"/>
    <w:bookmarkEnd w:id="36"/>
    <w:bookmarkStart w:id="44"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dolore alla nuca è la punta; il tuo lavoro è decidere quale dei sei meccanismi consuma la capacità di adattamento di questo paziente.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Vale per tutto il capitolo: è il modo in cui si decide su cosa agire per primo, non qualcosa che sia stato misurato.</w:t>
      </w:r>
    </w:p>
    <w:p>
      <w:pPr>
        <w:pStyle w:val="BlockText"/>
      </w:pPr>
      <w:r>
        <w:rPr>
          <w:b/>
          <w:bCs/>
        </w:rPr>
        <w:t xml:space="preserve">Definizione.</w:t>
      </w:r>
      <w:r>
        <w:t xml:space="preserve"> </w:t>
      </w:r>
      <w:r>
        <w:t xml:space="preserve">Un</w:t>
      </w:r>
      <w:r>
        <w:t xml:space="preserve"> </w:t>
      </w:r>
      <w:r>
        <w:rPr>
          <w:b/>
          <w:bCs/>
        </w:rPr>
        <w:t xml:space="preserve">piano</w:t>
      </w:r>
      <w:r>
        <w:t xml:space="preserve"> </w:t>
      </w:r>
      <w:r>
        <w:t xml:space="preserve">è uno dei sistemi funzionali che concorrono al problema: controllo motorio, articolazione, carico, respiro, livello di allarme, comportamento. La stessa cosa si chiama</w:t>
      </w:r>
      <w:r>
        <w:t xml:space="preserve"> </w:t>
      </w:r>
      <w:r>
        <w:rPr>
          <w:i/>
          <w:iCs/>
        </w:rPr>
        <w:t xml:space="preserve">meccanismo</w:t>
      </w:r>
      <w:r>
        <w:t xml:space="preserve"> </w:t>
      </w:r>
      <w:r>
        <w:t xml:space="preserve">quando descrivi come si rompe,</w:t>
      </w:r>
      <w:r>
        <w:t xml:space="preserve"> </w:t>
      </w:r>
      <w:r>
        <w:rPr>
          <w:i/>
          <w:iCs/>
        </w:rPr>
        <w:t xml:space="preserve">modello</w:t>
      </w:r>
      <w:r>
        <w:t xml:space="preserve"> </w:t>
      </w:r>
      <w:r>
        <w:t xml:space="preserve">quando la classifichi,</w:t>
      </w:r>
      <w:r>
        <w:t xml:space="preserve"> </w:t>
      </w:r>
      <w:r>
        <w:rPr>
          <w:i/>
          <w:iCs/>
        </w:rPr>
        <w:t xml:space="preserve">piano</w:t>
      </w:r>
      <w:r>
        <w:t xml:space="preserve"> </w:t>
      </w:r>
      <w:r>
        <w:t xml:space="preserve">quando la ordini per comando.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bookmarkStart w:id="37" w:name="la-punta-e-il-sommerso"/>
    <w:p>
      <w:pPr>
        <w:pStyle w:val="Heading3"/>
      </w:pPr>
      <w:r>
        <w:t xml:space="preserve">La punta e il sommerso</w:t>
      </w:r>
    </w:p>
    <w:p>
      <w:pPr>
        <w:pStyle w:val="FirstParagraph"/>
      </w:pPr>
      <w:r>
        <w:t xml:space="preserve">Il sistema dominante non si legge dal sintomo. Cinque pazienti dicono la stessa frase —</w:t>
      </w:r>
      <w:r>
        <w:t xml:space="preserve"> </w:t>
      </w:r>
      <w:r>
        <w:rPr>
          <w:i/>
          <w:iCs/>
        </w:rPr>
        <w:t xml:space="preserve">“mi fa male il collo, qui”</w:t>
      </w:r>
      <w:r>
        <w:t xml:space="preserve"> </w:t>
      </w:r>
      <w:r>
        <w:t xml:space="preserve">— e indicano tutti il trapezio. Sotto hanno</w:t>
      </w:r>
      <w:r>
        <w:t xml:space="preserve"> </w:t>
      </w:r>
      <w:r>
        <w:rPr>
          <w:b/>
          <w:bCs/>
        </w:rPr>
        <w:t xml:space="preserve">quattro</w:t>
      </w:r>
      <w:r>
        <w:t xml:space="preserve"> </w:t>
      </w:r>
      <w:r>
        <w:t xml:space="preserve">sommersi diversi: il primo e il quarto sono le due vie dello stesso meccanismo, il quinto.</w:t>
      </w:r>
    </w:p>
    <w:p>
      <w:pPr>
        <w:pStyle w:val="BodyText"/>
      </w:pPr>
      <w:r>
        <w:rPr>
          <w:b/>
          <w:bCs/>
        </w:rPr>
        <w:t xml:space="preserve">Il primo.</w:t>
      </w:r>
      <w:r>
        <w:t xml:space="preserve"> </w:t>
      </w:r>
      <w:r>
        <w:t xml:space="preserve">Bene la mattina, male alle cinque, rotazione quasi piena, reperto diffuso. Il sommerso è il carico continuo.</w:t>
      </w:r>
      <w:r>
        <w:t xml:space="preserve"> </w:t>
      </w:r>
      <w:r>
        <w:rPr>
          <w:b/>
          <w:bCs/>
        </w:rPr>
        <w:t xml:space="preserve">Bersaglio:</w:t>
      </w:r>
      <w:r>
        <w:t xml:space="preserve"> </w:t>
      </w:r>
      <w:r>
        <w:t xml:space="preserve">la distribuzione del carico — cerniera, scapola, torace — più la leva attiva, che qui vale più della tua.</w:t>
      </w:r>
    </w:p>
    <w:p>
      <w:pPr>
        <w:pStyle w:val="BodyText"/>
      </w:pPr>
      <w:r>
        <w:rPr>
          <w:b/>
          <w:bCs/>
        </w:rPr>
        <w:t xml:space="preserve">Il secondo.</w:t>
      </w:r>
      <w:r>
        <w:t xml:space="preserve"> </w:t>
      </w:r>
      <w:r>
        <w:t xml:space="preserve">Episodi da anni, nessun trauma, non tiene la flessione profonda senza accendere lo sternocleidomastoideo. Il sommerso è il controllo tardivo.</w:t>
      </w:r>
      <w:r>
        <w:t xml:space="preserve"> </w:t>
      </w:r>
      <w:r>
        <w:rPr>
          <w:b/>
          <w:bCs/>
        </w:rPr>
        <w:t xml:space="preserve">Bersaglio:</w:t>
      </w:r>
      <w:r>
        <w:t xml:space="preserve"> </w:t>
      </w:r>
      <w:r>
        <w:t xml:space="preserve">i segmenti che limitano il movimento in cui il controllo va riallenato. Il resto lo costruisce lui.</w:t>
      </w:r>
    </w:p>
    <w:p>
      <w:pPr>
        <w:pStyle w:val="BodyText"/>
      </w:pPr>
      <w:r>
        <w:rPr>
          <w:b/>
          <w:bCs/>
        </w:rPr>
        <w:t xml:space="preserve">Il terzo.</w:t>
      </w:r>
      <w:r>
        <w:t xml:space="preserve"> </w:t>
      </w:r>
      <w:r>
        <w:t xml:space="preserve">Mal di testa sempre dallo stesso lato dalla nuca, rotazione in flessione ridotta da quel lato, nausea e fotofobia assenti. Il sommerso è l’ingresso nocicettivo cervicale alto sul neurone convergente.</w:t>
      </w:r>
      <w:r>
        <w:t xml:space="preserve"> </w:t>
      </w:r>
      <w:r>
        <w:rPr>
          <w:b/>
          <w:bCs/>
        </w:rPr>
        <w:t xml:space="preserve">Bersaglio:</w:t>
      </w:r>
      <w:r>
        <w:t xml:space="preserve"> </w:t>
      </w:r>
      <w:r>
        <w:t xml:space="preserve">cervicali alte e suboccipitali, con l’esito atteso dichiarato prima —</w:t>
      </w:r>
      <w:r>
        <w:t xml:space="preserve"> </w:t>
      </w:r>
      <w:r>
        <w:rPr>
          <w:b/>
          <w:bCs/>
        </w:rPr>
        <w:t xml:space="preserve">frequenza e intensità della cefalea</w:t>
      </w:r>
      <w:r>
        <w:t xml:space="preserve">, non la mobilità.</w:t>
      </w:r>
    </w:p>
    <w:p>
      <w:pPr>
        <w:pStyle w:val="BodyText"/>
      </w:pPr>
      <w:r>
        <w:rPr>
          <w:b/>
          <w:bCs/>
        </w:rPr>
        <w:t xml:space="preserve">Il quarto.</w:t>
      </w:r>
      <w:r>
        <w:t xml:space="preserve"> </w:t>
      </w:r>
      <w:r>
        <w:t xml:space="preserve">Spalle che salgono, sospiri, sternocleidomastoideo reclutato a riposo. Il sommerso è il lavoro respiratorio scaricato sul collo.</w:t>
      </w:r>
      <w:r>
        <w:t xml:space="preserve"> </w:t>
      </w:r>
      <w:r>
        <w:rPr>
          <w:b/>
          <w:bCs/>
        </w:rPr>
        <w:t xml:space="preserve">Bersaglio:</w:t>
      </w:r>
      <w:r>
        <w:t xml:space="preserve"> </w:t>
      </w:r>
      <w:r>
        <w:t xml:space="preserve">meccanica costale, diaframma e cerniera. Si verifica sul reclutamento accessorio, non sull’espansione toracica.</w:t>
      </w:r>
    </w:p>
    <w:p>
      <w:pPr>
        <w:pStyle w:val="BodyText"/>
      </w:pPr>
      <w:r>
        <w:rPr>
          <w:b/>
          <w:bCs/>
        </w:rPr>
        <w:t xml:space="preserve">Il quinto</w:t>
      </w:r>
      <w:r>
        <w:t xml:space="preserve"> </w:t>
      </w:r>
      <w:r>
        <w:t xml:space="preserve">dice, come il primo, che sta meglio lontano dal lavoro. E non è il primo: qui</w:t>
      </w:r>
      <w:r>
        <w:t xml:space="preserve"> </w:t>
      </w:r>
      <w:r>
        <w:rPr>
          <w:b/>
          <w:bCs/>
        </w:rPr>
        <w:t xml:space="preserve">nessuna posizione spegne il dolore</w:t>
      </w:r>
      <w:r>
        <w:t xml:space="preserve">, e il tessuto reagisce appena appoggi le mani. Reperto piccolo, quadro grande: il sommerso è l’allarme.</w:t>
      </w:r>
    </w:p>
    <w:p>
      <w:pPr>
        <w:pStyle w:val="BlockText"/>
      </w:pPr>
      <w:r>
        <w:rPr>
          <w:b/>
          <w:bCs/>
        </w:rPr>
        <w:t xml:space="preserve">Cosa cambia per te.</w:t>
      </w:r>
      <w:r>
        <w:t xml:space="preserve"> </w:t>
      </w:r>
      <w:r>
        <w:t xml:space="preserve">Un quadro sproporzionato al reperto</w:t>
      </w:r>
      <w:r>
        <w:t xml:space="preserve"> </w:t>
      </w:r>
      <w:r>
        <w:rPr>
          <w:b/>
          <w:bCs/>
        </w:rPr>
        <w:t xml:space="preserve">non è un capolinea</w:t>
      </w:r>
      <w:r>
        <w:t xml:space="preserve">, ed è l’errore più costoso che si possa fare qui. Se a comandare è l’allarme,</w:t>
      </w:r>
      <w:r>
        <w:t xml:space="preserve"> </w:t>
      </w:r>
      <w:r>
        <w:rPr>
          <w:b/>
          <w:bCs/>
        </w:rPr>
        <w:t xml:space="preserve">quello è il bersaglio</w:t>
      </w:r>
      <w:r>
        <w:t xml:space="preserve">, e su quel bersaglio hai una leva: contatto lento, ritmo del respiro, tempo dedicato, esposizione al movimento sotto la soglia. È lavoro manuale a tutti gli effetti, mirato altrove.</w:t>
      </w:r>
      <w:r>
        <w:t xml:space="preserve"> </w:t>
      </w:r>
      <w:r>
        <w:rPr>
          <w:b/>
          <w:bCs/>
        </w:rPr>
        <w:t xml:space="preserve">Questo è il paziente in cui hai più da fare, non meno</w:t>
      </w:r>
      <w:r>
        <w:t xml:space="preserve">, con la sua etichetta reale, PROBABILE</w:t>
      </w:r>
      <w:r>
        <w:t xml:space="preserve"> </w:t>
      </w:r>
      <w:r>
        <w:rPr>
          <w:i/>
          <w:iCs/>
        </w:rPr>
        <w:t xml:space="preserve">(razionale forte, prove parziali)</w:t>
      </w:r>
      <w:r>
        <w:t xml:space="preserve">.</w:t>
      </w:r>
    </w:p>
    <w:p>
      <w:pPr>
        <w:pStyle w:val="FirstParagraph"/>
      </w:pPr>
      <w:r>
        <w:rPr>
          <w:b/>
          <w:bCs/>
        </w:rPr>
        <w:t xml:space="preserve">Bersaglio:</w:t>
      </w:r>
      <w:r>
        <w:t xml:space="preserve"> </w:t>
      </w:r>
      <w:r>
        <w:t xml:space="preserve">l’allarme, con l’esito dichiarato prima — funzione su e disabilità giù, col dolore che si muove dopo — e misurato su quello che hai dichiarato.</w:t>
      </w:r>
    </w:p>
    <w:bookmarkEnd w:id="37"/>
    <w:bookmarkStart w:id="38" w:name="perché-si-indaga-da-monte"/>
    <w:p>
      <w:pPr>
        <w:pStyle w:val="Heading3"/>
      </w:pPr>
      <w:r>
        <w:t xml:space="preserve">Perché si indaga da monte</w:t>
      </w:r>
    </w:p>
    <w:p>
      <w:pPr>
        <w:pStyle w:val="FirstParagraph"/>
      </w:pPr>
      <w:r>
        <w:t xml:space="preserve">Il corpo sacrifica il comfort per proteggere le funzioni vitali:</w:t>
      </w:r>
      <w:r>
        <w:t xml:space="preserve"> </w:t>
      </w:r>
      <w:r>
        <w:rPr>
          <w:b/>
          <w:bCs/>
        </w:rPr>
        <w:t xml:space="preserve">tre muscoli del collo che diventano respiratori sedici volte al minuto sono il comfort ceduto per una funzione vitale.</w:t>
      </w:r>
      <w:r>
        <w:t xml:space="preserve"> </w:t>
      </w:r>
      <w:r>
        <w:t xml:space="preserve">Il piano che comanda è il</w:t>
      </w:r>
      <w:r>
        <w:t xml:space="preserve"> </w:t>
      </w:r>
      <w:r>
        <w:rPr>
          <w:b/>
          <w:bCs/>
        </w:rPr>
        <w:t xml:space="preserve">funzionalmente più a monte</w:t>
      </w:r>
      <w:r>
        <w:t xml:space="preserve"> </w:t>
      </w:r>
      <w:r>
        <w:t xml:space="preserve">fra quelli disfunzionali, perché condiziona gli altri.</w:t>
      </w:r>
    </w:p>
    <w:p>
      <w:pPr>
        <w:pStyle w:val="BodyText"/>
      </w:pPr>
      <w:r>
        <w:rPr>
          <w:b/>
          <w:bCs/>
        </w:rPr>
        <w:t xml:space="preserve">«A monte» non è una coordinata anatomica: non vuol dire più vicino alla testa.</w:t>
      </w:r>
      <w:r>
        <w:t xml:space="preserve"> </w:t>
      </w:r>
      <w:r>
        <w:t xml:space="preserve">La cervicale è già in cima al corpo, e chi legge</w:t>
      </w:r>
      <w:r>
        <w:t xml:space="preserve"> </w:t>
      </w:r>
      <w:r>
        <w:t xml:space="preserve">“dall’alto”</w:t>
      </w:r>
      <w:r>
        <w:t xml:space="preserve"> </w:t>
      </w:r>
      <w:r>
        <w:t xml:space="preserve">cerca ancora più su — occipite, cranio. Il piano che comanda invece è quasi sempre sotto: torace, respiro, appoggio scapolare, allarme. È l’interruttore che spegne la lampada e sta dall’altra parte della stanza.</w:t>
      </w:r>
    </w:p>
    <w:p>
      <w:pPr>
        <w:pStyle w:val="BlockText"/>
      </w:pPr>
      <w:r>
        <w:rPr>
          <w:b/>
          <w:bCs/>
        </w:rPr>
        <w:t xml:space="preserve">Cosa cambia per te.</w:t>
      </w:r>
      <w:r>
        <w:t xml:space="preserve"> </w:t>
      </w:r>
      <w:r>
        <w:t xml:space="preserve">L’ordine dei meccanismi e l’ordine di comando non sono lo stesso ordine. «Cosa si rompe» li elenca</w:t>
      </w:r>
      <w:r>
        <w:t xml:space="preserve"> </w:t>
      </w:r>
      <w:r>
        <w:rPr>
          <w:b/>
          <w:bCs/>
        </w:rPr>
        <w:t xml:space="preserve">per lettura</w:t>
      </w:r>
      <w:r>
        <w:t xml:space="preserve">, con il gradino del triage al secondo posto. L’ordine di</w:t>
      </w:r>
      <w:r>
        <w:t xml:space="preserve"> </w:t>
      </w:r>
      <w:r>
        <w:rPr>
          <w:b/>
          <w:bCs/>
        </w:rPr>
        <w:t xml:space="preserve">comando</w:t>
      </w:r>
      <w:r>
        <w:t xml:space="preserve"> </w:t>
      </w:r>
      <w:r>
        <w:t xml:space="preserve">è quello della road map, e ogni gradino ha la sua ragione. Il livello di allarme condiziona la risposta di tutti gli altri piani. Il sonno condiziona la resa di qualunque lavoro manuale. Il respiro carica il collo sedici volte al minuto, a prescindere dal gesto. Distribuzione del carico, controllo e articolazione sono esecutori, e si riorganizzano quando i piani sopra si spostano.</w:t>
      </w:r>
    </w:p>
    <w:bookmarkEnd w:id="38"/>
    <w:bookmarkStart w:id="39" w:name="quanto-si-può-fare-oggi-lirritabilità"/>
    <w:p>
      <w:pPr>
        <w:pStyle w:val="Heading3"/>
      </w:pPr>
      <w:r>
        <w:t xml:space="preserve">Quanto si può fare oggi: l’irritabilità</w:t>
      </w:r>
    </w:p>
    <w:p>
      <w:pPr>
        <w:pStyle w:val="FirstParagraph"/>
      </w:pPr>
      <w:r>
        <w:t xml:space="preserve">Prima di scegliere il bersaglio, leggi quanto quel paziente tollera</w:t>
      </w:r>
      <w:r>
        <w:t xml:space="preserve"> </w:t>
      </w:r>
      <w:r>
        <w:rPr>
          <w:b/>
          <w:bCs/>
        </w:rPr>
        <w:t xml:space="preserve">oggi</w:t>
      </w:r>
      <w:r>
        <w:t xml:space="preserve">: quanto movimento serve perché il dolore compaia, quanto sale, quanto ci mette a rientrare. Il segno di controllo arriva il giorno dopo. Se il dolore è più alto del basale, l’irritabilità era più alta di come l’avevi letta.</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w:t>
      </w:r>
      <w:r>
        <w:t xml:space="preserve"> </w:t>
      </w:r>
      <w:r>
        <w:rPr>
          <w:b/>
          <w:bCs/>
        </w:rPr>
        <w:t xml:space="preserve">Non è una dose:</w:t>
      </w:r>
      <w:r>
        <w:t xml:space="preserve"> </w:t>
      </w:r>
      <w:r>
        <w:t xml:space="preserve">è il criterio con cui leggi il paziente. Il quanto resta alla Procedura.</w:t>
      </w:r>
    </w:p>
    <w:bookmarkEnd w:id="39"/>
    <w:bookmarkStart w:id="40" w:name="la-prova-della-chiave-di-volta"/>
    <w:p>
      <w:pPr>
        <w:pStyle w:val="Heading3"/>
      </w:pPr>
      <w:r>
        <w:t xml:space="preserve">La prova della chiave di volta</w:t>
      </w:r>
    </w:p>
    <w:p>
      <w:pPr>
        <w:pStyle w:val="FirstParagraph"/>
      </w:pPr>
      <w:r>
        <w:t xml:space="preserve">Tratti in prova il piano che sospetti dominante, e poi rivaluti.</w:t>
      </w:r>
      <w:r>
        <w:t xml:space="preserve"> </w:t>
      </w:r>
      <w:r>
        <w:rPr>
          <w:b/>
          <w:bCs/>
        </w:rPr>
        <w:t xml:space="preserve">Il marker deve appartenere a un piano che non hai trattato.</w:t>
      </w:r>
      <w:r>
        <w:t xml:space="preserve"> </w:t>
      </w:r>
      <w:r>
        <w:t xml:space="preserve">Se tratti il collo e rimisuri il collo, verifichi che il tessuto appena inibito si è mosso, non che comandava.</w:t>
      </w:r>
    </w:p>
    <w:p>
      <w:pPr>
        <w:pStyle w:val="BodyText"/>
      </w:pPr>
      <w:r>
        <w:rPr>
          <w:b/>
          <w:bCs/>
        </w:rPr>
        <w:t xml:space="preserve">L’appartenenza a un piano non è una proprietà fissa del marker: è una relazione con quello che hai appena fatto.</w:t>
      </w:r>
      <w:r>
        <w:t xml:space="preserve"> </w:t>
      </w:r>
      <w:r>
        <w:t xml:space="preserve">Il marker della prova è quello che</w:t>
      </w:r>
      <w:r>
        <w:t xml:space="preserve"> </w:t>
      </w:r>
      <w:r>
        <w:rPr>
          <w:b/>
          <w:bCs/>
        </w:rPr>
        <w:t xml:space="preserve">non misura il tessuto che hai appena trattato</w:t>
      </w:r>
      <w:r>
        <w:t xml:space="preserve">. Hai lavorato sulle</w:t>
      </w:r>
      <w:r>
        <w:t xml:space="preserve"> </w:t>
      </w:r>
      <w:r>
        <w:rPr>
          <w:b/>
          <w:bCs/>
        </w:rPr>
        <w:t xml:space="preserve">articolazioni cervicali</w:t>
      </w:r>
      <w:r>
        <w:t xml:space="preserve">? Usa il reclutamento accessorio a riposo, o la soglia a distanza. Hai lavorato su</w:t>
      </w:r>
      <w:r>
        <w:t xml:space="preserve"> </w:t>
      </w:r>
      <w:r>
        <w:rPr>
          <w:b/>
          <w:bCs/>
        </w:rPr>
        <w:t xml:space="preserve">torace, coste o respiro</w:t>
      </w:r>
      <w:r>
        <w:t xml:space="preserve">? Usa la rotazione in flessione, il reclutamento accessorio o la soglia a distanza. Non l’espansione toracica, che è il tessuto che hai appena mobilizzato. La</w:t>
      </w:r>
      <w:r>
        <w:t xml:space="preserve"> </w:t>
      </w:r>
      <w:r>
        <w:rPr>
          <w:b/>
          <w:bCs/>
        </w:rPr>
        <w:t xml:space="preserve">soglia lontana</w:t>
      </w:r>
      <w:r>
        <w:t xml:space="preserve"> </w:t>
      </w:r>
      <w:r>
        <w:t xml:space="preserve">è l’unica che resta fuori piano in ogni caso, e ha un limite suo, più sotto.</w:t>
      </w:r>
    </w:p>
    <w:p>
      <w:pPr>
        <w:pStyle w:val="BodyText"/>
      </w:pPr>
      <w:r>
        <w:t xml:space="preserve">Dopo la prova si rivalutano</w:t>
      </w:r>
      <w:r>
        <w:t xml:space="preserve"> </w:t>
      </w:r>
      <w:r>
        <w:rPr>
          <w:b/>
          <w:bCs/>
        </w:rPr>
        <w:t xml:space="preserve">anche gli altri piani</w:t>
      </w:r>
      <w:r>
        <w:t xml:space="preserve">. La chiave di volta non è quella che muove un marker: è quella che fa cedere insieme gli altri piani.</w:t>
      </w:r>
      <w:r>
        <w:t xml:space="preserve"> </w:t>
      </w:r>
      <w:r>
        <w:rPr>
          <w:b/>
          <w:bCs/>
        </w:rPr>
        <w:t xml:space="preserve">E se non si muove niente, è un’informazione.</w:t>
      </w:r>
      <w:r>
        <w:t xml:space="preserve"> </w:t>
      </w:r>
      <w:r>
        <w:t xml:space="preserve">Se il marker fuori piano non cambia e gli altri piani non cedono, l’ipotesi di dominanza era sbagliata: torni alla road map e prendi il gradino successivo. Non insisti sullo stesso piano con più intensità.</w:t>
      </w:r>
    </w:p>
    <w:p>
      <w:pPr>
        <w:pStyle w:val="BodyText"/>
      </w:pPr>
      <w:r>
        <w:t xml:space="preserve">Il metodo fasciale di Luigi Stecco cerca a monte del punto in cui il paziente sente male. Qui</w:t>
      </w:r>
      <w:r>
        <w:t xml:space="preserve"> </w:t>
      </w:r>
      <w:r>
        <w:rPr>
          <w:b/>
          <w:bCs/>
        </w:rPr>
        <w:t xml:space="preserve">quel principio vale per la ricerca, non per la scelta del bersaglio.</w:t>
      </w:r>
      <w:r>
        <w:t xml:space="preserve"> </w:t>
      </w:r>
      <w:r>
        <w:t xml:space="preserve">Le uniche leve con prove controllate sul dolore cervicale si applicano</w:t>
      </w:r>
      <w:r>
        <w:t xml:space="preserve"> </w:t>
      </w:r>
      <w:r>
        <w:rPr>
          <w:b/>
          <w:bCs/>
        </w:rPr>
        <w:t xml:space="preserve">sulla regione sintomatica</w:t>
      </w:r>
      <w:r>
        <w:t xml:space="preserve"> </w:t>
      </w:r>
      <w:r>
        <w:t xml:space="preserve">(Jull, PMID 12221344; Gross, PMID 26397370). Preso alla lettera,</w:t>
      </w:r>
      <w:r>
        <w:t xml:space="preserve"> </w:t>
      </w:r>
      <w:r>
        <w:t xml:space="preserve">“non trattare dove fa male”</w:t>
      </w:r>
      <w:r>
        <w:t xml:space="preserve"> </w:t>
      </w:r>
      <w:r>
        <w:t xml:space="preserve">escluderebbe l’intervento con la migliore evidenza su questa condizione.</w:t>
      </w:r>
    </w:p>
    <w:bookmarkEnd w:id="40"/>
    <w:bookmarkStart w:id="41" w:name="i-marker-di-questa-condizione"/>
    <w:p>
      <w:pPr>
        <w:pStyle w:val="Heading3"/>
      </w:pPr>
      <w:r>
        <w:t xml:space="preserve">I marker di questa condizione</w:t>
      </w:r>
    </w:p>
    <w:p>
      <w:pPr>
        <w:pStyle w:val="FirstParagraph"/>
      </w:pPr>
      <w:r>
        <w:t xml:space="preserve">Un marker produce false conferme se non rispetta quattro condizioni. Si misura in meno di un minuto. Si sceglie prima. Appartiene a un piano che non hai trattato. Ha una soglia dichiarata.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Quale soglia conta</w:t>
            </w:r>
          </w:p>
        </w:tc>
      </w:tr>
      <w:tr>
        <w:tc>
          <w:tcPr/>
          <w:p>
            <w:pPr>
              <w:pStyle w:val="Compact"/>
            </w:pPr>
            <w:r>
              <w:t xml:space="preserve">Rotazione in flessione</w:t>
            </w:r>
          </w:p>
        </w:tc>
        <w:tc>
          <w:tcPr/>
          <w:p>
            <w:pPr>
              <w:pStyle w:val="Compact"/>
            </w:pPr>
            <w:r>
              <w:t xml:space="preserve">Flessione piena, poi rotazione</w:t>
            </w:r>
          </w:p>
        </w:tc>
        <w:tc>
          <w:tcPr/>
          <w:p>
            <w:pPr>
              <w:pStyle w:val="Compact"/>
            </w:pPr>
            <w:r>
              <w:t xml:space="preserve">&lt;30°, o asimmetria fra i lati</w:t>
            </w:r>
          </w:p>
        </w:tc>
      </w:tr>
      <w:tr>
        <w:tc>
          <w:tcPr/>
          <w:p>
            <w:pPr>
              <w:pStyle w:val="Compact"/>
            </w:pPr>
            <w:r>
              <w:t xml:space="preserve">Flessione cranio-cervicale</w:t>
            </w:r>
          </w:p>
        </w:tc>
        <w:tc>
          <w:tcPr/>
          <w:p>
            <w:pPr>
              <w:pStyle w:val="Compact"/>
            </w:pPr>
            <w:r>
              <w:t xml:space="preserve">Biofeedback pressorio, 10 secondi</w:t>
            </w:r>
          </w:p>
        </w:tc>
        <w:tc>
          <w:tcPr/>
          <w:p>
            <w:pPr>
              <w:pStyle w:val="Compact"/>
            </w:pPr>
            <w:r>
              <w:t xml:space="preserve">Sale di un livello (2 mmHg)</w:t>
            </w:r>
          </w:p>
        </w:tc>
      </w:tr>
      <w:tr>
        <w:tc>
          <w:tcPr/>
          <w:p>
            <w:pPr>
              <w:pStyle w:val="Compact"/>
            </w:pPr>
            <w:r>
              <w:t xml:space="preserve">Reclutamento accessorio</w:t>
            </w:r>
          </w:p>
        </w:tc>
        <w:tc>
          <w:tcPr/>
          <w:p>
            <w:pPr>
              <w:pStyle w:val="Compact"/>
            </w:pPr>
            <w:r>
              <w:t xml:space="preserve">Respiro tranquillo, senza avvisare</w:t>
            </w:r>
          </w:p>
        </w:tc>
        <w:tc>
          <w:tcPr/>
          <w:p>
            <w:pPr>
              <w:pStyle w:val="Compact"/>
            </w:pPr>
            <w:r>
              <w:t xml:space="preserve">Scompare a riposo</w:t>
            </w:r>
          </w:p>
        </w:tc>
      </w:tr>
      <w:tr>
        <w:tc>
          <w:tcPr/>
          <w:p>
            <w:pPr>
              <w:pStyle w:val="Compact"/>
            </w:pPr>
            <w:r>
              <w:t xml:space="preserve">Soglia dolorosa a distanza</w:t>
            </w:r>
          </w:p>
        </w:tc>
        <w:tc>
          <w:tcPr/>
          <w:p>
            <w:pPr>
              <w:pStyle w:val="Compact"/>
            </w:pPr>
            <w:r>
              <w:t xml:space="preserve">Algometro sul tibiale anteriore</w:t>
            </w:r>
          </w:p>
        </w:tc>
        <w:tc>
          <w:tcPr/>
          <w:p>
            <w:pPr>
              <w:pStyle w:val="Compact"/>
            </w:pPr>
            <w:r>
              <w:t xml:space="preserve">+20% rispetto al basale</w:t>
            </w:r>
          </w:p>
        </w:tc>
      </w:tr>
    </w:tbl>
    <w:p>
      <w:pPr>
        <w:pStyle w:val="BodyText"/>
      </w:pPr>
      <w:r>
        <w:rPr>
          <w:b/>
          <w:bCs/>
        </w:rPr>
        <w:t xml:space="preserve">Come si leggono.</w:t>
      </w:r>
      <w:r>
        <w:t xml:space="preserve"> </w:t>
      </w:r>
      <w:r>
        <w:t xml:space="preserve">La</w:t>
      </w:r>
      <w:r>
        <w:t xml:space="preserve"> </w:t>
      </w:r>
      <w:r>
        <w:rPr>
          <w:b/>
          <w:bCs/>
        </w:rPr>
        <w:t xml:space="preserve">flessione cranio-cervicale</w:t>
      </w:r>
      <w:r>
        <w:t xml:space="preserve"> </w:t>
      </w:r>
      <w:r>
        <w:t xml:space="preserve">usa un cuscinetto pressorio a 20 mmHg dietro il collo, con il paziente supino. I cinque livelli sono 22, 24, 26, 28 e 30 mmHg, e</w:t>
      </w:r>
      <w:r>
        <w:t xml:space="preserve"> </w:t>
      </w:r>
      <w:r>
        <w:t xml:space="preserve">“tiene”</w:t>
      </w:r>
      <w:r>
        <w:t xml:space="preserve"> </w:t>
      </w:r>
      <w:r>
        <w:t xml:space="preserve">il più alto che mantiene dieci secondi senza che entrino i superficiali. La</w:t>
      </w:r>
      <w:r>
        <w:t xml:space="preserve"> </w:t>
      </w:r>
      <w:r>
        <w:rPr>
          <w:b/>
          <w:bCs/>
        </w:rPr>
        <w:t xml:space="preserve">soglia a distanza</w:t>
      </w:r>
      <w:r>
        <w:t xml:space="preserve"> </w:t>
      </w:r>
      <w:r>
        <w:t xml:space="preserve">richiede un algometro. Senza algometro, il confronto a pressione costante con lo stesso operatore è un surrogato</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Due misure utili che non sono marker della prova.</w:t>
      </w:r>
      <w:r>
        <w:t xml:space="preserve"> </w:t>
      </w:r>
      <w:r>
        <w:t xml:space="preserve">L’</w:t>
      </w:r>
      <w:r>
        <w:rPr>
          <w:b/>
          <w:bCs/>
        </w:rPr>
        <w:t xml:space="preserve">espansione toracica</w:t>
      </w:r>
      <w:r>
        <w:t xml:space="preserve"> </w:t>
      </w:r>
      <w:r>
        <w:t xml:space="preserve">al nastro (+1 cm) documenta, non verifica: è il tessuto che hai appena mobilizzato. La</w:t>
      </w:r>
      <w:r>
        <w:t xml:space="preserve"> </w:t>
      </w:r>
      <w:r>
        <w:rPr>
          <w:b/>
          <w:bCs/>
        </w:rPr>
        <w:t xml:space="preserve">chinesiofobia</w:t>
      </w:r>
      <w:r>
        <w:t xml:space="preserve"> </w:t>
      </w:r>
      <w:r>
        <w:t xml:space="preserve">da questionario è l’unico segno rimisurabile del piano comportamentale (Monticone, PMID 26006174), ma non si muove in una seduta: si confronta fra un ciclo e l’altro.</w:t>
      </w:r>
    </w:p>
    <w:p>
      <w:pPr>
        <w:pStyle w:val="BodyText"/>
      </w:pPr>
      <w:r>
        <w:rPr>
          <w:b/>
          <w:bCs/>
        </w:rPr>
        <w:t xml:space="preserve">Tre limiti, dichiarati.</w:t>
      </w:r>
    </w:p>
    <w:p>
      <w:pPr>
        <w:pStyle w:val="Compact"/>
        <w:numPr>
          <w:ilvl w:val="0"/>
          <w:numId w:val="1021"/>
        </w:numPr>
      </w:pPr>
      <w:r>
        <w:rPr>
          <w:b/>
          <w:bCs/>
        </w:rPr>
        <w:t xml:space="preserve">La soglia lontana conferma, non esclude.</w:t>
      </w:r>
      <w:r>
        <w:t xml:space="preserve"> </w:t>
      </w:r>
      <w:r>
        <w:t xml:space="preserve">Nel dolore cervicale</w:t>
      </w:r>
      <w:r>
        <w:t xml:space="preserve"> </w:t>
      </w:r>
      <w:r>
        <w:rPr>
          <w:b/>
          <w:bCs/>
        </w:rPr>
        <w:t xml:space="preserve">non specifico</w:t>
      </w:r>
      <w:r>
        <w:t xml:space="preserve"> </w:t>
      </w:r>
      <w:r>
        <w:t xml:space="preserve">la modulazione condizionata del dolore risulta alterata in locale e</w:t>
      </w:r>
      <w:r>
        <w:t xml:space="preserve"> </w:t>
      </w:r>
      <w:r>
        <w:rPr>
          <w:b/>
          <w:bCs/>
        </w:rPr>
        <w:t xml:space="preserve">intatta a distanza</w:t>
      </w:r>
      <w:r>
        <w:t xml:space="preserve">, mentre nel colpo di frusta il pattern è invertito (Arribas-Romano, PMID 37734462, certezza molto bassa). E i criteri nociplastici richiedono ipersensibilità</w:t>
      </w:r>
      <w:r>
        <w:t xml:space="preserve"> </w:t>
      </w:r>
      <w:r>
        <w:rPr>
          <w:b/>
          <w:bCs/>
        </w:rPr>
        <w:t xml:space="preserve">almeno nella regione del dolore</w:t>
      </w:r>
      <w:r>
        <w:t xml:space="preserve">. Sul paziente-tipo di questa Bibbia la soglia lontana sarà quindi spesso piatta anche quando il meccanismo c’è. Allora si misura</w:t>
      </w:r>
      <w:r>
        <w:t xml:space="preserve"> </w:t>
      </w:r>
      <w:r>
        <w:rPr>
          <w:b/>
          <w:bCs/>
        </w:rPr>
        <w:t xml:space="preserve">appena fuori dal punto trattato, ma dentro la regione</w:t>
      </w:r>
      <w:r>
        <w:t xml:space="preserve">.</w:t>
      </w:r>
    </w:p>
    <w:p>
      <w:pPr>
        <w:pStyle w:val="Compact"/>
        <w:numPr>
          <w:ilvl w:val="0"/>
          <w:numId w:val="1021"/>
        </w:numPr>
      </w:pPr>
      <w:r>
        <w:rPr>
          <w:b/>
          <w:bCs/>
        </w:rPr>
        <w:t xml:space="preserve">La finestra di rimisurazione dell’ipoalgesia è stretta:</w:t>
      </w:r>
      <w:r>
        <w:t xml:space="preserve"> </w:t>
      </w:r>
      <w:r>
        <w:t xml:space="preserve">grande a cinque minuti, media a dieci, oltre i trenta mai misurata. Più tardi leggi un falso negativo.</w:t>
      </w:r>
    </w:p>
    <w:p>
      <w:pPr>
        <w:pStyle w:val="Compact"/>
        <w:numPr>
          <w:ilvl w:val="0"/>
          <w:numId w:val="1021"/>
        </w:numPr>
      </w:pPr>
      <w:r>
        <w:rPr>
          <w:b/>
          <w:bCs/>
        </w:rPr>
        <w:t xml:space="preserve">Una sola soglia è validata.</w:t>
      </w:r>
      <w:r>
        <w:t xml:space="preserve"> </w:t>
      </w:r>
      <w:r>
        <w:t xml:space="preserve">Per il test di rotazione in flessione la soglia è</w:t>
      </w:r>
      <w:r>
        <w:t xml:space="preserve"> </w:t>
      </w:r>
      <w:r>
        <w:rPr>
          <w:b/>
          <w:bCs/>
        </w:rPr>
        <w:t xml:space="preserve">30°</w:t>
      </w:r>
      <w:r>
        <w:t xml:space="preserve">, con accuratezza dell’85% (Hall,</w:t>
      </w:r>
      <w:r>
        <w:t xml:space="preserve"> </w:t>
      </w:r>
      <w:r>
        <w:rPr>
          <w:i/>
          <w:iCs/>
        </w:rPr>
        <w:t xml:space="preserve">J Headache Pain</w:t>
      </w:r>
      <w:r>
        <w:t xml:space="preserve"> </w:t>
      </w:r>
      <w:r>
        <w:t xml:space="preserve">2010, PMID 20508964). Nella cefalea cervicogenica la sensibilità è 91% e la specificità 90% (Ogince, PMID 17112768). Le altre soglie,</w:t>
      </w:r>
      <w:r>
        <w:t xml:space="preserve"> </w:t>
      </w:r>
      <w:r>
        <w:rPr>
          <w:b/>
          <w:bCs/>
        </w:rPr>
        <w:t xml:space="preserve">inclusa l’asimmetria fra i lati</w:t>
      </w:r>
      <w:r>
        <w:t xml:space="preserve">, sono convenzioni di misura del metodo. Come marker di</w:t>
      </w:r>
      <w:r>
        <w:t xml:space="preserve"> </w:t>
      </w:r>
      <w:r>
        <w:rPr>
          <w:b/>
          <w:bCs/>
        </w:rPr>
        <w:t xml:space="preserve">stato</w:t>
      </w:r>
      <w:r>
        <w:t xml:space="preserve">, da carta e penna, esiste il Central Sensitization Inventory (soglia 40 su 100, Neblett, PMID 23490634).</w:t>
      </w:r>
    </w:p>
    <w:bookmarkEnd w:id="41"/>
    <w:bookmarkStart w:id="42" w:name="la-road-map"/>
    <w:p>
      <w:pPr>
        <w:pStyle w:val="Heading3"/>
      </w:pPr>
      <w:r>
        <w:t xml:space="preserve">La road map</w:t>
      </w:r>
    </w:p>
    <w:p>
      <w:pPr>
        <w:pStyle w:val="Compact"/>
        <w:numPr>
          <w:ilvl w:val="0"/>
          <w:numId w:val="1022"/>
        </w:numPr>
      </w:pPr>
      <w:r>
        <w:rPr>
          <w:b/>
          <w:bCs/>
        </w:rPr>
        <w:t xml:space="preserve">C’è una bandiera rossa?</w:t>
      </w:r>
      <w:r>
        <w:t xml:space="preserve"> </w:t>
      </w:r>
      <w:r>
        <w:t xml:space="preserve">Se sì, il ragionamento si ferma qui.</w:t>
      </w:r>
    </w:p>
    <w:p>
      <w:pPr>
        <w:pStyle w:val="Compact"/>
        <w:numPr>
          <w:ilvl w:val="0"/>
          <w:numId w:val="1022"/>
        </w:numPr>
      </w:pPr>
      <w:r>
        <w:rPr>
          <w:b/>
          <w:bCs/>
        </w:rPr>
        <w:t xml:space="preserve">C’è un formicolio con traiettoria?</w:t>
      </w:r>
      <w:r>
        <w:t xml:space="preserve"> </w:t>
      </w:r>
      <w:r>
        <w:t xml:space="preserve">Stabile o progressivo, dermatomerico oppure bilaterale e periorale: cambiano l’uscita del triage e il meccanismo.</w:t>
      </w:r>
    </w:p>
    <w:p>
      <w:pPr>
        <w:pStyle w:val="Compact"/>
        <w:numPr>
          <w:ilvl w:val="0"/>
          <w:numId w:val="1022"/>
        </w:numPr>
      </w:pPr>
      <w:r>
        <w:rPr>
          <w:b/>
          <w:bCs/>
        </w:rPr>
        <w:t xml:space="preserve">Qual è il livello di allarme, e il sonno regge?</w:t>
      </w:r>
      <w:r>
        <w:t xml:space="preserve"> </w:t>
      </w:r>
      <w:r>
        <w:t xml:space="preserve">Se il quadro è sproporzionato al reperto, il bersaglio è quello, e l’esito atteso si dichiara prima. Se il sonno è frammentato, la resa del lavoro manuale sarà bassa: si dichiara e si segnala.</w:t>
      </w:r>
    </w:p>
    <w:p>
      <w:pPr>
        <w:pStyle w:val="Compact"/>
        <w:numPr>
          <w:ilvl w:val="0"/>
          <w:numId w:val="1022"/>
        </w:numPr>
      </w:pPr>
      <w:r>
        <w:rPr>
          <w:b/>
          <w:bCs/>
        </w:rPr>
        <w:t xml:space="preserve">C’è un evento datato da cui tutto è cominciato?</w:t>
      </w:r>
      <w:r>
        <w:t xml:space="preserve"> </w:t>
      </w:r>
      <w:r>
        <w:t xml:space="preserve">Dopo un trauma il quadro cambia perimetro: non è il paziente di questa Bibbia.</w:t>
      </w:r>
    </w:p>
    <w:p>
      <w:pPr>
        <w:pStyle w:val="Compact"/>
        <w:numPr>
          <w:ilvl w:val="0"/>
          <w:numId w:val="1022"/>
        </w:numPr>
      </w:pPr>
      <w:r>
        <w:rPr>
          <w:b/>
          <w:bCs/>
        </w:rPr>
        <w:t xml:space="preserve">C’è un mal di testa dalla nuca, sempre dallo stesso lato?</w:t>
      </w:r>
      <w:r>
        <w:t xml:space="preserve"> </w:t>
      </w:r>
      <w:r>
        <w:t xml:space="preserve">Due domande aprono l’altra direzione del nucleo convergente:</w:t>
      </w:r>
      <w:r>
        <w:t xml:space="preserve"> </w:t>
      </w:r>
      <w:r>
        <w:rPr>
          <w:b/>
          <w:bCs/>
        </w:rPr>
        <w:t xml:space="preserve">cambia serrando i denti? muovendo solo gli occhi?</w:t>
      </w:r>
      <w:r>
        <w:t xml:space="preserve"> </w:t>
      </w:r>
      <w:r>
        <w:t xml:space="preserve">Sono indizi di indagine, non leve.</w:t>
      </w:r>
    </w:p>
    <w:p>
      <w:pPr>
        <w:pStyle w:val="Compact"/>
        <w:numPr>
          <w:ilvl w:val="0"/>
          <w:numId w:val="1022"/>
        </w:numPr>
      </w:pPr>
      <w:r>
        <w:rPr>
          <w:b/>
          <w:bCs/>
        </w:rPr>
        <w:t xml:space="preserve">Quanto lavoro respiratorio finisce sul collo?</w:t>
      </w:r>
    </w:p>
    <w:p>
      <w:pPr>
        <w:pStyle w:val="Compact"/>
        <w:numPr>
          <w:ilvl w:val="0"/>
          <w:numId w:val="1022"/>
        </w:numPr>
      </w:pPr>
      <w:r>
        <w:rPr>
          <w:b/>
          <w:bCs/>
        </w:rPr>
        <w:t xml:space="preserve">Dove è distribuito il movimento, chi lo controlla, e c’è un livello che genera?</w:t>
      </w:r>
    </w:p>
    <w:p>
      <w:pPr>
        <w:pStyle w:val="FirstParagraph"/>
      </w:pPr>
      <w:r>
        <w:t xml:space="preserve">I primi due decidono</w:t>
      </w:r>
      <w:r>
        <w:t xml:space="preserve"> </w:t>
      </w:r>
      <w:r>
        <w:rPr>
          <w:b/>
          <w:bCs/>
        </w:rPr>
        <w:t xml:space="preserve">se</w:t>
      </w:r>
      <w:r>
        <w:t xml:space="preserve"> </w:t>
      </w:r>
      <w:r>
        <w:t xml:space="preserve">lavori. I due successivi decidono</w:t>
      </w:r>
      <w:r>
        <w:t xml:space="preserve"> </w:t>
      </w:r>
      <w:r>
        <w:rPr>
          <w:b/>
          <w:bCs/>
        </w:rPr>
        <w:t xml:space="preserve">quanto</w:t>
      </w:r>
      <w:r>
        <w:t xml:space="preserve"> </w:t>
      </w:r>
      <w:r>
        <w:t xml:space="preserve">e</w:t>
      </w:r>
      <w:r>
        <w:t xml:space="preserve"> </w:t>
      </w:r>
      <w:r>
        <w:rPr>
          <w:b/>
          <w:bCs/>
        </w:rPr>
        <w:t xml:space="preserve">in che cornice</w:t>
      </w:r>
      <w:r>
        <w:t xml:space="preserve">. Gli ultimi tre decidono</w:t>
      </w:r>
      <w:r>
        <w:t xml:space="preserve"> </w:t>
      </w:r>
      <w:r>
        <w:rPr>
          <w:b/>
          <w:bCs/>
        </w:rPr>
        <w:t xml:space="preserve">da dove parti</w:t>
      </w:r>
      <w:r>
        <w:t xml:space="preserve">.</w:t>
      </w:r>
    </w:p>
    <w:bookmarkEnd w:id="42"/>
    <w:bookmarkStart w:id="43" w:name="i-tre-stati-del-paziente"/>
    <w:p>
      <w:pPr>
        <w:pStyle w:val="Heading3"/>
      </w:pPr>
      <w:r>
        <w:t xml:space="preserve">I tre stati del paziente</w:t>
      </w:r>
    </w:p>
    <w:p>
      <w:pPr>
        <w:pStyle w:val="Compact"/>
        <w:numPr>
          <w:ilvl w:val="0"/>
          <w:numId w:val="1023"/>
        </w:numPr>
      </w:pPr>
      <w:r>
        <w:rPr>
          <w:b/>
          <w:bCs/>
        </w:rPr>
        <w:t xml:space="preserve">In difesa</w:t>
      </w:r>
      <w:r>
        <w:t xml:space="preserve"> </w:t>
      </w:r>
      <w:r>
        <w:t xml:space="preserve">— teso, monosillabi, paura dello scrocchio. Il criterio è la prevedibilità, e nessuna manovra a sorpresa.</w:t>
      </w:r>
    </w:p>
    <w:p>
      <w:pPr>
        <w:pStyle w:val="Compact"/>
        <w:numPr>
          <w:ilvl w:val="0"/>
          <w:numId w:val="1023"/>
        </w:numPr>
      </w:pPr>
      <w:r>
        <w:rPr>
          <w:b/>
          <w:bCs/>
        </w:rPr>
        <w:t xml:space="preserve">Emotivo</w:t>
      </w:r>
      <w:r>
        <w:t xml:space="preserve"> </w:t>
      </w:r>
      <w:r>
        <w:t xml:space="preserve">— racconta, associa il collo a un periodo della vita. Ascolto prima dei test, esito atteso dichiarato prima di iniziare. È spesso quello in cui l’allarme comanda.</w:t>
      </w:r>
    </w:p>
    <w:p>
      <w:pPr>
        <w:pStyle w:val="Compact"/>
        <w:numPr>
          <w:ilvl w:val="0"/>
          <w:numId w:val="1023"/>
        </w:numPr>
      </w:pPr>
      <w:r>
        <w:rPr>
          <w:b/>
          <w:bCs/>
        </w:rPr>
        <w:t xml:space="preserve">Razionale</w:t>
      </w:r>
      <w:r>
        <w:t xml:space="preserve"> </w:t>
      </w:r>
      <w:r>
        <w:t xml:space="preserve">— chiede i perché, ha letto il referto. Mostragli il prima e il dopo di un marker, e il meccanismo sotto.</w:t>
      </w:r>
    </w:p>
    <w:p>
      <w:pPr>
        <w:pStyle w:val="FirstParagraph"/>
      </w:pPr>
      <w:r>
        <w:rPr>
          <w:b/>
          <w:bCs/>
        </w:rPr>
        <w:t xml:space="preserve">Le tre cose da ricordare, più una</w:t>
      </w:r>
    </w:p>
    <w:p>
      <w:pPr>
        <w:pStyle w:val="Compact"/>
        <w:numPr>
          <w:ilvl w:val="0"/>
          <w:numId w:val="1024"/>
        </w:numPr>
      </w:pPr>
      <w:r>
        <w:t xml:space="preserve">Il marker che decide si sceglie</w:t>
      </w:r>
      <w:r>
        <w:t xml:space="preserve"> </w:t>
      </w:r>
      <w:r>
        <w:rPr>
          <w:b/>
          <w:bCs/>
        </w:rPr>
        <w:t xml:space="preserve">dopo</w:t>
      </w:r>
      <w:r>
        <w:t xml:space="preserve"> </w:t>
      </w:r>
      <w:r>
        <w:t xml:space="preserve">aver deciso cosa tratti: è una relazione, non una proprietà.</w:t>
      </w:r>
    </w:p>
    <w:p>
      <w:pPr>
        <w:pStyle w:val="Compact"/>
        <w:numPr>
          <w:ilvl w:val="0"/>
          <w:numId w:val="1024"/>
        </w:numPr>
      </w:pPr>
      <w:r>
        <w:t xml:space="preserve">«A monte» non vuol dire più in alto nel corpo: sul collo è quasi sempre sotto.</w:t>
      </w:r>
    </w:p>
    <w:p>
      <w:pPr>
        <w:pStyle w:val="Compact"/>
        <w:numPr>
          <w:ilvl w:val="0"/>
          <w:numId w:val="1024"/>
        </w:numPr>
      </w:pPr>
      <w:r>
        <w:t xml:space="preserve">Un quadro sproporzionato al reperto è un bersaglio diverso, non l’assenza di bersaglio.</w:t>
      </w:r>
    </w:p>
    <w:p>
      <w:pPr>
        <w:pStyle w:val="Compact"/>
        <w:numPr>
          <w:ilvl w:val="0"/>
          <w:numId w:val="1024"/>
        </w:numPr>
      </w:pPr>
      <w:r>
        <w:rPr>
          <w:b/>
          <w:bCs/>
        </w:rPr>
        <w:t xml:space="preserve">Perché ci sei tu.</w:t>
      </w:r>
      <w:r>
        <w:t xml:space="preserve"> </w:t>
      </w:r>
      <w:r>
        <w:t xml:space="preserve">I fattori psicosociali sono i predittori più forti dell’esito, e l’esercizio generico non lo predice (Carroll, PMID 18204403). Questo ti autorizza a metterli in cartella e a costruirci sopra il ritmo delle sedute e il modo di parlare. Non ti autorizza a trattarli come tuo campo: li nomini, adatti il lavoro e, quando pesano, mandi dove vanno trattati.</w:t>
      </w:r>
    </w:p>
    <w:p>
      <w:r>
        <w:pict>
          <v:rect style="width:0;height:1.5pt" o:hralign="center" o:hrstd="t" o:hr="t"/>
        </w:pict>
      </w:r>
    </w:p>
    <w:bookmarkEnd w:id="43"/>
    <w:bookmarkEnd w:id="44"/>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qui la cosa più pericolosa non è una manovra sbagliata, è non riconoscere il paziente giusto.</w:t>
      </w:r>
    </w:p>
    <w:p>
      <w:pPr>
        <w:pStyle w:val="FirstParagraph"/>
      </w:pPr>
      <w:r>
        <w:t xml:space="preserve">Tre parole reggono tutte le regole di questo capitolo, e vanno lette prima delle tabelle.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riconoscibile all’esame manuale: una descrizione di funzione, non una diagnosi di malattia.</w:t>
      </w:r>
      <w:r>
        <w:t xml:space="preserve"> </w:t>
      </w:r>
      <w:r>
        <w:rPr>
          <w:i/>
          <w:iCs/>
        </w:rPr>
        <w:t xml:space="preserve">(Per esteso in «La lettura osteopatica».)</w:t>
      </w:r>
    </w:p>
    <w:bookmarkStart w:id="45" w:name="le-bandiere-rosse-in-due-blocchi"/>
    <w:p>
      <w:pPr>
        <w:pStyle w:val="Heading3"/>
      </w:pPr>
      <w:r>
        <w:t xml:space="preserve">Le bandiere rosse, in due blocchi</w:t>
      </w:r>
    </w:p>
    <w:p>
      <w:pPr>
        <w:pStyle w:val="FirstParagraph"/>
      </w:pPr>
      <w:r>
        <w:t xml:space="preserve">I due blocchi non si comportano allo stesso modo, e confonderli costa un’ambulanza.</w:t>
      </w:r>
    </w:p>
    <w:p>
      <w:pPr>
        <w:pStyle w:val="BodyText"/>
      </w:pPr>
      <w:r>
        <w:rPr>
          <w:b/>
          <w:bCs/>
        </w:rPr>
        <w:t xml:space="preserve">Blocco A — rosso immediato. Non si tratta nulla, in nessun distretto: si attiva il soccorso, e la seduta finisce lì.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o cefalea improvvisi,</w:t>
            </w:r>
            <w:r>
              <w:t xml:space="preserve"> </w:t>
            </w:r>
            <w:r>
              <w:rPr>
                <w:b/>
                <w:bCs/>
              </w:rPr>
              <w:t xml:space="preserve">diversi da ogni precedente</w:t>
            </w:r>
          </w:p>
        </w:tc>
        <w:tc>
          <w:tcPr/>
          <w:p>
            <w:pPr>
              <w:pStyle w:val="Compact"/>
            </w:pPr>
            <w:r>
              <w:t xml:space="preserve">Pronto soccorso</w:t>
            </w:r>
          </w:p>
        </w:tc>
        <w:tc>
          <w:tcPr/>
          <w:p>
            <w:pPr>
              <w:pStyle w:val="Compact"/>
            </w:pPr>
            <w:r>
              <w:t xml:space="preserve">112</w:t>
            </w:r>
          </w:p>
        </w:tc>
      </w:tr>
      <w:tr>
        <w:tc>
          <w:tcPr/>
          <w:p>
            <w:pPr>
              <w:pStyle w:val="Compact"/>
            </w:pPr>
            <w:r>
              <w:t xml:space="preserve">Ptosi e miosi omolaterali, o un nervo cranico</w:t>
            </w:r>
          </w:p>
        </w:tc>
        <w:tc>
          <w:tcPr/>
          <w:p>
            <w:pPr>
              <w:pStyle w:val="Compact"/>
            </w:pPr>
            <w:r>
              <w:t xml:space="preserve">Pronto soccorso</w:t>
            </w:r>
          </w:p>
        </w:tc>
        <w:tc>
          <w:tcPr/>
          <w:p>
            <w:pPr>
              <w:pStyle w:val="Compact"/>
            </w:pPr>
            <w:r>
              <w:t xml:space="preserve">112</w:t>
            </w:r>
          </w:p>
        </w:tc>
      </w:tr>
      <w:tr>
        <w:tc>
          <w:tcPr/>
          <w:p>
            <w:pPr>
              <w:pStyle w:val="Compact"/>
            </w:pPr>
            <w:r>
              <w:t xml:space="preserve">Deficit o intorpidimento di un arto, disartria, disfagia</w:t>
            </w:r>
          </w:p>
        </w:tc>
        <w:tc>
          <w:tcPr/>
          <w:p>
            <w:pPr>
              <w:pStyle w:val="Compact"/>
            </w:pPr>
            <w:r>
              <w:t xml:space="preserve">Pronto soccorso</w:t>
            </w:r>
          </w:p>
        </w:tc>
        <w:tc>
          <w:tcPr/>
          <w:p>
            <w:pPr>
              <w:pStyle w:val="Compact"/>
            </w:pPr>
            <w:r>
              <w:t xml:space="preserve">112</w:t>
            </w:r>
          </w:p>
        </w:tc>
      </w:tr>
      <w:tr>
        <w:tc>
          <w:tcPr/>
          <w:p>
            <w:pPr>
              <w:pStyle w:val="Compact"/>
            </w:pPr>
            <w:r>
              <w:t xml:space="preserve">Vertigine rotatoria acuta con instabilità, nistagmo o caduta</w:t>
            </w:r>
          </w:p>
        </w:tc>
        <w:tc>
          <w:tcPr/>
          <w:p>
            <w:pPr>
              <w:pStyle w:val="Compact"/>
            </w:pPr>
            <w:r>
              <w:t xml:space="preserve">Pronto soccorso</w:t>
            </w:r>
          </w:p>
        </w:tc>
        <w:tc>
          <w:tcPr/>
          <w:p>
            <w:pPr>
              <w:pStyle w:val="Compact"/>
            </w:pPr>
            <w:r>
              <w:t xml:space="preserve">112</w:t>
            </w:r>
          </w:p>
        </w:tc>
      </w:tr>
      <w:tr>
        <w:tc>
          <w:tcPr/>
          <w:p>
            <w:pPr>
              <w:pStyle w:val="Compact"/>
            </w:pPr>
            <w:r>
              <w:t xml:space="preserve">Febbre e nuca rigida in flessione</w:t>
            </w:r>
          </w:p>
        </w:tc>
        <w:tc>
          <w:tcPr/>
          <w:p>
            <w:pPr>
              <w:pStyle w:val="Compact"/>
            </w:pPr>
            <w:r>
              <w:t xml:space="preserve">Pronto soccorso</w:t>
            </w:r>
          </w:p>
        </w:tc>
        <w:tc>
          <w:tcPr/>
          <w:p>
            <w:pPr>
              <w:pStyle w:val="Compact"/>
            </w:pPr>
            <w:r>
              <w:t xml:space="preserve">112</w:t>
            </w:r>
          </w:p>
        </w:tc>
      </w:tr>
      <w:tr>
        <w:tc>
          <w:tcPr/>
          <w:p>
            <w:pPr>
              <w:pStyle w:val="Compact"/>
            </w:pPr>
            <w:r>
              <w:t xml:space="preserve">Trauma</w:t>
            </w:r>
            <w:r>
              <w:t xml:space="preserve"> </w:t>
            </w:r>
            <w:r>
              <w:rPr>
                <w:b/>
                <w:bCs/>
              </w:rPr>
              <w:t xml:space="preserve">recente</w:t>
            </w:r>
            <w:r>
              <w:t xml:space="preserve"> </w:t>
            </w:r>
            <w:r>
              <w:t xml:space="preserve">con criterio ad alto rischio</w:t>
            </w:r>
          </w:p>
        </w:tc>
        <w:tc>
          <w:tcPr/>
          <w:p>
            <w:pPr>
              <w:pStyle w:val="Compact"/>
            </w:pPr>
            <w:r>
              <w:t xml:space="preserve">Pronto soccorso</w:t>
            </w:r>
          </w:p>
        </w:tc>
        <w:tc>
          <w:tcPr/>
          <w:p>
            <w:pPr>
              <w:pStyle w:val="Compact"/>
            </w:pPr>
            <w:r>
              <w:t xml:space="preserve">Urgente</w:t>
            </w:r>
          </w:p>
        </w:tc>
      </w:tr>
      <w:tr>
        <w:tc>
          <w:tcPr/>
          <w:p>
            <w:pPr>
              <w:pStyle w:val="Compact"/>
            </w:pPr>
            <w:r>
              <w:t xml:space="preserve">Deficit motorio che progredisce in giorni</w:t>
            </w:r>
          </w:p>
        </w:tc>
        <w:tc>
          <w:tcPr/>
          <w:p>
            <w:pPr>
              <w:pStyle w:val="Compact"/>
            </w:pPr>
            <w:r>
              <w:t xml:space="preserve">Pronto soccorso o neurologo</w:t>
            </w:r>
          </w:p>
        </w:tc>
        <w:tc>
          <w:tcPr/>
          <w:p>
            <w:pPr>
              <w:pStyle w:val="Compact"/>
            </w:pPr>
            <w:r>
              <w:t xml:space="preserve">Urgente</w:t>
            </w:r>
          </w:p>
        </w:tc>
      </w:tr>
      <w:tr>
        <w:tc>
          <w:tcPr/>
          <w:p>
            <w:pPr>
              <w:pStyle w:val="Compact"/>
            </w:pPr>
            <w:r>
              <w:t xml:space="preserve">Disturbo sfinterico di nuova insorgenza</w:t>
            </w:r>
          </w:p>
        </w:tc>
        <w:tc>
          <w:tcPr/>
          <w:p>
            <w:pPr>
              <w:pStyle w:val="Compact"/>
            </w:pPr>
            <w:r>
              <w:t xml:space="preserve">Pronto soccorso</w:t>
            </w:r>
          </w:p>
        </w:tc>
        <w:tc>
          <w:tcPr/>
          <w:p>
            <w:pPr>
              <w:pStyle w:val="Compact"/>
            </w:pPr>
            <w:r>
              <w:t xml:space="preserve">Urgente</w:t>
            </w:r>
          </w:p>
        </w:tc>
      </w:tr>
      <w:tr>
        <w:tc>
          <w:tcPr/>
          <w:p>
            <w:pPr>
              <w:pStyle w:val="Compact"/>
            </w:pPr>
            <w:r>
              <w:t xml:space="preserve">Dolore ingravescente, non modificabile dalla posizione</w:t>
            </w:r>
          </w:p>
        </w:tc>
        <w:tc>
          <w:tcPr/>
          <w:p>
            <w:pPr>
              <w:pStyle w:val="Compact"/>
            </w:pPr>
            <w:r>
              <w:t xml:space="preserve">Pronto soccorso</w:t>
            </w:r>
          </w:p>
        </w:tc>
        <w:tc>
          <w:tcPr/>
          <w:p>
            <w:pPr>
              <w:pStyle w:val="Compact"/>
            </w:pPr>
            <w:r>
              <w:t xml:space="preserve">Urgente</w:t>
            </w:r>
          </w:p>
        </w:tc>
      </w:tr>
    </w:tbl>
    <w:p>
      <w:pPr>
        <w:pStyle w:val="BodyText"/>
      </w:pPr>
      <w:r>
        <w:rPr>
          <w:b/>
          <w:bCs/>
        </w:rPr>
        <w:t xml:space="preserve">Blocco B — invio non differibile. Si consegna l’indicazione medica scritta, e si può trattare una disfunzione somatica autonoma in un distretto diverso.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w:t>
            </w:r>
          </w:p>
        </w:tc>
        <w:tc>
          <w:tcPr/>
          <w:p>
            <w:pPr>
              <w:pStyle w:val="Compact"/>
            </w:pPr>
            <w:r>
              <w:t xml:space="preserve">A chi si manda</w:t>
            </w:r>
          </w:p>
        </w:tc>
        <w:tc>
          <w:tcPr/>
          <w:p>
            <w:pPr>
              <w:pStyle w:val="Compact"/>
            </w:pPr>
            <w:r>
              <w:t xml:space="preserve">Tempi</w:t>
            </w:r>
          </w:p>
        </w:tc>
      </w:tr>
      <w:tr>
        <w:tc>
          <w:tcPr/>
          <w:p>
            <w:pPr>
              <w:pStyle w:val="Compact"/>
            </w:pPr>
            <w:r>
              <w:t xml:space="preserve">Mani goffe e andatura instabile</w:t>
            </w:r>
          </w:p>
        </w:tc>
        <w:tc>
          <w:tcPr/>
          <w:p>
            <w:pPr>
              <w:pStyle w:val="Compact"/>
            </w:pPr>
            <w:r>
              <w:t xml:space="preserve">Curante, per via neurochirurgica</w:t>
            </w:r>
          </w:p>
        </w:tc>
        <w:tc>
          <w:tcPr/>
          <w:p>
            <w:pPr>
              <w:pStyle w:val="Compact"/>
            </w:pPr>
            <w:r>
              <w:t xml:space="preserve">Invio, non attendere</w:t>
            </w:r>
          </w:p>
        </w:tc>
      </w:tr>
      <w:tr>
        <w:tc>
          <w:tcPr/>
          <w:p>
            <w:pPr>
              <w:pStyle w:val="Compact"/>
            </w:pPr>
            <w:r>
              <w:t xml:space="preserve">Dolore notturno crescente, calo di peso</w:t>
            </w:r>
          </w:p>
        </w:tc>
        <w:tc>
          <w:tcPr/>
          <w:p>
            <w:pPr>
              <w:pStyle w:val="Compact"/>
            </w:pPr>
            <w:r>
              <w:t xml:space="preserve">Curante</w:t>
            </w:r>
          </w:p>
        </w:tc>
        <w:tc>
          <w:tcPr/>
          <w:p>
            <w:pPr>
              <w:pStyle w:val="Compact"/>
            </w:pPr>
            <w:r>
              <w:t xml:space="preserve">Invio, non attendere</w:t>
            </w:r>
          </w:p>
        </w:tc>
      </w:tr>
      <w:tr>
        <w:tc>
          <w:tcPr/>
          <w:p>
            <w:pPr>
              <w:pStyle w:val="Compact"/>
            </w:pPr>
            <w:r>
              <w:t xml:space="preserve">Storia oncologica e dolore nuovo</w:t>
            </w:r>
          </w:p>
        </w:tc>
        <w:tc>
          <w:tcPr/>
          <w:p>
            <w:pPr>
              <w:pStyle w:val="Compact"/>
            </w:pPr>
            <w:r>
              <w:t xml:space="preserve">Curante</w:t>
            </w:r>
          </w:p>
        </w:tc>
        <w:tc>
          <w:tcPr/>
          <w:p>
            <w:pPr>
              <w:pStyle w:val="Compact"/>
            </w:pPr>
            <w:r>
              <w:t xml:space="preserve">Invio, non attendere</w:t>
            </w:r>
          </w:p>
        </w:tc>
      </w:tr>
      <w:tr>
        <w:tc>
          <w:tcPr/>
          <w:p>
            <w:pPr>
              <w:pStyle w:val="Compact"/>
            </w:pPr>
            <w:r>
              <w:t xml:space="preserve">Oltre 50 anni, dolore bilaterale collo e cingoli</w:t>
            </w:r>
          </w:p>
        </w:tc>
        <w:tc>
          <w:tcPr/>
          <w:p>
            <w:pPr>
              <w:pStyle w:val="Compact"/>
            </w:pPr>
            <w:r>
              <w:t xml:space="preserve">Curante</w:t>
            </w:r>
          </w:p>
        </w:tc>
        <w:tc>
          <w:tcPr/>
          <w:p>
            <w:pPr>
              <w:pStyle w:val="Compact"/>
            </w:pPr>
            <w:r>
              <w:t xml:space="preserve">Invio, non attendere</w:t>
            </w:r>
          </w:p>
        </w:tc>
      </w:tr>
      <w:tr>
        <w:tc>
          <w:tcPr/>
          <w:p>
            <w:pPr>
              <w:pStyle w:val="Compact"/>
            </w:pPr>
            <w:r>
              <w:t xml:space="preserve">Artrite reumatoide, spondiloartrite o sindrome di Down</w:t>
            </w:r>
          </w:p>
        </w:tc>
        <w:tc>
          <w:tcPr/>
          <w:p>
            <w:pPr>
              <w:pStyle w:val="Compact"/>
            </w:pPr>
            <w:r>
              <w:t xml:space="preserve">Reumatologo, prima di lavorare sul collo</w:t>
            </w:r>
          </w:p>
        </w:tc>
        <w:tc>
          <w:tcPr/>
          <w:p>
            <w:pPr>
              <w:pStyle w:val="Compact"/>
            </w:pPr>
            <w:r>
              <w:t xml:space="preserve">Invio</w:t>
            </w:r>
          </w:p>
        </w:tc>
      </w:tr>
      <w:tr>
        <w:tc>
          <w:tcPr/>
          <w:p>
            <w:pPr>
              <w:pStyle w:val="Compact"/>
            </w:pPr>
            <w:r>
              <w:t xml:space="preserve">Cefalea quasi quotidiana con analgesico frequente</w:t>
            </w:r>
          </w:p>
        </w:tc>
        <w:tc>
          <w:tcPr/>
          <w:p>
            <w:pPr>
              <w:pStyle w:val="Compact"/>
            </w:pPr>
            <w:r>
              <w:t xml:space="preserve">Curante, prima di aprire il ciclo</w:t>
            </w:r>
          </w:p>
        </w:tc>
        <w:tc>
          <w:tcPr/>
          <w:p>
            <w:pPr>
              <w:pStyle w:val="Compact"/>
            </w:pPr>
            <w:r>
              <w:t xml:space="preserve">Invio</w:t>
            </w:r>
          </w:p>
        </w:tc>
      </w:tr>
      <w:tr>
        <w:tc>
          <w:tcPr/>
          <w:p>
            <w:pPr>
              <w:pStyle w:val="Compact"/>
            </w:pPr>
            <w:r>
              <w:t xml:space="preserve">Formicolio stabile senza deficit</w:t>
            </w:r>
          </w:p>
        </w:tc>
        <w:tc>
          <w:tcPr/>
          <w:p>
            <w:pPr>
              <w:pStyle w:val="Compact"/>
            </w:pPr>
            <w:r>
              <w:t xml:space="preserve">Curante</w:t>
            </w:r>
          </w:p>
        </w:tc>
        <w:tc>
          <w:tcPr/>
          <w:p>
            <w:pPr>
              <w:pStyle w:val="Compact"/>
            </w:pPr>
            <w:r>
              <w:t xml:space="preserve">Invio programmato:</w:t>
            </w:r>
            <w:r>
              <w:t xml:space="preserve"> </w:t>
            </w:r>
            <w:r>
              <w:rPr>
                <w:b/>
                <w:bCs/>
              </w:rPr>
              <w:t xml:space="preserve">non ferma il tuo lavoro</w:t>
            </w:r>
          </w:p>
        </w:tc>
      </w:tr>
    </w:tbl>
    <w:p>
      <w:pPr>
        <w:pStyle w:val="BodyText"/>
      </w:pPr>
      <w:r>
        <w:rPr>
          <w:b/>
          <w:bCs/>
        </w:rPr>
        <w:t xml:space="preserve">Le note che rendono usabile la tabella.</w:t>
      </w:r>
    </w:p>
    <w:p>
      <w:pPr>
        <w:pStyle w:val="Compact"/>
        <w:numPr>
          <w:ilvl w:val="0"/>
          <w:numId w:val="1025"/>
        </w:numPr>
      </w:pPr>
      <w:r>
        <w:rPr>
          <w:b/>
          <w:bCs/>
        </w:rPr>
        <w:t xml:space="preserve">Dolore ingravescente.</w:t>
      </w:r>
      <w:r>
        <w:t xml:space="preserve"> </w:t>
      </w:r>
      <w:r>
        <w:t xml:space="preserve">Vale quando c’è</w:t>
      </w:r>
      <w:r>
        <w:t xml:space="preserve"> </w:t>
      </w:r>
      <w:r>
        <w:rPr>
          <w:b/>
          <w:bCs/>
        </w:rPr>
        <w:t xml:space="preserve">febbre oppure un fattore di rischio infettivo</w:t>
      </w:r>
      <w:r>
        <w:t xml:space="preserve">. La febbre con nuca rigida intercetta il meningismo. Non intercetta la</w:t>
      </w:r>
      <w:r>
        <w:t xml:space="preserve"> </w:t>
      </w:r>
      <w:r>
        <w:rPr>
          <w:b/>
          <w:bCs/>
        </w:rPr>
        <w:t xml:space="preserve">spondilodiscite</w:t>
      </w:r>
      <w:r>
        <w:t xml:space="preserve"> </w:t>
      </w:r>
      <w:r>
        <w:t xml:space="preserve">né l’</w:t>
      </w:r>
      <w:r>
        <w:rPr>
          <w:b/>
          <w:bCs/>
        </w:rPr>
        <w:t xml:space="preserve">ascesso epidurale</w:t>
      </w:r>
      <w:r>
        <w:t xml:space="preserve">, dove in una quota rilevante di casi la febbre manca: è il motivo abituale del ritardo. I fattori di rischio sono questi: droghe e.v., infezione o batteriemia recente, catetere venoso, immunodepressione, diabete scompensato, dialisi, chirurgia o infiltrazione rachidea recente.</w:t>
      </w:r>
      <w:r>
        <w:t xml:space="preserve"> </w:t>
      </w:r>
      <w:r>
        <w:rPr>
          <w:b/>
          <w:bCs/>
        </w:rPr>
        <w:t xml:space="preserve">L’assenza di febbre non esclude niente.</w:t>
      </w:r>
    </w:p>
    <w:p>
      <w:pPr>
        <w:pStyle w:val="Compact"/>
        <w:numPr>
          <w:ilvl w:val="0"/>
          <w:numId w:val="1025"/>
        </w:numPr>
      </w:pPr>
      <w:r>
        <w:rPr>
          <w:b/>
          <w:bCs/>
        </w:rPr>
        <w:t xml:space="preserve">Nervi cranici.</w:t>
      </w:r>
      <w:r>
        <w:t xml:space="preserve"> </w:t>
      </w:r>
      <w:r>
        <w:t xml:space="preserve">Rientrano anche</w:t>
      </w:r>
      <w:r>
        <w:t xml:space="preserve"> </w:t>
      </w:r>
      <w:r>
        <w:rPr>
          <w:b/>
          <w:bCs/>
        </w:rPr>
        <w:t xml:space="preserve">paralisi facciale</w:t>
      </w:r>
      <w:r>
        <w:t xml:space="preserve"> </w:t>
      </w:r>
      <w:r>
        <w:t xml:space="preserve">e</w:t>
      </w:r>
      <w:r>
        <w:t xml:space="preserve"> </w:t>
      </w:r>
      <w:r>
        <w:rPr>
          <w:b/>
          <w:bCs/>
        </w:rPr>
        <w:t xml:space="preserve">diplopia</w:t>
      </w:r>
      <w:r>
        <w:t xml:space="preserve">: sono fra i segni più frequenti della dissecazione carotidea.</w:t>
      </w:r>
    </w:p>
    <w:p>
      <w:pPr>
        <w:pStyle w:val="Compact"/>
        <w:numPr>
          <w:ilvl w:val="0"/>
          <w:numId w:val="1025"/>
        </w:numPr>
      </w:pPr>
      <w:r>
        <w:rPr>
          <w:b/>
          <w:bCs/>
        </w:rPr>
        <w:t xml:space="preserve">Due soglie che non stanno in tabella.</w:t>
      </w:r>
      <w:r>
        <w:t xml:space="preserve"> </w:t>
      </w:r>
      <w:r>
        <w:t xml:space="preserve">La rigidità mattutina del quadro sistemico dura</w:t>
      </w:r>
      <w:r>
        <w:t xml:space="preserve"> </w:t>
      </w:r>
      <w:r>
        <w:rPr>
          <w:b/>
          <w:bCs/>
        </w:rPr>
        <w:t xml:space="preserve">oltre 45 minuti</w:t>
      </w:r>
      <w:r>
        <w:t xml:space="preserve">. La cefalea da uso eccessivo di farmaci si sospetta con analgesici</w:t>
      </w:r>
      <w:r>
        <w:t xml:space="preserve"> </w:t>
      </w:r>
      <w:r>
        <w:rPr>
          <w:b/>
          <w:bCs/>
        </w:rPr>
        <w:t xml:space="preserve">10-15 giorni al mese da oltre tre mesi</w:t>
      </w:r>
      <w:r>
        <w:t xml:space="preserve">.</w:t>
      </w:r>
    </w:p>
    <w:p>
      <w:pPr>
        <w:pStyle w:val="Compact"/>
        <w:numPr>
          <w:ilvl w:val="0"/>
          <w:numId w:val="1025"/>
        </w:numPr>
      </w:pPr>
      <w:r>
        <w:rPr>
          <w:b/>
          <w:bCs/>
        </w:rPr>
        <w:t xml:space="preserve">Artrite reumatoide.</w:t>
      </w:r>
      <w:r>
        <w:t xml:space="preserve"> </w:t>
      </w:r>
      <w:r>
        <w:t xml:space="preserve">Su 154 pazienti, il dolore al collo era riferito dal 69% di chi aveva la sublussazione cervicale. Fra chi non ce l’aveva era il 65% (Neva, PMID 16269427).</w:t>
      </w:r>
      <w:r>
        <w:t xml:space="preserve"> </w:t>
      </w:r>
      <w:r>
        <w:rPr>
          <w:b/>
          <w:bCs/>
        </w:rPr>
        <w:t xml:space="preserve">Il dolore non distingue chi ha l’instabilità.</w:t>
      </w:r>
      <w:r>
        <w:t xml:space="preserve"> </w:t>
      </w:r>
      <w:r>
        <w:t xml:space="preserve">Lo stato del rachide va quindi documentato</w:t>
      </w:r>
      <w:r>
        <w:t xml:space="preserve"> </w:t>
      </w:r>
      <w:r>
        <w:rPr>
          <w:b/>
          <w:bCs/>
        </w:rPr>
        <w:t xml:space="preserve">prima</w:t>
      </w:r>
      <w:r>
        <w:t xml:space="preserve"> </w:t>
      </w:r>
      <w:r>
        <w:t xml:space="preserve">di lavorare sul collo, con o senza dolore cervicale.</w:t>
      </w:r>
    </w:p>
    <w:p>
      <w:pPr>
        <w:pStyle w:val="Compact"/>
        <w:numPr>
          <w:ilvl w:val="0"/>
          <w:numId w:val="1025"/>
        </w:numPr>
      </w:pPr>
      <w:r>
        <w:rPr>
          <w:b/>
          <w:bCs/>
        </w:rPr>
        <w:t xml:space="preserve">Trauma.</w:t>
      </w:r>
      <w:r>
        <w:t xml:space="preserve"> </w:t>
      </w:r>
      <w:r>
        <w:t xml:space="preserve">Il criterio ad alto rischio è quello della Canadian C-Spine Rule: 65 anni o più, meccanismo pericoloso, parestesie agli arti (Stiell, PMID 11597285). La regola è stata derivata in Pronto Soccorso</w:t>
      </w:r>
      <w:r>
        <w:t xml:space="preserve"> </w:t>
      </w:r>
      <w:r>
        <w:rPr>
          <w:b/>
          <w:bCs/>
        </w:rPr>
        <w:t xml:space="preserve">nella finestra acuta</w:t>
      </w:r>
      <w:r>
        <w:t xml:space="preserve">, per decidere una radiografia. Non è validata sul paziente che arriva settimane dopo un tamponamento.</w:t>
      </w:r>
    </w:p>
    <w:p>
      <w:pPr>
        <w:pStyle w:val="FirstParagraph"/>
      </w:pPr>
      <w:r>
        <w:rPr>
          <w:b/>
          <w:bCs/>
        </w:rPr>
        <w:t xml:space="preserve">Quanto vale questa lista.</w:t>
      </w:r>
      <w:r>
        <w:t xml:space="preserve"> </w:t>
      </w:r>
      <w:r>
        <w:t xml:space="preserve">Fra ventinove linee guida, le</w:t>
      </w:r>
      <w:r>
        <w:t xml:space="preserve"> </w:t>
      </w:r>
      <w:r>
        <w:rPr>
          <w:b/>
          <w:bCs/>
        </w:rPr>
        <w:t xml:space="preserve">dodici</w:t>
      </w:r>
      <w:r>
        <w:t xml:space="preserve"> </w:t>
      </w:r>
      <w:r>
        <w:t xml:space="preserve">che si esprimono elencano 114 bandiere rosse diverse. L’accordo fra loro è praticamente nullo — mediana del kappa di Fleiss pari a 0 — e quasi tutte poggiano su opinione di esperti (Feller,</w:t>
      </w:r>
      <w:r>
        <w:t xml:space="preserve"> </w:t>
      </w:r>
      <w:r>
        <w:rPr>
          <w:i/>
          <w:iCs/>
        </w:rPr>
        <w:t xml:space="preserve">Arch Physiother</w:t>
      </w:r>
      <w:r>
        <w:t xml:space="preserve"> </w:t>
      </w:r>
      <w:r>
        <w:t xml:space="preserve">2024, PMID 39639931).</w:t>
      </w:r>
    </w:p>
    <w:p>
      <w:pPr>
        <w:pStyle w:val="BodyText"/>
      </w:pPr>
      <w:r>
        <w:rPr>
          <w:b/>
          <w:bCs/>
        </w:rPr>
        <w:t xml:space="preserve">Per te:</w:t>
      </w:r>
      <w:r>
        <w:t xml:space="preserve"> </w:t>
      </w:r>
      <w:r>
        <w:t xml:space="preserve">la tabella non è una garanzia. È una lista dichiarata con la sua fonte: la usi tutta, ogni volta, e la scrivi. E</w:t>
      </w:r>
      <w:r>
        <w:t xml:space="preserve"> </w:t>
      </w:r>
      <w:r>
        <w:rPr>
          <w:b/>
          <w:bCs/>
        </w:rPr>
        <w:t xml:space="preserve">una lista negativa non chiude il caso</w:t>
      </w:r>
      <w:r>
        <w:t xml:space="preserve">: un dolore che non risponde a nessuna posizione e non si riproduce con nessun test va inviato anche senza una riga.</w:t>
      </w:r>
    </w:p>
    <w:bookmarkEnd w:id="45"/>
    <w:bookmarkStart w:id="46" w:name="X431e9e18005607736fce43bc7177b98e2874097"/>
    <w:p>
      <w:pPr>
        <w:pStyle w:val="Heading3"/>
      </w:pPr>
      <w:r>
        <w:t xml:space="preserve">Il paziente che devi conoscere meglio di chiunque altro</w:t>
      </w:r>
    </w:p>
    <w:p>
      <w:pPr>
        <w:pStyle w:val="FirstParagraph"/>
      </w:pPr>
      <w:r>
        <w:t xml:space="preserve">La dissecazione dell’arteria cervicale è rara, ma</w:t>
      </w:r>
      <w:r>
        <w:t xml:space="preserve"> </w:t>
      </w:r>
      <w:r>
        <w:rPr>
          <w:b/>
          <w:bCs/>
        </w:rPr>
        <w:t xml:space="preserve">si presenta come dolore al collo e mal di testa</w:t>
      </w:r>
      <w:r>
        <w:t xml:space="preserve">, ore o giorni prima dell’evento neurologico.</w:t>
      </w:r>
    </w:p>
    <w:p>
      <w:pPr>
        <w:pStyle w:val="BodyText"/>
      </w:pPr>
      <w:r>
        <w:rPr>
          <w:b/>
          <w:bCs/>
        </w:rPr>
        <w:t xml:space="preserve">Il rischio che la tua manovra la causi, se esiste, è molto piccolo e non è mai stato dimostrato causale.</w:t>
      </w:r>
      <w:r>
        <w:t xml:space="preserve"> </w:t>
      </w:r>
      <w:r>
        <w:t xml:space="preserve">Chi ha avuto un ictus vertebro-basilare aveva visto un chiropratico</w:t>
      </w:r>
      <w:r>
        <w:t xml:space="preserve"> </w:t>
      </w:r>
      <w:r>
        <w:rPr>
          <w:b/>
          <w:bCs/>
        </w:rPr>
        <w:t xml:space="preserve">o il proprio medico di base</w:t>
      </w:r>
      <w:r>
        <w:t xml:space="preserve"> </w:t>
      </w:r>
      <w:r>
        <w:t xml:space="preserve">con lo stesso eccesso di frequenza (Cassidy, PMID 18204390). La meta-analisi successiva trova un’associazione piccola, su prove di qualità molto bassa e senza nesso causale (Church, PMID 27014532). Nessuno di questi disegni esclude un eccesso di rischio piccolo.</w:t>
      </w:r>
    </w:p>
    <w:p>
      <w:pPr>
        <w:pStyle w:val="BodyText"/>
      </w:pPr>
      <w:r>
        <w:rPr>
          <w:b/>
          <w:bCs/>
        </w:rPr>
        <w:t xml:space="preserve">Il rischio che conta per te è un altro: ti arriva chi ha già la dissecazione e viene per il dolore che gli sta dando. Chiedi sempre se questo dolore è diverso da qualunque altro abbia mai avuto, e tratta quel</w:t>
      </w:r>
      <w:r>
        <w:rPr>
          <w:b/>
          <w:bCs/>
        </w:rPr>
        <w:t xml:space="preserve"> </w:t>
      </w:r>
      <w:r>
        <w:rPr>
          <w:b/>
          <w:bCs/>
        </w:rPr>
        <w:t xml:space="preserve">“diverso”</w:t>
      </w:r>
      <w:r>
        <w:rPr>
          <w:b/>
          <w:bCs/>
        </w:rPr>
        <w:t xml:space="preserve"> </w:t>
      </w:r>
      <w:r>
        <w:rPr>
          <w:b/>
          <w:bCs/>
        </w:rPr>
        <w:t xml:space="preserve">come una bandiera rossa.</w:t>
      </w:r>
    </w:p>
    <w:p>
      <w:pPr>
        <w:pStyle w:val="BodyText"/>
      </w:pPr>
      <w:r>
        <w:rPr>
          <w:b/>
          <w:bCs/>
        </w:rPr>
        <w:t xml:space="preserve">La cornice internazionale.</w:t>
      </w:r>
      <w:r>
        <w:t xml:space="preserve"> </w:t>
      </w:r>
      <w:r>
        <w:t xml:space="preserve">La cornice IFOMPT (Rushton, PMID 36099171)</w:t>
      </w:r>
      <w:r>
        <w:t xml:space="preserve"> </w:t>
      </w:r>
      <w:r>
        <w:rPr>
          <w:b/>
          <w:bCs/>
        </w:rPr>
        <w:t xml:space="preserve">non è l’elenco mnemonico dei</w:t>
      </w:r>
      <w:r>
        <w:rPr>
          <w:b/>
          <w:bCs/>
        </w:rPr>
        <w:t xml:space="preserve"> </w:t>
      </w:r>
      <w:r>
        <w:rPr>
          <w:b/>
          <w:bCs/>
        </w:rPr>
        <w:t xml:space="preserve">“5 D e 3 N”</w:t>
      </w:r>
      <w:r>
        <w:t xml:space="preserve">: quell’elenco descrive segni di ischemia già stabilita, quindi tardivi. La cornice invece è fatta di tre cose.</w:t>
      </w:r>
    </w:p>
    <w:p>
      <w:pPr>
        <w:pStyle w:val="Compact"/>
        <w:numPr>
          <w:ilvl w:val="0"/>
          <w:numId w:val="1026"/>
        </w:numPr>
      </w:pPr>
      <w:r>
        <w:t xml:space="preserve">Un</w:t>
      </w:r>
      <w:r>
        <w:t xml:space="preserve"> </w:t>
      </w:r>
      <w:r>
        <w:rPr>
          <w:b/>
          <w:bCs/>
        </w:rPr>
        <w:t xml:space="preserve">profilo di rischio vascolare</w:t>
      </w:r>
      <w:r>
        <w:t xml:space="preserve"> </w:t>
      </w:r>
      <w:r>
        <w:t xml:space="preserve">in anamnesi: ipertensione, fumo, diabete, età, trauma o infezione recenti, emicrania.</w:t>
      </w:r>
    </w:p>
    <w:p>
      <w:pPr>
        <w:pStyle w:val="Compact"/>
        <w:numPr>
          <w:ilvl w:val="0"/>
          <w:numId w:val="1026"/>
        </w:numPr>
      </w:pPr>
      <w:r>
        <w:rPr>
          <w:b/>
          <w:bCs/>
        </w:rPr>
        <w:t xml:space="preserve">Elementi d’esame</w:t>
      </w:r>
      <w:r>
        <w:t xml:space="preserve">: pressione arteriosa, nervi cranici, cammino. Servono perché nella dissecazione</w:t>
      </w:r>
      <w:r>
        <w:t xml:space="preserve"> </w:t>
      </w:r>
      <w:r>
        <w:rPr>
          <w:b/>
          <w:bCs/>
        </w:rPr>
        <w:t xml:space="preserve">carotidea</w:t>
      </w:r>
      <w:r>
        <w:t xml:space="preserve"> </w:t>
      </w:r>
      <w:r>
        <w:t xml:space="preserve">i segni più frequenti sono ptosi (60-80%), deficit di forza all’arto superiore (65%) e paralisi facciale (60%).</w:t>
      </w:r>
    </w:p>
    <w:p>
      <w:pPr>
        <w:pStyle w:val="Compact"/>
        <w:numPr>
          <w:ilvl w:val="0"/>
          <w:numId w:val="1026"/>
        </w:numPr>
      </w:pPr>
      <w:r>
        <w:t xml:space="preserve">Una</w:t>
      </w:r>
      <w:r>
        <w:t xml:space="preserve"> </w:t>
      </w:r>
      <w:r>
        <w:rPr>
          <w:b/>
          <w:bCs/>
        </w:rPr>
        <w:t xml:space="preserve">decisione rischio-beneficio documentata</w:t>
      </w:r>
      <w:r>
        <w:t xml:space="preserve">, con monitoraggio per tutta la durata del trattamento.</w:t>
      </w:r>
    </w:p>
    <w:p>
      <w:pPr>
        <w:pStyle w:val="BlockText"/>
      </w:pPr>
      <w:r>
        <w:rPr>
          <w:b/>
          <w:bCs/>
        </w:rPr>
        <w:t xml:space="preserve">Attenzione, e vale più di tutto il resto: nessun test posizionale pre-manipolativo esclude il rischio.</w:t>
      </w:r>
      <w:r>
        <w:t xml:space="preserve"> </w:t>
      </w:r>
      <w:r>
        <w:t xml:space="preserve">Se hai imparato che una rotazione-estensione sostenuta ti protegge, non ti protegge, e la cornice non la propone come screening. Una</w:t>
      </w:r>
      <w:r>
        <w:t xml:space="preserve"> </w:t>
      </w:r>
      <w:r>
        <w:rPr>
          <w:b/>
          <w:bCs/>
        </w:rPr>
        <w:t xml:space="preserve">vertigine, anche non acuta</w:t>
      </w:r>
      <w:r>
        <w:t xml:space="preserve">, va inquadrata prima di lavorare sul collo alto.</w:t>
      </w:r>
    </w:p>
    <w:bookmarkEnd w:id="46"/>
    <w:bookmarkStart w:id="47" w:name="il-cancello-dingresso"/>
    <w:p>
      <w:pPr>
        <w:pStyle w:val="Heading3"/>
      </w:pPr>
      <w:r>
        <w:t xml:space="preserve">Il cancello d’ingresso</w:t>
      </w:r>
    </w:p>
    <w:p>
      <w:pPr>
        <w:pStyle w:val="FirstParagraph"/>
      </w:pPr>
      <w:r>
        <w:t xml:space="preserve">Il cancello dice</w:t>
      </w:r>
      <w:r>
        <w:t xml:space="preserve"> </w:t>
      </w:r>
      <w:r>
        <w:rPr>
          <w:b/>
          <w:bCs/>
        </w:rPr>
        <w:t xml:space="preserve">quale delle tre situazioni hai davanti</w:t>
      </w:r>
      <w:r>
        <w:t xml:space="preserve">. Il mandato</w:t>
      </w:r>
      <w:r>
        <w:t xml:space="preserve"> </w:t>
      </w:r>
      <w:r>
        <w:rPr>
          <w:b/>
          <w:bCs/>
        </w:rPr>
        <w:t xml:space="preserve">clinico</w:t>
      </w:r>
      <w:r>
        <w:t xml:space="preserve"> </w:t>
      </w:r>
      <w:r>
        <w:t xml:space="preserve">— avere qualcosa da trattare oggi — nasce da un reperto documentato e da un marker che si muove quando lo tratti. La</w:t>
      </w:r>
      <w:r>
        <w:t xml:space="preserve"> </w:t>
      </w:r>
      <w:r>
        <w:rPr>
          <w:b/>
          <w:bCs/>
        </w:rPr>
        <w:t xml:space="preserve">cornice professionale</w:t>
      </w:r>
      <w:r>
        <w:t xml:space="preserve"> </w:t>
      </w:r>
      <w:r>
        <w:t xml:space="preserve">è altro: si opera in riferimento alla diagnosi di competenza medica, e quando l’inquadramento manca il canale medico si attiva</w:t>
      </w:r>
      <w:r>
        <w:t xml:space="preserve"> </w:t>
      </w:r>
      <w:r>
        <w:rPr>
          <w:b/>
          <w:bCs/>
        </w:rPr>
        <w:t xml:space="preserve">contestualmente</w:t>
      </w:r>
      <w:r>
        <w:t xml:space="preserve">, non dopo.</w:t>
      </w:r>
      <w:r>
        <w:t xml:space="preserve"> </w:t>
      </w:r>
      <w:r>
        <w:rPr>
          <w:b/>
          <w:bCs/>
        </w:rPr>
        <w:t xml:space="preserve">Un reperto positivo giustifica il tuo lavoro, non sostituisce l’inquadramento medico.</w:t>
      </w:r>
      <w:r>
        <w:t xml:space="preserve"> </w:t>
      </w:r>
      <w:r>
        <w:t xml:space="preserve">Una rotazione in flessione ridotta a 28 gradi non esclude nulla: significa che hai</w:t>
      </w:r>
      <w:r>
        <w:t xml:space="preserve"> </w:t>
      </w:r>
      <w:r>
        <w:rPr>
          <w:b/>
          <w:bCs/>
        </w:rPr>
        <w:t xml:space="preserve">qualcosa da trattare</w:t>
      </w:r>
      <w:r>
        <w:t xml:space="preserve">, non che</w:t>
      </w:r>
      <w:r>
        <w:t xml:space="preserve"> </w:t>
      </w:r>
      <w:r>
        <w:rPr>
          <w:b/>
          <w:bCs/>
        </w:rPr>
        <w:t xml:space="preserve">sai cosa ha il paziente</w:t>
      </w:r>
      <w:r>
        <w:t xml:space="preserve">.</w:t>
      </w:r>
    </w:p>
    <w:p>
      <w:pPr>
        <w:pStyle w:val="BodyText"/>
      </w:pPr>
      <w:r>
        <w:rPr>
          <w:b/>
          <w:bCs/>
        </w:rPr>
        <w:t xml:space="preserve">🔴 ROSSO — Stop.</w:t>
      </w:r>
      <w:r>
        <w:t xml:space="preserve"> </w:t>
      </w:r>
      <w:r>
        <w:t xml:space="preserve">Basta una sola bandiera rossa.</w:t>
      </w:r>
      <w:r>
        <w:t xml:space="preserve"> </w:t>
      </w:r>
      <w:r>
        <w:rPr>
          <w:b/>
          <w:bCs/>
        </w:rPr>
        <w:t xml:space="preserve">Sul Blocco A non si tratta nulla, in nessun distretto.</w:t>
      </w:r>
      <w:r>
        <w:t xml:space="preserve"> </w:t>
      </w:r>
      <w:r>
        <w:t xml:space="preserve">Sul Blocco B si può trattare una disfunzione somatica autonoma in un distretto diverso, ma</w:t>
      </w:r>
      <w:r>
        <w:t xml:space="preserve"> </w:t>
      </w:r>
      <w:r>
        <w:rPr>
          <w:b/>
          <w:bCs/>
        </w:rPr>
        <w:t xml:space="preserve">solo dopo</w:t>
      </w:r>
      <w:r>
        <w:t xml:space="preserve"> </w:t>
      </w:r>
      <w:r>
        <w:t xml:space="preserve">aver consegnato l’indicazione medica scritta con destinatario e tempi. E scrivendo in cartella che il sintomo cervicale è in attesa di inquadramento e</w:t>
      </w:r>
      <w:r>
        <w:t xml:space="preserve"> </w:t>
      </w:r>
      <w:r>
        <w:rPr>
          <w:b/>
          <w:bCs/>
        </w:rPr>
        <w:t xml:space="preserve">non è il bersaglio</w:t>
      </w:r>
      <w:r>
        <w:t xml:space="preserve">.</w:t>
      </w:r>
      <w:r>
        <w:t xml:space="preserve"> </w:t>
      </w:r>
      <w:r>
        <w:rPr>
          <w:b/>
          <w:bCs/>
        </w:rPr>
        <w:t xml:space="preserve">Nessun reperto positivo scavalca questa uscita.</w:t>
      </w:r>
    </w:p>
    <w:p>
      <w:pPr>
        <w:pStyle w:val="BodyText"/>
      </w:pPr>
      <w:r>
        <w:rPr>
          <w:b/>
          <w:bCs/>
        </w:rPr>
        <w:t xml:space="preserve">🟡 GIALLO — Si lavora, in parallelo.</w:t>
      </w:r>
      <w:r>
        <w:t xml:space="preserve"> </w:t>
      </w:r>
      <w:r>
        <w:t xml:space="preserve">Nessuna bandiera rossa, inquadramento assente o incompleto: una radiografia di sei anni fa, una risonanza mai commentata, un formicolio mai raccontato a nessuno.</w:t>
      </w:r>
      <w:r>
        <w:t xml:space="preserve"> </w:t>
      </w:r>
      <w:r>
        <w:rPr>
          <w:b/>
          <w:bCs/>
        </w:rPr>
        <w:t xml:space="preserve">Sul collo è la norma, e non è un motivo per rimandare fuori il paziente.</w:t>
      </w:r>
      <w:r>
        <w:t xml:space="preserve"> </w:t>
      </w:r>
      <w:r>
        <w:t xml:space="preserve">Si lavora a quattro condizioni, tutte verificabili.</w:t>
      </w:r>
    </w:p>
    <w:p>
      <w:pPr>
        <w:pStyle w:val="Compact"/>
        <w:numPr>
          <w:ilvl w:val="0"/>
          <w:numId w:val="1027"/>
        </w:numPr>
      </w:pPr>
      <w:r>
        <w:rPr>
          <w:b/>
          <w:bCs/>
        </w:rPr>
        <w:t xml:space="preserve">Un reperto tuo, positivo e scritto in cartella:</w:t>
      </w:r>
      <w:r>
        <w:t xml:space="preserve"> </w:t>
      </w:r>
      <w:r>
        <w:t xml:space="preserve">quanti gradi di rotazione in flessione e da che lato, quale livello della flessione cranio-cervicale tiene, come sta la scapola.</w:t>
      </w:r>
    </w:p>
    <w:p>
      <w:pPr>
        <w:pStyle w:val="Compact"/>
        <w:numPr>
          <w:ilvl w:val="0"/>
          <w:numId w:val="1027"/>
        </w:numPr>
      </w:pPr>
      <w:r>
        <w:rPr>
          <w:b/>
          <w:bCs/>
        </w:rPr>
        <w:t xml:space="preserve">Il paziente sa cosa tratti e cosa no:</w:t>
      </w:r>
      <w:r>
        <w:t xml:space="preserve"> </w:t>
      </w:r>
      <w:r>
        <w:rPr>
          <w:i/>
          <w:iCs/>
        </w:rPr>
        <w:t xml:space="preserve">«io lavoro sulla componente meccanica che ho trovato. Il formicolio va comunque inquadrato dal tuo medico, e nel frattempo io non aspetto.»</w:t>
      </w:r>
    </w:p>
    <w:p>
      <w:pPr>
        <w:pStyle w:val="Compact"/>
        <w:numPr>
          <w:ilvl w:val="0"/>
          <w:numId w:val="1027"/>
        </w:numPr>
      </w:pPr>
      <w:r>
        <w:rPr>
          <w:b/>
          <w:bCs/>
        </w:rPr>
        <w:t xml:space="preserve">Canale medico attivato senza interrompere il lavoro:</w:t>
      </w:r>
      <w:r>
        <w:t xml:space="preserve"> </w:t>
      </w:r>
      <w:r>
        <w:t xml:space="preserve">una comunicazione scritta al curante, non un rinvio.</w:t>
      </w:r>
    </w:p>
    <w:p>
      <w:pPr>
        <w:pStyle w:val="Compact"/>
        <w:numPr>
          <w:ilvl w:val="0"/>
          <w:numId w:val="1027"/>
        </w:numPr>
      </w:pPr>
      <w:r>
        <w:rPr>
          <w:b/>
          <w:bCs/>
        </w:rPr>
        <w:t xml:space="preserve">Tempo definito e scritto:</w:t>
      </w:r>
      <w:r>
        <w:t xml:space="preserve"> </w:t>
      </w:r>
      <w:r>
        <w:t xml:space="preserve">alla prima seduta fissi</w:t>
      </w:r>
      <w:r>
        <w:t xml:space="preserve"> </w:t>
      </w:r>
      <w:r>
        <w:rPr>
          <w:b/>
          <w:bCs/>
        </w:rPr>
        <w:t xml:space="preserve">la data</w:t>
      </w:r>
      <w:r>
        <w:t xml:space="preserve"> </w:t>
      </w:r>
      <w:r>
        <w:t xml:space="preserve">della revisione e la scrivi in cartella.</w:t>
      </w:r>
      <w:r>
        <w:t xml:space="preserve"> </w:t>
      </w:r>
      <w:r>
        <w:rPr>
          <w:b/>
          <w:bCs/>
        </w:rPr>
        <w:t xml:space="preserve">Se in cartella non c’è una data, il giallo non è aperto.</w:t>
      </w:r>
      <w:r>
        <w:t xml:space="preserve"> </w:t>
      </w:r>
      <w:r>
        <w:t xml:space="preserve">E</w:t>
      </w:r>
      <w:r>
        <w:t xml:space="preserve"> </w:t>
      </w:r>
      <w:r>
        <w:rPr>
          <w:b/>
          <w:bCs/>
        </w:rPr>
        <w:t xml:space="preserve">quello che non è scritto non esiste</w:t>
      </w:r>
      <w:r>
        <w:t xml:space="preserve">: né per il collega che riprende il paziente, né per il medico, né per chi chiedesse conto di una scelta a distanza di due anni.</w:t>
      </w:r>
    </w:p>
    <w:p>
      <w:pPr>
        <w:pStyle w:val="FirstParagraph"/>
      </w:pPr>
      <w:r>
        <w:rPr>
          <w:b/>
          <w:bCs/>
        </w:rPr>
        <w:t xml:space="preserve">Se il tempo scade e il marker non si è mosso</w:t>
      </w:r>
      <w:r>
        <w:t xml:space="preserve">, è un’informazione: il tuo reperto non era quello che comandava, e il canale medico diventa prioritario.</w:t>
      </w:r>
    </w:p>
    <w:p>
      <w:pPr>
        <w:pStyle w:val="BodyText"/>
      </w:pPr>
      <w:r>
        <w:rPr>
          <w:b/>
          <w:bCs/>
        </w:rPr>
        <w:t xml:space="preserve">🟢 VERDE — Si procede.</w:t>
      </w:r>
      <w:r>
        <w:t xml:space="preserve"> </w:t>
      </w:r>
      <w:r>
        <w:t xml:space="preserve">Nessuna bandiera rossa, e una fra queste tre: quadro tipico già valutato dal medico, ciclo di fisioterapia in corso o già fatto, accertamenti coerenti.</w:t>
      </w:r>
      <w:r>
        <w:t xml:space="preserve"> </w:t>
      </w:r>
      <w:r>
        <w:rPr>
          <w:b/>
          <w:bCs/>
        </w:rPr>
        <w:t xml:space="preserve">Anche qui valgono il reperto scritto in cartella e la data di revisione, fissata alla prima seduta.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w:t>
      </w:r>
      <w:r>
        <w:t xml:space="preserve"> </w:t>
      </w:r>
      <w:r>
        <w:rPr>
          <w:b/>
          <w:bCs/>
        </w:rPr>
        <w:t xml:space="preserve">Decade anche se resta identico oltre la data che hai fissato</w:t>
      </w:r>
      <w:r>
        <w:t xml:space="preserve">: la persistenza oltre i tempi previsti è motivo di re-invio al medico (DPR 131/2021, art. 2). Tre cose riaprono il triage: un formicolio che cambia territorio o si accompagna a debolezza; un mal di testa diverso da tutti i precedenti; la goffaggine delle mani o l’instabilità dell’andatura.</w:t>
      </w:r>
    </w:p>
    <w:bookmarkEnd w:id="47"/>
    <w:bookmarkStart w:id="48" w:name="X1ac5a1b3cdf7e22e51df529af64ae60c55cc369"/>
    <w:p>
      <w:pPr>
        <w:pStyle w:val="Heading3"/>
      </w:pPr>
      <w:r>
        <w:t xml:space="preserve">Cosa dichiari nel consenso, su questa condizione</w:t>
      </w:r>
    </w:p>
    <w:p>
      <w:pPr>
        <w:pStyle w:val="Compact"/>
        <w:numPr>
          <w:ilvl w:val="0"/>
          <w:numId w:val="1028"/>
        </w:numPr>
      </w:pPr>
      <w:r>
        <w:rPr>
          <w:b/>
          <w:bCs/>
        </w:rPr>
        <w:t xml:space="preserve">Che le tecniche a spinta rapida sul collo sono una scelta e non un passaggio obbligato.</w:t>
      </w:r>
      <w:r>
        <w:t xml:space="preserve"> </w:t>
      </w:r>
      <w:r>
        <w:t xml:space="preserve">Che le alternative a bassa velocità hanno effetti simili. E che l’evento raro e grave di questa regione — la dissecazione arteriosa — viene nominato e non taciuto.</w:t>
      </w:r>
    </w:p>
    <w:p>
      <w:pPr>
        <w:pStyle w:val="Compact"/>
        <w:numPr>
          <w:ilvl w:val="0"/>
          <w:numId w:val="1028"/>
        </w:numPr>
      </w:pPr>
      <w:r>
        <w:rPr>
          <w:b/>
          <w:bCs/>
        </w:rPr>
        <w:t xml:space="preserve">Che l’oggetto del trattamento è la funzione cervicale che hai misurato, non la protrusione del referto.</w:t>
      </w:r>
    </w:p>
    <w:p>
      <w:pPr>
        <w:pStyle w:val="Compact"/>
        <w:numPr>
          <w:ilvl w:val="0"/>
          <w:numId w:val="1028"/>
        </w:numPr>
      </w:pPr>
      <w:r>
        <w:rPr>
          <w:b/>
          <w:bCs/>
        </w:rPr>
        <w:t xml:space="preserve">Che il formicolio, se presente, ha una scadenza di rivalutazione dichiarata</w:t>
      </w:r>
      <w:r>
        <w:t xml:space="preserve">, e che un peggioramento sospende il ciclo e attiva l’invio: il consenso contiene una data, non solo una firma.</w:t>
      </w:r>
    </w:p>
    <w:p>
      <w:pPr>
        <w:pStyle w:val="Compact"/>
        <w:numPr>
          <w:ilvl w:val="0"/>
          <w:numId w:val="1028"/>
        </w:numPr>
      </w:pPr>
      <w:r>
        <w:rPr>
          <w:b/>
          <w:bCs/>
        </w:rPr>
        <w:t xml:space="preserve">Che una reazione transitoria nelle ore successive — dolenzia, mal di testa, testa leggera — è comune, si esaurisce da sola, e va distinta da quello che invece si richiama subito.</w:t>
      </w:r>
    </w:p>
    <w:bookmarkEnd w:id="48"/>
    <w:bookmarkStart w:id="49" w:name="il-confine-di-atto-e-il-prescrittore"/>
    <w:p>
      <w:pPr>
        <w:pStyle w:val="Heading3"/>
      </w:pPr>
      <w:r>
        <w:t xml:space="preserve">Il confine di atto, e il prescrittore</w:t>
      </w:r>
    </w:p>
    <w:p>
      <w:pPr>
        <w:pStyle w:val="FirstParagraph"/>
      </w:pPr>
      <w:r>
        <w:t xml:space="preserve">Tre atti restano fuori dal tuo perimetro.</w:t>
      </w:r>
    </w:p>
    <w:p>
      <w:pPr>
        <w:pStyle w:val="Compact"/>
        <w:numPr>
          <w:ilvl w:val="0"/>
          <w:numId w:val="1029"/>
        </w:numPr>
      </w:pPr>
      <w:r>
        <w:rPr>
          <w:b/>
          <w:bCs/>
        </w:rPr>
        <w:t xml:space="preserve">Leggere un’immagine per attribuirle il sintomo.</w:t>
      </w:r>
      <w:r>
        <w:t xml:space="preserve"> </w:t>
      </w:r>
      <w:r>
        <w:t xml:space="preserve">Puoi dire cosa il referto</w:t>
      </w:r>
      <w:r>
        <w:t xml:space="preserve"> </w:t>
      </w:r>
      <w:r>
        <w:rPr>
          <w:i/>
          <w:iCs/>
        </w:rPr>
        <w:t xml:space="preserve">non</w:t>
      </w:r>
      <w:r>
        <w:t xml:space="preserve"> </w:t>
      </w:r>
      <w:r>
        <w:t xml:space="preserve">spiega.</w:t>
      </w:r>
    </w:p>
    <w:p>
      <w:pPr>
        <w:pStyle w:val="Compact"/>
        <w:numPr>
          <w:ilvl w:val="0"/>
          <w:numId w:val="1029"/>
        </w:numPr>
      </w:pPr>
      <w:r>
        <w:rPr>
          <w:b/>
          <w:bCs/>
        </w:rPr>
        <w:t xml:space="preserve">Formulare o escludere radicolopatia, mielopatia, cefalea cervicogenica o instabilità.</w:t>
      </w:r>
      <w:r>
        <w:t xml:space="preserve"> </w:t>
      </w:r>
      <w:r>
        <w:t xml:space="preserve">Puoi riconoscere il pattern e mandarlo.</w:t>
      </w:r>
    </w:p>
    <w:p>
      <w:pPr>
        <w:pStyle w:val="Compact"/>
        <w:numPr>
          <w:ilvl w:val="0"/>
          <w:numId w:val="1029"/>
        </w:numPr>
      </w:pPr>
      <w:r>
        <w:rPr>
          <w:b/>
          <w:bCs/>
        </w:rPr>
        <w:t xml:space="preserve">Trattare la regione cervicale con sospetto vascolare attivo</w:t>
      </w:r>
      <w:r>
        <w:t xml:space="preserve">, anche con tecniche dolci.</w:t>
      </w:r>
    </w:p>
    <w:p>
      <w:pPr>
        <w:pStyle w:val="FirstParagraph"/>
      </w:pPr>
      <w:r>
        <w:t xml:space="preserve">Il DPR 131/2021 riserva la diagnosi al medico e impone il re-invio oltre i tempi previsti.</w:t>
      </w:r>
    </w:p>
    <w:p>
      <w:pPr>
        <w:pStyle w:val="BodyText"/>
      </w:pPr>
      <w:r>
        <w:t xml:space="preserve">Sui farmaci non commenti e non suggerisci di ridurre: decide il prescrittore.</w:t>
      </w:r>
      <w:r>
        <w:t xml:space="preserve"> </w:t>
      </w:r>
      <w:r>
        <w:rPr>
          <w:b/>
          <w:bCs/>
        </w:rPr>
        <w:t xml:space="preserve">L’unica cosa che fai è un’informazione, per iscritto al curante.</w:t>
      </w:r>
      <w:r>
        <w:t xml:space="preserve"> </w:t>
      </w:r>
      <w:r>
        <w:t xml:space="preserve">Un antinfiammatorio preso due o più volte a settimana da mesi entra nella tua comunicazione. Il curante, quasi sempre, non sa che il paziente è da te. Ed è un’urgenza, non un adempimento. Un FANS quasi quotidiano dopo i cinquant’anni raddoppia le probabilità di danno renale acuto (OR 2,01 sopra i 50 anni contro 1,73 nella popolazione generale — Zhang,</w:t>
      </w:r>
      <w:r>
        <w:t xml:space="preserve"> </w:t>
      </w:r>
      <w:r>
        <w:rPr>
          <w:i/>
          <w:iCs/>
        </w:rPr>
        <w:t xml:space="preserve">BMC Nephrol</w:t>
      </w:r>
      <w:r>
        <w:t xml:space="preserve"> </w:t>
      </w:r>
      <w:r>
        <w:t xml:space="preserve">2017, PMID 28764659). Aumenta il rischio di sanguinamento gastrico, soprattutto insieme a un anticoagulante o a un cortisonico. E un miorilassante nell’anziano significa sedazione e cadute.</w:t>
      </w:r>
    </w:p>
    <w:p>
      <w:pPr>
        <w:pStyle w:val="BodyText"/>
      </w:pPr>
      <w:r>
        <w:rPr>
          <w:b/>
          <w:bCs/>
        </w:rPr>
        <w:t xml:space="preserve">Le tre cose da ricordare, più una</w:t>
      </w:r>
    </w:p>
    <w:p>
      <w:pPr>
        <w:pStyle w:val="Compact"/>
        <w:numPr>
          <w:ilvl w:val="0"/>
          <w:numId w:val="1030"/>
        </w:numPr>
      </w:pPr>
      <w:r>
        <w:t xml:space="preserve">Il paziente pericoloso arriva con dolore al collo e mal di testa: la domanda che lo trova è se quel dolore è</w:t>
      </w:r>
      <w:r>
        <w:t xml:space="preserve"> </w:t>
      </w:r>
      <w:r>
        <w:rPr>
          <w:b/>
          <w:bCs/>
        </w:rPr>
        <w:t xml:space="preserve">diverso</w:t>
      </w:r>
      <w:r>
        <w:t xml:space="preserve"> </w:t>
      </w:r>
      <w:r>
        <w:t xml:space="preserve">da tutti i precedenti, e nessun test posizionale la sostituisce.</w:t>
      </w:r>
    </w:p>
    <w:p>
      <w:pPr>
        <w:pStyle w:val="Compact"/>
        <w:numPr>
          <w:ilvl w:val="0"/>
          <w:numId w:val="1030"/>
        </w:numPr>
      </w:pPr>
      <w:r>
        <w:t xml:space="preserve">Rosso immediato e invio non differibile non sono la stessa uscita: sul primo non si tratta niente, in nessun distretto.</w:t>
      </w:r>
    </w:p>
    <w:p>
      <w:pPr>
        <w:pStyle w:val="Compact"/>
        <w:numPr>
          <w:ilvl w:val="0"/>
          <w:numId w:val="1030"/>
        </w:numPr>
      </w:pPr>
      <w:r>
        <w:t xml:space="preserve">Il giallo è la norma sul collo, e regge solo su quattro cose scritte, una delle quali è una data.</w:t>
      </w:r>
    </w:p>
    <w:p>
      <w:pPr>
        <w:pStyle w:val="Compact"/>
        <w:numPr>
          <w:ilvl w:val="0"/>
          <w:numId w:val="1030"/>
        </w:numPr>
      </w:pPr>
      <w:r>
        <w:rPr>
          <w:b/>
          <w:bCs/>
        </w:rPr>
        <w:t xml:space="preserve">Perché ci sei tu.</w:t>
      </w:r>
      <w:r>
        <w:t xml:space="preserve"> </w:t>
      </w:r>
      <w:r>
        <w:t xml:space="preserve">Fra ventinove linee guida, le dodici che si esprimono elencano 114 bandiere rosse diverse, con accordo praticamente nullo (Feller, PMID 39639931). Questo ti autorizza a usare una lista scritta e a dichiararne la fonte. Non ti autorizza a considerarla una garanzia: una lista negativa non chiude il caso.</w:t>
      </w:r>
    </w:p>
    <w:p>
      <w:r>
        <w:pict>
          <v:rect style="width:0;height:1.5pt" o:hralign="center" o:hrstd="t" o:hr="t"/>
        </w:pict>
      </w:r>
    </w:p>
    <w:bookmarkEnd w:id="49"/>
    <w:bookmarkEnd w:id="50"/>
    <w:bookmarkStart w:id="62" w:name="capitolo-10-cosa-dice-la-scienza"/>
    <w:p>
      <w:pPr>
        <w:pStyle w:val="Heading2"/>
      </w:pPr>
      <w:r>
        <w:t xml:space="preserve">Capitolo 10 — Cosa dice la scienza</w:t>
      </w:r>
    </w:p>
    <w:p>
      <w:pPr>
        <w:pStyle w:val="BlockText"/>
      </w:pPr>
      <w:r>
        <w:rPr>
          <w:b/>
          <w:bCs/>
        </w:rPr>
        <w:t xml:space="preserve">In una riga:</w:t>
      </w:r>
      <w:r>
        <w:t xml:space="preserve"> </w:t>
      </w:r>
      <w:r>
        <w:t xml:space="preserve">le prove qui ci sono, dicono che qualcosa funziona, e non dicono che una cosa funzioni più di un’altra.</w:t>
      </w:r>
    </w:p>
    <w:p>
      <w:pPr>
        <w:pStyle w:val="FirstParagraph"/>
      </w:pPr>
      <w:r>
        <w:t xml:space="preserve">Le due ancore sono dichiarate in testa al documento.</w:t>
      </w:r>
      <w:r>
        <w:t xml:space="preserve"> </w:t>
      </w:r>
      <w:r>
        <w:rPr>
          <w:b/>
          <w:bCs/>
        </w:rPr>
        <w:t xml:space="preserve">Sul collo, la fisiologia è più solida della terapia.</w:t>
      </w:r>
    </w:p>
    <w:bookmarkStart w:id="57" w:name="gli-studi-cardine-in-un-colpo-docchio"/>
    <w:p>
      <w:pPr>
        <w:pStyle w:val="Heading3"/>
      </w:pPr>
      <w:r>
        <w:t xml:space="preserve">Gli studi cardine, in un colpo d’occhio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(PubMed)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Jull 2002 (</w:t>
            </w:r>
            <w:hyperlink r:id="rId51">
              <w:r>
                <w:rPr>
                  <w:rStyle w:val="Hyperlink"/>
                </w:rPr>
                <w:t xml:space="preserve">12221344</w:t>
              </w:r>
            </w:hyperlink>
            <w:r>
              <w:t xml:space="preserve">)</w:t>
            </w:r>
          </w:p>
        </w:tc>
        <w:tc>
          <w:tcPr/>
          <w:p>
            <w:pPr>
              <w:pStyle w:val="Compact"/>
            </w:pPr>
            <w:r>
              <w:t xml:space="preserve">200 pazienti, cefalea cervicogenica, 12 mesi</w:t>
            </w:r>
          </w:p>
        </w:tc>
        <w:tc>
          <w:tcPr/>
          <w:p>
            <w:pPr>
              <w:pStyle w:val="Compact"/>
            </w:pPr>
            <w:r>
              <w:t xml:space="preserve">Offrire manuale o esercizio, senza gerarchia</w:t>
            </w:r>
          </w:p>
        </w:tc>
      </w:tr>
      <w:tr>
        <w:tc>
          <w:tcPr/>
          <w:p>
            <w:pPr>
              <w:pStyle w:val="Compact"/>
            </w:pPr>
            <w:r>
              <w:t xml:space="preserve">Gross 2015 (</w:t>
            </w:r>
            <w:hyperlink r:id="rId52">
              <w:r>
                <w:rPr>
                  <w:rStyle w:val="Hyperlink"/>
                </w:rPr>
                <w:t xml:space="preserve">26397370</w:t>
              </w:r>
            </w:hyperlink>
            <w:r>
              <w:t xml:space="preserve">)</w:t>
            </w:r>
          </w:p>
        </w:tc>
        <w:tc>
          <w:tcPr/>
          <w:p>
            <w:pPr>
              <w:pStyle w:val="Compact"/>
            </w:pPr>
            <w:r>
              <w:t xml:space="preserve">51 studi: manipolazione contro mobilizzazione</w:t>
            </w:r>
          </w:p>
        </w:tc>
        <w:tc>
          <w:tcPr/>
          <w:p>
            <w:pPr>
              <w:pStyle w:val="Compact"/>
            </w:pPr>
            <w:r>
              <w:t xml:space="preserve">Scegliere la tecnica sulla tolleranza</w:t>
            </w:r>
          </w:p>
        </w:tc>
      </w:tr>
      <w:tr>
        <w:tc>
          <w:tcPr/>
          <w:p>
            <w:pPr>
              <w:pStyle w:val="Compact"/>
            </w:pPr>
            <w:r>
              <w:t xml:space="preserve">Minnucci 2023 (</w:t>
            </w:r>
            <w:hyperlink r:id="rId53">
              <w:r>
                <w:rPr>
                  <w:rStyle w:val="Hyperlink"/>
                </w:rPr>
                <w:t xml:space="preserve">37561605</w:t>
              </w:r>
            </w:hyperlink>
            <w:r>
              <w:t xml:space="preserve">)</w:t>
            </w:r>
          </w:p>
        </w:tc>
        <w:tc>
          <w:tcPr/>
          <w:p>
            <w:pPr>
              <w:pStyle w:val="Compact"/>
            </w:pPr>
            <w:r>
              <w:t xml:space="preserve">Certezza dell’evidenza sulla manipolazione cervicale</w:t>
            </w:r>
          </w:p>
        </w:tc>
        <w:tc>
          <w:tcPr/>
          <w:p>
            <w:pPr>
              <w:pStyle w:val="Compact"/>
            </w:pPr>
            <w:r>
              <w:t xml:space="preserve">Abbassare il tono di ogni promessa</w:t>
            </w:r>
          </w:p>
        </w:tc>
      </w:tr>
      <w:tr>
        <w:tc>
          <w:tcPr/>
          <w:p>
            <w:pPr>
              <w:pStyle w:val="Compact"/>
            </w:pPr>
            <w:r>
              <w:t xml:space="preserve">Benetton 2025 (</w:t>
            </w:r>
            <w:hyperlink r:id="rId54">
              <w:r>
                <w:rPr>
                  <w:rStyle w:val="Hyperlink"/>
                </w:rPr>
                <w:t xml:space="preserve">40019107</w:t>
              </w:r>
            </w:hyperlink>
            <w:r>
              <w:t xml:space="preserve">)</w:t>
            </w:r>
          </w:p>
        </w:tc>
        <w:tc>
          <w:tcPr/>
          <w:p>
            <w:pPr>
              <w:pStyle w:val="Compact"/>
            </w:pPr>
            <w:r>
              <w:t xml:space="preserve">16 studi controllati di mobilizzazione articolare</w:t>
            </w:r>
          </w:p>
        </w:tc>
        <w:tc>
          <w:tcPr/>
          <w:p>
            <w:pPr>
              <w:pStyle w:val="Compact"/>
            </w:pPr>
            <w:r>
              <w:t xml:space="preserve">Non promettere effetti legati alla dose</w:t>
            </w:r>
          </w:p>
        </w:tc>
      </w:tr>
      <w:tr>
        <w:tc>
          <w:tcPr/>
          <w:p>
            <w:pPr>
              <w:pStyle w:val="Compact"/>
            </w:pPr>
            <w:r>
              <w:t xml:space="preserve">Gross 2015 (</w:t>
            </w:r>
            <w:hyperlink r:id="rId55">
              <w:r>
                <w:rPr>
                  <w:rStyle w:val="Hyperlink"/>
                </w:rPr>
                <w:t xml:space="preserve">25629215</w:t>
              </w:r>
            </w:hyperlink>
            <w:r>
              <w:t xml:space="preserve">)</w:t>
            </w:r>
          </w:p>
        </w:tc>
        <w:tc>
          <w:tcPr/>
          <w:p>
            <w:pPr>
              <w:pStyle w:val="Compact"/>
            </w:pPr>
            <w:r>
              <w:t xml:space="preserve">27 studi di esercizio, dolore cronico</w:t>
            </w:r>
          </w:p>
        </w:tc>
        <w:tc>
          <w:tcPr/>
          <w:p>
            <w:pPr>
              <w:pStyle w:val="Compact"/>
            </w:pPr>
            <w:r>
              <w:t xml:space="preserve">Mettere il carico al centro del cronico</w:t>
            </w:r>
          </w:p>
        </w:tc>
      </w:tr>
      <w:tr>
        <w:tc>
          <w:tcPr/>
          <w:p>
            <w:pPr>
              <w:pStyle w:val="Compact"/>
            </w:pPr>
            <w:r>
              <w:t xml:space="preserve">Ceballos-Laita 2024 (</w:t>
            </w:r>
            <w:hyperlink r:id="rId56">
              <w:r>
                <w:rPr>
                  <w:rStyle w:val="Hyperlink"/>
                </w:rPr>
                <w:t xml:space="preserve">39589961</w:t>
              </w:r>
            </w:hyperlink>
            <w:r>
              <w:t xml:space="preserve">)</w:t>
            </w:r>
          </w:p>
        </w:tc>
        <w:tc>
          <w:tcPr/>
          <w:p>
            <w:pPr>
              <w:pStyle w:val="Compact"/>
            </w:pPr>
            <w:r>
              <w:t xml:space="preserve">OMT contro finto trattamento</w:t>
            </w:r>
          </w:p>
        </w:tc>
        <w:tc>
          <w:tcPr/>
          <w:p>
            <w:pPr>
              <w:pStyle w:val="Compact"/>
            </w:pPr>
            <w:r>
              <w:t xml:space="preserve">Non dire che l’OMT batte il placebo</w:t>
            </w:r>
          </w:p>
        </w:tc>
      </w:tr>
    </w:tbl>
    <w:bookmarkEnd w:id="57"/>
    <w:bookmarkStart w:id="58" w:name="i-tre-cerchi"/>
    <w:p>
      <w:pPr>
        <w:pStyle w:val="Heading3"/>
      </w:pPr>
      <w:r>
        <w:t xml:space="preserve">I tre cerchi</w:t>
      </w:r>
    </w:p>
    <w:p>
      <w:pPr>
        <w:pStyle w:val="FirstParagraph"/>
      </w:pPr>
      <w:r>
        <w:rPr>
          <w:b/>
          <w:bCs/>
        </w:rPr>
        <w:t xml:space="preserve">Cerchio 1 — l’evidenza specifica.</w:t>
      </w:r>
      <w:r>
        <w:t xml:space="preserve"> </w:t>
      </w:r>
      <w:r>
        <w:t xml:space="preserve">Qui il primo cerchio non è povero: è il più abbondante che avrai, e dice cose modeste.</w:t>
      </w:r>
    </w:p>
    <w:p>
      <w:pPr>
        <w:pStyle w:val="BodyText"/>
      </w:pPr>
      <w:r>
        <w:t xml:space="preserve">Nello studio dell’ancora clinica, a dodici mesi sia la terapia manipolativa sia l’esercizio a basso carico avevano ridotto frequenza e intensità della cefalea e il dolore cervicale. La combinazione delle due non era superiore a nessuna delle due (Jull,</w:t>
      </w:r>
      <w:r>
        <w:t xml:space="preserve"> </w:t>
      </w:r>
      <w:r>
        <w:rPr>
          <w:i/>
          <w:iCs/>
        </w:rPr>
        <w:t xml:space="preserve">Spine</w:t>
      </w:r>
      <w:r>
        <w:t xml:space="preserve"> </w:t>
      </w:r>
      <w:r>
        <w:t xml:space="preserve">2002, PMID 12221344).</w:t>
      </w:r>
      <w:r>
        <w:t xml:space="preserve"> </w:t>
      </w:r>
      <w:r>
        <w:rPr>
          <w:b/>
          <w:bCs/>
        </w:rPr>
        <w:t xml:space="preserve">Il disegno va dichiarato:</w:t>
      </w:r>
      <w:r>
        <w:t xml:space="preserve"> </w:t>
      </w:r>
      <w:r>
        <w:t xml:space="preserve">trattamento non in cieco, controllo senza trattamento simulato. L’effetto misurato include quindi la parte aspecifica.</w:t>
      </w:r>
    </w:p>
    <w:p>
      <w:pPr>
        <w:pStyle w:val="BodyText"/>
      </w:pPr>
      <w:r>
        <w:rPr>
          <w:b/>
          <w:bCs/>
        </w:rPr>
        <w:t xml:space="preserve">Per te:</w:t>
      </w:r>
      <w:r>
        <w:t xml:space="preserve"> </w:t>
      </w:r>
      <w:r>
        <w:t xml:space="preserve">hai due leve con prove a dodici mesi e nessuna gerarchia fra loro. Cambia la conversazione con chi ha paura dello scrocchio —</w:t>
      </w:r>
      <w:r>
        <w:t xml:space="preserve"> </w:t>
      </w:r>
      <w:r>
        <w:rPr>
          <w:b/>
          <w:bCs/>
        </w:rPr>
        <w:t xml:space="preserve">non gli stai proponendo un ripiego</w:t>
      </w:r>
      <w:r>
        <w:t xml:space="preserve"> </w:t>
      </w:r>
      <w:r>
        <w:t xml:space="preserve">— e cambia il piano: se una delle due non è praticabile, non hai perso il trattamento migliore.</w:t>
      </w:r>
    </w:p>
    <w:p>
      <w:pPr>
        <w:pStyle w:val="BodyText"/>
      </w:pPr>
      <w:r>
        <w:t xml:space="preserve">Su 51 studi e 2.920 partecipanti manipolazione e mobilizzazione danno risultati simili su ogni esito, e la manipolazione toracica supera un controllo inattivo a breve termine, con bias di pubblicazione dichiarato (Gross, PMID 26397370). Le due sintesi più recenti gradano la certezza da</w:t>
      </w:r>
      <w:r>
        <w:t xml:space="preserve"> </w:t>
      </w:r>
      <w:r>
        <w:rPr>
          <w:b/>
          <w:bCs/>
        </w:rPr>
        <w:t xml:space="preserve">molto bassa a bassa</w:t>
      </w:r>
      <w:r>
        <w:t xml:space="preserve"> </w:t>
      </w:r>
      <w:r>
        <w:t xml:space="preserve">su entrambe. Sulla manipolazione sono 28 studi (Minnucci, PMID 37561605). Sulla mobilizzazione sono sedici studi e 1.157 partecipanti, con differenza media −0,86 sul dolore e −2,11 sulla disabilità, e</w:t>
      </w:r>
      <w:r>
        <w:t xml:space="preserve"> </w:t>
      </w:r>
      <w:r>
        <w:rPr>
          <w:b/>
          <w:bCs/>
        </w:rPr>
        <w:t xml:space="preserve">nessuna covariata associata all’effetto, dose e numero di sedute comprese</w:t>
      </w:r>
      <w:r>
        <w:t xml:space="preserve"> </w:t>
      </w:r>
      <w:r>
        <w:t xml:space="preserve">(Benetton, PMID 40019107). Manuale più esercizio dà più sollievo a breve termine dell’esercizio da solo, ma a lungo termine le differenze scompaiono (Miller, PMID 20627797).</w:t>
      </w:r>
    </w:p>
    <w:p>
      <w:pPr>
        <w:pStyle w:val="BodyText"/>
      </w:pPr>
      <w:r>
        <w:rPr>
          <w:b/>
          <w:bCs/>
        </w:rPr>
        <w:t xml:space="preserve">Per te:</w:t>
      </w:r>
      <w:r>
        <w:t xml:space="preserve"> </w:t>
      </w:r>
      <w:r>
        <w:t xml:space="preserve">aggiungere le mani all’esercizio fa guadagnare tempo, non esito.</w:t>
      </w:r>
    </w:p>
    <w:p>
      <w:pPr>
        <w:pStyle w:val="BodyText"/>
      </w:pPr>
      <w:r>
        <w:rPr>
          <w:b/>
          <w:bCs/>
        </w:rPr>
        <w:t xml:space="preserve">Il respiro appartiene a questo cerchio, non al silenzio.</w:t>
      </w:r>
      <w:r>
        <w:t xml:space="preserve"> </w:t>
      </w:r>
      <w:r>
        <w:t xml:space="preserve">Sugli stessi cinque studi controllati due meta-analisi del 2025 concludono in modo opposto, e un solo studio in doppio cieco è positivo (Cefalì, PMID 39941380; Park, PMID 41007191; Anwar, PMID 36006997). I numeri stanno in «Cosa può fare il paziente da solo».</w:t>
      </w:r>
      <w:r>
        <w:t xml:space="preserve"> </w:t>
      </w:r>
      <w:r>
        <w:rPr>
          <w:b/>
          <w:bCs/>
        </w:rPr>
        <w:t xml:space="preserve">Non è un vuoto: è una letteratura piccola e discordante, e va detta così.</w:t>
      </w:r>
    </w:p>
    <w:p>
      <w:pPr>
        <w:pStyle w:val="BodyText"/>
      </w:pPr>
      <w:r>
        <w:rPr>
          <w:b/>
          <w:bCs/>
        </w:rPr>
        <w:t xml:space="preserve">Cerchio 2 — il meccanismo, misurato altrove.</w:t>
      </w:r>
      <w:r>
        <w:t xml:space="preserve"> </w:t>
      </w:r>
      <w:r>
        <w:t xml:space="preserve">Ogni fonte porta la frase che dichiara il salto.</w:t>
      </w:r>
    </w:p>
    <w:p>
      <w:pPr>
        <w:pStyle w:val="Compact"/>
        <w:numPr>
          <w:ilvl w:val="0"/>
          <w:numId w:val="1031"/>
        </w:numPr>
      </w:pPr>
      <w:r>
        <w:rPr>
          <w:b/>
          <w:bCs/>
        </w:rPr>
        <w:t xml:space="preserve">Tocco e sistema autonomico.</w:t>
      </w:r>
      <w:r>
        <w:t xml:space="preserve"> </w:t>
      </w:r>
      <w:r>
        <w:t xml:space="preserve">Venti studi controllati: depressione ridotta (g = -0,47, più marcata in chi ha dolore),</w:t>
      </w:r>
      <w:r>
        <w:t xml:space="preserve"> </w:t>
      </w:r>
      <w:r>
        <w:rPr>
          <w:b/>
          <w:bCs/>
        </w:rPr>
        <w:t xml:space="preserve">nessun effetto su ansia e stress</w:t>
      </w:r>
      <w:r>
        <w:t xml:space="preserve">, conduttanza cutanea in aumento (g = 0,67, con intervallo di confidenza che tocca lo zero) (Gordon, PMID 39920074).</w:t>
      </w:r>
      <w:r>
        <w:t xml:space="preserve"> </w:t>
      </w:r>
      <w:r>
        <w:rPr>
          <w:i/>
          <w:iCs/>
        </w:rPr>
        <w:t xml:space="preserve">Popolazioni miste di adulti, non pazienti cervicali.</w:t>
      </w:r>
    </w:p>
    <w:p>
      <w:pPr>
        <w:pStyle w:val="Compact"/>
        <w:numPr>
          <w:ilvl w:val="0"/>
          <w:numId w:val="1031"/>
        </w:numPr>
      </w:pPr>
      <w:r>
        <w:rPr>
          <w:b/>
          <w:bCs/>
        </w:rPr>
        <w:t xml:space="preserve">Tocco lento e fibre C-tattili.</w:t>
      </w:r>
      <w:r>
        <w:t xml:space="preserve"> </w:t>
      </w:r>
      <w:r>
        <w:t xml:space="preserve">Una classe di afferenti amielinici risponde di più fra 1 e 10 cm al secondo, e quelle velocità sono percepite come le più piacevoli (Löken, PMID 19363489; McGlone, PMID 24853935).</w:t>
      </w:r>
      <w:r>
        <w:t xml:space="preserve"> </w:t>
      </w:r>
      <w:r>
        <w:rPr>
          <w:i/>
          <w:iCs/>
        </w:rPr>
        <w:t xml:space="preserve">Volontari sani, con un pennello.</w:t>
      </w:r>
      <w:r>
        <w:t xml:space="preserve"> </w:t>
      </w:r>
      <w:r>
        <w:rPr>
          <w:b/>
          <w:bCs/>
        </w:rPr>
        <w:t xml:space="preserve">Per te:</w:t>
      </w:r>
      <w:r>
        <w:t xml:space="preserve"> </w:t>
      </w:r>
      <w:r>
        <w:t xml:space="preserve">è l’unico numero del documento che dice qualcosa su come muovere una mano, e predice uno spostamento della</w:t>
      </w:r>
      <w:r>
        <w:t xml:space="preserve"> </w:t>
      </w:r>
      <w:r>
        <w:rPr>
          <w:b/>
          <w:bCs/>
        </w:rPr>
        <w:t xml:space="preserve">sgradevolezza</w:t>
      </w:r>
      <w:r>
        <w:t xml:space="preserve"> </w:t>
      </w:r>
      <w:r>
        <w:t xml:space="preserve">prima che dell’intensità.</w:t>
      </w:r>
    </w:p>
    <w:p>
      <w:pPr>
        <w:pStyle w:val="Compact"/>
        <w:numPr>
          <w:ilvl w:val="0"/>
          <w:numId w:val="1031"/>
        </w:numPr>
      </w:pPr>
      <w:r>
        <w:rPr>
          <w:b/>
          <w:bCs/>
        </w:rPr>
        <w:t xml:space="preserve">Terapia manuale e dolore.</w:t>
      </w:r>
      <w:r>
        <w:t xml:space="preserve"> </w:t>
      </w:r>
      <w:r>
        <w:t xml:space="preserve">Il modello più citato attribuisce l’effetto a una cascata neurofisiologica periferica, spinale e sovraspinale, non al cambiamento del tessuto (Bialosky, PMID 19027342 e 29034802).</w:t>
      </w:r>
      <w:r>
        <w:t xml:space="preserve"> </w:t>
      </w:r>
      <w:r>
        <w:rPr>
          <w:i/>
          <w:iCs/>
        </w:rPr>
        <w:t xml:space="preserve">Popolazioni muscolo-scheletriche miste.</w:t>
      </w:r>
    </w:p>
    <w:p>
      <w:pPr>
        <w:pStyle w:val="Compact"/>
        <w:numPr>
          <w:ilvl w:val="0"/>
          <w:numId w:val="1031"/>
        </w:numPr>
      </w:pPr>
      <w:r>
        <w:rPr>
          <w:b/>
          <w:bCs/>
        </w:rPr>
        <w:t xml:space="preserve">Respiro e tono vagale.</w:t>
      </w:r>
      <w:r>
        <w:t xml:space="preserve"> </w:t>
      </w:r>
      <w:r>
        <w:t xml:space="preserve">Il respiro lento aumenta gli indici di variabilità cardiaca legati al vago: durante la sessione, subito dopo e dopo un ciclo (Laborde, PMID 35623448, 223 studi).</w:t>
      </w:r>
      <w:r>
        <w:t xml:space="preserve"> </w:t>
      </w:r>
      <w:r>
        <w:rPr>
          <w:i/>
          <w:iCs/>
        </w:rPr>
        <w:t xml:space="preserve">Volontari sani e popolazioni miste, con esito la variabilità cardiaca e non il dolore.</w:t>
      </w:r>
    </w:p>
    <w:p>
      <w:pPr>
        <w:pStyle w:val="Compact"/>
        <w:numPr>
          <w:ilvl w:val="0"/>
          <w:numId w:val="1031"/>
        </w:numPr>
      </w:pPr>
      <w:r>
        <w:rPr>
          <w:b/>
          <w:bCs/>
        </w:rPr>
        <w:t xml:space="preserve">Contesto e alleanza.</w:t>
      </w:r>
      <w:r>
        <w:t xml:space="preserve"> </w:t>
      </w:r>
      <w:r>
        <w:t xml:space="preserve">I fattori contestuali — parole, aspettativa, relazione, ambiente — sono determinanti di effetto placebo e nocebo nel dolore muscolo-scheletrico (Rossettini, PMID 29357856).</w:t>
      </w:r>
      <w:r>
        <w:t xml:space="preserve"> </w:t>
      </w:r>
      <w:r>
        <w:rPr>
          <w:i/>
          <w:iCs/>
        </w:rPr>
        <w:t xml:space="preserve">Sintesi su popolazioni muscolo-scheletriche miste, non su pazienti cervicali.</w:t>
      </w:r>
      <w:r>
        <w:t xml:space="preserve"> </w:t>
      </w:r>
      <w:r>
        <w:t xml:space="preserve">Ma il contesto non è una leva a costo zero. La revisione dedicata all’</w:t>
      </w:r>
      <w:r>
        <w:rPr>
          <w:b/>
          <w:bCs/>
        </w:rPr>
        <w:t xml:space="preserve">alleanza terapeutica</w:t>
      </w:r>
      <w:r>
        <w:t xml:space="preserve"> </w:t>
      </w:r>
      <w:r>
        <w:t xml:space="preserve">conclude che gli studi disponibili</w:t>
      </w:r>
      <w:r>
        <w:t xml:space="preserve"> </w:t>
      </w:r>
      <w:r>
        <w:rPr>
          <w:b/>
          <w:bCs/>
        </w:rPr>
        <w:t xml:space="preserve">non forniscono prova di una relazione forte</w:t>
      </w:r>
      <w:r>
        <w:t xml:space="preserve"> </w:t>
      </w:r>
      <w:r>
        <w:t xml:space="preserve">con il sollievo dal dolore. I due studi che l’hanno incentivata attivamente hanno però mostrato un miglioramento significativo (Manzoni, PMID 29400593).</w:t>
      </w:r>
      <w:r>
        <w:t xml:space="preserve"> </w:t>
      </w:r>
      <w:r>
        <w:rPr>
          <w:i/>
          <w:iCs/>
        </w:rPr>
        <w:t xml:space="preserve">Misurato su pazienti con lombalgia cronica, non su pazienti cervicali.</w:t>
      </w:r>
    </w:p>
    <w:p>
      <w:pPr>
        <w:pStyle w:val="BlockText"/>
      </w:pPr>
      <w:r>
        <w:rPr>
          <w:b/>
          <w:bCs/>
        </w:rPr>
        <w:t xml:space="preserve">Attenzione.</w:t>
      </w:r>
      <w:r>
        <w:t xml:space="preserve"> </w:t>
      </w:r>
      <w:r>
        <w:t xml:space="preserve">Vale la regola del ponte: nulla di quanto sopra alza l’etichetta di una leva sul dolore cervicale. Alza l’etichetta dei</w:t>
      </w:r>
      <w:r>
        <w:t xml:space="preserve"> </w:t>
      </w:r>
      <w:r>
        <w:rPr>
          <w:b/>
          <w:bCs/>
        </w:rPr>
        <w:t xml:space="preserve">meccanismi</w:t>
      </w:r>
      <w:r>
        <w:t xml:space="preserve"> </w:t>
      </w:r>
      <w:r>
        <w:t xml:space="preserve">che quelle leve usano.</w:t>
      </w:r>
    </w:p>
    <w:p>
      <w:pPr>
        <w:pStyle w:val="FirstParagraph"/>
      </w:pPr>
      <w:r>
        <w:rPr>
          <w:b/>
          <w:bCs/>
        </w:rPr>
        <w:t xml:space="preserve">Cerchio 3 — la fisiologia.</w:t>
      </w:r>
    </w:p>
    <w:p>
      <w:pPr>
        <w:pStyle w:val="Compact"/>
        <w:numPr>
          <w:ilvl w:val="0"/>
          <w:numId w:val="1032"/>
        </w:numPr>
      </w:pPr>
      <w:r>
        <w:t xml:space="preserve">Densità di fusi nei muscoli profondi (Boyd-Clark, PMID 11923661; Kulkarni, PMID 11799407).</w:t>
      </w:r>
    </w:p>
    <w:p>
      <w:pPr>
        <w:pStyle w:val="Compact"/>
        <w:numPr>
          <w:ilvl w:val="0"/>
          <w:numId w:val="1032"/>
        </w:numPr>
      </w:pPr>
      <w:r>
        <w:t xml:space="preserve">Ponte connettivo fra piccolo retto posteriore e dura madre (Hack, PMID 8610241).</w:t>
      </w:r>
      <w:r>
        <w:t xml:space="preserve"> </w:t>
      </w:r>
      <w:r>
        <w:rPr>
          <w:i/>
          <w:iCs/>
        </w:rPr>
        <w:t xml:space="preserve">Reperto anatomico su undici preparati,</w:t>
      </w:r>
      <w:r>
        <w:rPr>
          <w:i/>
          <w:iCs/>
        </w:rPr>
        <w:t xml:space="preserve"> </w:t>
      </w:r>
      <w:r>
        <w:rPr>
          <w:b/>
          <w:bCs/>
          <w:i/>
          <w:iCs/>
        </w:rPr>
        <w:t xml:space="preserve">senza alcun claim su dura, cranio, ritmo o</w:t>
      </w:r>
      <w:r>
        <w:rPr>
          <w:b/>
          <w:bCs/>
          <w:i/>
          <w:iCs/>
        </w:rPr>
        <w:t xml:space="preserve"> </w:t>
      </w:r>
      <w:r>
        <w:rPr>
          <w:b/>
          <w:bCs/>
          <w:i/>
          <w:iCs/>
        </w:rPr>
        <w:t xml:space="preserve">“tensione durale”</w:t>
      </w:r>
      <w:r>
        <w:rPr>
          <w:i/>
          <w:iCs/>
        </w:rPr>
        <w:t xml:space="preserve">.</w:t>
      </w:r>
    </w:p>
    <w:p>
      <w:pPr>
        <w:pStyle w:val="Compact"/>
        <w:numPr>
          <w:ilvl w:val="0"/>
          <w:numId w:val="1032"/>
        </w:numPr>
      </w:pPr>
      <w:r>
        <w:t xml:space="preserve">Convergenza cervico-trigeminale nell’animale, nei due sensi (PMID 12077000 e 12821523).</w:t>
      </w:r>
    </w:p>
    <w:p>
      <w:pPr>
        <w:pStyle w:val="Compact"/>
        <w:numPr>
          <w:ilvl w:val="0"/>
          <w:numId w:val="1032"/>
        </w:numPr>
      </w:pPr>
      <w:r>
        <w:t xml:space="preserve">Dolore articolare con blocchi controllati (Barnsley, PMID 7709275).</w:t>
      </w:r>
      <w:r>
        <w:t xml:space="preserve"> </w:t>
      </w:r>
      <w:r>
        <w:rPr>
          <w:i/>
          <w:iCs/>
        </w:rPr>
        <w:t xml:space="preserve">Misurato su 50 pazienti con dolore cervicale cronico dopo colpo di frusta, non sul paziente-tipo di questa Bibbia.</w:t>
      </w:r>
    </w:p>
    <w:p>
      <w:pPr>
        <w:pStyle w:val="Compact"/>
        <w:numPr>
          <w:ilvl w:val="0"/>
          <w:numId w:val="1032"/>
        </w:numPr>
      </w:pPr>
      <w:r>
        <w:t xml:space="preserve">Territori per livello in</w:t>
      </w:r>
      <w:r>
        <w:t xml:space="preserve"> </w:t>
      </w:r>
      <w:r>
        <w:rPr>
          <w:b/>
          <w:bCs/>
        </w:rPr>
        <w:t xml:space="preserve">volontari sani</w:t>
      </w:r>
      <w:r>
        <w:t xml:space="preserve"> </w:t>
      </w:r>
      <w:r>
        <w:t xml:space="preserve">(Dwyer, PMID 2402682).</w:t>
      </w:r>
    </w:p>
    <w:p>
      <w:pPr>
        <w:pStyle w:val="Compact"/>
        <w:numPr>
          <w:ilvl w:val="0"/>
          <w:numId w:val="1032"/>
        </w:numPr>
      </w:pPr>
      <w:r>
        <w:t xml:space="preserve">Attivazione anticipatoria dei profondi (Falla, PMID 14762639).</w:t>
      </w:r>
    </w:p>
    <w:p>
      <w:pPr>
        <w:pStyle w:val="FirstParagraph"/>
      </w:pPr>
      <w:r>
        <w:t xml:space="preserve">Questo cerchio regge il razionale, non l’efficacia.</w:t>
      </w:r>
    </w:p>
    <w:bookmarkEnd w:id="58"/>
    <w:bookmarkStart w:id="59"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3"/>
        </w:numPr>
      </w:pPr>
      <w:r>
        <w:t xml:space="preserve">che manuale ed esercizio riducono i sintomi della cefalea cervicogenica a dodici mesi, senza gerarchia fra loro né fra manipolazione e mobilizzazione;</w:t>
      </w:r>
    </w:p>
    <w:p>
      <w:pPr>
        <w:pStyle w:val="Compact"/>
        <w:numPr>
          <w:ilvl w:val="0"/>
          <w:numId w:val="1033"/>
        </w:numPr>
      </w:pPr>
      <w:r>
        <w:t xml:space="preserve">che l’allenamento dei flessori profondi migliora la coordinazione;</w:t>
      </w:r>
    </w:p>
    <w:p>
      <w:pPr>
        <w:pStyle w:val="Compact"/>
        <w:numPr>
          <w:ilvl w:val="0"/>
          <w:numId w:val="1033"/>
        </w:numPr>
      </w:pPr>
      <w:r>
        <w:t xml:space="preserve">che le articolazioni cervicali generano dolore con territori riconoscibili;</w:t>
      </w:r>
    </w:p>
    <w:p>
      <w:pPr>
        <w:pStyle w:val="Compact"/>
        <w:numPr>
          <w:ilvl w:val="0"/>
          <w:numId w:val="1033"/>
        </w:numPr>
      </w:pPr>
      <w:r>
        <w:t xml:space="preserve">che le mani aggiunte all’esercizio danno più sollievo a breve termine;</w:t>
      </w:r>
    </w:p>
    <w:p>
      <w:pPr>
        <w:pStyle w:val="Compact"/>
        <w:numPr>
          <w:ilvl w:val="0"/>
          <w:numId w:val="1033"/>
        </w:numPr>
      </w:pPr>
      <w:r>
        <w:t xml:space="preserve">che nel dolore cronico esistono alterazioni misurate di controllo motorio, respiro, propriocezione e soglia dolorosa.</w:t>
      </w:r>
    </w:p>
    <w:p>
      <w:pPr>
        <w:pStyle w:val="FirstParagraph"/>
      </w:pPr>
      <w:r>
        <w:rPr>
          <w:b/>
          <w:bCs/>
        </w:rPr>
        <w:t xml:space="preserve">Non possiamo dire:</w:t>
      </w:r>
    </w:p>
    <w:p>
      <w:pPr>
        <w:pStyle w:val="Compact"/>
        <w:numPr>
          <w:ilvl w:val="0"/>
          <w:numId w:val="1034"/>
        </w:numPr>
      </w:pPr>
      <w:r>
        <w:t xml:space="preserve">che una tecnica sia superiore a un’altra;</w:t>
      </w:r>
    </w:p>
    <w:p>
      <w:pPr>
        <w:pStyle w:val="Compact"/>
        <w:numPr>
          <w:ilvl w:val="0"/>
          <w:numId w:val="1034"/>
        </w:numPr>
      </w:pPr>
      <w:r>
        <w:t xml:space="preserve">che l’assenza di differenza fra manipolazione e mobilizzazione sia un’</w:t>
      </w:r>
      <w:r>
        <w:rPr>
          <w:b/>
          <w:bCs/>
        </w:rPr>
        <w:t xml:space="preserve">equivalenza dimostrata</w:t>
      </w:r>
      <w:r>
        <w:t xml:space="preserve">, perché la certezza su ciascuna va da molto bassa a bassa;</w:t>
      </w:r>
    </w:p>
    <w:p>
      <w:pPr>
        <w:pStyle w:val="Compact"/>
        <w:numPr>
          <w:ilvl w:val="0"/>
          <w:numId w:val="1034"/>
        </w:numPr>
      </w:pPr>
      <w:r>
        <w:t xml:space="preserve">che il trattamento manuale corregga postura, curva cervicale o protrusione;</w:t>
      </w:r>
    </w:p>
    <w:p>
      <w:pPr>
        <w:pStyle w:val="Compact"/>
        <w:numPr>
          <w:ilvl w:val="0"/>
          <w:numId w:val="1034"/>
        </w:numPr>
      </w:pPr>
      <w:r>
        <w:t xml:space="preserve">che il tocco rilassi il sistema nervoso, perché le poche misure vanno nella direzione opposta;</w:t>
      </w:r>
    </w:p>
    <w:p>
      <w:pPr>
        <w:pStyle w:val="Compact"/>
        <w:numPr>
          <w:ilvl w:val="0"/>
          <w:numId w:val="1034"/>
        </w:numPr>
      </w:pPr>
      <w:r>
        <w:t xml:space="preserve">che il trattamento osteopatico batta un finto trattamento, perché è stato confrontato e non lo ha battuto;</w:t>
      </w:r>
    </w:p>
    <w:p>
      <w:pPr>
        <w:pStyle w:val="Compact"/>
        <w:numPr>
          <w:ilvl w:val="0"/>
          <w:numId w:val="1034"/>
        </w:numPr>
      </w:pPr>
      <w:r>
        <w:t xml:space="preserve">che l’alleanza terapeutica sia di per sé un determinante del sollievo;</w:t>
      </w:r>
    </w:p>
    <w:p>
      <w:pPr>
        <w:pStyle w:val="Compact"/>
        <w:numPr>
          <w:ilvl w:val="0"/>
          <w:numId w:val="1034"/>
        </w:numPr>
      </w:pPr>
      <w:r>
        <w:t xml:space="preserve">che nel dolore cervicale non specifico esista una facilitazione generalizzata della sommazione temporale;</w:t>
      </w:r>
    </w:p>
    <w:p>
      <w:pPr>
        <w:pStyle w:val="Compact"/>
        <w:numPr>
          <w:ilvl w:val="0"/>
          <w:numId w:val="1034"/>
        </w:numPr>
      </w:pPr>
      <w:r>
        <w:t xml:space="preserve">che l’osteopatia sia stata confrontata con successo con i farmaci;</w:t>
      </w:r>
    </w:p>
    <w:p>
      <w:pPr>
        <w:pStyle w:val="Compact"/>
        <w:numPr>
          <w:ilvl w:val="0"/>
          <w:numId w:val="1034"/>
        </w:numPr>
      </w:pPr>
      <w:r>
        <w:t xml:space="preserve">che il nostro lavoro cambi la storia naturale nel lungo periodo, perché nessuno lo ha misurato;</w:t>
      </w:r>
    </w:p>
    <w:p>
      <w:pPr>
        <w:pStyle w:val="Compact"/>
        <w:numPr>
          <w:ilvl w:val="0"/>
          <w:numId w:val="1034"/>
        </w:numPr>
      </w:pPr>
      <w:r>
        <w:t xml:space="preserve">che un intervento respiratorio riduca il dolore cervicale, perché le due sintesi disponibili si contraddicono.</w:t>
      </w:r>
    </w:p>
    <w:p>
      <w:pPr>
        <w:pStyle w:val="BlockText"/>
      </w:pPr>
      <w:r>
        <w:rPr>
          <w:b/>
          <w:bCs/>
        </w:rPr>
        <w:t xml:space="preserve">Attenzione.</w:t>
      </w:r>
      <w:r>
        <w:t xml:space="preserve"> </w:t>
      </w:r>
      <w:r>
        <w:t xml:space="preserve">Vale anche il verso opposto. Che il tocco non rilassi è la posizione corretta, ma non si può dire che sia</w:t>
      </w:r>
      <w:r>
        <w:t xml:space="preserve"> </w:t>
      </w:r>
      <w:r>
        <w:rPr>
          <w:b/>
          <w:bCs/>
        </w:rPr>
        <w:t xml:space="preserve">dimostrato che attiva</w:t>
      </w:r>
      <w:r>
        <w:t xml:space="preserve">: sotto ci sono un solo studio da 30 soggetti e una meta-analisi il cui intervallo di confidenza tocca lo zero. La formula esatta è questa:</w:t>
      </w:r>
      <w:r>
        <w:t xml:space="preserve"> </w:t>
      </w:r>
      <w:r>
        <w:rPr>
          <w:i/>
          <w:iCs/>
        </w:rPr>
        <w:t xml:space="preserve">non hai motivo di dire che il tocco rilassa; non hai ancora il dato per dire che attiva; di’ che modula il dolore, che è la cosa misurata.</w:t>
      </w:r>
    </w:p>
    <w:bookmarkEnd w:id="59"/>
    <w:bookmarkStart w:id="60" w:name="dove-la-letteratura-è-sottile"/>
    <w:p>
      <w:pPr>
        <w:pStyle w:val="Heading3"/>
      </w:pPr>
      <w:r>
        <w:t xml:space="preserve">Dove la letteratura è sottile</w:t>
      </w:r>
    </w:p>
    <w:p>
      <w:pPr>
        <w:pStyle w:val="FirstParagraph"/>
      </w:pPr>
      <w:r>
        <w:rPr>
          <w:b/>
          <w:bCs/>
        </w:rPr>
        <w:t xml:space="preserve">Sull’intervento osteopatico il confronto con un finto trattamento è stato fatto, e non ha mostrato superiorità.</w:t>
      </w:r>
      <w:r>
        <w:t xml:space="preserve"> </w:t>
      </w:r>
      <w:r>
        <w:t xml:space="preserve">Su dolore cervicale e lombare insieme non c’è differenza su dolore (sette studi, 1.173 pazienti, SMD −0,15; IC −0,38 a 0,08), disabilità e qualità di vita. Nel sottogruppo del</w:t>
      </w:r>
      <w:r>
        <w:t xml:space="preserve"> </w:t>
      </w:r>
      <w:r>
        <w:rPr>
          <w:b/>
          <w:bCs/>
        </w:rPr>
        <w:t xml:space="preserve">solo collo</w:t>
      </w:r>
      <w:r>
        <w:t xml:space="preserve"> </w:t>
      </w:r>
      <w:r>
        <w:t xml:space="preserve">sono due studi e 55 pazienti, SMD −0,42 (IC −1,24 a 0,41),</w:t>
      </w:r>
      <w:r>
        <w:t xml:space="preserve"> </w:t>
      </w:r>
      <w:r>
        <w:rPr>
          <w:b/>
          <w:bCs/>
        </w:rPr>
        <w:t xml:space="preserve">certezza molto bassa</w:t>
      </w:r>
      <w:r>
        <w:t xml:space="preserve"> </w:t>
      </w:r>
      <w:r>
        <w:t xml:space="preserve">(Ceballos-Laita,</w:t>
      </w:r>
      <w:r>
        <w:t xml:space="preserve"> </w:t>
      </w:r>
      <w:r>
        <w:rPr>
          <w:i/>
          <w:iCs/>
        </w:rPr>
        <w:t xml:space="preserve">Diseases</w:t>
      </w:r>
      <w:r>
        <w:t xml:space="preserve"> </w:t>
      </w:r>
      <w:r>
        <w:t xml:space="preserve">2024, PMID 39589961).</w:t>
      </w:r>
      <w:r>
        <w:t xml:space="preserve"> </w:t>
      </w:r>
      <w:r>
        <w:rPr>
          <w:b/>
          <w:bCs/>
        </w:rPr>
        <w:t xml:space="preserve">Due studi e 55 pazienti non dimostrano che l’OMT non funzioni: dimostrano che nessuno l’ha ancora misurato contro un finto trattamento credibile, con un campione capace di rispondere.</w:t>
      </w:r>
    </w:p>
    <w:p>
      <w:pPr>
        <w:pStyle w:val="BodyText"/>
      </w:pPr>
      <w:r>
        <w:rPr>
          <w:b/>
          <w:bCs/>
        </w:rPr>
        <w:t xml:space="preserve">La sintesi osteopatica dedicata al collo dice l’altra metà.</w:t>
      </w:r>
      <w:r>
        <w:t xml:space="preserve"> </w:t>
      </w:r>
      <w:r>
        <w:t xml:space="preserve">Cinque studi controllati, quattro in meta-analisi, con effetto grande sul dolore (dimensione dell’effetto −1,57; IC −2,50 a −0,65). E</w:t>
      </w:r>
      <w:r>
        <w:t xml:space="preserve"> </w:t>
      </w:r>
      <w:r>
        <w:rPr>
          <w:b/>
          <w:bCs/>
        </w:rPr>
        <w:t xml:space="preserve">qualità dell’evidenza molto bassa per tutti gli esiti, con nessuno studio a basso rischio di bias</w:t>
      </w:r>
      <w:r>
        <w:t xml:space="preserve"> </w:t>
      </w:r>
      <w:r>
        <w:t xml:space="preserve">(Dal Farra,</w:t>
      </w:r>
      <w:r>
        <w:t xml:space="preserve"> </w:t>
      </w:r>
      <w:r>
        <w:rPr>
          <w:i/>
          <w:iCs/>
        </w:rPr>
        <w:t xml:space="preserve">Complement Ther Clin Pract</w:t>
      </w:r>
      <w:r>
        <w:t xml:space="preserve"> </w:t>
      </w:r>
      <w:r>
        <w:t xml:space="preserve">2022, PMID 35986986).</w:t>
      </w:r>
    </w:p>
    <w:p>
      <w:pPr>
        <w:pStyle w:val="BodyText"/>
      </w:pPr>
      <w:r>
        <w:rPr>
          <w:b/>
          <w:bCs/>
        </w:rPr>
        <w:t xml:space="preserve">Le due sintesi vanno lette insieme, e insieme dicono una cosa sola.</w:t>
      </w:r>
      <w:r>
        <w:t xml:space="preserve"> </w:t>
      </w:r>
      <w:r>
        <w:t xml:space="preserve">Dove il confronto è con un trattamento inattivo, l’effetto è grande e la qualità molto bassa. Dove il confronto è con un finto trattamento, l’effetto non c’è.</w:t>
      </w:r>
      <w:r>
        <w:t xml:space="preserve"> </w:t>
      </w:r>
      <w:r>
        <w:rPr>
          <w:b/>
          <w:bCs/>
        </w:rPr>
        <w:t xml:space="preserve">Un effetto che scompare quando arriva il finto trattamento è la definizione della parte aspecifica.</w:t>
      </w:r>
    </w:p>
    <w:p>
      <w:pPr>
        <w:pStyle w:val="BodyText"/>
      </w:pPr>
      <w:r>
        <w:t xml:space="preserve">Il singolo studio osteopatico più citato ha randomizzato 41 pazienti. Il dolore è sceso da 4,7 a 2,2 su 10, contro 4,8 a 4,0 nel controllo, e gli autori chiedono la replica (Schwerla, PMID 18617745).</w:t>
      </w:r>
      <w:r>
        <w:t xml:space="preserve"> </w:t>
      </w:r>
      <w:r>
        <w:rPr>
          <w:b/>
          <w:bCs/>
        </w:rPr>
        <w:t xml:space="preserve">Quasi tutto misura il breve termine</w:t>
      </w:r>
      <w:r>
        <w:t xml:space="preserve">, mentre il problema si misura in anni. E</w:t>
      </w:r>
      <w:r>
        <w:t xml:space="preserve"> </w:t>
      </w:r>
      <w:r>
        <w:rPr>
          <w:b/>
          <w:bCs/>
        </w:rPr>
        <w:t xml:space="preserve">nessuno ha studiato la combinazione che usiamo davvero.</w:t>
      </w:r>
    </w:p>
    <w:bookmarkEnd w:id="60"/>
    <w:bookmarkStart w:id="61" w:name="quando-la-scienza-tace"/>
    <w:p>
      <w:pPr>
        <w:pStyle w:val="Heading3"/>
      </w:pPr>
      <w:r>
        <w:t xml:space="preserve">Quando la scienza tace</w:t>
      </w:r>
    </w:p>
    <w:p>
      <w:pPr>
        <w:pStyle w:val="FirstParagraph"/>
      </w:pPr>
      <w:r>
        <w:t xml:space="preserve">Questa sezione serve dove il primo cerchio non arriva: lavoro sul livello di allarme, torace in funzione del collo, effetto del solo lavoro manuale sulla catena respiratoria.</w:t>
      </w:r>
      <w:r>
        <w:t xml:space="preserve"> </w:t>
      </w:r>
      <w:r>
        <w:rPr>
          <w:b/>
          <w:bCs/>
        </w:rPr>
        <w:t xml:space="preserve">Non serve per la leva respiratoria attiva</w:t>
      </w:r>
      <w:r>
        <w:t xml:space="preserve">, che ha studi e sta nel Cerchio 1.</w:t>
      </w:r>
    </w:p>
    <w:p>
      <w:pPr>
        <w:pStyle w:val="BodyText"/>
      </w:pPr>
      <w:r>
        <w:rPr>
          <w:b/>
          <w:bCs/>
        </w:rPr>
        <w:t xml:space="preserve">1. Assenza di prove non è prova di assenza.</w:t>
      </w:r>
      <w:r>
        <w:t xml:space="preserve"> </w:t>
      </w:r>
      <w:r>
        <w:t xml:space="preserve">Che nessuno abbia misurato una cosa non dice niente sulla sua efficacia: dice che nessuno l’ha misurata.</w:t>
      </w:r>
      <w:r>
        <w:t xml:space="preserve"> </w:t>
      </w:r>
      <w:r>
        <w:rPr>
          <w:b/>
          <w:bCs/>
        </w:rPr>
        <w:t xml:space="preserve">E vale al contrario:</w:t>
      </w:r>
      <w:r>
        <w:t xml:space="preserve"> </w:t>
      </w:r>
      <w:r>
        <w:t xml:space="preserve">dove gli studi ci sono e non confermano, non si scrive</w:t>
      </w:r>
      <w:r>
        <w:t xml:space="preserve"> </w:t>
      </w:r>
      <w:r>
        <w:t xml:space="preserve">“nessuno ha misurato”</w:t>
      </w:r>
      <w:r>
        <w:t xml:space="preserve">.</w:t>
      </w:r>
    </w:p>
    <w:p>
      <w:pPr>
        <w:pStyle w:val="BodyText"/>
      </w:pPr>
      <w:r>
        <w:rPr>
          <w:b/>
          <w:bCs/>
        </w:rPr>
        <w:t xml:space="preserve">2. Perché quella letteratura non esiste — e su questa condizione i casi sono tre, non uno.</w:t>
      </w:r>
      <w:r>
        <w:t xml:space="preserve"> </w:t>
      </w:r>
      <w:r>
        <w:t xml:space="preserve">Sulla</w:t>
      </w:r>
      <w:r>
        <w:t xml:space="preserve"> </w:t>
      </w:r>
      <w:r>
        <w:rPr>
          <w:b/>
          <w:bCs/>
        </w:rPr>
        <w:t xml:space="preserve">terapia manuale in generale</w:t>
      </w:r>
      <w:r>
        <w:t xml:space="preserve"> </w:t>
      </w:r>
      <w:r>
        <w:t xml:space="preserve">gli studi ci sono, e dicono cose modeste. Sull’</w:t>
      </w:r>
      <w:r>
        <w:rPr>
          <w:b/>
          <w:bCs/>
        </w:rPr>
        <w:t xml:space="preserve">intervento osteopatico contro un finto trattamento</w:t>
      </w:r>
      <w:r>
        <w:t xml:space="preserve"> </w:t>
      </w:r>
      <w:r>
        <w:t xml:space="preserve">gli studi ci sono, sono due e 55 pazienti sul collo, e sono nulli: qui non si scrive che manca la letteratura, si scrive che è piccola e negativa. Sul</w:t>
      </w:r>
      <w:r>
        <w:t xml:space="preserve"> </w:t>
      </w:r>
      <w:r>
        <w:rPr>
          <w:b/>
          <w:bCs/>
        </w:rPr>
        <w:t xml:space="preserve">lavoro sul livello di allarme e sul torace in funzione del collo</w:t>
      </w:r>
      <w:r>
        <w:t xml:space="preserve"> </w:t>
      </w:r>
      <w:r>
        <w:t xml:space="preserve">la ricerca non è stata fatta: manca il finanziamento, manca un placebo credibile per il tocco, mancano esiti standardizzati, e i campioni sono da quaranta pazienti.</w:t>
      </w:r>
    </w:p>
    <w:p>
      <w:pPr>
        <w:pStyle w:val="BodyText"/>
      </w:pPr>
      <w:r>
        <w:rPr>
          <w:b/>
          <w:bCs/>
        </w:rPr>
        <w:t xml:space="preserve">3. Su cosa ti basi allora</w:t>
      </w:r>
      <w:r>
        <w:t xml:space="preserve">, in ordine di forza: sul</w:t>
      </w:r>
      <w:r>
        <w:t xml:space="preserve"> </w:t>
      </w:r>
      <w:r>
        <w:rPr>
          <w:b/>
          <w:bCs/>
        </w:rPr>
        <w:t xml:space="preserve">meccanismo fisiologico</w:t>
      </w:r>
      <w:r>
        <w:t xml:space="preserve"> </w:t>
      </w:r>
      <w:r>
        <w:t xml:space="preserve">documentato, sul</w:t>
      </w:r>
      <w:r>
        <w:t xml:space="preserve"> </w:t>
      </w:r>
      <w:r>
        <w:rPr>
          <w:b/>
          <w:bCs/>
        </w:rPr>
        <w:t xml:space="preserve">ragionamento clinico</w:t>
      </w:r>
      <w:r>
        <w:t xml:space="preserve"> </w:t>
      </w:r>
      <w:r>
        <w:t xml:space="preserve">dichiarato tale, e sulla</w:t>
      </w:r>
      <w:r>
        <w:t xml:space="preserve"> </w:t>
      </w:r>
      <w:r>
        <w:rPr>
          <w:b/>
          <w:bCs/>
        </w:rPr>
        <w:t xml:space="preserve">verifica sul singolo paziente</w:t>
      </w:r>
      <w:r>
        <w:t xml:space="preserve">, cioè un marker scelto prima con una soglia dichiarata.</w:t>
      </w:r>
    </w:p>
    <w:p>
      <w:pPr>
        <w:pStyle w:val="BodyText"/>
      </w:pPr>
      <w:r>
        <w:rPr>
          <w:b/>
          <w:bCs/>
        </w:rPr>
        <w:t xml:space="preserve">4. Cosa lo separa dal pensiero magico.</w:t>
      </w:r>
      <w:r>
        <w:t xml:space="preserve"> </w:t>
      </w:r>
      <w:r>
        <w:t xml:space="preserve">La verifica, e nient’altro. Scegliere prima il marker, dichiarare la soglia e accettare il verdetto è scienza applicata a un caso singolo. Scegliere il marker dopo aver visto migliorare il paziente, no.</w:t>
      </w:r>
    </w:p>
    <w:p>
      <w:pPr>
        <w:pStyle w:val="BodyText"/>
      </w:pPr>
      <w:r>
        <w:rPr>
          <w:b/>
          <w:bCs/>
        </w:rPr>
        <w:t xml:space="preserve">5. Cosa questo non autorizza.</w:t>
      </w:r>
      <w:r>
        <w:t xml:space="preserve"> </w:t>
      </w:r>
      <w:r>
        <w:t xml:space="preserve">Non autorizza a promettere un esito. Non autorizza a scrivere DIMOSTRATO dove c’è IPOTESI. Non autorizza a dire al paziente che</w:t>
      </w:r>
      <w:r>
        <w:t xml:space="preserve"> </w:t>
      </w:r>
      <w:r>
        <w:t xml:space="preserve">“gli studi lo confermano”</w:t>
      </w:r>
      <w:r>
        <w:t xml:space="preserve"> </w:t>
      </w:r>
      <w:r>
        <w:t xml:space="preserve">quando confermano una cosa più stretta.</w:t>
      </w:r>
    </w:p>
    <w:p>
      <w:pPr>
        <w:pStyle w:val="BodyText"/>
      </w:pPr>
      <w:r>
        <w:rPr>
          <w:b/>
          <w:bCs/>
        </w:rPr>
        <w:t xml:space="preserve">Le tre cose da ricordare, più una</w:t>
      </w:r>
    </w:p>
    <w:p>
      <w:pPr>
        <w:pStyle w:val="Compact"/>
        <w:numPr>
          <w:ilvl w:val="0"/>
          <w:numId w:val="1035"/>
        </w:numPr>
      </w:pPr>
      <w:r>
        <w:t xml:space="preserve">Il primo cerchio qui è ricco e dice cose modeste, e la sintesi più recente è più severa della Cochrane su cui poggiava il documento.</w:t>
      </w:r>
    </w:p>
    <w:p>
      <w:pPr>
        <w:pStyle w:val="Compact"/>
        <w:numPr>
          <w:ilvl w:val="0"/>
          <w:numId w:val="1035"/>
        </w:numPr>
      </w:pPr>
      <w:r>
        <w:t xml:space="preserve">Manuale più esercizio fa guadagnare tempo, non esito.</w:t>
      </w:r>
    </w:p>
    <w:p>
      <w:pPr>
        <w:pStyle w:val="Compact"/>
        <w:numPr>
          <w:ilvl w:val="0"/>
          <w:numId w:val="1035"/>
        </w:numPr>
      </w:pPr>
      <w:r>
        <w:t xml:space="preserve">La fisiologia del collo è più solida della sua terapia, e dichiararlo ti rende più credibile.</w:t>
      </w:r>
    </w:p>
    <w:p>
      <w:pPr>
        <w:pStyle w:val="Compact"/>
        <w:numPr>
          <w:ilvl w:val="0"/>
          <w:numId w:val="1035"/>
        </w:numPr>
      </w:pPr>
      <w:r>
        <w:rPr>
          <w:b/>
          <w:bCs/>
        </w:rPr>
        <w:t xml:space="preserve">Perché ci sei tu.</w:t>
      </w:r>
      <w:r>
        <w:t xml:space="preserve"> </w:t>
      </w:r>
      <w:r>
        <w:t xml:space="preserve">Nel dolore acuto idiopatico il dolore medio scende da 64 a 35 su 100 in sei settimane e mezzo. A dodici mesi è risalito a 42, con la disabilità ferma (Hush, PMID 21458776). Questo ti autorizza a mettere in agenda un controllo a distanza e a lavorare sul plateau. Non ti autorizza a dire che il problema è chiuso quando il dolore scende: scende comunque — di più della soglia che il paziente percepisce — e poi risale.</w:t>
      </w:r>
    </w:p>
    <w:p>
      <w:r>
        <w:pict>
          <v:rect style="width:0;height:1.5pt" o:hralign="center" o:hrstd="t" o:hr="t"/>
        </w:pict>
      </w:r>
    </w:p>
    <w:bookmarkEnd w:id="61"/>
    <w:bookmarkEnd w:id="62"/>
    <w:bookmarkStart w:id="6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hanno una leva reale su cinque dei sei meccanismi, e dove non ce l’hanno la leva principale è di qualcun altro.</w:t>
      </w:r>
    </w:p>
    <w:p>
      <w:pPr>
        <w:pStyle w:val="FirstParagraph"/>
      </w:pPr>
      <w:r>
        <w:t xml:space="preserve">I cinque sono il primo, il terzo, il quarto, il quinto e il sesto. Sul</w:t>
      </w:r>
      <w:r>
        <w:t xml:space="preserve"> </w:t>
      </w:r>
      <w:r>
        <w:rPr>
          <w:b/>
          <w:bCs/>
        </w:rPr>
        <w:t xml:space="preserve">secondo</w:t>
      </w:r>
      <w:r>
        <w:t xml:space="preserve"> </w:t>
      </w:r>
      <w:r>
        <w:t xml:space="preserve">agisci sul contorno, non sulla radice. E dentro il quinto, sulla</w:t>
      </w:r>
      <w:r>
        <w:t xml:space="preserve"> </w:t>
      </w:r>
      <w:r>
        <w:rPr>
          <w:b/>
          <w:bCs/>
        </w:rPr>
        <w:t xml:space="preserve">via respiratoria</w:t>
      </w:r>
      <w:r>
        <w:t xml:space="preserve"> </w:t>
      </w:r>
      <w:r>
        <w:t xml:space="preserve">la leva principale è del paziente.</w:t>
      </w:r>
    </w:p>
    <w:p>
      <w:pPr>
        <w:pStyle w:val="BodyText"/>
      </w:pPr>
      <w:r>
        <w:rPr>
          <w:b/>
          <w:bCs/>
        </w:rPr>
        <w:t xml:space="preserve">Cosa non possono fare le mani, detto per primo.</w:t>
      </w:r>
      <w:r>
        <w:t xml:space="preserve"> </w:t>
      </w:r>
      <w:r>
        <w:t xml:space="preserve">Non riducono una protrusione. Non ricostruiscono una curva. Non liberano una radice compressa. Non sostituiscono il riallenamento del controllo profondo. Non</w:t>
      </w:r>
      <w:r>
        <w:t xml:space="preserve"> </w:t>
      </w:r>
      <w:r>
        <w:t xml:space="preserve">“rilassano il sistema nervoso”</w:t>
      </w:r>
      <w:r>
        <w:t xml:space="preserve">: le misure vanno nell’altra direzione. E non ricalibrano la propriocezione — in 86 pazienti la terapia manuale ha migliorato l’escursione cervicale e</w:t>
      </w:r>
      <w:r>
        <w:t xml:space="preserve"> </w:t>
      </w:r>
      <w:r>
        <w:rPr>
          <w:b/>
          <w:bCs/>
        </w:rPr>
        <w:t xml:space="preserve">non ha avuto effetto</w:t>
      </w:r>
      <w:r>
        <w:t xml:space="preserve"> </w:t>
      </w:r>
      <w:r>
        <w:t xml:space="preserve">su equilibrio e riposizionamento del capo (Reid, PMID 24792139).</w:t>
      </w:r>
    </w:p>
    <w:p>
      <w:pPr>
        <w:pStyle w:val="BlockText"/>
      </w:pPr>
      <w:r>
        <w:rPr>
          <w:b/>
          <w:bCs/>
        </w:rPr>
        <w:t xml:space="preserve">Attenzione — la zona con le prove migliori non è la zona senza rischio.</w:t>
      </w:r>
      <w:r>
        <w:t xml:space="preserve"> </w:t>
      </w:r>
      <w:r>
        <w:t xml:space="preserve">Il torace, che qui esce meglio di tutti, ha anche gli eventi avversi meglio documentati dopo tecniche a spinta. Sono 21 eventi toracici unici in 19 studi: fra questi 3 pneumotorace o emotorace e 3 fratture, con 5 deficit permanenti e 4 decessi. La causalità non è confermata, e gli autori chiedono l’esame pre-manipolativo come pratica sicura (Heneghan,</w:t>
      </w:r>
      <w:r>
        <w:t xml:space="preserve"> </w:t>
      </w:r>
      <w:r>
        <w:rPr>
          <w:i/>
          <w:iCs/>
        </w:rPr>
        <w:t xml:space="preserve">J Man Manip Ther</w:t>
      </w:r>
      <w:r>
        <w:t xml:space="preserve"> </w:t>
      </w:r>
      <w:r>
        <w:t xml:space="preserve">2020, PMID 32148185).</w:t>
      </w:r>
      <w:r>
        <w:t xml:space="preserve"> </w:t>
      </w:r>
      <w:r>
        <w:rPr>
          <w:b/>
          <w:bCs/>
        </w:rPr>
        <w:t xml:space="preserve">Una densità ossea ridotta, dichiarata o sospetta, cambia la classe di tecnica, non solo la dose.</w:t>
      </w:r>
    </w:p>
    <w:p>
      <w:pPr>
        <w:pStyle w:val="FirstParagraph"/>
      </w:pPr>
      <w:r>
        <w:rPr>
          <w:b/>
          <w:bCs/>
        </w:rPr>
        <w:t xml:space="preserve">1. Sul controllo profondo che arriva tardi.</w:t>
      </w:r>
      <w:r>
        <w:t xml:space="preserve"> </w:t>
      </w:r>
      <w:r>
        <w:t xml:space="preserve">Le mani agiscono sui tessuti che limitano il movimento in cui il controllo va riallenato, e sull’iperattività dei superficiali. L’obiettivo non è un muscolo più sciolto: è</w:t>
      </w:r>
      <w:r>
        <w:t xml:space="preserve"> </w:t>
      </w:r>
      <w:r>
        <w:rPr>
          <w:b/>
          <w:bCs/>
        </w:rPr>
        <w:t xml:space="preserve">un altro rapporto fra profondi e superficiali sotto carico basso.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Subito dopo la mobilizzazione l’attività dei flessori superficiali è ridotta ai livelli bassi del test di flessione cranio-cervicale, ma è un solo studio da 30 soggetti (Sterling, PMID 11414776). Il cambiamento stabile della coordinazione appartiene all’allenamento (Blomgren, PMID 30486819).</w:t>
      </w:r>
    </w:p>
    <w:p>
      <w:pPr>
        <w:pStyle w:val="FirstParagraph"/>
      </w:pPr>
      <w:r>
        <w:rPr>
          <w:b/>
          <w:bCs/>
        </w:rPr>
        <w:t xml:space="preserve">Tempo:</w:t>
      </w:r>
      <w:r>
        <w:t xml:space="preserve"> </w:t>
      </w:r>
      <w:r>
        <w:t xml:space="preserve">immediato sui superficiali, settimane per la coordinazione.</w:t>
      </w:r>
    </w:p>
    <w:p>
      <w:pPr>
        <w:pStyle w:val="BodyText"/>
      </w:pPr>
      <w:r>
        <w:rPr>
          <w:b/>
          <w:bCs/>
        </w:rPr>
        <w:t xml:space="preserve">2. Sulla radice irritata.</w:t>
      </w:r>
      <w:r>
        <w:t xml:space="preserve"> </w:t>
      </w:r>
      <w:r>
        <w:t xml:space="preserve">Le mani agiscono sul carico meccanico che raggiunge radice e plesso — cerniera, prima costa, scapola — cioè sulla</w:t>
      </w:r>
      <w:r>
        <w:t xml:space="preserve"> </w:t>
      </w:r>
      <w:r>
        <w:rPr>
          <w:b/>
          <w:bCs/>
        </w:rPr>
        <w:t xml:space="preserve">meccanosensitività del tronco nervoso</w:t>
      </w:r>
      <w:r>
        <w:t xml:space="preserve">. E agiscono sulla tolleranza al movimento del braccio.</w:t>
      </w:r>
      <w:r>
        <w:t xml:space="preserve"> </w:t>
      </w:r>
      <w:r>
        <w:rPr>
          <w:b/>
          <w:bCs/>
        </w:rPr>
        <w:t xml:space="preserve">Non sulla decompressione della radice.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La revisione Cochrane dichiara scarse le prove sulla radicolopatia, e nessuno studio controllato ha isolato questo effetto su questa popolazione.</w:t>
      </w:r>
    </w:p>
    <w:p>
      <w:pPr>
        <w:pStyle w:val="FirstParagraph"/>
      </w:pPr>
      <w:r>
        <w:rPr>
          <w:b/>
          <w:bCs/>
        </w:rPr>
        <w:t xml:space="preserve">Tempo: in seduta</w:t>
      </w:r>
      <w:r>
        <w:t xml:space="preserve">, non a tre sedute. Se il meccanismo è meccanico, il</w:t>
      </w:r>
      <w:r>
        <w:t xml:space="preserve"> </w:t>
      </w:r>
      <w:r>
        <w:rPr>
          <w:b/>
          <w:bCs/>
        </w:rPr>
        <w:t xml:space="preserve">punto di comparsa del sintomo nel test di tensione dell’arto superiore</w:t>
      </w:r>
      <w:r>
        <w:t xml:space="preserve"> </w:t>
      </w:r>
      <w:r>
        <w:t xml:space="preserve">si sposta subito. Se non si sposta, torna in primo piano il triage.</w:t>
      </w:r>
    </w:p>
    <w:p>
      <w:pPr>
        <w:pStyle w:val="BodyText"/>
      </w:pPr>
      <w:r>
        <w:rPr>
          <w:b/>
          <w:bCs/>
        </w:rPr>
        <w:t xml:space="preserve">3. Sulla soglia che si abbassa.</w:t>
      </w:r>
      <w:r>
        <w:t xml:space="preserve"> </w:t>
      </w:r>
      <w:r>
        <w:t xml:space="preserve">Le mani agiscono sul livello di allarme e sull’esposizione al movimento sotto la soglia che il paziente teme. L’effetto atteso è una soglia dolorosa più alta, misurabile anche fuori dal collo.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L’effetto ipoalgesico immediato della mobilizzazione è misurato (Sterling, PMID 11414776), e il modello di meccanismo è su popolazioni miste (Bialosky, PMID 19027342).</w:t>
      </w:r>
    </w:p>
    <w:p>
      <w:pPr>
        <w:pStyle w:val="BlockText"/>
      </w:pPr>
      <w:r>
        <w:rPr>
          <w:b/>
          <w:bCs/>
        </w:rPr>
        <w:t xml:space="preserve">Sono due leve con due vie diverse.</w:t>
      </w:r>
      <w:r>
        <w:t xml:space="preserve"> </w:t>
      </w:r>
      <w:r>
        <w:t xml:space="preserve">La</w:t>
      </w:r>
      <w:r>
        <w:t xml:space="preserve"> </w:t>
      </w:r>
      <w:r>
        <w:rPr>
          <w:b/>
          <w:bCs/>
        </w:rPr>
        <w:t xml:space="preserve">mobilizzazione</w:t>
      </w:r>
      <w:r>
        <w:t xml:space="preserve"> </w:t>
      </w:r>
      <w:r>
        <w:t xml:space="preserve">produce la triade ipoalgesia + conduttanza in aumento + temperatura in calo, firma di un’analgesia discendente non oppioide dal</w:t>
      </w:r>
      <w:r>
        <w:t xml:space="preserve"> </w:t>
      </w:r>
      <w:r>
        <w:rPr>
          <w:b/>
          <w:bCs/>
        </w:rPr>
        <w:t xml:space="preserve">grigio periacqueduttale dorsolaterale</w:t>
      </w:r>
      <w:r>
        <w:t xml:space="preserve">. È la lettura di un solo studio da 30 soggetti, non un dato replicato. È un circuito attivante, e la simpaticoeccitazione è il segno che il meccanismo si è acceso, non un effetto collaterale.</w:t>
      </w:r>
    </w:p>
    <w:p>
      <w:pPr>
        <w:pStyle w:val="BlockText"/>
      </w:pPr>
      <w:r>
        <w:t xml:space="preserve">Il</w:t>
      </w:r>
      <w:r>
        <w:t xml:space="preserve"> </w:t>
      </w:r>
      <w:r>
        <w:rPr>
          <w:b/>
          <w:bCs/>
        </w:rPr>
        <w:t xml:space="preserve">contatto lento</w:t>
      </w:r>
      <w:r>
        <w:t xml:space="preserve"> </w:t>
      </w:r>
      <w:r>
        <w:t xml:space="preserve">appartiene invece alle afferenze</w:t>
      </w:r>
      <w:r>
        <w:t xml:space="preserve"> </w:t>
      </w:r>
      <w:r>
        <w:rPr>
          <w:b/>
          <w:bCs/>
        </w:rPr>
        <w:t xml:space="preserve">C-tattili</w:t>
      </w:r>
      <w:r>
        <w:t xml:space="preserve"> </w:t>
      </w:r>
      <w:r>
        <w:t xml:space="preserve">(1-10 cm/s), e predice uno spostamento della sgradevolezza più che dell’intensità:</w:t>
      </w:r>
      <w:r>
        <w:t xml:space="preserve"> </w:t>
      </w:r>
      <w:r>
        <w:rPr>
          <w:b/>
          <w:bCs/>
        </w:rPr>
        <w:t xml:space="preserve">IPOTESI</w:t>
      </w:r>
      <w:r>
        <w:t xml:space="preserve"> </w:t>
      </w:r>
      <w:r>
        <w:rPr>
          <w:i/>
          <w:iCs/>
        </w:rPr>
        <w:t xml:space="preserve">(meccanismo coerente, nessuno studio)</w:t>
      </w:r>
      <w:r>
        <w:t xml:space="preserve"> </w:t>
      </w:r>
      <w:r>
        <w:t xml:space="preserve">applicata alla stanza.</w:t>
      </w:r>
    </w:p>
    <w:p>
      <w:pPr>
        <w:pStyle w:val="FirstParagraph"/>
      </w:pPr>
      <w:r>
        <w:rPr>
          <w:b/>
          <w:bCs/>
        </w:rPr>
        <w:t xml:space="preserve">Tempo: ipoalgesia grande a cinque minuti, media a dieci, oltre i trenta mai misurata — rimisura dentro quella finestra o leggi un falso negativo.</w:t>
      </w:r>
      <w:r>
        <w:t xml:space="preserve"> </w:t>
      </w:r>
      <w:r>
        <w:t xml:space="preserve">Lo spostamento stabile si misura in settimane, e passa dall’esposizione più che dal contatto.</w:t>
      </w:r>
    </w:p>
    <w:p>
      <w:pPr>
        <w:pStyle w:val="BodyText"/>
      </w:pPr>
      <w:r>
        <w:rPr>
          <w:b/>
          <w:bCs/>
        </w:rPr>
        <w:t xml:space="preserve">4. Sul collo che parla alla testa.</w:t>
      </w:r>
      <w:r>
        <w:t xml:space="preserve"> </w:t>
      </w:r>
      <w:r>
        <w:t xml:space="preserve">Le mani agiscono sull’ingresso nocicettivo cervicale alto. L’effetto atteso è meno frequenza e meno intensità del mal di testa.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l’esito clinico: 200 pazienti, effetti a dodici mesi (Jull, PMID 12221344), con il disegno dichiarato — trattamento non in cieco, controllo senza trattamento simulato.</w:t>
      </w:r>
      <w:r>
        <w:t xml:space="preserve"> </w:t>
      </w:r>
      <w:r>
        <w:rPr>
          <w:b/>
          <w:bCs/>
        </w:rPr>
        <w:t xml:space="preserve">IPOTESI</w:t>
      </w:r>
      <w:r>
        <w:t xml:space="preserve"> </w:t>
      </w:r>
      <w:r>
        <w:rPr>
          <w:i/>
          <w:iCs/>
        </w:rPr>
        <w:t xml:space="preserve">(meccanismo coerente, nessuno studio)</w:t>
      </w:r>
      <w:r>
        <w:t xml:space="preserve"> </w:t>
      </w:r>
      <w:r>
        <w:rPr>
          <w:b/>
          <w:bCs/>
        </w:rPr>
        <w:t xml:space="preserve">per il meccanismo:</w:t>
      </w:r>
      <w:r>
        <w:t xml:space="preserve"> </w:t>
      </w:r>
      <w:r>
        <w:t xml:space="preserve">nessuno ha misurato quei neuroni nell’uomo dopo un trattamento manuale. E c’è un limite di aspettativa: nell’</w:t>
      </w:r>
      <w:r>
        <w:rPr>
          <w:b/>
          <w:bCs/>
        </w:rPr>
        <w:t xml:space="preserve">emicrania conclamata</w:t>
      </w:r>
      <w:r>
        <w:t xml:space="preserve"> </w:t>
      </w:r>
      <w:r>
        <w:t xml:space="preserve">il collo può essere il ricevente, e trattarlo può non muovere la cefalea.</w:t>
      </w:r>
    </w:p>
    <w:p>
      <w:pPr>
        <w:pStyle w:val="FirstParagraph"/>
      </w:pPr>
      <w:r>
        <w:rPr>
          <w:b/>
          <w:bCs/>
        </w:rPr>
        <w:t xml:space="preserve">Tempo:</w:t>
      </w:r>
      <w:r>
        <w:t xml:space="preserve"> </w:t>
      </w:r>
      <w:r>
        <w:t xml:space="preserve">rotazione in flessione in seduta, indice di cefalea su settimane.</w:t>
      </w:r>
    </w:p>
    <w:p>
      <w:pPr>
        <w:pStyle w:val="BodyText"/>
      </w:pPr>
      <w:r>
        <w:rPr>
          <w:b/>
          <w:bCs/>
        </w:rPr>
        <w:t xml:space="preserve">5. Sul carico che non cambia mai posizione, per tutte e due le sue vie.</w:t>
      </w:r>
      <w:r>
        <w:t xml:space="preserve"> </w:t>
      </w:r>
      <w:r>
        <w:t xml:space="preserve">Sulla</w:t>
      </w:r>
      <w:r>
        <w:t xml:space="preserve"> </w:t>
      </w:r>
      <w:r>
        <w:rPr>
          <w:b/>
          <w:bCs/>
        </w:rPr>
        <w:t xml:space="preserve">via posturale</w:t>
      </w:r>
      <w:r>
        <w:t xml:space="preserve"> </w:t>
      </w:r>
      <w:r>
        <w:t xml:space="preserve">le mani agiscono sulla distribuzione del movimento fra collo, cerniera, torace e scapola. L’effetto</w:t>
      </w:r>
      <w:r>
        <w:t xml:space="preserve"> </w:t>
      </w:r>
      <w:r>
        <w:rPr>
          <w:b/>
          <w:bCs/>
        </w:rPr>
        <w:t xml:space="preserve">passa dalla riduzione del carico ripetuto, non dal tessuto trattato.</w:t>
      </w:r>
      <w:r>
        <w:t xml:space="preserve"> </w:t>
      </w:r>
      <w:r>
        <w:t xml:space="preserve">Sulla</w:t>
      </w:r>
      <w:r>
        <w:t xml:space="preserve"> </w:t>
      </w:r>
      <w:r>
        <w:rPr>
          <w:b/>
          <w:bCs/>
        </w:rPr>
        <w:t xml:space="preserve">via respiratoria</w:t>
      </w:r>
      <w:r>
        <w:t xml:space="preserve"> </w:t>
      </w:r>
      <w:r>
        <w:t xml:space="preserve">agiscono su meccanica costale e diaframmatica, stretto toracico superiore e prima costa: una quota del lavoro respiratorio dovrebbe tornare sotto il diaframma.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via posturale. La manipolazione toracica supera un controllo inattivo a breve termine su dolore e funzione, con sospetto di bias di pubblicazione dichiarato (Gross, PMID 26397370).</w:t>
      </w:r>
    </w:p>
    <w:p>
      <w:pPr>
        <w:pStyle w:val="BlockText"/>
      </w:pPr>
      <w:r>
        <w:rPr>
          <w:b/>
          <w:bCs/>
        </w:rPr>
        <w:t xml:space="preserve">IPOTESI</w:t>
      </w:r>
      <w:r>
        <w:t xml:space="preserve"> </w:t>
      </w:r>
      <w:r>
        <w:rPr>
          <w:i/>
          <w:iCs/>
        </w:rPr>
        <w:t xml:space="preserve">(meccanismo coerente, nessuno studio)</w:t>
      </w:r>
      <w:r>
        <w:t xml:space="preserve"> </w:t>
      </w:r>
      <w:r>
        <w:t xml:space="preserve">per la via respiratoria affidata al</w:t>
      </w:r>
      <w:r>
        <w:t xml:space="preserve"> </w:t>
      </w:r>
      <w:r>
        <w:rPr>
          <w:b/>
          <w:bCs/>
        </w:rPr>
        <w:t xml:space="preserve">solo lavoro manuale</w:t>
      </w:r>
      <w:r>
        <w:t xml:space="preserve">: nessuno studio ha misurato l’effetto sul dolore cervicale del solo trattamento manuale del torace per quella via. L’unico studio controllato disponibile lo ha testato</w:t>
      </w:r>
      <w:r>
        <w:t xml:space="preserve"> </w:t>
      </w:r>
      <w:r>
        <w:rPr>
          <w:b/>
          <w:bCs/>
        </w:rPr>
        <w:t xml:space="preserve">insieme</w:t>
      </w:r>
      <w:r>
        <w:t xml:space="preserve"> </w:t>
      </w:r>
      <w:r>
        <w:t xml:space="preserve">alla rieducazione respiratoria, e ha misurato l’escursione cervicale, non il dolore (Tatsios, PMID 40724787, 90 pazienti). La leva</w:t>
      </w:r>
      <w:r>
        <w:t xml:space="preserve"> </w:t>
      </w:r>
      <w:r>
        <w:rPr>
          <w:b/>
          <w:bCs/>
        </w:rPr>
        <w:t xml:space="preserve">attiva</w:t>
      </w:r>
      <w:r>
        <w:t xml:space="preserve"> </w:t>
      </w:r>
      <w:r>
        <w:t xml:space="preserve">su questa via sta invece nel Cerchio 1, con studi discordanti, e la trovi in «Cosa può fare il paziente da solo».</w:t>
      </w:r>
    </w:p>
    <w:p>
      <w:pPr>
        <w:pStyle w:val="FirstParagraph"/>
      </w:pPr>
      <w:r>
        <w:rPr>
          <w:b/>
          <w:bCs/>
        </w:rPr>
        <w:t xml:space="preserve">Tempo:</w:t>
      </w:r>
      <w:r>
        <w:t xml:space="preserve"> </w:t>
      </w:r>
      <w:r>
        <w:t xml:space="preserve">il movimento cambia subito, ma il sintomo delle cinque cambia solo se cambia l’organizzazione della giornata, che non è nelle tue mani. Sulla via respiratoria il</w:t>
      </w:r>
      <w:r>
        <w:t xml:space="preserve"> </w:t>
      </w:r>
      <w:r>
        <w:rPr>
          <w:b/>
          <w:bCs/>
        </w:rPr>
        <w:t xml:space="preserve">reclutamento accessorio a riposo</w:t>
      </w:r>
      <w:r>
        <w:t xml:space="preserve"> </w:t>
      </w:r>
      <w:r>
        <w:t xml:space="preserve">cambia in seduta, ed è il marker che qui usi. L’espansione toracica dice che il torace si è mosso, non che il collo ha smesso di lavorare.</w:t>
      </w:r>
    </w:p>
    <w:p>
      <w:pPr>
        <w:pStyle w:val="BodyText"/>
      </w:pPr>
      <w:r>
        <w:rPr>
          <w:b/>
          <w:bCs/>
        </w:rPr>
        <w:t xml:space="preserve">6. Sull’articolazione che diventa sorgente.</w:t>
      </w:r>
      <w:r>
        <w:t xml:space="preserve"> </w:t>
      </w:r>
      <w:r>
        <w:t xml:space="preserve">Le mani agiscono sul segmento sintomatico e sul suo territorio: meno dolore riprodotto sul livello, più escursione segmentale.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la leva (Gross, PMID 26397370), con certezza da molto bassa a bassa nelle sintesi più recenti (Minnucci, PMID 37561605; Benetton, PMID 40019107).</w:t>
      </w:r>
      <w:r>
        <w:t xml:space="preserve"> </w:t>
      </w:r>
      <w:r>
        <w:rPr>
          <w:b/>
          <w:bCs/>
        </w:rPr>
        <w:t xml:space="preserve">Che tu stia sbloccando l’articolazione che genera resta IPOTESI</w:t>
      </w:r>
      <w:r>
        <w:t xml:space="preserve"> </w:t>
      </w:r>
      <w:r>
        <w:rPr>
          <w:i/>
          <w:iCs/>
        </w:rPr>
        <w:t xml:space="preserve">(meccanismo coerente, nessuno studio)</w:t>
      </w:r>
      <w:r>
        <w:t xml:space="preserve">: il guadagno può venire dalla modulazione, non dal segmento.</w:t>
      </w:r>
      <w:r>
        <w:t xml:space="preserve"> </w:t>
      </w:r>
      <w:r>
        <w:rPr>
          <w:b/>
          <w:bCs/>
        </w:rPr>
        <w:t xml:space="preserve">Tempo:</w:t>
      </w:r>
      <w:r>
        <w:t xml:space="preserve"> </w:t>
      </w:r>
      <w:r>
        <w:t xml:space="preserve">in seduta sul dolore riprodotto, mantenimento in giorni.</w:t>
      </w:r>
    </w:p>
    <w:p>
      <w:pPr>
        <w:pStyle w:val="FirstParagraph"/>
      </w:pPr>
      <w:r>
        <w:rPr>
          <w:b/>
          <w:bCs/>
        </w:rPr>
        <w:t xml:space="preserve">Il come si fa non è qui. Sta nella Procedura di cervicalgia: due pagine, tecniche, dosi e piano delle sedute.</w:t>
      </w:r>
    </w:p>
    <w:p>
      <w:pPr>
        <w:pStyle w:val="BodyText"/>
      </w:pPr>
      <w:r>
        <w:rPr>
          <w:b/>
          <w:bCs/>
        </w:rPr>
        <w:t xml:space="preserve">Le tre cose da ricordare, più una</w:t>
      </w:r>
    </w:p>
    <w:p>
      <w:pPr>
        <w:pStyle w:val="Compact"/>
        <w:numPr>
          <w:ilvl w:val="0"/>
          <w:numId w:val="1036"/>
        </w:numPr>
      </w:pPr>
      <w:r>
        <w:t xml:space="preserve">Le mani hanno una leva su cinque meccanismi su sei, e un esito clinico a dodici mesi su uno solo.</w:t>
      </w:r>
    </w:p>
    <w:p>
      <w:pPr>
        <w:pStyle w:val="Compact"/>
        <w:numPr>
          <w:ilvl w:val="0"/>
          <w:numId w:val="1036"/>
        </w:numPr>
      </w:pPr>
      <w:r>
        <w:t xml:space="preserve">L’effetto della seduta e quello della ripetizione sono cose diverse: attribuire alla tecnica un guadagno dell’allenamento porta a dire che</w:t>
      </w:r>
      <w:r>
        <w:t xml:space="preserve"> </w:t>
      </w:r>
      <w:r>
        <w:t xml:space="preserve">“qui non funziona niente”</w:t>
      </w:r>
      <w:r>
        <w:t xml:space="preserve">.</w:t>
      </w:r>
    </w:p>
    <w:p>
      <w:pPr>
        <w:pStyle w:val="Compact"/>
        <w:numPr>
          <w:ilvl w:val="0"/>
          <w:numId w:val="1036"/>
        </w:numPr>
      </w:pPr>
      <w:r>
        <w:t xml:space="preserve">Ogni leva ha una finestra in cui si rimisura: fuori da quella leggi un numero che non significa niente.</w:t>
      </w:r>
    </w:p>
    <w:p>
      <w:pPr>
        <w:pStyle w:val="Compact"/>
        <w:numPr>
          <w:ilvl w:val="0"/>
          <w:numId w:val="1036"/>
        </w:numPr>
      </w:pPr>
      <w:r>
        <w:rPr>
          <w:b/>
          <w:bCs/>
        </w:rPr>
        <w:t xml:space="preserve">Perché ci sei tu.</w:t>
      </w:r>
      <w:r>
        <w:t xml:space="preserve"> </w:t>
      </w:r>
      <w:r>
        <w:t xml:space="preserve">In venti studi controllati il trattamento manuale osteopatico riduce i punteggi di depressione (g = -0,47), più in chi ha dolore, e</w:t>
      </w:r>
      <w:r>
        <w:t xml:space="preserve"> </w:t>
      </w:r>
      <w:r>
        <w:rPr>
          <w:b/>
          <w:bCs/>
        </w:rPr>
        <w:t xml:space="preserve">non</w:t>
      </w:r>
      <w:r>
        <w:t xml:space="preserve"> </w:t>
      </w:r>
      <w:r>
        <w:t xml:space="preserve">modifica ansia e stress (Gordon, PMID 39920074). Questo ti autorizza a considerare l’umore un esito plausibile in un paziente con dolore persistente. Non ti autorizza a chiamarlo effetto sull’ansia o sullo stress: in quegli stessi studi non c’è.</w:t>
      </w:r>
    </w:p>
    <w:p>
      <w:r>
        <w:pict>
          <v:rect style="width:0;height:1.5pt" o:hralign="center" o:hrstd="t" o:hr="t"/>
        </w:pict>
      </w:r>
    </w:p>
    <w:bookmarkEnd w:id="63"/>
    <w:bookmarkStart w:id="68"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qui la leva con la migliore evidenza al mondo non è il tocco, è il carico — e va conosciuta con i numeri di chi l’ha misurata.</w:t>
      </w:r>
    </w:p>
    <w:p>
      <w:pPr>
        <w:pStyle w:val="FirstParagraph"/>
      </w:pPr>
      <w:r>
        <w:t xml:space="preserve">Il capitolo esiste perché qui due strumenti attivi reggono un DIMOSTRATO.</w:t>
      </w:r>
      <w:r>
        <w:t xml:space="preserve"> </w:t>
      </w:r>
      <w:r>
        <w:rPr>
          <w:i/>
          <w:iCs/>
        </w:rPr>
        <w:t xml:space="preserve">Come e quando consegnarli al paziente sta nella Procedura.</w:t>
      </w:r>
    </w:p>
    <w:p>
      <w:pPr>
        <w:pStyle w:val="BlockText"/>
      </w:pPr>
      <w:r>
        <w:rPr>
          <w:b/>
          <w:bCs/>
        </w:rPr>
        <w:t xml:space="preserve">Attenzione. L’auto-manipolazione del collo non è mai uno strumento attivo, e va esclusa prima di tutti gli altri.</w:t>
      </w:r>
      <w:r>
        <w:t xml:space="preserve"> </w:t>
      </w:r>
      <w:r>
        <w:t xml:space="preserve">In 24 casi pubblicati il 38% degli eventi era severo e il 17% catastrofico, con due decessi. La maggioranza degli eventi seri era vascolare (Meyer,</w:t>
      </w:r>
      <w:r>
        <w:t xml:space="preserve"> </w:t>
      </w:r>
      <w:r>
        <w:rPr>
          <w:i/>
          <w:iCs/>
        </w:rPr>
        <w:t xml:space="preserve">PM&amp;R</w:t>
      </w:r>
      <w:r>
        <w:t xml:space="preserve"> </w:t>
      </w:r>
      <w:r>
        <w:t xml:space="preserve">2026, PMID 41586491). Il paziente che si scrocchia il collo da solo va disincentivato, e vale la pena chiederglielo.</w:t>
      </w:r>
    </w:p>
    <w:bookmarkStart w:id="64" w:name="Xdf3d5538902dfd836b4d9378d453c258e853486"/>
    <w:p>
      <w:pPr>
        <w:pStyle w:val="Heading3"/>
      </w:pPr>
      <w:r>
        <w:t xml:space="preserve">Strumento 1 — L’allenamento a basso carico dei flessori cervicali profondi</w:t>
      </w:r>
    </w:p>
    <w:p>
      <w:pPr>
        <w:pStyle w:val="FirstParagraph"/>
      </w:pPr>
      <w:r>
        <w:rPr>
          <w:b/>
          <w:bCs/>
        </w:rPr>
        <w:t xml:space="preserve">Cos’è.</w:t>
      </w:r>
      <w:r>
        <w:t xml:space="preserve"> </w:t>
      </w:r>
      <w:r>
        <w:t xml:space="preserve">Un movimento minimo di annuire, tenuto pochi secondi, senza attivare i superficiali: non forza, reclutamento.</w:t>
      </w:r>
      <w:r>
        <w:t xml:space="preserve"> </w:t>
      </w:r>
      <w:r>
        <w:rPr>
          <w:b/>
          <w:bCs/>
        </w:rPr>
        <w:t xml:space="preserve">Agisce sul primo meccanismo</w:t>
      </w:r>
      <w:r>
        <w:t xml:space="preserve">,</w:t>
      </w:r>
      <w:r>
        <w:t xml:space="preserve"> </w:t>
      </w:r>
      <w:r>
        <w:rPr>
          <w:i/>
          <w:iCs/>
        </w:rPr>
        <w:t xml:space="preserve">il controllo profondo che arriva tardi</w:t>
      </w:r>
      <w:r>
        <w:t xml:space="preserve">.</w:t>
      </w:r>
    </w:p>
    <w:p>
      <w:pPr>
        <w:pStyle w:val="BodyText"/>
      </w:pPr>
      <w:r>
        <w:rPr>
          <w:b/>
          <w:bCs/>
        </w:rPr>
        <w:t xml:space="preserve">Cosa hanno misurato gli studi.</w:t>
      </w:r>
      <w:r>
        <w:t xml:space="preserve"> </w:t>
      </w:r>
      <w:r>
        <w:t xml:space="preserve">In dodici studi controllati l’evidenza è</w:t>
      </w:r>
      <w:r>
        <w:t xml:space="preserve"> </w:t>
      </w:r>
      <w:r>
        <w:rPr>
          <w:b/>
          <w:bCs/>
        </w:rPr>
        <w:t xml:space="preserve">forte</w:t>
      </w:r>
      <w:r>
        <w:t xml:space="preserve"> </w:t>
      </w:r>
      <w:r>
        <w:t xml:space="preserve">per la coordinazione neuromuscolare, e nulla o piccola per forza e resistenza ad alti carichi (Blomgren, PMID 30486819). Sei settimane a basso carico hanno aumentato l’attività dei profondi e ridotto quella dei superficiali, cosa che l’allenamento di forza non ha fatto (Jull, PMID 19632880). E a dodici mesi la riduzione della cefalea era equivalente a quella della terapia manipolativa (Jull, PMID 12221344).</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la coordinazione e per l’esito clinico nella cefalea cervicogenica.</w:t>
      </w:r>
    </w:p>
    <w:p>
      <w:pPr>
        <w:pStyle w:val="FirstParagraph"/>
      </w:pPr>
      <w:r>
        <w:rPr>
          <w:b/>
          <w:bCs/>
        </w:rPr>
        <w:t xml:space="preserve">Cosa NON fa.</w:t>
      </w:r>
      <w:r>
        <w:t xml:space="preserve"> </w:t>
      </w:r>
      <w:r>
        <w:t xml:space="preserve">Non aumenta forza né resistenza ai carichi alti. Non è stabilito che il guadagno di coordinazione sia il tramite di quello sul dolore. E</w:t>
      </w:r>
      <w:r>
        <w:t xml:space="preserve"> </w:t>
      </w:r>
      <w:r>
        <w:rPr>
          <w:b/>
          <w:bCs/>
        </w:rPr>
        <w:t xml:space="preserve">cosa succede quando smette non è stato misurato</w:t>
      </w:r>
      <w:r>
        <w:t xml:space="preserve">: è un’informazione mancante, non un dato rassicurante.</w:t>
      </w:r>
    </w:p>
    <w:bookmarkEnd w:id="64"/>
    <w:bookmarkStart w:id="65" w:name="X39b75fc7f6a1f8f4a262270142f7765a85bd756"/>
    <w:p>
      <w:pPr>
        <w:pStyle w:val="Heading3"/>
      </w:pPr>
      <w:r>
        <w:t xml:space="preserve">Strumento 2 — Il rinforzo cervico-scapolo-toracico</w:t>
      </w:r>
    </w:p>
    <w:p>
      <w:pPr>
        <w:pStyle w:val="FirstParagraph"/>
      </w:pPr>
      <w:r>
        <w:rPr>
          <w:b/>
          <w:bCs/>
        </w:rPr>
        <w:t xml:space="preserve">Cos’è.</w:t>
      </w:r>
      <w:r>
        <w:t xml:space="preserve"> </w:t>
      </w:r>
      <w:r>
        <w:t xml:space="preserve">Allenamento di forza per collo, cingolo scapolare e arto superiore.</w:t>
      </w:r>
      <w:r>
        <w:t xml:space="preserve"> </w:t>
      </w:r>
      <w:r>
        <w:rPr>
          <w:b/>
          <w:bCs/>
        </w:rPr>
        <w:t xml:space="preserve">Agisce sul quinto meccanismo</w:t>
      </w:r>
      <w:r>
        <w:t xml:space="preserve">,</w:t>
      </w:r>
      <w:r>
        <w:t xml:space="preserve"> </w:t>
      </w:r>
      <w:r>
        <w:rPr>
          <w:i/>
          <w:iCs/>
        </w:rPr>
        <w:t xml:space="preserve">il carico che non cambia mai posizione</w:t>
      </w:r>
      <w:r>
        <w:t xml:space="preserve">,</w:t>
      </w:r>
      <w:r>
        <w:t xml:space="preserve"> </w:t>
      </w:r>
      <w:r>
        <w:rPr>
          <w:b/>
          <w:bCs/>
        </w:rPr>
        <w:t xml:space="preserve">via posturale</w:t>
      </w:r>
      <w:r>
        <w:t xml:space="preserve">: riduce il tempo in cui il muscolo lavora vicino al massimo.</w:t>
      </w:r>
    </w:p>
    <w:p>
      <w:pPr>
        <w:pStyle w:val="BodyText"/>
      </w:pPr>
      <w:r>
        <w:rPr>
          <w:b/>
          <w:bCs/>
        </w:rPr>
        <w:t xml:space="preserve">Cosa hanno misurato gli studi.</w:t>
      </w:r>
      <w:r>
        <w:t xml:space="preserve"> </w:t>
      </w:r>
      <w:r>
        <w:t xml:space="preserve">La Cochrane sull’esercizio conta 27 studi e 2.485 pazienti, con qualità</w:t>
      </w:r>
      <w:r>
        <w:t xml:space="preserve"> </w:t>
      </w:r>
      <w:r>
        <w:rPr>
          <w:b/>
          <w:bCs/>
        </w:rPr>
        <w:t xml:space="preserve">moderata</w:t>
      </w:r>
      <w:r>
        <w:t xml:space="preserve"> </w:t>
      </w:r>
      <w:r>
        <w:t xml:space="preserve">a favore della forza cervico-scapolo-toracica nel dolore</w:t>
      </w:r>
      <w:r>
        <w:t xml:space="preserve"> </w:t>
      </w:r>
      <w:r>
        <w:rPr>
          <w:b/>
          <w:bCs/>
        </w:rPr>
        <w:t xml:space="preserve">cronico</w:t>
      </w:r>
      <w:r>
        <w:t xml:space="preserve"> </w:t>
      </w:r>
      <w:r>
        <w:t xml:space="preserve">ed effetti da moderati a grandi subito dopo. Per l’acuto</w:t>
      </w:r>
      <w:r>
        <w:t xml:space="preserve"> </w:t>
      </w:r>
      <w:r>
        <w:rPr>
          <w:b/>
          <w:bCs/>
        </w:rPr>
        <w:t xml:space="preserve">nessuna prova</w:t>
      </w:r>
      <w:r>
        <w:t xml:space="preserve">. Nella</w:t>
      </w:r>
      <w:r>
        <w:t xml:space="preserve"> </w:t>
      </w:r>
      <w:r>
        <w:rPr>
          <w:b/>
          <w:bCs/>
        </w:rPr>
        <w:t xml:space="preserve">radicolopatia</w:t>
      </w:r>
      <w:r>
        <w:t xml:space="preserve">, bassa qualità e piccolo beneficio (Gross, PMID 25629215). Nel trial più lungo — 180 impiegate, valutatore in cieco — a dodici mesi dolore e disabilità erano ridotti in</w:t>
      </w:r>
      <w:r>
        <w:t xml:space="preserve"> </w:t>
      </w:r>
      <w:r>
        <w:rPr>
          <w:b/>
          <w:bCs/>
        </w:rPr>
        <w:t xml:space="preserve">entrambi</w:t>
      </w:r>
      <w:r>
        <w:t xml:space="preserve"> </w:t>
      </w:r>
      <w:r>
        <w:t xml:space="preserve">i gruppi di allenamento (Ylinen,</w:t>
      </w:r>
      <w:r>
        <w:t xml:space="preserve"> </w:t>
      </w:r>
      <w:r>
        <w:rPr>
          <w:i/>
          <w:iCs/>
        </w:rPr>
        <w:t xml:space="preserve">JAMA</w:t>
      </w:r>
      <w:r>
        <w:t xml:space="preserve"> </w:t>
      </w:r>
      <w:r>
        <w:t xml:space="preserve">2003, PMID 12759322).</w:t>
      </w:r>
    </w:p>
    <w:p>
      <w:pPr>
        <w:pStyle w:val="BodyText"/>
      </w:pPr>
      <w:r>
        <w:rPr>
          <w:b/>
          <w:bCs/>
        </w:rPr>
        <w:t xml:space="preserve">E il meccanismo, che finora mancava.</w:t>
      </w:r>
      <w:r>
        <w:t xml:space="preserve"> </w:t>
      </w:r>
      <w:r>
        <w:t xml:space="preserve">Una singola sessione di esercizio aerobico riduce il dolore sperimentale (sette studi, 236 partecipanti, g = −0,85). La resistenza dinamica lo riduce meno (due studi, 23 partecipanti, g = −0,45). E nel dolore cronico l’isometrico non mostra effetto (Wewege e Jones, PMID 32599154).</w:t>
      </w:r>
      <w:r>
        <w:t xml:space="preserve"> </w:t>
      </w:r>
      <w:r>
        <w:rPr>
          <w:i/>
          <w:iCs/>
        </w:rPr>
        <w:t xml:space="preserve">Misurato su volontari sani con dolore sperimentale, non su pazienti cervicali — e negli stessi studi il dato sui pazienti con dolore cronico non basta a concludere.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l’esito clinico nel cronico.</w:t>
      </w:r>
      <w:r>
        <w:t xml:space="preserve"> </w:t>
      </w:r>
      <w:r>
        <w:rPr>
          <w:b/>
          <w:bCs/>
        </w:rPr>
        <w:t xml:space="preserve">PROBABILE</w:t>
      </w:r>
      <w:r>
        <w:t xml:space="preserve"> </w:t>
      </w:r>
      <w:r>
        <w:rPr>
          <w:i/>
          <w:iCs/>
        </w:rPr>
        <w:t xml:space="preserve">(razionale forte, prove parziali)</w:t>
      </w:r>
      <w:r>
        <w:t xml:space="preserve"> </w:t>
      </w:r>
      <w:r>
        <w:t xml:space="preserve">per il meccanismo ipoalgesico. Nessuna prova per l’acuto; effetto piccolo e bassa qualità nella radicolopatia.</w:t>
      </w:r>
    </w:p>
    <w:p>
      <w:pPr>
        <w:pStyle w:val="FirstParagraph"/>
      </w:pPr>
      <w:r>
        <w:rPr>
          <w:b/>
          <w:bCs/>
        </w:rPr>
        <w:t xml:space="preserve">Cosa NON fa, e cosa succede quando smette.</w:t>
      </w:r>
      <w:r>
        <w:t xml:space="preserve"> </w:t>
      </w:r>
      <w:r>
        <w:t xml:space="preserve">Su un anno di impiegati l’aderenza regolare è scesa dal 54% al 35% fra i due semestri, e il calo avveniva nel gruppo migliore (Andersen, PMID 18461010).</w:t>
      </w:r>
      <w:r>
        <w:t xml:space="preserve"> </w:t>
      </w:r>
      <w:r>
        <w:rPr>
          <w:b/>
          <w:bCs/>
        </w:rPr>
        <w:t xml:space="preserve">Il guadagno appartiene alla ripetizione: quando la ripetizione finisce, non c’è ragione di aspettarsi che resti.</w:t>
      </w:r>
      <w:r>
        <w:t xml:space="preserve"> </w:t>
      </w:r>
      <w:r>
        <w:t xml:space="preserve">È uno stipendio, non un’eredità. E quale esercizio si faccia conta meno del fatto che si faccia.</w:t>
      </w:r>
    </w:p>
    <w:bookmarkEnd w:id="65"/>
    <w:bookmarkStart w:id="66" w:name="X11098c187805246246e22cb46e8ce74774f39a8"/>
    <w:p>
      <w:pPr>
        <w:pStyle w:val="Heading3"/>
      </w:pPr>
      <w:r>
        <w:t xml:space="preserve">Strumento 3 — L’educazione al dolore e l’esposizione graduata</w:t>
      </w:r>
    </w:p>
    <w:p>
      <w:pPr>
        <w:pStyle w:val="FirstParagraph"/>
      </w:pPr>
      <w:r>
        <w:rPr>
          <w:b/>
          <w:bCs/>
        </w:rPr>
        <w:t xml:space="preserve">Cos’è.</w:t>
      </w:r>
      <w:r>
        <w:t xml:space="preserve"> </w:t>
      </w:r>
      <w:r>
        <w:t xml:space="preserve">Dire al paziente cosa significa e cosa non significa quello che ha letto nel referto, e riportarlo al movimento partendo da sotto la soglia che teme.</w:t>
      </w:r>
      <w:r>
        <w:t xml:space="preserve"> </w:t>
      </w:r>
      <w:r>
        <w:rPr>
          <w:b/>
          <w:bCs/>
        </w:rPr>
        <w:t xml:space="preserve">Agisce sul terzo meccanismo</w:t>
      </w:r>
      <w:r>
        <w:t xml:space="preserve">,</w:t>
      </w:r>
      <w:r>
        <w:t xml:space="preserve"> </w:t>
      </w:r>
      <w:r>
        <w:rPr>
          <w:i/>
          <w:iCs/>
        </w:rPr>
        <w:t xml:space="preserve">la soglia che si abbassa</w:t>
      </w:r>
      <w:r>
        <w:t xml:space="preserve">, per la via della paura. È lo strumento del sottotipo sensibilizzato.</w:t>
      </w:r>
    </w:p>
    <w:p>
      <w:pPr>
        <w:pStyle w:val="BodyText"/>
      </w:pPr>
      <w:r>
        <w:rPr>
          <w:b/>
          <w:bCs/>
        </w:rPr>
        <w:t xml:space="preserve">Cosa hanno misurato gli studi.</w:t>
      </w:r>
      <w:r>
        <w:t xml:space="preserve"> </w:t>
      </w:r>
      <w:r>
        <w:t xml:space="preserve">I fattori psicosociali sono i predittori più forti dell’esito (Carroll, PMID 18204403 — vedi «Cosa si rompe»), e gli interventi educativi sull’auto-efficacia figurano fra i più efficaci (Hurwitz, PMID 18204386). Su 120 pazienti con dolore spinale cronico l’educazione alle neuroscienze del dolore, unita a un controllo motorio mirato alla cognizione, ha ridotto disabilità e sensibilizzazione fino a dodici mesi, con effetti da piccoli a medi (Malfliet, PMID 29710099).</w:t>
      </w:r>
      <w:r>
        <w:t xml:space="preserve"> </w:t>
      </w:r>
      <w:r>
        <w:rPr>
          <w:i/>
          <w:iCs/>
        </w:rPr>
        <w:t xml:space="preserve">Popolazione mista collo e schiena.</w:t>
      </w:r>
      <w:r>
        <w:t xml:space="preserve"> </w:t>
      </w:r>
      <w:r>
        <w:t xml:space="preserve">La Cochrane dedicata non trova vantaggi rilevanti su dolore e disabilità, ma trova qualità moderata sulla riduzione della</w:t>
      </w:r>
      <w:r>
        <w:t xml:space="preserve"> </w:t>
      </w:r>
      <w:r>
        <w:rPr>
          <w:b/>
          <w:bCs/>
        </w:rPr>
        <w:t xml:space="preserve">chinesiofobia</w:t>
      </w:r>
      <w:r>
        <w:t xml:space="preserve"> </w:t>
      </w:r>
      <w:r>
        <w:t xml:space="preserve">(Monticone, PMID 26006174).</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w:t>
      </w:r>
    </w:p>
    <w:p>
      <w:pPr>
        <w:pStyle w:val="FirstParagraph"/>
      </w:pPr>
      <w:r>
        <w:rPr>
          <w:b/>
          <w:bCs/>
        </w:rPr>
        <w:t xml:space="preserve">Cosa NON fa.</w:t>
      </w:r>
      <w:r>
        <w:t xml:space="preserve"> </w:t>
      </w:r>
      <w:r>
        <w:t xml:space="preserve">Non sostituisce il carico. E non funziona come rassicurazione generica: un</w:t>
      </w:r>
      <w:r>
        <w:t xml:space="preserve"> </w:t>
      </w:r>
      <w:r>
        <w:t xml:space="preserve">“non ti preoccupare”</w:t>
      </w:r>
      <w:r>
        <w:t xml:space="preserve"> </w:t>
      </w:r>
      <w:r>
        <w:t xml:space="preserve">senza il dato accanto è indistinguibile da una minimizzazione.</w:t>
      </w:r>
    </w:p>
    <w:bookmarkEnd w:id="66"/>
    <w:bookmarkStart w:id="67" w:name="strumento-4-la-rieducazione-del-respiro"/>
    <w:p>
      <w:pPr>
        <w:pStyle w:val="Heading3"/>
      </w:pPr>
      <w:r>
        <w:t xml:space="preserve">Strumento 4 — La rieducazione del respiro</w:t>
      </w:r>
    </w:p>
    <w:p>
      <w:pPr>
        <w:pStyle w:val="FirstParagraph"/>
      </w:pPr>
      <w:r>
        <w:rPr>
          <w:b/>
          <w:bCs/>
        </w:rPr>
        <w:t xml:space="preserve">Cos’è.</w:t>
      </w:r>
      <w:r>
        <w:t xml:space="preserve"> </w:t>
      </w:r>
      <w:r>
        <w:t xml:space="preserve">Respiro lento e diaframmatico: portare sotto il diaframma il lavoro che il collo fa al posto suo.</w:t>
      </w:r>
      <w:r>
        <w:t xml:space="preserve"> </w:t>
      </w:r>
      <w:r>
        <w:rPr>
          <w:b/>
          <w:bCs/>
        </w:rPr>
        <w:t xml:space="preserve">Agisce sul quinto meccanismo, via respiratoria</w:t>
      </w:r>
      <w:r>
        <w:t xml:space="preserve">, e indirettamente sul primo, perché negli studi ha aumentato la forza dei flessori profondi.</w:t>
      </w:r>
    </w:p>
    <w:p>
      <w:pPr>
        <w:pStyle w:val="BodyText"/>
      </w:pPr>
      <w:r>
        <w:rPr>
          <w:b/>
          <w:bCs/>
        </w:rPr>
        <w:t xml:space="preserve">Cosa hanno misurato gli studi.</w:t>
      </w:r>
      <w:r>
        <w:t xml:space="preserve"> </w:t>
      </w:r>
      <w:r>
        <w:t xml:space="preserve">Cinque studi controllati dedicati al collo, sintetizzati due volte nel 2025 con conclusioni opposte. Su 228 pazienti, riduzione di dolore e disabilità fra due e otto settimane, certezza</w:t>
      </w:r>
      <w:r>
        <w:t xml:space="preserve"> </w:t>
      </w:r>
      <w:r>
        <w:rPr>
          <w:b/>
          <w:bCs/>
        </w:rPr>
        <w:t xml:space="preserve">bassa</w:t>
      </w:r>
      <w:r>
        <w:t xml:space="preserve"> </w:t>
      </w:r>
      <w:r>
        <w:t xml:space="preserve">(Cefalì, PMID 39941380). Su 204 pazienti,</w:t>
      </w:r>
      <w:r>
        <w:t xml:space="preserve"> </w:t>
      </w:r>
      <w:r>
        <w:rPr>
          <w:b/>
          <w:bCs/>
        </w:rPr>
        <w:t xml:space="preserve">nessun</w:t>
      </w:r>
      <w:r>
        <w:t xml:space="preserve"> </w:t>
      </w:r>
      <w:r>
        <w:t xml:space="preserve">effetto, certezza</w:t>
      </w:r>
      <w:r>
        <w:t xml:space="preserve"> </w:t>
      </w:r>
      <w:r>
        <w:rPr>
          <w:b/>
          <w:bCs/>
        </w:rPr>
        <w:t xml:space="preserve">molto bassa</w:t>
      </w:r>
      <w:r>
        <w:t xml:space="preserve"> </w:t>
      </w:r>
      <w:r>
        <w:t xml:space="preserve">(Park, PMID 41007191). Il più solido è in doppio cieco su 68 pazienti: otto settimane di rieducazione aggiunte alla fisioterapia hanno migliorato dolore e disabilità più della sola fisioterapia (Anwar, PMID 36006997). In una seconda coorte di 30 pazienti sono migliorate forza dei flessori profondi e capacità vitale (Anwar, PMID 35547963).</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w:t>
      </w:r>
      <w:r>
        <w:t xml:space="preserve"> </w:t>
      </w:r>
      <w:r>
        <w:rPr>
          <w:b/>
          <w:bCs/>
        </w:rPr>
        <w:t xml:space="preserve">con la discordanza dichiarata</w:t>
      </w:r>
      <w:r>
        <w:t xml:space="preserve">: campioni fra 30 e 90 pazienti, certezza bassa e molto bassa, due sintesi che si contraddicono sugli stessi studi.</w:t>
      </w:r>
    </w:p>
    <w:p>
      <w:pPr>
        <w:pStyle w:val="FirstParagraph"/>
      </w:pPr>
      <w:r>
        <w:rPr>
          <w:b/>
          <w:bCs/>
        </w:rPr>
        <w:t xml:space="preserve">Cosa NON fa.</w:t>
      </w:r>
      <w:r>
        <w:t xml:space="preserve"> </w:t>
      </w:r>
      <w:r>
        <w:t xml:space="preserve">Non cambia la postura in modo replicato: l’effetto c’è in una sintesi e non nell’altra. E il nesso causale respiro → dolore resta non stabilito: stai usando un intervento che in parte funziona, non un meccanismo dimostrato.</w:t>
      </w:r>
    </w:p>
    <w:p>
      <w:pPr>
        <w:pStyle w:val="BodyText"/>
      </w:pPr>
      <w:r>
        <w:rPr>
          <w:b/>
          <w:bCs/>
        </w:rPr>
        <w:t xml:space="preserve">Le tre cose da ricordare, più una</w:t>
      </w:r>
    </w:p>
    <w:p>
      <w:pPr>
        <w:pStyle w:val="Compact"/>
        <w:numPr>
          <w:ilvl w:val="0"/>
          <w:numId w:val="1037"/>
        </w:numPr>
      </w:pPr>
      <w:r>
        <w:t xml:space="preserve">L’esercizio ha lo stesso livello di prove del lavoro manuale: per il cronico ha una Cochrane dedicata e un trial JAMA a dodici mesi.</w:t>
      </w:r>
    </w:p>
    <w:p>
      <w:pPr>
        <w:pStyle w:val="Compact"/>
        <w:numPr>
          <w:ilvl w:val="0"/>
          <w:numId w:val="1037"/>
        </w:numPr>
      </w:pPr>
      <w:r>
        <w:t xml:space="preserve">Il suo guadagno appartiene alla ripetizione: attribuirlo alla seduta è il modo più veloce per concludere che niente funziona.</w:t>
      </w:r>
    </w:p>
    <w:p>
      <w:pPr>
        <w:pStyle w:val="Compact"/>
        <w:numPr>
          <w:ilvl w:val="0"/>
          <w:numId w:val="1037"/>
        </w:numPr>
      </w:pPr>
      <w:r>
        <w:t xml:space="preserve">Per il dolore acuto non esistono prove sull’esercizio, e non è un dettaglio.</w:t>
      </w:r>
    </w:p>
    <w:p>
      <w:pPr>
        <w:pStyle w:val="Compact"/>
        <w:numPr>
          <w:ilvl w:val="0"/>
          <w:numId w:val="1037"/>
        </w:numPr>
      </w:pPr>
      <w:r>
        <w:rPr>
          <w:b/>
          <w:bCs/>
        </w:rPr>
        <w:t xml:space="preserve">Perché ci sei tu.</w:t>
      </w:r>
      <w:r>
        <w:t xml:space="preserve"> </w:t>
      </w:r>
      <w:r>
        <w:t xml:space="preserve">In un anno su impiegati l’allenamento di forza ha portato l’intensità del dolore da 5,0 a 3,4 su 9, mentre la sola consulenza non ha cambiato nulla. L’aderenza è scesa al 35% (Andersen, PMID 18461010). Questo ti autorizza a mettere il carico al centro e a considerare l’aderenza parte del tuo lavoro. Non ti autorizza a intestarti quel guadagno: è dell’allenamento, e senza allenamento sparisce.</w:t>
      </w:r>
    </w:p>
    <w:p>
      <w:r>
        <w:pict>
          <v:rect style="width:0;height:1.5pt" o:hralign="center" o:hrstd="t" o:hr="t"/>
        </w:pict>
      </w:r>
    </w:p>
    <w:bookmarkEnd w:id="67"/>
    <w:bookmarkEnd w:id="68"/>
    <w:bookmarkStart w:id="74"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cambia questo colloquio non riguarda il tuo trattamento, riguarda la sua risonanza.</w:t>
      </w:r>
    </w:p>
    <w:bookmarkStart w:id="69" w:name="lo-script-di-spiegazione"/>
    <w:p>
      <w:pPr>
        <w:pStyle w:val="Heading3"/>
      </w:pPr>
      <w:r>
        <w:t xml:space="preserve">Lo script di spiegazione</w:t>
      </w:r>
    </w:p>
    <w:p>
      <w:pPr>
        <w:pStyle w:val="FirstParagraph"/>
      </w:pPr>
      <w:r>
        <w:rPr>
          <w:i/>
          <w:iCs/>
        </w:rPr>
        <w:t xml:space="preserve">“Da quello che ho misurato, il tuo collo non lavora bene: non è rotto. Io non ho escluso niente: quello lo fa il medico. Per reggere la testa servono dei muscoletti profondi che si accendono un attimo prima del movimento, e spalle e torace che fanno la loro parte. Quando si stancano, il turno passa ai muscoli di superficie, che non sono fatti per questo. Quelli sono i muscoli che senti tu: fanno male perché coprono un turno che non è il loro. Io lavoro perché quel turno torni a chi lo faceva. E una parte la fai tu.”</w:t>
      </w:r>
    </w:p>
    <w:bookmarkEnd w:id="69"/>
    <w:bookmarkStart w:id="70" w:name="le-obiezioni-e-le-risposte-oneste"/>
    <w:p>
      <w:pPr>
        <w:pStyle w:val="Heading3"/>
      </w:pPr>
      <w:r>
        <w:t xml:space="preserve">Le obiezioni, e le risposte oneste</w:t>
      </w:r>
    </w:p>
    <w:p>
      <w:pPr>
        <w:pStyle w:val="FirstParagraph"/>
      </w:pPr>
      <w:r>
        <w:rPr>
          <w:b/>
          <w:bCs/>
        </w:rPr>
        <w:t xml:space="preserve">“Ho paura che mi scrocchiate il collo.”</w:t>
      </w:r>
    </w:p>
    <w:p>
      <w:pPr>
        <w:pStyle w:val="BodyText"/>
      </w:pPr>
      <w:r>
        <w:rPr>
          <w:i/>
          <w:iCs/>
        </w:rPr>
        <w:t xml:space="preserve">“Non è obbligatorio, e non lo faccio senza dirtelo prima. Lo studio più grande su questo ha confrontato le tecniche a spinta con quelle lente, e ha trovato risultati simili su tutto quello che ha misurato. Se le tecniche lente ti fanno stare più tranquillo, non stai scegliendo un ripiego. Qualunque tecnica usi, può lasciarti indolenzito per un giorno: è normale. Se invece senti un dolore diverso da tutti quelli che hai avuto, o disturbi alla vista, all’equilibrio o alla parola, mi chiami subito.”</w:t>
      </w:r>
    </w:p>
    <w:p>
      <w:pPr>
        <w:pStyle w:val="BlockText"/>
      </w:pPr>
      <w:r>
        <w:rPr>
          <w:b/>
          <w:bCs/>
        </w:rPr>
        <w:t xml:space="preserve">Cosa cambia per te.</w:t>
      </w:r>
      <w:r>
        <w:t xml:space="preserve"> </w:t>
      </w:r>
      <w:r>
        <w:t xml:space="preserve">L’aspettativa si chiede</w:t>
      </w:r>
      <w:r>
        <w:t xml:space="preserve"> </w:t>
      </w:r>
      <w:r>
        <w:rPr>
          <w:b/>
          <w:bCs/>
        </w:rPr>
        <w:t xml:space="preserve">prima</w:t>
      </w:r>
      <w:r>
        <w:t xml:space="preserve"> </w:t>
      </w:r>
      <w:r>
        <w:t xml:space="preserve">di scegliere la classe di tecnica, e va chiesta nei due versi: non solo a chi ha paura della spinta, anche a chi ci conta. Su 140 pazienti cervicali i numeri sono questi (Bishop,</w:t>
      </w:r>
      <w:r>
        <w:t xml:space="preserve"> </w:t>
      </w:r>
      <w:r>
        <w:rPr>
          <w:i/>
          <w:iCs/>
        </w:rPr>
        <w:t xml:space="preserve">JOSPT</w:t>
      </w:r>
      <w:r>
        <w:t xml:space="preserve"> </w:t>
      </w:r>
      <w:r>
        <w:t xml:space="preserve">2013, PMID 23508341):</w:t>
      </w:r>
    </w:p>
    <w:p>
      <w:pPr>
        <w:pStyle w:val="Compact"/>
        <w:numPr>
          <w:ilvl w:val="0"/>
          <w:numId w:val="1038"/>
        </w:numPr>
      </w:pPr>
      <w:r>
        <w:t xml:space="preserve">chi era incerto di ottenere un sollievo completo aveva probabilità di esito favorevole più basse (OR 0,33 a un mese, 0,19 a sei mesi);</w:t>
      </w:r>
    </w:p>
    <w:p>
      <w:pPr>
        <w:pStyle w:val="Compact"/>
        <w:numPr>
          <w:ilvl w:val="0"/>
          <w:numId w:val="1038"/>
        </w:numPr>
      </w:pPr>
      <w:r>
        <w:rPr>
          <w:b/>
          <w:bCs/>
        </w:rPr>
        <w:t xml:space="preserve">credere che la manipolazione avrebbe aiutato e poi non riceverla</w:t>
      </w:r>
      <w:r>
        <w:t xml:space="preserve"> </w:t>
      </w:r>
      <w:r>
        <w:t xml:space="preserve">abbassava quelle probabilità (OR 0,16);</w:t>
      </w:r>
    </w:p>
    <w:p>
      <w:pPr>
        <w:pStyle w:val="Compact"/>
        <w:numPr>
          <w:ilvl w:val="0"/>
          <w:numId w:val="1038"/>
        </w:numPr>
      </w:pPr>
      <w:r>
        <w:t xml:space="preserve">aspettarsi con certezza di fare più esercizio le alzava (OR 11,4).</w:t>
      </w:r>
    </w:p>
    <w:p>
      <w:pPr>
        <w:pStyle w:val="BlockText"/>
      </w:pPr>
      <w:r>
        <w:rPr>
          <w:b/>
          <w:bCs/>
        </w:rPr>
        <w:t xml:space="preserve">È un’associazione fra aspettativa dichiarata prima ed esito riferito dopo, non l’effetto di un trattamento randomizzato.</w:t>
      </w:r>
      <w:r>
        <w:t xml:space="preserve"> </w:t>
      </w:r>
      <w:r>
        <w:t xml:space="preserve">Dice di chiedere l’aspettativa, non che cambiarla cambi l’esito.</w:t>
      </w:r>
    </w:p>
    <w:p>
      <w:pPr>
        <w:pStyle w:val="FirstParagraph"/>
      </w:pPr>
      <w:r>
        <w:rPr>
          <w:b/>
          <w:bCs/>
        </w:rPr>
        <w:t xml:space="preserve">“La risonanza dice che ho le protrusioni: c’è poco da fare.”</w:t>
      </w:r>
    </w:p>
    <w:p>
      <w:pPr>
        <w:pStyle w:val="BodyText"/>
      </w:pPr>
      <w:r>
        <w:rPr>
          <w:i/>
          <w:iCs/>
        </w:rPr>
        <w:t xml:space="preserve">“Quelle immagini si trovano in nove persone su dieci che non hanno alcun dolore, e già in tre su quattro a vent’anni. Se fossero la causa, quelle nove avrebbero male. Non vuol dire che la risonanza non serva: in una minoranza di casi trova cose diverse che contano. Il radiologo, nel tuo referto, quelle cose non le ha scritte. E il referto è di quell’anno: se qualcosa è cambiato da allora, la domanda va rifatta al tuo medico, non a me. Quello che posso dirti io è che le protrusioni non spiegano il tuo dolore, e questo sposta la domanda dall’osso al modo in cui il collo lavora.”</w:t>
      </w:r>
    </w:p>
    <w:p>
      <w:pPr>
        <w:pStyle w:val="BodyText"/>
      </w:pPr>
      <w:r>
        <w:rPr>
          <w:b/>
          <w:bCs/>
        </w:rPr>
        <w:t xml:space="preserve">“Ho già fatto massaggi: dura tre giorni.”</w:t>
      </w:r>
    </w:p>
    <w:p>
      <w:pPr>
        <w:pStyle w:val="BodyText"/>
      </w:pPr>
      <w:r>
        <w:rPr>
          <w:i/>
          <w:iCs/>
        </w:rPr>
        <w:t xml:space="preserve">“Il massaggio lavora sul muscolo che fa male. Quel muscolo fa male perché copre un lavoro che non è suo, e finché il lavoro resta lì lui torna a farsi sentire. Io cerco chi ha smesso di fare la sua parte. E una parte te la insegno, perché sull’esercizio ci sono le prove migliori che esistono su questo problema.”</w:t>
      </w:r>
    </w:p>
    <w:p>
      <w:pPr>
        <w:pStyle w:val="BodyText"/>
      </w:pPr>
      <w:r>
        <w:rPr>
          <w:b/>
          <w:bCs/>
        </w:rPr>
        <w:t xml:space="preserve">“Funzionerà per me?”</w:t>
      </w:r>
    </w:p>
    <w:p>
      <w:pPr>
        <w:pStyle w:val="BodyText"/>
      </w:pPr>
      <w:r>
        <w:rPr>
          <w:i/>
          <w:iCs/>
        </w:rPr>
        <w:t xml:space="preserve">“Non lo prometto. Scegliamo insieme una misura oggi — quanto gira la testa, quanto si apre il torace — e la rimisuriamo. Entro il numero di sedute che ti dico, quella misura si muove o non si muove. Se non si muove, te lo dico io e ci fermiamo.”</w:t>
      </w:r>
    </w:p>
    <w:p>
      <w:pPr>
        <w:pStyle w:val="BodyText"/>
      </w:pPr>
      <w:r>
        <w:rPr>
          <w:b/>
          <w:bCs/>
        </w:rPr>
        <w:t xml:space="preserve">“È la cervicale, ci convivono tutti.”</w:t>
      </w:r>
    </w:p>
    <w:p>
      <w:pPr>
        <w:pStyle w:val="BodyText"/>
      </w:pPr>
      <w:r>
        <w:rPr>
          <w:i/>
          <w:iCs/>
        </w:rPr>
        <w:t xml:space="preserve">“È comune davvero: nel mondo riguarda circa duecento milioni di persone. Ma comune non vuol dire che non ci sia niente da fare, né che debba tornare così spesso. Quello che si può cambiare è quanto spesso torna e quanto ti lascia addosso.”</w:t>
      </w:r>
    </w:p>
    <w:bookmarkEnd w:id="70"/>
    <w:bookmarkStart w:id="71" w:name="la-convivenza-con-le-stesse-parole"/>
    <w:p>
      <w:pPr>
        <w:pStyle w:val="Heading3"/>
      </w:pPr>
      <w:r>
        <w:t xml:space="preserve">La convivenza, con le stesse parole</w:t>
      </w:r>
    </w:p>
    <w:p>
      <w:pPr>
        <w:pStyle w:val="FirstParagraph"/>
      </w:pPr>
      <w:r>
        <w:t xml:space="preserve">Una frase il paziente deve sentirla per intero:</w:t>
      </w:r>
      <w:r>
        <w:t xml:space="preserve"> </w:t>
      </w:r>
      <w:r>
        <w:rPr>
          <w:b/>
          <w:bCs/>
        </w:rPr>
        <w:t xml:space="preserve">un reperto positivo giustifica il mio lavoro, non sostituisce l’inquadramento medico.</w:t>
      </w:r>
      <w:r>
        <w:t xml:space="preserve"> </w:t>
      </w:r>
      <w:r>
        <w:t xml:space="preserve">In stanza suona così.</w:t>
      </w:r>
    </w:p>
    <w:p>
      <w:pPr>
        <w:pStyle w:val="BodyText"/>
      </w:pPr>
      <w:r>
        <w:rPr>
          <w:i/>
          <w:iCs/>
        </w:rPr>
        <w:t xml:space="preserve">“Io ho trovato qualcosa da trattare, e quello lo tratto. Non ho scoperto cos’hai: sono due cose diverse e vanno insieme. Il tuo medico deve comunque inquadrare il formicolio, e intanto io non aspetto.”</w:t>
      </w:r>
    </w:p>
    <w:bookmarkEnd w:id="71"/>
    <w:bookmarkStart w:id="72" w:name="cosa-non-promettere-mai"/>
    <w:p>
      <w:pPr>
        <w:pStyle w:val="Heading3"/>
      </w:pPr>
      <w:r>
        <w:t xml:space="preserve">Cosa non promettere mai</w:t>
      </w:r>
    </w:p>
    <w:p>
      <w:pPr>
        <w:pStyle w:val="FirstParagraph"/>
      </w:pPr>
      <w:r>
        <w:t xml:space="preserve">Che il dolore non tornerà. Che si corregge la postura o la curva del collo. Che il trattamento sostituisce o riduce un farmaco.</w:t>
      </w:r>
    </w:p>
    <w:bookmarkEnd w:id="72"/>
    <w:bookmarkStart w:id="73" w:name="cosa-gli-dici-prima-che-esca"/>
    <w:p>
      <w:pPr>
        <w:pStyle w:val="Heading3"/>
      </w:pPr>
      <w:r>
        <w:t xml:space="preserve">Cosa gli dici prima che esca</w:t>
      </w:r>
    </w:p>
    <w:p>
      <w:pPr>
        <w:pStyle w:val="FirstParagraph"/>
      </w:pPr>
      <w:r>
        <w:t xml:space="preserve">La dissecazione arteriosa si presenta come dolore al collo e mal di testa, ore o giorni prima dell’evento neurologico. In quelle ore il primo osservatore disponibile è lui, non tu.</w:t>
      </w:r>
    </w:p>
    <w:p>
      <w:pPr>
        <w:pStyle w:val="BodyText"/>
      </w:pPr>
      <w:r>
        <w:rPr>
          <w:i/>
          <w:iCs/>
        </w:rPr>
        <w:t xml:space="preserve">“Una cosa prima che vai. Se nelle prossime ore o nei prossimi giorni ti succede una di queste quattro, non chiami me: chiami il 112. Un mal di testa improvviso e violento come non ti è mai capitato. Un disturbo della vista, della parola o della deglutizione. Debolezza o intorpidimento di un lato. Un capogiro con instabilità o una caduta. Sono cose rare, e non c’entrano necessariamente con quello che abbiamo fatto oggi: ma lì il tempo è tutto.”</w:t>
      </w:r>
    </w:p>
    <w:p>
      <w:pPr>
        <w:pStyle w:val="BodyText"/>
      </w:pPr>
      <w:r>
        <w:rPr>
          <w:b/>
          <w:bCs/>
        </w:rPr>
        <w:t xml:space="preserve">Le tre cose da ricordare, più una</w:t>
      </w:r>
    </w:p>
    <w:p>
      <w:pPr>
        <w:pStyle w:val="Compact"/>
        <w:numPr>
          <w:ilvl w:val="0"/>
          <w:numId w:val="1039"/>
        </w:numPr>
      </w:pPr>
      <w:r>
        <w:t xml:space="preserve">La frase che cambia il colloquio è quella sul referto, non quella sul tuo metodo.</w:t>
      </w:r>
    </w:p>
    <w:p>
      <w:pPr>
        <w:pStyle w:val="Compact"/>
        <w:numPr>
          <w:ilvl w:val="0"/>
          <w:numId w:val="1039"/>
        </w:numPr>
      </w:pPr>
      <w:r>
        <w:t xml:space="preserve">Lo script non esclude niente: dichiara cosa hai misurato tu, e chi esclude è il medico.</w:t>
      </w:r>
    </w:p>
    <w:p>
      <w:pPr>
        <w:pStyle w:val="Compact"/>
        <w:numPr>
          <w:ilvl w:val="0"/>
          <w:numId w:val="1039"/>
        </w:numPr>
      </w:pPr>
      <w:r>
        <w:t xml:space="preserve">Il paziente esce sapendo cosa deve riconoscere a casa, e a chi telefonare.</w:t>
      </w:r>
    </w:p>
    <w:p>
      <w:pPr>
        <w:pStyle w:val="Compact"/>
        <w:numPr>
          <w:ilvl w:val="0"/>
          <w:numId w:val="1039"/>
        </w:numPr>
      </w:pPr>
      <w:r>
        <w:rPr>
          <w:b/>
          <w:bCs/>
        </w:rPr>
        <w:t xml:space="preserve">Perché ci sei tu.</w:t>
      </w:r>
      <w:r>
        <w:t xml:space="preserve"> </w:t>
      </w:r>
      <w:r>
        <w:t xml:space="preserve">Negli adulti la posizione protratta del capo è più marcata in chi ha dolore al collo; negli adolescenti l’associazione non c’è (Mahmoud, PMID 31773477). Questo ti autorizza a nominare la postura con l’adulto seduto otto ore. Non ti autorizza a promettere a un ragazzo che raddrizzarsi gli toglierà il dolore.</w:t>
      </w:r>
    </w:p>
    <w:p>
      <w:r>
        <w:pict>
          <v:rect style="width:0;height:1.5pt" o:hralign="center" o:hrstd="t" o:hr="t"/>
        </w:pict>
      </w:r>
    </w:p>
    <w:bookmarkEnd w:id="73"/>
    <w:bookmarkEnd w:id="74"/>
    <w:bookmarkStart w:id="75" w:name="capitolo-14-cosa-fare-adesso"/>
    <w:p>
      <w:pPr>
        <w:pStyle w:val="Heading2"/>
      </w:pPr>
      <w:r>
        <w:t xml:space="preserve">Capitolo 14 — Cosa fare adesso</w:t>
      </w:r>
    </w:p>
    <w:p>
      <w:pPr>
        <w:pStyle w:val="BlockText"/>
      </w:pPr>
      <w:r>
        <w:rPr>
          <w:b/>
          <w:bCs/>
        </w:rPr>
        <w:t xml:space="preserve">In una riga:</w:t>
      </w:r>
      <w:r>
        <w:t xml:space="preserve"> </w:t>
      </w:r>
      <w:r>
        <w:t xml:space="preserve">hai due leve con prove, nessuna gerarchia fra loro, e un solo modo di sapere se funzionano su questo paziente.</w:t>
      </w:r>
    </w:p>
    <w:p>
      <w:pPr>
        <w:pStyle w:val="FirstParagraph"/>
      </w:pPr>
      <w:r>
        <w:t xml:space="preserve">Ti arriva una persona che ha perso un gesto e ha un appuntamento fisso con il dolore delle cinque. Le hanno mostrato un’immagine invece di darle una spiegazione.</w:t>
      </w:r>
    </w:p>
    <w:p>
      <w:pPr>
        <w:pStyle w:val="BodyText"/>
      </w:pPr>
      <w:r>
        <w:t xml:space="preserve">Quello che si rompe non è quasi mai dove lei indica. Il controllo profondo arriva tardi. Un’articolazione genera dolore dal suo livello. Il carico non cambia mai posizione, nemmeno quando è il respiro a produrlo. Una radice si irrita. L’ingresso cervicale alto si scarica sulla testa. E in alcuni la soglia si è abbassata al punto che il reperto non spiega più il quadro.</w:t>
      </w:r>
    </w:p>
    <w:p>
      <w:pPr>
        <w:pStyle w:val="BodyText"/>
      </w:pPr>
      <w:r>
        <w:t xml:space="preserve">Le tue leve sono reali su cinque di quei sei guasti, e l’esercizio ne regge due da solo, con prove migliori delle tue. Il campo finisce dove il dolore smette di comportarsi come dolore muscolo-scheletrico. Lì il tuo valore è la velocità con cui riconosci e mandi.</w:t>
      </w:r>
    </w:p>
    <w:p>
      <w:pPr>
        <w:pStyle w:val="BodyText"/>
      </w:pPr>
      <w:r>
        <w:rPr>
          <w:b/>
          <w:bCs/>
        </w:rPr>
        <w:t xml:space="preserve">Quando sei autonomo su questa condizione.</w:t>
      </w:r>
      <w:r>
        <w:t xml:space="preserve"> </w:t>
      </w:r>
      <w:r>
        <w:t xml:space="preserve">Non quando ricordi i sei meccanismi a memoria. Sei autonomo quando distingui senza esitare il sottotipo</w:t>
      </w:r>
      <w:r>
        <w:t xml:space="preserve"> </w:t>
      </w:r>
      <w:r>
        <w:rPr>
          <w:b/>
          <w:bCs/>
        </w:rPr>
        <w:t xml:space="preserve">sensibilizzato</w:t>
      </w:r>
      <w:r>
        <w:t xml:space="preserve"> </w:t>
      </w:r>
      <w:r>
        <w:t xml:space="preserve">da quello</w:t>
      </w:r>
      <w:r>
        <w:t xml:space="preserve"> </w:t>
      </w:r>
      <w:r>
        <w:rPr>
          <w:b/>
          <w:bCs/>
        </w:rPr>
        <w:t xml:space="preserve">da carico continuo</w:t>
      </w:r>
      <w:r>
        <w:t xml:space="preserve">. Quando riconosci in cinque minuti il paziente che va</w:t>
      </w:r>
      <w:r>
        <w:t xml:space="preserve"> </w:t>
      </w:r>
      <w:r>
        <w:rPr>
          <w:b/>
          <w:bCs/>
        </w:rPr>
        <w:t xml:space="preserve">riconosciuto e mandato</w:t>
      </w:r>
      <w:r>
        <w:t xml:space="preserve"> </w:t>
      </w:r>
      <w:r>
        <w:t xml:space="preserve">invece che trattato. E quando sai dire a un medico, sulla stessa affermazione, cosa il dato ti autorizza a dire e cosa no. Finché una delle tre ti costa una rilettura, il capitolo che la copre è quello da riaprire.</w:t>
      </w:r>
    </w:p>
    <w:p>
      <w:pPr>
        <w:pStyle w:val="BodyText"/>
      </w:pPr>
      <w:r>
        <w:rPr>
          <w:b/>
          <w:bCs/>
        </w:rPr>
        <w:t xml:space="preserve">Le tre cose che cambi da lunedì</w:t>
      </w:r>
    </w:p>
    <w:p>
      <w:pPr>
        <w:pStyle w:val="Compact"/>
        <w:numPr>
          <w:ilvl w:val="0"/>
          <w:numId w:val="1040"/>
        </w:numPr>
      </w:pPr>
      <w:r>
        <w:rPr>
          <w:b/>
          <w:bCs/>
        </w:rPr>
        <w:t xml:space="preserve">Misura la tenuta della flessione cranio-cervicale e la rotazione in flessione</w:t>
      </w:r>
      <w:r>
        <w:t xml:space="preserve">, prima di trattare, in ogni paziente che entra per il collo. Sono le due misure agganciate alla leva con le prove migliori, e nessun referto le contiene.</w:t>
      </w:r>
    </w:p>
    <w:p>
      <w:pPr>
        <w:pStyle w:val="Compact"/>
        <w:numPr>
          <w:ilvl w:val="0"/>
          <w:numId w:val="1040"/>
        </w:numPr>
      </w:pPr>
      <w:r>
        <w:rPr>
          <w:b/>
          <w:bCs/>
        </w:rPr>
        <w:t xml:space="preserve">Di’ che la sua protrusione ce l’hanno nove persone su dieci senza dolore.</w:t>
      </w:r>
      <w:r>
        <w:t xml:space="preserve"> </w:t>
      </w:r>
      <w:r>
        <w:t xml:space="preserve">E nella stessa frase di’ perché la risonanza serve lo stesso.</w:t>
      </w:r>
    </w:p>
    <w:p>
      <w:pPr>
        <w:pStyle w:val="Compact"/>
        <w:numPr>
          <w:ilvl w:val="0"/>
          <w:numId w:val="1040"/>
        </w:numPr>
      </w:pPr>
      <w:r>
        <w:rPr>
          <w:b/>
          <w:bCs/>
        </w:rPr>
        <w:t xml:space="preserve">Smetti di dire che il trattamento manuale rilassa il sistema nervoso.</w:t>
      </w:r>
      <w:r>
        <w:t xml:space="preserve"> </w:t>
      </w:r>
      <w:r>
        <w:t xml:space="preserve">Di’ che modula il dolore: è quello che è stato misurato.</w:t>
      </w:r>
    </w:p>
    <w:p>
      <w:pPr>
        <w:pStyle w:val="FirstParagraph"/>
      </w:pPr>
      <w:r>
        <w:rPr>
          <w:i/>
          <w:iCs/>
        </w:rPr>
        <w:t xml:space="preserve">Il collo è il distretto in cui il corpo ha messo più sensori per grammo di muscolo: non una zona da sciogliere, ma da ascoltare e poi rimettere al lavoro. Chi la tratta come una contrattura otterrà tre giorni; chi la tratta come un sistema di controllo ha davanti tutto il resto.</w:t>
      </w:r>
    </w:p>
    <w:p>
      <w:pPr>
        <w:pStyle w:val="BodyText"/>
      </w:pPr>
      <w:r>
        <w:rPr>
          <w:b/>
          <w:bCs/>
        </w:rPr>
        <w:t xml:space="preserve">Le tre cose da ricordare, più una</w:t>
      </w:r>
    </w:p>
    <w:p>
      <w:pPr>
        <w:pStyle w:val="Compact"/>
        <w:numPr>
          <w:ilvl w:val="0"/>
          <w:numId w:val="1041"/>
        </w:numPr>
      </w:pPr>
      <w:r>
        <w:t xml:space="preserve">Il marker della prova si sceglie</w:t>
      </w:r>
      <w:r>
        <w:t xml:space="preserve"> </w:t>
      </w:r>
      <w:r>
        <w:rPr>
          <w:b/>
          <w:bCs/>
        </w:rPr>
        <w:t xml:space="preserve">dopo</w:t>
      </w:r>
      <w:r>
        <w:t xml:space="preserve"> </w:t>
      </w:r>
      <w:r>
        <w:t xml:space="preserve">aver deciso cosa tratti.</w:t>
      </w:r>
    </w:p>
    <w:p>
      <w:pPr>
        <w:pStyle w:val="Compact"/>
        <w:numPr>
          <w:ilvl w:val="0"/>
          <w:numId w:val="1041"/>
        </w:numPr>
      </w:pPr>
      <w:r>
        <w:t xml:space="preserve">Di’ al paziente cosa non spiega il suo referto, e perché serve lo stesso.</w:t>
      </w:r>
    </w:p>
    <w:p>
      <w:pPr>
        <w:pStyle w:val="Compact"/>
        <w:numPr>
          <w:ilvl w:val="0"/>
          <w:numId w:val="1041"/>
        </w:numPr>
      </w:pPr>
      <w:r>
        <w:t xml:space="preserve">Smetti di attribuire al tocco un rilassamento che nessuno ha misurato.</w:t>
      </w:r>
    </w:p>
    <w:p>
      <w:pPr>
        <w:pStyle w:val="Compact"/>
        <w:numPr>
          <w:ilvl w:val="0"/>
          <w:numId w:val="1041"/>
        </w:numPr>
      </w:pPr>
      <w:r>
        <w:rPr>
          <w:b/>
          <w:bCs/>
        </w:rPr>
        <w:t xml:space="preserve">Perché ci sei tu.</w:t>
      </w:r>
      <w:r>
        <w:t xml:space="preserve"> </w:t>
      </w:r>
      <w:r>
        <w:t xml:space="preserve">Su 200 pazienti con cefalea cervicogenica, sia la terapia manipolativa sia l’esercizio hanno ridotto frequenza e intensità del mal di testa a dodici mesi. La combinazione delle due non è risultata superiore (Jull, PMID 12221344). Questo ti autorizza a scegliere la leva sul paziente che hai davanti, sapendo che nessuna delle due è il ripiego dell’altra. Non ti autorizza a promettere che farle entrambe funzioni di più.</w:t>
      </w:r>
    </w:p>
    <w:p>
      <w:r>
        <w:pict>
          <v:rect style="width:0;height:1.5pt" o:hralign="center" o:hrstd="t" o:hr="t"/>
        </w:pict>
      </w:r>
    </w:p>
    <w:bookmarkEnd w:id="75"/>
    <w:bookmarkStart w:id="76" w:name="appendice-a-glossario"/>
    <w:p>
      <w:pPr>
        <w:pStyle w:val="Heading2"/>
      </w:pPr>
      <w:r>
        <w:t xml:space="preserve">Appendice A — Glossario</w:t>
      </w:r>
    </w:p>
    <w:p>
      <w:pPr>
        <w:pStyle w:val="FirstParagraph"/>
      </w:pPr>
      <w:r>
        <w:rPr>
          <w:i/>
          <w:iCs/>
        </w:rPr>
        <w:t xml:space="preserve">Quarantasette voci contro il collaudo delle quaranta. Quattro sono le etichette di solidità, che il metodo impone a Glossario e che nel collaudo non erano contate. Lo sforamento resta, ed è dichiarato invece che taciuto.</w:t>
      </w:r>
    </w:p>
    <w:p>
      <w:pPr>
        <w:pStyle w:val="Compact"/>
        <w:numPr>
          <w:ilvl w:val="0"/>
          <w:numId w:val="1042"/>
        </w:numPr>
      </w:pPr>
      <w:r>
        <w:rPr>
          <w:b/>
          <w:bCs/>
        </w:rPr>
        <w:t xml:space="preserve">Bias di pubblicazione</w:t>
      </w:r>
      <w:r>
        <w:t xml:space="preserve"> </w:t>
      </w:r>
      <w:r>
        <w:t xml:space="preserve">— Distorsione che nasce da un fatto: gli studi con risultato positivo vengono pubblicati più spesso di quelli negativi. L’effetto medio che si legge nelle revisioni è quindi più grande del vero.</w:t>
      </w:r>
    </w:p>
    <w:p>
      <w:pPr>
        <w:pStyle w:val="Compact"/>
        <w:numPr>
          <w:ilvl w:val="0"/>
          <w:numId w:val="1042"/>
        </w:numPr>
      </w:pPr>
      <w:r>
        <w:rPr>
          <w:b/>
          <w:bCs/>
        </w:rPr>
        <w:t xml:space="preserve">Carico allostatico</w:t>
      </w:r>
      <w:r>
        <w:t xml:space="preserve"> </w:t>
      </w:r>
      <w:r>
        <w:t xml:space="preserve">— Il costo cumulativo che l’organismo paga per adattarsi a stress ripetuti nel tempo.</w:t>
      </w:r>
    </w:p>
    <w:p>
      <w:pPr>
        <w:pStyle w:val="Compact"/>
        <w:numPr>
          <w:ilvl w:val="0"/>
          <w:numId w:val="1042"/>
        </w:numPr>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Compact"/>
        <w:numPr>
          <w:ilvl w:val="0"/>
          <w:numId w:val="1042"/>
        </w:numPr>
      </w:pPr>
      <w:r>
        <w:rPr>
          <w:b/>
          <w:bCs/>
        </w:rPr>
        <w:t xml:space="preserve">Cefalea cervicogenica</w:t>
      </w:r>
      <w:r>
        <w:t xml:space="preserve"> </w:t>
      </w:r>
      <w:r>
        <w:t xml:space="preserve">— Mal di testa che origina da strutture del collo, tipicamente unilaterale e riprodotto da movimenti o pressione cervicale. La diagnosi è atto medico (ICHD-3, 11.2.1).</w:t>
      </w:r>
    </w:p>
    <w:p>
      <w:pPr>
        <w:pStyle w:val="Compact"/>
        <w:numPr>
          <w:ilvl w:val="0"/>
          <w:numId w:val="1042"/>
        </w:numPr>
      </w:pPr>
      <w:r>
        <w:rPr>
          <w:b/>
          <w:bCs/>
        </w:rPr>
        <w:t xml:space="preserve">Cefalea da uso eccessivo di farmaci</w:t>
      </w:r>
      <w:r>
        <w:t xml:space="preserve"> </w:t>
      </w:r>
      <w:r>
        <w:t xml:space="preserve">— Cefalea presente 15 o più giorni al mese in chi ha una cefalea primaria, con assunzione regolare di analgesici per oltre tre mesi.</w:t>
      </w:r>
    </w:p>
    <w:p>
      <w:pPr>
        <w:pStyle w:val="Compact"/>
        <w:numPr>
          <w:ilvl w:val="0"/>
          <w:numId w:val="1042"/>
        </w:numPr>
      </w:pPr>
      <w:r>
        <w:rPr>
          <w:b/>
          <w:bCs/>
        </w:rPr>
        <w:t xml:space="preserve">Central Sensitization Inventory (CSI)</w:t>
      </w:r>
      <w:r>
        <w:t xml:space="preserve"> </w:t>
      </w:r>
      <w:r>
        <w:t xml:space="preserve">— Questionario di stato sulla sensibilizzazione, soglia 40 su 100.</w:t>
      </w:r>
    </w:p>
    <w:p>
      <w:pPr>
        <w:pStyle w:val="Compact"/>
        <w:numPr>
          <w:ilvl w:val="0"/>
          <w:numId w:val="1042"/>
        </w:numPr>
      </w:pPr>
      <w:r>
        <w:rPr>
          <w:b/>
          <w:bCs/>
        </w:rPr>
        <w:t xml:space="preserve">Centro di coordinazione / centro di percezione</w:t>
      </w:r>
      <w:r>
        <w:t xml:space="preserve"> </w:t>
      </w:r>
      <w:r>
        <w:t xml:space="preserve">— Nel metodo fasciale di L. Stecco, il punto dove convergono le forze muscolari e il punto dove il paziente sente il dolore.</w:t>
      </w:r>
    </w:p>
    <w:p>
      <w:pPr>
        <w:pStyle w:val="Compact"/>
        <w:numPr>
          <w:ilvl w:val="0"/>
          <w:numId w:val="1042"/>
        </w:numPr>
      </w:pPr>
      <w:r>
        <w:rPr>
          <w:b/>
          <w:bCs/>
        </w:rPr>
        <w:t xml:space="preserve">Chinesiofobia</w:t>
      </w:r>
      <w:r>
        <w:t xml:space="preserve"> </w:t>
      </w:r>
      <w:r>
        <w:t xml:space="preserve">— Paura del movimento perché lo si ritiene dannoso. Si misura con questionario ed è un predittore di esito.</w:t>
      </w:r>
    </w:p>
    <w:p>
      <w:pPr>
        <w:pStyle w:val="Compact"/>
        <w:numPr>
          <w:ilvl w:val="0"/>
          <w:numId w:val="1042"/>
        </w:numPr>
      </w:pPr>
      <w:r>
        <w:rPr>
          <w:b/>
          <w:bCs/>
        </w:rPr>
        <w:t xml:space="preserve">Cluster clinico</w:t>
      </w:r>
      <w:r>
        <w:t xml:space="preserve"> </w:t>
      </w:r>
      <w:r>
        <w:t xml:space="preserve">— Insieme di test che, presi insieme, orientano un sospetto clinico meglio di ciascuno da solo.</w:t>
      </w:r>
    </w:p>
    <w:p>
      <w:pPr>
        <w:pStyle w:val="Compact"/>
        <w:numPr>
          <w:ilvl w:val="0"/>
          <w:numId w:val="1042"/>
        </w:numPr>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2"/>
        </w:numPr>
      </w:pPr>
      <w:r>
        <w:rPr>
          <w:b/>
          <w:bCs/>
        </w:rPr>
        <w:t xml:space="preserve">Conduttanza cutanea</w:t>
      </w:r>
      <w:r>
        <w:t xml:space="preserve"> </w:t>
      </w:r>
      <w:r>
        <w:t xml:space="preserve">— Misura della sudorazione della pelle, usata come indice di attivazione del sistema nervoso simpatico.</w:t>
      </w:r>
    </w:p>
    <w:p>
      <w:pPr>
        <w:pStyle w:val="Compact"/>
        <w:numPr>
          <w:ilvl w:val="0"/>
          <w:numId w:val="1042"/>
        </w:numPr>
      </w:pPr>
      <w:r>
        <w:rPr>
          <w:b/>
          <w:bCs/>
        </w:rPr>
        <w:t xml:space="preserve">Densificato</w:t>
      </w:r>
      <w:r>
        <w:t xml:space="preserve"> </w:t>
      </w:r>
      <w:r>
        <w:t xml:space="preserve">— Nel metodo di Stecco, tessuto che alla palpazione risulta più denso e dolente.</w:t>
      </w:r>
    </w:p>
    <w:p>
      <w:pPr>
        <w:pStyle w:val="Compact"/>
        <w:numPr>
          <w:ilvl w:val="0"/>
          <w:numId w:val="1042"/>
        </w:numPr>
      </w:pPr>
      <w:r>
        <w:rPr>
          <w:b/>
          <w:bCs/>
        </w:rPr>
        <w:t xml:space="preserve">DIMOSTRATO</w:t>
      </w:r>
      <w:r>
        <w:t xml:space="preserve"> </w:t>
      </w:r>
      <w:r>
        <w:t xml:space="preserve">— Etichetta di solidità: studi sull’uomo, solidi.</w:t>
      </w:r>
    </w:p>
    <w:p>
      <w:pPr>
        <w:pStyle w:val="Compact"/>
        <w:numPr>
          <w:ilvl w:val="0"/>
          <w:numId w:val="1042"/>
        </w:numPr>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Compact"/>
        <w:numPr>
          <w:ilvl w:val="0"/>
          <w:numId w:val="1042"/>
        </w:numPr>
      </w:pPr>
      <w:r>
        <w:rPr>
          <w:b/>
          <w:bCs/>
        </w:rPr>
        <w:t xml:space="preserve">Dissecazione dell’arteria cervicale</w:t>
      </w:r>
      <w:r>
        <w:t xml:space="preserve"> </w:t>
      </w:r>
      <w:r>
        <w:t xml:space="preserve">— Lacerazione della parete di un’arteria vertebrale o carotidea. Si presenta con dolore al collo e cefalea, ore o giorni prima dell’evento neurologico.</w:t>
      </w:r>
    </w:p>
    <w:p>
      <w:pPr>
        <w:pStyle w:val="Compact"/>
        <w:numPr>
          <w:ilvl w:val="0"/>
          <w:numId w:val="1042"/>
        </w:numPr>
      </w:pPr>
      <w:r>
        <w:rPr>
          <w:b/>
          <w:bCs/>
        </w:rPr>
        <w:t xml:space="preserve">Dolore nocicettivo / neuropatico / nociplastico</w:t>
      </w:r>
      <w:r>
        <w:t xml:space="preserve"> </w:t>
      </w:r>
      <w:r>
        <w:t xml:space="preserve">— Le tre classi internazionali: dolore da tessuto danneggiato o sovraccarico; dolore da lesione del sistema somatosensoriale; dolore da alterazione del modo in cui il sistema elabora, che gli altri due non spiegano per intero.</w:t>
      </w:r>
    </w:p>
    <w:p>
      <w:pPr>
        <w:pStyle w:val="Compact"/>
        <w:numPr>
          <w:ilvl w:val="0"/>
          <w:numId w:val="1042"/>
        </w:numPr>
      </w:pPr>
      <w:r>
        <w:rPr>
          <w:b/>
          <w:bCs/>
        </w:rPr>
        <w:t xml:space="preserve">Esposizione graduata</w:t>
      </w:r>
      <w:r>
        <w:t xml:space="preserve"> </w:t>
      </w:r>
      <w:r>
        <w:t xml:space="preserve">— Ripresa progressiva di un movimento temuto, partendo da un livello sotto la soglia che scatena il sintomo.</w:t>
      </w:r>
    </w:p>
    <w:p>
      <w:pPr>
        <w:pStyle w:val="Compact"/>
        <w:numPr>
          <w:ilvl w:val="0"/>
          <w:numId w:val="1042"/>
        </w:numPr>
      </w:pPr>
      <w:r>
        <w:rPr>
          <w:b/>
          <w:bCs/>
        </w:rPr>
        <w:t xml:space="preserve">Flessione cranio-cervicale</w:t>
      </w:r>
      <w:r>
        <w:t xml:space="preserve"> </w:t>
      </w:r>
      <w:r>
        <w:t xml:space="preserve">— Movimento di annuire attorno all’asse alto del collo. Si usa come test a cinque livelli (22-30 mmHg con biofeedback pressorio) e come esercizio a basso carico.</w:t>
      </w:r>
    </w:p>
    <w:p>
      <w:pPr>
        <w:pStyle w:val="Compact"/>
        <w:numPr>
          <w:ilvl w:val="0"/>
          <w:numId w:val="1042"/>
        </w:numPr>
      </w:pPr>
      <w:r>
        <w:rPr>
          <w:b/>
          <w:bCs/>
        </w:rPr>
        <w:t xml:space="preserve">Forame (intervertebrale)</w:t>
      </w:r>
      <w:r>
        <w:t xml:space="preserve"> </w:t>
      </w:r>
      <w:r>
        <w:t xml:space="preserve">— Il canale osseo laterale fra due vertebre da cui esce la radice nervosa. Si restringe con la spondilosi.</w:t>
      </w:r>
    </w:p>
    <w:p>
      <w:pPr>
        <w:pStyle w:val="Compact"/>
        <w:numPr>
          <w:ilvl w:val="0"/>
          <w:numId w:val="1042"/>
        </w:numPr>
      </w:pPr>
      <w:r>
        <w:rPr>
          <w:b/>
          <w:bCs/>
        </w:rPr>
        <w:t xml:space="preserve">Fuso neuromuscolare</w:t>
      </w:r>
      <w:r>
        <w:t xml:space="preserve"> </w:t>
      </w:r>
      <w:r>
        <w:t xml:space="preserve">— Sensore posto in parallelo alle fibre muscolari, che codifica lunghezza e velocità di variazione della lunghezza: è il sensore di posizione. La tensione la codifica l’organo tendineo del Golgi.</w:t>
      </w:r>
    </w:p>
    <w:p>
      <w:pPr>
        <w:pStyle w:val="Compact"/>
        <w:numPr>
          <w:ilvl w:val="0"/>
          <w:numId w:val="1042"/>
        </w:numPr>
      </w:pPr>
      <w:r>
        <w:rPr>
          <w:b/>
          <w:bCs/>
        </w:rPr>
        <w:t xml:space="preserve">Dimensione dell’effetto (g, SMD)</w:t>
      </w:r>
      <w:r>
        <w:t xml:space="preserve"> </w:t>
      </w:r>
      <w:r>
        <w:t xml:space="preserve">— Numero che dice quanto è grande un effetto medio, indipendentemente dall’unità di misura: intorno a 0,2 è piccolo, 0,5 medio, 0,8 grande.</w:t>
      </w:r>
      <w:r>
        <w:t xml:space="preserve"> </w:t>
      </w:r>
      <w:r>
        <w:rPr>
          <w:i/>
          <w:iCs/>
        </w:rPr>
        <w:t xml:space="preserve">SMD</w:t>
      </w:r>
      <w:r>
        <w:t xml:space="preserve"> </w:t>
      </w:r>
      <w:r>
        <w:t xml:space="preserve">è la differenza media standardizzata, cioè la stessa idea scritta con un’altra sigla.</w:t>
      </w:r>
    </w:p>
    <w:p>
      <w:pPr>
        <w:pStyle w:val="Compact"/>
        <w:numPr>
          <w:ilvl w:val="0"/>
          <w:numId w:val="1042"/>
        </w:numPr>
      </w:pPr>
      <w:r>
        <w:rPr>
          <w:b/>
          <w:bCs/>
        </w:rPr>
        <w:t xml:space="preserve">IPOTESI</w:t>
      </w:r>
      <w:r>
        <w:t xml:space="preserve"> </w:t>
      </w:r>
      <w:r>
        <w:t xml:space="preserve">— Etichetta di solidità: meccanismo coerente, nessuno studio.</w:t>
      </w:r>
    </w:p>
    <w:p>
      <w:pPr>
        <w:pStyle w:val="Compact"/>
        <w:numPr>
          <w:ilvl w:val="0"/>
          <w:numId w:val="1042"/>
        </w:numPr>
      </w:pPr>
      <w:r>
        <w:rPr>
          <w:b/>
          <w:bCs/>
        </w:rPr>
        <w:t xml:space="preserve">Ipoalgesico (effetto)</w:t>
      </w:r>
      <w:r>
        <w:t xml:space="preserve"> </w:t>
      </w:r>
      <w:r>
        <w:t xml:space="preserve">— Riduzione della sensibilità al dolore misurata con uno strumento, tipicamente un algometro.</w:t>
      </w:r>
    </w:p>
    <w:p>
      <w:pPr>
        <w:pStyle w:val="Compact"/>
        <w:numPr>
          <w:ilvl w:val="0"/>
          <w:numId w:val="1042"/>
        </w:numPr>
      </w:pPr>
      <w:r>
        <w:rPr>
          <w:b/>
          <w:bCs/>
        </w:rPr>
        <w:t xml:space="preserve">Ipocapnia</w:t>
      </w:r>
      <w:r>
        <w:t xml:space="preserve"> </w:t>
      </w:r>
      <w:r>
        <w:t xml:space="preserve">— Riduzione dell’anidride carbonica nel sangue da respiro più veloce del necessario. Dà parestesie bilaterali, spesso periorali, e testa leggera.</w:t>
      </w:r>
    </w:p>
    <w:p>
      <w:pPr>
        <w:pStyle w:val="Compact"/>
        <w:numPr>
          <w:ilvl w:val="0"/>
          <w:numId w:val="1042"/>
        </w:numPr>
      </w:pPr>
      <w:r>
        <w:rPr>
          <w:b/>
          <w:bCs/>
        </w:rPr>
        <w:t xml:space="preserve">Irritabilità</w:t>
      </w:r>
      <w:r>
        <w:t xml:space="preserve"> </w:t>
      </w:r>
      <w:r>
        <w:t xml:space="preserve">— Quanto poco movimento serve a far comparire il dolore, quanto sale e quanto ci mette a tornare al livello di partenza.</w:t>
      </w:r>
    </w:p>
    <w:p>
      <w:pPr>
        <w:pStyle w:val="Compact"/>
        <w:numPr>
          <w:ilvl w:val="0"/>
          <w:numId w:val="1042"/>
        </w:numPr>
      </w:pPr>
      <w:r>
        <w:rPr>
          <w:b/>
          <w:bCs/>
        </w:rPr>
        <w:t xml:space="preserve">Livello di allarme</w:t>
      </w:r>
      <w:r>
        <w:t xml:space="preserve"> </w:t>
      </w:r>
      <w:r>
        <w:t xml:space="preserve">— Il guadagno con cui il sistema nervoso elabora ed enfatizza i segnali nocicettivi. Da non confondere con l’</w:t>
      </w:r>
      <w:r>
        <w:rPr>
          <w:b/>
          <w:bCs/>
        </w:rPr>
        <w:t xml:space="preserve">attivazione autonomica</w:t>
      </w:r>
      <w:r>
        <w:t xml:space="preserve">, che è la risposta simpatica misurata dalla conduttanza cutanea: la prima è il bersaglio del lavoro, la seconda è un indicatore che dopo una mobilizzazione</w:t>
      </w:r>
      <w:r>
        <w:t xml:space="preserve"> </w:t>
      </w:r>
      <w:r>
        <w:rPr>
          <w:b/>
          <w:bCs/>
        </w:rPr>
        <w:t xml:space="preserve">sale</w:t>
      </w:r>
      <w:r>
        <w:t xml:space="preserve">.</w:t>
      </w:r>
    </w:p>
    <w:p>
      <w:pPr>
        <w:pStyle w:val="Compact"/>
        <w:numPr>
          <w:ilvl w:val="0"/>
          <w:numId w:val="1042"/>
        </w:numPr>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Compact"/>
        <w:numPr>
          <w:ilvl w:val="0"/>
          <w:numId w:val="1042"/>
        </w:numPr>
      </w:pPr>
      <w:r>
        <w:rPr>
          <w:b/>
          <w:bCs/>
        </w:rPr>
        <w:t xml:space="preserve">MCID (minima differenza clinicamente importante)</w:t>
      </w:r>
      <w:r>
        <w:t xml:space="preserve"> </w:t>
      </w:r>
      <w:r>
        <w:t xml:space="preserve">— La più piccola variazione che il paziente percepisce come un miglioramento reale.</w:t>
      </w:r>
    </w:p>
    <w:p>
      <w:pPr>
        <w:pStyle w:val="Compact"/>
        <w:numPr>
          <w:ilvl w:val="0"/>
          <w:numId w:val="1042"/>
        </w:numPr>
      </w:pPr>
      <w:r>
        <w:rPr>
          <w:b/>
          <w:bCs/>
        </w:rPr>
        <w:t xml:space="preserve">Modulazione condizionata del dolore</w:t>
      </w:r>
      <w:r>
        <w:t xml:space="preserve"> </w:t>
      </w:r>
      <w:r>
        <w:t xml:space="preserve">— La capacità del sistema di alzare la propria soglia quando arriva un secondo stimolo doloroso. Si misura in locale, vicino alla zona che fa male, oppure a distanza.</w:t>
      </w:r>
    </w:p>
    <w:p>
      <w:pPr>
        <w:pStyle w:val="Compact"/>
        <w:numPr>
          <w:ilvl w:val="0"/>
          <w:numId w:val="1042"/>
        </w:numPr>
      </w:pPr>
      <w:r>
        <w:rPr>
          <w:b/>
          <w:bCs/>
        </w:rPr>
        <w:t xml:space="preserve">Mielopatia cervicale degenerativa</w:t>
      </w:r>
      <w:r>
        <w:t xml:space="preserve"> </w:t>
      </w:r>
      <w:r>
        <w:t xml:space="preserve">— Sofferenza del midollo spinale cervicale da compressione progressiva: perdita di destrezza e instabilità dell’andatura.</w:t>
      </w:r>
    </w:p>
    <w:p>
      <w:pPr>
        <w:pStyle w:val="Compact"/>
        <w:numPr>
          <w:ilvl w:val="0"/>
          <w:numId w:val="1042"/>
        </w:numPr>
      </w:pPr>
      <w:r>
        <w:rPr>
          <w:b/>
          <w:bCs/>
        </w:rPr>
        <w:t xml:space="preserve">Nucleo trigemino-cervicale</w:t>
      </w:r>
      <w:r>
        <w:t xml:space="preserve"> </w:t>
      </w:r>
      <w:r>
        <w:t xml:space="preserve">— Zona del tronco e del midollo cervicale alto dove convergono le fibre del trigemino e delle prime radici cervicali.</w:t>
      </w:r>
    </w:p>
    <w:p>
      <w:pPr>
        <w:pStyle w:val="Compact"/>
        <w:numPr>
          <w:ilvl w:val="0"/>
          <w:numId w:val="1042"/>
        </w:numPr>
      </w:pPr>
      <w:r>
        <w:rPr>
          <w:b/>
          <w:bCs/>
        </w:rPr>
        <w:t xml:space="preserve">OR (odds ratio)</w:t>
      </w:r>
      <w:r>
        <w:t xml:space="preserve"> </w:t>
      </w:r>
      <w:r>
        <w:t xml:space="preserve">— Misura di associazione: 1 significa nessuna associazione, 1,74 un aumento di circa tre quarti rispetto al confronto.</w:t>
      </w:r>
    </w:p>
    <w:p>
      <w:pPr>
        <w:pStyle w:val="Compact"/>
        <w:numPr>
          <w:ilvl w:val="0"/>
          <w:numId w:val="1042"/>
        </w:numPr>
      </w:pPr>
      <w:r>
        <w:rPr>
          <w:b/>
          <w:bCs/>
        </w:rPr>
        <w:t xml:space="preserve">Piano</w:t>
      </w:r>
      <w:r>
        <w:t xml:space="preserve"> </w:t>
      </w:r>
      <w:r>
        <w:t xml:space="preserve">— Uno dei sistemi funzionali che concorrono al problema (controllo, articolazione, carico, respiro, allarme, comportamento). È la stessa cosa che si chiama</w:t>
      </w:r>
      <w:r>
        <w:t xml:space="preserve"> </w:t>
      </w:r>
      <w:r>
        <w:rPr>
          <w:i/>
          <w:iCs/>
        </w:rPr>
        <w:t xml:space="preserve">meccanismo</w:t>
      </w:r>
      <w:r>
        <w:t xml:space="preserve"> </w:t>
      </w:r>
      <w:r>
        <w:t xml:space="preserve">quando descrivi come si rompe, e</w:t>
      </w:r>
      <w:r>
        <w:t xml:space="preserve"> </w:t>
      </w:r>
      <w:r>
        <w:rPr>
          <w:i/>
          <w:iCs/>
        </w:rPr>
        <w:t xml:space="preserve">modello</w:t>
      </w:r>
      <w:r>
        <w:t xml:space="preserve"> </w:t>
      </w:r>
      <w:r>
        <w:t xml:space="preserve">quando la classifichi.</w:t>
      </w:r>
    </w:p>
    <w:p>
      <w:pPr>
        <w:pStyle w:val="Compact"/>
        <w:numPr>
          <w:ilvl w:val="0"/>
          <w:numId w:val="1042"/>
        </w:numPr>
      </w:pPr>
      <w:r>
        <w:rPr>
          <w:b/>
          <w:bCs/>
        </w:rPr>
        <w:t xml:space="preserve">PROBABILE</w:t>
      </w:r>
      <w:r>
        <w:t xml:space="preserve"> </w:t>
      </w:r>
      <w:r>
        <w:t xml:space="preserve">— Etichetta di solidità: razionale forte, prove parziali.</w:t>
      </w:r>
    </w:p>
    <w:p>
      <w:pPr>
        <w:pStyle w:val="Compact"/>
        <w:numPr>
          <w:ilvl w:val="0"/>
          <w:numId w:val="1042"/>
        </w:numPr>
      </w:pPr>
      <w:r>
        <w:rPr>
          <w:b/>
          <w:bCs/>
        </w:rPr>
        <w:t xml:space="preserve">Protrusione discale</w:t>
      </w:r>
      <w:r>
        <w:t xml:space="preserve"> </w:t>
      </w:r>
      <w:r>
        <w:t xml:space="preserve">— Il disco sporge oltre il bordo del corpo vertebrale, senza rottura dell’anello esterno.</w:t>
      </w:r>
    </w:p>
    <w:p>
      <w:pPr>
        <w:pStyle w:val="Compact"/>
        <w:numPr>
          <w:ilvl w:val="0"/>
          <w:numId w:val="1042"/>
        </w:numPr>
      </w:pPr>
      <w:r>
        <w:rPr>
          <w:b/>
          <w:bCs/>
        </w:rPr>
        <w:t xml:space="preserve">RAGIONAMENTO</w:t>
      </w:r>
      <w:r>
        <w:t xml:space="preserve"> </w:t>
      </w:r>
      <w:r>
        <w:t xml:space="preserve">— Etichetta di solidità: cornice clinica, non una prova.</w:t>
      </w:r>
    </w:p>
    <w:p>
      <w:pPr>
        <w:pStyle w:val="Compact"/>
        <w:numPr>
          <w:ilvl w:val="0"/>
          <w:numId w:val="1042"/>
        </w:numPr>
      </w:pPr>
      <w:r>
        <w:rPr>
          <w:b/>
          <w:bCs/>
        </w:rPr>
        <w:t xml:space="preserve">Radicolopatia cervicale</w:t>
      </w:r>
      <w:r>
        <w:t xml:space="preserve"> </w:t>
      </w:r>
      <w:r>
        <w:t xml:space="preserve">— Sofferenza di una radice nervosa del collo, con dolore, formicolio o deficit lungo un territorio definito.</w:t>
      </w:r>
    </w:p>
    <w:p>
      <w:pPr>
        <w:pStyle w:val="Compact"/>
        <w:numPr>
          <w:ilvl w:val="0"/>
          <w:numId w:val="1042"/>
        </w:numPr>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Compact"/>
        <w:numPr>
          <w:ilvl w:val="0"/>
          <w:numId w:val="1042"/>
        </w:numPr>
      </w:pPr>
      <w:r>
        <w:rPr>
          <w:b/>
          <w:bCs/>
        </w:rPr>
        <w:t xml:space="preserve">Rettilineizzazione</w:t>
      </w:r>
      <w:r>
        <w:t xml:space="preserve"> </w:t>
      </w:r>
      <w:r>
        <w:t xml:space="preserve">— Riduzione o assenza della curva a concavità posteriore del collo sulla radiografia laterale.</w:t>
      </w:r>
    </w:p>
    <w:p>
      <w:pPr>
        <w:pStyle w:val="Compact"/>
        <w:numPr>
          <w:ilvl w:val="0"/>
          <w:numId w:val="1042"/>
        </w:numPr>
      </w:pPr>
      <w:r>
        <w:rPr>
          <w:b/>
          <w:bCs/>
        </w:rPr>
        <w:t xml:space="preserve">Sensibilizzazione</w:t>
      </w:r>
      <w:r>
        <w:t xml:space="preserve"> </w:t>
      </w:r>
      <w:r>
        <w:t xml:space="preserve">— Aumento della risposta del sistema nervoso a stimoli che prima non provocavano dolore.</w:t>
      </w:r>
    </w:p>
    <w:p>
      <w:pPr>
        <w:pStyle w:val="Compact"/>
        <w:numPr>
          <w:ilvl w:val="0"/>
          <w:numId w:val="1042"/>
        </w:numPr>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Compact"/>
        <w:numPr>
          <w:ilvl w:val="0"/>
          <w:numId w:val="1042"/>
        </w:numPr>
      </w:pPr>
      <w:r>
        <w:rPr>
          <w:b/>
          <w:bCs/>
        </w:rPr>
        <w:t xml:space="preserve">Soglia dolorosa</w:t>
      </w:r>
      <w:r>
        <w:t xml:space="preserve"> </w:t>
      </w:r>
      <w:r>
        <w:t xml:space="preserve">— Pressione minima percepita come dolorosa, misurata con un algometro.</w:t>
      </w:r>
    </w:p>
    <w:p>
      <w:pPr>
        <w:pStyle w:val="Compact"/>
        <w:numPr>
          <w:ilvl w:val="0"/>
          <w:numId w:val="1042"/>
        </w:numPr>
      </w:pPr>
      <w:r>
        <w:rPr>
          <w:b/>
          <w:bCs/>
        </w:rPr>
        <w:t xml:space="preserve">Spondilodiscite / ascesso epidurale</w:t>
      </w:r>
      <w:r>
        <w:t xml:space="preserve"> </w:t>
      </w:r>
      <w:r>
        <w:t xml:space="preserve">— Infezioni del rachide e dello spazio epidurale: dolore ingravescente, non modificabile dalla posizione,</w:t>
      </w:r>
      <w:r>
        <w:t xml:space="preserve"> </w:t>
      </w:r>
      <w:r>
        <w:rPr>
          <w:b/>
          <w:bCs/>
        </w:rPr>
        <w:t xml:space="preserve">spesso senza febbre</w:t>
      </w:r>
      <w:r>
        <w:t xml:space="preserve">.</w:t>
      </w:r>
    </w:p>
    <w:p>
      <w:pPr>
        <w:pStyle w:val="Compact"/>
        <w:numPr>
          <w:ilvl w:val="0"/>
          <w:numId w:val="1042"/>
        </w:numPr>
      </w:pPr>
      <w:r>
        <w:rPr>
          <w:b/>
          <w:bCs/>
        </w:rPr>
        <w:t xml:space="preserve">Studio trasversale</w:t>
      </w:r>
      <w:r>
        <w:t xml:space="preserve"> </w:t>
      </w:r>
      <w:r>
        <w:t xml:space="preserve">— Studio che fotografa due cose nello stesso momento. Dice che stanno insieme, non che l’una produca l’altra.</w:t>
      </w:r>
    </w:p>
    <w:p>
      <w:pPr>
        <w:pStyle w:val="Compact"/>
        <w:numPr>
          <w:ilvl w:val="0"/>
          <w:numId w:val="1042"/>
        </w:numPr>
      </w:pPr>
      <w:r>
        <w:rPr>
          <w:b/>
          <w:bCs/>
        </w:rPr>
        <w:t xml:space="preserve">Test di rotazione in flessione</w:t>
      </w:r>
      <w:r>
        <w:t xml:space="preserve"> </w:t>
      </w:r>
      <w:r>
        <w:t xml:space="preserve">— Misura della rotazione residua del capo quando il rachide cervicale inferiore è in flessione piena. Isola il segmento C1-C2. Soglia validata: 30°.</w:t>
      </w:r>
    </w:p>
    <w:p>
      <w:pPr>
        <w:pStyle w:val="Compact"/>
        <w:numPr>
          <w:ilvl w:val="0"/>
          <w:numId w:val="1042"/>
        </w:numPr>
      </w:pPr>
      <w:r>
        <w:rPr>
          <w:b/>
          <w:bCs/>
        </w:rPr>
        <w:t xml:space="preserve">Variabilità cardiaca</w:t>
      </w:r>
      <w:r>
        <w:t xml:space="preserve"> </w:t>
      </w:r>
      <w:r>
        <w:t xml:space="preserve">— Variazione dell’intervallo fra un battito e l’altro, usata come indice di regolazione autonomica.</w:t>
      </w:r>
    </w:p>
    <w:p>
      <w:pPr>
        <w:pStyle w:val="Compact"/>
        <w:numPr>
          <w:ilvl w:val="0"/>
          <w:numId w:val="1042"/>
        </w:numPr>
      </w:pPr>
      <w:r>
        <w:rPr>
          <w:b/>
          <w:bCs/>
        </w:rPr>
        <w:t xml:space="preserve">Zigapofisaria (articolazione)</w:t>
      </w:r>
      <w:r>
        <w:t xml:space="preserve"> </w:t>
      </w:r>
      <w:r>
        <w:t xml:space="preserve">— Articolazione posteriore fra due vertebre. È innervata, e può generare dolore con un territorio riferito riconoscibile per livello.</w:t>
      </w:r>
    </w:p>
    <w:p>
      <w:r>
        <w:pict>
          <v:rect style="width:0;height:1.5pt" o:hralign="center" o:hrstd="t" o:hr="t"/>
        </w:pict>
      </w:r>
    </w:p>
    <w:bookmarkEnd w:id="76"/>
    <w:bookmarkStart w:id="149" w:name="appendice-b-le-fonti"/>
    <w:p>
      <w:pPr>
        <w:pStyle w:val="Heading2"/>
      </w:pPr>
      <w:r>
        <w:t xml:space="preserve">Appendice B — Le fonti</w:t>
      </w:r>
    </w:p>
    <w:p>
      <w:pPr>
        <w:pStyle w:val="FirstParagraph"/>
      </w:pPr>
      <w:r>
        <w:rPr>
          <w:i/>
          <w:iCs/>
        </w:rPr>
        <w:t xml:space="preserve">Nell’ordine in cui compaiono nel testo.</w:t>
      </w:r>
    </w:p>
    <w:p>
      <w:pPr>
        <w:pStyle w:val="Compact"/>
        <w:numPr>
          <w:ilvl w:val="0"/>
          <w:numId w:val="1043"/>
        </w:numPr>
      </w:pPr>
      <w:r>
        <w:t xml:space="preserve">Gross A, et al. </w:t>
      </w:r>
      <w:r>
        <w:rPr>
          <w:i/>
          <w:iCs/>
        </w:rPr>
        <w:t xml:space="preserve">Manipulation and mobilisation for neck pain contrasted against an inactive control or another active treatment.</w:t>
      </w:r>
      <w:r>
        <w:t xml:space="preserve"> </w:t>
      </w:r>
      <w:r>
        <w:t xml:space="preserve">Cochrane Database Syst Rev, 2015. —</w:t>
      </w:r>
      <w:r>
        <w:t xml:space="preserve"> </w:t>
      </w:r>
      <w:hyperlink r:id="rId52">
        <w:r>
          <w:rPr>
            <w:rStyle w:val="Hyperlink"/>
          </w:rPr>
          <w:t xml:space="preserve">PMID 26397370</w:t>
        </w:r>
      </w:hyperlink>
    </w:p>
    <w:p>
      <w:pPr>
        <w:pStyle w:val="Compact"/>
        <w:numPr>
          <w:ilvl w:val="0"/>
          <w:numId w:val="1043"/>
        </w:numPr>
      </w:pPr>
      <w:r>
        <w:t xml:space="preserve">Minnucci S, Innocenti T, Salvioli S, et al. </w:t>
      </w:r>
      <w:r>
        <w:rPr>
          <w:i/>
          <w:iCs/>
        </w:rPr>
        <w:t xml:space="preserve">Benefits and Harms of Spinal Manipulative Therapy for Treating Recent and Persistent Nonspecific Neck Pain.</w:t>
      </w:r>
      <w:r>
        <w:t xml:space="preserve"> </w:t>
      </w:r>
      <w:r>
        <w:t xml:space="preserve">J Orthop Sports Phys Ther, 2023. —</w:t>
      </w:r>
      <w:r>
        <w:t xml:space="preserve"> </w:t>
      </w:r>
      <w:hyperlink r:id="rId53">
        <w:r>
          <w:rPr>
            <w:rStyle w:val="Hyperlink"/>
          </w:rPr>
          <w:t xml:space="preserve">PMID 37561605</w:t>
        </w:r>
      </w:hyperlink>
    </w:p>
    <w:p>
      <w:pPr>
        <w:pStyle w:val="Compact"/>
        <w:numPr>
          <w:ilvl w:val="0"/>
          <w:numId w:val="1043"/>
        </w:numPr>
      </w:pPr>
      <w:r>
        <w:t xml:space="preserve">Benetton A, Battista S, Bertoni G, Rossettini G, Falsiroli Maistrello L.</w:t>
      </w:r>
      <w:r>
        <w:t xml:space="preserve"> </w:t>
      </w:r>
      <w:r>
        <w:rPr>
          <w:i/>
          <w:iCs/>
        </w:rPr>
        <w:t xml:space="preserve">Effectiveness of Manual Joint Mobilization Techniques in the Treatment of Nonspecific Neck Pain: Systematic Review With Meta-Analysis and Meta-Regression of Randomized Controlled Trials.</w:t>
      </w:r>
      <w:r>
        <w:t xml:space="preserve"> </w:t>
      </w:r>
      <w:r>
        <w:t xml:space="preserve">J Orthop Sports Phys Ther, 2025. —</w:t>
      </w:r>
      <w:r>
        <w:t xml:space="preserve"> </w:t>
      </w:r>
      <w:hyperlink r:id="rId54">
        <w:r>
          <w:rPr>
            <w:rStyle w:val="Hyperlink"/>
          </w:rPr>
          <w:t xml:space="preserve">PMID 40019107</w:t>
        </w:r>
      </w:hyperlink>
    </w:p>
    <w:p>
      <w:pPr>
        <w:pStyle w:val="Compact"/>
        <w:numPr>
          <w:ilvl w:val="0"/>
          <w:numId w:val="1043"/>
        </w:numPr>
      </w:pPr>
      <w:r>
        <w:t xml:space="preserve">Ashina S, et al. </w:t>
      </w:r>
      <w:r>
        <w:rPr>
          <w:i/>
          <w:iCs/>
        </w:rPr>
        <w:t xml:space="preserve">Prevalence of neck pain in migraine and tension-type headache: a population study.</w:t>
      </w:r>
      <w:r>
        <w:t xml:space="preserve"> </w:t>
      </w:r>
      <w:r>
        <w:t xml:space="preserve">Cephalalgia, 2015. —</w:t>
      </w:r>
      <w:r>
        <w:t xml:space="preserve"> </w:t>
      </w:r>
      <w:hyperlink r:id="rId77">
        <w:r>
          <w:rPr>
            <w:rStyle w:val="Hyperlink"/>
          </w:rPr>
          <w:t xml:space="preserve">PMID 24853166</w:t>
        </w:r>
      </w:hyperlink>
    </w:p>
    <w:p>
      <w:pPr>
        <w:pStyle w:val="Compact"/>
        <w:numPr>
          <w:ilvl w:val="0"/>
          <w:numId w:val="1043"/>
        </w:numPr>
      </w:pPr>
      <w:r>
        <w:t xml:space="preserve">Guzman J, et al. </w:t>
      </w:r>
      <w:r>
        <w:rPr>
          <w:i/>
          <w:iCs/>
        </w:rPr>
        <w:t xml:space="preserve">A new conceptual model of neck pain: linking onset, course, and care.</w:t>
      </w:r>
      <w:r>
        <w:t xml:space="preserve"> </w:t>
      </w:r>
      <w:r>
        <w:t xml:space="preserve">Spine, 2008. —</w:t>
      </w:r>
      <w:r>
        <w:t xml:space="preserve"> </w:t>
      </w:r>
      <w:hyperlink r:id="rId78">
        <w:r>
          <w:rPr>
            <w:rStyle w:val="Hyperlink"/>
          </w:rPr>
          <w:t xml:space="preserve">PMID 18204387</w:t>
        </w:r>
      </w:hyperlink>
    </w:p>
    <w:p>
      <w:pPr>
        <w:pStyle w:val="Compact"/>
        <w:numPr>
          <w:ilvl w:val="0"/>
          <w:numId w:val="1043"/>
        </w:numPr>
      </w:pPr>
      <w:r>
        <w:t xml:space="preserve">GBD 2021 Neck Pain Collaborators.</w:t>
      </w:r>
      <w:r>
        <w:t xml:space="preserve"> </w:t>
      </w:r>
      <w:r>
        <w:rPr>
          <w:i/>
          <w:iCs/>
        </w:rPr>
        <w:t xml:space="preserve">Global, regional, and national burden of neck pain, 1990-2020.</w:t>
      </w:r>
      <w:r>
        <w:t xml:space="preserve"> </w:t>
      </w:r>
      <w:r>
        <w:t xml:space="preserve">Lancet Rheumatol, 2024. —</w:t>
      </w:r>
      <w:r>
        <w:t xml:space="preserve"> </w:t>
      </w:r>
      <w:hyperlink r:id="rId79">
        <w:r>
          <w:rPr>
            <w:rStyle w:val="Hyperlink"/>
          </w:rPr>
          <w:t xml:space="preserve">PMID 38383088</w:t>
        </w:r>
      </w:hyperlink>
    </w:p>
    <w:p>
      <w:pPr>
        <w:pStyle w:val="Compact"/>
        <w:numPr>
          <w:ilvl w:val="0"/>
          <w:numId w:val="1043"/>
        </w:numPr>
      </w:pPr>
      <w:r>
        <w:t xml:space="preserve">Hush JM, et al. </w:t>
      </w:r>
      <w:r>
        <w:rPr>
          <w:i/>
          <w:iCs/>
        </w:rPr>
        <w:t xml:space="preserve">Prognosis of acute idiopathic neck pain is poor.</w:t>
      </w:r>
      <w:r>
        <w:t xml:space="preserve"> </w:t>
      </w:r>
      <w:r>
        <w:t xml:space="preserve">Arch Phys Med Rehabil, 2011. —</w:t>
      </w:r>
      <w:r>
        <w:t xml:space="preserve"> </w:t>
      </w:r>
      <w:hyperlink r:id="rId80">
        <w:r>
          <w:rPr>
            <w:rStyle w:val="Hyperlink"/>
          </w:rPr>
          <w:t xml:space="preserve">PMID 21458776</w:t>
        </w:r>
      </w:hyperlink>
    </w:p>
    <w:p>
      <w:pPr>
        <w:pStyle w:val="Compact"/>
        <w:numPr>
          <w:ilvl w:val="0"/>
          <w:numId w:val="1043"/>
        </w:numPr>
      </w:pPr>
      <w:r>
        <w:t xml:space="preserve">Carroll LJ, et al. </w:t>
      </w:r>
      <w:r>
        <w:rPr>
          <w:i/>
          <w:iCs/>
        </w:rPr>
        <w:t xml:space="preserve">Course and prognostic factors for neck pain in the general population.</w:t>
      </w:r>
      <w:r>
        <w:t xml:space="preserve"> </w:t>
      </w:r>
      <w:r>
        <w:t xml:space="preserve">Spine, 2008. —</w:t>
      </w:r>
      <w:r>
        <w:t xml:space="preserve"> </w:t>
      </w:r>
      <w:hyperlink r:id="rId81">
        <w:r>
          <w:rPr>
            <w:rStyle w:val="Hyperlink"/>
          </w:rPr>
          <w:t xml:space="preserve">PMID 18204403</w:t>
        </w:r>
      </w:hyperlink>
    </w:p>
    <w:p>
      <w:pPr>
        <w:pStyle w:val="Compact"/>
        <w:numPr>
          <w:ilvl w:val="0"/>
          <w:numId w:val="1043"/>
        </w:numPr>
      </w:pPr>
      <w:r>
        <w:t xml:space="preserve">Nakashima H, et al. </w:t>
      </w:r>
      <w:r>
        <w:rPr>
          <w:i/>
          <w:iCs/>
        </w:rPr>
        <w:t xml:space="preserve">Abnormal findings on MRI of the cervical spines in 1211 asymptomatic subjects.</w:t>
      </w:r>
      <w:r>
        <w:t xml:space="preserve"> </w:t>
      </w:r>
      <w:r>
        <w:t xml:space="preserve">Spine, 2015. —</w:t>
      </w:r>
      <w:r>
        <w:t xml:space="preserve"> </w:t>
      </w:r>
      <w:hyperlink r:id="rId82">
        <w:r>
          <w:rPr>
            <w:rStyle w:val="Hyperlink"/>
          </w:rPr>
          <w:t xml:space="preserve">PMID 25584950</w:t>
        </w:r>
      </w:hyperlink>
    </w:p>
    <w:p>
      <w:pPr>
        <w:pStyle w:val="Compact"/>
        <w:numPr>
          <w:ilvl w:val="0"/>
          <w:numId w:val="1043"/>
        </w:numPr>
      </w:pPr>
      <w:r>
        <w:t xml:space="preserve">Hong YT, et al. </w:t>
      </w:r>
      <w:r>
        <w:rPr>
          <w:i/>
          <w:iCs/>
        </w:rPr>
        <w:t xml:space="preserve">Neck pain in patients with medication-overuse headache.</w:t>
      </w:r>
      <w:r>
        <w:t xml:space="preserve"> </w:t>
      </w:r>
      <w:r>
        <w:t xml:space="preserve">J Headache Pain, 2024. —</w:t>
      </w:r>
      <w:r>
        <w:t xml:space="preserve"> </w:t>
      </w:r>
      <w:hyperlink r:id="rId83">
        <w:r>
          <w:rPr>
            <w:rStyle w:val="Hyperlink"/>
          </w:rPr>
          <w:t xml:space="preserve">PMID 39497031</w:t>
        </w:r>
      </w:hyperlink>
    </w:p>
    <w:p>
      <w:pPr>
        <w:pStyle w:val="Compact"/>
        <w:numPr>
          <w:ilvl w:val="0"/>
          <w:numId w:val="1043"/>
        </w:numPr>
      </w:pPr>
      <w:r>
        <w:t xml:space="preserve">González-Gay MA, Matteson EL, Castañeda S.</w:t>
      </w:r>
      <w:r>
        <w:t xml:space="preserve"> </w:t>
      </w:r>
      <w:r>
        <w:rPr>
          <w:i/>
          <w:iCs/>
        </w:rPr>
        <w:t xml:space="preserve">Polymyalgia rheumatica.</w:t>
      </w:r>
      <w:r>
        <w:t xml:space="preserve"> </w:t>
      </w:r>
      <w:r>
        <w:t xml:space="preserve">Lancet, 2017. —</w:t>
      </w:r>
      <w:r>
        <w:t xml:space="preserve"> </w:t>
      </w:r>
      <w:hyperlink r:id="rId84">
        <w:r>
          <w:rPr>
            <w:rStyle w:val="Hyperlink"/>
          </w:rPr>
          <w:t xml:space="preserve">PMID 28774422</w:t>
        </w:r>
      </w:hyperlink>
    </w:p>
    <w:p>
      <w:pPr>
        <w:pStyle w:val="Compact"/>
        <w:numPr>
          <w:ilvl w:val="0"/>
          <w:numId w:val="1043"/>
        </w:numPr>
      </w:pPr>
      <w:r>
        <w:t xml:space="preserve">Dong Q, Liu X.</w:t>
      </w:r>
      <w:r>
        <w:t xml:space="preserve"> </w:t>
      </w:r>
      <w:r>
        <w:rPr>
          <w:i/>
          <w:iCs/>
        </w:rPr>
        <w:t xml:space="preserve">Prevalence of carpal tunnel syndrome in patients with long-standing type 2 diabetes.</w:t>
      </w:r>
      <w:r>
        <w:t xml:space="preserve"> </w:t>
      </w:r>
      <w:r>
        <w:t xml:space="preserve">Heliyon, 2022. —</w:t>
      </w:r>
      <w:r>
        <w:t xml:space="preserve"> </w:t>
      </w:r>
      <w:hyperlink r:id="rId85">
        <w:r>
          <w:rPr>
            <w:rStyle w:val="Hyperlink"/>
          </w:rPr>
          <w:t xml:space="preserve">PMID 36593820</w:t>
        </w:r>
      </w:hyperlink>
    </w:p>
    <w:p>
      <w:pPr>
        <w:pStyle w:val="Compact"/>
        <w:numPr>
          <w:ilvl w:val="0"/>
          <w:numId w:val="1043"/>
        </w:numPr>
      </w:pPr>
      <w:r>
        <w:t xml:space="preserve">Boyd-Clark LC, et al. </w:t>
      </w:r>
      <w:r>
        <w:rPr>
          <w:i/>
          <w:iCs/>
        </w:rPr>
        <w:t xml:space="preserve">Muscle spindle distribution, morphology, and density in longus colli and multifidus.</w:t>
      </w:r>
      <w:r>
        <w:t xml:space="preserve"> </w:t>
      </w:r>
      <w:r>
        <w:t xml:space="preserve">Spine, 2002. —</w:t>
      </w:r>
      <w:r>
        <w:t xml:space="preserve"> </w:t>
      </w:r>
      <w:hyperlink r:id="rId86">
        <w:r>
          <w:rPr>
            <w:rStyle w:val="Hyperlink"/>
          </w:rPr>
          <w:t xml:space="preserve">PMID 11923661</w:t>
        </w:r>
      </w:hyperlink>
    </w:p>
    <w:p>
      <w:pPr>
        <w:pStyle w:val="Compact"/>
        <w:numPr>
          <w:ilvl w:val="0"/>
          <w:numId w:val="1043"/>
        </w:numPr>
      </w:pPr>
      <w:r>
        <w:t xml:space="preserve">Kulkarni V, et al. </w:t>
      </w:r>
      <w:r>
        <w:rPr>
          <w:i/>
          <w:iCs/>
        </w:rPr>
        <w:t xml:space="preserve">Quantitative study of muscle spindles in suboccipital muscles of human foetuses.</w:t>
      </w:r>
      <w:r>
        <w:t xml:space="preserve"> </w:t>
      </w:r>
      <w:r>
        <w:t xml:space="preserve">Neurol India, 2001. —</w:t>
      </w:r>
      <w:r>
        <w:t xml:space="preserve"> </w:t>
      </w:r>
      <w:hyperlink r:id="rId87">
        <w:r>
          <w:rPr>
            <w:rStyle w:val="Hyperlink"/>
          </w:rPr>
          <w:t xml:space="preserve">PMID 11799407</w:t>
        </w:r>
      </w:hyperlink>
    </w:p>
    <w:p>
      <w:pPr>
        <w:pStyle w:val="Compact"/>
        <w:numPr>
          <w:ilvl w:val="0"/>
          <w:numId w:val="1043"/>
        </w:numPr>
      </w:pPr>
      <w:r>
        <w:t xml:space="preserve">Stanton TR, Leake HB, Chalmers KJ, Moseley GL.</w:t>
      </w:r>
      <w:r>
        <w:t xml:space="preserve"> </w:t>
      </w:r>
      <w:r>
        <w:rPr>
          <w:i/>
          <w:iCs/>
        </w:rPr>
        <w:t xml:space="preserve">Evidence of Impaired Proprioception in Chronic, Idiopathic Neck Pain: Systematic Review and Meta-Analysis.</w:t>
      </w:r>
      <w:r>
        <w:t xml:space="preserve"> </w:t>
      </w:r>
      <w:r>
        <w:t xml:space="preserve">Phys Ther, 2016. —</w:t>
      </w:r>
      <w:r>
        <w:t xml:space="preserve"> </w:t>
      </w:r>
      <w:hyperlink r:id="rId88">
        <w:r>
          <w:rPr>
            <w:rStyle w:val="Hyperlink"/>
          </w:rPr>
          <w:t xml:space="preserve">PMID 26472296</w:t>
        </w:r>
      </w:hyperlink>
    </w:p>
    <w:p>
      <w:pPr>
        <w:pStyle w:val="Compact"/>
        <w:numPr>
          <w:ilvl w:val="0"/>
          <w:numId w:val="1043"/>
        </w:numPr>
      </w:pPr>
      <w:r>
        <w:t xml:space="preserve">Bartsch T, Goadsby PJ.</w:t>
      </w:r>
      <w:r>
        <w:t xml:space="preserve"> </w:t>
      </w:r>
      <w:r>
        <w:rPr>
          <w:i/>
          <w:iCs/>
        </w:rPr>
        <w:t xml:space="preserve">Stimulation of the greater occipital nerve induces increased central excitability of dural afferent input.</w:t>
      </w:r>
      <w:r>
        <w:t xml:space="preserve"> </w:t>
      </w:r>
      <w:r>
        <w:t xml:space="preserve">Brain, 2002. —</w:t>
      </w:r>
      <w:r>
        <w:t xml:space="preserve"> </w:t>
      </w:r>
      <w:hyperlink r:id="rId89">
        <w:r>
          <w:rPr>
            <w:rStyle w:val="Hyperlink"/>
          </w:rPr>
          <w:t xml:space="preserve">PMID 12077000</w:t>
        </w:r>
      </w:hyperlink>
    </w:p>
    <w:p>
      <w:pPr>
        <w:pStyle w:val="Compact"/>
        <w:numPr>
          <w:ilvl w:val="0"/>
          <w:numId w:val="1043"/>
        </w:numPr>
      </w:pPr>
      <w:r>
        <w:t xml:space="preserve">Bartsch T, Goadsby PJ.</w:t>
      </w:r>
      <w:r>
        <w:t xml:space="preserve"> </w:t>
      </w:r>
      <w:r>
        <w:rPr>
          <w:i/>
          <w:iCs/>
        </w:rPr>
        <w:t xml:space="preserve">Increased responses in trigeminocervical nociceptive neurons to cervical input after stimulation of the dura mater.</w:t>
      </w:r>
      <w:r>
        <w:t xml:space="preserve"> </w:t>
      </w:r>
      <w:r>
        <w:t xml:space="preserve">Brain, 2003. —</w:t>
      </w:r>
      <w:r>
        <w:t xml:space="preserve"> </w:t>
      </w:r>
      <w:hyperlink r:id="rId90">
        <w:r>
          <w:rPr>
            <w:rStyle w:val="Hyperlink"/>
          </w:rPr>
          <w:t xml:space="preserve">PMID 12821523</w:t>
        </w:r>
      </w:hyperlink>
    </w:p>
    <w:p>
      <w:pPr>
        <w:pStyle w:val="Compact"/>
        <w:numPr>
          <w:ilvl w:val="0"/>
          <w:numId w:val="1043"/>
        </w:numPr>
      </w:pPr>
      <w:r>
        <w:t xml:space="preserve">Kristjansson E, Treleaven J.</w:t>
      </w:r>
      <w:r>
        <w:t xml:space="preserve"> </w:t>
      </w:r>
      <w:r>
        <w:rPr>
          <w:i/>
          <w:iCs/>
        </w:rPr>
        <w:t xml:space="preserve">Sensorimotor function and dizziness in neck pain.</w:t>
      </w:r>
      <w:r>
        <w:t xml:space="preserve"> </w:t>
      </w:r>
      <w:r>
        <w:t xml:space="preserve">J Orthop Sports Phys Ther, 2009. —</w:t>
      </w:r>
      <w:r>
        <w:t xml:space="preserve"> </w:t>
      </w:r>
      <w:hyperlink r:id="rId91">
        <w:r>
          <w:rPr>
            <w:rStyle w:val="Hyperlink"/>
          </w:rPr>
          <w:t xml:space="preserve">PMID 19411769</w:t>
        </w:r>
      </w:hyperlink>
    </w:p>
    <w:p>
      <w:pPr>
        <w:pStyle w:val="Compact"/>
        <w:numPr>
          <w:ilvl w:val="0"/>
          <w:numId w:val="1043"/>
        </w:numPr>
      </w:pPr>
      <w:r>
        <w:t xml:space="preserve">Falla D, Jull G, Hodges PW.</w:t>
      </w:r>
      <w:r>
        <w:t xml:space="preserve"> </w:t>
      </w:r>
      <w:r>
        <w:rPr>
          <w:i/>
          <w:iCs/>
        </w:rPr>
        <w:t xml:space="preserve">Feedforward activity of the cervical flexor muscles during voluntary arm movements is delayed in chronic neck pain.</w:t>
      </w:r>
      <w:r>
        <w:t xml:space="preserve"> </w:t>
      </w:r>
      <w:r>
        <w:t xml:space="preserve">Exp Brain Res, 2004. —</w:t>
      </w:r>
      <w:r>
        <w:t xml:space="preserve"> </w:t>
      </w:r>
      <w:hyperlink r:id="rId92">
        <w:r>
          <w:rPr>
            <w:rStyle w:val="Hyperlink"/>
          </w:rPr>
          <w:t xml:space="preserve">PMID 14762639</w:t>
        </w:r>
      </w:hyperlink>
    </w:p>
    <w:p>
      <w:pPr>
        <w:pStyle w:val="Compact"/>
        <w:numPr>
          <w:ilvl w:val="0"/>
          <w:numId w:val="1043"/>
        </w:numPr>
      </w:pPr>
      <w:r>
        <w:t xml:space="preserve">Kapreli E, et al. </w:t>
      </w:r>
      <w:r>
        <w:rPr>
          <w:i/>
          <w:iCs/>
        </w:rPr>
        <w:t xml:space="preserve">Respiratory dysfunction in chronic neck pain patients. A pilot study.</w:t>
      </w:r>
      <w:r>
        <w:t xml:space="preserve"> </w:t>
      </w:r>
      <w:r>
        <w:t xml:space="preserve">Cephalalgia, 2009. —</w:t>
      </w:r>
      <w:r>
        <w:t xml:space="preserve"> </w:t>
      </w:r>
      <w:hyperlink r:id="rId93">
        <w:r>
          <w:rPr>
            <w:rStyle w:val="Hyperlink"/>
          </w:rPr>
          <w:t xml:space="preserve">PMID 19187335</w:t>
        </w:r>
      </w:hyperlink>
    </w:p>
    <w:p>
      <w:pPr>
        <w:pStyle w:val="Compact"/>
        <w:numPr>
          <w:ilvl w:val="0"/>
          <w:numId w:val="1043"/>
        </w:numPr>
      </w:pPr>
      <w:r>
        <w:t xml:space="preserve">Dimitriadis Z, et al. </w:t>
      </w:r>
      <w:r>
        <w:rPr>
          <w:i/>
          <w:iCs/>
        </w:rPr>
        <w:t xml:space="preserve">Hypocapnia in patients with chronic neck pain.</w:t>
      </w:r>
      <w:r>
        <w:t xml:space="preserve"> </w:t>
      </w:r>
      <w:r>
        <w:t xml:space="preserve">Am J Phys Med Rehabil, 2013. —</w:t>
      </w:r>
      <w:r>
        <w:t xml:space="preserve"> </w:t>
      </w:r>
      <w:hyperlink r:id="rId94">
        <w:r>
          <w:rPr>
            <w:rStyle w:val="Hyperlink"/>
          </w:rPr>
          <w:t xml:space="preserve">PMID 23958733</w:t>
        </w:r>
      </w:hyperlink>
    </w:p>
    <w:p>
      <w:pPr>
        <w:pStyle w:val="Compact"/>
        <w:numPr>
          <w:ilvl w:val="0"/>
          <w:numId w:val="1043"/>
        </w:numPr>
      </w:pPr>
      <w:r>
        <w:t xml:space="preserve">Kosek E, et al. </w:t>
      </w:r>
      <w:r>
        <w:rPr>
          <w:i/>
          <w:iCs/>
        </w:rPr>
        <w:t xml:space="preserve">Chronic nociplastic pain affecting the musculoskeletal system: clinical criteria and grading system.</w:t>
      </w:r>
      <w:r>
        <w:t xml:space="preserve"> </w:t>
      </w:r>
      <w:r>
        <w:t xml:space="preserve">Pain, 2021. —</w:t>
      </w:r>
      <w:r>
        <w:t xml:space="preserve"> </w:t>
      </w:r>
      <w:hyperlink r:id="rId95">
        <w:r>
          <w:rPr>
            <w:rStyle w:val="Hyperlink"/>
          </w:rPr>
          <w:t xml:space="preserve">PMID 33974577</w:t>
        </w:r>
      </w:hyperlink>
    </w:p>
    <w:p>
      <w:pPr>
        <w:pStyle w:val="Compact"/>
        <w:numPr>
          <w:ilvl w:val="0"/>
          <w:numId w:val="1043"/>
        </w:numPr>
      </w:pPr>
      <w:r>
        <w:t xml:space="preserve">Falla D, Jull G, Hodges PW.</w:t>
      </w:r>
      <w:r>
        <w:t xml:space="preserve"> </w:t>
      </w:r>
      <w:r>
        <w:rPr>
          <w:i/>
          <w:iCs/>
        </w:rPr>
        <w:t xml:space="preserve">Patients with neck pain demonstrate reduced electromyographic activity of the deep cervical flexor muscles during performance of the craniocervical flexion test.</w:t>
      </w:r>
      <w:r>
        <w:t xml:space="preserve"> </w:t>
      </w:r>
      <w:r>
        <w:t xml:space="preserve">Spine, 2004. —</w:t>
      </w:r>
      <w:r>
        <w:t xml:space="preserve"> </w:t>
      </w:r>
      <w:hyperlink r:id="rId96">
        <w:r>
          <w:rPr>
            <w:rStyle w:val="Hyperlink"/>
          </w:rPr>
          <w:t xml:space="preserve">PMID 15454700</w:t>
        </w:r>
      </w:hyperlink>
    </w:p>
    <w:p>
      <w:pPr>
        <w:pStyle w:val="Compact"/>
        <w:numPr>
          <w:ilvl w:val="0"/>
          <w:numId w:val="1043"/>
        </w:numPr>
      </w:pPr>
      <w:r>
        <w:t xml:space="preserve">Jull GA, Falla D, Vicenzino B, Hodges PW.</w:t>
      </w:r>
      <w:r>
        <w:t xml:space="preserve"> </w:t>
      </w:r>
      <w:r>
        <w:rPr>
          <w:i/>
          <w:iCs/>
        </w:rPr>
        <w:t xml:space="preserve">The effect of therapeutic exercise on activation of the deep cervical flexor muscles in people with chronic neck pain.</w:t>
      </w:r>
      <w:r>
        <w:t xml:space="preserve"> </w:t>
      </w:r>
      <w:r>
        <w:t xml:space="preserve">Man Ther, 2009. —</w:t>
      </w:r>
      <w:r>
        <w:t xml:space="preserve"> </w:t>
      </w:r>
      <w:hyperlink r:id="rId97">
        <w:r>
          <w:rPr>
            <w:rStyle w:val="Hyperlink"/>
          </w:rPr>
          <w:t xml:space="preserve">PMID 19632880</w:t>
        </w:r>
      </w:hyperlink>
    </w:p>
    <w:p>
      <w:pPr>
        <w:pStyle w:val="Compact"/>
        <w:numPr>
          <w:ilvl w:val="0"/>
          <w:numId w:val="1043"/>
        </w:numPr>
      </w:pPr>
      <w:r>
        <w:t xml:space="preserve">Radhakrishnan K, et al. </w:t>
      </w:r>
      <w:r>
        <w:rPr>
          <w:i/>
          <w:iCs/>
        </w:rPr>
        <w:t xml:space="preserve">Epidemiology of cervical radiculopathy.</w:t>
      </w:r>
      <w:r>
        <w:t xml:space="preserve"> </w:t>
      </w:r>
      <w:r>
        <w:t xml:space="preserve">Brain, 1994. —</w:t>
      </w:r>
      <w:r>
        <w:t xml:space="preserve"> </w:t>
      </w:r>
      <w:hyperlink r:id="rId98">
        <w:r>
          <w:rPr>
            <w:rStyle w:val="Hyperlink"/>
          </w:rPr>
          <w:t xml:space="preserve">PMID 8186959</w:t>
        </w:r>
      </w:hyperlink>
    </w:p>
    <w:p>
      <w:pPr>
        <w:pStyle w:val="Compact"/>
        <w:numPr>
          <w:ilvl w:val="0"/>
          <w:numId w:val="1043"/>
        </w:numPr>
      </w:pPr>
      <w:r>
        <w:t xml:space="preserve">Wainner RS, et al. </w:t>
      </w:r>
      <w:r>
        <w:rPr>
          <w:i/>
          <w:iCs/>
        </w:rPr>
        <w:t xml:space="preserve">Reliability and diagnostic accuracy of the clinical examination and patient self-report measures for cervical radiculopathy.</w:t>
      </w:r>
      <w:r>
        <w:t xml:space="preserve"> </w:t>
      </w:r>
      <w:r>
        <w:t xml:space="preserve">Spine, 2003. —</w:t>
      </w:r>
      <w:r>
        <w:t xml:space="preserve"> </w:t>
      </w:r>
      <w:hyperlink r:id="rId99">
        <w:r>
          <w:rPr>
            <w:rStyle w:val="Hyperlink"/>
          </w:rPr>
          <w:t xml:space="preserve">PMID 12544957</w:t>
        </w:r>
      </w:hyperlink>
    </w:p>
    <w:p>
      <w:pPr>
        <w:pStyle w:val="Compact"/>
        <w:numPr>
          <w:ilvl w:val="0"/>
          <w:numId w:val="1043"/>
        </w:numPr>
      </w:pPr>
      <w:r>
        <w:t xml:space="preserve">Malfliet A, et al. </w:t>
      </w:r>
      <w:r>
        <w:rPr>
          <w:i/>
          <w:iCs/>
        </w:rPr>
        <w:t xml:space="preserve">Lack of evidence for central sensitization in idiopathic, non-traumatic neck pain: a systematic review.</w:t>
      </w:r>
      <w:r>
        <w:t xml:space="preserve"> </w:t>
      </w:r>
      <w:r>
        <w:t xml:space="preserve">Pain Physician, 2015. —</w:t>
      </w:r>
      <w:r>
        <w:t xml:space="preserve"> </w:t>
      </w:r>
      <w:hyperlink r:id="rId100">
        <w:r>
          <w:rPr>
            <w:rStyle w:val="Hyperlink"/>
          </w:rPr>
          <w:t xml:space="preserve">PMID 26000666</w:t>
        </w:r>
      </w:hyperlink>
    </w:p>
    <w:p>
      <w:pPr>
        <w:pStyle w:val="Compact"/>
        <w:numPr>
          <w:ilvl w:val="0"/>
          <w:numId w:val="1043"/>
        </w:numPr>
      </w:pPr>
      <w:r>
        <w:t xml:space="preserve">Arribas-Romano A, Fernández-Carnero J, Beltran-Alacreu H, et al. </w:t>
      </w:r>
      <w:r>
        <w:rPr>
          <w:i/>
          <w:iCs/>
        </w:rPr>
        <w:t xml:space="preserve">Conditioned Pain Modulation and Temporal Summation of Pain in Patients With Traumatic and Non-Specific Neck Pain: A Systematic Review and Meta-Analysis.</w:t>
      </w:r>
      <w:r>
        <w:t xml:space="preserve"> </w:t>
      </w:r>
      <w:r>
        <w:t xml:space="preserve">J Pain, 2024. —</w:t>
      </w:r>
      <w:r>
        <w:t xml:space="preserve"> </w:t>
      </w:r>
      <w:hyperlink r:id="rId101">
        <w:r>
          <w:rPr>
            <w:rStyle w:val="Hyperlink"/>
          </w:rPr>
          <w:t xml:space="preserve">PMID 37734462</w:t>
        </w:r>
      </w:hyperlink>
    </w:p>
    <w:p>
      <w:pPr>
        <w:pStyle w:val="Compact"/>
        <w:numPr>
          <w:ilvl w:val="0"/>
          <w:numId w:val="1043"/>
        </w:numPr>
      </w:pPr>
      <w:r>
        <w:t xml:space="preserve">Mahmoud NF, et al. </w:t>
      </w:r>
      <w:r>
        <w:rPr>
          <w:i/>
          <w:iCs/>
        </w:rPr>
        <w:t xml:space="preserve">The Relationship Between Forward Head Posture and Neck Pain.</w:t>
      </w:r>
      <w:r>
        <w:t xml:space="preserve"> </w:t>
      </w:r>
      <w:r>
        <w:t xml:space="preserve">Curr Rev Musculoskelet Med, 2019. —</w:t>
      </w:r>
      <w:r>
        <w:t xml:space="preserve"> </w:t>
      </w:r>
      <w:hyperlink r:id="rId102">
        <w:r>
          <w:rPr>
            <w:rStyle w:val="Hyperlink"/>
          </w:rPr>
          <w:t xml:space="preserve">PMID 31773477</w:t>
        </w:r>
      </w:hyperlink>
    </w:p>
    <w:p>
      <w:pPr>
        <w:pStyle w:val="Compact"/>
        <w:numPr>
          <w:ilvl w:val="0"/>
          <w:numId w:val="1043"/>
        </w:numPr>
      </w:pPr>
      <w:r>
        <w:t xml:space="preserve">Barnsley L, Lord SM, Wallis BJ, Bogduk N.</w:t>
      </w:r>
      <w:r>
        <w:t xml:space="preserve"> </w:t>
      </w:r>
      <w:r>
        <w:rPr>
          <w:i/>
          <w:iCs/>
        </w:rPr>
        <w:t xml:space="preserve">The prevalence of chronic cervical zygapophysial joint pain after whiplash.</w:t>
      </w:r>
      <w:r>
        <w:t xml:space="preserve"> </w:t>
      </w:r>
      <w:r>
        <w:t xml:space="preserve">Spine, 1995. —</w:t>
      </w:r>
      <w:r>
        <w:t xml:space="preserve"> </w:t>
      </w:r>
      <w:hyperlink r:id="rId103">
        <w:r>
          <w:rPr>
            <w:rStyle w:val="Hyperlink"/>
          </w:rPr>
          <w:t xml:space="preserve">PMID 7709275</w:t>
        </w:r>
      </w:hyperlink>
    </w:p>
    <w:p>
      <w:pPr>
        <w:pStyle w:val="Compact"/>
        <w:numPr>
          <w:ilvl w:val="0"/>
          <w:numId w:val="1043"/>
        </w:numPr>
      </w:pPr>
      <w:r>
        <w:t xml:space="preserve">Dwyer A, Aprill C, Bogduk N.</w:t>
      </w:r>
      <w:r>
        <w:t xml:space="preserve"> </w:t>
      </w:r>
      <w:r>
        <w:rPr>
          <w:i/>
          <w:iCs/>
        </w:rPr>
        <w:t xml:space="preserve">Cervical zygapophyseal joint pain patterns I: a study in normal volunteers.</w:t>
      </w:r>
      <w:r>
        <w:t xml:space="preserve"> </w:t>
      </w:r>
      <w:r>
        <w:t xml:space="preserve">Spine, 1990. —</w:t>
      </w:r>
      <w:r>
        <w:t xml:space="preserve"> </w:t>
      </w:r>
      <w:hyperlink r:id="rId104">
        <w:r>
          <w:rPr>
            <w:rStyle w:val="Hyperlink"/>
          </w:rPr>
          <w:t xml:space="preserve">PMID 2402682</w:t>
        </w:r>
      </w:hyperlink>
    </w:p>
    <w:p>
      <w:pPr>
        <w:pStyle w:val="Compact"/>
        <w:numPr>
          <w:ilvl w:val="0"/>
          <w:numId w:val="1043"/>
        </w:numPr>
      </w:pPr>
      <w:r>
        <w:t xml:space="preserve">Amiri M, Jull G, et al. </w:t>
      </w:r>
      <w:r>
        <w:rPr>
          <w:i/>
          <w:iCs/>
        </w:rPr>
        <w:t xml:space="preserve">Cervical musculoskeletal impairment in frequent intermittent headache. Part 2.</w:t>
      </w:r>
      <w:r>
        <w:t xml:space="preserve"> </w:t>
      </w:r>
      <w:r>
        <w:t xml:space="preserve">Cephalalgia, 2007. —</w:t>
      </w:r>
      <w:r>
        <w:t xml:space="preserve"> </w:t>
      </w:r>
      <w:hyperlink r:id="rId105">
        <w:r>
          <w:rPr>
            <w:rStyle w:val="Hyperlink"/>
          </w:rPr>
          <w:t xml:space="preserve">PMID 17608813</w:t>
        </w:r>
      </w:hyperlink>
    </w:p>
    <w:p>
      <w:pPr>
        <w:pStyle w:val="Compact"/>
        <w:numPr>
          <w:ilvl w:val="0"/>
          <w:numId w:val="1043"/>
        </w:numPr>
      </w:pPr>
      <w:r>
        <w:t xml:space="preserve">Treleaven J.</w:t>
      </w:r>
      <w:r>
        <w:t xml:space="preserve"> </w:t>
      </w:r>
      <w:r>
        <w:rPr>
          <w:i/>
          <w:iCs/>
        </w:rPr>
        <w:t xml:space="preserve">Dizziness, Unsteadiness, Visual Disturbances, and Sensorimotor Control in Traumatic Neck Pain.</w:t>
      </w:r>
      <w:r>
        <w:t xml:space="preserve"> </w:t>
      </w:r>
      <w:r>
        <w:t xml:space="preserve">J Orthop Sports Phys Ther, 2017. —</w:t>
      </w:r>
      <w:r>
        <w:t xml:space="preserve"> </w:t>
      </w:r>
      <w:hyperlink r:id="rId106">
        <w:r>
          <w:rPr>
            <w:rStyle w:val="Hyperlink"/>
          </w:rPr>
          <w:t xml:space="preserve">PMID 28622488</w:t>
        </w:r>
      </w:hyperlink>
    </w:p>
    <w:p>
      <w:pPr>
        <w:pStyle w:val="Compact"/>
        <w:numPr>
          <w:ilvl w:val="0"/>
          <w:numId w:val="1043"/>
        </w:numPr>
      </w:pPr>
      <w:r>
        <w:t xml:space="preserve">Reid SA, et al. </w:t>
      </w:r>
      <w:r>
        <w:rPr>
          <w:i/>
          <w:iCs/>
        </w:rPr>
        <w:t xml:space="preserve">Effects of cervical spine manual therapy on range of motion, head repositioning, and balance in participants with cervicogenic dizziness.</w:t>
      </w:r>
      <w:r>
        <w:t xml:space="preserve"> </w:t>
      </w:r>
      <w:r>
        <w:t xml:space="preserve">Arch Phys Med Rehabil, 2014. —</w:t>
      </w:r>
      <w:r>
        <w:t xml:space="preserve"> </w:t>
      </w:r>
      <w:hyperlink r:id="rId107">
        <w:r>
          <w:rPr>
            <w:rStyle w:val="Hyperlink"/>
          </w:rPr>
          <w:t xml:space="preserve">PMID 24792139</w:t>
        </w:r>
      </w:hyperlink>
    </w:p>
    <w:p>
      <w:pPr>
        <w:pStyle w:val="Compact"/>
        <w:numPr>
          <w:ilvl w:val="0"/>
          <w:numId w:val="1043"/>
        </w:numPr>
      </w:pPr>
      <w:r>
        <w:t xml:space="preserve">Hilton B, et al. </w:t>
      </w:r>
      <w:r>
        <w:rPr>
          <w:i/>
          <w:iCs/>
        </w:rPr>
        <w:t xml:space="preserve">Route to diagnosis of degenerative cervical myelopathy in a UK healthcare system.</w:t>
      </w:r>
      <w:r>
        <w:t xml:space="preserve"> </w:t>
      </w:r>
      <w:r>
        <w:t xml:space="preserve">BMJ Open, 2019. —</w:t>
      </w:r>
      <w:r>
        <w:t xml:space="preserve"> </w:t>
      </w:r>
      <w:hyperlink r:id="rId108">
        <w:r>
          <w:rPr>
            <w:rStyle w:val="Hyperlink"/>
          </w:rPr>
          <w:t xml:space="preserve">PMID 31061045</w:t>
        </w:r>
      </w:hyperlink>
    </w:p>
    <w:p>
      <w:pPr>
        <w:pStyle w:val="Compact"/>
        <w:numPr>
          <w:ilvl w:val="0"/>
          <w:numId w:val="1043"/>
        </w:numPr>
      </w:pPr>
      <w:r>
        <w:t xml:space="preserve">Cefalì A, et al. </w:t>
      </w:r>
      <w:r>
        <w:rPr>
          <w:i/>
          <w:iCs/>
        </w:rPr>
        <w:t xml:space="preserve">Effects of Breathing Exercises on Neck Pain Management: A Systematic Review with Meta-Analysis.</w:t>
      </w:r>
      <w:r>
        <w:t xml:space="preserve"> </w:t>
      </w:r>
      <w:r>
        <w:t xml:space="preserve">J Clin Med, 2025. —</w:t>
      </w:r>
      <w:r>
        <w:t xml:space="preserve"> </w:t>
      </w:r>
      <w:hyperlink r:id="rId109">
        <w:r>
          <w:rPr>
            <w:rStyle w:val="Hyperlink"/>
          </w:rPr>
          <w:t xml:space="preserve">PMID 39941380</w:t>
        </w:r>
      </w:hyperlink>
    </w:p>
    <w:p>
      <w:pPr>
        <w:pStyle w:val="Compact"/>
        <w:numPr>
          <w:ilvl w:val="0"/>
          <w:numId w:val="1043"/>
        </w:numPr>
      </w:pPr>
      <w:r>
        <w:t xml:space="preserve">Park S, Kim K, Kang M.</w:t>
      </w:r>
      <w:r>
        <w:t xml:space="preserve"> </w:t>
      </w:r>
      <w:r>
        <w:rPr>
          <w:i/>
          <w:iCs/>
        </w:rPr>
        <w:t xml:space="preserve">Effects of Breathing Exercises in Patients with Neck Pain: A Systematic Review and Meta-Analysis.</w:t>
      </w:r>
      <w:r>
        <w:t xml:space="preserve"> </w:t>
      </w:r>
      <w:r>
        <w:t xml:space="preserve">Bioengineering (Basel), 2025. —</w:t>
      </w:r>
      <w:r>
        <w:t xml:space="preserve"> </w:t>
      </w:r>
      <w:hyperlink r:id="rId110">
        <w:r>
          <w:rPr>
            <w:rStyle w:val="Hyperlink"/>
          </w:rPr>
          <w:t xml:space="preserve">PMID 41007191</w:t>
        </w:r>
      </w:hyperlink>
    </w:p>
    <w:p>
      <w:pPr>
        <w:pStyle w:val="Compact"/>
        <w:numPr>
          <w:ilvl w:val="0"/>
          <w:numId w:val="1043"/>
        </w:numPr>
      </w:pPr>
      <w:r>
        <w:t xml:space="preserve">Anwar S, et al. </w:t>
      </w:r>
      <w:r>
        <w:rPr>
          <w:i/>
          <w:iCs/>
        </w:rPr>
        <w:t xml:space="preserve">Effects of breathing reeducation on cervical and pulmonary outcomes in patients with non-specific chronic neck pain.</w:t>
      </w:r>
      <w:r>
        <w:t xml:space="preserve"> </w:t>
      </w:r>
      <w:r>
        <w:t xml:space="preserve">PLoS One, 2022. —</w:t>
      </w:r>
      <w:r>
        <w:t xml:space="preserve"> </w:t>
      </w:r>
      <w:hyperlink r:id="rId111">
        <w:r>
          <w:rPr>
            <w:rStyle w:val="Hyperlink"/>
          </w:rPr>
          <w:t xml:space="preserve">PMID 36006997</w:t>
        </w:r>
      </w:hyperlink>
    </w:p>
    <w:p>
      <w:pPr>
        <w:pStyle w:val="Compact"/>
        <w:numPr>
          <w:ilvl w:val="0"/>
          <w:numId w:val="1043"/>
        </w:numPr>
      </w:pPr>
      <w:r>
        <w:t xml:space="preserve">Blomgren J, et al. </w:t>
      </w:r>
      <w:r>
        <w:rPr>
          <w:i/>
          <w:iCs/>
        </w:rPr>
        <w:t xml:space="preserve">Effects of deep cervical flexor training on impaired physiological functions associated with chronic neck pain.</w:t>
      </w:r>
      <w:r>
        <w:t xml:space="preserve"> </w:t>
      </w:r>
      <w:r>
        <w:t xml:space="preserve">BMC Musculoskelet Disord, 2018. —</w:t>
      </w:r>
      <w:r>
        <w:t xml:space="preserve"> </w:t>
      </w:r>
      <w:hyperlink r:id="rId112">
        <w:r>
          <w:rPr>
            <w:rStyle w:val="Hyperlink"/>
          </w:rPr>
          <w:t xml:space="preserve">PMID 30486819</w:t>
        </w:r>
      </w:hyperlink>
    </w:p>
    <w:p>
      <w:pPr>
        <w:pStyle w:val="Compact"/>
        <w:numPr>
          <w:ilvl w:val="0"/>
          <w:numId w:val="1043"/>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 —</w:t>
      </w:r>
      <w:r>
        <w:t xml:space="preserve"> </w:t>
      </w:r>
      <w:hyperlink r:id="rId113">
        <w:r>
          <w:rPr>
            <w:rStyle w:val="Hyperlink"/>
          </w:rPr>
          <w:t xml:space="preserve">PMID 11414776</w:t>
        </w:r>
      </w:hyperlink>
    </w:p>
    <w:p>
      <w:pPr>
        <w:pStyle w:val="Compact"/>
        <w:numPr>
          <w:ilvl w:val="0"/>
          <w:numId w:val="1043"/>
        </w:numPr>
      </w:pPr>
      <w:r>
        <w:t xml:space="preserve">Kovacs FM, et al. </w:t>
      </w:r>
      <w:r>
        <w:rPr>
          <w:i/>
          <w:iCs/>
        </w:rPr>
        <w:t xml:space="preserve">Patients with neck pain are less likely to improve if they experience poor sleep quality: a prospective study in routine practice.</w:t>
      </w:r>
      <w:r>
        <w:t xml:space="preserve"> </w:t>
      </w:r>
      <w:r>
        <w:t xml:space="preserve">Clin J Pain, 2015. —</w:t>
      </w:r>
      <w:r>
        <w:t xml:space="preserve"> </w:t>
      </w:r>
      <w:hyperlink r:id="rId114">
        <w:r>
          <w:rPr>
            <w:rStyle w:val="Hyperlink"/>
          </w:rPr>
          <w:t xml:space="preserve">PMID 26153781</w:t>
        </w:r>
      </w:hyperlink>
    </w:p>
    <w:p>
      <w:pPr>
        <w:pStyle w:val="Compact"/>
        <w:numPr>
          <w:ilvl w:val="0"/>
          <w:numId w:val="1043"/>
        </w:numPr>
      </w:pPr>
      <w:r>
        <w:t xml:space="preserve">Schrimpf M, Liegl G, Boeckle M, Leitner A, Geisler P, Pieh C.</w:t>
      </w:r>
      <w:r>
        <w:t xml:space="preserve"> </w:t>
      </w:r>
      <w:r>
        <w:rPr>
          <w:i/>
          <w:iCs/>
        </w:rPr>
        <w:t xml:space="preserve">The effect of sleep deprivation on pain perception in healthy subjects: a meta-analysis.</w:t>
      </w:r>
      <w:r>
        <w:t xml:space="preserve"> </w:t>
      </w:r>
      <w:r>
        <w:t xml:space="preserve">Sleep Med, 2015. —</w:t>
      </w:r>
      <w:r>
        <w:t xml:space="preserve"> </w:t>
      </w:r>
      <w:hyperlink r:id="rId115">
        <w:r>
          <w:rPr>
            <w:rStyle w:val="Hyperlink"/>
          </w:rPr>
          <w:t xml:space="preserve">PMID 26498229</w:t>
        </w:r>
      </w:hyperlink>
    </w:p>
    <w:p>
      <w:pPr>
        <w:pStyle w:val="Compact"/>
        <w:numPr>
          <w:ilvl w:val="0"/>
          <w:numId w:val="1043"/>
        </w:numPr>
      </w:pPr>
      <w:r>
        <w:t xml:space="preserve">Monticone M, et al. </w:t>
      </w:r>
      <w:r>
        <w:rPr>
          <w:i/>
          <w:iCs/>
        </w:rPr>
        <w:t xml:space="preserve">Cognitive-behavioural treatment for subacute and chronic neck pain.</w:t>
      </w:r>
      <w:r>
        <w:t xml:space="preserve"> </w:t>
      </w:r>
      <w:r>
        <w:t xml:space="preserve">Cochrane Database Syst Rev, 2015. —</w:t>
      </w:r>
      <w:r>
        <w:t xml:space="preserve"> </w:t>
      </w:r>
      <w:hyperlink r:id="rId116">
        <w:r>
          <w:rPr>
            <w:rStyle w:val="Hyperlink"/>
          </w:rPr>
          <w:t xml:space="preserve">PMID 26006174</w:t>
        </w:r>
      </w:hyperlink>
    </w:p>
    <w:p>
      <w:pPr>
        <w:pStyle w:val="Compact"/>
        <w:numPr>
          <w:ilvl w:val="0"/>
          <w:numId w:val="1043"/>
        </w:numPr>
      </w:pPr>
      <w:r>
        <w:t xml:space="preserve">Hurwitz EL, et al. </w:t>
      </w:r>
      <w:r>
        <w:rPr>
          <w:i/>
          <w:iCs/>
        </w:rPr>
        <w:t xml:space="preserve">Treatment of neck pain: noninvasive interventions.</w:t>
      </w:r>
      <w:r>
        <w:t xml:space="preserve"> </w:t>
      </w:r>
      <w:r>
        <w:t xml:space="preserve">Spine, 2008. —</w:t>
      </w:r>
      <w:r>
        <w:t xml:space="preserve"> </w:t>
      </w:r>
      <w:hyperlink r:id="rId117">
        <w:r>
          <w:rPr>
            <w:rStyle w:val="Hyperlink"/>
          </w:rPr>
          <w:t xml:space="preserve">PMID 18204386</w:t>
        </w:r>
      </w:hyperlink>
    </w:p>
    <w:p>
      <w:pPr>
        <w:pStyle w:val="Compact"/>
        <w:numPr>
          <w:ilvl w:val="0"/>
          <w:numId w:val="1043"/>
        </w:numPr>
      </w:pPr>
      <w:r>
        <w:t xml:space="preserve">Bishop MD, Mintken PE, Bialosky JE, Cleland JA.</w:t>
      </w:r>
      <w:r>
        <w:t xml:space="preserve"> </w:t>
      </w:r>
      <w:r>
        <w:rPr>
          <w:i/>
          <w:iCs/>
        </w:rPr>
        <w:t xml:space="preserve">Patient expectations of benefit from interventions for neck pain and resulting influence on outcomes.</w:t>
      </w:r>
      <w:r>
        <w:t xml:space="preserve"> </w:t>
      </w:r>
      <w:r>
        <w:t xml:space="preserve">J Orthop Sports Phys Ther, 2013. —</w:t>
      </w:r>
      <w:r>
        <w:t xml:space="preserve"> </w:t>
      </w:r>
      <w:hyperlink r:id="rId118">
        <w:r>
          <w:rPr>
            <w:rStyle w:val="Hyperlink"/>
          </w:rPr>
          <w:t xml:space="preserve">PMID 23508341</w:t>
        </w:r>
      </w:hyperlink>
    </w:p>
    <w:p>
      <w:pPr>
        <w:pStyle w:val="Compact"/>
        <w:numPr>
          <w:ilvl w:val="0"/>
          <w:numId w:val="1043"/>
        </w:numPr>
      </w:pPr>
      <w:r>
        <w:t xml:space="preserve">Hall T, et al. </w:t>
      </w:r>
      <w:r>
        <w:rPr>
          <w:i/>
          <w:iCs/>
        </w:rPr>
        <w:t xml:space="preserve">Comparative analysis and diagnostic accuracy of the cervical flexion-rotation test.</w:t>
      </w:r>
      <w:r>
        <w:t xml:space="preserve"> </w:t>
      </w:r>
      <w:r>
        <w:t xml:space="preserve">J Headache Pain, 2010. —</w:t>
      </w:r>
      <w:r>
        <w:t xml:space="preserve"> </w:t>
      </w:r>
      <w:hyperlink r:id="rId119">
        <w:r>
          <w:rPr>
            <w:rStyle w:val="Hyperlink"/>
          </w:rPr>
          <w:t xml:space="preserve">PMID 20508964</w:t>
        </w:r>
      </w:hyperlink>
    </w:p>
    <w:p>
      <w:pPr>
        <w:pStyle w:val="Compact"/>
        <w:numPr>
          <w:ilvl w:val="0"/>
          <w:numId w:val="1043"/>
        </w:numPr>
      </w:pPr>
      <w:r>
        <w:t xml:space="preserve">Ogince M, Hall T, Robinson K, Blackmore AM.</w:t>
      </w:r>
      <w:r>
        <w:t xml:space="preserve"> </w:t>
      </w:r>
      <w:r>
        <w:rPr>
          <w:i/>
          <w:iCs/>
        </w:rPr>
        <w:t xml:space="preserve">The diagnostic validity of the cervical flexion-rotation test in C1/2-related cervicogenic headache.</w:t>
      </w:r>
      <w:r>
        <w:t xml:space="preserve"> </w:t>
      </w:r>
      <w:r>
        <w:t xml:space="preserve">Man Ther, 2007. —</w:t>
      </w:r>
      <w:r>
        <w:t xml:space="preserve"> </w:t>
      </w:r>
      <w:hyperlink r:id="rId120">
        <w:r>
          <w:rPr>
            <w:rStyle w:val="Hyperlink"/>
          </w:rPr>
          <w:t xml:space="preserve">PMID 17112768</w:t>
        </w:r>
      </w:hyperlink>
    </w:p>
    <w:p>
      <w:pPr>
        <w:pStyle w:val="Compact"/>
        <w:numPr>
          <w:ilvl w:val="0"/>
          <w:numId w:val="1043"/>
        </w:numPr>
      </w:pPr>
      <w:r>
        <w:t xml:space="preserve">Neblett R, et al. </w:t>
      </w:r>
      <w:r>
        <w:rPr>
          <w:i/>
          <w:iCs/>
        </w:rPr>
        <w:t xml:space="preserve">The Central Sensitization Inventory: establishing clinically significant values.</w:t>
      </w:r>
      <w:r>
        <w:t xml:space="preserve"> </w:t>
      </w:r>
      <w:r>
        <w:t xml:space="preserve">J Pain, 2013. —</w:t>
      </w:r>
      <w:r>
        <w:t xml:space="preserve"> </w:t>
      </w:r>
      <w:hyperlink r:id="rId121">
        <w:r>
          <w:rPr>
            <w:rStyle w:val="Hyperlink"/>
          </w:rPr>
          <w:t xml:space="preserve">PMID 23490634</w:t>
        </w:r>
      </w:hyperlink>
    </w:p>
    <w:p>
      <w:pPr>
        <w:pStyle w:val="Compact"/>
        <w:numPr>
          <w:ilvl w:val="0"/>
          <w:numId w:val="1043"/>
        </w:numPr>
      </w:pPr>
      <w:r>
        <w:t xml:space="preserve">Jull G, et al. </w:t>
      </w:r>
      <w:r>
        <w:rPr>
          <w:i/>
          <w:iCs/>
        </w:rPr>
        <w:t xml:space="preserve">A randomized controlled trial of exercise and manipulative therapy for cervicogenic headache.</w:t>
      </w:r>
      <w:r>
        <w:t xml:space="preserve"> </w:t>
      </w:r>
      <w:r>
        <w:t xml:space="preserve">Spine, 2002. —</w:t>
      </w:r>
      <w:r>
        <w:t xml:space="preserve"> </w:t>
      </w:r>
      <w:hyperlink r:id="rId51">
        <w:r>
          <w:rPr>
            <w:rStyle w:val="Hyperlink"/>
          </w:rPr>
          <w:t xml:space="preserve">PMID 12221344</w:t>
        </w:r>
      </w:hyperlink>
    </w:p>
    <w:p>
      <w:pPr>
        <w:pStyle w:val="Compact"/>
        <w:numPr>
          <w:ilvl w:val="0"/>
          <w:numId w:val="1043"/>
        </w:numPr>
      </w:pPr>
      <w:r>
        <w:t xml:space="preserve">Neva MH, et al. </w:t>
      </w:r>
      <w:r>
        <w:rPr>
          <w:i/>
          <w:iCs/>
        </w:rPr>
        <w:t xml:space="preserve">Combined use of MRI and radiography in the cervical spine of rheumatoid arthritis patients.</w:t>
      </w:r>
      <w:r>
        <w:t xml:space="preserve"> </w:t>
      </w:r>
      <w:r>
        <w:t xml:space="preserve">Ann Rheum Dis, 2006. —</w:t>
      </w:r>
      <w:r>
        <w:t xml:space="preserve"> </w:t>
      </w:r>
      <w:hyperlink r:id="rId122">
        <w:r>
          <w:rPr>
            <w:rStyle w:val="Hyperlink"/>
          </w:rPr>
          <w:t xml:space="preserve">PMID 16269427</w:t>
        </w:r>
      </w:hyperlink>
    </w:p>
    <w:p>
      <w:pPr>
        <w:pStyle w:val="Compact"/>
        <w:numPr>
          <w:ilvl w:val="0"/>
          <w:numId w:val="1043"/>
        </w:numPr>
      </w:pPr>
      <w:r>
        <w:t xml:space="preserve">Stiell IG, et al. </w:t>
      </w:r>
      <w:r>
        <w:rPr>
          <w:i/>
          <w:iCs/>
        </w:rPr>
        <w:t xml:space="preserve">The Canadian C-spine rule for radiography in alert and stable trauma patients.</w:t>
      </w:r>
      <w:r>
        <w:t xml:space="preserve"> </w:t>
      </w:r>
      <w:r>
        <w:t xml:space="preserve">JAMA, 2001. —</w:t>
      </w:r>
      <w:r>
        <w:t xml:space="preserve"> </w:t>
      </w:r>
      <w:hyperlink r:id="rId123">
        <w:r>
          <w:rPr>
            <w:rStyle w:val="Hyperlink"/>
          </w:rPr>
          <w:t xml:space="preserve">PMID 11597285</w:t>
        </w:r>
      </w:hyperlink>
    </w:p>
    <w:p>
      <w:pPr>
        <w:pStyle w:val="Compact"/>
        <w:numPr>
          <w:ilvl w:val="0"/>
          <w:numId w:val="1043"/>
        </w:numPr>
      </w:pPr>
      <w:r>
        <w:t xml:space="preserve">Feller D, et al. </w:t>
      </w:r>
      <w:r>
        <w:rPr>
          <w:i/>
          <w:iCs/>
        </w:rPr>
        <w:t xml:space="preserve">Red flags for potential serious pathologies in people with neck pain.</w:t>
      </w:r>
      <w:r>
        <w:t xml:space="preserve"> </w:t>
      </w:r>
      <w:r>
        <w:t xml:space="preserve">Arch Physiother, 2024. —</w:t>
      </w:r>
      <w:r>
        <w:t xml:space="preserve"> </w:t>
      </w:r>
      <w:hyperlink r:id="rId124">
        <w:r>
          <w:rPr>
            <w:rStyle w:val="Hyperlink"/>
          </w:rPr>
          <w:t xml:space="preserve">PMID 39639931</w:t>
        </w:r>
      </w:hyperlink>
    </w:p>
    <w:p>
      <w:pPr>
        <w:pStyle w:val="Compact"/>
        <w:numPr>
          <w:ilvl w:val="0"/>
          <w:numId w:val="1043"/>
        </w:numPr>
      </w:pPr>
      <w:r>
        <w:t xml:space="preserve">Cassidy JD, et al. </w:t>
      </w:r>
      <w:r>
        <w:rPr>
          <w:i/>
          <w:iCs/>
        </w:rPr>
        <w:t xml:space="preserve">Risk of vertebrobasilar stroke and chiropractic care.</w:t>
      </w:r>
      <w:r>
        <w:t xml:space="preserve"> </w:t>
      </w:r>
      <w:r>
        <w:t xml:space="preserve">Spine, 2008. —</w:t>
      </w:r>
      <w:r>
        <w:t xml:space="preserve"> </w:t>
      </w:r>
      <w:hyperlink r:id="rId125">
        <w:r>
          <w:rPr>
            <w:rStyle w:val="Hyperlink"/>
          </w:rPr>
          <w:t xml:space="preserve">PMID 18204390</w:t>
        </w:r>
      </w:hyperlink>
    </w:p>
    <w:p>
      <w:pPr>
        <w:pStyle w:val="Compact"/>
        <w:numPr>
          <w:ilvl w:val="0"/>
          <w:numId w:val="1043"/>
        </w:numPr>
      </w:pPr>
      <w:r>
        <w:t xml:space="preserve">Church EW, et al. </w:t>
      </w:r>
      <w:r>
        <w:rPr>
          <w:i/>
          <w:iCs/>
        </w:rPr>
        <w:t xml:space="preserve">Systematic Review and Meta-analysis of Chiropractic Care and Cervical Artery Dissection: No Evidence for Causation.</w:t>
      </w:r>
      <w:r>
        <w:t xml:space="preserve"> </w:t>
      </w:r>
      <w:r>
        <w:t xml:space="preserve">Cureus, 2016. —</w:t>
      </w:r>
      <w:r>
        <w:t xml:space="preserve"> </w:t>
      </w:r>
      <w:hyperlink r:id="rId126">
        <w:r>
          <w:rPr>
            <w:rStyle w:val="Hyperlink"/>
          </w:rPr>
          <w:t xml:space="preserve">PMID 27014532</w:t>
        </w:r>
      </w:hyperlink>
    </w:p>
    <w:p>
      <w:pPr>
        <w:pStyle w:val="Compact"/>
        <w:numPr>
          <w:ilvl w:val="0"/>
          <w:numId w:val="1043"/>
        </w:numPr>
      </w:pPr>
      <w:r>
        <w:t xml:space="preserve">Rushton A, et al. </w:t>
      </w:r>
      <w:r>
        <w:rPr>
          <w:i/>
          <w:iCs/>
        </w:rPr>
        <w:t xml:space="preserve">International IFOMPT Cervical Framework.</w:t>
      </w:r>
      <w:r>
        <w:t xml:space="preserve"> </w:t>
      </w:r>
      <w:r>
        <w:t xml:space="preserve">J Orthop Sports Phys Ther, 2023. —</w:t>
      </w:r>
      <w:r>
        <w:t xml:space="preserve"> </w:t>
      </w:r>
      <w:hyperlink r:id="rId127">
        <w:r>
          <w:rPr>
            <w:rStyle w:val="Hyperlink"/>
          </w:rPr>
          <w:t xml:space="preserve">PMID 36099171</w:t>
        </w:r>
      </w:hyperlink>
    </w:p>
    <w:p>
      <w:pPr>
        <w:pStyle w:val="Compact"/>
        <w:numPr>
          <w:ilvl w:val="0"/>
          <w:numId w:val="1043"/>
        </w:numPr>
      </w:pPr>
      <w:r>
        <w:t xml:space="preserve">Zhang X, et al. </w:t>
      </w:r>
      <w:r>
        <w:rPr>
          <w:i/>
          <w:iCs/>
        </w:rPr>
        <w:t xml:space="preserve">Nonsteroidal anti-inflammatory drug induced acute kidney injury: a systematic review and meta-analysis.</w:t>
      </w:r>
      <w:r>
        <w:t xml:space="preserve"> </w:t>
      </w:r>
      <w:r>
        <w:t xml:space="preserve">BMC Nephrol, 2017. —</w:t>
      </w:r>
      <w:r>
        <w:t xml:space="preserve"> </w:t>
      </w:r>
      <w:hyperlink r:id="rId128">
        <w:r>
          <w:rPr>
            <w:rStyle w:val="Hyperlink"/>
          </w:rPr>
          <w:t xml:space="preserve">PMID 28764659</w:t>
        </w:r>
      </w:hyperlink>
    </w:p>
    <w:p>
      <w:pPr>
        <w:pStyle w:val="Compact"/>
        <w:numPr>
          <w:ilvl w:val="0"/>
          <w:numId w:val="1043"/>
        </w:numPr>
      </w:pPr>
      <w:r>
        <w:t xml:space="preserve">Gross A, et al. </w:t>
      </w:r>
      <w:r>
        <w:rPr>
          <w:i/>
          <w:iCs/>
        </w:rPr>
        <w:t xml:space="preserve">Exercises for mechanical neck disorders.</w:t>
      </w:r>
      <w:r>
        <w:t xml:space="preserve"> </w:t>
      </w:r>
      <w:r>
        <w:t xml:space="preserve">Cochrane Database Syst Rev, 2015. —</w:t>
      </w:r>
      <w:r>
        <w:t xml:space="preserve"> </w:t>
      </w:r>
      <w:hyperlink r:id="rId55">
        <w:r>
          <w:rPr>
            <w:rStyle w:val="Hyperlink"/>
          </w:rPr>
          <w:t xml:space="preserve">PMID 25629215</w:t>
        </w:r>
      </w:hyperlink>
    </w:p>
    <w:p>
      <w:pPr>
        <w:pStyle w:val="Compact"/>
        <w:numPr>
          <w:ilvl w:val="0"/>
          <w:numId w:val="1043"/>
        </w:numPr>
      </w:pPr>
      <w:r>
        <w:t xml:space="preserve">Ceballos-Laita L, Jiménez-Del-Barrio S, Carrasco-Uribarren A, et al. </w:t>
      </w:r>
      <w:r>
        <w:rPr>
          <w:i/>
          <w:iCs/>
        </w:rPr>
        <w:t xml:space="preserve">Is Osteopathic Manipulative Treatment Clinically Superior to Sham or Placebo for Patients with Neck or Low-Back Pain? A Systematic Review with Meta-Analysis.</w:t>
      </w:r>
      <w:r>
        <w:t xml:space="preserve"> </w:t>
      </w:r>
      <w:r>
        <w:t xml:space="preserve">Diseases, 2024. —</w:t>
      </w:r>
      <w:r>
        <w:t xml:space="preserve"> </w:t>
      </w:r>
      <w:hyperlink r:id="rId56">
        <w:r>
          <w:rPr>
            <w:rStyle w:val="Hyperlink"/>
          </w:rPr>
          <w:t xml:space="preserve">PMID 39589961</w:t>
        </w:r>
      </w:hyperlink>
    </w:p>
    <w:p>
      <w:pPr>
        <w:pStyle w:val="Compact"/>
        <w:numPr>
          <w:ilvl w:val="0"/>
          <w:numId w:val="1043"/>
        </w:numPr>
      </w:pPr>
      <w:r>
        <w:t xml:space="preserve">Miller J, et al. </w:t>
      </w:r>
      <w:r>
        <w:rPr>
          <w:i/>
          <w:iCs/>
        </w:rPr>
        <w:t xml:space="preserve">Manual therapy and exercise for neck pain: A systematic review.</w:t>
      </w:r>
      <w:r>
        <w:t xml:space="preserve"> </w:t>
      </w:r>
      <w:r>
        <w:t xml:space="preserve">Man Ther, 2010. —</w:t>
      </w:r>
      <w:r>
        <w:t xml:space="preserve"> </w:t>
      </w:r>
      <w:hyperlink r:id="rId129">
        <w:r>
          <w:rPr>
            <w:rStyle w:val="Hyperlink"/>
          </w:rPr>
          <w:t xml:space="preserve">PMID 20627797</w:t>
        </w:r>
      </w:hyperlink>
    </w:p>
    <w:p>
      <w:pPr>
        <w:pStyle w:val="Compact"/>
        <w:numPr>
          <w:ilvl w:val="0"/>
          <w:numId w:val="1043"/>
        </w:numPr>
      </w:pPr>
      <w:r>
        <w:t xml:space="preserve">Gordon TC, et al. </w:t>
      </w:r>
      <w:r>
        <w:rPr>
          <w:i/>
          <w:iCs/>
        </w:rPr>
        <w:t xml:space="preserve">Effects of manual osteopathic interventions on psychometric and psychophysiological indicators of anxiety, depression and stress in adults.</w:t>
      </w:r>
      <w:r>
        <w:t xml:space="preserve"> </w:t>
      </w:r>
      <w:r>
        <w:t xml:space="preserve">BMJ Open, 2025. —</w:t>
      </w:r>
      <w:r>
        <w:t xml:space="preserve"> </w:t>
      </w:r>
      <w:hyperlink r:id="rId130">
        <w:r>
          <w:rPr>
            <w:rStyle w:val="Hyperlink"/>
          </w:rPr>
          <w:t xml:space="preserve">PMID 39920074</w:t>
        </w:r>
      </w:hyperlink>
    </w:p>
    <w:p>
      <w:pPr>
        <w:pStyle w:val="Compact"/>
        <w:numPr>
          <w:ilvl w:val="0"/>
          <w:numId w:val="1043"/>
        </w:numPr>
      </w:pPr>
      <w:r>
        <w:t xml:space="preserve">Löken LS, et al. </w:t>
      </w:r>
      <w:r>
        <w:rPr>
          <w:i/>
          <w:iCs/>
        </w:rPr>
        <w:t xml:space="preserve">Coding of pleasant touch by unmyelinated afferents in humans.</w:t>
      </w:r>
      <w:r>
        <w:t xml:space="preserve"> </w:t>
      </w:r>
      <w:r>
        <w:t xml:space="preserve">Nat Neurosci, 2009. —</w:t>
      </w:r>
      <w:r>
        <w:t xml:space="preserve"> </w:t>
      </w:r>
      <w:hyperlink r:id="rId131">
        <w:r>
          <w:rPr>
            <w:rStyle w:val="Hyperlink"/>
          </w:rPr>
          <w:t xml:space="preserve">PMID 19363489</w:t>
        </w:r>
      </w:hyperlink>
    </w:p>
    <w:p>
      <w:pPr>
        <w:pStyle w:val="Compact"/>
        <w:numPr>
          <w:ilvl w:val="0"/>
          <w:numId w:val="1043"/>
        </w:numPr>
      </w:pPr>
      <w:r>
        <w:t xml:space="preserve">McGlone F, Wessberg J, Olausson H.</w:t>
      </w:r>
      <w:r>
        <w:t xml:space="preserve"> </w:t>
      </w:r>
      <w:r>
        <w:rPr>
          <w:i/>
          <w:iCs/>
        </w:rPr>
        <w:t xml:space="preserve">Discriminative and affective touch: sensing and feeling.</w:t>
      </w:r>
      <w:r>
        <w:t xml:space="preserve"> </w:t>
      </w:r>
      <w:r>
        <w:t xml:space="preserve">Neuron, 2014. —</w:t>
      </w:r>
      <w:r>
        <w:t xml:space="preserve"> </w:t>
      </w:r>
      <w:hyperlink r:id="rId132">
        <w:r>
          <w:rPr>
            <w:rStyle w:val="Hyperlink"/>
          </w:rPr>
          <w:t xml:space="preserve">PMID 24853935</w:t>
        </w:r>
      </w:hyperlink>
    </w:p>
    <w:p>
      <w:pPr>
        <w:pStyle w:val="Compact"/>
        <w:numPr>
          <w:ilvl w:val="0"/>
          <w:numId w:val="1043"/>
        </w:numPr>
      </w:pPr>
      <w:r>
        <w:t xml:space="preserve">Bialosky JE, et al. </w:t>
      </w:r>
      <w:r>
        <w:rPr>
          <w:i/>
          <w:iCs/>
        </w:rPr>
        <w:t xml:space="preserve">The mechanisms of manual therapy in the treatment of musculoskeletal pain.</w:t>
      </w:r>
      <w:r>
        <w:t xml:space="preserve"> </w:t>
      </w:r>
      <w:r>
        <w:t xml:space="preserve">Man Ther, 2009. —</w:t>
      </w:r>
      <w:r>
        <w:t xml:space="preserve"> </w:t>
      </w:r>
      <w:hyperlink r:id="rId133">
        <w:r>
          <w:rPr>
            <w:rStyle w:val="Hyperlink"/>
          </w:rPr>
          <w:t xml:space="preserve">PMID 19027342</w:t>
        </w:r>
      </w:hyperlink>
    </w:p>
    <w:p>
      <w:pPr>
        <w:pStyle w:val="Compact"/>
        <w:numPr>
          <w:ilvl w:val="0"/>
          <w:numId w:val="1043"/>
        </w:numPr>
      </w:pPr>
      <w:r>
        <w:t xml:space="preserve">Bialosky JE, et al. </w:t>
      </w:r>
      <w:r>
        <w:rPr>
          <w:i/>
          <w:iCs/>
        </w:rPr>
        <w:t xml:space="preserve">Unraveling the Mechanisms of Manual Therapy: Modeling an Approach.</w:t>
      </w:r>
      <w:r>
        <w:t xml:space="preserve"> </w:t>
      </w:r>
      <w:r>
        <w:t xml:space="preserve">J Orthop Sports Phys Ther, 2018. —</w:t>
      </w:r>
      <w:r>
        <w:t xml:space="preserve"> </w:t>
      </w:r>
      <w:hyperlink r:id="rId134">
        <w:r>
          <w:rPr>
            <w:rStyle w:val="Hyperlink"/>
          </w:rPr>
          <w:t xml:space="preserve">PMID 29034802</w:t>
        </w:r>
      </w:hyperlink>
    </w:p>
    <w:p>
      <w:pPr>
        <w:pStyle w:val="Compact"/>
        <w:numPr>
          <w:ilvl w:val="0"/>
          <w:numId w:val="1043"/>
        </w:numPr>
      </w:pPr>
      <w:r>
        <w:t xml:space="preserve">Laborde S, et al. </w:t>
      </w:r>
      <w:r>
        <w:rPr>
          <w:i/>
          <w:iCs/>
        </w:rPr>
        <w:t xml:space="preserve">Effects of voluntary slow breathing on heart rate and heart rate variability.</w:t>
      </w:r>
      <w:r>
        <w:t xml:space="preserve"> </w:t>
      </w:r>
      <w:r>
        <w:t xml:space="preserve">Neurosci Biobehav Rev, 2022. —</w:t>
      </w:r>
      <w:r>
        <w:t xml:space="preserve"> </w:t>
      </w:r>
      <w:hyperlink r:id="rId135">
        <w:r>
          <w:rPr>
            <w:rStyle w:val="Hyperlink"/>
          </w:rPr>
          <w:t xml:space="preserve">PMID 35623448</w:t>
        </w:r>
      </w:hyperlink>
    </w:p>
    <w:p>
      <w:pPr>
        <w:pStyle w:val="Compact"/>
        <w:numPr>
          <w:ilvl w:val="0"/>
          <w:numId w:val="1043"/>
        </w:numPr>
      </w:pPr>
      <w:r>
        <w:t xml:space="preserve">Rossettini G, Carlino E, Testa M.</w:t>
      </w:r>
      <w:r>
        <w:t xml:space="preserve"> </w:t>
      </w:r>
      <w:r>
        <w:rPr>
          <w:i/>
          <w:iCs/>
        </w:rPr>
        <w:t xml:space="preserve">Clinical relevance of contextual factors as triggers of placebo and nocebo effects in musculoskeletal pain.</w:t>
      </w:r>
      <w:r>
        <w:t xml:space="preserve"> </w:t>
      </w:r>
      <w:r>
        <w:t xml:space="preserve">BMC Musculoskelet Disord, 2018. —</w:t>
      </w:r>
      <w:r>
        <w:t xml:space="preserve"> </w:t>
      </w:r>
      <w:hyperlink r:id="rId136">
        <w:r>
          <w:rPr>
            <w:rStyle w:val="Hyperlink"/>
          </w:rPr>
          <w:t xml:space="preserve">PMID 29357856</w:t>
        </w:r>
      </w:hyperlink>
    </w:p>
    <w:p>
      <w:pPr>
        <w:pStyle w:val="Compact"/>
        <w:numPr>
          <w:ilvl w:val="0"/>
          <w:numId w:val="1043"/>
        </w:numPr>
      </w:pPr>
      <w:r>
        <w:t xml:space="preserve">Taccolini Manzoni AC, Bastos de Oliveira NT, Nunes Cabral CM, Aquaroni Ricci N.</w:t>
      </w:r>
      <w:r>
        <w:t xml:space="preserve"> </w:t>
      </w:r>
      <w:r>
        <w:rPr>
          <w:i/>
          <w:iCs/>
        </w:rPr>
        <w:t xml:space="preserve">The role of the therapeutic alliance on pain relief in musculoskeletal rehabilitation: A systematic review.</w:t>
      </w:r>
      <w:r>
        <w:t xml:space="preserve"> </w:t>
      </w:r>
      <w:r>
        <w:t xml:space="preserve">Physiother Theory Pract, 2018. —</w:t>
      </w:r>
      <w:r>
        <w:t xml:space="preserve"> </w:t>
      </w:r>
      <w:hyperlink r:id="rId137">
        <w:r>
          <w:rPr>
            <w:rStyle w:val="Hyperlink"/>
          </w:rPr>
          <w:t xml:space="preserve">PMID 29400593</w:t>
        </w:r>
      </w:hyperlink>
    </w:p>
    <w:p>
      <w:pPr>
        <w:pStyle w:val="Compact"/>
        <w:numPr>
          <w:ilvl w:val="0"/>
          <w:numId w:val="1043"/>
        </w:numPr>
      </w:pPr>
      <w:r>
        <w:t xml:space="preserve">Hack GD, et al. </w:t>
      </w:r>
      <w:r>
        <w:rPr>
          <w:i/>
          <w:iCs/>
        </w:rPr>
        <w:t xml:space="preserve">Anatomic relation between the rectus capitis posterior minor muscle and the dura mater.</w:t>
      </w:r>
      <w:r>
        <w:t xml:space="preserve"> </w:t>
      </w:r>
      <w:r>
        <w:t xml:space="preserve">Spine, 1995. —</w:t>
      </w:r>
      <w:r>
        <w:t xml:space="preserve"> </w:t>
      </w:r>
      <w:hyperlink r:id="rId138">
        <w:r>
          <w:rPr>
            <w:rStyle w:val="Hyperlink"/>
          </w:rPr>
          <w:t xml:space="preserve">PMID 8610241</w:t>
        </w:r>
      </w:hyperlink>
    </w:p>
    <w:p>
      <w:pPr>
        <w:pStyle w:val="Compact"/>
        <w:numPr>
          <w:ilvl w:val="0"/>
          <w:numId w:val="1043"/>
        </w:numPr>
      </w:pPr>
      <w:r>
        <w:t xml:space="preserve">Dal Farra F, Buffone F, Risio RG, Tarantino AG, Vismara L, Bergna A.</w:t>
      </w:r>
      <w:r>
        <w:t xml:space="preserve"> </w:t>
      </w:r>
      <w:r>
        <w:rPr>
          <w:i/>
          <w:iCs/>
        </w:rPr>
        <w:t xml:space="preserve">Effectiveness of osteopathic interventions in patients with non-specific neck pain: A systematic review and meta-analysis.</w:t>
      </w:r>
      <w:r>
        <w:t xml:space="preserve"> </w:t>
      </w:r>
      <w:r>
        <w:t xml:space="preserve">Complement Ther Clin Pract, 2022. —</w:t>
      </w:r>
      <w:r>
        <w:t xml:space="preserve"> </w:t>
      </w:r>
      <w:hyperlink r:id="rId139">
        <w:r>
          <w:rPr>
            <w:rStyle w:val="Hyperlink"/>
          </w:rPr>
          <w:t xml:space="preserve">PMID 35986986</w:t>
        </w:r>
      </w:hyperlink>
    </w:p>
    <w:p>
      <w:pPr>
        <w:pStyle w:val="Compact"/>
        <w:numPr>
          <w:ilvl w:val="0"/>
          <w:numId w:val="1043"/>
        </w:numPr>
      </w:pPr>
      <w:r>
        <w:t xml:space="preserve">Schwerla F, et al. </w:t>
      </w:r>
      <w:r>
        <w:rPr>
          <w:i/>
          <w:iCs/>
        </w:rPr>
        <w:t xml:space="preserve">Osteopathic treatment of patients with chronic non-specific neck pain.</w:t>
      </w:r>
      <w:r>
        <w:t xml:space="preserve"> </w:t>
      </w:r>
      <w:r>
        <w:t xml:space="preserve">Forsch Komplementmed, 2008. —</w:t>
      </w:r>
      <w:r>
        <w:t xml:space="preserve"> </w:t>
      </w:r>
      <w:hyperlink r:id="rId140">
        <w:r>
          <w:rPr>
            <w:rStyle w:val="Hyperlink"/>
          </w:rPr>
          <w:t xml:space="preserve">PMID 18617745</w:t>
        </w:r>
      </w:hyperlink>
    </w:p>
    <w:p>
      <w:pPr>
        <w:pStyle w:val="Compact"/>
        <w:numPr>
          <w:ilvl w:val="0"/>
          <w:numId w:val="1043"/>
        </w:numPr>
      </w:pPr>
      <w:r>
        <w:t xml:space="preserve">Heneghan NR, Pup C, Koulidis K, Rushton A.</w:t>
      </w:r>
      <w:r>
        <w:t xml:space="preserve"> </w:t>
      </w:r>
      <w:r>
        <w:rPr>
          <w:i/>
          <w:iCs/>
        </w:rPr>
        <w:t xml:space="preserve">Thoracic adverse events following spinal manipulative therapy: a systematic review.</w:t>
      </w:r>
      <w:r>
        <w:t xml:space="preserve"> </w:t>
      </w:r>
      <w:r>
        <w:t xml:space="preserve">J Man Manip Ther, 2020. —</w:t>
      </w:r>
      <w:r>
        <w:t xml:space="preserve"> </w:t>
      </w:r>
      <w:hyperlink r:id="rId141">
        <w:r>
          <w:rPr>
            <w:rStyle w:val="Hyperlink"/>
          </w:rPr>
          <w:t xml:space="preserve">PMID 32148185</w:t>
        </w:r>
      </w:hyperlink>
    </w:p>
    <w:p>
      <w:pPr>
        <w:pStyle w:val="Compact"/>
        <w:numPr>
          <w:ilvl w:val="0"/>
          <w:numId w:val="1043"/>
        </w:numPr>
      </w:pPr>
      <w:r>
        <w:t xml:space="preserve">Tatsios PI, et al. </w:t>
      </w:r>
      <w:r>
        <w:rPr>
          <w:i/>
          <w:iCs/>
        </w:rPr>
        <w:t xml:space="preserve">Manual therapy and breathing reeducation in chronic neck pain.</w:t>
      </w:r>
      <w:r>
        <w:t xml:space="preserve"> </w:t>
      </w:r>
      <w:r>
        <w:t xml:space="preserve">Healthcare (Basel), 2025. —</w:t>
      </w:r>
      <w:r>
        <w:t xml:space="preserve"> </w:t>
      </w:r>
      <w:hyperlink r:id="rId142">
        <w:r>
          <w:rPr>
            <w:rStyle w:val="Hyperlink"/>
          </w:rPr>
          <w:t xml:space="preserve">PMID 40724787</w:t>
        </w:r>
      </w:hyperlink>
    </w:p>
    <w:p>
      <w:pPr>
        <w:pStyle w:val="Compact"/>
        <w:numPr>
          <w:ilvl w:val="0"/>
          <w:numId w:val="1043"/>
        </w:numPr>
      </w:pPr>
      <w:r>
        <w:t xml:space="preserve">Meyer KW, et al. </w:t>
      </w:r>
      <w:r>
        <w:rPr>
          <w:i/>
          <w:iCs/>
        </w:rPr>
        <w:t xml:space="preserve">Adverse events following cervical spine self-manipulation: A systematic review.</w:t>
      </w:r>
      <w:r>
        <w:t xml:space="preserve"> </w:t>
      </w:r>
      <w:r>
        <w:t xml:space="preserve">PM&amp;R, 2026. —</w:t>
      </w:r>
      <w:r>
        <w:t xml:space="preserve"> </w:t>
      </w:r>
      <w:hyperlink r:id="rId143">
        <w:r>
          <w:rPr>
            <w:rStyle w:val="Hyperlink"/>
          </w:rPr>
          <w:t xml:space="preserve">PMID 41586491</w:t>
        </w:r>
      </w:hyperlink>
    </w:p>
    <w:p>
      <w:pPr>
        <w:pStyle w:val="Compact"/>
        <w:numPr>
          <w:ilvl w:val="0"/>
          <w:numId w:val="1043"/>
        </w:numPr>
      </w:pPr>
      <w:r>
        <w:t xml:space="preserve">Ylinen J, et al. </w:t>
      </w:r>
      <w:r>
        <w:rPr>
          <w:i/>
          <w:iCs/>
        </w:rPr>
        <w:t xml:space="preserve">Active neck muscle training in the treatment of chronic neck pain in women: a randomized controlled trial.</w:t>
      </w:r>
      <w:r>
        <w:t xml:space="preserve"> </w:t>
      </w:r>
      <w:r>
        <w:t xml:space="preserve">JAMA, 2003. —</w:t>
      </w:r>
      <w:r>
        <w:t xml:space="preserve"> </w:t>
      </w:r>
      <w:hyperlink r:id="rId144">
        <w:r>
          <w:rPr>
            <w:rStyle w:val="Hyperlink"/>
          </w:rPr>
          <w:t xml:space="preserve">PMID 12759322</w:t>
        </w:r>
      </w:hyperlink>
    </w:p>
    <w:p>
      <w:pPr>
        <w:pStyle w:val="Compact"/>
        <w:numPr>
          <w:ilvl w:val="0"/>
          <w:numId w:val="1043"/>
        </w:numPr>
      </w:pPr>
      <w:r>
        <w:t xml:space="preserve">Andersen LL, et al. </w:t>
      </w:r>
      <w:r>
        <w:rPr>
          <w:i/>
          <w:iCs/>
        </w:rPr>
        <w:t xml:space="preserve">A randomized controlled intervention trial to relieve and prevent neck/shoulder pain.</w:t>
      </w:r>
      <w:r>
        <w:t xml:space="preserve"> </w:t>
      </w:r>
      <w:r>
        <w:t xml:space="preserve">Med Sci Sports Exerc, 2008. —</w:t>
      </w:r>
      <w:r>
        <w:t xml:space="preserve"> </w:t>
      </w:r>
      <w:hyperlink r:id="rId145">
        <w:r>
          <w:rPr>
            <w:rStyle w:val="Hyperlink"/>
          </w:rPr>
          <w:t xml:space="preserve">PMID 18461010</w:t>
        </w:r>
      </w:hyperlink>
    </w:p>
    <w:p>
      <w:pPr>
        <w:pStyle w:val="Compact"/>
        <w:numPr>
          <w:ilvl w:val="0"/>
          <w:numId w:val="1043"/>
        </w:numPr>
      </w:pPr>
      <w:r>
        <w:t xml:space="preserve">Wewege MA, Jones MD.</w:t>
      </w:r>
      <w:r>
        <w:t xml:space="preserve"> </w:t>
      </w:r>
      <w:r>
        <w:rPr>
          <w:i/>
          <w:iCs/>
        </w:rPr>
        <w:t xml:space="preserve">Exercise-Induced Hypoalgesia in Healthy Individuals and People With Chronic Musculoskeletal Pain: A Systematic Review and Meta-Analysis.</w:t>
      </w:r>
      <w:r>
        <w:t xml:space="preserve"> </w:t>
      </w:r>
      <w:r>
        <w:t xml:space="preserve">J Pain, 2021. —</w:t>
      </w:r>
      <w:r>
        <w:t xml:space="preserve"> </w:t>
      </w:r>
      <w:hyperlink r:id="rId146">
        <w:r>
          <w:rPr>
            <w:rStyle w:val="Hyperlink"/>
          </w:rPr>
          <w:t xml:space="preserve">PMID 32599154</w:t>
        </w:r>
      </w:hyperlink>
    </w:p>
    <w:p>
      <w:pPr>
        <w:pStyle w:val="Compact"/>
        <w:numPr>
          <w:ilvl w:val="0"/>
          <w:numId w:val="1043"/>
        </w:numPr>
      </w:pPr>
      <w:r>
        <w:t xml:space="preserve">Malfliet A, et al. </w:t>
      </w:r>
      <w:r>
        <w:rPr>
          <w:i/>
          <w:iCs/>
        </w:rPr>
        <w:t xml:space="preserve">Effect of Pain Neuroscience Education Combined With Cognition-Targeted Motor Control Training on Chronic Spinal Pain.</w:t>
      </w:r>
      <w:r>
        <w:t xml:space="preserve"> </w:t>
      </w:r>
      <w:r>
        <w:t xml:space="preserve">JAMA Neurol, 2018. —</w:t>
      </w:r>
      <w:r>
        <w:t xml:space="preserve"> </w:t>
      </w:r>
      <w:hyperlink r:id="rId147">
        <w:r>
          <w:rPr>
            <w:rStyle w:val="Hyperlink"/>
          </w:rPr>
          <w:t xml:space="preserve">PMID 29710099</w:t>
        </w:r>
      </w:hyperlink>
    </w:p>
    <w:p>
      <w:pPr>
        <w:pStyle w:val="Compact"/>
        <w:numPr>
          <w:ilvl w:val="0"/>
          <w:numId w:val="1043"/>
        </w:numPr>
      </w:pPr>
      <w:r>
        <w:t xml:space="preserve">Anwar S, et al. </w:t>
      </w:r>
      <w:r>
        <w:rPr>
          <w:i/>
          <w:iCs/>
        </w:rPr>
        <w:t xml:space="preserve">Breathing exercises and deep cervical flexor strength in chronic neck pain.</w:t>
      </w:r>
      <w:r>
        <w:t xml:space="preserve"> </w:t>
      </w:r>
      <w:r>
        <w:t xml:space="preserve">S Afr J Physiother, 2022. —</w:t>
      </w:r>
      <w:r>
        <w:t xml:space="preserve"> </w:t>
      </w:r>
      <w:hyperlink r:id="rId148">
        <w:r>
          <w:rPr>
            <w:rStyle w:val="Hyperlink"/>
          </w:rPr>
          <w:t xml:space="preserve">PMID 35547963</w:t>
        </w:r>
      </w:hyperlink>
    </w:p>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3" Target="https://pubmed.ncbi.nlm.nih.gov/11414776/" TargetMode="External" /><Relationship Type="http://schemas.openxmlformats.org/officeDocument/2006/relationships/hyperlink" Id="rId123" Target="https://pubmed.ncbi.nlm.nih.gov/11597285/" TargetMode="External" /><Relationship Type="http://schemas.openxmlformats.org/officeDocument/2006/relationships/hyperlink" Id="rId87" Target="https://pubmed.ncbi.nlm.nih.gov/11799407/" TargetMode="External" /><Relationship Type="http://schemas.openxmlformats.org/officeDocument/2006/relationships/hyperlink" Id="rId86" Target="https://pubmed.ncbi.nlm.nih.gov/11923661/" TargetMode="External" /><Relationship Type="http://schemas.openxmlformats.org/officeDocument/2006/relationships/hyperlink" Id="rId89" Target="https://pubmed.ncbi.nlm.nih.gov/12077000/" TargetMode="External" /><Relationship Type="http://schemas.openxmlformats.org/officeDocument/2006/relationships/hyperlink" Id="rId51" Target="https://pubmed.ncbi.nlm.nih.gov/12221344/" TargetMode="External" /><Relationship Type="http://schemas.openxmlformats.org/officeDocument/2006/relationships/hyperlink" Id="rId99" Target="https://pubmed.ncbi.nlm.nih.gov/12544957/" TargetMode="External" /><Relationship Type="http://schemas.openxmlformats.org/officeDocument/2006/relationships/hyperlink" Id="rId144" Target="https://pubmed.ncbi.nlm.nih.gov/12759322/" TargetMode="External" /><Relationship Type="http://schemas.openxmlformats.org/officeDocument/2006/relationships/hyperlink" Id="rId90" Target="https://pubmed.ncbi.nlm.nih.gov/12821523/" TargetMode="External" /><Relationship Type="http://schemas.openxmlformats.org/officeDocument/2006/relationships/hyperlink" Id="rId92" Target="https://pubmed.ncbi.nlm.nih.gov/14762639/" TargetMode="External" /><Relationship Type="http://schemas.openxmlformats.org/officeDocument/2006/relationships/hyperlink" Id="rId96" Target="https://pubmed.ncbi.nlm.nih.gov/15454700/" TargetMode="External" /><Relationship Type="http://schemas.openxmlformats.org/officeDocument/2006/relationships/hyperlink" Id="rId122" Target="https://pubmed.ncbi.nlm.nih.gov/16269427/" TargetMode="External" /><Relationship Type="http://schemas.openxmlformats.org/officeDocument/2006/relationships/hyperlink" Id="rId120" Target="https://pubmed.ncbi.nlm.nih.gov/17112768/" TargetMode="External" /><Relationship Type="http://schemas.openxmlformats.org/officeDocument/2006/relationships/hyperlink" Id="rId105" Target="https://pubmed.ncbi.nlm.nih.gov/17608813/" TargetMode="External" /><Relationship Type="http://schemas.openxmlformats.org/officeDocument/2006/relationships/hyperlink" Id="rId117" Target="https://pubmed.ncbi.nlm.nih.gov/18204386/" TargetMode="External" /><Relationship Type="http://schemas.openxmlformats.org/officeDocument/2006/relationships/hyperlink" Id="rId78" Target="https://pubmed.ncbi.nlm.nih.gov/18204387/" TargetMode="External" /><Relationship Type="http://schemas.openxmlformats.org/officeDocument/2006/relationships/hyperlink" Id="rId125" Target="https://pubmed.ncbi.nlm.nih.gov/18204390/" TargetMode="External" /><Relationship Type="http://schemas.openxmlformats.org/officeDocument/2006/relationships/hyperlink" Id="rId81" Target="https://pubmed.ncbi.nlm.nih.gov/18204403/" TargetMode="External" /><Relationship Type="http://schemas.openxmlformats.org/officeDocument/2006/relationships/hyperlink" Id="rId145" Target="https://pubmed.ncbi.nlm.nih.gov/18461010/" TargetMode="External" /><Relationship Type="http://schemas.openxmlformats.org/officeDocument/2006/relationships/hyperlink" Id="rId140" Target="https://pubmed.ncbi.nlm.nih.gov/18617745/" TargetMode="External" /><Relationship Type="http://schemas.openxmlformats.org/officeDocument/2006/relationships/hyperlink" Id="rId133" Target="https://pubmed.ncbi.nlm.nih.gov/19027342/" TargetMode="External" /><Relationship Type="http://schemas.openxmlformats.org/officeDocument/2006/relationships/hyperlink" Id="rId93" Target="https://pubmed.ncbi.nlm.nih.gov/19187335/" TargetMode="External" /><Relationship Type="http://schemas.openxmlformats.org/officeDocument/2006/relationships/hyperlink" Id="rId131" Target="https://pubmed.ncbi.nlm.nih.gov/19363489/" TargetMode="External" /><Relationship Type="http://schemas.openxmlformats.org/officeDocument/2006/relationships/hyperlink" Id="rId91" Target="https://pubmed.ncbi.nlm.nih.gov/19411769/" TargetMode="External" /><Relationship Type="http://schemas.openxmlformats.org/officeDocument/2006/relationships/hyperlink" Id="rId97" Target="https://pubmed.ncbi.nlm.nih.gov/19632880/" TargetMode="External" /><Relationship Type="http://schemas.openxmlformats.org/officeDocument/2006/relationships/hyperlink" Id="rId119" Target="https://pubmed.ncbi.nlm.nih.gov/20508964/" TargetMode="External" /><Relationship Type="http://schemas.openxmlformats.org/officeDocument/2006/relationships/hyperlink" Id="rId129" Target="https://pubmed.ncbi.nlm.nih.gov/20627797/" TargetMode="External" /><Relationship Type="http://schemas.openxmlformats.org/officeDocument/2006/relationships/hyperlink" Id="rId80" Target="https://pubmed.ncbi.nlm.nih.gov/21458776/" TargetMode="External" /><Relationship Type="http://schemas.openxmlformats.org/officeDocument/2006/relationships/hyperlink" Id="rId121" Target="https://pubmed.ncbi.nlm.nih.gov/23490634/" TargetMode="External" /><Relationship Type="http://schemas.openxmlformats.org/officeDocument/2006/relationships/hyperlink" Id="rId118" Target="https://pubmed.ncbi.nlm.nih.gov/23508341/" TargetMode="External" /><Relationship Type="http://schemas.openxmlformats.org/officeDocument/2006/relationships/hyperlink" Id="rId94" Target="https://pubmed.ncbi.nlm.nih.gov/23958733/" TargetMode="External" /><Relationship Type="http://schemas.openxmlformats.org/officeDocument/2006/relationships/hyperlink" Id="rId104" Target="https://pubmed.ncbi.nlm.nih.gov/2402682/" TargetMode="External" /><Relationship Type="http://schemas.openxmlformats.org/officeDocument/2006/relationships/hyperlink" Id="rId107" Target="https://pubmed.ncbi.nlm.nih.gov/24792139/" TargetMode="External" /><Relationship Type="http://schemas.openxmlformats.org/officeDocument/2006/relationships/hyperlink" Id="rId77" Target="https://pubmed.ncbi.nlm.nih.gov/24853166/" TargetMode="External" /><Relationship Type="http://schemas.openxmlformats.org/officeDocument/2006/relationships/hyperlink" Id="rId132" Target="https://pubmed.ncbi.nlm.nih.gov/24853935/" TargetMode="External" /><Relationship Type="http://schemas.openxmlformats.org/officeDocument/2006/relationships/hyperlink" Id="rId82" Target="https://pubmed.ncbi.nlm.nih.gov/25584950/" TargetMode="External" /><Relationship Type="http://schemas.openxmlformats.org/officeDocument/2006/relationships/hyperlink" Id="rId55" Target="https://pubmed.ncbi.nlm.nih.gov/25629215/" TargetMode="External" /><Relationship Type="http://schemas.openxmlformats.org/officeDocument/2006/relationships/hyperlink" Id="rId100" Target="https://pubmed.ncbi.nlm.nih.gov/26000666/" TargetMode="External" /><Relationship Type="http://schemas.openxmlformats.org/officeDocument/2006/relationships/hyperlink" Id="rId116" Target="https://pubmed.ncbi.nlm.nih.gov/26006174/" TargetMode="External" /><Relationship Type="http://schemas.openxmlformats.org/officeDocument/2006/relationships/hyperlink" Id="rId114" Target="https://pubmed.ncbi.nlm.nih.gov/26153781/" TargetMode="External" /><Relationship Type="http://schemas.openxmlformats.org/officeDocument/2006/relationships/hyperlink" Id="rId52" Target="https://pubmed.ncbi.nlm.nih.gov/26397370/" TargetMode="External" /><Relationship Type="http://schemas.openxmlformats.org/officeDocument/2006/relationships/hyperlink" Id="rId88" Target="https://pubmed.ncbi.nlm.nih.gov/26472296/" TargetMode="External" /><Relationship Type="http://schemas.openxmlformats.org/officeDocument/2006/relationships/hyperlink" Id="rId115" Target="https://pubmed.ncbi.nlm.nih.gov/26498229/" TargetMode="External" /><Relationship Type="http://schemas.openxmlformats.org/officeDocument/2006/relationships/hyperlink" Id="rId126" Target="https://pubmed.ncbi.nlm.nih.gov/27014532/" TargetMode="External" /><Relationship Type="http://schemas.openxmlformats.org/officeDocument/2006/relationships/hyperlink" Id="rId106" Target="https://pubmed.ncbi.nlm.nih.gov/28622488/" TargetMode="External" /><Relationship Type="http://schemas.openxmlformats.org/officeDocument/2006/relationships/hyperlink" Id="rId128" Target="https://pubmed.ncbi.nlm.nih.gov/28764659/" TargetMode="External" /><Relationship Type="http://schemas.openxmlformats.org/officeDocument/2006/relationships/hyperlink" Id="rId84" Target="https://pubmed.ncbi.nlm.nih.gov/28774422/" TargetMode="External" /><Relationship Type="http://schemas.openxmlformats.org/officeDocument/2006/relationships/hyperlink" Id="rId134" Target="https://pubmed.ncbi.nlm.nih.gov/29034802/" TargetMode="External" /><Relationship Type="http://schemas.openxmlformats.org/officeDocument/2006/relationships/hyperlink" Id="rId136" Target="https://pubmed.ncbi.nlm.nih.gov/29357856/" TargetMode="External" /><Relationship Type="http://schemas.openxmlformats.org/officeDocument/2006/relationships/hyperlink" Id="rId137" Target="https://pubmed.ncbi.nlm.nih.gov/29400593/" TargetMode="External" /><Relationship Type="http://schemas.openxmlformats.org/officeDocument/2006/relationships/hyperlink" Id="rId147" Target="https://pubmed.ncbi.nlm.nih.gov/29710099/" TargetMode="External" /><Relationship Type="http://schemas.openxmlformats.org/officeDocument/2006/relationships/hyperlink" Id="rId112" Target="https://pubmed.ncbi.nlm.nih.gov/30486819/" TargetMode="External" /><Relationship Type="http://schemas.openxmlformats.org/officeDocument/2006/relationships/hyperlink" Id="rId108" Target="https://pubmed.ncbi.nlm.nih.gov/31061045/" TargetMode="External" /><Relationship Type="http://schemas.openxmlformats.org/officeDocument/2006/relationships/hyperlink" Id="rId102" Target="https://pubmed.ncbi.nlm.nih.gov/31773477/" TargetMode="External" /><Relationship Type="http://schemas.openxmlformats.org/officeDocument/2006/relationships/hyperlink" Id="rId141" Target="https://pubmed.ncbi.nlm.nih.gov/32148185/" TargetMode="External" /><Relationship Type="http://schemas.openxmlformats.org/officeDocument/2006/relationships/hyperlink" Id="rId146" Target="https://pubmed.ncbi.nlm.nih.gov/32599154/" TargetMode="External" /><Relationship Type="http://schemas.openxmlformats.org/officeDocument/2006/relationships/hyperlink" Id="rId95" Target="https://pubmed.ncbi.nlm.nih.gov/33974577/" TargetMode="External" /><Relationship Type="http://schemas.openxmlformats.org/officeDocument/2006/relationships/hyperlink" Id="rId148" Target="https://pubmed.ncbi.nlm.nih.gov/35547963/" TargetMode="External" /><Relationship Type="http://schemas.openxmlformats.org/officeDocument/2006/relationships/hyperlink" Id="rId135" Target="https://pubmed.ncbi.nlm.nih.gov/35623448/" TargetMode="External" /><Relationship Type="http://schemas.openxmlformats.org/officeDocument/2006/relationships/hyperlink" Id="rId139" Target="https://pubmed.ncbi.nlm.nih.gov/35986986/" TargetMode="External" /><Relationship Type="http://schemas.openxmlformats.org/officeDocument/2006/relationships/hyperlink" Id="rId111" Target="https://pubmed.ncbi.nlm.nih.gov/36006997/" TargetMode="External" /><Relationship Type="http://schemas.openxmlformats.org/officeDocument/2006/relationships/hyperlink" Id="rId127" Target="https://pubmed.ncbi.nlm.nih.gov/36099171/" TargetMode="External" /><Relationship Type="http://schemas.openxmlformats.org/officeDocument/2006/relationships/hyperlink" Id="rId85" Target="https://pubmed.ncbi.nlm.nih.gov/36593820/" TargetMode="External" /><Relationship Type="http://schemas.openxmlformats.org/officeDocument/2006/relationships/hyperlink" Id="rId53" Target="https://pubmed.ncbi.nlm.nih.gov/37561605/" TargetMode="External" /><Relationship Type="http://schemas.openxmlformats.org/officeDocument/2006/relationships/hyperlink" Id="rId101" Target="https://pubmed.ncbi.nlm.nih.gov/37734462/" TargetMode="External" /><Relationship Type="http://schemas.openxmlformats.org/officeDocument/2006/relationships/hyperlink" Id="rId79" Target="https://pubmed.ncbi.nlm.nih.gov/38383088/" TargetMode="External" /><Relationship Type="http://schemas.openxmlformats.org/officeDocument/2006/relationships/hyperlink" Id="rId83" Target="https://pubmed.ncbi.nlm.nih.gov/39497031/" TargetMode="External" /><Relationship Type="http://schemas.openxmlformats.org/officeDocument/2006/relationships/hyperlink" Id="rId56" Target="https://pubmed.ncbi.nlm.nih.gov/39589961/" TargetMode="External" /><Relationship Type="http://schemas.openxmlformats.org/officeDocument/2006/relationships/hyperlink" Id="rId124" Target="https://pubmed.ncbi.nlm.nih.gov/39639931/" TargetMode="External" /><Relationship Type="http://schemas.openxmlformats.org/officeDocument/2006/relationships/hyperlink" Id="rId130" Target="https://pubmed.ncbi.nlm.nih.gov/39920074/" TargetMode="External" /><Relationship Type="http://schemas.openxmlformats.org/officeDocument/2006/relationships/hyperlink" Id="rId109" Target="https://pubmed.ncbi.nlm.nih.gov/39941380/" TargetMode="External" /><Relationship Type="http://schemas.openxmlformats.org/officeDocument/2006/relationships/hyperlink" Id="rId54" Target="https://pubmed.ncbi.nlm.nih.gov/40019107/" TargetMode="External" /><Relationship Type="http://schemas.openxmlformats.org/officeDocument/2006/relationships/hyperlink" Id="rId142" Target="https://pubmed.ncbi.nlm.nih.gov/40724787/" TargetMode="External" /><Relationship Type="http://schemas.openxmlformats.org/officeDocument/2006/relationships/hyperlink" Id="rId110" Target="https://pubmed.ncbi.nlm.nih.gov/41007191/" TargetMode="External" /><Relationship Type="http://schemas.openxmlformats.org/officeDocument/2006/relationships/hyperlink" Id="rId143" Target="https://pubmed.ncbi.nlm.nih.gov/41586491/" TargetMode="External" /><Relationship Type="http://schemas.openxmlformats.org/officeDocument/2006/relationships/hyperlink" Id="rId103" Target="https://pubmed.ncbi.nlm.nih.gov/7709275/" TargetMode="External" /><Relationship Type="http://schemas.openxmlformats.org/officeDocument/2006/relationships/hyperlink" Id="rId98" Target="https://pubmed.ncbi.nlm.nih.gov/8186959/" TargetMode="External" /><Relationship Type="http://schemas.openxmlformats.org/officeDocument/2006/relationships/hyperlink" Id="rId138" Target="https://pubmed.ncbi.nlm.nih.gov/8610241/" TargetMode="External" /></Relationships>
</file>

<file path=word/_rels/footnotes.xml.rels><?xml version="1.0" encoding="UTF-8"?><Relationships xmlns="http://schemas.openxmlformats.org/package/2006/relationships"><Relationship Type="http://schemas.openxmlformats.org/officeDocument/2006/relationships/hyperlink" Id="rId113" Target="https://pubmed.ncbi.nlm.nih.gov/11414776/" TargetMode="External" /><Relationship Type="http://schemas.openxmlformats.org/officeDocument/2006/relationships/hyperlink" Id="rId123" Target="https://pubmed.ncbi.nlm.nih.gov/11597285/" TargetMode="External" /><Relationship Type="http://schemas.openxmlformats.org/officeDocument/2006/relationships/hyperlink" Id="rId87" Target="https://pubmed.ncbi.nlm.nih.gov/11799407/" TargetMode="External" /><Relationship Type="http://schemas.openxmlformats.org/officeDocument/2006/relationships/hyperlink" Id="rId86" Target="https://pubmed.ncbi.nlm.nih.gov/11923661/" TargetMode="External" /><Relationship Type="http://schemas.openxmlformats.org/officeDocument/2006/relationships/hyperlink" Id="rId89" Target="https://pubmed.ncbi.nlm.nih.gov/12077000/" TargetMode="External" /><Relationship Type="http://schemas.openxmlformats.org/officeDocument/2006/relationships/hyperlink" Id="rId51" Target="https://pubmed.ncbi.nlm.nih.gov/12221344/" TargetMode="External" /><Relationship Type="http://schemas.openxmlformats.org/officeDocument/2006/relationships/hyperlink" Id="rId99" Target="https://pubmed.ncbi.nlm.nih.gov/12544957/" TargetMode="External" /><Relationship Type="http://schemas.openxmlformats.org/officeDocument/2006/relationships/hyperlink" Id="rId144" Target="https://pubmed.ncbi.nlm.nih.gov/12759322/" TargetMode="External" /><Relationship Type="http://schemas.openxmlformats.org/officeDocument/2006/relationships/hyperlink" Id="rId90" Target="https://pubmed.ncbi.nlm.nih.gov/12821523/" TargetMode="External" /><Relationship Type="http://schemas.openxmlformats.org/officeDocument/2006/relationships/hyperlink" Id="rId92" Target="https://pubmed.ncbi.nlm.nih.gov/14762639/" TargetMode="External" /><Relationship Type="http://schemas.openxmlformats.org/officeDocument/2006/relationships/hyperlink" Id="rId96" Target="https://pubmed.ncbi.nlm.nih.gov/15454700/" TargetMode="External" /><Relationship Type="http://schemas.openxmlformats.org/officeDocument/2006/relationships/hyperlink" Id="rId122" Target="https://pubmed.ncbi.nlm.nih.gov/16269427/" TargetMode="External" /><Relationship Type="http://schemas.openxmlformats.org/officeDocument/2006/relationships/hyperlink" Id="rId120" Target="https://pubmed.ncbi.nlm.nih.gov/17112768/" TargetMode="External" /><Relationship Type="http://schemas.openxmlformats.org/officeDocument/2006/relationships/hyperlink" Id="rId105" Target="https://pubmed.ncbi.nlm.nih.gov/17608813/" TargetMode="External" /><Relationship Type="http://schemas.openxmlformats.org/officeDocument/2006/relationships/hyperlink" Id="rId117" Target="https://pubmed.ncbi.nlm.nih.gov/18204386/" TargetMode="External" /><Relationship Type="http://schemas.openxmlformats.org/officeDocument/2006/relationships/hyperlink" Id="rId78" Target="https://pubmed.ncbi.nlm.nih.gov/18204387/" TargetMode="External" /><Relationship Type="http://schemas.openxmlformats.org/officeDocument/2006/relationships/hyperlink" Id="rId125" Target="https://pubmed.ncbi.nlm.nih.gov/18204390/" TargetMode="External" /><Relationship Type="http://schemas.openxmlformats.org/officeDocument/2006/relationships/hyperlink" Id="rId81" Target="https://pubmed.ncbi.nlm.nih.gov/18204403/" TargetMode="External" /><Relationship Type="http://schemas.openxmlformats.org/officeDocument/2006/relationships/hyperlink" Id="rId145" Target="https://pubmed.ncbi.nlm.nih.gov/18461010/" TargetMode="External" /><Relationship Type="http://schemas.openxmlformats.org/officeDocument/2006/relationships/hyperlink" Id="rId140" Target="https://pubmed.ncbi.nlm.nih.gov/18617745/" TargetMode="External" /><Relationship Type="http://schemas.openxmlformats.org/officeDocument/2006/relationships/hyperlink" Id="rId133" Target="https://pubmed.ncbi.nlm.nih.gov/19027342/" TargetMode="External" /><Relationship Type="http://schemas.openxmlformats.org/officeDocument/2006/relationships/hyperlink" Id="rId93" Target="https://pubmed.ncbi.nlm.nih.gov/19187335/" TargetMode="External" /><Relationship Type="http://schemas.openxmlformats.org/officeDocument/2006/relationships/hyperlink" Id="rId131" Target="https://pubmed.ncbi.nlm.nih.gov/19363489/" TargetMode="External" /><Relationship Type="http://schemas.openxmlformats.org/officeDocument/2006/relationships/hyperlink" Id="rId91" Target="https://pubmed.ncbi.nlm.nih.gov/19411769/" TargetMode="External" /><Relationship Type="http://schemas.openxmlformats.org/officeDocument/2006/relationships/hyperlink" Id="rId97" Target="https://pubmed.ncbi.nlm.nih.gov/19632880/" TargetMode="External" /><Relationship Type="http://schemas.openxmlformats.org/officeDocument/2006/relationships/hyperlink" Id="rId119" Target="https://pubmed.ncbi.nlm.nih.gov/20508964/" TargetMode="External" /><Relationship Type="http://schemas.openxmlformats.org/officeDocument/2006/relationships/hyperlink" Id="rId129" Target="https://pubmed.ncbi.nlm.nih.gov/20627797/" TargetMode="External" /><Relationship Type="http://schemas.openxmlformats.org/officeDocument/2006/relationships/hyperlink" Id="rId80" Target="https://pubmed.ncbi.nlm.nih.gov/21458776/" TargetMode="External" /><Relationship Type="http://schemas.openxmlformats.org/officeDocument/2006/relationships/hyperlink" Id="rId121" Target="https://pubmed.ncbi.nlm.nih.gov/23490634/" TargetMode="External" /><Relationship Type="http://schemas.openxmlformats.org/officeDocument/2006/relationships/hyperlink" Id="rId118" Target="https://pubmed.ncbi.nlm.nih.gov/23508341/" TargetMode="External" /><Relationship Type="http://schemas.openxmlformats.org/officeDocument/2006/relationships/hyperlink" Id="rId94" Target="https://pubmed.ncbi.nlm.nih.gov/23958733/" TargetMode="External" /><Relationship Type="http://schemas.openxmlformats.org/officeDocument/2006/relationships/hyperlink" Id="rId104" Target="https://pubmed.ncbi.nlm.nih.gov/2402682/" TargetMode="External" /><Relationship Type="http://schemas.openxmlformats.org/officeDocument/2006/relationships/hyperlink" Id="rId107" Target="https://pubmed.ncbi.nlm.nih.gov/24792139/" TargetMode="External" /><Relationship Type="http://schemas.openxmlformats.org/officeDocument/2006/relationships/hyperlink" Id="rId77" Target="https://pubmed.ncbi.nlm.nih.gov/24853166/" TargetMode="External" /><Relationship Type="http://schemas.openxmlformats.org/officeDocument/2006/relationships/hyperlink" Id="rId132" Target="https://pubmed.ncbi.nlm.nih.gov/24853935/" TargetMode="External" /><Relationship Type="http://schemas.openxmlformats.org/officeDocument/2006/relationships/hyperlink" Id="rId82" Target="https://pubmed.ncbi.nlm.nih.gov/25584950/" TargetMode="External" /><Relationship Type="http://schemas.openxmlformats.org/officeDocument/2006/relationships/hyperlink" Id="rId55" Target="https://pubmed.ncbi.nlm.nih.gov/25629215/" TargetMode="External" /><Relationship Type="http://schemas.openxmlformats.org/officeDocument/2006/relationships/hyperlink" Id="rId100" Target="https://pubmed.ncbi.nlm.nih.gov/26000666/" TargetMode="External" /><Relationship Type="http://schemas.openxmlformats.org/officeDocument/2006/relationships/hyperlink" Id="rId116" Target="https://pubmed.ncbi.nlm.nih.gov/26006174/" TargetMode="External" /><Relationship Type="http://schemas.openxmlformats.org/officeDocument/2006/relationships/hyperlink" Id="rId114" Target="https://pubmed.ncbi.nlm.nih.gov/26153781/" TargetMode="External" /><Relationship Type="http://schemas.openxmlformats.org/officeDocument/2006/relationships/hyperlink" Id="rId52" Target="https://pubmed.ncbi.nlm.nih.gov/26397370/" TargetMode="External" /><Relationship Type="http://schemas.openxmlformats.org/officeDocument/2006/relationships/hyperlink" Id="rId88" Target="https://pubmed.ncbi.nlm.nih.gov/26472296/" TargetMode="External" /><Relationship Type="http://schemas.openxmlformats.org/officeDocument/2006/relationships/hyperlink" Id="rId115" Target="https://pubmed.ncbi.nlm.nih.gov/26498229/" TargetMode="External" /><Relationship Type="http://schemas.openxmlformats.org/officeDocument/2006/relationships/hyperlink" Id="rId126" Target="https://pubmed.ncbi.nlm.nih.gov/27014532/" TargetMode="External" /><Relationship Type="http://schemas.openxmlformats.org/officeDocument/2006/relationships/hyperlink" Id="rId106" Target="https://pubmed.ncbi.nlm.nih.gov/28622488/" TargetMode="External" /><Relationship Type="http://schemas.openxmlformats.org/officeDocument/2006/relationships/hyperlink" Id="rId128" Target="https://pubmed.ncbi.nlm.nih.gov/28764659/" TargetMode="External" /><Relationship Type="http://schemas.openxmlformats.org/officeDocument/2006/relationships/hyperlink" Id="rId84" Target="https://pubmed.ncbi.nlm.nih.gov/28774422/" TargetMode="External" /><Relationship Type="http://schemas.openxmlformats.org/officeDocument/2006/relationships/hyperlink" Id="rId134" Target="https://pubmed.ncbi.nlm.nih.gov/29034802/" TargetMode="External" /><Relationship Type="http://schemas.openxmlformats.org/officeDocument/2006/relationships/hyperlink" Id="rId136" Target="https://pubmed.ncbi.nlm.nih.gov/29357856/" TargetMode="External" /><Relationship Type="http://schemas.openxmlformats.org/officeDocument/2006/relationships/hyperlink" Id="rId137" Target="https://pubmed.ncbi.nlm.nih.gov/29400593/" TargetMode="External" /><Relationship Type="http://schemas.openxmlformats.org/officeDocument/2006/relationships/hyperlink" Id="rId147" Target="https://pubmed.ncbi.nlm.nih.gov/29710099/" TargetMode="External" /><Relationship Type="http://schemas.openxmlformats.org/officeDocument/2006/relationships/hyperlink" Id="rId112" Target="https://pubmed.ncbi.nlm.nih.gov/30486819/" TargetMode="External" /><Relationship Type="http://schemas.openxmlformats.org/officeDocument/2006/relationships/hyperlink" Id="rId108" Target="https://pubmed.ncbi.nlm.nih.gov/31061045/" TargetMode="External" /><Relationship Type="http://schemas.openxmlformats.org/officeDocument/2006/relationships/hyperlink" Id="rId102" Target="https://pubmed.ncbi.nlm.nih.gov/31773477/" TargetMode="External" /><Relationship Type="http://schemas.openxmlformats.org/officeDocument/2006/relationships/hyperlink" Id="rId141" Target="https://pubmed.ncbi.nlm.nih.gov/32148185/" TargetMode="External" /><Relationship Type="http://schemas.openxmlformats.org/officeDocument/2006/relationships/hyperlink" Id="rId146" Target="https://pubmed.ncbi.nlm.nih.gov/32599154/" TargetMode="External" /><Relationship Type="http://schemas.openxmlformats.org/officeDocument/2006/relationships/hyperlink" Id="rId95" Target="https://pubmed.ncbi.nlm.nih.gov/33974577/" TargetMode="External" /><Relationship Type="http://schemas.openxmlformats.org/officeDocument/2006/relationships/hyperlink" Id="rId148" Target="https://pubmed.ncbi.nlm.nih.gov/35547963/" TargetMode="External" /><Relationship Type="http://schemas.openxmlformats.org/officeDocument/2006/relationships/hyperlink" Id="rId135" Target="https://pubmed.ncbi.nlm.nih.gov/35623448/" TargetMode="External" /><Relationship Type="http://schemas.openxmlformats.org/officeDocument/2006/relationships/hyperlink" Id="rId139" Target="https://pubmed.ncbi.nlm.nih.gov/35986986/" TargetMode="External" /><Relationship Type="http://schemas.openxmlformats.org/officeDocument/2006/relationships/hyperlink" Id="rId111" Target="https://pubmed.ncbi.nlm.nih.gov/36006997/" TargetMode="External" /><Relationship Type="http://schemas.openxmlformats.org/officeDocument/2006/relationships/hyperlink" Id="rId127" Target="https://pubmed.ncbi.nlm.nih.gov/36099171/" TargetMode="External" /><Relationship Type="http://schemas.openxmlformats.org/officeDocument/2006/relationships/hyperlink" Id="rId85" Target="https://pubmed.ncbi.nlm.nih.gov/36593820/" TargetMode="External" /><Relationship Type="http://schemas.openxmlformats.org/officeDocument/2006/relationships/hyperlink" Id="rId53" Target="https://pubmed.ncbi.nlm.nih.gov/37561605/" TargetMode="External" /><Relationship Type="http://schemas.openxmlformats.org/officeDocument/2006/relationships/hyperlink" Id="rId101" Target="https://pubmed.ncbi.nlm.nih.gov/37734462/" TargetMode="External" /><Relationship Type="http://schemas.openxmlformats.org/officeDocument/2006/relationships/hyperlink" Id="rId79" Target="https://pubmed.ncbi.nlm.nih.gov/38383088/" TargetMode="External" /><Relationship Type="http://schemas.openxmlformats.org/officeDocument/2006/relationships/hyperlink" Id="rId83" Target="https://pubmed.ncbi.nlm.nih.gov/39497031/" TargetMode="External" /><Relationship Type="http://schemas.openxmlformats.org/officeDocument/2006/relationships/hyperlink" Id="rId56" Target="https://pubmed.ncbi.nlm.nih.gov/39589961/" TargetMode="External" /><Relationship Type="http://schemas.openxmlformats.org/officeDocument/2006/relationships/hyperlink" Id="rId124" Target="https://pubmed.ncbi.nlm.nih.gov/39639931/" TargetMode="External" /><Relationship Type="http://schemas.openxmlformats.org/officeDocument/2006/relationships/hyperlink" Id="rId130" Target="https://pubmed.ncbi.nlm.nih.gov/39920074/" TargetMode="External" /><Relationship Type="http://schemas.openxmlformats.org/officeDocument/2006/relationships/hyperlink" Id="rId109" Target="https://pubmed.ncbi.nlm.nih.gov/39941380/" TargetMode="External" /><Relationship Type="http://schemas.openxmlformats.org/officeDocument/2006/relationships/hyperlink" Id="rId54" Target="https://pubmed.ncbi.nlm.nih.gov/40019107/" TargetMode="External" /><Relationship Type="http://schemas.openxmlformats.org/officeDocument/2006/relationships/hyperlink" Id="rId142" Target="https://pubmed.ncbi.nlm.nih.gov/40724787/" TargetMode="External" /><Relationship Type="http://schemas.openxmlformats.org/officeDocument/2006/relationships/hyperlink" Id="rId110" Target="https://pubmed.ncbi.nlm.nih.gov/41007191/" TargetMode="External" /><Relationship Type="http://schemas.openxmlformats.org/officeDocument/2006/relationships/hyperlink" Id="rId143" Target="https://pubmed.ncbi.nlm.nih.gov/41586491/" TargetMode="External" /><Relationship Type="http://schemas.openxmlformats.org/officeDocument/2006/relationships/hyperlink" Id="rId103" Target="https://pubmed.ncbi.nlm.nih.gov/7709275/" TargetMode="External" /><Relationship Type="http://schemas.openxmlformats.org/officeDocument/2006/relationships/hyperlink" Id="rId98" Target="https://pubmed.ncbi.nlm.nih.gov/8186959/" TargetMode="External" /><Relationship Type="http://schemas.openxmlformats.org/officeDocument/2006/relationships/hyperlink" Id="rId138" Target="https://pubmed.ncbi.nlm.nih.gov/861024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Cervicalgia</dc:title>
  <dc:creator>Mobilitas — Direzione Osteopatica</dc:creator>
  <dc:language>it-IT</dc:language>
  <cp:keywords/>
  <dcterms:created xsi:type="dcterms:W3CDTF">2026-08-08T20:46:10Z</dcterms:created>
  <dcterms:modified xsi:type="dcterms:W3CDTF">2026-08-08T20:46:10Z</dcterms:modified>
</cp:coreProperties>
</file>

<file path=docProps/custom.xml><?xml version="1.0" encoding="utf-8"?>
<Properties xmlns="http://schemas.openxmlformats.org/officeDocument/2006/custom-properties" xmlns:vt="http://schemas.openxmlformats.org/officeDocument/2006/docPropsVTypes"/>
</file>