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concettuale-cervicalgia"/>
    <w:p>
      <w:pPr>
        <w:pStyle w:val="Heading1"/>
      </w:pPr>
      <w:r>
        <w:t xml:space="preserve">Mappa concettuale — Cervicalgia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Gwendolen Jull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Deborah Falla —</w:t>
      </w:r>
      <w:r>
        <w:t xml:space="preserve"> </w:t>
      </w:r>
      <w:r>
        <w:rPr>
          <w:b/>
          <w:bCs/>
        </w:rPr>
        <w:t xml:space="preserve">v7.0 (revisione di lingua)</w:t>
      </w:r>
      <w:r>
        <w:t xml:space="preserve"> </w:t>
      </w:r>
      <w:r>
        <w:t xml:space="preserve">· agosto 2026</w:t>
      </w:r>
    </w:p>
    <w:p>
      <w:pPr>
        <w:pStyle w:val="BodyText"/>
      </w:pPr>
      <w:r>
        <w:rPr>
          <w:i/>
          <w:iCs/>
        </w:rPr>
        <w:t xml:space="preserve">Fuori perimetro: il disturbo associato a colpo di frusta.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Dolore nella regione posteriore del collo, con o senza irradiazione. Non è una malattia: è un fenomeno episodico lungo l’arco della vita.</w:t>
      </w:r>
      <w:r>
        <w:t xml:space="preserve"> </w:t>
      </w:r>
      <w:r>
        <w:t xml:space="preserve">Riguarda 203 milioni di persone nel mondo, più le donne, con il picco fra i 45 e i 74 anni.</w:t>
      </w:r>
      <w:r>
        <w:t xml:space="preserve"> </w:t>
      </w:r>
      <w:r>
        <w:t xml:space="preserve">Nel dolore acuto</w:t>
      </w:r>
      <w:r>
        <w:t xml:space="preserve"> </w:t>
      </w:r>
      <w:r>
        <w:rPr>
          <w:b/>
          <w:bCs/>
        </w:rPr>
        <w:t xml:space="preserve">idiopatico</w:t>
      </w:r>
      <w:r>
        <w:t xml:space="preserve"> </w:t>
      </w:r>
      <w:r>
        <w:t xml:space="preserve">il dolore medio scende da 64 a 35 su 100 in sei settimane, cioè più della soglia che il paziente percepisce. A dodici mesi è risalito a 42. Fra metà e tre quarti lo riavranno entro cinque anni.</w:t>
      </w:r>
      <w:r>
        <w:t xml:space="preserve"> </w:t>
      </w:r>
      <w:r>
        <w:rPr>
          <w:b/>
          <w:bCs/>
        </w:rPr>
        <w:t xml:space="preserve">Questi numeri non valgono dopo un trauma.</w:t>
      </w:r>
    </w:p>
    <w:p>
      <w:r>
        <w:pict>
          <v:rect style="width:0;height:1.5pt" o:hralign="center" o:hrstd="t" o:hr="t"/>
        </w:pict>
      </w:r>
    </w:p>
    <w:bookmarkEnd w:id="9"/>
    <w:bookmarkStart w:id="10" w:name="il-nesso-causale"/>
    <w:p>
      <w:pPr>
        <w:pStyle w:val="Heading2"/>
      </w:pPr>
      <w:r>
        <w:t xml:space="preserve">2 · Il nesso causale</w:t>
      </w:r>
    </w:p>
    <w:p>
      <w:pPr>
        <w:pStyle w:val="FirstParagraph"/>
      </w:pPr>
      <w:r>
        <w:rPr>
          <w:rStyle w:val="VerbatimChar"/>
        </w:rPr>
        <w:t xml:space="preserve">carico prolungato o evento di vita → il controllo profondo perde l'anticipo → i muscoli di superficie coprono il turno più forte e più a lungo → lavoro continuo a bassa soglia → tessuti dolenti e movimento ridotto → dolore alla nuca, testa pesante, gesto perso</w:t>
      </w:r>
    </w:p>
    <w:p>
      <w:r>
        <w:pict>
          <v:rect style="width:0;height:1.5pt" o:hralign="center" o:hrstd="t" o:hr="t"/>
        </w:pict>
      </w:r>
    </w:p>
    <w:bookmarkEnd w:id="10"/>
    <w:bookmarkStart w:id="11" w:name="i-sei-meccanismi-e-quanto-sono-solidi"/>
    <w:p>
      <w:pPr>
        <w:pStyle w:val="Heading2"/>
      </w:pPr>
      <w:r>
        <w:t xml:space="preserve">3 · I sei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Controllo profondo tardivo</w:t>
            </w:r>
          </w:p>
        </w:tc>
        <w:tc>
          <w:tcPr/>
          <w:p>
            <w:pPr>
              <w:pStyle w:val="Compact"/>
            </w:pPr>
            <w:r>
              <w:t xml:space="preserve">Non tiene la flessione profonda</w:t>
            </w:r>
          </w:p>
        </w:tc>
        <w:tc>
          <w:tcPr/>
          <w:p>
            <w:pPr>
              <w:pStyle w:val="Compact"/>
            </w:pPr>
            <w:r>
              <w:t xml:space="preserve">PROBABILE (10 pazienti, 12 controlli)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Radice irritata</w:t>
            </w:r>
          </w:p>
        </w:tc>
        <w:tc>
          <w:tcPr/>
          <w:p>
            <w:pPr>
              <w:pStyle w:val="Compact"/>
            </w:pPr>
            <w:r>
              <w:t xml:space="preserve">Dolore lungo una linea, formicolio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che si abbassa</w:t>
            </w:r>
          </w:p>
        </w:tc>
        <w:tc>
          <w:tcPr/>
          <w:p>
            <w:pPr>
              <w:pStyle w:val="Compact"/>
            </w:pPr>
            <w:r>
              <w:t xml:space="preserve">Reperto piccolo, quadro grande</w:t>
            </w:r>
          </w:p>
        </w:tc>
        <w:tc>
          <w:tcPr/>
          <w:p>
            <w:pPr>
              <w:pStyle w:val="Compact"/>
            </w:pPr>
            <w:r>
              <w:t xml:space="preserve">DIMOSTRATO la prognosi, PROBABILE il meccanismo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Convergenza cervico-trigeminale</w:t>
            </w:r>
          </w:p>
        </w:tc>
        <w:tc>
          <w:tcPr/>
          <w:p>
            <w:pPr>
              <w:pStyle w:val="Compact"/>
            </w:pPr>
            <w:r>
              <w:t xml:space="preserve">Testa dalla nuca, sempre un lato</w:t>
            </w:r>
          </w:p>
        </w:tc>
        <w:tc>
          <w:tcPr/>
          <w:p>
            <w:pPr>
              <w:pStyle w:val="Compact"/>
            </w:pPr>
            <w:r>
              <w:t xml:space="preserve">PROBABILE (animale, nei due sensi)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Carico continuo a bassa soglia</w:t>
            </w:r>
          </w:p>
        </w:tc>
        <w:tc>
          <w:tcPr/>
          <w:p>
            <w:pPr>
              <w:pStyle w:val="Compact"/>
            </w:pPr>
            <w:r>
              <w:t xml:space="preserve">Male alle 17, o spalle che salgono</w:t>
            </w:r>
          </w:p>
        </w:tc>
        <w:tc>
          <w:tcPr/>
          <w:p>
            <w:pPr>
              <w:pStyle w:val="Compact"/>
            </w:pPr>
            <w:r>
              <w:t xml:space="preserve">PROBABILE per tutte e due le vie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Articolazione che genera</w:t>
            </w:r>
          </w:p>
        </w:tc>
        <w:tc>
          <w:tcPr/>
          <w:p>
            <w:pPr>
              <w:pStyle w:val="Compact"/>
            </w:pPr>
            <w:r>
              <w:t xml:space="preserve">Territorio coerente con un livello</w:t>
            </w:r>
          </w:p>
        </w:tc>
        <w:tc>
          <w:tcPr/>
          <w:p>
            <w:pPr>
              <w:pStyle w:val="Compact"/>
            </w:pPr>
            <w:r>
              <w:t xml:space="preserve">PROBABILE il dolore, IPOTESI la restrizione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Le classi di dolore.</w:t>
      </w:r>
      <w:r>
        <w:t xml:space="preserve"> </w:t>
      </w:r>
      <w:r>
        <w:t xml:space="preserve">Nocicettivo il primo, il quarto, il quinto e il sesto. Neuropatico il secondo. Nociplastico il terzo, che</w:t>
      </w:r>
      <w:r>
        <w:t xml:space="preserve"> </w:t>
      </w:r>
      <w:r>
        <w:rPr>
          <w:b/>
          <w:bCs/>
        </w:rPr>
        <w:t xml:space="preserve">coesiste</w:t>
      </w:r>
      <w:r>
        <w:t xml:space="preserve"> </w:t>
      </w:r>
      <w:r>
        <w:t xml:space="preserve">con un reperto meccanico e non è un capolinea.</w:t>
      </w:r>
      <w:r>
        <w:t xml:space="preserve"> </w:t>
      </w:r>
      <w:r>
        <w:rPr>
          <w:b/>
          <w:bCs/>
        </w:rPr>
        <w:t xml:space="preserve">Il quinto ha due vie d’ingresso:</w:t>
      </w:r>
      <w:r>
        <w:t xml:space="preserve"> </w:t>
      </w:r>
      <w:r>
        <w:t xml:space="preserve">la postura che non cambia e il respiro che presta tre muscoli del collo. Le due vie hanno due marker diversi.</w:t>
      </w:r>
      <w:r>
        <w:t xml:space="preserve"> </w:t>
      </w:r>
      <w:r>
        <w:rPr>
          <w:b/>
          <w:bCs/>
        </w:rPr>
        <w:t xml:space="preserve">Le mani hanno una leva su cinque dei sei: il primo, il terzo, il quarto, il quinto e il sesto.</w:t>
      </w:r>
      <w:r>
        <w:t xml:space="preserve"> </w:t>
      </w:r>
      <w:r>
        <w:rPr>
          <w:b/>
          <w:bCs/>
        </w:rPr>
        <w:t xml:space="preserve">Sul terzo la soglia si misura in locale.</w:t>
      </w:r>
      <w:r>
        <w:t xml:space="preserve"> </w:t>
      </w:r>
      <w:r>
        <w:t xml:space="preserve">Nel dolore cervicale non specifico la modulazione a distanza risulta intatta.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2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controllo motorio</w:t>
            </w:r>
          </w:p>
        </w:tc>
        <w:tc>
          <w:tcPr/>
          <w:p>
            <w:pPr>
              <w:pStyle w:val="Compact"/>
            </w:pPr>
            <w:r>
              <w:t xml:space="preserve">Non tiene la flessione profonda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Segmentale articolare (e acuto bloccato)</w:t>
            </w:r>
          </w:p>
        </w:tc>
        <w:tc>
          <w:tcPr/>
          <w:p>
            <w:pPr>
              <w:pStyle w:val="Compact"/>
            </w:pPr>
            <w:r>
              <w:t xml:space="preserve">Territorio coerente con un livello</w:t>
            </w:r>
          </w:p>
        </w:tc>
        <w:tc>
          <w:tcPr/>
          <w:p>
            <w:pPr>
              <w:pStyle w:val="Compact"/>
            </w:pPr>
            <w:r>
              <w:t xml:space="preserve">Molto (nell’acuto l’esito è il gesto)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Cervicogenico con cefalea (e sensomotorio)</w:t>
            </w:r>
          </w:p>
        </w:tc>
        <w:tc>
          <w:tcPr/>
          <w:p>
            <w:pPr>
              <w:pStyle w:val="Compact"/>
            </w:pPr>
            <w:r>
              <w:t xml:space="preserve">Testa dalla nuca, sempre un lato</w:t>
            </w:r>
          </w:p>
        </w:tc>
        <w:tc>
          <w:tcPr/>
          <w:p>
            <w:pPr>
              <w:pStyle w:val="Compact"/>
            </w:pPr>
            <w:r>
              <w:t xml:space="preserve">Molto (la diagnosi resta medica)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carico continuo</w:t>
            </w:r>
          </w:p>
        </w:tc>
        <w:tc>
          <w:tcPr/>
          <w:p>
            <w:pPr>
              <w:pStyle w:val="Compact"/>
            </w:pPr>
            <w:r>
              <w:t xml:space="preserve">Male alle 17, o reclutamento accessorio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Sensibilizzato</w:t>
            </w:r>
          </w:p>
        </w:tc>
        <w:tc>
          <w:tcPr/>
          <w:p>
            <w:pPr>
              <w:pStyle w:val="Compact"/>
            </w:pPr>
            <w:r>
              <w:t xml:space="preserve">Reperto piccolo, quadro grande</w:t>
            </w:r>
          </w:p>
        </w:tc>
        <w:tc>
          <w:tcPr/>
          <w:p>
            <w:pPr>
              <w:pStyle w:val="Compact"/>
            </w:pPr>
            <w:r>
              <w:t xml:space="preserve">Abbastanza (bersaglio: l’allarme)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Cervicobrachialgia</w:t>
            </w:r>
          </w:p>
        </w:tc>
        <w:tc>
          <w:tcPr/>
          <w:p>
            <w:pPr>
              <w:pStyle w:val="Compact"/>
            </w:pPr>
            <w:r>
              <w:t xml:space="preserve">Formicolio con traiettoria</w:t>
            </w:r>
          </w:p>
        </w:tc>
        <w:tc>
          <w:tcPr/>
          <w:p>
            <w:pPr>
              <w:pStyle w:val="Compact"/>
            </w:pPr>
            <w:r>
              <w:t xml:space="preserve">Poco sulla radice, molto sul contorno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 è un sottotipo:</w:t>
      </w:r>
      <w:r>
        <w:t xml:space="preserve"> </w:t>
      </w:r>
      <w:r>
        <w:t xml:space="preserve">la mielopatia degenerativa — mani goffe, andatura instabile.</w:t>
      </w:r>
      <w:r>
        <w:t xml:space="preserve"> </w:t>
      </w:r>
      <w:r>
        <w:rPr>
          <w:b/>
          <w:bCs/>
        </w:rPr>
        <w:t xml:space="preserve">Niente: si riconosce e si manda.</w:t>
      </w:r>
    </w:p>
    <w:p>
      <w:r>
        <w:pict>
          <v:rect style="width:0;height:1.5pt" o:hralign="center" o:hrstd="t" o:hr="t"/>
        </w:pict>
      </w:r>
    </w:p>
    <w:bookmarkEnd w:id="12"/>
    <w:bookmarkStart w:id="13" w:name="cosa-fa-il-paziente-da-solo"/>
    <w:p>
      <w:pPr>
        <w:pStyle w:val="Heading2"/>
      </w:pPr>
      <w:r>
        <w:t xml:space="preserve">5 · Cosa fa il paziente da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cosa agisce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Flessori profondi a basso carico</w:t>
            </w:r>
          </w:p>
        </w:tc>
        <w:tc>
          <w:tcPr/>
          <w:p>
            <w:pPr>
              <w:pStyle w:val="Compact"/>
            </w:pPr>
            <w:r>
              <w:t xml:space="preserve">Controllo tardivo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Rinforzo cervico-scapolo-toracico</w:t>
            </w:r>
          </w:p>
        </w:tc>
        <w:tc>
          <w:tcPr/>
          <w:p>
            <w:pPr>
              <w:pStyle w:val="Compact"/>
            </w:pPr>
            <w:r>
              <w:t xml:space="preserve">Carico continuo, via posturale</w:t>
            </w:r>
          </w:p>
        </w:tc>
        <w:tc>
          <w:tcPr/>
          <w:p>
            <w:pPr>
              <w:pStyle w:val="Compact"/>
            </w:pPr>
            <w:r>
              <w:t xml:space="preserve">DIMOSTRATO nel cronico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Educazione al dolore + esposizione graduata</w:t>
            </w:r>
          </w:p>
        </w:tc>
        <w:tc>
          <w:tcPr/>
          <w:p>
            <w:pPr>
              <w:pStyle w:val="Compact"/>
            </w:pPr>
            <w:r>
              <w:t xml:space="preserve">Soglia abbassata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Rieducazione del respiro</w:t>
            </w:r>
          </w:p>
        </w:tc>
        <w:tc>
          <w:tcPr/>
          <w:p>
            <w:pPr>
              <w:pStyle w:val="Compact"/>
            </w:pPr>
            <w:r>
              <w:t xml:space="preserve">Carico continuo, via respiratoria</w:t>
            </w:r>
          </w:p>
        </w:tc>
        <w:tc>
          <w:tcPr/>
          <w:p>
            <w:pPr>
              <w:pStyle w:val="Compact"/>
            </w:pPr>
            <w:r>
              <w:t xml:space="preserve">PROBABILE, con sintesi discordanti</w:t>
            </w:r>
          </w:p>
        </w:tc>
      </w:tr>
    </w:tbl>
    <w:p>
      <w:pPr>
        <w:pStyle w:val="BodyText"/>
      </w:pPr>
      <w:r>
        <w:rPr>
          <w:b/>
          <w:bCs/>
        </w:rPr>
        <w:t xml:space="preserve">Nessuna prova sull’esercizio nel dolore cervicale acuto. L’auto-manipolazione del collo non è mai uno strumento attivo.</w:t>
      </w:r>
    </w:p>
    <w:p>
      <w:r>
        <w:pict>
          <v:rect style="width:0;height:1.5pt" o:hralign="center" o:hrstd="t" o:hr="t"/>
        </w:pict>
      </w:r>
    </w:p>
    <w:bookmarkEnd w:id="13"/>
    <w:bookmarkStart w:id="14" w:name="le-bandiere-rosse-in-due-blocchi"/>
    <w:p>
      <w:pPr>
        <w:pStyle w:val="Heading2"/>
      </w:pPr>
      <w:r>
        <w:t xml:space="preserve">6 · Le bandiere rosse, in due blocchi</w:t>
      </w:r>
    </w:p>
    <w:p>
      <w:pPr>
        <w:pStyle w:val="FirstParagraph"/>
      </w:pPr>
      <w:r>
        <w:rPr>
          <w:b/>
          <w:bCs/>
        </w:rPr>
        <w:t xml:space="preserve">Blocco A — rosso immediato: non si tratta nulla, in nessun distretto.</w:t>
      </w:r>
    </w:p>
    <w:p>
      <w:pPr>
        <w:pStyle w:val="Compact"/>
        <w:numPr>
          <w:ilvl w:val="0"/>
          <w:numId w:val="1001"/>
        </w:numPr>
      </w:pPr>
      <w:r>
        <w:t xml:space="preserve">Dolore al collo o cefalea a esordio improvviso,</w:t>
      </w:r>
      <w:r>
        <w:t xml:space="preserve"> </w:t>
      </w:r>
      <w:r>
        <w:rPr>
          <w:b/>
          <w:bCs/>
        </w:rPr>
        <w:t xml:space="preserve">diverso da qualunque precedente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PS, 112</w:t>
      </w:r>
    </w:p>
    <w:p>
      <w:pPr>
        <w:pStyle w:val="Compact"/>
        <w:numPr>
          <w:ilvl w:val="0"/>
          <w:numId w:val="1001"/>
        </w:numPr>
      </w:pPr>
      <w:r>
        <w:t xml:space="preserve">Ptosi e miosi omolaterali, paralisi facciale o di un nervo cranico →</w:t>
      </w:r>
      <w:r>
        <w:t xml:space="preserve"> </w:t>
      </w:r>
      <w:r>
        <w:rPr>
          <w:b/>
          <w:bCs/>
        </w:rPr>
        <w:t xml:space="preserve">PS, 112</w:t>
      </w:r>
    </w:p>
    <w:p>
      <w:pPr>
        <w:pStyle w:val="Compact"/>
        <w:numPr>
          <w:ilvl w:val="0"/>
          <w:numId w:val="1001"/>
        </w:numPr>
      </w:pPr>
      <w:r>
        <w:t xml:space="preserve">Deficit di forza o intorpidimento di un arto, disartria, disfagia, diplopia →</w:t>
      </w:r>
      <w:r>
        <w:t xml:space="preserve"> </w:t>
      </w:r>
      <w:r>
        <w:rPr>
          <w:b/>
          <w:bCs/>
        </w:rPr>
        <w:t xml:space="preserve">PS, 112</w:t>
      </w:r>
    </w:p>
    <w:p>
      <w:pPr>
        <w:pStyle w:val="Compact"/>
        <w:numPr>
          <w:ilvl w:val="0"/>
          <w:numId w:val="1001"/>
        </w:numPr>
      </w:pPr>
      <w:r>
        <w:t xml:space="preserve">Vertigine rotatoria acuta con instabilità, nistagmo o caduta →</w:t>
      </w:r>
      <w:r>
        <w:t xml:space="preserve"> </w:t>
      </w:r>
      <w:r>
        <w:rPr>
          <w:b/>
          <w:bCs/>
        </w:rPr>
        <w:t xml:space="preserve">PS, 112</w:t>
      </w:r>
    </w:p>
    <w:p>
      <w:pPr>
        <w:pStyle w:val="Compact"/>
        <w:numPr>
          <w:ilvl w:val="0"/>
          <w:numId w:val="1001"/>
        </w:numPr>
      </w:pPr>
      <w:r>
        <w:t xml:space="preserve">Febbre e nuca rigida in flessione →</w:t>
      </w:r>
      <w:r>
        <w:t xml:space="preserve"> </w:t>
      </w:r>
      <w:r>
        <w:rPr>
          <w:b/>
          <w:bCs/>
        </w:rPr>
        <w:t xml:space="preserve">PS, 112</w:t>
      </w:r>
    </w:p>
    <w:p>
      <w:pPr>
        <w:pStyle w:val="Compact"/>
        <w:numPr>
          <w:ilvl w:val="0"/>
          <w:numId w:val="1001"/>
        </w:numPr>
      </w:pPr>
      <w:r>
        <w:t xml:space="preserve">Trauma</w:t>
      </w:r>
      <w:r>
        <w:t xml:space="preserve"> </w:t>
      </w:r>
      <w:r>
        <w:rPr>
          <w:b/>
          <w:bCs/>
        </w:rPr>
        <w:t xml:space="preserve">recente</w:t>
      </w:r>
      <w:r>
        <w:t xml:space="preserve"> </w:t>
      </w:r>
      <w:r>
        <w:t xml:space="preserve">con criterio ad alto rischio (Canadian C-Spine Rule) →</w:t>
      </w:r>
      <w:r>
        <w:t xml:space="preserve"> </w:t>
      </w:r>
      <w:r>
        <w:rPr>
          <w:b/>
          <w:bCs/>
        </w:rPr>
        <w:t xml:space="preserve">PS, urgente</w:t>
      </w:r>
    </w:p>
    <w:p>
      <w:pPr>
        <w:pStyle w:val="Compact"/>
        <w:numPr>
          <w:ilvl w:val="0"/>
          <w:numId w:val="1001"/>
        </w:numPr>
      </w:pPr>
      <w:r>
        <w:t xml:space="preserve">Deficit motorio che progredisce in giorni →</w:t>
      </w:r>
      <w:r>
        <w:t xml:space="preserve"> </w:t>
      </w:r>
      <w:r>
        <w:rPr>
          <w:b/>
          <w:bCs/>
        </w:rPr>
        <w:t xml:space="preserve">PS o neurologo, urgente</w:t>
      </w:r>
    </w:p>
    <w:p>
      <w:pPr>
        <w:pStyle w:val="Compact"/>
        <w:numPr>
          <w:ilvl w:val="0"/>
          <w:numId w:val="1001"/>
        </w:numPr>
      </w:pPr>
      <w:r>
        <w:t xml:space="preserve">Disturbo sfinterico di nuova insorgenza →</w:t>
      </w:r>
      <w:r>
        <w:t xml:space="preserve"> </w:t>
      </w:r>
      <w:r>
        <w:rPr>
          <w:b/>
          <w:bCs/>
        </w:rPr>
        <w:t xml:space="preserve">PS, urgente</w:t>
      </w:r>
    </w:p>
    <w:p>
      <w:pPr>
        <w:pStyle w:val="Compact"/>
        <w:numPr>
          <w:ilvl w:val="0"/>
          <w:numId w:val="1001"/>
        </w:numPr>
      </w:pPr>
      <w:r>
        <w:t xml:space="preserve">Dolore ingravescente non modificabile dalla posizione, con febbre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fattore di rischio infettivo →</w:t>
      </w:r>
      <w:r>
        <w:t xml:space="preserve"> </w:t>
      </w:r>
      <w:r>
        <w:rPr>
          <w:b/>
          <w:bCs/>
        </w:rPr>
        <w:t xml:space="preserve">PS, urgente</w:t>
      </w:r>
    </w:p>
    <w:p>
      <w:pPr>
        <w:pStyle w:val="FirstParagraph"/>
      </w:pPr>
      <w:r>
        <w:rPr>
          <w:b/>
          <w:bCs/>
        </w:rPr>
        <w:t xml:space="preserve">Blocco B — invio non differibile: indicazione scritta, poi si può trattare un altro distretto.</w:t>
      </w:r>
    </w:p>
    <w:p>
      <w:pPr>
        <w:pStyle w:val="Compact"/>
        <w:numPr>
          <w:ilvl w:val="0"/>
          <w:numId w:val="1002"/>
        </w:numPr>
      </w:pPr>
      <w:r>
        <w:t xml:space="preserve">Mani goffe e andatura instabile → curante, via neurochirurgica</w:t>
      </w:r>
    </w:p>
    <w:p>
      <w:pPr>
        <w:pStyle w:val="Compact"/>
        <w:numPr>
          <w:ilvl w:val="0"/>
          <w:numId w:val="1002"/>
        </w:numPr>
      </w:pPr>
      <w:r>
        <w:t xml:space="preserve">Dolore notturno crescente, calo di peso · storia oncologica e dolore nuovo → curante</w:t>
      </w:r>
    </w:p>
    <w:p>
      <w:pPr>
        <w:pStyle w:val="Compact"/>
        <w:numPr>
          <w:ilvl w:val="0"/>
          <w:numId w:val="1002"/>
        </w:numPr>
      </w:pPr>
      <w:r>
        <w:t xml:space="preserve">Over 50 con dolore bilaterale di collo e cingoli, rigidità mattutina oltre 45 minuti → curante</w:t>
      </w:r>
    </w:p>
    <w:p>
      <w:pPr>
        <w:pStyle w:val="Compact"/>
        <w:numPr>
          <w:ilvl w:val="0"/>
          <w:numId w:val="1002"/>
        </w:numPr>
      </w:pPr>
      <w:r>
        <w:t xml:space="preserve">Artrite reumatoide, spondiloartrite o sindrome di Down,</w:t>
      </w:r>
      <w:r>
        <w:t xml:space="preserve"> </w:t>
      </w:r>
      <w:r>
        <w:rPr>
          <w:b/>
          <w:bCs/>
        </w:rPr>
        <w:t xml:space="preserve">con o senza dolore cervicale</w:t>
      </w:r>
      <w:r>
        <w:t xml:space="preserve"> </w:t>
      </w:r>
      <w:r>
        <w:t xml:space="preserve">→ reumatologo</w:t>
      </w:r>
    </w:p>
    <w:p>
      <w:pPr>
        <w:pStyle w:val="Compact"/>
        <w:numPr>
          <w:ilvl w:val="0"/>
          <w:numId w:val="1002"/>
        </w:numPr>
      </w:pPr>
      <w:r>
        <w:t xml:space="preserve">Cefalea quasi quotidiana con analgesico 10-15 giorni al mese da oltre 3 mesi → curante, prima del ciclo</w:t>
      </w:r>
    </w:p>
    <w:p>
      <w:pPr>
        <w:pStyle w:val="Compact"/>
        <w:numPr>
          <w:ilvl w:val="0"/>
          <w:numId w:val="1002"/>
        </w:numPr>
      </w:pPr>
      <w:r>
        <w:t xml:space="preserve">Formicolio stabile senza deficit → curante, invio programmato:</w:t>
      </w:r>
      <w:r>
        <w:t xml:space="preserve"> </w:t>
      </w:r>
      <w:r>
        <w:rPr>
          <w:b/>
          <w:bCs/>
        </w:rPr>
        <w:t xml:space="preserve">non ferma il tuo lavoro</w:t>
      </w:r>
    </w:p>
    <w:p>
      <w:pPr>
        <w:pStyle w:val="FirstParagraph"/>
      </w:pPr>
      <w:r>
        <w:rPr>
          <w:b/>
          <w:bCs/>
        </w:rPr>
        <w:t xml:space="preserve">Nessun test posizionale pre-manipolativo esclude il rischio vascolare.</w:t>
      </w:r>
      <w:r>
        <w:t xml:space="preserve"> </w:t>
      </w:r>
      <w:r>
        <w:t xml:space="preserve">La domanda che trova la dissecazione è una sola: questo dolore è</w:t>
      </w:r>
      <w:r>
        <w:t xml:space="preserve"> </w:t>
      </w:r>
      <w:r>
        <w:rPr>
          <w:b/>
          <w:bCs/>
        </w:rPr>
        <w:t xml:space="preserve">diverso</w:t>
      </w:r>
      <w:r>
        <w:t xml:space="preserve"> </w:t>
      </w:r>
      <w:r>
        <w:t xml:space="preserve">da tutti i precedenti? E una lista negativa non chiude il caso.</w:t>
      </w:r>
    </w:p>
    <w:p>
      <w:r>
        <w:pict>
          <v:rect style="width:0;height:1.5pt" o:hralign="center" o:hrstd="t" o:hr="t"/>
        </w:pict>
      </w:r>
    </w:p>
    <w:bookmarkEnd w:id="14"/>
    <w:bookmarkStart w:id="15" w:name="come-decidi-e-su-cosa-verifichi"/>
    <w:p>
      <w:pPr>
        <w:pStyle w:val="Heading2"/>
      </w:pPr>
      <w:r>
        <w:t xml:space="preserve">7 · Come decidi, e su cosa verifichi</w:t>
      </w:r>
    </w:p>
    <w:p>
      <w:pPr>
        <w:pStyle w:val="FirstParagraph"/>
      </w:pPr>
      <w:r>
        <w:rPr>
          <w:b/>
          <w:bCs/>
        </w:rPr>
        <w:t xml:space="preserve">La road map.</w:t>
      </w:r>
    </w:p>
    <w:p>
      <w:pPr>
        <w:pStyle w:val="Compact"/>
        <w:numPr>
          <w:ilvl w:val="0"/>
          <w:numId w:val="1003"/>
        </w:numPr>
      </w:pPr>
      <w:r>
        <w:t xml:space="preserve">Bandiera rossa?</w:t>
      </w:r>
    </w:p>
    <w:p>
      <w:pPr>
        <w:pStyle w:val="Compact"/>
        <w:numPr>
          <w:ilvl w:val="0"/>
          <w:numId w:val="1003"/>
        </w:numPr>
      </w:pPr>
      <w:r>
        <w:t xml:space="preserve">Formicolio con traiettoria: stabile o progressivo, dermatomerico oppure bilaterale e periorale?</w:t>
      </w:r>
    </w:p>
    <w:p>
      <w:pPr>
        <w:pStyle w:val="Compact"/>
        <w:numPr>
          <w:ilvl w:val="0"/>
          <w:numId w:val="1003"/>
        </w:numPr>
      </w:pPr>
      <w:r>
        <w:t xml:space="preserve">Livello di allarme e sonno.</w:t>
      </w:r>
    </w:p>
    <w:p>
      <w:pPr>
        <w:pStyle w:val="Compact"/>
        <w:numPr>
          <w:ilvl w:val="0"/>
          <w:numId w:val="1003"/>
        </w:numPr>
      </w:pPr>
      <w:r>
        <w:t xml:space="preserve">Evento datato?</w:t>
      </w:r>
    </w:p>
    <w:p>
      <w:pPr>
        <w:pStyle w:val="Compact"/>
        <w:numPr>
          <w:ilvl w:val="0"/>
          <w:numId w:val="1003"/>
        </w:numPr>
      </w:pPr>
      <w:r>
        <w:t xml:space="preserve">Mal di testa dalla nuca, sempre da un lato?</w:t>
      </w:r>
    </w:p>
    <w:p>
      <w:pPr>
        <w:pStyle w:val="Compact"/>
        <w:numPr>
          <w:ilvl w:val="0"/>
          <w:numId w:val="1003"/>
        </w:numPr>
      </w:pPr>
      <w:r>
        <w:t xml:space="preserve">Quanto lavoro respiratorio finisce sul collo?</w:t>
      </w:r>
    </w:p>
    <w:p>
      <w:pPr>
        <w:pStyle w:val="Compact"/>
        <w:numPr>
          <w:ilvl w:val="0"/>
          <w:numId w:val="1003"/>
        </w:numPr>
      </w:pPr>
      <w:r>
        <w:t xml:space="preserve">Distribuzione del movimento, controllo, livello che genera.</w:t>
      </w:r>
    </w:p>
    <w:p>
      <w:pPr>
        <w:pStyle w:val="FirstParagraph"/>
      </w:pPr>
      <w:r>
        <w:rPr>
          <w:b/>
          <w:bCs/>
        </w:rPr>
        <w:t xml:space="preserve">L’ordine dei sei meccanismi non è di leva: il secondo sta in alto perché è il gradino del triage. L’ordine di comando è questo.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 che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in flessione</w:t>
            </w:r>
          </w:p>
        </w:tc>
        <w:tc>
          <w:tcPr/>
          <w:p>
            <w:pPr>
              <w:pStyle w:val="Compact"/>
            </w:pPr>
            <w:r>
              <w:t xml:space="preserve">&lt;30° (validata), o asimmetria fra i lati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Flessione cranio-cervicale</w:t>
            </w:r>
          </w:p>
        </w:tc>
        <w:tc>
          <w:tcPr/>
          <w:p>
            <w:pPr>
              <w:pStyle w:val="Compact"/>
            </w:pPr>
            <w:r>
              <w:t xml:space="preserve">+1 livello (2 mmHg), su cinque da 22 a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Reclutamento accessorio a riposo</w:t>
            </w:r>
          </w:p>
        </w:tc>
        <w:tc>
          <w:tcPr/>
          <w:p>
            <w:pPr>
              <w:pStyle w:val="Compact"/>
            </w:pPr>
            <w:r>
              <w:t xml:space="preserve">Scompare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dolorosa a distanza</w:t>
            </w:r>
          </w:p>
        </w:tc>
        <w:tc>
          <w:tcPr/>
          <w:p>
            <w:pPr>
              <w:pStyle w:val="Compact"/>
            </w:pPr>
            <w:r>
              <w:t xml:space="preserve">+20% dal basale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marker della prova non è una proprietà fissa: è quello che non misura il tessuto che hai appena trattato.</w:t>
      </w:r>
      <w:r>
        <w:t xml:space="preserve"> </w:t>
      </w:r>
      <w:r>
        <w:t xml:space="preserve">Hai lavorato sulle articolazioni cervicali? Usa il reclutamento accessorio o la soglia a distanza. Hai lavorato su torace, coste o respiro? Usa la rotazione in flessione, il reclutamento accessorio o la soglia a distanza,</w:t>
      </w:r>
      <w:r>
        <w:t xml:space="preserve"> </w:t>
      </w:r>
      <w:r>
        <w:rPr>
          <w:b/>
          <w:bCs/>
        </w:rPr>
        <w:t xml:space="preserve">mai l’espansione toracica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Rimisura l’ipoalgesia entro 5-10 minuti</w:t>
      </w:r>
      <w:r>
        <w:t xml:space="preserve">: oltre i trenta nessuno l’ha misurata.</w:t>
      </w:r>
      <w:r>
        <w:t xml:space="preserve"> </w:t>
      </w:r>
      <w:r>
        <w:rPr>
          <w:b/>
          <w:bCs/>
        </w:rPr>
        <w:t xml:space="preserve">La soglia lontana conferma, non esclude</w:t>
      </w:r>
      <w:r>
        <w:t xml:space="preserve">, perché nel dolore cervicale non specifico la modulazione a distanza risulta intatta.</w:t>
      </w:r>
    </w:p>
    <w:p>
      <w:r>
        <w:pict>
          <v:rect style="width:0;height:1.5pt" o:hralign="center" o:hrstd="t" o:hr="t"/>
        </w:pict>
      </w:r>
    </w:p>
    <w:bookmarkEnd w:id="15"/>
    <w:bookmarkStart w:id="16" w:name="la-frase-per-il-paziente"/>
    <w:p>
      <w:pPr>
        <w:pStyle w:val="Heading2"/>
      </w:pPr>
      <w:r>
        <w:t xml:space="preserve">8 · La frase per il paziente</w:t>
      </w:r>
    </w:p>
    <w:p>
      <w:pPr>
        <w:pStyle w:val="FirstParagraph"/>
      </w:pPr>
      <w:r>
        <w:rPr>
          <w:i/>
          <w:iCs/>
        </w:rPr>
        <w:t xml:space="preserve">“Quei muscoli fanno male perché stanno coprendo un turno che non è il loro.”</w:t>
      </w:r>
      <w:r>
        <w:t xml:space="preserve"> </w:t>
      </w:r>
      <w:r>
        <w:t xml:space="preserve">E prima che esca:</w:t>
      </w:r>
      <w:r>
        <w:t xml:space="preserve"> </w:t>
      </w:r>
      <w:r>
        <w:rPr>
          <w:i/>
          <w:iCs/>
        </w:rPr>
        <w:t xml:space="preserve">“mal di testa improvviso e violento, vista, parola o deglutizione, debolezza di un lato, capogiro con caduta → 112, non me.”</w:t>
      </w:r>
    </w:p>
    <w:p>
      <w:r>
        <w:pict>
          <v:rect style="width:0;height:1.5pt" o:hralign="center" o:hrstd="t" o:hr="t"/>
        </w:pict>
      </w:r>
    </w:p>
    <w:bookmarkEnd w:id="16"/>
    <w:bookmarkStart w:id="17" w:name="perché-ci-sei-tu"/>
    <w:p>
      <w:pPr>
        <w:pStyle w:val="Heading2"/>
      </w:pPr>
      <w:r>
        <w:t xml:space="preserve">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Su 51 studi e 2.920 partecipanti, fra manipolazione e mobilizzazione nessuna delle due esce meglio dell’altra su nessun esito (Gross,</w:t>
      </w:r>
      <w:r>
        <w:t xml:space="preserve"> </w:t>
      </w:r>
      <w:r>
        <w:rPr>
          <w:i/>
          <w:iCs/>
        </w:rPr>
        <w:t xml:space="preserve">Cochrane</w:t>
      </w:r>
      <w:r>
        <w:t xml:space="preserve"> </w:t>
      </w:r>
      <w:r>
        <w:t xml:space="preserve">2015, PMID 26397370). La certezza dell’evidenza su ciascuna va da molto bassa a bassa (Minnucci, PMID 37561605; Benetton, PMID 40019107). Questo ti autorizza a scegliere la tecnica sulla tolleranza del paziente e sul tuo reperto. Non ti autorizza a chiamarla equivalenza dimostrata: è l’assenza di una differenza rilevata fra due interventi misurati male.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FirstParagraph"/>
      </w:pPr>
      <w:r>
        <w:rPr>
          <w:i/>
          <w:iCs/>
        </w:rPr>
        <w:t xml:space="preserve">Otto blocchi invece di sei più uno: il blocco 7 tiene insieme road map e marker, cioè il ragionamento del Capitolo 8, che la specifica della Mappa non prevede. La deviazione è registrata (D-018).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2026-08-08T20:46:18Z</dcterms:created>
  <dcterms:modified xsi:type="dcterms:W3CDTF">2026-08-08T20:46:18Z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