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emicrania"/>
    <w:p>
      <w:pPr>
        <w:pStyle w:val="Heading1"/>
      </w:pPr>
      <w:r>
        <w:t xml:space="preserve">Mappa concettuale — Emicrania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Kerstin Luedtke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Peter J. Goadsby (con Thomas Bartsch) —</w:t>
      </w:r>
      <w:r>
        <w:t xml:space="preserve"> </w:t>
      </w:r>
      <w:r>
        <w:rPr>
          <w:b/>
          <w:bCs/>
        </w:rPr>
        <w:t xml:space="preserve">v7.0 finale</w:t>
      </w:r>
      <w:r>
        <w:t xml:space="preserve"> </w:t>
      </w:r>
      <w:r>
        <w:t xml:space="preserve">·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È una cefalea primaria ricorrente. Gli attacchi durano 4-72 ore, spesso stanno su un lato, sono pulsanti e peggiorano col movimento, con nausea oppure fastidio a luce e suoni.</w:t>
      </w:r>
      <w:r>
        <w:t xml:space="preserve"> </w:t>
      </w:r>
      <w:r>
        <w:t xml:space="preserve">Riguarda circa quattordici persone su cento nel mondo. Colpisce le donne due-tre volte più degli uomini, con il picco nell’età di mezzo.</w:t>
      </w:r>
      <w:r>
        <w:t xml:space="preserve"> </w:t>
      </w:r>
      <w:r>
        <w:t xml:space="preserve">In dodici anni il 42% va in remissione da solo. Ogni anno circa due su cento passano alla forma cronica.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ipotalamo che cambia soglia (24 h prima) → sintomi premonitori, collo rigido → soglia bassa nel complesso trigemino-cervicale → ingresso cervicale e masticatorio che passa → dolore percepito in fronte e dietro l'occhio → giorni persi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Soglia che si abbassa</w:t>
            </w:r>
          </w:p>
        </w:tc>
        <w:tc>
          <w:tcPr/>
          <w:p>
            <w:pPr>
              <w:pStyle w:val="Compact"/>
            </w:pPr>
            <w:r>
              <w:t xml:space="preserve">Dolore grande, reperto piccolo</w:t>
            </w:r>
          </w:p>
        </w:tc>
        <w:tc>
          <w:tcPr/>
          <w:p>
            <w:pPr>
              <w:pStyle w:val="Compact"/>
            </w:pPr>
            <w:r>
              <w:t xml:space="preserve">DIMOSTRATO (allodinia più frequente) · PROBABILE (progressione)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Ciclo che parte ore prima</w:t>
            </w:r>
          </w:p>
        </w:tc>
        <w:tc>
          <w:tcPr/>
          <w:p>
            <w:pPr>
              <w:pStyle w:val="Compact"/>
            </w:pPr>
            <w:r>
              <w:t xml:space="preserve">Sbadigli, dolci, collo rigido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Convergenza collo-testa</w:t>
            </w:r>
          </w:p>
        </w:tc>
        <w:tc>
          <w:tcPr/>
          <w:p>
            <w:pPr>
              <w:pStyle w:val="Compact"/>
            </w:pPr>
            <w:r>
              <w:t xml:space="preserve">Pressione sostenuta riferisce in testa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Carico miofasciale continuo</w:t>
            </w:r>
          </w:p>
        </w:tc>
        <w:tc>
          <w:tcPr/>
          <w:p>
            <w:pPr>
              <w:pStyle w:val="Compact"/>
            </w:pPr>
            <w:r>
              <w:t xml:space="preserve">Punti dolenti dal lato del dolore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Farmaco che alimenta il quadro</w:t>
            </w:r>
          </w:p>
        </w:tc>
        <w:tc>
          <w:tcPr/>
          <w:p>
            <w:pPr>
              <w:pStyle w:val="Compact"/>
            </w:pPr>
            <w:r>
              <w:t xml:space="preserve">Dieci o più giorni al mese</w:t>
            </w:r>
          </w:p>
        </w:tc>
        <w:tc>
          <w:tcPr/>
          <w:p>
            <w:pPr>
              <w:pStyle w:val="Compact"/>
            </w:pPr>
            <w:r>
              <w:t xml:space="preserve">DIMOSTRATO (entità diagnostica) · PROBABILE (sequenza causale)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Leva piena su due — il terzo e il quarto. Parziale sul primo e sul secondo. Nessuna sul quinto.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Cervicale che riferisce in testa</w:t>
            </w:r>
          </w:p>
        </w:tc>
        <w:tc>
          <w:tcPr/>
          <w:p>
            <w:pPr>
              <w:pStyle w:val="Compact"/>
            </w:pPr>
            <w:r>
              <w:t xml:space="preserve">Pressione sostenuta sposta il dolore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Miofasciale e mandibolare</w:t>
            </w:r>
          </w:p>
        </w:tc>
        <w:tc>
          <w:tcPr/>
          <w:p>
            <w:pPr>
              <w:pStyle w:val="Compact"/>
            </w:pPr>
            <w:r>
              <w:t xml:space="preserve">Serramento, temporale e troclea dolenti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Senza reperto cervicale</w:t>
            </w:r>
          </w:p>
        </w:tc>
        <w:tc>
          <w:tcPr/>
          <w:p>
            <w:pPr>
              <w:pStyle w:val="Compact"/>
            </w:pPr>
            <w:r>
              <w:t xml:space="preserve">Palpazione indolore, allodinia fuori dalla testa</w:t>
            </w:r>
          </w:p>
        </w:tc>
        <w:tc>
          <w:tcPr/>
          <w:p>
            <w:pPr>
              <w:pStyle w:val="Compact"/>
            </w:pPr>
            <w:r>
              <w:t xml:space="preserve">Poco con le mani, molto da insegnare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Mestruale o correlato al ciclo</w:t>
            </w:r>
          </w:p>
        </w:tc>
        <w:tc>
          <w:tcPr/>
          <w:p>
            <w:pPr>
              <w:pStyle w:val="Compact"/>
            </w:pPr>
            <w:r>
              <w:t xml:space="preserve">Attacchi attorno all’inizio del flusso</w:t>
            </w:r>
          </w:p>
        </w:tc>
        <w:tc>
          <w:tcPr/>
          <w:p>
            <w:pPr>
              <w:pStyle w:val="Compact"/>
            </w:pPr>
            <w:r>
              <w:t xml:space="preserve">Abbastanza, se il diario è leggibile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uso eccessivo di sintomatici</w:t>
            </w:r>
          </w:p>
        </w:tc>
        <w:tc>
          <w:tcPr/>
          <w:p>
            <w:pPr>
              <w:pStyle w:val="Compact"/>
            </w:pPr>
            <w:r>
              <w:t xml:space="preserve">Dieci o più giorni al mese</w:t>
            </w:r>
          </w:p>
        </w:tc>
        <w:tc>
          <w:tcPr/>
          <w:p>
            <w:pPr>
              <w:pStyle w:val="Compact"/>
            </w:pPr>
            <w:r>
              <w:t xml:space="preserve">Poco: canale medico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aura</w:t>
            </w:r>
          </w:p>
        </w:tc>
        <w:tc>
          <w:tcPr/>
          <w:p>
            <w:pPr>
              <w:pStyle w:val="Compact"/>
            </w:pPr>
            <w:r>
              <w:t xml:space="preserve">Aura graduale, sotto l’ora</w:t>
            </w:r>
          </w:p>
        </w:tc>
        <w:tc>
          <w:tcPr/>
          <w:p>
            <w:pPr>
              <w:pStyle w:val="Compact"/>
            </w:pPr>
            <w:r>
              <w:t xml:space="preserve">Poco: cambia il rischio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Condizioni associate:</w:t>
      </w:r>
      <w:r>
        <w:t xml:space="preserve"> </w:t>
      </w:r>
      <w:r>
        <w:t xml:space="preserve">cervicalgia, ATM, vertigini. Terreno comune: complesso trigemino-cervicale e cerniera cranio-cervicale.</w:t>
      </w:r>
    </w:p>
    <w:p>
      <w:r>
        <w:pict>
          <v:rect style="width:0;height:1.5pt" o:hralign="center" o:hrstd="t" o:hr="t"/>
        </w:pict>
      </w:r>
    </w:p>
    <w:bookmarkEnd w:id="12"/>
    <w:bookmarkStart w:id="13" w:name="cosa-fa-il-paziente-da-solo"/>
    <w:p>
      <w:pPr>
        <w:pStyle w:val="Heading2"/>
      </w:pPr>
      <w:r>
        <w:t xml:space="preserve">5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 e aerobico, non ginnastica del collo</w:t>
            </w:r>
          </w:p>
        </w:tc>
        <w:tc>
          <w:tcPr/>
          <w:p>
            <w:pPr>
              <w:pStyle w:val="Compact"/>
            </w:pPr>
            <w:r>
              <w:t xml:space="preserve">Ciclo e soglia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sulla condizione</w:t>
            </w:r>
          </w:p>
        </w:tc>
        <w:tc>
          <w:tcPr/>
          <w:p>
            <w:pPr>
              <w:pStyle w:val="Compact"/>
            </w:pPr>
            <w:r>
              <w:t xml:space="preserve">Aspettativa e catastrofizzazione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Rilassamento e mindfulness</w:t>
            </w:r>
          </w:p>
        </w:tc>
        <w:tc>
          <w:tcPr/>
          <w:p>
            <w:pPr>
              <w:pStyle w:val="Compact"/>
            </w:pPr>
            <w:r>
              <w:t xml:space="preserve">Ciclo e livello di attivazione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Abitudini del sonno</w:t>
            </w:r>
          </w:p>
        </w:tc>
        <w:tc>
          <w:tcPr/>
          <w:p>
            <w:pPr>
              <w:pStyle w:val="Compact"/>
            </w:pPr>
            <w:r>
              <w:t xml:space="preserve">Ciclo e soglia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banda onesta dell’esercizio è uno-tre giorni al mese, e la finestra è di tre mesi. È la leva migliore del documento, e non è manuale.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Compact"/>
        <w:numPr>
          <w:ilvl w:val="0"/>
          <w:numId w:val="1001"/>
        </w:numPr>
      </w:pPr>
      <w:r>
        <w:t xml:space="preserve">Dolore esplosivo al massimo in un minuto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Deficit neurologico o coscienza alterata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Febbre o sintomi sistemici, con cefalea nuova →</w:t>
      </w:r>
      <w:r>
        <w:t xml:space="preserve"> </w:t>
      </w:r>
      <w:r>
        <w:rPr>
          <w:b/>
          <w:bCs/>
        </w:rPr>
        <w:t xml:space="preserve">pronto soccorso o curante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Aura oltre un’ora, o deficit che resta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Dolore al collo diverso da ogni precedente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Palpebra che cade e pupilla piccola, stesso lato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Perdita di vista da un occhio, anche transitoria →</w:t>
      </w:r>
      <w:r>
        <w:t xml:space="preserve"> </w:t>
      </w:r>
      <w:r>
        <w:rPr>
          <w:b/>
          <w:bCs/>
        </w:rPr>
        <w:t xml:space="preserve">pronto soccorso</w:t>
      </w:r>
      <w:r>
        <w:t xml:space="preserve"> </w:t>
      </w:r>
      <w:r>
        <w:t xml:space="preserve">→ 112</w:t>
      </w:r>
    </w:p>
    <w:p>
      <w:pPr>
        <w:pStyle w:val="Compact"/>
        <w:numPr>
          <w:ilvl w:val="0"/>
          <w:numId w:val="1001"/>
        </w:numPr>
      </w:pPr>
      <w:r>
        <w:t xml:space="preserve">Over-50: tempia dolente, dolore masticando, vista offuscata →</w:t>
      </w:r>
      <w:r>
        <w:t xml:space="preserve"> </w:t>
      </w:r>
      <w:r>
        <w:rPr>
          <w:b/>
          <w:bCs/>
        </w:rPr>
        <w:t xml:space="preserve">pronto soccorso o oculista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Over-65 o anticoagulato, cefalea nuova o ingravescente →</w:t>
      </w:r>
      <w:r>
        <w:t xml:space="preserve"> </w:t>
      </w:r>
      <w:r>
        <w:rPr>
          <w:b/>
          <w:bCs/>
        </w:rPr>
        <w:t xml:space="preserve">curante o pronto soccorso</w:t>
      </w:r>
      <w:r>
        <w:t xml:space="preserve"> </w:t>
      </w:r>
      <w:r>
        <w:t xml:space="preserve">→ urgente</w:t>
      </w:r>
    </w:p>
    <w:p>
      <w:pPr>
        <w:pStyle w:val="Compact"/>
        <w:numPr>
          <w:ilvl w:val="0"/>
          <w:numId w:val="1001"/>
        </w:numPr>
      </w:pPr>
      <w:r>
        <w:t xml:space="preserve">Cefalea scatenata da tosse, starnuto o sforzo →</w:t>
      </w:r>
      <w:r>
        <w:t xml:space="preserve"> </w:t>
      </w:r>
      <w:r>
        <w:rPr>
          <w:b/>
          <w:bCs/>
        </w:rPr>
        <w:t xml:space="preserve">curante, via neurologica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Peggiora sdraiandosi, o alzandosi in piedi →</w:t>
      </w:r>
      <w:r>
        <w:t xml:space="preserve"> </w:t>
      </w:r>
      <w:r>
        <w:rPr>
          <w:b/>
          <w:bCs/>
        </w:rPr>
        <w:t xml:space="preserve">curante, via neurologica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Prima cefalea comparsa dopo i cinquant’anni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Cambio di forma, sede o frequenza →</w:t>
      </w:r>
      <w:r>
        <w:t xml:space="preserve"> </w:t>
      </w:r>
      <w:r>
        <w:rPr>
          <w:b/>
          <w:bCs/>
        </w:rPr>
        <w:t xml:space="preserve">curante o neurologo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Cefalea in gravidanza o dopo il parto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Storia oncologica, o difese immunitarie ridotte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invio, non attendere</w:t>
      </w:r>
    </w:p>
    <w:p>
      <w:pPr>
        <w:pStyle w:val="Compact"/>
        <w:numPr>
          <w:ilvl w:val="0"/>
          <w:numId w:val="1001"/>
        </w:numPr>
      </w:pPr>
      <w:r>
        <w:t xml:space="preserve">Cefalea comparsa dopo trauma cranico →</w:t>
      </w:r>
      <w:r>
        <w:t xml:space="preserve"> </w:t>
      </w:r>
      <w:r>
        <w:rPr>
          <w:b/>
          <w:bCs/>
        </w:rPr>
        <w:t xml:space="preserve">curante</w:t>
      </w:r>
      <w:r>
        <w:t xml:space="preserve"> </w:t>
      </w:r>
      <w:r>
        <w:t xml:space="preserve">→ invio</w:t>
      </w:r>
    </w:p>
    <w:p>
      <w:pPr>
        <w:pStyle w:val="Compact"/>
        <w:numPr>
          <w:ilvl w:val="0"/>
          <w:numId w:val="1001"/>
        </w:numPr>
      </w:pPr>
      <w:r>
        <w:t xml:space="preserve">Sintomatici dieci o più giorni al mese →</w:t>
      </w:r>
      <w:r>
        <w:t xml:space="preserve"> </w:t>
      </w:r>
      <w:r>
        <w:rPr>
          <w:b/>
          <w:bCs/>
        </w:rPr>
        <w:t xml:space="preserve">curante o neurologo</w:t>
      </w:r>
      <w:r>
        <w:t xml:space="preserve"> </w:t>
      </w:r>
      <w:r>
        <w:t xml:space="preserve">→ invio programmato</w:t>
      </w:r>
    </w:p>
    <w:p>
      <w:pPr>
        <w:pStyle w:val="FirstParagraph"/>
      </w:pPr>
      <w:r>
        <w:t xml:space="preserve">L’emicrania è essa stessa un fattore di rischio per la dissecazione dell’arteria cervicale. La domanda che la trova, a ogni seduta:</w:t>
      </w:r>
      <w:r>
        <w:t xml:space="preserve"> </w:t>
      </w:r>
      <w:r>
        <w:rPr>
          <w:b/>
          <w:bCs/>
        </w:rPr>
        <w:t xml:space="preserve">questo dolore è diverso da tutti gli altri?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bandiera rossa → giorni di farmaco al mese → quale profilassi e da quando → comanda il ritmo o l’attivazione? → che spiegazione ha ricevuto e cosa si aspetta → punti trigger e mandibola → la pressione su C1-C3 riferisce in testa? → in che punto del ciclo sta il paziente, e cosa misuri prima di toccare.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Riproduzione del dolore in testa</w:t>
            </w:r>
          </w:p>
        </w:tc>
        <w:tc>
          <w:tcPr/>
          <w:p>
            <w:pPr>
              <w:pStyle w:val="Compact"/>
            </w:pPr>
            <w:r>
              <w:t xml:space="preserve">Scompare, o serve più pressione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in flessione</w:t>
            </w:r>
          </w:p>
        </w:tc>
        <w:tc>
          <w:tcPr/>
          <w:p>
            <w:pPr>
              <w:pStyle w:val="Compact"/>
            </w:pPr>
            <w:r>
              <w:t xml:space="preserve">Variazione ≥10° dal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sul temporale</w:t>
            </w:r>
          </w:p>
        </w:tc>
        <w:tc>
          <w:tcPr/>
          <w:p>
            <w:pPr>
              <w:pStyle w:val="Compact"/>
            </w:pPr>
            <w:r>
              <w:t xml:space="preserve">+20% dal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extra-cefalica</w:t>
            </w:r>
          </w:p>
        </w:tc>
        <w:tc>
          <w:tcPr/>
          <w:p>
            <w:pPr>
              <w:pStyle w:val="Compact"/>
            </w:pPr>
            <w:r>
              <w:t xml:space="preserve">+20% dal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di emicrania al mese</w:t>
            </w:r>
          </w:p>
        </w:tc>
        <w:tc>
          <w:tcPr/>
          <w:p>
            <w:pPr>
              <w:pStyle w:val="Compact"/>
            </w:pPr>
            <w:r>
              <w:t xml:space="preserve">−3 giorni, o dimezzamento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della prova appartiene a un piano che non hai trattato.</w:t>
      </w:r>
      <w:r>
        <w:t xml:space="preserve"> </w:t>
      </w:r>
      <w:r>
        <w:t xml:space="preserve">Nel paziente comandato dal ritmo, se gli hai guidato il respiro, la verifica resta solo il diario. Non si usa la soglia diagnostica di 32°: è della cefalea cervicogenica. Le soglie dolorose si prendono nella stessa fase del ciclo. E il +20% è una convenzione nostra, non un dato.</w:t>
      </w:r>
    </w:p>
    <w:p>
      <w:pPr>
        <w:pStyle w:val="BodyText"/>
      </w:pPr>
      <w:r>
        <w:rPr>
          <w:b/>
          <w:bCs/>
        </w:rPr>
        <w:t xml:space="preserve">La riproduzione del dolore alla pressione è un bersaglio, non una diagnosi:</w:t>
      </w:r>
      <w:r>
        <w:t xml:space="preserve"> </w:t>
      </w:r>
      <w:r>
        <w:t xml:space="preserve">più della metà dei controlli sani riferisce in testa alla stessa manovra.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“L’emicrania è un cervello che sente più forte del normale: quello è il terreno, e non lo cambio io. Io guardo un’altra cosa: se nel suo caso il collo e la mandibola stanno aggiungendo carico.”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In una rete di ventuno studi l’allenamento di forza riduce i giorni di emicrania al mese di 3,55, più di qualunque altro intervento confrontato (Woldeamanuel,</w:t>
      </w:r>
      <w:r>
        <w:t xml:space="preserve"> </w:t>
      </w:r>
      <w:r>
        <w:rPr>
          <w:i/>
          <w:iCs/>
        </w:rPr>
        <w:t xml:space="preserve">J Headache Pain</w:t>
      </w:r>
      <w:r>
        <w:t xml:space="preserve"> </w:t>
      </w:r>
      <w:r>
        <w:t xml:space="preserve">2022, PMID 36229774). E in un confronto diretto tre mesi di esercizio hanno ridotto gli attacchi quanto il topiramato alla massima dose tollerata (Varkey,</w:t>
      </w:r>
      <w:r>
        <w:t xml:space="preserve"> </w:t>
      </w:r>
      <w:r>
        <w:rPr>
          <w:i/>
          <w:iCs/>
        </w:rPr>
        <w:t xml:space="preserve">Cephalalgia</w:t>
      </w:r>
      <w:r>
        <w:t xml:space="preserve"> </w:t>
      </w:r>
      <w:r>
        <w:t xml:space="preserve">2011, PMID 21890526). Questo ti autorizza a mettere l’esercizio al centro e a insegnarlo, perché nessun altro nel percorso del paziente ha il tempo per farlo. Non ti autorizza a presentarlo come alternativa alla terapia prescritta.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Deviazioni dichiarate dalla specifica della Mappa: il blocco 5 è condizionale e attivo perché il Capitolo 12 della Bibbia è attivo (D-011); il blocco 7 porta il ragionamento clinico e i marker (D-018).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2026-08-19T15:40:22Z</dcterms:created>
  <dcterms:modified xsi:type="dcterms:W3CDTF">2026-08-19T15:40:22Z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