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ipercifosi"/>
    <w:p>
      <w:pPr>
        <w:pStyle w:val="Heading1"/>
      </w:pPr>
      <w:r>
        <w:t xml:space="preserve">Mappa concettuale — Ipercifosi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Wendy B. Katzman (UCSF) ·</w:t>
      </w:r>
      <w:r>
        <w:t xml:space="preserve"> </w:t>
      </w:r>
      <w:r>
        <w:rPr>
          <w:b/>
          <w:bCs/>
        </w:rPr>
        <w:t xml:space="preserve">Ancora epidemiologica:</w:t>
      </w:r>
      <w:r>
        <w:t xml:space="preserve"> </w:t>
      </w:r>
      <w:r>
        <w:t xml:space="preserve">Deborah M. Kado (Stanford) —</w:t>
      </w:r>
      <w:r>
        <w:t xml:space="preserve"> </w:t>
      </w:r>
      <w:r>
        <w:rPr>
          <w:b/>
          <w:bCs/>
        </w:rPr>
        <w:t xml:space="preserve">v7.0 (revisione di lingua)</w:t>
      </w:r>
      <w:r>
        <w:t xml:space="preserve">,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— La condizione in tre righe</w:t>
      </w:r>
    </w:p>
    <w:p>
      <w:pPr>
        <w:pStyle w:val="FirstParagraph"/>
      </w:pPr>
      <w:r>
        <w:t xml:space="preserve">Curva dorsale sopra i 40 gradi con il metodo di Cobb, cioè oltre il 95° percentile del giovane adulto.</w:t>
      </w:r>
      <w:r>
        <w:t xml:space="preserve"> </w:t>
      </w:r>
      <w:r>
        <w:t xml:space="preserve">Riguarda dal 20% al 40% degli over 60, uomini e donne, e nelle donne aumenta più in fretta.</w:t>
      </w:r>
      <w:r>
        <w:t xml:space="preserve"> </w:t>
      </w:r>
      <w:r>
        <w:t xml:space="preserve">La curva cresce con gli anni anche da sola: in media 43 gradi a 55-60 anni, 52 a 76-80.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— La catena causale</w:t>
      </w:r>
    </w:p>
    <w:p>
      <w:pPr>
        <w:pStyle w:val="FirstParagraph"/>
      </w:pPr>
      <w:r>
        <w:rPr>
          <w:rStyle w:val="VerbatimChar"/>
        </w:rPr>
        <w:t xml:space="preserve">l'anca non estende e il bacino resta indietro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il dorso è obbligato a restare curvo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il corpo vertebrale o il disco perdono altezza davanti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il braccio di leva si allunga e gli estensori lavorano più 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 gabbia costale si muove meno e non mobilizza più le sue articolazioni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curva che non si corregge, bruciore serale, respiro alto e veloce</w:t>
      </w:r>
    </w:p>
    <w:p>
      <w:r>
        <w:pict>
          <v:rect style="width:0;height:1.5pt" o:hralign="center" o:hrstd="t" o:hr="t"/>
        </w:pict>
      </w:r>
    </w:p>
    <w:bookmarkEnd w:id="10"/>
    <w:bookmarkStart w:id="11" w:name="i-sei-meccanismi-e-quanto-sono-solidi"/>
    <w:p>
      <w:pPr>
        <w:pStyle w:val="Heading2"/>
      </w:pPr>
      <w:r>
        <w:t xml:space="preserve">3 — I sei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Frattura vertebrale da fragilità</w:t>
            </w:r>
          </w:p>
        </w:tc>
        <w:tc>
          <w:tcPr/>
          <w:p>
            <w:pPr>
              <w:pStyle w:val="Compact"/>
            </w:pPr>
            <w:r>
              <w:t xml:space="preserve">Esordio datato, statura persa</w:t>
            </w:r>
          </w:p>
        </w:tc>
        <w:tc>
          <w:tcPr/>
          <w:p>
            <w:pPr>
              <w:pStyle w:val="Compact"/>
            </w:pPr>
            <w:r>
              <w:t xml:space="preserve">DIMOSTRATO l’associazione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Cuneizzazione discale</w:t>
            </w:r>
          </w:p>
        </w:tc>
        <w:tc>
          <w:tcPr/>
          <w:p>
            <w:pPr>
              <w:pStyle w:val="Compact"/>
            </w:pPr>
            <w:r>
              <w:t xml:space="preserve">Rigidità mattutina 20 min, arresto duro</w:t>
            </w:r>
          </w:p>
        </w:tc>
        <w:tc>
          <w:tcPr/>
          <w:p>
            <w:pPr>
              <w:pStyle w:val="Compact"/>
            </w:pPr>
            <w:r>
              <w:t xml:space="preserve">DIMOSTRATO l’associazione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Circolo del carico</w:t>
            </w:r>
          </w:p>
        </w:tc>
        <w:tc>
          <w:tcPr/>
          <w:p>
            <w:pPr>
              <w:pStyle w:val="Compact"/>
            </w:pPr>
            <w:r>
              <w:t xml:space="preserve">Peggiora negli anni senza eventi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Estensori che non reggono le ore</w:t>
            </w:r>
          </w:p>
        </w:tc>
        <w:tc>
          <w:tcPr/>
          <w:p>
            <w:pPr>
              <w:pStyle w:val="Compact"/>
            </w:pPr>
            <w:r>
              <w:t xml:space="preserve">Bruciore a fine giornata</w:t>
            </w:r>
          </w:p>
        </w:tc>
        <w:tc>
          <w:tcPr/>
          <w:p>
            <w:pPr>
              <w:pStyle w:val="Compact"/>
            </w:pPr>
            <w:r>
              <w:t xml:space="preserve">DIMOSTRATO il legame col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Gabbia costale che non gira</w:t>
            </w:r>
          </w:p>
        </w:tc>
        <w:tc>
          <w:tcPr/>
          <w:p>
            <w:pPr>
              <w:pStyle w:val="Compact"/>
            </w:pPr>
            <w:r>
              <w:t xml:space="preserve">Respiro alto, rotazione ridotta</w:t>
            </w:r>
          </w:p>
        </w:tc>
        <w:tc>
          <w:tcPr/>
          <w:p>
            <w:pPr>
              <w:pStyle w:val="Compact"/>
            </w:pPr>
            <w:r>
              <w:t xml:space="preserve">DIMOSTRATO l’associazione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Colonna che parte storta da sotto</w:t>
            </w:r>
          </w:p>
        </w:tc>
        <w:tc>
          <w:tcPr/>
          <w:p>
            <w:pPr>
              <w:pStyle w:val="Compact"/>
            </w:pPr>
            <w:r>
              <w:t xml:space="preserve">Corregge poco in piedi, molto in prono</w:t>
            </w:r>
          </w:p>
        </w:tc>
        <w:tc>
          <w:tcPr/>
          <w:p>
            <w:pPr>
              <w:pStyle w:val="Compact"/>
            </w:pPr>
            <w:r>
              <w:t xml:space="preserve">IPOTESI</w:t>
            </w:r>
          </w:p>
        </w:tc>
      </w:tr>
    </w:tbl>
    <w:p>
      <w:pPr>
        <w:pStyle w:val="BodyText"/>
      </w:pPr>
      <w:r>
        <w:t xml:space="preserve">Due meccanismi tolgono</w:t>
      </w:r>
      <w:r>
        <w:t xml:space="preserve"> </w:t>
      </w:r>
      <w:r>
        <w:rPr>
          <w:b/>
          <w:bCs/>
        </w:rPr>
        <w:t xml:space="preserve">altezza davanti</w:t>
      </w:r>
      <w:r>
        <w:t xml:space="preserve"> </w:t>
      </w:r>
      <w:r>
        <w:t xml:space="preserve">e non tornano. Tre tolgono</w:t>
      </w:r>
      <w:r>
        <w:t xml:space="preserve"> </w:t>
      </w:r>
      <w:r>
        <w:rPr>
          <w:b/>
          <w:bCs/>
        </w:rPr>
        <w:t xml:space="preserve">movimento</w:t>
      </w:r>
      <w:r>
        <w:t xml:space="preserve"> </w:t>
      </w:r>
      <w:r>
        <w:t xml:space="preserve">e rispondono. Uno</w:t>
      </w:r>
      <w:r>
        <w:t xml:space="preserve"> </w:t>
      </w:r>
      <w:r>
        <w:rPr>
          <w:b/>
          <w:bCs/>
        </w:rPr>
        <w:t xml:space="preserve">obbliga il dorso da fuori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Il dolore è prevalentemente nocicettivo.</w:t>
      </w:r>
      <w:r>
        <w:t xml:space="preserve"> </w:t>
      </w:r>
      <w:r>
        <w:t xml:space="preserve">Il sottogruppo nociplastico corregge e non mantiene come gli altri: è l’unica distinzione che il test di autocorrezione non vede.</w:t>
      </w:r>
    </w:p>
    <w:p>
      <w:r>
        <w:pict>
          <v:rect style="width:0;height:1.5pt" o:hralign="center" o:hrstd="t" o:hr="t"/>
        </w:pict>
      </w:r>
    </w:p>
    <w:bookmarkEnd w:id="11"/>
    <w:bookmarkStart w:id="12" w:name="come-decidi-e-su-cosa-verifichi"/>
    <w:p>
      <w:pPr>
        <w:pStyle w:val="Heading2"/>
      </w:pPr>
      <w:r>
        <w:t xml:space="preserve">4 — Come decidi, e su cosa verifichi</w:t>
      </w:r>
    </w:p>
    <w:p>
      <w:pPr>
        <w:pStyle w:val="FirstParagraph"/>
      </w:pPr>
      <w:r>
        <w:rPr>
          <w:b/>
          <w:bCs/>
        </w:rPr>
        <w:t xml:space="preserve">La misura che decide.</w:t>
      </w:r>
      <w:r>
        <w:t xml:space="preserve"> </w:t>
      </w:r>
      <w:r>
        <w:t xml:space="preserve">È la distanza</w:t>
      </w:r>
      <w:r>
        <w:t xml:space="preserve"> </w:t>
      </w:r>
      <w:r>
        <w:rPr>
          <w:b/>
          <w:bCs/>
        </w:rPr>
        <w:t xml:space="preserve">occipite-muro in centimetri</w:t>
      </w:r>
      <w:r>
        <w:t xml:space="preserve">, in piedi. Si prende due volte: spontanea e in autocorrezione, con consegna verbale fissa, mediana di tre rilevazioni, entrambe in cartella con la data. La differenza è il margine. Soglia:</w:t>
      </w:r>
      <w:r>
        <w:t xml:space="preserve"> </w:t>
      </w:r>
      <w:r>
        <w:rPr>
          <w:b/>
          <w:bCs/>
        </w:rPr>
        <w:t xml:space="preserve">≥ 1 cm</w:t>
      </w:r>
      <w:r>
        <w:t xml:space="preserve">, cioè l’errore dello strumento raddoppiato.</w:t>
      </w:r>
      <w:r>
        <w:t xml:space="preserve"> </w:t>
      </w:r>
      <w:r>
        <w:t xml:space="preserve">La misura si ripete</w:t>
      </w:r>
      <w:r>
        <w:t xml:space="preserve"> </w:t>
      </w:r>
      <w:r>
        <w:rPr>
          <w:b/>
          <w:bCs/>
        </w:rPr>
        <w:t xml:space="preserve">da seduto in antiversione e in prono sui gomiti</w:t>
      </w:r>
      <w:r>
        <w:t xml:space="preserve">: se lì la curva cade, il margine sta sotto il diaframma.</w:t>
      </w:r>
      <w:r>
        <w:t xml:space="preserve"> </w:t>
      </w:r>
      <w:r>
        <w:t xml:space="preserve">La stessa misura,</w:t>
      </w:r>
      <w:r>
        <w:t xml:space="preserve"> </w:t>
      </w:r>
      <w:r>
        <w:rPr>
          <w:b/>
          <w:bCs/>
        </w:rPr>
        <w:t xml:space="preserve">spontanea &gt; 0 cm, dà LR+ 4,6</w:t>
      </w:r>
      <w:r>
        <w:t xml:space="preserve"> </w:t>
      </w:r>
      <w:r>
        <w:t xml:space="preserve">per la frattura vertebrale occulta. La distanza</w:t>
      </w:r>
      <w:r>
        <w:t xml:space="preserve"> </w:t>
      </w:r>
      <w:r>
        <w:rPr>
          <w:b/>
          <w:bCs/>
        </w:rPr>
        <w:t xml:space="preserve">coste-bacino sotto le due dita dà LR+ 3,8</w:t>
      </w:r>
      <w:r>
        <w:t xml:space="preserve"> </w:t>
      </w:r>
      <w:r>
        <w:t xml:space="preserve">(Green, PMID 15598921).</w:t>
      </w:r>
      <w:r>
        <w:t xml:space="preserve"> </w:t>
      </w:r>
      <w:r>
        <w:rPr>
          <w:i/>
          <w:iCs/>
        </w:rPr>
        <w:t xml:space="preserve">Sposta una probabilità di partenza, non fa una diagnosi.</w:t>
      </w:r>
    </w:p>
    <w:p>
      <w:pPr>
        <w:pStyle w:val="BodyText"/>
      </w:pPr>
      <w:r>
        <w:rPr>
          <w:b/>
          <w:bCs/>
        </w:rPr>
        <w:t xml:space="preserve">La road map, in una riga:</w:t>
      </w:r>
      <w:r>
        <w:t xml:space="preserve"> </w:t>
      </w:r>
      <w:r>
        <w:t xml:space="preserve">bandiera rossa → margine in autocorrezione → sospetto sull’osso → tollera il contatto → da dove parte la colonna → dove si ferma l’estensione e contro cosa → chi mantiene il guadagno.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Quando lo 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Occipite-muro · blocchi da 1,7 cm</w:t>
            </w:r>
          </w:p>
        </w:tc>
        <w:tc>
          <w:tcPr/>
          <w:p>
            <w:pPr>
              <w:pStyle w:val="Compact"/>
            </w:pPr>
            <w:r>
              <w:t xml:space="preserve">≥ 1 cm · un blocco</w:t>
            </w:r>
          </w:p>
        </w:tc>
        <w:tc>
          <w:tcPr/>
          <w:p>
            <w:pPr>
              <w:pStyle w:val="Compact"/>
            </w:pPr>
            <w:r>
              <w:t xml:space="preserve">Sempre, effetto del gesto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toracica al metro</w:t>
            </w:r>
          </w:p>
        </w:tc>
        <w:tc>
          <w:tcPr/>
          <w:p>
            <w:pPr>
              <w:pStyle w:val="Compact"/>
            </w:pPr>
            <w:r>
              <w:t xml:space="preserve">≥ 1 cm</w:t>
            </w:r>
          </w:p>
        </w:tc>
        <w:tc>
          <w:tcPr/>
          <w:p>
            <w:pPr>
              <w:pStyle w:val="Compact"/>
            </w:pPr>
            <w:r>
              <w:t xml:space="preserve">Piano trattato: torace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Elevazione attiva di spalla</w:t>
            </w:r>
          </w:p>
        </w:tc>
        <w:tc>
          <w:tcPr/>
          <w:p>
            <w:pPr>
              <w:pStyle w:val="Compact"/>
            </w:pPr>
            <w:r>
              <w:t xml:space="preserve">≥ 10 gradi</w:t>
            </w:r>
          </w:p>
        </w:tc>
        <w:tc>
          <w:tcPr/>
          <w:p>
            <w:pPr>
              <w:pStyle w:val="Compact"/>
            </w:pPr>
            <w:r>
              <w:t xml:space="preserve">Piano trattato:</w:t>
            </w:r>
            <w:r>
              <w:t xml:space="preserve"> </w:t>
            </w: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torace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Frequenza respiratoria a riposo</w:t>
            </w:r>
          </w:p>
        </w:tc>
        <w:tc>
          <w:tcPr/>
          <w:p>
            <w:pPr>
              <w:pStyle w:val="Compact"/>
            </w:pPr>
            <w:r>
              <w:t xml:space="preserve">≥ 3 atti in meno</w:t>
            </w:r>
          </w:p>
        </w:tc>
        <w:tc>
          <w:tcPr/>
          <w:p>
            <w:pPr>
              <w:pStyle w:val="Compact"/>
            </w:pPr>
            <w:r>
              <w:t xml:space="preserve">Attivazione, da disteso a disteso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regola che decide se la verifica vale: il marker della prova appartiene a un piano che non hai trattato.</w:t>
      </w:r>
      <w:r>
        <w:t xml:space="preserve"> </w:t>
      </w:r>
      <w:r>
        <w:t xml:space="preserve">Se hai trattato il torace, la spalla non è un marker: sale perché il torace si è esteso.</w:t>
      </w:r>
      <w:r>
        <w:t xml:space="preserve"> </w:t>
      </w:r>
      <w:r>
        <w:rPr>
          <w:b/>
          <w:bCs/>
        </w:rPr>
        <w:t xml:space="preserve">Se il marker fuori piano non si muove</w:t>
      </w:r>
      <w:r>
        <w:t xml:space="preserve">, la prima ipotesi non è che il paziente non risponda. È che hai scelto il piano sbagliato: si risale di un passo.</w:t>
      </w:r>
    </w:p>
    <w:p>
      <w:r>
        <w:pict>
          <v:rect style="width:0;height:1.5pt" o:hralign="center" o:hrstd="t" o:hr="t"/>
        </w:pict>
      </w:r>
    </w:p>
    <w:bookmarkEnd w:id="12"/>
    <w:bookmarkStart w:id="13" w:name="i-sottotipi-e-chi-comanda"/>
    <w:p>
      <w:pPr>
        <w:pStyle w:val="Heading2"/>
      </w:pPr>
      <w:r>
        <w:t xml:space="preserve">5 —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Corregge e non mantiene</w:t>
            </w:r>
          </w:p>
        </w:tc>
        <w:tc>
          <w:tcPr/>
          <w:p>
            <w:pPr>
              <w:pStyle w:val="Compact"/>
            </w:pPr>
            <w:r>
              <w:t xml:space="preserve">Corregge quasi tutto, crolla subito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ipomobilità toraco-costale</w:t>
            </w:r>
          </w:p>
        </w:tc>
        <w:tc>
          <w:tcPr/>
          <w:p>
            <w:pPr>
              <w:pStyle w:val="Compact"/>
            </w:pPr>
            <w:r>
              <w:t xml:space="preserve">Corregge poco, arresto duro; cala a torace mobilizzato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Guidata da sotto</w:t>
            </w:r>
          </w:p>
        </w:tc>
        <w:tc>
          <w:tcPr/>
          <w:p>
            <w:pPr>
              <w:pStyle w:val="Compact"/>
            </w:pPr>
            <w:r>
              <w:t xml:space="preserve">Corregge poco in piedi, molto in prono</w:t>
            </w:r>
          </w:p>
        </w:tc>
        <w:tc>
          <w:tcPr/>
          <w:p>
            <w:pPr>
              <w:pStyle w:val="Compact"/>
            </w:pPr>
            <w:r>
              <w:t xml:space="preserve">Abbastanza, ma altrove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fratture vertebrali</w:t>
            </w:r>
          </w:p>
        </w:tc>
        <w:tc>
          <w:tcPr/>
          <w:p>
            <w:pPr>
              <w:pStyle w:val="Compact"/>
            </w:pPr>
            <w:r>
              <w:t xml:space="preserve">Cunei sul referto, esordio datato</w:t>
            </w:r>
          </w:p>
        </w:tc>
        <w:tc>
          <w:tcPr/>
          <w:p>
            <w:pPr>
              <w:pStyle w:val="Compact"/>
            </w:pPr>
            <w:r>
              <w:t xml:space="preserve">Poco: è un cancello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Strutturale rigida (Scheuermann, DISH)</w:t>
            </w:r>
          </w:p>
        </w:tc>
        <w:tc>
          <w:tcPr/>
          <w:p>
            <w:pPr>
              <w:pStyle w:val="Compact"/>
            </w:pPr>
            <w:r>
              <w:t xml:space="preserve">Non corregge, mai</w:t>
            </w:r>
          </w:p>
        </w:tc>
        <w:tc>
          <w:tcPr/>
          <w:p>
            <w:pPr>
              <w:pStyle w:val="Compact"/>
            </w:pPr>
            <w:r>
              <w:t xml:space="preserve">Niente sulla curva: cambi bersaglio e lo dichiari</w:t>
            </w:r>
          </w:p>
        </w:tc>
      </w:tr>
    </w:tbl>
    <w:p>
      <w:pPr>
        <w:pStyle w:val="BodyText"/>
      </w:pPr>
      <w:r>
        <w:rPr>
          <w:b/>
          <w:bCs/>
        </w:rPr>
        <w:t xml:space="preserve">L’arresto duro ha due proprietari.</w:t>
      </w:r>
      <w:r>
        <w:t xml:space="preserve"> </w:t>
      </w:r>
      <w:r>
        <w:t xml:space="preserve">Se a torace mobilizzato la curva cala, è la gabbia. Se resta identica, è il disco.</w:t>
      </w:r>
      <w:r>
        <w:t xml:space="preserve"> </w:t>
      </w:r>
      <w:r>
        <w:rPr>
          <w:b/>
          <w:bCs/>
        </w:rPr>
        <w:t xml:space="preserve">Sulla strutturale rigida il paziente resta in carico con un altro obiettivo:</w:t>
      </w:r>
      <w:r>
        <w:t xml:space="preserve"> </w:t>
      </w:r>
      <w:r>
        <w:t xml:space="preserve">dolore, mobilità dei distretti che compensano, respiro. E si dice prima di cominciare.</w:t>
      </w:r>
      <w:r>
        <w:t xml:space="preserve"> </w:t>
      </w:r>
      <w:r>
        <w:rPr>
          <w:b/>
          <w:bCs/>
        </w:rPr>
        <w:t xml:space="preserve">Si travestono da «corregge e non mantiene»</w:t>
      </w:r>
      <w:r>
        <w:t xml:space="preserve"> </w:t>
      </w:r>
      <w:r>
        <w:t xml:space="preserve">la camptocormia del parkinsonismo, che peggiora camminando e si annulla da sdraiato, e il quadro nociplastico.</w:t>
      </w:r>
      <w:r>
        <w:t xml:space="preserve"> </w:t>
      </w:r>
      <w:r>
        <w:rPr>
          <w:b/>
          <w:bCs/>
        </w:rPr>
        <w:t xml:space="preserve">Non è un sottotipo, è un cancello:</w:t>
      </w:r>
      <w:r>
        <w:t xml:space="preserve"> </w:t>
      </w:r>
      <w:r>
        <w:t xml:space="preserve">la spondiloartrite assiale. Uscita</w:t>
      </w:r>
      <w:r>
        <w:t xml:space="preserve"> </w:t>
      </w:r>
      <w:r>
        <w:rPr>
          <w:b/>
          <w:bCs/>
        </w:rPr>
        <w:t xml:space="preserve">giallo prioritario</w:t>
      </w:r>
      <w:r>
        <w:t xml:space="preserve">: si lavora con il canale reumatologico aperto lo stesso giorno.</w:t>
      </w:r>
    </w:p>
    <w:p>
      <w:r>
        <w:pict>
          <v:rect style="width:0;height:1.5pt" o:hralign="center" o:hrstd="t" o:hr="t"/>
        </w:pict>
      </w:r>
    </w:p>
    <w:bookmarkEnd w:id="13"/>
    <w:bookmarkStart w:id="14" w:name="X4563e8775d152763a494d279a6c1b34ef27ad4d"/>
    <w:p>
      <w:pPr>
        <w:pStyle w:val="Heading2"/>
      </w:pPr>
      <w:r>
        <w:t xml:space="preserve">6 — Cosa fa il paziente da solo, e cosa non prescrivi tu</w:t>
      </w:r>
    </w:p>
    <w:p>
      <w:pPr>
        <w:pStyle w:val="FirstParagraph"/>
      </w:pPr>
      <w:r>
        <w:rPr>
          <w:b/>
          <w:bCs/>
        </w:rPr>
        <w:t xml:space="preserve">Rinforzo degli estensori con training posturale. DIMOSTRATO.</w:t>
      </w:r>
      <w:r>
        <w:t xml:space="preserve"> </w:t>
      </w:r>
      <w:r>
        <w:t xml:space="preserve">Nello studio: un’ora, tre volte alla settimana, sei mesi, in gruppo e con un fisioterapista → 3,0 gradi di Cobb in meno e immagine di sé migliorata (Katzman 2017, PMID 28689306). Stima aggregata su 24 studi: SMD −0,31, certezza moderata (Ponzano, PMID 34546447).</w:t>
      </w:r>
      <w:r>
        <w:t xml:space="preserve"> </w:t>
      </w:r>
      <w:r>
        <w:t xml:space="preserve">Non ha migliorato la funzione fisica. In tre mesi la misura radiografica non si muove.</w:t>
      </w:r>
      <w:r>
        <w:t xml:space="preserve"> </w:t>
      </w:r>
      <w:r>
        <w:rPr>
          <w:b/>
          <w:bCs/>
        </w:rPr>
        <w:t xml:space="preserve">È un numero da contesto supervisionato.</w:t>
      </w:r>
      <w:r>
        <w:t xml:space="preserve"> </w:t>
      </w:r>
      <w:r>
        <w:rPr>
          <w:b/>
          <w:bCs/>
        </w:rPr>
        <w:t xml:space="preserve">Lavoro respiratorio attivo: escursione diaframmatica sì, curva no</w:t>
      </w:r>
      <w:r>
        <w:t xml:space="preserve"> </w:t>
      </w:r>
      <w:r>
        <w:t xml:space="preserve">(Rashed, PMID 38821882).</w:t>
      </w:r>
      <w:r>
        <w:t xml:space="preserve"> </w:t>
      </w:r>
      <w:r>
        <w:rPr>
          <w:b/>
          <w:bCs/>
        </w:rPr>
        <w:t xml:space="preserve">PROBABILE.</w:t>
      </w:r>
      <w:r>
        <w:t xml:space="preserve"> </w:t>
      </w:r>
      <w:r>
        <w:rPr>
          <w:b/>
          <w:bCs/>
        </w:rPr>
        <w:t xml:space="preserve">La spiegazione è uno strumento:</w:t>
      </w:r>
      <w:r>
        <w:t xml:space="preserve"> </w:t>
      </w:r>
      <w:r>
        <w:t xml:space="preserve">una seduta di consigli non è stata battuta da sette di terapia manuale (Barker, PMID 31456562).</w:t>
      </w:r>
      <w:r>
        <w:t xml:space="preserve"> </w:t>
      </w:r>
      <w:r>
        <w:rPr>
          <w:b/>
          <w:bCs/>
        </w:rPr>
        <w:t xml:space="preserve">DIMOSTRATO</w:t>
      </w:r>
      <w:r>
        <w:t xml:space="preserve"> </w:t>
      </w:r>
      <w:r>
        <w:t xml:space="preserve">in quella popolazione.</w:t>
      </w:r>
      <w:r>
        <w:t xml:space="preserve"> </w:t>
      </w:r>
      <w:r>
        <w:rPr>
          <w:b/>
          <w:bCs/>
        </w:rPr>
        <w:t xml:space="preserve">Ortesi dinamica in iperestensione: PROBABILE sulla leva.</w:t>
      </w:r>
      <w:r>
        <w:t xml:space="preserve"> </w:t>
      </w:r>
      <w:r>
        <w:t xml:space="preserve">Quattro RCT a basso rischio di bias, 326 donne con osteoporosi, ≥ 2 ore al giorno per sei mesi (PMID 35743956). GRADE bassa, e un randomizzato indipendente non trova differenze (PMID 30623268).</w:t>
      </w:r>
      <w:r>
        <w:t xml:space="preserve"> </w:t>
      </w:r>
      <w:r>
        <w:rPr>
          <w:b/>
          <w:bCs/>
        </w:rPr>
        <w:t xml:space="preserve">Non è il corsetto rigido né il correttore elastico. Non si prescrive: si nomina al curante.</w:t>
      </w:r>
      <w:r>
        <w:t xml:space="preserve"> </w:t>
      </w:r>
      <w:r>
        <w:rPr>
          <w:b/>
          <w:bCs/>
        </w:rPr>
        <w:t xml:space="preserve">Taping: dove è stato isolato negli anziani, è risultato inefficace</w:t>
      </w:r>
      <w:r>
        <w:t xml:space="preserve"> </w:t>
      </w:r>
      <w:r>
        <w:t xml:space="preserve">(Jenkins, PMID 34375856).</w:t>
      </w:r>
      <w:r>
        <w:t xml:space="preserve"> </w:t>
      </w:r>
      <w:r>
        <w:t xml:space="preserve">Nell’osso fragile: estensione sì,</w:t>
      </w:r>
      <w:r>
        <w:t xml:space="preserve"> </w:t>
      </w:r>
      <w:r>
        <w:rPr>
          <w:b/>
          <w:bCs/>
        </w:rPr>
        <w:t xml:space="preserve">flessione dorsale caricata e ripetuta no</w:t>
      </w:r>
      <w:r>
        <w:t xml:space="preserve">. I gesti della vita restano.</w:t>
      </w:r>
      <w:r>
        <w:t xml:space="preserve"> </w:t>
      </w:r>
      <w:r>
        <w:rPr>
          <w:b/>
          <w:bCs/>
        </w:rPr>
        <w:t xml:space="preserve">La cautela riguarda la direzione, non l’intensità</w:t>
      </w:r>
      <w:r>
        <w:t xml:space="preserve"> </w:t>
      </w:r>
      <w:r>
        <w:t xml:space="preserve">(LIFTMOR, PMID 28975661).</w:t>
      </w:r>
    </w:p>
    <w:p>
      <w:r>
        <w:pict>
          <v:rect style="width:0;height:1.5pt" o:hralign="center" o:hrstd="t" o:hr="t"/>
        </w:pict>
      </w:r>
    </w:p>
    <w:bookmarkEnd w:id="14"/>
    <w:bookmarkStart w:id="15" w:name="le-bandiere-rosse"/>
    <w:p>
      <w:pPr>
        <w:pStyle w:val="Heading2"/>
      </w:pPr>
      <w:r>
        <w:t xml:space="preserve">7 — Le bandiere rosse</w:t>
      </w:r>
    </w:p>
    <w:p>
      <w:pPr>
        <w:pStyle w:val="FirstParagraph"/>
      </w:pPr>
      <w:r>
        <w:rPr>
          <w:b/>
          <w:bCs/>
        </w:rPr>
        <w:t xml:space="preserve">ROSSO — nella stessa seduta non si tratta nulla</w:t>
      </w:r>
      <w:r>
        <w:t xml:space="preserve"> </w:t>
      </w:r>
      <w:r>
        <w:t xml:space="preserve">- Deficit di forza o sensibilità alle gambe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Disturbo sfinterico o dell’andatura, recente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Dolore improvviso, lacerante o migrante, non modificato dalla posizione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Febbre con dolore dorsale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Dolore che compare sotto sforzo e passa a riposo → curante,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Dolore notturno crescente, calo di peso, tumore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Dolore dorsale acuto sopra i 65 anni o con fragilità,</w:t>
      </w:r>
      <w:r>
        <w:t xml:space="preserve"> </w:t>
      </w:r>
      <w:r>
        <w:rPr>
          <w:b/>
          <w:bCs/>
        </w:rPr>
        <w:t xml:space="preserve">con o senza trauma</w:t>
      </w:r>
      <w:r>
        <w:t xml:space="preserve"> </w:t>
      </w:r>
      <w:r>
        <w:t xml:space="preserve">→ radiografia,</w:t>
      </w:r>
      <w:r>
        <w:t xml:space="preserve"> </w:t>
      </w:r>
      <w:r>
        <w:rPr>
          <w:b/>
          <w:bCs/>
        </w:rPr>
        <w:t xml:space="preserve">non attendere</w:t>
      </w:r>
      <w:r>
        <w:t xml:space="preserve"> </w:t>
      </w:r>
      <w:r>
        <w:t xml:space="preserve">- Dolore nuovo in</w:t>
      </w:r>
      <w:r>
        <w:t xml:space="preserve"> </w:t>
      </w:r>
      <w:r>
        <w:rPr>
          <w:b/>
          <w:bCs/>
        </w:rPr>
        <w:t xml:space="preserve">colonna anchilosata</w:t>
      </w:r>
      <w:r>
        <w:t xml:space="preserve"> </w:t>
      </w:r>
      <w:r>
        <w:t xml:space="preserve">(DISH, spondilite), anche senza evento → PS per</w:t>
      </w:r>
      <w:r>
        <w:t xml:space="preserve"> </w:t>
      </w:r>
      <w:r>
        <w:rPr>
          <w:b/>
          <w:bCs/>
        </w:rPr>
        <w:t xml:space="preserve">TC</w:t>
      </w:r>
      <w:r>
        <w:t xml:space="preserve">,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Dolore nuovo dopo interruzione di una terapia iniettabile per l’osso →</w:t>
      </w:r>
      <w:r>
        <w:t xml:space="preserve"> </w:t>
      </w:r>
      <w:r>
        <w:rPr>
          <w:b/>
          <w:bCs/>
        </w:rPr>
        <w:t xml:space="preserve">non attendere</w:t>
      </w:r>
    </w:p>
    <w:p>
      <w:pPr>
        <w:pStyle w:val="BodyText"/>
      </w:pPr>
      <w:r>
        <w:rPr>
          <w:b/>
          <w:bCs/>
        </w:rPr>
        <w:t xml:space="preserve">GIALLO PRIORITARIO — si lavora, canale medico aperto lo stesso giorno</w:t>
      </w:r>
      <w:r>
        <w:t xml:space="preserve"> </w:t>
      </w:r>
      <w:r>
        <w:t xml:space="preserve">- Dispnea nuova o ingravescente, notturna o con edemi → curante</w:t>
      </w:r>
      <w:r>
        <w:t xml:space="preserve"> </w:t>
      </w:r>
      <w:r>
        <w:t xml:space="preserve">- Rigidità mattutina oltre 30 minuti, esordio prima dei 40 anni, dolore notturno che passa alzandosi → reumatologo</w:t>
      </w:r>
      <w:r>
        <w:t xml:space="preserve"> </w:t>
      </w:r>
      <w:r>
        <w:t xml:space="preserve">- Curva che peggiora camminando e si annulla da sdraiato, con passo corto o mimica ridotta → neurologo</w:t>
      </w:r>
      <w:r>
        <w:t xml:space="preserve"> </w:t>
      </w:r>
      <w:r>
        <w:t xml:space="preserve">- Cortisone prolungato · curva peggiorata in fretta in un adolescente · statura persa oltre 4 cm</w:t>
      </w:r>
    </w:p>
    <w:p>
      <w:pPr>
        <w:pStyle w:val="BodyText"/>
      </w:pPr>
      <w:r>
        <w:rPr>
          <w:b/>
          <w:bCs/>
        </w:rPr>
        <w:t xml:space="preserve">Il giallo è la situazione normale, non la concessione:</w:t>
      </w:r>
      <w:r>
        <w:t xml:space="preserve"> </w:t>
      </w:r>
      <w:r>
        <w:t xml:space="preserve">una regola scritta e disattesa vale meno di nessuna regola. Quattro condizioni, tutte scritte — reperto, frase al paziente, lettera al curante, scadenza a data.</w:t>
      </w:r>
    </w:p>
    <w:p>
      <w:r>
        <w:pict>
          <v:rect style="width:0;height:1.5pt" o:hralign="center" o:hrstd="t" o:hr="t"/>
        </w:pict>
      </w:r>
    </w:p>
    <w:bookmarkEnd w:id="15"/>
    <w:bookmarkStart w:id="16" w:name="la-sicurezza-del-gesto-in-tre-righe"/>
    <w:p>
      <w:pPr>
        <w:pStyle w:val="Heading2"/>
      </w:pPr>
      <w:r>
        <w:t xml:space="preserve">8 — La sicurezza del gesto, in tre righe</w:t>
      </w:r>
    </w:p>
    <w:p>
      <w:pPr>
        <w:pStyle w:val="FirstParagraph"/>
      </w:pPr>
      <w:r>
        <w:t xml:space="preserve">Nel</w:t>
      </w:r>
      <w:r>
        <w:t xml:space="preserve"> </w:t>
      </w:r>
      <w:r>
        <w:rPr>
          <w:b/>
          <w:bCs/>
        </w:rPr>
        <w:t xml:space="preserve">giallo</w:t>
      </w:r>
      <w:r>
        <w:t xml:space="preserve"> </w:t>
      </w:r>
      <w:r>
        <w:t xml:space="preserve">la fragilità si presume: età ≥ 60, Cobb ≥ 40°, postmenopausa, statura persa, cortisone, frattura pregressa →</w:t>
      </w:r>
      <w:r>
        <w:t xml:space="preserve"> </w:t>
      </w:r>
      <w:r>
        <w:rPr>
          <w:b/>
          <w:bCs/>
        </w:rPr>
        <w:t xml:space="preserve">niente alta velocità e niente leve lunghe</w:t>
      </w:r>
      <w:r>
        <w:t xml:space="preserve"> </w:t>
      </w:r>
      <w:r>
        <w:t xml:space="preserve">finché il canale medico non risponde.</w:t>
      </w:r>
      <w:r>
        <w:t xml:space="preserve"> </w:t>
      </w:r>
      <w:r>
        <w:t xml:space="preserve">Sulla</w:t>
      </w:r>
      <w:r>
        <w:t xml:space="preserve"> </w:t>
      </w:r>
      <w:r>
        <w:rPr>
          <w:b/>
          <w:bCs/>
        </w:rPr>
        <w:t xml:space="preserve">colonna saldata la regola non passa dalla densitometria</w:t>
      </w:r>
      <w:r>
        <w:t xml:space="preserve">: niente alta velocità e niente leve lunghe in nessun distretto, cerniere comprese.</w:t>
      </w:r>
      <w:r>
        <w:t xml:space="preserve"> </w:t>
      </w:r>
      <w:r>
        <w:t xml:space="preserve">Il dorso è il distretto dei rari eventi avversi gravi della manipolazione spinale:</w:t>
      </w:r>
      <w:r>
        <w:t xml:space="preserve"> </w:t>
      </w:r>
      <w:r>
        <w:rPr>
          <w:b/>
          <w:bCs/>
        </w:rPr>
        <w:t xml:space="preserve">la sicurezza sta nella forza, non nel bersaglio.</w:t>
      </w:r>
    </w:p>
    <w:p>
      <w:r>
        <w:pict>
          <v:rect style="width:0;height:1.5pt" o:hralign="center" o:hrstd="t" o:hr="t"/>
        </w:pict>
      </w:r>
    </w:p>
    <w:bookmarkEnd w:id="16"/>
    <w:bookmarkStart w:id="17" w:name="la-frase-per-il-paziente"/>
    <w:p>
      <w:pPr>
        <w:pStyle w:val="Heading2"/>
      </w:pPr>
      <w:r>
        <w:t xml:space="preserve">9 — La frase per il paziente</w:t>
      </w:r>
    </w:p>
    <w:p>
      <w:pPr>
        <w:pStyle w:val="FirstParagraph"/>
      </w:pPr>
      <w:r>
        <w:rPr>
          <w:i/>
          <w:iCs/>
        </w:rPr>
        <w:t xml:space="preserve">“Una parte della sua curva è questa, ed è la parte su cui si può lavorare: quanta ce n’è nel suo caso lo misuriamo adesso. Un’altra parte è la forma che l’osso ha preso, e quella resta.”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L’esercizio mirato ha ridotto la curva di 3,0 gradi in sei mesi e ha migliorato in modo netto l’immagine di sé, senza cambiare la funzione fisica (Katzman, 2017, PMID 28689306). Questo ti autorizza a insegnare quella leva, a rendere disponibile con le mani l’escursione che le serve, e a misurare tutte e due le cose. Non ti autorizza a promettere che il paziente si muoverà meglio: nel migliore studio esistente non è successo.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i/>
          <w:iCs/>
        </w:rPr>
        <w:t xml:space="preserve">Deviazioni dichiarate: blocco 7 sugli strumenti attivi (D-011), blocco 4 sul ragionamento clinico (D-018), blocco 8 sulla sicurezza del gesto (D-042).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2026-08-21T19:07:00Z</dcterms:created>
  <dcterms:modified xsi:type="dcterms:W3CDTF">2026-08-21T19:07:00Z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