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Mal di Testa Tensivo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2" w:name="la-bibbia-del-mal-di-testa-tensivo"/>
    <w:p>
      <w:pPr>
        <w:pStyle w:val="Heading1"/>
      </w:pPr>
      <w:r>
        <w:t xml:space="preserve">La Bibbia del Mal di Testa Tensivo</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César Fernández-de-las-Peñas (Universidad Rey Juan Carlos, Madrid) —</w:t>
      </w:r>
      <w:r>
        <w:t xml:space="preserve"> </w:t>
      </w:r>
      <w:r>
        <w:rPr>
          <w:b/>
          <w:bCs/>
        </w:rPr>
        <w:t xml:space="preserve">Ancora fisiologica:</w:t>
      </w:r>
      <w:r>
        <w:t xml:space="preserve"> </w:t>
      </w:r>
      <w:r>
        <w:t xml:space="preserve">Lars Bendtsen (Danish Headache Center, Copenhagen)</w:t>
      </w:r>
      <w:r>
        <w:t xml:space="preserve"> </w:t>
      </w:r>
      <w:r>
        <w:rPr>
          <w:b/>
          <w:bCs/>
        </w:rPr>
        <w:t xml:space="preserve">Versione:</w:t>
      </w:r>
      <w:r>
        <w:t xml:space="preserve"> </w:t>
      </w:r>
      <w:r>
        <w:t xml:space="preserve">v4.0 (intermedia, 3º livello di revisione applicato)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della cefalea di tipo tensivo per chi la tratta con le mani, e il suo punto di forza è che il tessuto muscolare dolente non è una nostra ipotesi — sta dentro la fisiopatologia che i neurologi hanno scritto.</w:t>
      </w:r>
    </w:p>
    <w:p>
      <w:pPr>
        <w:pStyle w:val="FirstParagraph"/>
      </w:pPr>
      <w:r>
        <w:rPr>
          <w:b/>
          <w:bCs/>
        </w:rPr>
        <w:t xml:space="preserve">A chi parla.</w:t>
      </w:r>
      <w:r>
        <w:t xml:space="preserve"> </w:t>
      </w:r>
      <w:r>
        <w:t xml:space="preserve">All’osteopata del team. Qui non trovi cos’è il trigemino: trovi cosa fa</w:t>
      </w:r>
      <w:r>
        <w:t xml:space="preserve"> </w:t>
      </w:r>
      <w:r>
        <w:rPr>
          <w:b/>
          <w:bCs/>
        </w:rPr>
        <w:t xml:space="preserve">in questa condizione</w:t>
      </w:r>
      <w:r>
        <w:t xml:space="preserve">. E trovi perché il collo di questo paziente è quasi sempre parte del quadro, e quasi mai una diagnosi. Buona parte di quello che leggerai è misurato da neurologi, non da osteopati. Per questo la Bibbia può permettersi di essere severa con sé stessa.</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modello e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 Quando un’affermazione è fatta di pezzi con forza diversa, l’etichetta</w:t>
      </w:r>
      <w:r>
        <w:t xml:space="preserve"> </w:t>
      </w:r>
      <w:r>
        <w:rPr>
          <w:b/>
          <w:bCs/>
        </w:rPr>
        <w:t xml:space="preserve">si spezza</w:t>
      </w:r>
      <w:r>
        <w:t xml:space="preserve">: ogni pezzo porta la sua.</w:t>
      </w:r>
    </w:p>
    <w:p>
      <w:pPr>
        <w:pStyle w:val="BodyText"/>
      </w:pPr>
      <w:r>
        <w:rPr>
          <w:b/>
          <w:bCs/>
        </w:rPr>
        <w:t xml:space="preserve">Le parole del metodo.</w:t>
      </w:r>
      <w:r>
        <w:t xml:space="preserve"> </w:t>
      </w:r>
      <w:r>
        <w:t xml:space="preserve">Sono otto:</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piano</w:t>
      </w:r>
      <w:r>
        <w:t xml:space="preserve">,</w:t>
      </w:r>
      <w:r>
        <w:t xml:space="preserve"> </w:t>
      </w:r>
      <w:r>
        <w:rPr>
          <w:i/>
          <w:iCs/>
        </w:rPr>
        <w:t xml:space="preserve">sistema dominante</w:t>
      </w:r>
      <w:r>
        <w:t xml:space="preserve">,</w:t>
      </w:r>
      <w:r>
        <w:t xml:space="preserve"> </w:t>
      </w:r>
      <w:r>
        <w:rPr>
          <w:i/>
          <w:iCs/>
        </w:rPr>
        <w:t xml:space="preserve">lesione primaria</w:t>
      </w:r>
      <w:r>
        <w:t xml:space="preserve">. Hanno una definizione fissa. La trovi in un box alla prima comparsa</w:t>
      </w:r>
      <w:r>
        <w:t xml:space="preserve"> </w:t>
      </w:r>
      <w:r>
        <w:rPr>
          <w:b/>
          <w:bCs/>
        </w:rPr>
        <w:t xml:space="preserve">operativa</w:t>
      </w:r>
      <w:r>
        <w:t xml:space="preserve">, e per intero nel Glossario.</w:t>
      </w:r>
    </w:p>
    <w:bookmarkStart w:id="9" w:name="come-si-studia-questa-bibbia"/>
    <w:p>
      <w:pPr>
        <w:pStyle w:val="Heading3"/>
      </w:pPr>
      <w:r>
        <w:t xml:space="preserve">Come si studia questa Bibbia</w:t>
      </w:r>
    </w:p>
    <w:p>
      <w:pPr>
        <w:pStyle w:val="FirstParagraph"/>
      </w:pPr>
      <w:r>
        <w:rPr>
          <w:b/>
          <w:bCs/>
        </w:rPr>
        <w:t xml:space="preserve">Prima lettura: tutta di fila, senza appunti.</w:t>
      </w:r>
    </w:p>
    <w:p>
      <w:pPr>
        <w:pStyle w:val="BodyText"/>
      </w:pPr>
      <w:r>
        <w:rPr>
          <w:b/>
          <w:bCs/>
        </w:rPr>
        <w:t xml:space="preserve">Seconda passata: con un paziente vero in testa.</w:t>
      </w:r>
      <w:r>
        <w:t xml:space="preserve"> </w:t>
      </w:r>
      <w:r>
        <w:t xml:space="preserve">Ti servono tre capitoli — «Cosa si rompe», «Non è una condizione sola: i sottotipi», «Come ragiono davanti a questo paziente». Su ogni meccanismo chiediti una cosa sola:</w:t>
      </w:r>
      <w:r>
        <w:t xml:space="preserve"> </w:t>
      </w:r>
      <w:r>
        <w:rPr>
          <w:i/>
          <w:iCs/>
        </w:rPr>
        <w:t xml:space="preserve">era lui?</w:t>
      </w:r>
    </w:p>
    <w:p>
      <w:pPr>
        <w:pStyle w:val="BodyText"/>
      </w:pPr>
      <w:r>
        <w:rPr>
          <w:b/>
          <w:bCs/>
        </w:rPr>
        <w:t xml:space="preserve">Poi la prova che conta.</w:t>
      </w:r>
      <w:r>
        <w:t xml:space="preserve"> </w:t>
      </w:r>
      <w:r>
        <w:t xml:space="preserve">Chiudi il documento e di’ ad alta voce i cinque meccanismi, e da cosa si riconosce ciascuno.</w:t>
      </w:r>
      <w:r>
        <w:t xml:space="preserve"> </w:t>
      </w:r>
      <w:r>
        <w:rPr>
          <w:b/>
          <w:bCs/>
        </w:rPr>
        <w:t xml:space="preserve">Quello che non sai dire, non l’hai imparato.</w:t>
      </w:r>
    </w:p>
    <w:p>
      <w:pPr>
        <w:pStyle w:val="BodyText"/>
      </w:pPr>
      <w:r>
        <w:rPr>
          <w:b/>
          <w:bCs/>
        </w:rPr>
        <w:t xml:space="preserve">La padronanza però si misura sui casi difficili, non sul richiamo.</w:t>
      </w:r>
      <w:r>
        <w:t xml:space="preserve"> </w:t>
      </w:r>
      <w:r>
        <w:t xml:space="preserve">Sapere il codice a memoria non è ancora saper guidare.</w:t>
      </w:r>
      <w:r>
        <w:t xml:space="preserve"> </w:t>
      </w:r>
      <w:r>
        <w:rPr>
          <w:b/>
          <w:bCs/>
        </w:rPr>
        <w:t xml:space="preserve">Sei autonomo quando sai fare tre cose senza esitare.</w:t>
      </w:r>
      <w:r>
        <w:t xml:space="preserve"> </w:t>
      </w:r>
      <w:r>
        <w:t xml:space="preserve">Separare il punto che riproduce dal carico statico. Riconoscere il paziente su cui la tua mano conta poco. Dire a un medico 3,5 giorni con prove molto basse contro 4,8 con prove alte.</w:t>
      </w:r>
    </w:p>
    <w:p>
      <w:pPr>
        <w:pStyle w:val="BodyText"/>
      </w:pPr>
      <w:r>
        <w:rPr>
          <w:b/>
          <w:bCs/>
        </w:rPr>
        <w:t xml:space="preserve">Prima del primo paziente: la Mappa concettuale, due minuti. Non la Bibbia.</w:t>
      </w:r>
      <w:r>
        <w:t xml:space="preserve"> </w:t>
      </w:r>
      <w:r>
        <w:t xml:space="preserve">Dopo i primi tre pazienti rileggi «Dove finisce il nostro campo» e «Cosa dice la scienza»: dicono altro quando hai avuto qualcuno davanti.</w:t>
      </w:r>
      <w:r>
        <w:t xml:space="preserve"> </w:t>
      </w:r>
      <w:r>
        <w:rPr>
          <w:b/>
          <w:bCs/>
        </w:rPr>
        <w:t xml:space="preserve">A sei mesi: solo la Mappa. Se un blocco non ti riaccende il capitolo, quello è il capitolo da rileggere.</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1"/>
        </w:numPr>
      </w:pPr>
      <w:r>
        <w:t xml:space="preserve">La Bibbia arriva fino al razionale della leva: le tecniche stanno nella Procedura.</w:t>
      </w:r>
    </w:p>
    <w:p>
      <w:pPr>
        <w:pStyle w:val="Compact"/>
        <w:numPr>
          <w:ilvl w:val="0"/>
          <w:numId w:val="1001"/>
        </w:numPr>
      </w:pPr>
      <w:r>
        <w:t xml:space="preserve">Se manca l’etichetta, quello è un’affermazione gonfiata.</w:t>
      </w:r>
    </w:p>
    <w:p>
      <w:pPr>
        <w:pStyle w:val="Compact"/>
        <w:numPr>
          <w:ilvl w:val="0"/>
          <w:numId w:val="1001"/>
        </w:numPr>
      </w:pPr>
      <w:r>
        <w:t xml:space="preserve">Qui la parte muscolare è dentro la fisiopatologia ufficiale: è la posizione più comoda che avrai su qualunque cefalea, e va usata senza allargarla.</w:t>
      </w:r>
    </w:p>
    <w:p>
      <w:pPr>
        <w:pStyle w:val="Compact"/>
        <w:numPr>
          <w:ilvl w:val="0"/>
          <w:numId w:val="1001"/>
        </w:numPr>
      </w:pPr>
      <w:r>
        <w:rPr>
          <w:b/>
          <w:bCs/>
        </w:rPr>
        <w:t xml:space="preserve">Perché ci sei tu.</w:t>
      </w:r>
      <w:r>
        <w:t xml:space="preserve"> </w:t>
      </w:r>
      <w:r>
        <w:t xml:space="preserve">In terapia fisica per il dolore muscolo-scheletrico, una quota dell’effetto immediato di una mobilizzazione</w:t>
      </w:r>
      <w:r>
        <w:t xml:space="preserve"> </w:t>
      </w:r>
      <w:r>
        <w:rPr>
          <w:b/>
          <w:bCs/>
        </w:rPr>
        <w:t xml:space="preserve">non</w:t>
      </w:r>
      <w:r>
        <w:t xml:space="preserve"> </w:t>
      </w:r>
      <w:r>
        <w:t xml:space="preserve">dipende dalla tecnica specifica. Quella quota è stimata all’88%, con intervallo dal 57% al 120%, su 54 studi controllati con placebo e 3.793 partecipanti (Ezzatvar,</w:t>
      </w:r>
      <w:r>
        <w:t xml:space="preserve"> </w:t>
      </w:r>
      <w:r>
        <w:rPr>
          <w:i/>
          <w:iCs/>
        </w:rPr>
        <w:t xml:space="preserve">JOSPT</w:t>
      </w:r>
      <w:r>
        <w:t xml:space="preserve"> </w:t>
      </w:r>
      <w:r>
        <w:t xml:space="preserve">2024, PMID 38602164) —</w:t>
      </w:r>
      <w:r>
        <w:t xml:space="preserve"> </w:t>
      </w:r>
      <w:r>
        <w:rPr>
          <w:b/>
          <w:bCs/>
        </w:rPr>
        <w:t xml:space="preserve">misurato su dolore muscolo-scheletrico in generale, non su questa condizione</w:t>
      </w:r>
      <w:r>
        <w:t xml:space="preserve">. L’intervallo attraversa il 100%: il dato dice</w:t>
      </w:r>
      <w:r>
        <w:t xml:space="preserve"> </w:t>
      </w:r>
      <w:r>
        <w:t xml:space="preserve">“moltissimo, forse tutto”</w:t>
      </w:r>
      <w:r>
        <w:t xml:space="preserve">, non</w:t>
      </w:r>
      <w:r>
        <w:t xml:space="preserve"> </w:t>
      </w:r>
      <w:r>
        <w:t xml:space="preserve">“esattamente 88”</w:t>
      </w:r>
      <w:r>
        <w:t xml:space="preserve">. Ti autorizza a curare il modo in cui tratti — il tempo, il contatto, quello che spieghi — come parte del trattamento e non come cortesia. Non ti autorizza a chiamare</w:t>
      </w:r>
      <w:r>
        <w:t xml:space="preserve"> </w:t>
      </w:r>
      <w:r>
        <w:t xml:space="preserve">“effetto della tecnica”</w:t>
      </w:r>
      <w:r>
        <w:t xml:space="preserve"> </w:t>
      </w:r>
      <w:r>
        <w:t xml:space="preserve">quello che ottieni.</w:t>
      </w:r>
    </w:p>
    <w:p>
      <w:pPr>
        <w:pStyle w:val="FirstParagraph"/>
      </w:pPr>
      <w:r>
        <w:t xml:space="preserve">Buon nutrimento!</w:t>
      </w:r>
    </w:p>
    <w:p>
      <w:r>
        <w:pict>
          <v:rect style="width:0;height:1.5pt" o:hralign="center" o:hrstd="t" o:hr="t"/>
        </w:pict>
      </w:r>
    </w:p>
    <w:bookmarkEnd w:id="9"/>
    <w:bookmarkEnd w:id="10"/>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ha fatto la risonanza del cervello, l’ha fatta bene, ed è tornata a casa senza che nessuno le abbia messo le mani sul collo.</w:t>
      </w:r>
    </w:p>
    <w:bookmarkStart w:id="11" w:name="come-lo-racconta-lui"/>
    <w:p>
      <w:pPr>
        <w:pStyle w:val="Heading3"/>
      </w:pPr>
      <w:r>
        <w:t xml:space="preserve">Come lo racconta lui</w:t>
      </w:r>
    </w:p>
    <w:p>
      <w:pPr>
        <w:pStyle w:val="FirstParagraph"/>
      </w:pPr>
      <w:r>
        <w:t xml:space="preserve">Non dice</w:t>
      </w:r>
      <w:r>
        <w:t xml:space="preserve"> </w:t>
      </w:r>
      <w:r>
        <w:t xml:space="preserve">“cefalea tensiva”</w:t>
      </w:r>
      <w:r>
        <w:t xml:space="preserve">. Dice una forma:</w:t>
      </w:r>
      <w:r>
        <w:t xml:space="preserve"> </w:t>
      </w:r>
      <w:r>
        <w:rPr>
          <w:i/>
          <w:iCs/>
        </w:rPr>
        <w:t xml:space="preserve">“una fascia stretta intorno alla testa”</w:t>
      </w:r>
      <w:r>
        <w:t xml:space="preserve">,</w:t>
      </w:r>
      <w:r>
        <w:t xml:space="preserve"> </w:t>
      </w:r>
      <w:r>
        <w:rPr>
          <w:i/>
          <w:iCs/>
        </w:rPr>
        <w:t xml:space="preserve">“un casco troppo piccolo”</w:t>
      </w:r>
      <w:r>
        <w:t xml:space="preserve">,</w:t>
      </w:r>
      <w:r>
        <w:t xml:space="preserve"> </w:t>
      </w:r>
      <w:r>
        <w:rPr>
          <w:i/>
          <w:iCs/>
        </w:rPr>
        <w:t xml:space="preserve">“un elastico che non si molla mai.”</w:t>
      </w:r>
      <w:r>
        <w:t xml:space="preserve"> </w:t>
      </w:r>
      <w:r>
        <w:t xml:space="preserve">Poi dice l’orologio, ed è la cosa più utile che ti dirà:</w:t>
      </w:r>
      <w:r>
        <w:t xml:space="preserve"> </w:t>
      </w:r>
      <w:r>
        <w:rPr>
          <w:i/>
          <w:iCs/>
        </w:rPr>
        <w:t xml:space="preserve">“verso le cinque, dopo ore al computer, comincia a stringere.”</w:t>
      </w:r>
      <w:r>
        <w:t xml:space="preserve"> </w:t>
      </w:r>
      <w:r>
        <w:t xml:space="preserve">La chiama con parole sue —</w:t>
      </w:r>
      <w:r>
        <w:t xml:space="preserve"> </w:t>
      </w:r>
      <w:r>
        <w:rPr>
          <w:i/>
          <w:iCs/>
        </w:rPr>
        <w:t xml:space="preserve">l’appuntamento delle cinque</w:t>
      </w:r>
      <w:r>
        <w:t xml:space="preserve"> </w:t>
      </w:r>
      <w:r>
        <w:t xml:space="preserve">— e la descrive come qualcosa a cui non può mancare.</w:t>
      </w:r>
    </w:p>
    <w:p>
      <w:pPr>
        <w:pStyle w:val="BodyText"/>
      </w:pPr>
      <w:r>
        <w:t xml:space="preserve">Descrive il dolore per differenza:</w:t>
      </w:r>
      <w:r>
        <w:t xml:space="preserve"> </w:t>
      </w:r>
      <w:r>
        <w:rPr>
          <w:i/>
          <w:iCs/>
        </w:rPr>
        <w:t xml:space="preserve">“non batte.”</w:t>
      </w:r>
      <w:r>
        <w:t xml:space="preserve"> </w:t>
      </w:r>
      <w:r>
        <w:t xml:space="preserve">È una pressione sorda e costante, su tutti e due i lati. Va dalla nuca verso le tempie, o giù verso le spalle. Luce e rumore danno fastidio, ma non lo costringono al buio. Lo stomaco regge.</w:t>
      </w:r>
    </w:p>
    <w:p>
      <w:pPr>
        <w:pStyle w:val="BodyText"/>
      </w:pPr>
      <w:r>
        <w:t xml:space="preserve">Poi racconta la sera rubata —</w:t>
      </w:r>
      <w:r>
        <w:t xml:space="preserve"> </w:t>
      </w:r>
      <w:r>
        <w:rPr>
          <w:i/>
          <w:iCs/>
        </w:rPr>
        <w:t xml:space="preserve">“torno a casa e l’unica cosa che voglio è buio e silenzio”</w:t>
      </w:r>
      <w:r>
        <w:t xml:space="preserve">. E racconta l’irritabilità, che vive come una colpa:</w:t>
      </w:r>
      <w:r>
        <w:t xml:space="preserve"> </w:t>
      </w:r>
      <w:r>
        <w:rPr>
          <w:i/>
          <w:iCs/>
        </w:rPr>
        <w:t xml:space="preserve">“sono nervoso con i miei figli non perché sono una brutta persona, ma perché la testa mi scoppia.”</w:t>
      </w:r>
    </w:p>
    <w:p>
      <w:pPr>
        <w:pStyle w:val="BodyText"/>
      </w:pPr>
      <w:r>
        <w:t xml:space="preserve">In fondo, quasi per inciso, dice due cose che ti riguardano:</w:t>
      </w:r>
      <w:r>
        <w:t xml:space="preserve"> </w:t>
      </w:r>
      <w:r>
        <w:rPr>
          <w:i/>
          <w:iCs/>
        </w:rPr>
        <w:t xml:space="preserve">“mi accorgo che stringo i denti”</w:t>
      </w:r>
      <w:r>
        <w:t xml:space="preserve"> </w:t>
      </w:r>
      <w:r>
        <w:t xml:space="preserve">e</w:t>
      </w:r>
      <w:r>
        <w:t xml:space="preserve"> </w:t>
      </w:r>
      <w:r>
        <w:rPr>
          <w:i/>
          <w:iCs/>
        </w:rPr>
        <w:t xml:space="preserve">“nessuno mi ha mai chiesto come tengo le spalle otto ore al giorno.”</w:t>
      </w:r>
    </w:p>
    <w:bookmarkEnd w:id="11"/>
    <w:bookmarkStart w:id="12" w:name="cosa-ha-già-fatto"/>
    <w:p>
      <w:pPr>
        <w:pStyle w:val="Heading3"/>
      </w:pPr>
      <w:r>
        <w:t xml:space="preserve">Cosa ha già fatto</w:t>
      </w:r>
    </w:p>
    <w:p>
      <w:pPr>
        <w:pStyle w:val="FirstParagraph"/>
      </w:pPr>
      <w:r>
        <w:t xml:space="preserve">Il percorso intero. TAC o risonanza dell’encefalo, normali — e quel risultato serviva. Visita oculistica, spesso occhiali nuovi. Paracetamolo, poi antinfiammatori, poi le associazioni con caffeina perché agiscono più in fretta: e ha perso il conto di quante ne prende.</w:t>
      </w:r>
    </w:p>
    <w:p>
      <w:pPr>
        <w:pStyle w:val="BodyText"/>
      </w:pPr>
      <w:r>
        <w:t xml:space="preserve">Se gli episodi sono frequenti, lo specialista gli ha prescritto amitriptilina a basso dosaggio come profilassi. Non come antidolorifico — ma lui non l’ha capito, e ha letto il bugiardino. Ha provato i massaggi, che hanno funzionato tre giorni. Ha ridotto il caffè. Ha comprato un bite, che protegge i denti e non gli ha tolto il mal di testa.</w:t>
      </w:r>
    </w:p>
    <w:p>
      <w:pPr>
        <w:pStyle w:val="BodyText"/>
      </w:pPr>
      <w:r>
        <w:t xml:space="preserve">Arriva stanco e diffidente, e non senza ragione:</w:t>
      </w:r>
      <w:r>
        <w:t xml:space="preserve"> </w:t>
      </w:r>
      <w:r>
        <w:rPr>
          <w:b/>
          <w:bCs/>
        </w:rPr>
        <w:t xml:space="preserve">gli è stato escluso il grave, e poi gli è stato detto che è stress.</w:t>
      </w:r>
    </w:p>
    <w:bookmarkEnd w:id="12"/>
    <w:bookmarkStart w:id="13" w:name="cosa-nessuno-ha-guardato"/>
    <w:p>
      <w:pPr>
        <w:pStyle w:val="Heading3"/>
      </w:pPr>
      <w:r>
        <w:t xml:space="preserve">Cosa nessuno ha guardato</w:t>
      </w:r>
    </w:p>
    <w:p>
      <w:pPr>
        <w:pStyle w:val="FirstParagraph"/>
      </w:pPr>
      <w:r>
        <w:t xml:space="preserve">Il percorso è corretto e non va criticato: la risonanza serviva a escludere, e ha escluso. Ma la risonanza guarda</w:t>
      </w:r>
      <w:r>
        <w:t xml:space="preserve"> </w:t>
      </w:r>
      <w:r>
        <w:rPr>
          <w:b/>
          <w:bCs/>
        </w:rPr>
        <w:t xml:space="preserve">dentro il cranio</w:t>
      </w:r>
      <w:r>
        <w:t xml:space="preserve">. Fuori, quasi mai qualcuno ha guardato queste quattro cose.</w:t>
      </w:r>
    </w:p>
    <w:p>
      <w:pPr>
        <w:pStyle w:val="Compact"/>
        <w:numPr>
          <w:ilvl w:val="0"/>
          <w:numId w:val="1002"/>
        </w:numPr>
      </w:pPr>
      <w:r>
        <w:t xml:space="preserve">I muscoli pericranici palpati con pressione controllata, e il dolore contato.</w:t>
      </w:r>
    </w:p>
    <w:p>
      <w:pPr>
        <w:pStyle w:val="Compact"/>
        <w:numPr>
          <w:ilvl w:val="0"/>
          <w:numId w:val="1002"/>
        </w:numPr>
      </w:pPr>
      <w:r>
        <w:t xml:space="preserve">La pressione tenuta dieci secondi sui primi segmenti cervicali, per vedere se il dolore si sposta in testa.</w:t>
      </w:r>
    </w:p>
    <w:p>
      <w:pPr>
        <w:pStyle w:val="Compact"/>
        <w:numPr>
          <w:ilvl w:val="0"/>
          <w:numId w:val="1002"/>
        </w:numPr>
      </w:pPr>
      <w:r>
        <w:t xml:space="preserve">Una soglia misurata su una mano, per sapere se il sistema è sensibile solo dove fa male o dappertutto.</w:t>
      </w:r>
    </w:p>
    <w:p>
      <w:pPr>
        <w:pStyle w:val="Compact"/>
        <w:numPr>
          <w:ilvl w:val="0"/>
          <w:numId w:val="1002"/>
        </w:numPr>
      </w:pPr>
      <w:r>
        <w:t xml:space="preserve">Quante volte al mese quella scatola di analgesico si apre.</w:t>
      </w:r>
    </w:p>
    <w:p>
      <w:pPr>
        <w:pStyle w:val="FirstParagraph"/>
      </w:pPr>
      <w:r>
        <w:t xml:space="preserve">Non è negligenza: non è la competenza del neurologo. È la tua.</w:t>
      </w:r>
    </w:p>
    <w:bookmarkEnd w:id="13"/>
    <w:bookmarkStart w:id="14" w:name="ma-non-è-sempre-lui"/>
    <w:p>
      <w:pPr>
        <w:pStyle w:val="Heading3"/>
      </w:pPr>
      <w:r>
        <w:t xml:space="preserve">Ma non è sempre lui</w:t>
      </w:r>
    </w:p>
    <w:p>
      <w:pPr>
        <w:pStyle w:val="FirstParagraph"/>
      </w:pPr>
      <w:r>
        <w:t xml:space="preserve">Qui è descritto l’adulto sotto i sessanta, con episodi tipici e accertamenti normali. Altri pazienti cambiano le regole, e vanno riconosciuti prima del ragionamento sui piani.</w:t>
      </w:r>
    </w:p>
    <w:p>
      <w:pPr>
        <w:pStyle w:val="Compact"/>
        <w:numPr>
          <w:ilvl w:val="0"/>
          <w:numId w:val="1003"/>
        </w:numPr>
      </w:pPr>
      <w:r>
        <w:rPr>
          <w:b/>
          <w:bCs/>
        </w:rPr>
        <w:t xml:space="preserve">Chi prende sintomatici quindici giorni al mese o più.</w:t>
      </w:r>
      <w:r>
        <w:t xml:space="preserve"> </w:t>
      </w:r>
      <w:r>
        <w:t xml:space="preserve">Vale anche per chi</w:t>
      </w:r>
      <w:r>
        <w:t xml:space="preserve"> </w:t>
      </w:r>
      <w:r>
        <w:rPr>
          <w:b/>
          <w:bCs/>
        </w:rPr>
        <w:t xml:space="preserve">ha visto il mal di testa cambiare forma</w:t>
      </w:r>
      <w:r>
        <w:t xml:space="preserve"> </w:t>
      </w:r>
      <w:r>
        <w:t xml:space="preserve">nelle ultime settimane, e per chi l’ha visto comparire per la prima volta dopo i cinquant’anni.</w:t>
      </w:r>
    </w:p>
    <w:p>
      <w:pPr>
        <w:pStyle w:val="Compact"/>
        <w:numPr>
          <w:ilvl w:val="0"/>
          <w:numId w:val="1003"/>
        </w:numPr>
      </w:pPr>
      <w:r>
        <w:rPr>
          <w:b/>
          <w:bCs/>
        </w:rPr>
        <w:t xml:space="preserve">Chi prende farmaci che fluidificano il sangue</w:t>
      </w:r>
      <w:r>
        <w:t xml:space="preserve"> </w:t>
      </w:r>
      <w:r>
        <w:t xml:space="preserve">— anticoagulanti o antiaggreganti. In lui una cefalea nuova o cambiata è una riga di invio, anche senza un trauma ricordato.</w:t>
      </w:r>
    </w:p>
    <w:p>
      <w:pPr>
        <w:pStyle w:val="Compact"/>
        <w:numPr>
          <w:ilvl w:val="0"/>
          <w:numId w:val="1003"/>
        </w:numPr>
      </w:pPr>
      <w:r>
        <w:rPr>
          <w:b/>
          <w:bCs/>
        </w:rPr>
        <w:t xml:space="preserve">Chi si sveglia quasi ogni mattina con la fascia stretta.</w:t>
      </w:r>
      <w:r>
        <w:t xml:space="preserve"> </w:t>
      </w:r>
      <w:r>
        <w:t xml:space="preserve">Chiedi se russa, se il partner gli ha riferito pause respiratorie, se si addormenta di giorno.</w:t>
      </w:r>
    </w:p>
    <w:p>
      <w:pPr>
        <w:pStyle w:val="Compact"/>
        <w:numPr>
          <w:ilvl w:val="0"/>
          <w:numId w:val="1003"/>
        </w:numPr>
      </w:pPr>
      <w:r>
        <w:rPr>
          <w:b/>
          <w:bCs/>
        </w:rPr>
        <w:t xml:space="preserve">L’over 70, l’adolescente, la gravida, chi ha ansia o depressione diagnosticata.</w:t>
      </w:r>
      <w:r>
        <w:t xml:space="preserve"> </w:t>
      </w:r>
      <w:r>
        <w:t xml:space="preserve">Non hanno una cefalea diversa. Hanno una probabilità diversa di secondaria, e una politerapia che questa Bibbia non ha misurato. E i due strumenti attivi di «Cosa può fare il paziente da solo» sono studiati su impiegati e adulti di mezza età, non su di loro. La comorbilità ansia-depressione qui cresce con la frequenza degli attacchi (Song,</w:t>
      </w:r>
      <w:r>
        <w:t xml:space="preserve"> </w:t>
      </w:r>
      <w:r>
        <w:rPr>
          <w:i/>
          <w:iCs/>
        </w:rPr>
        <w:t xml:space="preserve">PLoS One</w:t>
      </w:r>
      <w:r>
        <w:t xml:space="preserve"> </w:t>
      </w:r>
      <w:r>
        <w:t xml:space="preserve">2016, PMID 27783660): ha un percorso suo e un altro medico.</w:t>
      </w:r>
    </w:p>
    <w:bookmarkEnd w:id="14"/>
    <w:bookmarkStart w:id="15" w:name="le-tre-domande-che-ti-farà"/>
    <w:p>
      <w:pPr>
        <w:pStyle w:val="Heading3"/>
      </w:pPr>
      <w:r>
        <w:t xml:space="preserve">Le tre domande che ti farà</w:t>
      </w:r>
    </w:p>
    <w:p>
      <w:pPr>
        <w:pStyle w:val="FirstParagraph"/>
      </w:pPr>
      <w:r>
        <w:rPr>
          <w:i/>
          <w:iCs/>
        </w:rPr>
        <w:t xml:space="preserve">“Ho fatto TAC e risonanza, tutto a posto. Quindi?”</w:t>
      </w:r>
      <w:r>
        <w:t xml:space="preserve"> </w:t>
      </w:r>
      <w:r>
        <w:t xml:space="preserve">— risponde «Che cos’è davvero».</w:t>
      </w:r>
    </w:p>
    <w:p>
      <w:pPr>
        <w:pStyle w:val="BodyText"/>
      </w:pPr>
      <w:r>
        <w:rPr>
          <w:i/>
          <w:iCs/>
        </w:rPr>
        <w:t xml:space="preserve">“È mal di testa: cosa c’entra il collo?”</w:t>
      </w:r>
      <w:r>
        <w:t xml:space="preserve"> </w:t>
      </w:r>
      <w:r>
        <w:t xml:space="preserve">— risponde «Cosa si rompe».</w:t>
      </w:r>
    </w:p>
    <w:p>
      <w:pPr>
        <w:pStyle w:val="BodyText"/>
      </w:pPr>
      <w:r>
        <w:rPr>
          <w:i/>
          <w:iCs/>
        </w:rPr>
        <w:t xml:space="preserve">“Mi promettete che passa?”</w:t>
      </w:r>
      <w:r>
        <w:t xml:space="preserve"> </w:t>
      </w:r>
      <w:r>
        <w:t xml:space="preserve">— risponde «Cosa dice la scienza», e la risposta è no.</w:t>
      </w:r>
    </w:p>
    <w:p>
      <w:pPr>
        <w:pStyle w:val="BodyText"/>
      </w:pPr>
      <w:r>
        <w:t xml:space="preserve">E c’è una domanda che fai tu, perché apre metà del capitolo dei sottotipi:</w:t>
      </w:r>
      <w:r>
        <w:t xml:space="preserve"> </w:t>
      </w:r>
      <w:r>
        <w:rPr>
          <w:b/>
          <w:bCs/>
        </w:rPr>
        <w:t xml:space="preserve">“a che ora è al peggio, e com’è appena sveglio?”</w:t>
      </w:r>
    </w:p>
    <w:p>
      <w:pPr>
        <w:pStyle w:val="BodyText"/>
      </w:pPr>
      <w:r>
        <w:rPr>
          <w:b/>
          <w:bCs/>
        </w:rPr>
        <w:t xml:space="preserve">Le tre cose da ricordare, più una</w:t>
      </w:r>
    </w:p>
    <w:p>
      <w:pPr>
        <w:pStyle w:val="Compact"/>
        <w:numPr>
          <w:ilvl w:val="0"/>
          <w:numId w:val="1004"/>
        </w:numPr>
      </w:pPr>
      <w:r>
        <w:t xml:space="preserve">Il suo esito non è quanto fa male: sono i giorni al mese e le pastiglie a settimana, contati</w:t>
      </w:r>
      <w:r>
        <w:t xml:space="preserve"> </w:t>
      </w:r>
      <w:r>
        <w:rPr>
          <w:b/>
          <w:bCs/>
        </w:rPr>
        <w:t xml:space="preserve">in avanti</w:t>
      </w:r>
      <w:r>
        <w:t xml:space="preserve"> </w:t>
      </w:r>
      <w:r>
        <w:t xml:space="preserve">su un diario tenuto da oggi, non ricostruiti a memoria.</w:t>
      </w:r>
    </w:p>
    <w:p>
      <w:pPr>
        <w:pStyle w:val="Compact"/>
        <w:numPr>
          <w:ilvl w:val="0"/>
          <w:numId w:val="1004"/>
        </w:numPr>
      </w:pPr>
      <w:r>
        <w:t xml:space="preserve">L’orario glielo fai dire per primo. Un dolore che cresce verso sera si accumula, e l’accumulo si può interrompere; un dolore che c’è già al risveglio è un’altra storia.</w:t>
      </w:r>
    </w:p>
    <w:p>
      <w:pPr>
        <w:pStyle w:val="Compact"/>
        <w:numPr>
          <w:ilvl w:val="0"/>
          <w:numId w:val="1004"/>
        </w:numPr>
      </w:pPr>
      <w:r>
        <w:t xml:space="preserve">Serramento dei denti e ore allo schermo li nomina per ultimi, come dettagli. Per te sono anamnesi.</w:t>
      </w:r>
    </w:p>
    <w:p>
      <w:pPr>
        <w:pStyle w:val="Compact"/>
        <w:numPr>
          <w:ilvl w:val="0"/>
          <w:numId w:val="1004"/>
        </w:numPr>
      </w:pPr>
      <w:r>
        <w:rPr>
          <w:b/>
          <w:bCs/>
        </w:rPr>
        <w:t xml:space="preserve">Perché ci sei tu.</w:t>
      </w:r>
      <w:r>
        <w:t xml:space="preserve"> </w:t>
      </w:r>
      <w:r>
        <w:t xml:space="preserve">Su 797 persone della popolazione generale, l’88% di chi aveva cefalea tensiva pura riferiva dolore al collo nell’ultimo anno. Fra chi non aveva mal di testa, la quota era il 57% (Ashina S,</w:t>
      </w:r>
      <w:r>
        <w:t xml:space="preserve"> </w:t>
      </w:r>
      <w:r>
        <w:rPr>
          <w:i/>
          <w:iCs/>
        </w:rPr>
        <w:t xml:space="preserve">Cephalalgia</w:t>
      </w:r>
      <w:r>
        <w:t xml:space="preserve"> </w:t>
      </w:r>
      <w:r>
        <w:t xml:space="preserve">2015, PMID 24853166). Ti autorizza a esaminare il collo di ogni paziente con questo mal di testa, di routine. Non ti autorizza a dire che il collo è la causa: quel numero dice che le due cose stanno insieme, non che una produce l’altra.</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è il disturbo neurologico più diffuso del mondo, si diagnostica per esclusione e per forma del dolore, e quasi metà delle persone guarisce da sola in dodici anni — e quel dato vincola come misuri il tuo lavoro.</w:t>
      </w:r>
    </w:p>
    <w:bookmarkStart w:id="17" w:name="la-definizione"/>
    <w:p>
      <w:pPr>
        <w:pStyle w:val="Heading3"/>
      </w:pPr>
      <w:r>
        <w:t xml:space="preserve">La definizione</w:t>
      </w:r>
    </w:p>
    <w:p>
      <w:pPr>
        <w:pStyle w:val="FirstParagraph"/>
      </w:pPr>
      <w:r>
        <w:t xml:space="preserve">La cefalea di tipo tensivo è una cefalea primaria ricorrente.</w:t>
      </w:r>
      <w:r>
        <w:t xml:space="preserve"> </w:t>
      </w:r>
      <w:r>
        <w:t xml:space="preserve">“Primaria”</w:t>
      </w:r>
      <w:r>
        <w:t xml:space="preserve"> </w:t>
      </w:r>
      <w:r>
        <w:t xml:space="preserve">significa due cose: non c’è una lesione da trovare, e il mal di testa è la malattia, non il sintomo di qualcos’altro.</w:t>
      </w:r>
    </w:p>
    <w:p>
      <w:pPr>
        <w:pStyle w:val="BodyText"/>
      </w:pPr>
      <w:r>
        <w:t xml:space="preserve">I criteri internazionali (ICHD-3, voci 2.1-2.3) chiedono quattro cose. Vanno sapute per intero, perché decidono chi resta e chi esce.</w:t>
      </w:r>
    </w:p>
    <w:p>
      <w:pPr>
        <w:pStyle w:val="Compact"/>
        <w:numPr>
          <w:ilvl w:val="0"/>
          <w:numId w:val="1005"/>
        </w:numPr>
      </w:pPr>
      <w:r>
        <w:rPr>
          <w:b/>
          <w:bCs/>
        </w:rPr>
        <w:t xml:space="preserve">Almeno dieci episodi</w:t>
      </w:r>
      <w:r>
        <w:t xml:space="preserve"> </w:t>
      </w:r>
      <w:r>
        <w:t xml:space="preserve">già avvenuti.</w:t>
      </w:r>
    </w:p>
    <w:p>
      <w:pPr>
        <w:pStyle w:val="Compact"/>
        <w:numPr>
          <w:ilvl w:val="0"/>
          <w:numId w:val="1005"/>
        </w:numPr>
      </w:pPr>
      <w:r>
        <w:rPr>
          <w:b/>
          <w:bCs/>
        </w:rPr>
        <w:t xml:space="preserve">Durata da trenta minuti a sette giorni.</w:t>
      </w:r>
      <w:r>
        <w:t xml:space="preserve"> </w:t>
      </w:r>
      <w:r>
        <w:t xml:space="preserve">Separa questa cefalea dalle forme a durata breve e da quelle continue.</w:t>
      </w:r>
    </w:p>
    <w:p>
      <w:pPr>
        <w:pStyle w:val="Compact"/>
        <w:numPr>
          <w:ilvl w:val="0"/>
          <w:numId w:val="1005"/>
        </w:numPr>
      </w:pPr>
      <w:r>
        <w:rPr>
          <w:b/>
          <w:bCs/>
        </w:rPr>
        <w:t xml:space="preserve">Almeno due</w:t>
      </w:r>
      <w:r>
        <w:t xml:space="preserve"> </w:t>
      </w:r>
      <w:r>
        <w:t xml:space="preserve">fra: sede</w:t>
      </w:r>
      <w:r>
        <w:t xml:space="preserve"> </w:t>
      </w:r>
      <w:r>
        <w:rPr>
          <w:b/>
          <w:bCs/>
        </w:rPr>
        <w:t xml:space="preserve">bilaterale</w:t>
      </w:r>
      <w:r>
        <w:t xml:space="preserve">; qualità</w:t>
      </w:r>
      <w:r>
        <w:t xml:space="preserve"> </w:t>
      </w:r>
      <w:r>
        <w:rPr>
          <w:b/>
          <w:bCs/>
        </w:rPr>
        <w:t xml:space="preserve">premente</w:t>
      </w:r>
      <w:r>
        <w:t xml:space="preserve">, non pulsante; intensità</w:t>
      </w:r>
      <w:r>
        <w:t xml:space="preserve"> </w:t>
      </w:r>
      <w:r>
        <w:rPr>
          <w:b/>
          <w:bCs/>
        </w:rPr>
        <w:t xml:space="preserve">da lieve a moderata</w:t>
      </w:r>
      <w:r>
        <w:t xml:space="preserve">;</w:t>
      </w:r>
      <w:r>
        <w:t xml:space="preserve"> </w:t>
      </w:r>
      <w:r>
        <w:rPr>
          <w:b/>
          <w:bCs/>
        </w:rPr>
        <w:t xml:space="preserve">nessun peggioramento</w:t>
      </w:r>
      <w:r>
        <w:t xml:space="preserve"> </w:t>
      </w:r>
      <w:r>
        <w:t xml:space="preserve">con l’attività fisica ordinaria.</w:t>
      </w:r>
    </w:p>
    <w:p>
      <w:pPr>
        <w:pStyle w:val="Compact"/>
        <w:numPr>
          <w:ilvl w:val="0"/>
          <w:numId w:val="1005"/>
        </w:numPr>
      </w:pPr>
      <w:r>
        <w:rPr>
          <w:b/>
          <w:bCs/>
        </w:rPr>
        <w:t xml:space="preserve">Niente nausea da moderata a intensa e niente vomito.</w:t>
      </w:r>
      <w:r>
        <w:t xml:space="preserve"> </w:t>
      </w:r>
      <w:r>
        <w:t xml:space="preserve">E non più di uno fra fastidio alla luce e al rumore. Nella</w:t>
      </w:r>
      <w:r>
        <w:t xml:space="preserve"> </w:t>
      </w:r>
      <w:r>
        <w:rPr>
          <w:b/>
          <w:bCs/>
        </w:rPr>
        <w:t xml:space="preserve">forma cronica</w:t>
      </w:r>
      <w:r>
        <w:t xml:space="preserve"> </w:t>
      </w:r>
      <w:r>
        <w:t xml:space="preserve">il criterio è più largo: sono ammesse una nausea lieve, oppure fotofobia o fonofobia (Ashina S,</w:t>
      </w:r>
      <w:r>
        <w:t xml:space="preserve"> </w:t>
      </w:r>
      <w:r>
        <w:rPr>
          <w:i/>
          <w:iCs/>
        </w:rPr>
        <w:t xml:space="preserve">Nat Rev Dis Primers</w:t>
      </w:r>
      <w:r>
        <w:t xml:space="preserve"> </w:t>
      </w:r>
      <w:r>
        <w:t xml:space="preserve">2021, PMID 33767185).</w:t>
      </w:r>
    </w:p>
    <w:p>
      <w:pPr>
        <w:pStyle w:val="FirstParagraph"/>
      </w:pPr>
      <w:r>
        <w:t xml:space="preserve">Si divide per frequenza:</w:t>
      </w:r>
      <w:r>
        <w:t xml:space="preserve"> </w:t>
      </w:r>
      <w:r>
        <w:rPr>
          <w:b/>
          <w:bCs/>
        </w:rPr>
        <w:t xml:space="preserve">episodica sporadica</w:t>
      </w:r>
      <w:r>
        <w:t xml:space="preserve"> </w:t>
      </w:r>
      <w:r>
        <w:t xml:space="preserve">(meno di un giorno al mese),</w:t>
      </w:r>
      <w:r>
        <w:t xml:space="preserve"> </w:t>
      </w:r>
      <w:r>
        <w:rPr>
          <w:b/>
          <w:bCs/>
        </w:rPr>
        <w:t xml:space="preserve">episodica frequente</w:t>
      </w:r>
      <w:r>
        <w:t xml:space="preserve"> </w:t>
      </w:r>
      <w:r>
        <w:t xml:space="preserve">(da uno a quattordici) e</w:t>
      </w:r>
      <w:r>
        <w:t xml:space="preserve"> </w:t>
      </w:r>
      <w:r>
        <w:rPr>
          <w:b/>
          <w:bCs/>
        </w:rPr>
        <w:t xml:space="preserve">cronica</w:t>
      </w:r>
      <w:r>
        <w:t xml:space="preserve"> </w:t>
      </w:r>
      <w:r>
        <w:t xml:space="preserve">(quindici o più, per almeno tre mesi). Ogni forma si divide ancora in due, a seconda che ci sia o no</w:t>
      </w:r>
      <w:r>
        <w:t xml:space="preserve"> </w:t>
      </w:r>
      <w:r>
        <w:rPr>
          <w:b/>
          <w:bCs/>
        </w:rPr>
        <w:t xml:space="preserve">dolore pericranico alla palpazione</w:t>
      </w:r>
      <w:r>
        <w:t xml:space="preserve">. È l’unica cosa nella classificazione internazionale delle cefalee che si stabilisce con le mani, ed è tua.</w:t>
      </w:r>
    </w:p>
    <w:p>
      <w:pPr>
        <w:pStyle w:val="BlockText"/>
      </w:pPr>
      <w:r>
        <w:rPr>
          <w:b/>
          <w:bCs/>
        </w:rPr>
        <w:t xml:space="preserve">Cosa cambia per te.</w:t>
      </w:r>
      <w:r>
        <w:t xml:space="preserve"> </w:t>
      </w:r>
      <w:r>
        <w:t xml:space="preserve">Le parole che userai in stanza sono</w:t>
      </w:r>
      <w:r>
        <w:t xml:space="preserve"> </w:t>
      </w:r>
      <w:r>
        <w:rPr>
          <w:b/>
          <w:bCs/>
        </w:rPr>
        <w:t xml:space="preserve">bilaterale</w:t>
      </w:r>
      <w:r>
        <w:t xml:space="preserve">,</w:t>
      </w:r>
      <w:r>
        <w:t xml:space="preserve"> </w:t>
      </w:r>
      <w:r>
        <w:rPr>
          <w:b/>
          <w:bCs/>
        </w:rPr>
        <w:t xml:space="preserve">premente</w:t>
      </w:r>
      <w:r>
        <w:t xml:space="preserve"> </w:t>
      </w:r>
      <w:r>
        <w:t xml:space="preserve">e</w:t>
      </w:r>
      <w:r>
        <w:t xml:space="preserve"> </w:t>
      </w:r>
      <w:r>
        <w:rPr>
          <w:b/>
          <w:bCs/>
        </w:rPr>
        <w:t xml:space="preserve">non peggiora col movimento</w:t>
      </w:r>
      <w:r>
        <w:t xml:space="preserve">. Ma il criterio ne chiede</w:t>
      </w:r>
      <w:r>
        <w:t xml:space="preserve"> </w:t>
      </w:r>
      <w:r>
        <w:rPr>
          <w:b/>
          <w:bCs/>
        </w:rPr>
        <w:t xml:space="preserve">due su quattro</w:t>
      </w:r>
      <w:r>
        <w:t xml:space="preserve">, non tutte. Un mal di testa unilaterale, premente, lieve e che non peggiora salendo le scale soddisfa il criterio ed è tensivo. Quello che ti sposta di Bibbia è il</w:t>
      </w:r>
      <w:r>
        <w:t xml:space="preserve"> </w:t>
      </w:r>
      <w:r>
        <w:rPr>
          <w:b/>
          <w:bCs/>
        </w:rPr>
        <w:t xml:space="preserve">pattern intero</w:t>
      </w:r>
      <w:r>
        <w:t xml:space="preserve">: se batte, sta sempre dallo stesso lato, costringe a fermarsi e porta nausea vera, sei nell’emicrania.</w:t>
      </w:r>
    </w:p>
    <w:bookmarkEnd w:id="17"/>
    <w:bookmarkStart w:id="18" w:name="quanto-è-diffusa"/>
    <w:p>
      <w:pPr>
        <w:pStyle w:val="Heading3"/>
      </w:pPr>
      <w:r>
        <w:t xml:space="preserve">Quanto è diffusa</w:t>
      </w:r>
    </w:p>
    <w:p>
      <w:pPr>
        <w:pStyle w:val="FirstParagraph"/>
      </w:pPr>
      <w:r>
        <w:t xml:space="preserve">La prevalenza globale stimata è del</w:t>
      </w:r>
      <w:r>
        <w:t xml:space="preserve"> </w:t>
      </w:r>
      <w:r>
        <w:rPr>
          <w:b/>
          <w:bCs/>
        </w:rPr>
        <w:t xml:space="preserve">26%</w:t>
      </w:r>
      <w:r>
        <w:t xml:space="preserve">. Il 4,6% della popolazione ha mal di testa quindici giorni al mese o più, di qualunque tipo (Stovner,</w:t>
      </w:r>
      <w:r>
        <w:t xml:space="preserve"> </w:t>
      </w:r>
      <w:r>
        <w:rPr>
          <w:i/>
          <w:iCs/>
        </w:rPr>
        <w:t xml:space="preserve">J Headache Pain</w:t>
      </w:r>
      <w:r>
        <w:t xml:space="preserve"> </w:t>
      </w:r>
      <w:r>
        <w:t xml:space="preserve">2022, PMID 35410119). È il disturbo neurologico più prevalente al mondo.</w:t>
      </w:r>
      <w:r>
        <w:t xml:space="preserve"> </w:t>
      </w:r>
      <w:r>
        <w:rPr>
          <w:b/>
          <w:bCs/>
        </w:rPr>
        <w:t xml:space="preserve">Per te:</w:t>
      </w:r>
      <w:r>
        <w:t xml:space="preserve"> </w:t>
      </w:r>
      <w:r>
        <w:t xml:space="preserve">una persona su quattro in sala d’attesa ce l’ha, e quasi nessuna è venuta per quella. Se non chiedi del mal di testa a chi entra per la cervicale, non te lo racconta — lo considera normale.</w:t>
      </w:r>
    </w:p>
    <w:bookmarkEnd w:id="18"/>
    <w:bookmarkStart w:id="19" w:name="come-evolve-se-non-fai-nulla"/>
    <w:p>
      <w:pPr>
        <w:pStyle w:val="Heading3"/>
      </w:pPr>
      <w:r>
        <w:t xml:space="preserve">Come evolve se non fai nulla</w:t>
      </w:r>
    </w:p>
    <w:p>
      <w:pPr>
        <w:pStyle w:val="FirstParagraph"/>
      </w:pPr>
      <w:r>
        <w:t xml:space="preserve">Bene, nella maggior parte dei casi. È il dato che ti impedisce di prenderti meriti che non sono tuoi.</w:t>
      </w:r>
    </w:p>
    <w:p>
      <w:pPr>
        <w:pStyle w:val="BodyText"/>
      </w:pPr>
      <w:r>
        <w:t xml:space="preserve">Sono state seguite per dodici anni 161 persone con forma frequente o cronica. Il</w:t>
      </w:r>
      <w:r>
        <w:t xml:space="preserve"> </w:t>
      </w:r>
      <w:r>
        <w:rPr>
          <w:b/>
          <w:bCs/>
        </w:rPr>
        <w:t xml:space="preserve">45% è passato a episodi rari o nessuno</w:t>
      </w:r>
      <w:r>
        <w:t xml:space="preserve">. Il 39% è rimasto episodico frequente. Il</w:t>
      </w:r>
      <w:r>
        <w:t xml:space="preserve"> </w:t>
      </w:r>
      <w:r>
        <w:rPr>
          <w:b/>
          <w:bCs/>
        </w:rPr>
        <w:t xml:space="preserve">16% è peggiorato</w:t>
      </w:r>
      <w:r>
        <w:t xml:space="preserve"> </w:t>
      </w:r>
      <w:r>
        <w:t xml:space="preserve">fino alla forma cronica: più probabile in chi partiva già cronico, in chi aveva anche emicrania, in chi non era sposato e in chi dormiva male (Lyngberg,</w:t>
      </w:r>
      <w:r>
        <w:t xml:space="preserve"> </w:t>
      </w:r>
      <w:r>
        <w:rPr>
          <w:i/>
          <w:iCs/>
        </w:rPr>
        <w:t xml:space="preserve">Neurology</w:t>
      </w:r>
      <w:r>
        <w:t xml:space="preserve"> </w:t>
      </w:r>
      <w:r>
        <w:t xml:space="preserve">2005, PMID 16116119).</w:t>
      </w:r>
    </w:p>
    <w:p>
      <w:pPr>
        <w:pStyle w:val="BodyText"/>
      </w:pPr>
      <w:r>
        <w:rPr>
          <w:b/>
          <w:bCs/>
        </w:rPr>
        <w:t xml:space="preserve">Per te:</w:t>
      </w:r>
      <w:r>
        <w:t xml:space="preserve"> </w:t>
      </w:r>
      <w:r>
        <w:t xml:space="preserve">tre conseguenze. La prima.</w:t>
      </w:r>
      <w:r>
        <w:t xml:space="preserve"> </w:t>
      </w:r>
      <w:r>
        <w:rPr>
          <w:b/>
          <w:bCs/>
        </w:rPr>
        <w:t xml:space="preserve">Non attribuire alla tua mano un miglioramento visto su quattro settimane senza un basale scritto prima.</w:t>
      </w:r>
      <w:r>
        <w:t xml:space="preserve"> </w:t>
      </w:r>
      <w:r>
        <w:t xml:space="preserve">La seconda. Questa condizione</w:t>
      </w:r>
      <w:r>
        <w:t xml:space="preserve"> </w:t>
      </w:r>
      <w:r>
        <w:rPr>
          <w:b/>
          <w:bCs/>
        </w:rPr>
        <w:t xml:space="preserve">fluttua da sola</w:t>
      </w:r>
      <w:r>
        <w:t xml:space="preserve"> </w:t>
      </w:r>
      <w:r>
        <w:t xml:space="preserve">mese su mese, e chi arriva da te arriva quasi sempre in un periodo brutto: una parte del miglioramento a quattro settimane è ritorno alla media, e non è tuo. È la bolletta del mese più freddo: quella dopo scende da sola, e in casa non hai cambiato niente. La terza. I quattro fattori che predicono il peggioramento sono quattro domande da fare in anamnesi, perché ti dicono chi ha bisogno del canale medico e non solo del lettino.</w:t>
      </w:r>
    </w:p>
    <w:bookmarkEnd w:id="19"/>
    <w:bookmarkStart w:id="20" w:name="X6820c7f04c7379b5930bec9ad9aa3ee0e127e21"/>
    <w:p>
      <w:pPr>
        <w:pStyle w:val="Heading3"/>
      </w:pPr>
      <w:r>
        <w:t xml:space="preserve">Cosa dicono le etichette che porta, e cosa non dicono</w:t>
      </w:r>
    </w:p>
    <w:p>
      <w:pPr>
        <w:pStyle w:val="FirstParagraph"/>
      </w:pPr>
      <w:r>
        <w:rPr>
          <w:b/>
          <w:bCs/>
        </w:rPr>
        <w:t xml:space="preserve">“Risonanza encefalo nella norma.”</w:t>
      </w:r>
      <w:r>
        <w:t xml:space="preserve"> </w:t>
      </w:r>
      <w:r>
        <w:t xml:space="preserve">Dice che non c’è una massa, un’idrocefalia, una lesione demielinizzante evidente. Non dice niente su muscoli, articolazioni cervicali e soglia del dolore, che nessun’immagine misura. È un’esclusione riuscita, non una spiegazione.</w:t>
      </w:r>
    </w:p>
    <w:p>
      <w:pPr>
        <w:pStyle w:val="BodyText"/>
      </w:pPr>
      <w:r>
        <w:rPr>
          <w:b/>
          <w:bCs/>
        </w:rPr>
        <w:t xml:space="preserve">“Rettilineizzazione del rachide cervicale.”</w:t>
      </w:r>
      <w:r>
        <w:t xml:space="preserve"> </w:t>
      </w:r>
      <w:r>
        <w:t xml:space="preserve">Non è una diagnosi: nella popolazione senza dolore si trova con frequenza simile. È la descrizione di una forma su una singola immagine, non un guasto.</w:t>
      </w:r>
    </w:p>
    <w:p>
      <w:pPr>
        <w:pStyle w:val="BodyText"/>
      </w:pPr>
      <w:r>
        <w:rPr>
          <w:b/>
          <w:bCs/>
        </w:rPr>
        <w:t xml:space="preserve">“Cefalea muscolo-tensiva da stress.”</w:t>
      </w:r>
      <w:r>
        <w:t xml:space="preserve"> </w:t>
      </w:r>
      <w:r>
        <w:t xml:space="preserve">È l’etichetta che riceve più spesso. Contiene una parte vera — vedi il quinto meccanismo — e produce un danno: fa credere che non ci sia niente di fisico da guardare. Cosa gli si dice sta in «Cosa dire al paziente», ed è la risposta più importante del documento.</w:t>
      </w:r>
    </w:p>
    <w:bookmarkEnd w:id="20"/>
    <w:bookmarkStart w:id="21" w:name="cosa-non-è"/>
    <w:p>
      <w:pPr>
        <w:pStyle w:val="Heading3"/>
      </w:pPr>
      <w:r>
        <w:t xml:space="preserve">Cosa non è</w:t>
      </w:r>
    </w:p>
    <w:p>
      <w:pPr>
        <w:pStyle w:val="Compact"/>
        <w:numPr>
          <w:ilvl w:val="0"/>
          <w:numId w:val="1006"/>
        </w:numPr>
      </w:pPr>
      <w:r>
        <w:rPr>
          <w:b/>
          <w:bCs/>
        </w:rPr>
        <w:t xml:space="preserve">Emicrania senza aura.</w:t>
      </w:r>
      <w:r>
        <w:t xml:space="preserve"> </w:t>
      </w:r>
      <w:r>
        <w:t xml:space="preserve">Batte, sta da un lato, peggiora salendo le scale, spegne l’appetito. Con nausea vera, oppure con fotofobia e fonofobia insieme e forti, non è questa condizione. Vedi la</w:t>
      </w:r>
      <w:r>
        <w:t xml:space="preserve"> </w:t>
      </w:r>
      <w:r>
        <w:rPr>
          <w:b/>
          <w:bCs/>
        </w:rPr>
        <w:t xml:space="preserve">Bibbia dell’Emicrania</w:t>
      </w:r>
      <w:r>
        <w:t xml:space="preserve">.</w:t>
      </w:r>
    </w:p>
    <w:p>
      <w:pPr>
        <w:pStyle w:val="Compact"/>
        <w:numPr>
          <w:ilvl w:val="0"/>
          <w:numId w:val="1006"/>
        </w:numPr>
      </w:pPr>
      <w:r>
        <w:rPr>
          <w:b/>
          <w:bCs/>
        </w:rPr>
        <w:t xml:space="preserve">Cefalea cervicogenica.</w:t>
      </w:r>
      <w:r>
        <w:t xml:space="preserve"> </w:t>
      </w:r>
      <w:r>
        <w:rPr>
          <w:b/>
          <w:bCs/>
        </w:rPr>
        <w:t xml:space="preserve">Unilaterale e sempre dallo stesso lato</w:t>
      </w:r>
      <w:r>
        <w:t xml:space="preserve">, si riproduce con i movimenti del collo, con mobilità ridotta. È secondaria, con criteri suoi. Vedi la</w:t>
      </w:r>
      <w:r>
        <w:t xml:space="preserve"> </w:t>
      </w:r>
      <w:r>
        <w:rPr>
          <w:b/>
          <w:bCs/>
        </w:rPr>
        <w:t xml:space="preserve">Bibbia della Cervicalgia</w:t>
      </w:r>
      <w:r>
        <w:t xml:space="preserve">.</w:t>
      </w:r>
    </w:p>
    <w:p>
      <w:pPr>
        <w:pStyle w:val="Compact"/>
        <w:numPr>
          <w:ilvl w:val="0"/>
          <w:numId w:val="1006"/>
        </w:numPr>
      </w:pPr>
      <w:r>
        <w:rPr>
          <w:b/>
          <w:bCs/>
        </w:rPr>
        <w:t xml:space="preserve">Cefalea da uso eccessivo di farmaci.</w:t>
      </w:r>
      <w:r>
        <w:t xml:space="preserve"> </w:t>
      </w:r>
      <w:r>
        <w:t xml:space="preserve">Analgesici semplici quindici giorni al mese o più, oppure combinazioni e triptani dieci o più, da almeno tre mesi. La prevalenza stimata sta fra 0,5% e 7,2%, e la forbice è larga perché ogni studio definisce diversamente l’uso eccessivo (Westergaard,</w:t>
      </w:r>
      <w:r>
        <w:t xml:space="preserve"> </w:t>
      </w:r>
      <w:r>
        <w:rPr>
          <w:i/>
          <w:iCs/>
        </w:rPr>
        <w:t xml:space="preserve">Cephalalgia</w:t>
      </w:r>
      <w:r>
        <w:t xml:space="preserve"> </w:t>
      </w:r>
      <w:r>
        <w:t xml:space="preserve">2014, PMID 24293089).</w:t>
      </w:r>
      <w:r>
        <w:t xml:space="preserve"> </w:t>
      </w:r>
      <w:r>
        <w:rPr>
          <w:b/>
          <w:bCs/>
        </w:rPr>
        <w:t xml:space="preserve">Per te:</w:t>
      </w:r>
      <w:r>
        <w:t xml:space="preserve"> </w:t>
      </w:r>
      <w:r>
        <w:t xml:space="preserve">non è una diagnosi che poni, è un conteggio che fai — venti secondi, e cambia l’uscita del triage.</w:t>
      </w:r>
    </w:p>
    <w:p>
      <w:pPr>
        <w:pStyle w:val="Compact"/>
        <w:numPr>
          <w:ilvl w:val="0"/>
          <w:numId w:val="1006"/>
        </w:numPr>
      </w:pPr>
      <w:r>
        <w:rPr>
          <w:b/>
          <w:bCs/>
        </w:rPr>
        <w:t xml:space="preserve">Cefalea da apnea nel sonno</w:t>
      </w:r>
      <w:r>
        <w:t xml:space="preserve"> </w:t>
      </w:r>
      <w:r>
        <w:t xml:space="preserve">(ICHD-3 10.1.4). Bilaterale, premente, al risveglio, spesso quindici giorni al mese o più, e si esaurisce entro quattro ore. È il sosia perfetto della forma cronica, e si risolve trattando l’apnea. Fra i pazienti con apnee notturne e cefalea mattutina, l’81,3% soddisfa quei criteri (Suzuki,</w:t>
      </w:r>
      <w:r>
        <w:t xml:space="preserve"> </w:t>
      </w:r>
      <w:r>
        <w:rPr>
          <w:i/>
          <w:iCs/>
        </w:rPr>
        <w:t xml:space="preserve">J Headache Pain</w:t>
      </w:r>
      <w:r>
        <w:t xml:space="preserve"> </w:t>
      </w:r>
      <w:r>
        <w:t xml:space="preserve">2015, PMID 26103955).</w:t>
      </w:r>
    </w:p>
    <w:p>
      <w:pPr>
        <w:pStyle w:val="Compact"/>
        <w:numPr>
          <w:ilvl w:val="0"/>
          <w:numId w:val="1006"/>
        </w:numPr>
      </w:pPr>
      <w:r>
        <w:rPr>
          <w:b/>
          <w:bCs/>
        </w:rPr>
        <w:t xml:space="preserve">Cefalea da sospensione di caffeina</w:t>
      </w:r>
      <w:r>
        <w:t xml:space="preserve"> </w:t>
      </w:r>
      <w:r>
        <w:t xml:space="preserve">(ICHD-3 8.3.1). Il mal di testa è il sintomo più frequente della sospensione, con incidenza del 50% (Juliano,</w:t>
      </w:r>
      <w:r>
        <w:t xml:space="preserve"> </w:t>
      </w:r>
      <w:r>
        <w:rPr>
          <w:i/>
          <w:iCs/>
        </w:rPr>
        <w:t xml:space="preserve">Psychopharmacology</w:t>
      </w:r>
      <w:r>
        <w:t xml:space="preserve"> </w:t>
      </w:r>
      <w:r>
        <w:t xml:space="preserve">2004, PMID 15448977). Il calendario è</w:t>
      </w:r>
      <w:r>
        <w:t xml:space="preserve"> </w:t>
      </w:r>
      <w:r>
        <w:rPr>
          <w:b/>
          <w:bCs/>
        </w:rPr>
        <w:t xml:space="preserve">invertito</w:t>
      </w:r>
      <w:r>
        <w:t xml:space="preserve"> </w:t>
      </w:r>
      <w:r>
        <w:t xml:space="preserve">rispetto al carico statico: peggiora nei giorni liberi. I tempi stanno nel box «Il contro-segnale» di «Cosa si rompe».</w:t>
      </w:r>
    </w:p>
    <w:p>
      <w:pPr>
        <w:pStyle w:val="Compact"/>
        <w:numPr>
          <w:ilvl w:val="0"/>
          <w:numId w:val="1006"/>
        </w:numPr>
      </w:pPr>
      <w:r>
        <w:rPr>
          <w:b/>
          <w:bCs/>
        </w:rPr>
        <w:t xml:space="preserve">Cefalea secondaria a una causa da escludere.</w:t>
      </w:r>
      <w:r>
        <w:t xml:space="preserve"> </w:t>
      </w:r>
      <w:r>
        <w:t xml:space="preserve">Vedi «Dove finisce il nostro campo».</w:t>
      </w:r>
    </w:p>
    <w:p>
      <w:pPr>
        <w:pStyle w:val="FirstParagraph"/>
      </w:pPr>
      <w:r>
        <w:rPr>
          <w:b/>
          <w:bCs/>
        </w:rPr>
        <w:t xml:space="preserve">Le tre cose da ricordare, più una</w:t>
      </w:r>
    </w:p>
    <w:p>
      <w:pPr>
        <w:pStyle w:val="Compact"/>
        <w:numPr>
          <w:ilvl w:val="0"/>
          <w:numId w:val="1007"/>
        </w:numPr>
      </w:pPr>
      <w:r>
        <w:t xml:space="preserve">Due caratteristiche su quattro, durata fra mezz’ora e sette giorni, almeno dieci episodi. Se il pattern non torna, cambia Bibbia prima di cambiare tecnica.</w:t>
      </w:r>
    </w:p>
    <w:p>
      <w:pPr>
        <w:pStyle w:val="Compact"/>
        <w:numPr>
          <w:ilvl w:val="0"/>
          <w:numId w:val="1007"/>
        </w:numPr>
      </w:pPr>
      <w:r>
        <w:t xml:space="preserve">Il dolore pericranico alla palpazione è l’unico elemento della classificazione internazionale che si stabilisce con le mani, e quasi nessuno lo mette in cartella. Registralo.</w:t>
      </w:r>
    </w:p>
    <w:p>
      <w:pPr>
        <w:pStyle w:val="Compact"/>
        <w:numPr>
          <w:ilvl w:val="0"/>
          <w:numId w:val="1007"/>
        </w:numPr>
      </w:pPr>
      <w:r>
        <w:t xml:space="preserve">Chiedi sempre il conteggio delle pastiglie e com’è al risveglio: separano un paziente tuo da uno da rimandare al curante.</w:t>
      </w:r>
    </w:p>
    <w:p>
      <w:pPr>
        <w:pStyle w:val="Compact"/>
        <w:numPr>
          <w:ilvl w:val="0"/>
          <w:numId w:val="1007"/>
        </w:numPr>
      </w:pPr>
      <w:r>
        <w:rPr>
          <w:b/>
          <w:bCs/>
        </w:rPr>
        <w:t xml:space="preserve">Perché ci sei tu.</w:t>
      </w:r>
      <w:r>
        <w:t xml:space="preserve"> </w:t>
      </w:r>
      <w:r>
        <w:t xml:space="preserve">Su dodici anni, il 45% di questi pazienti migliora da solo (Lyngberg,</w:t>
      </w:r>
      <w:r>
        <w:t xml:space="preserve"> </w:t>
      </w:r>
      <w:r>
        <w:rPr>
          <w:i/>
          <w:iCs/>
        </w:rPr>
        <w:t xml:space="preserve">Neurology</w:t>
      </w:r>
      <w:r>
        <w:t xml:space="preserve"> </w:t>
      </w:r>
      <w:r>
        <w:t xml:space="preserve">2005, PMID 16116119). Ti autorizza a misurare l’esito su un basale scritto prima di toccare, e su un mese — mai su una seduta. Non ti autorizza a leggere un miglioramento a quattro settimane come prova che il tuo ragionamento era giusto.</w:t>
      </w:r>
    </w:p>
    <w:p>
      <w:r>
        <w:pict>
          <v:rect style="width:0;height:1.5pt" o:hralign="center" o:hrstd="t" o:hr="t"/>
        </w:pict>
      </w:r>
    </w:p>
    <w:bookmarkEnd w:id="21"/>
    <w:bookmarkEnd w:id="22"/>
    <w:bookmarkStart w:id="28" w:name="capitolo-3-le-strutture-in-gioco"/>
    <w:p>
      <w:pPr>
        <w:pStyle w:val="Heading2"/>
      </w:pPr>
      <w:r>
        <w:t xml:space="preserve">Capitolo 3 — Le strutture in gioco</w:t>
      </w:r>
    </w:p>
    <w:p>
      <w:pPr>
        <w:pStyle w:val="BlockText"/>
      </w:pPr>
      <w:r>
        <w:rPr>
          <w:b/>
          <w:bCs/>
        </w:rPr>
        <w:t xml:space="preserve">In una riga:</w:t>
      </w:r>
      <w:r>
        <w:t xml:space="preserve"> </w:t>
      </w:r>
      <w:r>
        <w:t xml:space="preserve">cinque strutture spiegano quasi tutto questo mal di testa, e quattro su cinque le raggiungi con le mani.</w:t>
      </w:r>
    </w:p>
    <w:bookmarkStart w:id="23" w:name="X594b574507afc3270ad41cb2e0dea39387f2009"/>
    <w:p>
      <w:pPr>
        <w:pStyle w:val="Heading3"/>
      </w:pPr>
      <w:r>
        <w:t xml:space="preserve">1. I muscoli pericranici — temporale, massetere, sternocleidomastoideo, trapezio superiore</w:t>
      </w:r>
    </w:p>
    <w:p>
      <w:pPr>
        <w:pStyle w:val="FirstParagraph"/>
      </w:pPr>
      <w:r>
        <w:rPr>
          <w:b/>
          <w:bCs/>
        </w:rPr>
        <w:t xml:space="preserve">Cosa sono.</w:t>
      </w:r>
      <w:r>
        <w:t xml:space="preserve"> </w:t>
      </w:r>
      <w:r>
        <w:t xml:space="preserve">I muscoli che avvolgono cranio e collo. Il metodo internazionale di palpazione li esamina in</w:t>
      </w:r>
      <w:r>
        <w:t xml:space="preserve"> </w:t>
      </w:r>
      <w:r>
        <w:rPr>
          <w:b/>
          <w:bCs/>
        </w:rPr>
        <w:t xml:space="preserve">otto siti per lato</w:t>
      </w:r>
      <w:r>
        <w:t xml:space="preserve">.</w:t>
      </w:r>
    </w:p>
    <w:p>
      <w:pPr>
        <w:pStyle w:val="BodyText"/>
      </w:pPr>
      <w:r>
        <w:rPr>
          <w:b/>
          <w:bCs/>
        </w:rPr>
        <w:t xml:space="preserve">Cosa fanno.</w:t>
      </w:r>
      <w:r>
        <w:t xml:space="preserve"> </w:t>
      </w:r>
      <w:r>
        <w:t xml:space="preserve">Reggono la testa contro la gravità, muovono la mandibola, stabilizzano lo sguardo. Scaleni e sternocleidomastoideo prendono in carico anche il lavoro ventilatorio quando il diaframma lavora poco. Un respiro alto e corto trasferisce così una fatica continua a due muscoli che entrano nel conteggio del dolore pericranico. È un collegamento meccanico, non una teoria dei fluidi.</w:t>
      </w:r>
    </w:p>
    <w:p>
      <w:pPr>
        <w:pStyle w:val="BodyText"/>
      </w:pPr>
      <w:r>
        <w:rPr>
          <w:b/>
          <w:bCs/>
        </w:rPr>
        <w:t xml:space="preserve">Perché contano qui.</w:t>
      </w:r>
      <w:r>
        <w:t xml:space="preserve"> </w:t>
      </w:r>
      <w:r>
        <w:t xml:space="preserve">Sono la sede del reperto meglio documentato dell’intera condizione. Il loro dolore alla palpazione si misura come</w:t>
      </w:r>
      <w:r>
        <w:t xml:space="preserve"> </w:t>
      </w:r>
      <w:r>
        <w:rPr>
          <w:i/>
          <w:iCs/>
        </w:rPr>
        <w:t xml:space="preserve">Total Tenderness Score</w:t>
      </w:r>
      <w:r>
        <w:t xml:space="preserve">, cioè la somma dei punteggi locali. Quel punteggio cresce insieme alla frequenza degli episodi (Jensen,</w:t>
      </w:r>
      <w:r>
        <w:t xml:space="preserve"> </w:t>
      </w:r>
      <w:r>
        <w:rPr>
          <w:i/>
          <w:iCs/>
        </w:rPr>
        <w:t xml:space="preserve">Pain</w:t>
      </w:r>
      <w:r>
        <w:t xml:space="preserve"> </w:t>
      </w:r>
      <w:r>
        <w:t xml:space="preserve">1993, PMID 8455967).</w:t>
      </w:r>
    </w:p>
    <w:p>
      <w:pPr>
        <w:pStyle w:val="BlockText"/>
      </w:pPr>
      <w:r>
        <w:rPr>
          <w:b/>
          <w:bCs/>
        </w:rPr>
        <w:t xml:space="preserve">Definizione.</w:t>
      </w:r>
      <w:r>
        <w:t xml:space="preserve"> </w:t>
      </w:r>
      <w:r>
        <w:t xml:space="preserve">Il</w:t>
      </w:r>
      <w:r>
        <w:t xml:space="preserve"> </w:t>
      </w:r>
      <w:r>
        <w:rPr>
          <w:b/>
          <w:bCs/>
        </w:rPr>
        <w:t xml:space="preserve">Total Tenderness Score</w:t>
      </w:r>
      <w:r>
        <w:t xml:space="preserve"> </w:t>
      </w:r>
      <w:r>
        <w:t xml:space="preserve">si prende su</w:t>
      </w:r>
      <w:r>
        <w:t xml:space="preserve"> </w:t>
      </w:r>
      <w:r>
        <w:rPr>
          <w:b/>
          <w:bCs/>
        </w:rPr>
        <w:t xml:space="preserve">otto siti per lato</w:t>
      </w:r>
      <w:r>
        <w:t xml:space="preserve">: frontale, temporale, massetere, processo coronoideo, processo mastoideo, sternocleidomastoideo, trapezio superiore, inserzioni dei muscoli posteriori del collo. Ogni sito vale da 0 a 3, per un totale da</w:t>
      </w:r>
      <w:r>
        <w:t xml:space="preserve"> </w:t>
      </w:r>
      <w:r>
        <w:rPr>
          <w:b/>
          <w:bCs/>
        </w:rPr>
        <w:t xml:space="preserve">0 a 48</w:t>
      </w:r>
      <w:r>
        <w:t xml:space="preserve">. La pressione è ferma e costante, con piccoli movimenti rotatori del secondo e terzo dito. Resta</w:t>
      </w:r>
      <w:r>
        <w:t xml:space="preserve"> </w:t>
      </w:r>
      <w:r>
        <w:rPr>
          <w:b/>
          <w:bCs/>
        </w:rPr>
        <w:t xml:space="preserve">la stessa su tutti i siti e la stessa prima e dopo</w:t>
      </w:r>
      <w:r>
        <w:t xml:space="preserve">. Fra pazienti diversi il valore assoluto conta poco: conta la variazione dello stesso paziente.</w:t>
      </w:r>
    </w:p>
    <w:bookmarkEnd w:id="23"/>
    <w:bookmarkStart w:id="24" w:name="Xcfb42210f9223929e88ae2f9194a0ebdba27da3"/>
    <w:p>
      <w:pPr>
        <w:pStyle w:val="Heading3"/>
      </w:pPr>
      <w:r>
        <w:t xml:space="preserve">2. I suboccipitali, e il piccolo retto posteriore della testa</w:t>
      </w:r>
    </w:p>
    <w:p>
      <w:pPr>
        <w:pStyle w:val="FirstParagraph"/>
      </w:pPr>
      <w:r>
        <w:rPr>
          <w:b/>
          <w:bCs/>
        </w:rPr>
        <w:t xml:space="preserve">Cosa sono, e cosa fanno.</w:t>
      </w:r>
      <w:r>
        <w:t xml:space="preserve"> </w:t>
      </w:r>
      <w:r>
        <w:t xml:space="preserve">Quattro muscoli corti fra occipite, atlante ed epistrofeo. Non muovono granché: regolano. Sono densissimi di fusi neuromuscolari, cioè di sensori di lunghezza, e dicono al cervello dove sta la testa. Quella è una via</w:t>
      </w:r>
      <w:r>
        <w:t xml:space="preserve"> </w:t>
      </w:r>
      <w:r>
        <w:rPr>
          <w:b/>
          <w:bCs/>
        </w:rPr>
        <w:t xml:space="preserve">propriocettiva, non nocicettiva</w:t>
      </w:r>
      <w:r>
        <w:t xml:space="preserve">. Il dolore, da questi muscoli, passa per un’altra strada: le terminazioni libere di gruppo III e IV.</w:t>
      </w:r>
    </w:p>
    <w:p>
      <w:pPr>
        <w:pStyle w:val="BodyText"/>
      </w:pPr>
      <w:r>
        <w:rPr>
          <w:b/>
          <w:bCs/>
        </w:rPr>
        <w:t xml:space="preserve">Perché contano qui.</w:t>
      </w:r>
      <w:r>
        <w:t xml:space="preserve"> </w:t>
      </w:r>
      <w:r>
        <w:t xml:space="preserve">Il dolore riferito che parte da un punto attivo nei suboccipitali copre un’area</w:t>
      </w:r>
      <w:r>
        <w:t xml:space="preserve"> </w:t>
      </w:r>
      <w:r>
        <w:rPr>
          <w:b/>
          <w:bCs/>
        </w:rPr>
        <w:t xml:space="preserve">più ampia</w:t>
      </w:r>
      <w:r>
        <w:t xml:space="preserve"> </w:t>
      </w:r>
      <w:r>
        <w:t xml:space="preserve">di quello di qualunque altro muscolo di testa e collo (Fernández-de-las-Peñas,</w:t>
      </w:r>
      <w:r>
        <w:t xml:space="preserve"> </w:t>
      </w:r>
      <w:r>
        <w:rPr>
          <w:i/>
          <w:iCs/>
        </w:rPr>
        <w:t xml:space="preserve">J Headache Pain</w:t>
      </w:r>
      <w:r>
        <w:t xml:space="preserve"> </w:t>
      </w:r>
      <w:r>
        <w:t xml:space="preserve">2011, PMID 21359873). È la proiezione più estesa, ed è la più vicina al primo relè. E la loro afferenza, in laboratorio, facilita la risposta al dolore della dura madre</w:t>
      </w:r>
      <w:r>
        <w:t xml:space="preserve"> </w:t>
      </w:r>
      <w:r>
        <w:rPr>
          <w:b/>
          <w:bCs/>
        </w:rPr>
        <w:t xml:space="preserve">più a lungo</w:t>
      </w:r>
      <w:r>
        <w:t xml:space="preserve"> </w:t>
      </w:r>
      <w:r>
        <w:t xml:space="preserve">di uno stimolo cutaneo (Bartsch &amp; Goadsby,</w:t>
      </w:r>
      <w:r>
        <w:t xml:space="preserve"> </w:t>
      </w:r>
      <w:r>
        <w:rPr>
          <w:i/>
          <w:iCs/>
        </w:rPr>
        <w:t xml:space="preserve">Brain</w:t>
      </w:r>
      <w:r>
        <w:t xml:space="preserve"> </w:t>
      </w:r>
      <w:r>
        <w:t xml:space="preserve">2002, PMID 12077000). È il pezzo di fisiologia che giustifica di lavorare sul muscolo invece che sulla pelle sopra.</w:t>
      </w:r>
    </w:p>
    <w:bookmarkEnd w:id="24"/>
    <w:bookmarkStart w:id="25" w:name="il-complesso-trigemino-cervicale"/>
    <w:p>
      <w:pPr>
        <w:pStyle w:val="Heading3"/>
      </w:pPr>
      <w:r>
        <w:t xml:space="preserve">3. Il complesso trigemino-cervicale</w:t>
      </w:r>
    </w:p>
    <w:p>
      <w:pPr>
        <w:pStyle w:val="FirstParagraph"/>
      </w:pPr>
      <w:r>
        <w:rPr>
          <w:b/>
          <w:bCs/>
        </w:rPr>
        <w:t xml:space="preserve">Cos’è, e cosa fa.</w:t>
      </w:r>
      <w:r>
        <w:t xml:space="preserve"> </w:t>
      </w:r>
      <w:r>
        <w:t xml:space="preserve">Non è un nucleo unico: è un</w:t>
      </w:r>
      <w:r>
        <w:t xml:space="preserve"> </w:t>
      </w:r>
      <w:r>
        <w:rPr>
          <w:b/>
          <w:bCs/>
        </w:rPr>
        <w:t xml:space="preserve">continuum funzionale</w:t>
      </w:r>
      <w:r>
        <w:t xml:space="preserve">, cioè una zona che sfuma senza confini netti. Va dalla parte più bassa del nucleo trigeminale alle corna dorsali di C1-C3. Lì terminano insieme due gruppi di fibre: quelle del trigemino — faccia, denti, articolazione mandibolare, meningi — e quelle delle prime tre radici cervicali. È il primo relè: riceve, somma e passa avanti, sotto una modulazione che scende dall’alto.</w:t>
      </w:r>
    </w:p>
    <w:p>
      <w:pPr>
        <w:pStyle w:val="BodyText"/>
      </w:pPr>
      <w:r>
        <w:rPr>
          <w:b/>
          <w:bCs/>
        </w:rPr>
        <w:t xml:space="preserve">Perché conta qui.</w:t>
      </w:r>
      <w:r>
        <w:t xml:space="preserve"> </w:t>
      </w:r>
      <w:r>
        <w:t xml:space="preserve">È l’unico posto dell’anatomia in cui</w:t>
      </w:r>
      <w:r>
        <w:t xml:space="preserve"> </w:t>
      </w:r>
      <w:r>
        <w:t xml:space="preserve">“collo”</w:t>
      </w:r>
      <w:r>
        <w:t xml:space="preserve"> </w:t>
      </w:r>
      <w:r>
        <w:t xml:space="preserve">e</w:t>
      </w:r>
      <w:r>
        <w:t xml:space="preserve"> </w:t>
      </w:r>
      <w:r>
        <w:t xml:space="preserve">“testa”</w:t>
      </w:r>
      <w:r>
        <w:t xml:space="preserve"> </w:t>
      </w:r>
      <w:r>
        <w:t xml:space="preserve">smettono di essere due regioni diverse. Un segnale che arriva da C1-C3 entra dove arriva il segnale della faccia, e da lì sale come un segnale solo.</w:t>
      </w:r>
    </w:p>
    <w:bookmarkEnd w:id="25"/>
    <w:bookmarkStart w:id="26" w:name="la-mandibola-e-i-muscoli-che-la-chiudono"/>
    <w:p>
      <w:pPr>
        <w:pStyle w:val="Heading3"/>
      </w:pPr>
      <w:r>
        <w:t xml:space="preserve">4. La mandibola e i muscoli che la chiudono</w:t>
      </w:r>
    </w:p>
    <w:p>
      <w:pPr>
        <w:pStyle w:val="FirstParagraph"/>
      </w:pPr>
      <w:r>
        <w:rPr>
          <w:b/>
          <w:bCs/>
        </w:rPr>
        <w:t xml:space="preserve">Cosa sono, e cosa fanno.</w:t>
      </w:r>
      <w:r>
        <w:t xml:space="preserve"> </w:t>
      </w:r>
      <w:r>
        <w:t xml:space="preserve">Temporale e massetere sono i due elevatori che il paziente stringe senza accorgersene. Chiudono la bocca. Sotto carico mentale restano contratti a lungo, senza che nessun movimento lo giustifichi: di giorno e, in una parte dei pazienti, anche nel sonno.</w:t>
      </w:r>
    </w:p>
    <w:p>
      <w:pPr>
        <w:pStyle w:val="BodyText"/>
      </w:pPr>
      <w:r>
        <w:rPr>
          <w:b/>
          <w:bCs/>
        </w:rPr>
        <w:t xml:space="preserve">Perché contano qui.</w:t>
      </w:r>
      <w:r>
        <w:t xml:space="preserve"> </w:t>
      </w:r>
      <w:r>
        <w:t xml:space="preserve">Il temporale è insieme masticatorio e pericranico: entra nel punteggio del dolore alla palpazione e proietta al trigemino. Collega il serramento dei denti al cerchio alla testa senza passaggi ipotetici.</w:t>
      </w:r>
    </w:p>
    <w:p>
      <w:pPr>
        <w:pStyle w:val="BlockText"/>
      </w:pPr>
      <w:r>
        <w:rPr>
          <w:b/>
          <w:bCs/>
        </w:rPr>
        <w:t xml:space="preserve">Attenzione.</w:t>
      </w:r>
      <w:r>
        <w:t xml:space="preserve"> </w:t>
      </w:r>
      <w:r>
        <w:t xml:space="preserve">L’accesso</w:t>
      </w:r>
      <w:r>
        <w:t xml:space="preserve"> </w:t>
      </w:r>
      <w:r>
        <w:rPr>
          <w:b/>
          <w:bCs/>
        </w:rPr>
        <w:t xml:space="preserve">intra-orale</w:t>
      </w:r>
      <w:r>
        <w:t xml:space="preserve"> </w:t>
      </w:r>
      <w:r>
        <w:t xml:space="preserve">ai masticatori è fuori dal nostro perimetro professionale, in modo assoluto. La norma e la ragione tecnica stanno in «Dove finisce il nostro campo».</w:t>
      </w:r>
    </w:p>
    <w:bookmarkEnd w:id="26"/>
    <w:bookmarkStart w:id="27" w:name="X94d12ab20a60a4aad2e69b2c88c4a19c5e93ee5"/>
    <w:p>
      <w:pPr>
        <w:pStyle w:val="Heading3"/>
      </w:pPr>
      <w:r>
        <w:t xml:space="preserve">5. Il cingolo scapolare e i flessori profondi del collo</w:t>
      </w:r>
    </w:p>
    <w:p>
      <w:pPr>
        <w:pStyle w:val="FirstParagraph"/>
      </w:pPr>
      <w:r>
        <w:rPr>
          <w:b/>
          <w:bCs/>
        </w:rPr>
        <w:t xml:space="preserve">Cosa sono, e cosa fanno.</w:t>
      </w:r>
      <w:r>
        <w:t xml:space="preserve"> </w:t>
      </w:r>
      <w:r>
        <w:t xml:space="preserve">Trapezio, elevatore della scapola e romboidei sospendono il cingolo. Lungo del collo e lungo della testa sostengono il rachide cervicale dall’interno. Insieme decidono quanto costa tenere la testa ferma davanti a uno schermo.</w:t>
      </w:r>
    </w:p>
    <w:p>
      <w:pPr>
        <w:pStyle w:val="BodyText"/>
      </w:pPr>
      <w:r>
        <w:rPr>
          <w:b/>
          <w:bCs/>
        </w:rPr>
        <w:t xml:space="preserve">Perché contano qui.</w:t>
      </w:r>
      <w:r>
        <w:t xml:space="preserve"> </w:t>
      </w:r>
      <w:r>
        <w:t xml:space="preserve">Sono il bersaglio dell’unico intervento non farmacologico con centinaia di randomizzati alle spalle. E sono l’unico tessuto di cui sia stato misurato un cambiamento strutturale dopo un programma di forza. Vedi «Cosa può fare il paziente da solo».</w:t>
      </w:r>
    </w:p>
    <w:p>
      <w:pPr>
        <w:pStyle w:val="BodyText"/>
      </w:pPr>
      <w:r>
        <w:rPr>
          <w:b/>
          <w:bCs/>
        </w:rPr>
        <w:t xml:space="preserve">Le tre cose da ricordare, più una</w:t>
      </w:r>
    </w:p>
    <w:p>
      <w:pPr>
        <w:pStyle w:val="Compact"/>
        <w:numPr>
          <w:ilvl w:val="0"/>
          <w:numId w:val="1008"/>
        </w:numPr>
      </w:pPr>
      <w:r>
        <w:t xml:space="preserve">Il dolore pericranico alla palpazione è dentro la classificazione internazionale, e la misura ha una definizione precisa: otto siti per lato, totale 0-48.</w:t>
      </w:r>
    </w:p>
    <w:p>
      <w:pPr>
        <w:pStyle w:val="Compact"/>
        <w:numPr>
          <w:ilvl w:val="0"/>
          <w:numId w:val="1008"/>
        </w:numPr>
      </w:pPr>
      <w:r>
        <w:t xml:space="preserve">Il suboccipitale ha l’area di dolore riferito più ampia del distretto, e la sua afferenza facilita più a lungo di quella cutanea. Se ne palpi uno solo, palpa quello.</w:t>
      </w:r>
    </w:p>
    <w:p>
      <w:pPr>
        <w:pStyle w:val="Compact"/>
        <w:numPr>
          <w:ilvl w:val="0"/>
          <w:numId w:val="1008"/>
        </w:numPr>
      </w:pPr>
      <w:r>
        <w:t xml:space="preserve">Il temporale è insieme masticatore e pericranico: è lì che il serramento diventa mal di testa senza passaggi ipotetici.</w:t>
      </w:r>
    </w:p>
    <w:p>
      <w:pPr>
        <w:pStyle w:val="Compact"/>
        <w:numPr>
          <w:ilvl w:val="0"/>
          <w:numId w:val="1008"/>
        </w:numPr>
      </w:pPr>
      <w:r>
        <w:rPr>
          <w:b/>
          <w:bCs/>
        </w:rPr>
        <w:t xml:space="preserve">Perché ci sei tu.</w:t>
      </w:r>
      <w:r>
        <w:t xml:space="preserve"> </w:t>
      </w:r>
      <w:r>
        <w:t xml:space="preserve">Su 735 adulti esaminati da osservatori all’oscuro della loro storia, il dolore pericranico alla palpazione era</w:t>
      </w:r>
      <w:r>
        <w:t xml:space="preserve"> </w:t>
      </w:r>
      <w:r>
        <w:rPr>
          <w:b/>
          <w:bCs/>
        </w:rPr>
        <w:t xml:space="preserve">fortemente correlato alla frequenza</w:t>
      </w:r>
      <w:r>
        <w:t xml:space="preserve"> </w:t>
      </w:r>
      <w:r>
        <w:t xml:space="preserve">della cefalea tensiva. Con la frequenza dell’emicrania non mostrava nessuna relazione (Jensen,</w:t>
      </w:r>
      <w:r>
        <w:t xml:space="preserve"> </w:t>
      </w:r>
      <w:r>
        <w:rPr>
          <w:i/>
          <w:iCs/>
        </w:rPr>
        <w:t xml:space="preserve">Pain</w:t>
      </w:r>
      <w:r>
        <w:t xml:space="preserve"> </w:t>
      </w:r>
      <w:r>
        <w:t xml:space="preserve">1993, PMID 8455967). Ti autorizza a dire che il muscolo, in questa condizione e non in tutte, è dentro la fisiopatologia riconosciuta. Non ti autorizza a dire che il muscolo la causa: lo studio non stabilisce la direzione, e mostra che la dolorabilità è del 32% più alta proprio nel giorno di mal di testa.</w:t>
      </w:r>
    </w:p>
    <w:p>
      <w:r>
        <w:pict>
          <v:rect style="width:0;height:1.5pt" o:hralign="center" o:hrstd="t" o:hr="t"/>
        </w:pict>
      </w:r>
    </w:p>
    <w:bookmarkEnd w:id="27"/>
    <w:bookmarkEnd w:id="28"/>
    <w:bookmarkStart w:id="29"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 muscolo del collo scarica in continuazione un poco di segnale doloroso che nessuno sente, perché un sistema che scende dall’alto lo tiene sotto il livello a cui diventa dolore.</w:t>
      </w:r>
    </w:p>
    <w:p>
      <w:pPr>
        <w:pStyle w:val="FirstParagraph"/>
      </w:pPr>
      <w:r>
        <w:t xml:space="preserve">La testa pesa quattro-cinque chili e sta in cima a una colonna sottile. Tenerla ferma è un lavoro che non finisce mai. Ecco la sequenza, quando funziona.</w:t>
      </w:r>
    </w:p>
    <w:p>
      <w:pPr>
        <w:numPr>
          <w:ilvl w:val="0"/>
          <w:numId w:val="1009"/>
        </w:numPr>
      </w:pPr>
      <w:r>
        <w:rPr>
          <w:b/>
          <w:bCs/>
        </w:rPr>
        <w:t xml:space="preserve">I muscoli pericranici lavorano sempre, a basso regime.</w:t>
      </w:r>
      <w:r>
        <w:t xml:space="preserve"> </w:t>
      </w:r>
      <w:r>
        <w:t xml:space="preserve">Le terminazioni nocicettive — fibre sottili di gruppo III e IV — scaricano poco e a bassa frequenza. Va avanti così finché tensione e metabolismo locale restano dentro un margine.</w:t>
      </w:r>
    </w:p>
    <w:p>
      <w:pPr>
        <w:numPr>
          <w:ilvl w:val="0"/>
          <w:numId w:val="1009"/>
        </w:numPr>
      </w:pPr>
      <w:r>
        <w:rPr>
          <w:b/>
          <w:bCs/>
        </w:rPr>
        <w:t xml:space="preserve">Quel poco entra per le radici C1-C3</w:t>
      </w:r>
      <w:r>
        <w:t xml:space="preserve">, nello stesso relè in cui arriva il segnale della faccia e delle meningi. La stazione somma e passa avanti.</w:t>
      </w:r>
    </w:p>
    <w:p>
      <w:pPr>
        <w:numPr>
          <w:ilvl w:val="0"/>
          <w:numId w:val="1009"/>
        </w:numPr>
      </w:pPr>
      <w:r>
        <w:rPr>
          <w:b/>
          <w:bCs/>
        </w:rPr>
        <w:t xml:space="preserve">Dall’alto scende un freno.</w:t>
      </w:r>
      <w:r>
        <w:t xml:space="preserve"> </w:t>
      </w:r>
      <w:r>
        <w:t xml:space="preserve">Vie discendenti dal tronco encefalico riducono il guadagno del relè e tengono l’ingresso sotto il livello a cui diventa dolore. È la ragione per cui non senti i tuoi muscoli del collo mentre leggi questa riga.</w:t>
      </w:r>
    </w:p>
    <w:p>
      <w:pPr>
        <w:numPr>
          <w:ilvl w:val="0"/>
          <w:numId w:val="1009"/>
        </w:numPr>
      </w:pPr>
      <w:r>
        <w:rPr>
          <w:b/>
          <w:bCs/>
        </w:rPr>
        <w:t xml:space="preserve">Il freno si regola in base allo stato.</w:t>
      </w:r>
      <w:r>
        <w:t xml:space="preserve"> </w:t>
      </w:r>
      <w:r>
        <w:t xml:space="preserve">Sonno, carico mentale e dolore altrove spostano il punto in cui un ingresso comincia a contare: da riposato tieni il freno alto, in allerta lo allenti.</w:t>
      </w:r>
    </w:p>
    <w:p>
      <w:pPr>
        <w:numPr>
          <w:ilvl w:val="0"/>
          <w:numId w:val="1009"/>
        </w:numPr>
      </w:pPr>
      <w:r>
        <w:rPr>
          <w:b/>
          <w:bCs/>
        </w:rPr>
        <w:t xml:space="preserve">Accanto corre la propriocezione, su un’altra strada.</w:t>
      </w:r>
      <w:r>
        <w:t xml:space="preserve"> </w:t>
      </w:r>
      <w:r>
        <w:t xml:space="preserve">I fusi dei suboccipitali mandano un flusso densissimo di informazione sulla posizione della testa. Non passa dalla via del dolore, e non è quello che il freno attenua.</w:t>
      </w:r>
    </w:p>
    <w:p>
      <w:pPr>
        <w:numPr>
          <w:ilvl w:val="0"/>
          <w:numId w:val="1009"/>
        </w:numPr>
      </w:pPr>
      <w:r>
        <w:rPr>
          <w:b/>
          <w:bCs/>
        </w:rPr>
        <w:t xml:space="preserve">Quando il carico finisce, il tessuto recupera.</w:t>
      </w:r>
      <w:r>
        <w:t xml:space="preserve"> </w:t>
      </w:r>
      <w:r>
        <w:t xml:space="preserve">Ci mette minuti, se la circolazione locale fa il suo mestiere e se il sistema smette di chiedergli di stare pronto.</w:t>
      </w:r>
    </w:p>
    <w:p>
      <w:pPr>
        <w:pStyle w:val="FirstParagraph"/>
      </w:pPr>
      <w:r>
        <w:t xml:space="preserve">Questo è il sistema quando funziona. Ora vediamo dove si rompe.</w:t>
      </w:r>
    </w:p>
    <w:p>
      <w:pPr>
        <w:pStyle w:val="BodyText"/>
      </w:pPr>
      <w:r>
        <w:rPr>
          <w:b/>
          <w:bCs/>
        </w:rPr>
        <w:t xml:space="preserve">Le tre cose da ricordare, più una</w:t>
      </w:r>
    </w:p>
    <w:p>
      <w:pPr>
        <w:pStyle w:val="Compact"/>
        <w:numPr>
          <w:ilvl w:val="0"/>
          <w:numId w:val="1010"/>
        </w:numPr>
      </w:pPr>
      <w:r>
        <w:t xml:space="preserve">Il segnale doloroso dal muscolo del collo c’è sempre, ed è tenuto sotto soglia da un freno che scende dall’alto.</w:t>
      </w:r>
    </w:p>
    <w:p>
      <w:pPr>
        <w:pStyle w:val="Compact"/>
        <w:numPr>
          <w:ilvl w:val="0"/>
          <w:numId w:val="1010"/>
        </w:numPr>
      </w:pPr>
      <w:r>
        <w:t xml:space="preserve">Il guasto non è la presenza del segnale: è il rapporto fra quanto ne arriva e quanto il freno trattiene.</w:t>
      </w:r>
    </w:p>
    <w:p>
      <w:pPr>
        <w:pStyle w:val="Compact"/>
        <w:numPr>
          <w:ilvl w:val="0"/>
          <w:numId w:val="1010"/>
        </w:numPr>
      </w:pPr>
      <w:r>
        <w:t xml:space="preserve">Il recupero è fisiologia normale quanto il carico. Un tessuto che non recupera ha già cambiato regime.</w:t>
      </w:r>
    </w:p>
    <w:p>
      <w:pPr>
        <w:pStyle w:val="Compact"/>
        <w:numPr>
          <w:ilvl w:val="0"/>
          <w:numId w:val="1010"/>
        </w:numPr>
      </w:pPr>
      <w:r>
        <w:rPr>
          <w:b/>
          <w:bCs/>
        </w:rPr>
        <w:t xml:space="preserve">Perché ci sei tu.</w:t>
      </w:r>
      <w:r>
        <w:t xml:space="preserve"> </w:t>
      </w:r>
      <w:r>
        <w:t xml:space="preserve">In un esperimento su volontari, trenta minuti di serramento</w:t>
      </w:r>
      <w:r>
        <w:t xml:space="preserve"> </w:t>
      </w:r>
      <w:r>
        <w:rPr>
          <w:b/>
          <w:bCs/>
        </w:rPr>
        <w:t xml:space="preserve">non</w:t>
      </w:r>
      <w:r>
        <w:t xml:space="preserve"> </w:t>
      </w:r>
      <w:r>
        <w:t xml:space="preserve">hanno prodotto più mal di testa del compito di controllo. Chi non ha sviluppato l’episodio è chi ha attivato il freno discendente, misurato come</w:t>
      </w:r>
      <w:r>
        <w:t xml:space="preserve"> </w:t>
      </w:r>
      <w:r>
        <w:rPr>
          <w:b/>
          <w:bCs/>
        </w:rPr>
        <w:t xml:space="preserve">calo</w:t>
      </w:r>
      <w:r>
        <w:t xml:space="preserve"> </w:t>
      </w:r>
      <w:r>
        <w:t xml:space="preserve">della dolorabilità pericranica dopo il compito (Exposto,</w:t>
      </w:r>
      <w:r>
        <w:t xml:space="preserve"> </w:t>
      </w:r>
      <w:r>
        <w:rPr>
          <w:i/>
          <w:iCs/>
        </w:rPr>
        <w:t xml:space="preserve">Cephalalgia</w:t>
      </w:r>
      <w:r>
        <w:t xml:space="preserve"> </w:t>
      </w:r>
      <w:r>
        <w:t xml:space="preserve">2019, PMID 30922083). Ti autorizza a trattare il freno, e non solo il carico, come parte di quello che guardi. Non ti autorizza a dire che la tua mano lo accende: nessuno l’ha misurato.</w:t>
      </w:r>
    </w:p>
    <w:p>
      <w:r>
        <w:pict>
          <v:rect style="width:0;height:1.5pt" o:hralign="center" o:hrstd="t" o:hr="t"/>
        </w:pict>
      </w:r>
    </w:p>
    <w:bookmarkEnd w:id="29"/>
    <w:bookmarkStart w:id="36"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meccanismi, e il primo è l’unico su cui hai un’associazione misurata nella popolazione generale — gli altri quattro spiegano perché quel primo, da solo, non basta.</w:t>
      </w:r>
    </w:p>
    <w:p>
      <w:pPr>
        <w:pStyle w:val="FirstParagraph"/>
      </w:pPr>
      <w:r>
        <w:t xml:space="preserve">Dal più solido al meno solido, non dal più suggestivo.</w:t>
      </w:r>
    </w:p>
    <w:bookmarkStart w:id="30" w:name="lingresso-che-non-si-chiude"/>
    <w:p>
      <w:pPr>
        <w:pStyle w:val="Heading3"/>
      </w:pPr>
      <w:r>
        <w:t xml:space="preserve">1. L’ingresso che non si chiude</w:t>
      </w:r>
    </w:p>
    <w:p>
      <w:pPr>
        <w:pStyle w:val="FirstParagraph"/>
      </w:pPr>
      <w:r>
        <w:t xml:space="preserve">Il tessuto miofasciale pericranico dolente manda un flusso di segnali nocicettivi che non si interrompe.</w:t>
      </w:r>
    </w:p>
    <w:p>
      <w:pPr>
        <w:pStyle w:val="Compact"/>
        <w:numPr>
          <w:ilvl w:val="0"/>
          <w:numId w:val="1011"/>
        </w:numPr>
      </w:pPr>
      <w:r>
        <w:t xml:space="preserve">Un muscolo del collo, della nuca o della mandibola resta in contrazione a basso livello per ore: schermo, denti stretti, testa ferma. E il carico non finisce alle diciotto. Serramento nel sonno e sette ore di posizione fissa caricano gli stessi muscoli.</w:t>
      </w:r>
    </w:p>
    <w:p>
      <w:pPr>
        <w:pStyle w:val="Compact"/>
        <w:numPr>
          <w:ilvl w:val="0"/>
          <w:numId w:val="1011"/>
        </w:numPr>
      </w:pPr>
      <w:r>
        <w:t xml:space="preserve">Il metabolismo locale cambia, e le terminazioni nocicettive scaricano a soglia più bassa. Il muscolo diventa dolente alla pressione anche quando non fa male da solo.</w:t>
      </w:r>
    </w:p>
    <w:p>
      <w:pPr>
        <w:pStyle w:val="Compact"/>
        <w:numPr>
          <w:ilvl w:val="0"/>
          <w:numId w:val="1011"/>
        </w:numPr>
      </w:pPr>
      <w:r>
        <w:t xml:space="preserve">Dentro il muscolo compaiono zone ipersensibili. Premute, danno dolore locale e dolore riferito, cioè sentito altrove. Se il riferito</w:t>
      </w:r>
      <w:r>
        <w:t xml:space="preserve"> </w:t>
      </w:r>
      <w:r>
        <w:rPr>
          <w:b/>
          <w:bCs/>
        </w:rPr>
        <w:t xml:space="preserve">riproduce il quadro spontaneo</w:t>
      </w:r>
      <w:r>
        <w:t xml:space="preserve"> </w:t>
      </w:r>
      <w:r>
        <w:t xml:space="preserve">il punto è attivo, altrimenti è latente. È la</w:t>
      </w:r>
      <w:r>
        <w:t xml:space="preserve"> </w:t>
      </w:r>
      <w:r>
        <w:rPr>
          <w:b/>
          <w:bCs/>
        </w:rPr>
        <w:t xml:space="preserve">riproduzione</w:t>
      </w:r>
      <w:r>
        <w:t xml:space="preserve"> </w:t>
      </w:r>
      <w:r>
        <w:t xml:space="preserve">il segno che tieni, non la banda tesa: non esiste uno standard di riferimento per i punti attivi, la riproduzione è il segno più riproducibile fra esaminatori, e la banda tesa il meno (Lucas,</w:t>
      </w:r>
      <w:r>
        <w:t xml:space="preserve"> </w:t>
      </w:r>
      <w:r>
        <w:rPr>
          <w:i/>
          <w:iCs/>
        </w:rPr>
        <w:t xml:space="preserve">Clin J Pain</w:t>
      </w:r>
      <w:r>
        <w:t xml:space="preserve"> </w:t>
      </w:r>
      <w:r>
        <w:t xml:space="preserve">2009, PMID 19158550).</w:t>
      </w:r>
    </w:p>
    <w:p>
      <w:pPr>
        <w:pStyle w:val="Compact"/>
        <w:numPr>
          <w:ilvl w:val="0"/>
          <w:numId w:val="1011"/>
        </w:numPr>
      </w:pPr>
      <w:r>
        <w:t xml:space="preserve">Il flusso entra nel complesso trigemino-cervicale e si somma al resto della giornata. Verso sera la somma supera il freno, e compare la fascia stretta.</w:t>
      </w:r>
    </w:p>
    <w:p>
      <w:pPr>
        <w:pStyle w:val="BlockText"/>
      </w:pPr>
      <w:r>
        <w:rPr>
          <w:b/>
          <w:bCs/>
        </w:rPr>
        <w:t xml:space="preserve">Quanto è solido:</w:t>
      </w:r>
      <w:r>
        <w:t xml:space="preserve"> </w:t>
      </w:r>
      <w:r>
        <w:t xml:space="preserve">l’etichetta si spezza, in quattro pezzi.</w:t>
      </w:r>
      <w:r>
        <w:t xml:space="preserve"> </w:t>
      </w:r>
      <w:r>
        <w:rPr>
          <w:b/>
          <w:bCs/>
        </w:rPr>
        <w:t xml:space="preserve">DIMOSTRATO</w:t>
      </w:r>
      <w:r>
        <w:t xml:space="preserve"> </w:t>
      </w:r>
      <w:r>
        <w:rPr>
          <w:i/>
          <w:iCs/>
        </w:rPr>
        <w:t xml:space="preserve">(studi sull’uomo, solidi)</w:t>
      </w:r>
      <w:r>
        <w:t xml:space="preserve"> </w:t>
      </w:r>
      <w:r>
        <w:t xml:space="preserve">che il dolore pericranico alla palpazione sia fortemente correlato alla frequenza di questa cefalea, su 735 adulti esaminati in cieco (Jensen,</w:t>
      </w:r>
      <w:r>
        <w:t xml:space="preserve"> </w:t>
      </w:r>
      <w:r>
        <w:rPr>
          <w:i/>
          <w:iCs/>
        </w:rPr>
        <w:t xml:space="preserve">Pain</w:t>
      </w:r>
      <w:r>
        <w:t xml:space="preserve"> </w:t>
      </w:r>
      <w:r>
        <w:t xml:space="preserve">1993, PMID 8455967).</w:t>
      </w:r>
      <w:r>
        <w:t xml:space="preserve"> </w:t>
      </w:r>
      <w:r>
        <w:rPr>
          <w:b/>
          <w:bCs/>
        </w:rPr>
        <w:t xml:space="preserve">PROBABILE</w:t>
      </w:r>
      <w:r>
        <w:t xml:space="preserve"> </w:t>
      </w:r>
      <w:r>
        <w:rPr>
          <w:i/>
          <w:iCs/>
        </w:rPr>
        <w:t xml:space="preserve">(razionale forte, prove parziali)</w:t>
      </w:r>
      <w:r>
        <w:t xml:space="preserve"> </w:t>
      </w:r>
      <w:r>
        <w:t xml:space="preserve">che l’origine del dolore sia periferica. La revisione di riferimento scrive che</w:t>
      </w:r>
      <w:r>
        <w:t xml:space="preserve"> </w:t>
      </w:r>
      <w:r>
        <w:rPr>
          <w:i/>
          <w:iCs/>
        </w:rPr>
        <w:t xml:space="preserve">“sembra probabile”</w:t>
      </w:r>
      <w:r>
        <w:t xml:space="preserve"> </w:t>
      </w:r>
      <w:r>
        <w:t xml:space="preserve">che i meccanismi periferici siano responsabili della</w:t>
      </w:r>
      <w:r>
        <w:t xml:space="preserve"> </w:t>
      </w:r>
      <w:r>
        <w:rPr>
          <w:b/>
          <w:bCs/>
        </w:rPr>
        <w:t xml:space="preserve">genesi</w:t>
      </w:r>
      <w:r>
        <w:t xml:space="preserve"> </w:t>
      </w:r>
      <w:r>
        <w:t xml:space="preserve">del dolore, e lo scrive dopo aver dichiarato che</w:t>
      </w:r>
      <w:r>
        <w:t xml:space="preserve"> </w:t>
      </w:r>
      <w:r>
        <w:rPr>
          <w:i/>
          <w:iCs/>
        </w:rPr>
        <w:t xml:space="preserve">“le basi biologiche restano irrisolte”</w:t>
      </w:r>
      <w:r>
        <w:t xml:space="preserve">. Alla sensibilizzazione centrale riserva invece il passaggio da episodico a cronico (Ashina S,</w:t>
      </w:r>
      <w:r>
        <w:t xml:space="preserve"> </w:t>
      </w:r>
      <w:r>
        <w:rPr>
          <w:i/>
          <w:iCs/>
        </w:rPr>
        <w:t xml:space="preserve">Nat Rev Dis Primers</w:t>
      </w:r>
      <w:r>
        <w:t xml:space="preserve"> </w:t>
      </w:r>
      <w:r>
        <w:t xml:space="preserve">2021, PMID 33767185). Vale per la genesi e per la forma episodica:</w:t>
      </w:r>
      <w:r>
        <w:t xml:space="preserve"> </w:t>
      </w:r>
      <w:r>
        <w:rPr>
          <w:b/>
          <w:bCs/>
        </w:rPr>
        <w:t xml:space="preserve">sul paziente cronico la stessa fonte la esclude.</w:t>
      </w:r>
      <w:r>
        <w:t xml:space="preserve"> </w:t>
      </w:r>
      <w:r>
        <w:rPr>
          <w:b/>
          <w:bCs/>
        </w:rPr>
        <w:t xml:space="preserve">PROBABILE</w:t>
      </w:r>
      <w:r>
        <w:t xml:space="preserve"> </w:t>
      </w:r>
      <w:r>
        <w:rPr>
          <w:i/>
          <w:iCs/>
        </w:rPr>
        <w:t xml:space="preserve">(razionale forte, prove parziali)</w:t>
      </w:r>
      <w:r>
        <w:t xml:space="preserve"> </w:t>
      </w:r>
      <w:r>
        <w:t xml:space="preserve">anche che i punti attivi siano la sorgente organizzata di quell’ingresso (Palacios-Ceña,</w:t>
      </w:r>
      <w:r>
        <w:t xml:space="preserve"> </w:t>
      </w:r>
      <w:r>
        <w:rPr>
          <w:i/>
          <w:iCs/>
        </w:rPr>
        <w:t xml:space="preserve">Cephalalgia</w:t>
      </w:r>
      <w:r>
        <w:t xml:space="preserve"> </w:t>
      </w:r>
      <w:r>
        <w:t xml:space="preserve">2018, PMID 27919024). È documentato in modo diretto, ma la serie più chiara è su bambini (Fernández-de-las-Peñas,</w:t>
      </w:r>
      <w:r>
        <w:t xml:space="preserve"> </w:t>
      </w:r>
      <w:r>
        <w:rPr>
          <w:i/>
          <w:iCs/>
        </w:rPr>
        <w:t xml:space="preserve">J Headache Pain</w:t>
      </w:r>
      <w:r>
        <w:t xml:space="preserve"> </w:t>
      </w:r>
      <w:r>
        <w:t xml:space="preserve">2011, PMID 21359873).</w:t>
      </w:r>
      <w:r>
        <w:t xml:space="preserve"> </w:t>
      </w:r>
      <w:r>
        <w:rPr>
          <w:b/>
          <w:bCs/>
        </w:rPr>
        <w:t xml:space="preserve">IPOTESI</w:t>
      </w:r>
      <w:r>
        <w:t xml:space="preserve"> </w:t>
      </w:r>
      <w:r>
        <w:rPr>
          <w:i/>
          <w:iCs/>
        </w:rPr>
        <w:t xml:space="preserve">(meccanismo coerente, nessuno studio)</w:t>
      </w:r>
      <w:r>
        <w:t xml:space="preserve"> </w:t>
      </w:r>
      <w:r>
        <w:t xml:space="preserve">che in</w:t>
      </w:r>
      <w:r>
        <w:t xml:space="preserve"> </w:t>
      </w:r>
      <w:r>
        <w:rPr>
          <w:b/>
          <w:bCs/>
        </w:rPr>
        <w:t xml:space="preserve">questo</w:t>
      </w:r>
      <w:r>
        <w:t xml:space="preserve"> </w:t>
      </w:r>
      <w:r>
        <w:t xml:space="preserve">paziente sia quell’ingresso a comandare. La dolorabilità è più alta proprio nel giorno di mal di testa: può essere effetto tanto quanto causa.</w:t>
      </w:r>
    </w:p>
    <w:p>
      <w:pPr>
        <w:pStyle w:val="FirstParagraph"/>
      </w:pPr>
      <w:r>
        <w:rPr>
          <w:b/>
          <w:bCs/>
        </w:rPr>
        <w:t xml:space="preserve">Come si vede addosso al paziente.</w:t>
      </w:r>
      <w:r>
        <w:t xml:space="preserve"> </w:t>
      </w:r>
      <w:r>
        <w:t xml:space="preserve">Il dolore cresce nel corso della giornata e non parte forte al risveglio. La palpazione è dolente in modo diffuso e bilaterale. Su un punto preciso il paziente dice</w:t>
      </w:r>
      <w:r>
        <w:t xml:space="preserve"> </w:t>
      </w:r>
      <w:r>
        <w:rPr>
          <w:i/>
          <w:iCs/>
        </w:rPr>
        <w:t xml:space="preserve">“ecco, questo è il mio mal di testa”</w:t>
      </w:r>
      <w:r>
        <w:t xml:space="preserve">: è il reperto più utile del documento, perché gliela fa sentire. Il sollievo dopo un massaggio dura giorni, non settimane.</w:t>
      </w:r>
    </w:p>
    <w:p>
      <w:pPr>
        <w:pStyle w:val="BlockText"/>
      </w:pPr>
      <w:r>
        <w:rPr>
          <w:b/>
          <w:bCs/>
        </w:rPr>
        <w:t xml:space="preserve">Attenzione — la finestra notturna, e in che ordine si legge.</w:t>
      </w:r>
      <w:r>
        <w:t xml:space="preserve"> </w:t>
      </w:r>
      <w:r>
        <w:t xml:space="preserve">In chi si sveglia già con la fascia stretta il carico si è accumulato di notte. Il basale del punteggio pericranico si prende</w:t>
      </w:r>
      <w:r>
        <w:t xml:space="preserve"> </w:t>
      </w:r>
      <w:r>
        <w:rPr>
          <w:b/>
          <w:bCs/>
        </w:rPr>
        <w:t xml:space="preserve">al mattino</w:t>
      </w:r>
      <w:r>
        <w:t xml:space="preserve">, e la metafora del rubinetto si racconta al contrario.</w:t>
      </w:r>
      <w:r>
        <w:t xml:space="preserve"> </w:t>
      </w:r>
      <w:r>
        <w:rPr>
          <w:b/>
          <w:bCs/>
        </w:rPr>
        <w:t xml:space="preserve">Prima viene il sosia da escludere:</w:t>
      </w:r>
      <w:r>
        <w:t xml:space="preserve"> </w:t>
      </w:r>
      <w:r>
        <w:t xml:space="preserve">russamento, apnee riferite, sonnolenza diurna.</w:t>
      </w:r>
      <w:r>
        <w:t xml:space="preserve"> </w:t>
      </w:r>
      <w:r>
        <w:rPr>
          <w:b/>
          <w:bCs/>
        </w:rPr>
        <w:t xml:space="preserve">Poi, e più debole, il serramento notturno.</w:t>
      </w:r>
      <w:r>
        <w:t xml:space="preserve"> </w:t>
      </w:r>
      <w:r>
        <w:t xml:space="preserve">Una revisione ha separato le due forme di bruxismo. L’associazione con questa cefalea esiste per il bruxismo</w:t>
      </w:r>
      <w:r>
        <w:t xml:space="preserve"> </w:t>
      </w:r>
      <w:r>
        <w:rPr>
          <w:b/>
          <w:bCs/>
        </w:rPr>
        <w:t xml:space="preserve">da sveglio</w:t>
      </w:r>
      <w:r>
        <w:t xml:space="preserve">, e non per quello</w:t>
      </w:r>
      <w:r>
        <w:t xml:space="preserve"> </w:t>
      </w:r>
      <w:r>
        <w:rPr>
          <w:b/>
          <w:bCs/>
        </w:rPr>
        <w:t xml:space="preserve">del sonno</w:t>
      </w:r>
      <w:r>
        <w:t xml:space="preserve"> </w:t>
      </w:r>
      <w:r>
        <w:t xml:space="preserve">(Réus,</w:t>
      </w:r>
      <w:r>
        <w:t xml:space="preserve"> </w:t>
      </w:r>
      <w:r>
        <w:rPr>
          <w:i/>
          <w:iCs/>
        </w:rPr>
        <w:t xml:space="preserve">J Oral Facial Pain Headache</w:t>
      </w:r>
      <w:r>
        <w:t xml:space="preserve"> </w:t>
      </w:r>
      <w:r>
        <w:t xml:space="preserve">2021, PMID 34129658).</w:t>
      </w:r>
      <w:r>
        <w:t xml:space="preserve"> </w:t>
      </w:r>
      <w:r>
        <w:rPr>
          <w:b/>
          <w:bCs/>
        </w:rPr>
        <w:t xml:space="preserve">Etichetta: IPOTESI</w:t>
      </w:r>
      <w:r>
        <w:t xml:space="preserve"> </w:t>
      </w:r>
      <w:r>
        <w:rPr>
          <w:i/>
          <w:iCs/>
        </w:rPr>
        <w:t xml:space="preserve">(meccanismo coerente, nessuno studio)</w:t>
      </w:r>
      <w:r>
        <w:t xml:space="preserve"> </w:t>
      </w:r>
      <w:r>
        <w:t xml:space="preserve">sul serramento notturno come motore del quadro mattutino.</w:t>
      </w:r>
    </w:p>
    <w:p>
      <w:pPr>
        <w:pStyle w:val="FirstParagraph"/>
      </w:pPr>
      <w:r>
        <w:rPr>
          <w:b/>
          <w:bCs/>
        </w:rPr>
        <w:t xml:space="preserve">Il rubinetto che gocciola nel lavandino: nessuna goccia riempie niente, e a fine giornata il lavandino è pieno.</w:t>
      </w:r>
    </w:p>
    <w:bookmarkEnd w:id="30"/>
    <w:bookmarkStart w:id="31" w:name="Xb8e8e74f565d4bf1a0bce6e500d3f4227b3240b"/>
    <w:p>
      <w:pPr>
        <w:pStyle w:val="Heading3"/>
      </w:pPr>
      <w:r>
        <w:t xml:space="preserve">2. Le due strade che sboccano nello stesso incrocio</w:t>
      </w:r>
    </w:p>
    <w:p>
      <w:pPr>
        <w:pStyle w:val="FirstParagraph"/>
      </w:pPr>
      <w:r>
        <w:t xml:space="preserve">Il segnale del collo entra nella stessa stazione del segnale della testa, e da lì non è più distinguibile.</w:t>
      </w:r>
    </w:p>
    <w:p>
      <w:pPr>
        <w:pStyle w:val="Compact"/>
        <w:numPr>
          <w:ilvl w:val="0"/>
          <w:numId w:val="1012"/>
        </w:numPr>
      </w:pPr>
      <w:r>
        <w:t xml:space="preserve">Le fibre del trigemino e quelle delle prime tre radici cervicali terminano sugli</w:t>
      </w:r>
      <w:r>
        <w:t xml:space="preserve"> </w:t>
      </w:r>
      <w:r>
        <w:rPr>
          <w:b/>
          <w:bCs/>
        </w:rPr>
        <w:t xml:space="preserve">stessi neuroni</w:t>
      </w:r>
      <w:r>
        <w:t xml:space="preserve"> </w:t>
      </w:r>
      <w:r>
        <w:t xml:space="preserve">di secondo ordine.</w:t>
      </w:r>
    </w:p>
    <w:p>
      <w:pPr>
        <w:pStyle w:val="Compact"/>
        <w:numPr>
          <w:ilvl w:val="0"/>
          <w:numId w:val="1012"/>
        </w:numPr>
      </w:pPr>
      <w:r>
        <w:t xml:space="preserve">Quel neurone riceve da due territori e ne ha uno solo da riferire.</w:t>
      </w:r>
    </w:p>
    <w:p>
      <w:pPr>
        <w:pStyle w:val="Compact"/>
        <w:numPr>
          <w:ilvl w:val="0"/>
          <w:numId w:val="1012"/>
        </w:numPr>
      </w:pPr>
      <w:r>
        <w:t xml:space="preserve">Quando l’ingresso da una delle due vie aumenta, il neurone diventa più eccitabile anche per l’altra. Un ingresso cervicale può essere percepito come dolore in testa, e viceversa.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 direzione che ti serve — dal collo alla testa — è dimostrata in modo diretto, ma nel ratto: la stimolazione dei muscoli suboccipitali aumenta l’eccitabilità della risposta alla dura madre, e</w:t>
      </w:r>
      <w:r>
        <w:t xml:space="preserve"> </w:t>
      </w:r>
      <w:r>
        <w:rPr>
          <w:b/>
          <w:bCs/>
        </w:rPr>
        <w:t xml:space="preserve">l’afferenza muscolare facilita più a lungo di quella cutanea</w:t>
      </w:r>
      <w:r>
        <w:t xml:space="preserve"> </w:t>
      </w:r>
      <w:r>
        <w:t xml:space="preserve">(Bartsch &amp; Goadsby,</w:t>
      </w:r>
      <w:r>
        <w:t xml:space="preserve"> </w:t>
      </w:r>
      <w:r>
        <w:rPr>
          <w:i/>
          <w:iCs/>
        </w:rPr>
        <w:t xml:space="preserve">Brain</w:t>
      </w:r>
      <w:r>
        <w:t xml:space="preserve"> </w:t>
      </w:r>
      <w:r>
        <w:t xml:space="preserve">2002, PMID 12077000). La direzione opposta è dimostrata nello stesso laboratorio, con campo recettivo allargato nel 71% dei neuroni (</w:t>
      </w:r>
      <w:r>
        <w:rPr>
          <w:i/>
          <w:iCs/>
        </w:rPr>
        <w:t xml:space="preserve">Brain</w:t>
      </w:r>
      <w:r>
        <w:t xml:space="preserve"> </w:t>
      </w:r>
      <w:r>
        <w:t xml:space="preserve">2003, PMID 12821523).</w:t>
      </w:r>
      <w:r>
        <w:t xml:space="preserve"> </w:t>
      </w:r>
      <w:r>
        <w:rPr>
          <w:b/>
          <w:bCs/>
        </w:rPr>
        <w:t xml:space="preserve">Misurato nell’animale, non su pazienti con questa condizione.</w:t>
      </w:r>
      <w:r>
        <w:t xml:space="preserve"> </w:t>
      </w:r>
      <w:r>
        <w:t xml:space="preserve">Nell’uomo il ponte è l’associazione clinica. L’88% di chi ha cefalea tensiva pura riferisce dolore al collo (Ashina S,</w:t>
      </w:r>
      <w:r>
        <w:t xml:space="preserve"> </w:t>
      </w:r>
      <w:r>
        <w:rPr>
          <w:i/>
          <w:iCs/>
        </w:rPr>
        <w:t xml:space="preserve">Cephalalgia</w:t>
      </w:r>
      <w:r>
        <w:t xml:space="preserve"> </w:t>
      </w:r>
      <w:r>
        <w:t xml:space="preserve">2015, PMID 24853166). E chi ha entrambe le cose ha un dolore pericranico più alto (Ashina S,</w:t>
      </w:r>
      <w:r>
        <w:t xml:space="preserve"> </w:t>
      </w:r>
      <w:r>
        <w:rPr>
          <w:i/>
          <w:iCs/>
        </w:rPr>
        <w:t xml:space="preserve">Scand J Pain</w:t>
      </w:r>
      <w:r>
        <w:t xml:space="preserve"> </w:t>
      </w:r>
      <w:r>
        <w:t xml:space="preserve">2023, PMID 36137215).</w:t>
      </w:r>
    </w:p>
    <w:p>
      <w:pPr>
        <w:pStyle w:val="FirstParagraph"/>
      </w:pPr>
      <w:r>
        <w:rPr>
          <w:b/>
          <w:bCs/>
        </w:rPr>
        <w:t xml:space="preserve">Come si vede addosso al paziente.</w:t>
      </w:r>
      <w:r>
        <w:t xml:space="preserve"> </w:t>
      </w:r>
      <w:r>
        <w:t xml:space="preserve">Il dolore va dalla nuca alle tempie o viceversa, e lui non sa dire dove finisce il collo e comincia la testa. Una pressione sostenuta sui segmenti cervicali alti riproduce il dolore</w:t>
      </w:r>
      <w:r>
        <w:t xml:space="preserve"> </w:t>
      </w:r>
      <w:r>
        <w:rPr>
          <w:b/>
          <w:bCs/>
        </w:rPr>
        <w:t xml:space="preserve">in testa</w:t>
      </w:r>
      <w:r>
        <w:t xml:space="preserve">, non solo sotto il dito.</w:t>
      </w:r>
    </w:p>
    <w:p>
      <w:pPr>
        <w:pStyle w:val="BodyText"/>
      </w:pPr>
      <w:r>
        <w:rPr>
          <w:b/>
          <w:bCs/>
        </w:rPr>
        <w:t xml:space="preserve">Due strade che sboccano nello stesso incrocio, senza semaforo: chi sta a valle vede arrivare una macchina e non sa da quale delle due venga.</w:t>
      </w:r>
    </w:p>
    <w:bookmarkEnd w:id="31"/>
    <w:bookmarkStart w:id="32" w:name="la-bilancia-che-parte-da-tre-chili"/>
    <w:p>
      <w:pPr>
        <w:pStyle w:val="Heading3"/>
      </w:pPr>
      <w:r>
        <w:t xml:space="preserve">3. La bilancia che parte da tre chili</w:t>
      </w:r>
    </w:p>
    <w:p>
      <w:pPr>
        <w:pStyle w:val="FirstParagraph"/>
      </w:pPr>
      <w:r>
        <w:t xml:space="preserve">Spiega il passaggio dalla forma episodica a quella cronica, ed è il meccanismo più studiato nell’uomo. Ha due bracci, e il documento ne descriveva uno solo.</w:t>
      </w:r>
    </w:p>
    <w:p>
      <w:pPr>
        <w:pStyle w:val="Compact"/>
        <w:numPr>
          <w:ilvl w:val="0"/>
          <w:numId w:val="1013"/>
        </w:numPr>
      </w:pPr>
      <w:r>
        <w:rPr>
          <w:b/>
          <w:bCs/>
        </w:rPr>
        <w:t xml:space="preserve">Dal basso.</w:t>
      </w:r>
      <w:r>
        <w:t xml:space="preserve"> </w:t>
      </w:r>
      <w:r>
        <w:t xml:space="preserve">L’ingresso periferico prolungato cambia il modo in cui risponde il neurone di secondo ordine. La curva che lega pressione e dolore si sposta verso pressioni più basse. E cambia anche</w:t>
      </w:r>
      <w:r>
        <w:t xml:space="preserve"> </w:t>
      </w:r>
      <w:r>
        <w:rPr>
          <w:b/>
          <w:bCs/>
        </w:rPr>
        <w:t xml:space="preserve">forma</w:t>
      </w:r>
      <w:r>
        <w:t xml:space="preserve">: su un muscolo molto dolente diventa</w:t>
      </w:r>
      <w:r>
        <w:t xml:space="preserve"> </w:t>
      </w:r>
      <w:r>
        <w:rPr>
          <w:b/>
          <w:bCs/>
        </w:rPr>
        <w:t xml:space="preserve">lineare</w:t>
      </w:r>
      <w:r>
        <w:t xml:space="preserve"> </w:t>
      </w:r>
      <w:r>
        <w:t xml:space="preserve">(Bendtsen,</w:t>
      </w:r>
      <w:r>
        <w:t xml:space="preserve"> </w:t>
      </w:r>
      <w:r>
        <w:rPr>
          <w:i/>
          <w:iCs/>
        </w:rPr>
        <w:t xml:space="preserve">Pain</w:t>
      </w:r>
      <w:r>
        <w:t xml:space="preserve"> </w:t>
      </w:r>
      <w:r>
        <w:t xml:space="preserve">1996, PMID 8826515). Stimoli meccanici a bassa soglia cominciano a contare come dolore.</w:t>
      </w:r>
    </w:p>
    <w:p>
      <w:pPr>
        <w:pStyle w:val="Compact"/>
        <w:numPr>
          <w:ilvl w:val="0"/>
          <w:numId w:val="1013"/>
        </w:numPr>
      </w:pPr>
      <w:r>
        <w:rPr>
          <w:b/>
          <w:bCs/>
        </w:rPr>
        <w:t xml:space="preserve">Dall’alto.</w:t>
      </w:r>
      <w:r>
        <w:t xml:space="preserve"> </w:t>
      </w:r>
      <w:r>
        <w:t xml:space="preserve">Il freno discendente non si limita a mancare: nella forma cronica si</w:t>
      </w:r>
      <w:r>
        <w:t xml:space="preserve"> </w:t>
      </w:r>
      <w:r>
        <w:rPr>
          <w:b/>
          <w:bCs/>
        </w:rPr>
        <w:t xml:space="preserve">inverte</w:t>
      </w:r>
      <w:r>
        <w:t xml:space="preserve">. Prendi uno stimolo doloroso applicato altrove: nel sano riduce del 30% un riflesso nocicettivo. Nel paziente lo</w:t>
      </w:r>
      <w:r>
        <w:t xml:space="preserve"> </w:t>
      </w:r>
      <w:r>
        <w:rPr>
          <w:b/>
          <w:bCs/>
        </w:rPr>
        <w:t xml:space="preserve">facilita del 40%</w:t>
      </w:r>
      <w:r>
        <w:t xml:space="preserve"> </w:t>
      </w:r>
      <w:r>
        <w:t xml:space="preserve">(Sandrini,</w:t>
      </w:r>
      <w:r>
        <w:t xml:space="preserve"> </w:t>
      </w:r>
      <w:r>
        <w:rPr>
          <w:i/>
          <w:iCs/>
        </w:rPr>
        <w:t xml:space="preserve">Cephalalgia</w:t>
      </w:r>
      <w:r>
        <w:t xml:space="preserve"> </w:t>
      </w:r>
      <w:r>
        <w:t xml:space="preserve">2006, PMID 16776692). E il profilo varia da persona a persona (Exposto,</w:t>
      </w:r>
      <w:r>
        <w:t xml:space="preserve"> </w:t>
      </w:r>
      <w:r>
        <w:rPr>
          <w:i/>
          <w:iCs/>
        </w:rPr>
        <w:t xml:space="preserve">Pain Med</w:t>
      </w:r>
      <w:r>
        <w:t xml:space="preserve"> </w:t>
      </w:r>
      <w:r>
        <w:t xml:space="preserve">2021, PMID 33690821). Su questo braccio entra il sonno. È la</w:t>
      </w:r>
      <w:r>
        <w:t xml:space="preserve"> </w:t>
      </w:r>
      <w:r>
        <w:rPr>
          <w:b/>
          <w:bCs/>
        </w:rPr>
        <w:t xml:space="preserve">frammentazione</w:t>
      </w:r>
      <w:r>
        <w:t xml:space="preserve"> </w:t>
      </w:r>
      <w:r>
        <w:t xml:space="preserve">— non la riduzione delle ore — a far perdere la capacità di inibire il dolore e ad aumentare il dolore spontaneo. Il dato viene da trentadue donne sane studiate in polisonnografia per sette notti; le soglie del dolore non si sono mosse in nessun gruppo (Smith,</w:t>
      </w:r>
      <w:r>
        <w:t xml:space="preserve"> </w:t>
      </w:r>
      <w:r>
        <w:rPr>
          <w:i/>
          <w:iCs/>
        </w:rPr>
        <w:t xml:space="preserve">Sleep</w:t>
      </w:r>
      <w:r>
        <w:t xml:space="preserve"> </w:t>
      </w:r>
      <w:r>
        <w:t xml:space="preserve">2007, PMID 17520794).</w:t>
      </w:r>
      <w:r>
        <w:t xml:space="preserve"> </w:t>
      </w:r>
      <w:r>
        <w:rPr>
          <w:b/>
          <w:bCs/>
        </w:rPr>
        <w:t xml:space="preserve">Misurato su donne sane in laboratorio, non su pazienti con questa cefalea, e sull’inibizione del dolore, non sul mal di testa.</w:t>
      </w:r>
    </w:p>
    <w:p>
      <w:pPr>
        <w:pStyle w:val="Compact"/>
        <w:numPr>
          <w:ilvl w:val="0"/>
          <w:numId w:val="1013"/>
        </w:numPr>
      </w:pPr>
      <w:r>
        <w:t xml:space="preserve">Un braccio spinge e l’altro non trattiene. Così la sensibilizzazione si mantiene anche dopo che il fattore iniziale è rientrato.</w:t>
      </w:r>
    </w:p>
    <w:p>
      <w:pPr>
        <w:pStyle w:val="BlockText"/>
      </w:pPr>
      <w:r>
        <w:rPr>
          <w:b/>
          <w:bCs/>
        </w:rPr>
        <w:t xml:space="preserve">Quanto è solido:</w:t>
      </w:r>
      <w:r>
        <w:t xml:space="preserve"> </w:t>
      </w:r>
      <w:r>
        <w:t xml:space="preserve">l’etichetta si spezza, in tre pezzi.</w:t>
      </w:r>
      <w:r>
        <w:t xml:space="preserve"> </w:t>
      </w:r>
      <w:r>
        <w:rPr>
          <w:b/>
          <w:bCs/>
        </w:rPr>
        <w:t xml:space="preserve">PROBABILE</w:t>
      </w:r>
      <w:r>
        <w:t xml:space="preserve"> </w:t>
      </w:r>
      <w:r>
        <w:rPr>
          <w:i/>
          <w:iCs/>
        </w:rPr>
        <w:t xml:space="preserve">(razionale forte, prove parziali)</w:t>
      </w:r>
      <w:r>
        <w:t xml:space="preserve"> </w:t>
      </w:r>
      <w:r>
        <w:t xml:space="preserve">che la sensibilità pressoria sia abbassata</w:t>
      </w:r>
      <w:r>
        <w:t xml:space="preserve"> </w:t>
      </w:r>
      <w:r>
        <w:rPr>
          <w:b/>
          <w:bCs/>
        </w:rPr>
        <w:t xml:space="preserve">anche a distanza dalla testa nella sola forma cronica</w:t>
      </w:r>
      <w:r>
        <w:t xml:space="preserve">. Nella meta-analisi di venti studi la differenza sulle aree distanti è significativa solo nei cronici, ed è di circa −103 kPa. Ma gli autori dichiarano prove da basse a moderate,</w:t>
      </w:r>
      <w:r>
        <w:t xml:space="preserve"> </w:t>
      </w:r>
      <w:r>
        <w:rPr>
          <w:b/>
          <w:bCs/>
        </w:rPr>
        <w:t xml:space="preserve">alta eterogeneità e bias di pubblicazione</w:t>
      </w:r>
      <w:r>
        <w:t xml:space="preserve"> </w:t>
      </w:r>
      <w:r>
        <w:t xml:space="preserve">(Fernández-de-las-Peñas,</w:t>
      </w:r>
      <w:r>
        <w:t xml:space="preserve"> </w:t>
      </w:r>
      <w:r>
        <w:rPr>
          <w:i/>
          <w:iCs/>
        </w:rPr>
        <w:t xml:space="preserve">Cephalalgia</w:t>
      </w:r>
      <w:r>
        <w:t xml:space="preserve"> </w:t>
      </w:r>
      <w:r>
        <w:t xml:space="preserve">2021, PMID 32957796).</w:t>
      </w:r>
      <w:r>
        <w:t xml:space="preserve"> </w:t>
      </w:r>
      <w:r>
        <w:rPr>
          <w:b/>
          <w:bCs/>
        </w:rPr>
        <w:t xml:space="preserve">DIMOSTRATO</w:t>
      </w:r>
      <w:r>
        <w:t xml:space="preserve"> </w:t>
      </w:r>
      <w:r>
        <w:rPr>
          <w:i/>
          <w:iCs/>
        </w:rPr>
        <w:t xml:space="preserve">(studi sull’uomo, solidi)</w:t>
      </w:r>
      <w:r>
        <w:t xml:space="preserve"> </w:t>
      </w:r>
      <w:r>
        <w:t xml:space="preserve">che nel cronico il freno discendente sia invertito, e non solo carente (Sandrini, PMID 16776692).</w:t>
      </w:r>
      <w:r>
        <w:t xml:space="preserve"> </w:t>
      </w:r>
      <w:r>
        <w:rPr>
          <w:b/>
          <w:bCs/>
        </w:rPr>
        <w:t xml:space="preserve">IPOTESI</w:t>
      </w:r>
      <w:r>
        <w:t xml:space="preserve"> </w:t>
      </w:r>
      <w:r>
        <w:rPr>
          <w:i/>
          <w:iCs/>
        </w:rPr>
        <w:t xml:space="preserve">(meccanismo coerente, nessuno studio)</w:t>
      </w:r>
      <w:r>
        <w:t xml:space="preserve"> </w:t>
      </w:r>
      <w:r>
        <w:t xml:space="preserve">che una mano inverta la sensibilizzazione già stabilita, o sposti il profilo di modulazione: nessuno l’ha misurato</w:t>
      </w:r>
      <w:r>
        <w:t xml:space="preserve"> </w:t>
      </w:r>
      <w:r>
        <w:rPr>
          <w:b/>
          <w:bCs/>
        </w:rPr>
        <w:t xml:space="preserve">qui</w:t>
      </w:r>
      <w:r>
        <w:t xml:space="preserve">. Fuori da questa condizione è stato misurato, ed è poco: i numeri sono in «Cosa dice la scienza».</w:t>
      </w:r>
    </w:p>
    <w:p>
      <w:pPr>
        <w:pStyle w:val="FirstParagraph"/>
      </w:pPr>
      <w:r>
        <w:rPr>
          <w:b/>
          <w:bCs/>
        </w:rPr>
        <w:t xml:space="preserve">Come si vede addosso al paziente.</w:t>
      </w:r>
      <w:r>
        <w:t xml:space="preserve"> </w:t>
      </w:r>
      <w:r>
        <w:t xml:space="preserve">La forma è quotidiana o quasi. Gli dà fastidio anche la mano appoggiata sulla spalla. La soglia è abbassata anche su una mano. E il sollievo dopo la seduta è più breve di quanto il tessuto lascerebbe prevedere.</w:t>
      </w:r>
      <w:r>
        <w:t xml:space="preserve"> </w:t>
      </w:r>
      <w:r>
        <w:rPr>
          <w:b/>
          <w:bCs/>
        </w:rPr>
        <w:t xml:space="preserve">E una conseguenza per le tue mani:</w:t>
      </w:r>
      <w:r>
        <w:t xml:space="preserve"> </w:t>
      </w:r>
      <w:r>
        <w:t xml:space="preserve">in lui una pressione dolorosa applicata altrove non recluta il freno, aggiunge facilitazione. È la ragione fisiologica del contatto ampio e della progressione lenta.</w:t>
      </w:r>
    </w:p>
    <w:p>
      <w:pPr>
        <w:pStyle w:val="BodyText"/>
      </w:pPr>
      <w:r>
        <w:rPr>
          <w:b/>
          <w:bCs/>
        </w:rPr>
        <w:t xml:space="preserve">La bilancia del banco che segna tre chili col piatto vuoto: da lì in poi tutto pesa più di quanto pesi davvero.</w:t>
      </w:r>
    </w:p>
    <w:bookmarkEnd w:id="32"/>
    <w:bookmarkStart w:id="33" w:name="la-borsa-della-spesa-al-minuto-quaranta"/>
    <w:p>
      <w:pPr>
        <w:pStyle w:val="Heading3"/>
      </w:pPr>
      <w:r>
        <w:t xml:space="preserve">4. La borsa della spesa al minuto quaranta</w:t>
      </w:r>
    </w:p>
    <w:p>
      <w:pPr>
        <w:pStyle w:val="FirstParagraph"/>
      </w:pPr>
      <w:r>
        <w:t xml:space="preserve">Il carico statico prolungato non è pesante: è lungo. E la capacità di reggerlo si allena.</w:t>
      </w:r>
    </w:p>
    <w:p>
      <w:pPr>
        <w:pStyle w:val="Compact"/>
        <w:numPr>
          <w:ilvl w:val="0"/>
          <w:numId w:val="1014"/>
        </w:numPr>
      </w:pPr>
      <w:r>
        <w:t xml:space="preserve">Otto ore davanti a uno schermo chiedono al cingolo collo-spalla una contrazione bassa e ininterrotta.</w:t>
      </w:r>
    </w:p>
    <w:p>
      <w:pPr>
        <w:pStyle w:val="Compact"/>
        <w:numPr>
          <w:ilvl w:val="0"/>
          <w:numId w:val="1014"/>
        </w:numPr>
      </w:pPr>
      <w:r>
        <w:t xml:space="preserve">Un muscolo con poca capacità di resistenza arriva prima al punto in cui il metabolismo locale non regge, ed entra nel regime del primo meccanismo.</w:t>
      </w:r>
    </w:p>
    <w:p>
      <w:pPr>
        <w:pStyle w:val="Compact"/>
        <w:numPr>
          <w:ilvl w:val="0"/>
          <w:numId w:val="1014"/>
        </w:numPr>
      </w:pPr>
      <w:r>
        <w:t xml:space="preserve">La sera il carico finisce, ma il tempo di recupero è più lungo dell’intervallo fra due giornate. La mattina dopo si riparte da un livello più alto.</w:t>
      </w:r>
    </w:p>
    <w:p>
      <w:pPr>
        <w:pStyle w:val="BlockText"/>
      </w:pPr>
      <w:r>
        <w:rPr>
          <w:b/>
          <w:bCs/>
        </w:rPr>
        <w:t xml:space="preserve">Quanto è solido:</w:t>
      </w:r>
      <w:r>
        <w:t xml:space="preserve"> </w:t>
      </w:r>
      <w:r>
        <w:t xml:space="preserve">l’etichetta si spezza, in tre pezzi.</w:t>
      </w:r>
      <w:r>
        <w:t xml:space="preserve"> </w:t>
      </w:r>
      <w:r>
        <w:rPr>
          <w:b/>
          <w:bCs/>
        </w:rPr>
        <w:t xml:space="preserve">DIMOSTRATO</w:t>
      </w:r>
      <w:r>
        <w:t xml:space="preserve"> </w:t>
      </w:r>
      <w:r>
        <w:rPr>
          <w:i/>
          <w:iCs/>
        </w:rPr>
        <w:t xml:space="preserve">(studi sull’uomo, solidi)</w:t>
      </w:r>
      <w:r>
        <w:t xml:space="preserve"> </w:t>
      </w:r>
      <w:r>
        <w:t xml:space="preserve">che l’esercizio</w:t>
      </w:r>
      <w:r>
        <w:t xml:space="preserve"> </w:t>
      </w:r>
      <w:r>
        <w:rPr>
          <w:b/>
          <w:bCs/>
        </w:rPr>
        <w:t xml:space="preserve">contro resistenza</w:t>
      </w:r>
      <w:r>
        <w:t xml:space="preserve"> </w:t>
      </w:r>
      <w:r>
        <w:t xml:space="preserve">per collo e spalle riduca frequenza e intensità del mal di testa, dove le sintesi lo isolano dagli altri tipi di esercizio (Andersen CH, PMID 28854396; componente resistenza in Tao, PMID 40257956).</w:t>
      </w:r>
      <w:r>
        <w:t xml:space="preserve"> </w:t>
      </w:r>
      <w:r>
        <w:rPr>
          <w:b/>
          <w:bCs/>
        </w:rPr>
        <w:t xml:space="preserve">PROBABILE</w:t>
      </w:r>
      <w:r>
        <w:t xml:space="preserve"> </w:t>
      </w:r>
      <w:r>
        <w:rPr>
          <w:i/>
          <w:iCs/>
        </w:rPr>
        <w:t xml:space="preserve">(razionale forte, prove parziali)</w:t>
      </w:r>
      <w:r>
        <w:t xml:space="preserve"> </w:t>
      </w:r>
      <w:r>
        <w:t xml:space="preserve">che quel guadagno si trasferisca al paziente con diagnosi formale che tratti tu. Il quadro completo, compreso uno studio randomizzato negativo, è in «Cosa può fare il paziente da solo».</w:t>
      </w:r>
      <w:r>
        <w:t xml:space="preserve"> </w:t>
      </w:r>
      <w:r>
        <w:rPr>
          <w:b/>
          <w:bCs/>
        </w:rPr>
        <w:t xml:space="preserve">IPOTESI</w:t>
      </w:r>
      <w:r>
        <w:t xml:space="preserve"> </w:t>
      </w:r>
      <w:r>
        <w:rPr>
          <w:i/>
          <w:iCs/>
        </w:rPr>
        <w:t xml:space="preserve">(meccanismo coerente, nessuno studio)</w:t>
      </w:r>
      <w:r>
        <w:t xml:space="preserve"> </w:t>
      </w:r>
      <w:r>
        <w:t xml:space="preserve">che il guadagno passi per la capacità di resistenza. Lo spessore e la forza dei flessori profondi sono aumentati dopo un programma di forza (Martín-Vera,</w:t>
      </w:r>
      <w:r>
        <w:t xml:space="preserve"> </w:t>
      </w:r>
      <w:r>
        <w:rPr>
          <w:i/>
          <w:iCs/>
        </w:rPr>
        <w:t xml:space="preserve">Front Neurol</w:t>
      </w:r>
      <w:r>
        <w:t xml:space="preserve"> </w:t>
      </w:r>
      <w:r>
        <w:t xml:space="preserve">2023, PMID 37789886), ma</w:t>
      </w:r>
      <w:r>
        <w:t xml:space="preserve"> </w:t>
      </w:r>
      <w:r>
        <w:rPr>
          <w:b/>
          <w:bCs/>
        </w:rPr>
        <w:t xml:space="preserve">nessuno li ha misurati come mediatore</w:t>
      </w:r>
      <w:r>
        <w:t xml:space="preserve">.</w:t>
      </w:r>
    </w:p>
    <w:p>
      <w:pPr>
        <w:pStyle w:val="FirstParagraph"/>
      </w:pPr>
      <w:r>
        <w:rPr>
          <w:b/>
          <w:bCs/>
        </w:rPr>
        <w:t xml:space="preserve">Come si vede addosso al paziente.</w:t>
      </w:r>
      <w:r>
        <w:t xml:space="preserve"> </w:t>
      </w:r>
      <w:r>
        <w:t xml:space="preserve">L’orologio è la firma: comincia sempre nella stessa fascia oraria, dopo un numero di ore prevedibile. Nei fine settimana migliora e non sparisce. Si stanca a tenere le braccia alzate, e fa poca o nessuna attività fisica.</w:t>
      </w:r>
    </w:p>
    <w:p>
      <w:pPr>
        <w:pStyle w:val="BlockText"/>
      </w:pPr>
      <w:r>
        <w:rPr>
          <w:b/>
          <w:bCs/>
        </w:rPr>
        <w:t xml:space="preserve">Attenzione — il contro-segnale.</w:t>
      </w:r>
      <w:r>
        <w:t xml:space="preserve"> </w:t>
      </w:r>
      <w:r>
        <w:t xml:space="preserve">Un fine settimana che</w:t>
      </w:r>
      <w:r>
        <w:t xml:space="preserve"> </w:t>
      </w:r>
      <w:r>
        <w:rPr>
          <w:b/>
          <w:bCs/>
        </w:rPr>
        <w:t xml:space="preserve">peggiora</w:t>
      </w:r>
      <w:r>
        <w:t xml:space="preserve"> </w:t>
      </w:r>
      <w:r>
        <w:t xml:space="preserve">non conferma il carico statico: lo smentisce. Le due letture sono la sospensione della caffeina e il sonno spostato. Sulla caffeina chiedi quante tazze, a che ora, e cosa cambia il sabato. La caffeina agisce sui recettori dell’adenosina, non sul muscolo, e il rimbalzo ha un calendario che puoi confrontare con quello del tuo paziente: esordio fra</w:t>
      </w:r>
      <w:r>
        <w:t xml:space="preserve"> </w:t>
      </w:r>
      <w:r>
        <w:rPr>
          <w:b/>
          <w:bCs/>
        </w:rPr>
        <w:t xml:space="preserve">12 e 24 ore</w:t>
      </w:r>
      <w:r>
        <w:t xml:space="preserve"> </w:t>
      </w:r>
      <w:r>
        <w:t xml:space="preserve">dall’ultima tazza, picco fra</w:t>
      </w:r>
      <w:r>
        <w:t xml:space="preserve"> </w:t>
      </w:r>
      <w:r>
        <w:rPr>
          <w:b/>
          <w:bCs/>
        </w:rPr>
        <w:t xml:space="preserve">20 e 51 ore</w:t>
      </w:r>
      <w:r>
        <w:t xml:space="preserve">, durata da</w:t>
      </w:r>
      <w:r>
        <w:t xml:space="preserve"> </w:t>
      </w:r>
      <w:r>
        <w:rPr>
          <w:b/>
          <w:bCs/>
        </w:rPr>
        <w:t xml:space="preserve">2 a 9 giorni</w:t>
      </w:r>
      <w:r>
        <w:t xml:space="preserve">, e comparsa a partire da</w:t>
      </w:r>
      <w:r>
        <w:t xml:space="preserve"> </w:t>
      </w:r>
      <w:r>
        <w:rPr>
          <w:b/>
          <w:bCs/>
        </w:rPr>
        <w:t xml:space="preserve">100 mg al giorno</w:t>
      </w:r>
      <w:r>
        <w:t xml:space="preserve">. I numeri vengono da cinquantasette studi sperimentali e nove indagini (Juliano,</w:t>
      </w:r>
      <w:r>
        <w:t xml:space="preserve"> </w:t>
      </w:r>
      <w:r>
        <w:rPr>
          <w:i/>
          <w:iCs/>
        </w:rPr>
        <w:t xml:space="preserve">Psychopharmacology</w:t>
      </w:r>
      <w:r>
        <w:t xml:space="preserve"> </w:t>
      </w:r>
      <w:r>
        <w:t xml:space="preserve">2004, PMID 15448977).</w:t>
      </w:r>
      <w:r>
        <w:t xml:space="preserve"> </w:t>
      </w:r>
      <w:r>
        <w:rPr>
          <w:b/>
          <w:bCs/>
        </w:rPr>
        <w:t xml:space="preserve">Etichetta: DIMOSTRATO</w:t>
      </w:r>
      <w:r>
        <w:t xml:space="preserve"> </w:t>
      </w:r>
      <w:r>
        <w:rPr>
          <w:i/>
          <w:iCs/>
        </w:rPr>
        <w:t xml:space="preserve">(studi sull’uomo, solidi)</w:t>
      </w:r>
      <w:r>
        <w:t xml:space="preserve"> </w:t>
      </w:r>
      <w:r>
        <w:t xml:space="preserve">sul fenomeno della sospensione. È un modificatore esogeno, non una leva.</w:t>
      </w:r>
    </w:p>
    <w:p>
      <w:pPr>
        <w:pStyle w:val="FirstParagraph"/>
      </w:pPr>
      <w:r>
        <w:rPr>
          <w:b/>
          <w:bCs/>
        </w:rPr>
        <w:t xml:space="preserve">La borsa della spesa tenuta a braccio teso: non pesa niente al primo secondo, è insopportabile al minuto quaranta, e il peso non è cambiato.</w:t>
      </w:r>
    </w:p>
    <w:bookmarkEnd w:id="33"/>
    <w:bookmarkStart w:id="34" w:name="la-molla-lasciata-in-tensione"/>
    <w:p>
      <w:pPr>
        <w:pStyle w:val="Heading3"/>
      </w:pPr>
      <w:r>
        <w:t xml:space="preserve">5. La molla lasciata in tensione</w:t>
      </w:r>
    </w:p>
    <w:p>
      <w:pPr>
        <w:pStyle w:val="FirstParagraph"/>
      </w:pPr>
      <w:r>
        <w:t xml:space="preserve">Lo stato di attivazione non genera questo mal di testa: ne alza il volume e ne allunga la coda.</w:t>
      </w:r>
    </w:p>
    <w:p>
      <w:pPr>
        <w:pStyle w:val="Compact"/>
        <w:numPr>
          <w:ilvl w:val="0"/>
          <w:numId w:val="1015"/>
        </w:numPr>
      </w:pPr>
      <w:r>
        <w:t xml:space="preserve">Un periodo di carico mentale</w:t>
      </w:r>
      <w:r>
        <w:t xml:space="preserve"> </w:t>
      </w:r>
      <w:r>
        <w:rPr>
          <w:b/>
          <w:bCs/>
        </w:rPr>
        <w:t xml:space="preserve">abbassa il guadagno del sistema che inibisce il dolore</w:t>
      </w:r>
      <w:r>
        <w:t xml:space="preserve">. Lo stesso ingresso, che ieri non contava, comincia a contare.</w:t>
      </w:r>
    </w:p>
    <w:p>
      <w:pPr>
        <w:pStyle w:val="Compact"/>
        <w:numPr>
          <w:ilvl w:val="0"/>
          <w:numId w:val="1015"/>
        </w:numPr>
      </w:pPr>
      <w:r>
        <w:t xml:space="preserve">Il paziente sta in guardia rispetto al proprio mal di testa: lo aspetta, lo controlla, si irrigidisce quando lo sente arrivare.</w:t>
      </w:r>
    </w:p>
    <w:p>
      <w:pPr>
        <w:pStyle w:val="Compact"/>
        <w:numPr>
          <w:ilvl w:val="0"/>
          <w:numId w:val="1015"/>
        </w:numPr>
      </w:pPr>
      <w:r>
        <w:t xml:space="preserve">L’irrigidimento aumenta l’ingresso, e l’ingresso conferma l’attesa. Il ciclo si chiude, e da fuori sembra</w:t>
      </w:r>
      <w:r>
        <w:t xml:space="preserve"> </w:t>
      </w:r>
      <w:r>
        <w:t xml:space="preserve">“carattere”</w:t>
      </w:r>
      <w:r>
        <w:t xml:space="preserv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sul ciclo così come è scritto. Due pezzi hanno una misura, ed entrambi sono</w:t>
      </w:r>
      <w:r>
        <w:t xml:space="preserve"> </w:t>
      </w:r>
      <w:r>
        <w:rPr>
          <w:b/>
          <w:bCs/>
        </w:rPr>
        <w:t xml:space="preserve">DIMOSTRATO</w:t>
      </w:r>
      <w:r>
        <w:t xml:space="preserve"> </w:t>
      </w:r>
      <w:r>
        <w:rPr>
          <w:i/>
          <w:iCs/>
        </w:rPr>
        <w:t xml:space="preserve">(studi sull’uomo, solidi)</w:t>
      </w:r>
      <w:r>
        <w:t xml:space="preserve">. Primo: nell’induzione sperimentale l’aumento della dolorabilità pericranica</w:t>
      </w:r>
      <w:r>
        <w:t xml:space="preserve"> </w:t>
      </w:r>
      <w:r>
        <w:rPr>
          <w:b/>
          <w:bCs/>
        </w:rPr>
        <w:t xml:space="preserve">non è necessario</w:t>
      </w:r>
      <w:r>
        <w:t xml:space="preserve"> </w:t>
      </w:r>
      <w:r>
        <w:t xml:space="preserve">a innescare l’episodio, e a proteggere è l’attivazione del freno discendente (Exposto,</w:t>
      </w:r>
      <w:r>
        <w:t xml:space="preserve"> </w:t>
      </w:r>
      <w:r>
        <w:rPr>
          <w:i/>
          <w:iCs/>
        </w:rPr>
        <w:t xml:space="preserve">Cephalalgia</w:t>
      </w:r>
      <w:r>
        <w:t xml:space="preserve"> </w:t>
      </w:r>
      <w:r>
        <w:t xml:space="preserve">2019, PMID 30922083). Secondo: il contesto pesa molto — è l’88% di «Cosa dice la scienza» (Ezzatvar, PMID 38602164),</w:t>
      </w:r>
      <w:r>
        <w:t xml:space="preserve"> </w:t>
      </w:r>
      <w:r>
        <w:rPr>
          <w:b/>
          <w:bCs/>
        </w:rPr>
        <w:t xml:space="preserve">misurato su dolore muscolo-scheletrico in generale, non su questa condizione</w:t>
      </w:r>
      <w:r>
        <w:t xml:space="preserve">.</w:t>
      </w:r>
    </w:p>
    <w:p>
      <w:pPr>
        <w:pStyle w:val="FirstParagraph"/>
      </w:pPr>
      <w:r>
        <w:rPr>
          <w:b/>
          <w:bCs/>
        </w:rPr>
        <w:t xml:space="preserve">Come si vede addosso al paziente.</w:t>
      </w:r>
      <w:r>
        <w:t xml:space="preserve"> </w:t>
      </w:r>
      <w:r>
        <w:t xml:space="preserve">Migliora in vacanza e riparte il lunedì. I tessuti si contraggono appena appoggi le mani. Trattiene il respiro mentre parla del sintomo, e racconta un evento di vita nella stessa frase dell’esordio.</w:t>
      </w:r>
      <w:r>
        <w:t xml:space="preserve"> </w:t>
      </w:r>
      <w:r>
        <w:rPr>
          <w:b/>
          <w:bCs/>
        </w:rPr>
        <w:t xml:space="preserve">E l’avvertenza che serve:</w:t>
      </w:r>
      <w:r>
        <w:t xml:space="preserve"> </w:t>
      </w:r>
      <w:r>
        <w:t xml:space="preserve">in lui</w:t>
      </w:r>
      <w:r>
        <w:t xml:space="preserve"> </w:t>
      </w:r>
      <w:r>
        <w:rPr>
          <w:b/>
          <w:bCs/>
        </w:rPr>
        <w:t xml:space="preserve">il tessuto può palpare uguale</w:t>
      </w:r>
      <w:r>
        <w:t xml:space="preserve">. Se cerchi il muscolo più duro come conferma non la trovi, e concludi che il meccanismo non c’è. Quello che è cambiato è quanto gli costa lo stesso ingresso.</w:t>
      </w:r>
    </w:p>
    <w:p>
      <w:pPr>
        <w:pStyle w:val="BodyText"/>
      </w:pPr>
      <w:r>
        <w:rPr>
          <w:b/>
          <w:bCs/>
        </w:rPr>
        <w:t xml:space="preserve">Una molla del cancello lasciata sempre un po’ tirata: regge, e col tempo smette di tornare alla lunghezza di partenza.</w:t>
      </w:r>
    </w:p>
    <w:bookmarkEnd w:id="34"/>
    <w:bookmarkStart w:id="35" w:name="che-tipo-di-dolore-hai-davanti"/>
    <w:p>
      <w:pPr>
        <w:pStyle w:val="Heading3"/>
      </w:pPr>
      <w:r>
        <w:t xml:space="preserve">Che tipo di dolore hai davanti</w:t>
      </w:r>
    </w:p>
    <w:p>
      <w:pPr>
        <w:pStyle w:val="FirstParagraph"/>
      </w:pPr>
      <w:r>
        <w:t xml:space="preserve">Serve per il taglio fra i sottotipi. Negli episodici il quadro è prevalentemente</w:t>
      </w:r>
      <w:r>
        <w:t xml:space="preserve"> </w:t>
      </w:r>
      <w:r>
        <w:rPr>
          <w:b/>
          <w:bCs/>
        </w:rPr>
        <w:t xml:space="preserve">nocicettivo</w:t>
      </w:r>
      <w:r>
        <w:t xml:space="preserve">: il dolore nasce da un tessuto che manda segnale.</w:t>
      </w:r>
    </w:p>
    <w:p>
      <w:pPr>
        <w:pStyle w:val="BodyText"/>
      </w:pPr>
      <w:r>
        <w:t xml:space="preserve">Nel cronico sensibilizzato è</w:t>
      </w:r>
      <w:r>
        <w:t xml:space="preserve"> </w:t>
      </w:r>
      <w:r>
        <w:rPr>
          <w:b/>
          <w:bCs/>
        </w:rPr>
        <w:t xml:space="preserve">nociplastico</w:t>
      </w:r>
      <w:r>
        <w:t xml:space="preserve">: nasce da un’alterazione del modo in cui il sistema elabora il segnale, senza un danno tissutale che lo giustifichi. La cefalea tensiva è nominata fra le condizioni in cui il dolore nociplastico compare in</w:t>
      </w:r>
      <w:r>
        <w:t xml:space="preserve"> </w:t>
      </w:r>
      <w:r>
        <w:rPr>
          <w:b/>
          <w:bCs/>
        </w:rPr>
        <w:t xml:space="preserve">forma isolata</w:t>
      </w:r>
      <w:r>
        <w:t xml:space="preserve"> </w:t>
      </w:r>
      <w:r>
        <w:t xml:space="preserve">(Fitzcharles,</w:t>
      </w:r>
      <w:r>
        <w:t xml:space="preserve"> </w:t>
      </w:r>
      <w:r>
        <w:rPr>
          <w:i/>
          <w:iCs/>
        </w:rPr>
        <w:t xml:space="preserve">Lancet</w:t>
      </w:r>
      <w:r>
        <w:t xml:space="preserve"> </w:t>
      </w:r>
      <w:r>
        <w:t xml:space="preserve">2021, PMID 34062144).</w:t>
      </w:r>
    </w:p>
    <w:p>
      <w:pPr>
        <w:pStyle w:val="BodyText"/>
      </w:pPr>
      <w:r>
        <w:t xml:space="preserve">Il terzo tipo, il</w:t>
      </w:r>
      <w:r>
        <w:t xml:space="preserve"> </w:t>
      </w:r>
      <w:r>
        <w:rPr>
          <w:b/>
          <w:bCs/>
        </w:rPr>
        <w:t xml:space="preserve">neuropatico</w:t>
      </w:r>
      <w:r>
        <w:t xml:space="preserve">, nasce da una lesione del sistema nervoso e</w:t>
      </w:r>
      <w:r>
        <w:t xml:space="preserve"> </w:t>
      </w:r>
      <w:r>
        <w:rPr>
          <w:b/>
          <w:bCs/>
        </w:rPr>
        <w:t xml:space="preserve">non è questa condizione</w:t>
      </w:r>
      <w:r>
        <w:t xml:space="preserve">.</w:t>
      </w:r>
    </w:p>
    <w:p>
      <w:pPr>
        <w:pStyle w:val="BodyText"/>
      </w:pPr>
      <w:r>
        <w:rPr>
          <w:b/>
          <w:bCs/>
        </w:rPr>
        <w:t xml:space="preserve">Perché ti riguarda:</w:t>
      </w:r>
      <w:r>
        <w:t xml:space="preserve"> </w:t>
      </w:r>
      <w:r>
        <w:t xml:space="preserve">la categoria nociplastica porta con sé la previsione di una</w:t>
      </w:r>
      <w:r>
        <w:t xml:space="preserve"> </w:t>
      </w:r>
      <w:r>
        <w:rPr>
          <w:b/>
          <w:bCs/>
        </w:rPr>
        <w:t xml:space="preserve">risposta ridotta alle terapie dirette alla periferia</w:t>
      </w:r>
      <w:r>
        <w:t xml:space="preserve">. Il cronico non è un episodico più grave: è il paziente in cui la tua leva principale rende meno.</w:t>
      </w:r>
    </w:p>
    <w:p>
      <w:pPr>
        <w:pStyle w:val="BodyText"/>
      </w:pPr>
      <w:r>
        <w:rPr>
          <w:b/>
          <w:bCs/>
        </w:rPr>
        <w:t xml:space="preserve">Le tre cose da ricordare, più una</w:t>
      </w:r>
    </w:p>
    <w:p>
      <w:pPr>
        <w:pStyle w:val="Compact"/>
        <w:numPr>
          <w:ilvl w:val="0"/>
          <w:numId w:val="1016"/>
        </w:numPr>
      </w:pPr>
      <w:r>
        <w:t xml:space="preserve">L’associazione fra dolore pericranico e frequenza è misurata; che comandi in questo paziente è la tua ipotesi, e va verificata su un marker.</w:t>
      </w:r>
    </w:p>
    <w:p>
      <w:pPr>
        <w:pStyle w:val="Compact"/>
        <w:numPr>
          <w:ilvl w:val="0"/>
          <w:numId w:val="1016"/>
        </w:numPr>
      </w:pPr>
      <w:r>
        <w:t xml:space="preserve">La sensibilità diffusa accompagna la forma cronica, ma è una differenza fra medie con bias di pubblicazione dichiarato: non classifica una persona.</w:t>
      </w:r>
    </w:p>
    <w:p>
      <w:pPr>
        <w:pStyle w:val="Compact"/>
        <w:numPr>
          <w:ilvl w:val="0"/>
          <w:numId w:val="1016"/>
        </w:numPr>
      </w:pPr>
      <w:r>
        <w:t xml:space="preserve">Il punto che riproduce il mal di testa è il reperto più dimostrativo e il più riproducibile fra esaminatori. Serve al paziente prima che a te.</w:t>
      </w:r>
    </w:p>
    <w:p>
      <w:pPr>
        <w:pStyle w:val="Compact"/>
        <w:numPr>
          <w:ilvl w:val="0"/>
          <w:numId w:val="1016"/>
        </w:numPr>
      </w:pPr>
      <w:r>
        <w:rPr>
          <w:b/>
          <w:bCs/>
        </w:rPr>
        <w:t xml:space="preserve">Perché ci sei tu.</w:t>
      </w:r>
      <w:r>
        <w:t xml:space="preserve"> </w:t>
      </w:r>
      <w:r>
        <w:t xml:space="preserve">La revisione internazionale di riferimento ritiene</w:t>
      </w:r>
      <w:r>
        <w:t xml:space="preserve"> </w:t>
      </w:r>
      <w:r>
        <w:rPr>
          <w:b/>
          <w:bCs/>
        </w:rPr>
        <w:t xml:space="preserve">probabile</w:t>
      </w:r>
      <w:r>
        <w:t xml:space="preserve"> </w:t>
      </w:r>
      <w:r>
        <w:t xml:space="preserve">che i meccanismi periferici siano responsabili della genesi del dolore, e riserva alla sensibilizzazione centrale il passaggio da episodico a cronico (Ashina S,</w:t>
      </w:r>
      <w:r>
        <w:t xml:space="preserve"> </w:t>
      </w:r>
      <w:r>
        <w:rPr>
          <w:i/>
          <w:iCs/>
        </w:rPr>
        <w:t xml:space="preserve">Nat Rev Dis Primers</w:t>
      </w:r>
      <w:r>
        <w:t xml:space="preserve"> </w:t>
      </w:r>
      <w:r>
        <w:t xml:space="preserve">2021, PMID 33767185). Ti autorizza a dire che il bersaglio muscolo-scheletrico sta dentro la fisiopatologia riconosciuta, e non è un’aggiunta osteopatica. Non ti autorizza a dedurne che il trattamento manuale funzioni. E non ti autorizza a portare l’argomento della genesi periferica sul paziente cronico, che è proprio quello in cui la stessa fonte lo esclude.</w:t>
      </w:r>
    </w:p>
    <w:p>
      <w:r>
        <w:pict>
          <v:rect style="width:0;height:1.5pt" o:hralign="center" o:hrstd="t" o:hr="t"/>
        </w:pict>
      </w:r>
    </w:p>
    <w:bookmarkEnd w:id="35"/>
    <w:bookmarkEnd w:id="36"/>
    <w:bookmarkStart w:id="45"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otto pattern, nessuno si manda via del tutto, e due non hanno un punto da premere.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Episodico con punto attivo</w:t>
            </w:r>
          </w:p>
        </w:tc>
        <w:tc>
          <w:tcPr/>
          <w:p>
            <w:pPr>
              <w:pStyle w:val="Compact"/>
            </w:pPr>
            <w:r>
              <w:t xml:space="preserve">La palpazione riproduce il dolore</w:t>
            </w:r>
          </w:p>
        </w:tc>
        <w:tc>
          <w:tcPr/>
          <w:p>
            <w:pPr>
              <w:pStyle w:val="Compact"/>
            </w:pPr>
            <w:r>
              <w:t xml:space="preserve">L’ingresso che non si chiude</w:t>
            </w:r>
          </w:p>
        </w:tc>
        <w:tc>
          <w:tcPr/>
          <w:p>
            <w:pPr>
              <w:pStyle w:val="Compact"/>
            </w:pPr>
            <w:r>
              <w:t xml:space="preserve">Molto</w:t>
            </w:r>
          </w:p>
        </w:tc>
      </w:tr>
      <w:tr>
        <w:tc>
          <w:tcPr/>
          <w:p>
            <w:pPr>
              <w:pStyle w:val="Compact"/>
            </w:pPr>
            <w:r>
              <w:t xml:space="preserve">Episodico da carico statico</w:t>
            </w:r>
          </w:p>
        </w:tc>
        <w:tc>
          <w:tcPr/>
          <w:p>
            <w:pPr>
              <w:pStyle w:val="Compact"/>
            </w:pPr>
            <w:r>
              <w:t xml:space="preserve">Orario fisso, migliora in ferie</w:t>
            </w:r>
          </w:p>
        </w:tc>
        <w:tc>
          <w:tcPr/>
          <w:p>
            <w:pPr>
              <w:pStyle w:val="Compact"/>
            </w:pPr>
            <w:r>
              <w:t xml:space="preserve">La borsa della spesa</w:t>
            </w:r>
          </w:p>
        </w:tc>
        <w:tc>
          <w:tcPr/>
          <w:p>
            <w:pPr>
              <w:pStyle w:val="Compact"/>
            </w:pPr>
            <w:r>
              <w:t xml:space="preserve">Molto</w:t>
            </w:r>
          </w:p>
        </w:tc>
      </w:tr>
      <w:tr>
        <w:tc>
          <w:tcPr/>
          <w:p>
            <w:pPr>
              <w:pStyle w:val="Compact"/>
            </w:pPr>
            <w:r>
              <w:t xml:space="preserve">Con componente mandibolare</w:t>
            </w:r>
          </w:p>
        </w:tc>
        <w:tc>
          <w:tcPr/>
          <w:p>
            <w:pPr>
              <w:pStyle w:val="Compact"/>
            </w:pPr>
            <w:r>
              <w:t xml:space="preserve">Serramento diurno, temporale dolente</w:t>
            </w:r>
          </w:p>
        </w:tc>
        <w:tc>
          <w:tcPr/>
          <w:p>
            <w:pPr>
              <w:pStyle w:val="Compact"/>
            </w:pPr>
            <w:r>
              <w:t xml:space="preserve">L’ingresso, la convergenza</w:t>
            </w:r>
          </w:p>
        </w:tc>
        <w:tc>
          <w:tcPr/>
          <w:p>
            <w:pPr>
              <w:pStyle w:val="Compact"/>
            </w:pPr>
            <w:r>
              <w:t xml:space="preserve">Abbastanza</w:t>
            </w:r>
          </w:p>
        </w:tc>
      </w:tr>
      <w:tr>
        <w:tc>
          <w:tcPr/>
          <w:p>
            <w:pPr>
              <w:pStyle w:val="Compact"/>
            </w:pPr>
            <w:r>
              <w:t xml:space="preserve">Cronico sensibilizzato</w:t>
            </w:r>
          </w:p>
        </w:tc>
        <w:tc>
          <w:tcPr/>
          <w:p>
            <w:pPr>
              <w:pStyle w:val="Compact"/>
            </w:pPr>
            <w:r>
              <w:t xml:space="preserve">Sensibilità diffusa fuori dalla testa</w:t>
            </w:r>
          </w:p>
        </w:tc>
        <w:tc>
          <w:tcPr/>
          <w:p>
            <w:pPr>
              <w:pStyle w:val="Compact"/>
            </w:pPr>
            <w:r>
              <w:t xml:space="preserve">La bilancia</w:t>
            </w:r>
          </w:p>
        </w:tc>
        <w:tc>
          <w:tcPr/>
          <w:p>
            <w:pPr>
              <w:pStyle w:val="Compact"/>
            </w:pPr>
            <w:r>
              <w:t xml:space="preserve">Abbastanza</w:t>
            </w:r>
          </w:p>
        </w:tc>
      </w:tr>
      <w:tr>
        <w:tc>
          <w:tcPr/>
          <w:p>
            <w:pPr>
              <w:pStyle w:val="Compact"/>
            </w:pPr>
            <w:r>
              <w:t xml:space="preserve">Con driver di attivazione</w:t>
            </w:r>
          </w:p>
        </w:tc>
        <w:tc>
          <w:tcPr/>
          <w:p>
            <w:pPr>
              <w:pStyle w:val="Compact"/>
            </w:pPr>
            <w:r>
              <w:t xml:space="preserve">Esordio agganciato a un evento</w:t>
            </w:r>
          </w:p>
        </w:tc>
        <w:tc>
          <w:tcPr/>
          <w:p>
            <w:pPr>
              <w:pStyle w:val="Compact"/>
            </w:pPr>
            <w:r>
              <w:t xml:space="preserve">La molla</w:t>
            </w:r>
          </w:p>
        </w:tc>
        <w:tc>
          <w:tcPr/>
          <w:p>
            <w:pPr>
              <w:pStyle w:val="Compact"/>
            </w:pPr>
            <w:r>
              <w:t xml:space="preserve">Abbastanza</w:t>
            </w:r>
          </w:p>
        </w:tc>
      </w:tr>
      <w:tr>
        <w:tc>
          <w:tcPr/>
          <w:p>
            <w:pPr>
              <w:pStyle w:val="Compact"/>
            </w:pPr>
            <w:r>
              <w:t xml:space="preserve">Senza dolorabilità pericranica</w:t>
            </w:r>
          </w:p>
        </w:tc>
        <w:tc>
          <w:tcPr/>
          <w:p>
            <w:pPr>
              <w:pStyle w:val="Compact"/>
            </w:pPr>
            <w:r>
              <w:t xml:space="preserve">Punteggio basso, nessun punto</w:t>
            </w:r>
          </w:p>
        </w:tc>
        <w:tc>
          <w:tcPr/>
          <w:p>
            <w:pPr>
              <w:pStyle w:val="Compact"/>
            </w:pPr>
            <w:r>
              <w:t xml:space="preserve">Carico, capacità, attivazione</w:t>
            </w:r>
          </w:p>
        </w:tc>
        <w:tc>
          <w:tcPr/>
          <w:p>
            <w:pPr>
              <w:pStyle w:val="Compact"/>
            </w:pPr>
            <w:r>
              <w:t xml:space="preserve">Poco a mano, molto in regia</w:t>
            </w:r>
          </w:p>
        </w:tc>
      </w:tr>
      <w:tr>
        <w:tc>
          <w:tcPr/>
          <w:p>
            <w:pPr>
              <w:pStyle w:val="Compact"/>
            </w:pPr>
            <w:r>
              <w:t xml:space="preserve">Tensiva in chi ha anche emicrania</w:t>
            </w:r>
          </w:p>
        </w:tc>
        <w:tc>
          <w:tcPr/>
          <w:p>
            <w:pPr>
              <w:pStyle w:val="Compact"/>
            </w:pPr>
            <w:r>
              <w:t xml:space="preserve">Due mal di testa che sa distinguere</w:t>
            </w:r>
          </w:p>
        </w:tc>
        <w:tc>
          <w:tcPr/>
          <w:p>
            <w:pPr>
              <w:pStyle w:val="Compact"/>
            </w:pPr>
            <w:r>
              <w:t xml:space="preserve">L’ingresso, sulla quota tensiva</w:t>
            </w:r>
          </w:p>
        </w:tc>
        <w:tc>
          <w:tcPr/>
          <w:p>
            <w:pPr>
              <w:pStyle w:val="Compact"/>
            </w:pPr>
            <w:r>
              <w:t xml:space="preserve">Abbastanza, sui giorni tensivi</w:t>
            </w:r>
          </w:p>
        </w:tc>
      </w:tr>
      <w:tr>
        <w:tc>
          <w:tcPr/>
          <w:p>
            <w:pPr>
              <w:pStyle w:val="Compact"/>
            </w:pPr>
            <w:r>
              <w:t xml:space="preserve">Con uso eccessivo di farmaci</w:t>
            </w:r>
          </w:p>
        </w:tc>
        <w:tc>
          <w:tcPr/>
          <w:p>
            <w:pPr>
              <w:pStyle w:val="Compact"/>
            </w:pPr>
            <w:r>
              <w:t xml:space="preserve">15 giorni al mese di analgesico</w:t>
            </w:r>
          </w:p>
        </w:tc>
        <w:tc>
          <w:tcPr/>
          <w:p>
            <w:pPr>
              <w:pStyle w:val="Compact"/>
            </w:pPr>
            <w:r>
              <w:t xml:space="preserve">Il farmaco, fuori dai cinque</w:t>
            </w:r>
          </w:p>
        </w:tc>
        <w:tc>
          <w:tcPr/>
          <w:p>
            <w:pPr>
              <w:pStyle w:val="Compact"/>
            </w:pPr>
            <w:r>
              <w:t xml:space="preserve">Poco sul mal di testa, molto sul tessuto</w:t>
            </w:r>
          </w:p>
        </w:tc>
      </w:tr>
    </w:tbl>
    <w:bookmarkStart w:id="37" w:name="episodico-con-punto-attivo"/>
    <w:p>
      <w:pPr>
        <w:pStyle w:val="Heading3"/>
      </w:pPr>
      <w:r>
        <w:t xml:space="preserve">Episodico con punto attivo</w:t>
      </w:r>
    </w:p>
    <w:p>
      <w:pPr>
        <w:pStyle w:val="FirstParagraph"/>
      </w:pPr>
      <w:r>
        <w:t xml:space="preserve">È il sottotipo su cui hai più da offrire, e il più semplice da verificare. La palpazione di un punto riproduce il quadro, e il paziente lo riconosce. La soglia su un sito lontano è ancora vicina alla norma. L’associazione fra numero di punti attivi e sensibilità diffusa è più forte proprio qui (Palacios-Ceña,</w:t>
      </w:r>
      <w:r>
        <w:t xml:space="preserve"> </w:t>
      </w:r>
      <w:r>
        <w:rPr>
          <w:i/>
          <w:iCs/>
        </w:rPr>
        <w:t xml:space="preserve">Cephalalgia</w:t>
      </w:r>
      <w:r>
        <w:t xml:space="preserve"> </w:t>
      </w:r>
      <w:r>
        <w:t xml:space="preserve">2018, PMID 27919024). Quadro prevalentemente</w:t>
      </w:r>
      <w:r>
        <w:t xml:space="preserve"> </w:t>
      </w:r>
      <w:r>
        <w:rPr>
          <w:b/>
          <w:bCs/>
        </w:rPr>
        <w:t xml:space="preserve">nocicettivo</w:t>
      </w:r>
      <w:r>
        <w:t xml:space="preserve">.</w:t>
      </w:r>
    </w:p>
    <w:bookmarkEnd w:id="37"/>
    <w:bookmarkStart w:id="38" w:name="episodico-da-carico-statico"/>
    <w:p>
      <w:pPr>
        <w:pStyle w:val="Heading3"/>
      </w:pPr>
      <w:r>
        <w:t xml:space="preserve">Episodico da carico statico</w:t>
      </w:r>
    </w:p>
    <w:p>
      <w:pPr>
        <w:pStyle w:val="FirstParagraph"/>
      </w:pPr>
      <w:r>
        <w:t xml:space="preserve">Il segnale è l’orologio, non la palpazione. Il dolore compare in una fascia oraria prevedibile, dopo un numero prevedibile di ore ferme, e migliora nei giorni liberi. Qui la leva principale non è la tua mano: è quello che il paziente fa da solo, e ha le prove migliori dell’intero documento.</w:t>
      </w:r>
    </w:p>
    <w:bookmarkEnd w:id="38"/>
    <w:bookmarkStart w:id="39" w:name="con-componente-mandibolare"/>
    <w:p>
      <w:pPr>
        <w:pStyle w:val="Heading3"/>
      </w:pPr>
      <w:r>
        <w:t xml:space="preserve">Con componente mandibolare</w:t>
      </w:r>
    </w:p>
    <w:p>
      <w:pPr>
        <w:pStyle w:val="FirstParagraph"/>
      </w:pPr>
      <w:r>
        <w:t xml:space="preserve">Il paziente riconosce il serramento diurno, oppure si sveglia con la mandibola indolenzita. Temporale e massetere sono i siti più dolenti del conteggio.</w:t>
      </w:r>
    </w:p>
    <w:p>
      <w:pPr>
        <w:pStyle w:val="BodyText"/>
      </w:pPr>
      <w:r>
        <w:rPr>
          <w:b/>
          <w:bCs/>
        </w:rPr>
        <w:t xml:space="preserve">Il tuo bersaglio è il muscolo che stringe, non il dispositivo.</w:t>
      </w:r>
      <w:r>
        <w:t xml:space="preserve"> </w:t>
      </w:r>
      <w:r>
        <w:t xml:space="preserve">Due tipi diversi di placca hanno prodotto lo stesso risultato sul dolore, senza differenze fra i gruppi (Doepel,</w:t>
      </w:r>
      <w:r>
        <w:t xml:space="preserve"> </w:t>
      </w:r>
      <w:r>
        <w:rPr>
          <w:i/>
          <w:iCs/>
        </w:rPr>
        <w:t xml:space="preserve">Acta Odontol Scand</w:t>
      </w:r>
      <w:r>
        <w:t xml:space="preserve"> </w:t>
      </w:r>
      <w:r>
        <w:t xml:space="preserve">2011, PMID 21142584).</w:t>
      </w:r>
    </w:p>
    <w:p>
      <w:pPr>
        <w:pStyle w:val="BodyText"/>
      </w:pPr>
      <w:r>
        <w:rPr>
          <w:b/>
          <w:bCs/>
        </w:rPr>
        <w:t xml:space="preserve">E il serramento che conta qui è quello di giorno.</w:t>
      </w:r>
      <w:r>
        <w:t xml:space="preserve"> </w:t>
      </w:r>
      <w:r>
        <w:t xml:space="preserve">Chi ha bruxismo</w:t>
      </w:r>
      <w:r>
        <w:t xml:space="preserve"> </w:t>
      </w:r>
      <w:r>
        <w:rPr>
          <w:b/>
          <w:bCs/>
        </w:rPr>
        <w:t xml:space="preserve">da sveglio</w:t>
      </w:r>
      <w:r>
        <w:t xml:space="preserve"> </w:t>
      </w:r>
      <w:r>
        <w:t xml:space="preserve">ha una probabilità di cefalea tensiva di</w:t>
      </w:r>
      <w:r>
        <w:t xml:space="preserve"> </w:t>
      </w:r>
      <w:r>
        <w:rPr>
          <w:b/>
          <w:bCs/>
        </w:rPr>
        <w:t xml:space="preserve">5,23 volte</w:t>
      </w:r>
      <w:r>
        <w:t xml:space="preserve"> </w:t>
      </w:r>
      <w:r>
        <w:t xml:space="preserve">quella di chi non ce l’ha (IC 95% 2,57–10,65), su tre studi osservazionali dentro una revisione sistematica. Il bruxismo</w:t>
      </w:r>
      <w:r>
        <w:t xml:space="preserve"> </w:t>
      </w:r>
      <w:r>
        <w:rPr>
          <w:b/>
          <w:bCs/>
        </w:rPr>
        <w:t xml:space="preserve">del sonno</w:t>
      </w:r>
      <w:r>
        <w:t xml:space="preserve"> </w:t>
      </w:r>
      <w:r>
        <w:t xml:space="preserve">non ha mostrato associazione con questa cefalea (Réus,</w:t>
      </w:r>
      <w:r>
        <w:t xml:space="preserve"> </w:t>
      </w:r>
      <w:r>
        <w:rPr>
          <w:i/>
          <w:iCs/>
        </w:rPr>
        <w:t xml:space="preserve">J Oral Facial Pain Headache</w:t>
      </w:r>
      <w:r>
        <w:t xml:space="preserve"> </w:t>
      </w:r>
      <w:r>
        <w:t xml:space="preserve">2021, PMID 34129658).</w:t>
      </w:r>
      <w:r>
        <w:t xml:space="preserve"> </w:t>
      </w:r>
      <w:r>
        <w:rPr>
          <w:b/>
          <w:bCs/>
        </w:rPr>
        <w:t xml:space="preserve">Etichetta: PROBABILE</w:t>
      </w:r>
      <w:r>
        <w:t xml:space="preserve"> </w:t>
      </w:r>
      <w:r>
        <w:rPr>
          <w:i/>
          <w:iCs/>
        </w:rPr>
        <w:t xml:space="preserve">(razionale forte, prove parziali)</w:t>
      </w:r>
      <w:r>
        <w:t xml:space="preserve"> </w:t>
      </w:r>
      <w:r>
        <w:rPr>
          <w:b/>
          <w:bCs/>
        </w:rPr>
        <w:t xml:space="preserve">sull’associazione.</w:t>
      </w:r>
      <w:r>
        <w:t xml:space="preserve"> </w:t>
      </w:r>
      <w:r>
        <w:t xml:space="preserve">È un’associazione e non una direzione: nessuno ha randomizzato nessuno a stringere i denti, e i fattori psicosociali sono confondenti dichiarati. Se il quadro mandibolare domina, vedi la</w:t>
      </w:r>
      <w:r>
        <w:t xml:space="preserve"> </w:t>
      </w:r>
      <w:r>
        <w:rPr>
          <w:b/>
          <w:bCs/>
        </w:rPr>
        <w:t xml:space="preserve">Bibbia del Bruxismo</w:t>
      </w:r>
      <w:r>
        <w:t xml:space="preserve">.</w:t>
      </w:r>
    </w:p>
    <w:p>
      <w:pPr>
        <w:pStyle w:val="BlockText"/>
      </w:pPr>
      <w:r>
        <w:rPr>
          <w:b/>
          <w:bCs/>
        </w:rPr>
        <w:t xml:space="preserve">Attenzione — sopra i cinquant’anni questo non è un sottotipo finché non hai escluso l’arterite a cellule giganti.</w:t>
      </w:r>
      <w:r>
        <w:t xml:space="preserve"> </w:t>
      </w:r>
      <w:r>
        <w:t xml:space="preserve">Mandibola che si stanca masticando e cuoio capelluto dolente, in un over 50, sono la riga urgente di «Dove finisce il nostro campo». La claudicatio mandibolare è quasi specifica di quella malattia, che porta a perdita visiva irreversibile. Ed esistono pazienti trattati per mesi come disordine temporomandibolare prima della diagnosi.</w:t>
      </w:r>
    </w:p>
    <w:bookmarkEnd w:id="39"/>
    <w:bookmarkStart w:id="40" w:name="cronico-sensibilizzato"/>
    <w:p>
      <w:pPr>
        <w:pStyle w:val="Heading3"/>
      </w:pPr>
      <w:r>
        <w:t xml:space="preserve">Cronico sensibilizzato</w:t>
      </w:r>
    </w:p>
    <w:p>
      <w:pPr>
        <w:pStyle w:val="FirstParagraph"/>
      </w:pPr>
      <w:r>
        <w:t xml:space="preserve">Quindici giorni al mese o più, da almeno tre mesi, con la soglia di pressione abbassata anche a distanza dalla testa. È il quadro</w:t>
      </w:r>
      <w:r>
        <w:t xml:space="preserve"> </w:t>
      </w:r>
      <w:r>
        <w:rPr>
          <w:b/>
          <w:bCs/>
        </w:rPr>
        <w:t xml:space="preserve">nociplastico</w:t>
      </w:r>
      <w:r>
        <w:t xml:space="preserve"> </w:t>
      </w:r>
      <w:r>
        <w:t xml:space="preserve">di questa condizione, e la categoria porta con sé la previsione di una risposta ridotta alle terapie dirette alla periferia (Fitzcharles,</w:t>
      </w:r>
      <w:r>
        <w:t xml:space="preserve"> </w:t>
      </w:r>
      <w:r>
        <w:rPr>
          <w:i/>
          <w:iCs/>
        </w:rPr>
        <w:t xml:space="preserve">Lancet</w:t>
      </w:r>
      <w:r>
        <w:t xml:space="preserve"> </w:t>
      </w:r>
      <w:r>
        <w:t xml:space="preserve">2021, PMID 34062144).</w:t>
      </w:r>
    </w:p>
    <w:p>
      <w:pPr>
        <w:pStyle w:val="BodyText"/>
      </w:pPr>
      <w:r>
        <w:t xml:space="preserve">Non punti a spegnere il dolore in seduta: punti a togliere ingresso periferico, e a misurare in settimane. Ed è il sottotipo in cui il canale medico va attivato per iscritto, perché la profilassi ha prove più forti di qualunque cosa tu possa fare.</w:t>
      </w:r>
    </w:p>
    <w:bookmarkEnd w:id="40"/>
    <w:bookmarkStart w:id="41" w:name="con-driver-di-attivazione"/>
    <w:p>
      <w:pPr>
        <w:pStyle w:val="Heading3"/>
      </w:pPr>
      <w:r>
        <w:t xml:space="preserve">Con driver di attivazione</w:t>
      </w:r>
    </w:p>
    <w:p>
      <w:pPr>
        <w:pStyle w:val="FirstParagraph"/>
      </w:pPr>
      <w:r>
        <w:t xml:space="preserve">L’esordio o l’aggravamento coincide con un evento di vita. Il paziente è in guardia rispetto al proprio sintomo, e i tessuti reagiscono appena li tocchi.</w:t>
      </w:r>
      <w:r>
        <w:t xml:space="preserve"> </w:t>
      </w:r>
      <w:r>
        <w:rPr>
          <w:b/>
          <w:bCs/>
        </w:rPr>
        <w:t xml:space="preserve">Non è un sottotipo che si rimanda: è quello in cui il modo in cui tratti conta più di cosa tratti.</w:t>
      </w:r>
      <w:r>
        <w:t xml:space="preserve"> </w:t>
      </w:r>
      <w:r>
        <w:t xml:space="preserve">E su questo hai un dato di popolazione, non un’opinione. La leva, con la sua etichetta reale, sta in «Perché le mani possono cambiare qualcosa».</w:t>
      </w:r>
    </w:p>
    <w:bookmarkEnd w:id="41"/>
    <w:bookmarkStart w:id="42" w:name="senza-dolorabilità-pericranica"/>
    <w:p>
      <w:pPr>
        <w:pStyle w:val="Heading3"/>
      </w:pPr>
      <w:r>
        <w:t xml:space="preserve">Senza dolorabilità pericranica</w:t>
      </w:r>
    </w:p>
    <w:p>
      <w:pPr>
        <w:pStyle w:val="FirstParagraph"/>
      </w:pPr>
      <w:r>
        <w:t xml:space="preserve">È l’altra metà della divisione che «Che cos’è davvero» chiama l’unica stabilita con le mani. Palpi e non trovi.</w:t>
      </w:r>
    </w:p>
    <w:p>
      <w:pPr>
        <w:pStyle w:val="BodyText"/>
      </w:pPr>
      <w:r>
        <w:rPr>
          <w:b/>
          <w:bCs/>
        </w:rPr>
        <w:t xml:space="preserve">Non cercare più forte.</w:t>
      </w:r>
      <w:r>
        <w:t xml:space="preserve"> </w:t>
      </w:r>
      <w:r>
        <w:t xml:space="preserve">Quel paziente ti dice che l’ingresso periferico non comanda, e ti sposta su carico e capacità, attivazione, sonno e conteggio. I due strumenti di «Cosa può fare il paziente da solo» diventano la leva principale, e la tua parte è la regia.</w:t>
      </w:r>
    </w:p>
    <w:p>
      <w:pPr>
        <w:pStyle w:val="BodyText"/>
      </w:pPr>
      <w:r>
        <w:t xml:space="preserve">Attenzione al mandato:</w:t>
      </w:r>
      <w:r>
        <w:t xml:space="preserve"> </w:t>
      </w:r>
      <w:r>
        <w:rPr>
          <w:b/>
          <w:bCs/>
        </w:rPr>
        <w:t xml:space="preserve">«Dove finisce il nostro campo» dichiara riproducibili quattro reperti, e la palpazione è solo il primo.</w:t>
      </w:r>
      <w:r>
        <w:t xml:space="preserve"> </w:t>
      </w:r>
      <w:r>
        <w:t xml:space="preserve">Se non ne trovi nessuno dei quattro, la condizione del GIALLO non è soddisfatta.</w:t>
      </w:r>
      <w:r>
        <w:t xml:space="preserve"> </w:t>
      </w:r>
      <w:r>
        <w:rPr>
          <w:b/>
          <w:bCs/>
        </w:rPr>
        <w:t xml:space="preserve">Etichetta: RAGIONAMENTO</w:t>
      </w:r>
      <w:r>
        <w:t xml:space="preserve"> </w:t>
      </w:r>
      <w:r>
        <w:rPr>
          <w:i/>
          <w:iCs/>
        </w:rPr>
        <w:t xml:space="preserve">(cornice clinica, non una prova)</w:t>
      </w:r>
      <w:r>
        <w:t xml:space="preserve">.</w:t>
      </w:r>
    </w:p>
    <w:bookmarkEnd w:id="42"/>
    <w:bookmarkStart w:id="43" w:name="tensiva-in-chi-ha-anche-emicrania"/>
    <w:p>
      <w:pPr>
        <w:pStyle w:val="Heading3"/>
      </w:pPr>
      <w:r>
        <w:t xml:space="preserve">Tensiva in chi ha anche emicrania</w:t>
      </w:r>
    </w:p>
    <w:p>
      <w:pPr>
        <w:pStyle w:val="FirstParagraph"/>
      </w:pPr>
      <w:r>
        <w:t xml:space="preserve">Non è un rinvio ad altra Bibbia: è lo stesso paziente in due giorni diversi. Chi ha entrambe ha il dolore pericranico più alto di tutti i gruppi misurati, e la prognosi peggiore. Il segnale è che sa distinguerli: uno preme e non lo ferma, l’altro batte e lo ferma.</w:t>
      </w:r>
    </w:p>
    <w:p>
      <w:pPr>
        <w:pStyle w:val="BodyText"/>
      </w:pPr>
      <w:r>
        <w:rPr>
          <w:b/>
          <w:bCs/>
        </w:rPr>
        <w:t xml:space="preserve">La conseguenza pesa più del sottotipo.</w:t>
      </w:r>
      <w:r>
        <w:t xml:space="preserve"> </w:t>
      </w:r>
      <w:r>
        <w:t xml:space="preserve">Giorni al mese e assunzioni sono contaminati dalle giornate emicraniche, che non rispondono al tuo lavoro. Sono due spese sullo stesso conto: finché non le separi, non sai quale è cresciuta. Quindi il conteggio va tenuto</w:t>
      </w:r>
      <w:r>
        <w:t xml:space="preserve"> </w:t>
      </w:r>
      <w:r>
        <w:rPr>
          <w:b/>
          <w:bCs/>
        </w:rPr>
        <w:t xml:space="preserve">prospettico e separato per tipo</w:t>
      </w:r>
      <w:r>
        <w:t xml:space="preserve">. Per gli attacchi che battono, vedi la</w:t>
      </w:r>
      <w:r>
        <w:t xml:space="preserve"> </w:t>
      </w:r>
      <w:r>
        <w:rPr>
          <w:b/>
          <w:bCs/>
        </w:rPr>
        <w:t xml:space="preserve">Bibbia dell’Emicrania</w:t>
      </w:r>
      <w:r>
        <w:t xml:space="preserve">.</w:t>
      </w:r>
      <w:r>
        <w:t xml:space="preserve"> </w:t>
      </w:r>
      <w:r>
        <w:rPr>
          <w:b/>
          <w:bCs/>
        </w:rPr>
        <w:t xml:space="preserve">Etichetta: RAGIONAMENTO</w:t>
      </w:r>
      <w:r>
        <w:t xml:space="preserve"> </w:t>
      </w:r>
      <w:r>
        <w:rPr>
          <w:i/>
          <w:iCs/>
        </w:rPr>
        <w:t xml:space="preserve">(cornice clinica, non una prova)</w:t>
      </w:r>
      <w:r>
        <w:t xml:space="preserve">.</w:t>
      </w:r>
    </w:p>
    <w:bookmarkEnd w:id="43"/>
    <w:bookmarkStart w:id="44" w:name="con-uso-eccessivo-di-farmaci"/>
    <w:p>
      <w:pPr>
        <w:pStyle w:val="Heading3"/>
      </w:pPr>
      <w:r>
        <w:t xml:space="preserve">Con uso eccessivo di farmaci</w:t>
      </w:r>
    </w:p>
    <w:p>
      <w:pPr>
        <w:pStyle w:val="FirstParagraph"/>
      </w:pPr>
      <w:r>
        <w:t xml:space="preserve">Analgesici semplici quindici giorni al mese o più, oppure combinazioni e triptani dieci o più, da tre mesi. Il mal di testa che vedi è anche quello che i farmaci mantengono.</w:t>
      </w:r>
    </w:p>
    <w:p>
      <w:pPr>
        <w:pStyle w:val="BodyText"/>
      </w:pPr>
      <w:r>
        <w:rPr>
          <w:b/>
          <w:bCs/>
        </w:rPr>
        <w:t xml:space="preserve">Non risolverla non è non toccarla.</w:t>
      </w:r>
      <w:r>
        <w:t xml:space="preserve"> </w:t>
      </w:r>
      <w:r>
        <w:t xml:space="preserve">Il suo tessuto pericranico è dolente come negli altri, e lui è il paziente che soffre di più. Qui non c’è niente da escludere, perché il conteggio ha già fatto la diagnosi. Non è sospetto diagnostico: è co-gestione, e si fa in tre mosse.</w:t>
      </w:r>
    </w:p>
    <w:p>
      <w:pPr>
        <w:pStyle w:val="Compact"/>
        <w:numPr>
          <w:ilvl w:val="0"/>
          <w:numId w:val="1017"/>
        </w:numPr>
      </w:pPr>
      <w:r>
        <w:rPr>
          <w:b/>
          <w:bCs/>
        </w:rPr>
        <w:t xml:space="preserve">Canale medico scritto e non differibile.</w:t>
      </w:r>
    </w:p>
    <w:p>
      <w:pPr>
        <w:pStyle w:val="Compact"/>
        <w:numPr>
          <w:ilvl w:val="0"/>
          <w:numId w:val="1017"/>
        </w:numPr>
      </w:pPr>
      <w:r>
        <w:rPr>
          <w:b/>
          <w:bCs/>
        </w:rPr>
        <w:t xml:space="preserve">Lavoro sulla componente muscolare in parallelo</w:t>
      </w:r>
      <w:r>
        <w:t xml:space="preserve">, come in qualunque GIALLO.</w:t>
      </w:r>
    </w:p>
    <w:p>
      <w:pPr>
        <w:pStyle w:val="Compact"/>
        <w:numPr>
          <w:ilvl w:val="0"/>
          <w:numId w:val="1017"/>
        </w:numPr>
      </w:pPr>
      <w:r>
        <w:rPr>
          <w:b/>
          <w:bCs/>
        </w:rPr>
        <w:t xml:space="preserve">Obiettivo dichiarato al paziente:</w:t>
      </w:r>
      <w:r>
        <w:t xml:space="preserve"> </w:t>
      </w:r>
      <w:r>
        <w:rPr>
          <w:i/>
          <w:iCs/>
        </w:rPr>
        <w:t xml:space="preserve">“non tolgo il mal di testa che il farmaco mantiene: lavoro sul tessuto mentre il suo medico gestisce il farmaco.”</w:t>
      </w:r>
    </w:p>
    <w:p>
      <w:pPr>
        <w:pStyle w:val="FirstParagraph"/>
      </w:pPr>
      <w:r>
        <w:t xml:space="preserve">Divieto assoluto di consigli su riduzione o sospensione.</w:t>
      </w:r>
      <w:r>
        <w:t xml:space="preserve"> </w:t>
      </w:r>
      <w:r>
        <w:rPr>
          <w:b/>
          <w:bCs/>
        </w:rPr>
        <w:t xml:space="preserve">Etichetta: RAGIONAMENTO</w:t>
      </w:r>
      <w:r>
        <w:t xml:space="preserve"> </w:t>
      </w:r>
      <w:r>
        <w:rPr>
          <w:i/>
          <w:iCs/>
        </w:rPr>
        <w:t xml:space="preserve">(cornice clinica, non una prova)</w:t>
      </w:r>
      <w:r>
        <w:t xml:space="preserve">.</w:t>
      </w:r>
    </w:p>
    <w:p>
      <w:pPr>
        <w:pStyle w:val="BodyText"/>
      </w:pPr>
      <w:r>
        <w:rPr>
          <w:b/>
          <w:bCs/>
        </w:rPr>
        <w:t xml:space="preserve">Le tre cose da ricordare, più una</w:t>
      </w:r>
    </w:p>
    <w:p>
      <w:pPr>
        <w:pStyle w:val="Compact"/>
        <w:numPr>
          <w:ilvl w:val="0"/>
          <w:numId w:val="1018"/>
        </w:numPr>
      </w:pPr>
      <w:r>
        <w:t xml:space="preserve">Il sottotipo si decide con quattro cose: l’orologio, com’è al risveglio, la palpazione che riproduce, il conteggio delle pastiglie.</w:t>
      </w:r>
    </w:p>
    <w:p>
      <w:pPr>
        <w:pStyle w:val="Compact"/>
        <w:numPr>
          <w:ilvl w:val="0"/>
          <w:numId w:val="1018"/>
        </w:numPr>
      </w:pPr>
      <w:r>
        <w:t xml:space="preserve">Se palpi e non trovi niente hai un sottotipo, non un fallimento: la tua mano conta meno e la tua regia di più.</w:t>
      </w:r>
    </w:p>
    <w:p>
      <w:pPr>
        <w:pStyle w:val="Compact"/>
        <w:numPr>
          <w:ilvl w:val="0"/>
          <w:numId w:val="1018"/>
        </w:numPr>
      </w:pPr>
      <w:r>
        <w:t xml:space="preserve">Con entrambe le cefalee, conta i giorni separati per tipo, da subito e in avanti.</w:t>
      </w:r>
    </w:p>
    <w:p>
      <w:pPr>
        <w:pStyle w:val="Compact"/>
        <w:numPr>
          <w:ilvl w:val="0"/>
          <w:numId w:val="1018"/>
        </w:numPr>
      </w:pPr>
      <w:r>
        <w:rPr>
          <w:b/>
          <w:bCs/>
        </w:rPr>
        <w:t xml:space="preserve">Perché ci sei tu.</w:t>
      </w:r>
      <w:r>
        <w:t xml:space="preserve"> </w:t>
      </w:r>
      <w:r>
        <w:t xml:space="preserve">Nella cefalea da uso eccessivo di farmaci la prevalenza stimata negli adulti va dallo 0,5% al 7,2%. La forbice è larga perché ogni studio definisce l’uso eccessivo in modo diverso (Westergaard,</w:t>
      </w:r>
      <w:r>
        <w:t xml:space="preserve"> </w:t>
      </w:r>
      <w:r>
        <w:rPr>
          <w:i/>
          <w:iCs/>
        </w:rPr>
        <w:t xml:space="preserve">Cephalalgia</w:t>
      </w:r>
      <w:r>
        <w:t xml:space="preserve"> </w:t>
      </w:r>
      <w:r>
        <w:t xml:space="preserve">2014, PMID 24293089). Ti autorizza a contare le assunzioni, a scriverlo al curante, e a lavorare sul tessuto mentre lui gestisce il farmaco. Non ti autorizza a trattarla come una tensiva più intensa, né a dare consigli sul farmaco.</w:t>
      </w:r>
    </w:p>
    <w:p>
      <w:r>
        <w:pict>
          <v:rect style="width:0;height:1.5pt" o:hralign="center" o:hrstd="t" o:hr="t"/>
        </w:pict>
      </w:r>
    </w:p>
    <w:bookmarkEnd w:id="44"/>
    <w:bookmarkEnd w:id="45"/>
    <w:bookmarkStart w:id="51"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due modelli comandano questa condizione, due la accompagnano e uno sposta solo la prognosi — e dirlo vale più che riempirli tutti.</w:t>
      </w:r>
    </w:p>
    <w:p>
      <w:pPr>
        <w:pStyle w:val="FirstParagraph"/>
      </w:pPr>
      <w:r>
        <w:t xml:space="preserve">I modelli sono in ordine di peso, non di manuale.</w:t>
      </w:r>
      <w:r>
        <w:t xml:space="preserve"> </w:t>
      </w:r>
      <w:r>
        <w:rPr>
          <w:b/>
          <w:bCs/>
        </w:rPr>
        <w:t xml:space="preserve">Neurologico e Comportamentale comandano.</w:t>
      </w:r>
      <w:r>
        <w:t xml:space="preserve"> </w:t>
      </w:r>
      <w:r>
        <w:t xml:space="preserve">Il Biomeccanico è secondario. Respiratorio e Metabolico sono accessori.</w:t>
      </w:r>
    </w:p>
    <w:p>
      <w:pPr>
        <w:pStyle w:val="BodyText"/>
      </w:pPr>
      <w:r>
        <w:rPr>
          <w:b/>
          <w:bCs/>
        </w:rPr>
        <w:t xml:space="preserve">E questo è l’ordine del peso.</w:t>
      </w:r>
      <w:r>
        <w:t xml:space="preserve"> </w:t>
      </w:r>
      <w:r>
        <w:t xml:space="preserve">La Road Map del capitolo successivo ne segue un altro, perché interroga per primo ciò che regola: per questo mette il recupero al terzo posto e non in fondo.</w:t>
      </w:r>
    </w:p>
    <w:bookmarkStart w:id="46" w:name="neurologico"/>
    <w:p>
      <w:pPr>
        <w:pStyle w:val="Heading3"/>
      </w:pPr>
      <w:r>
        <w:t xml:space="preserve">Neurologico</w:t>
      </w:r>
    </w:p>
    <w:p>
      <w:pPr>
        <w:pStyle w:val="FirstParagraph"/>
      </w:pPr>
      <w:r>
        <w:rPr>
          <w:b/>
          <w:bCs/>
        </w:rPr>
        <w:t xml:space="preserve">Cosa governa qui.</w:t>
      </w:r>
      <w:r>
        <w:t xml:space="preserve"> </w:t>
      </w:r>
      <w:r>
        <w:t xml:space="preserve">L’ingresso nocicettivo dal muscolo, la convergenza collo-testa, e il guadagno del sistema che decide quando quell’ingresso diventa dolore.</w:t>
      </w:r>
    </w:p>
    <w:p>
      <w:pPr>
        <w:pStyle w:val="BodyText"/>
      </w:pPr>
      <w:r>
        <w:rPr>
          <w:b/>
          <w:bCs/>
        </w:rPr>
        <w:t xml:space="preserve">Meccanismi.</w:t>
      </w:r>
      <w:r>
        <w:t xml:space="preserve"> </w:t>
      </w:r>
      <w:r>
        <w:rPr>
          <w:b/>
          <w:bCs/>
        </w:rPr>
        <w:t xml:space="preserve">L’ingresso che non si chiude</w:t>
      </w:r>
      <w:r>
        <w:t xml:space="preserve">, in co-proprietà con il Biomeccanico: il carico è biomeccanico, la nocicezione e la sommazione al primo relè sono neurologiche. Poi le due strade che sboccano nello stesso incrocio. Poi la bilancia, con entrambi i bracci. E infine i</w:t>
      </w:r>
      <w:r>
        <w:t xml:space="preserve"> </w:t>
      </w:r>
      <w:r>
        <w:rPr>
          <w:b/>
          <w:bCs/>
        </w:rPr>
        <w:t xml:space="preserve">modificatori esogeni</w:t>
      </w:r>
      <w:r>
        <w:t xml:space="preserve">, cioè caffeina e analgesici ripetuti: agiscono sulla soglia del sistema che elabora il dolore e non sul muscolo, e per questo stanno qui e non nel metabolico.</w:t>
      </w:r>
    </w:p>
    <w:p>
      <w:pPr>
        <w:pStyle w:val="BodyText"/>
      </w:pPr>
      <w:r>
        <w:rPr>
          <w:b/>
          <w:bCs/>
        </w:rPr>
        <w:t xml:space="preserve">Gli attori.</w:t>
      </w:r>
      <w:r>
        <w:t xml:space="preserve"> </w:t>
      </w:r>
      <w:r>
        <w:t xml:space="preserve">Complesso trigemino-cervicale, radici C1-C3, terminazioni nocicettive di gruppo III e IV, vie discendenti dal tronco encefalico.</w:t>
      </w:r>
    </w:p>
    <w:p>
      <w:pPr>
        <w:pStyle w:val="BodyText"/>
      </w:pPr>
      <w:r>
        <w:rPr>
          <w:b/>
          <w:bCs/>
        </w:rPr>
        <w:t xml:space="preserve">I segnali.</w:t>
      </w:r>
      <w:r>
        <w:t xml:space="preserve"> </w:t>
      </w:r>
      <w:r>
        <w:t xml:space="preserve">Palpazione sostenuta dei segmenti alti che riferisce dolore in testa. Sensibilità abbassata anche fuori dalla testa. Dolore al tocco leggero. Conteggio delle assunzioni elevato. Fine settimana che peggiora invece di migliorare.</w:t>
      </w:r>
    </w:p>
    <w:p>
      <w:pPr>
        <w:pStyle w:val="BlockText"/>
      </w:pPr>
      <w:r>
        <w:rPr>
          <w:b/>
          <w:bCs/>
        </w:rPr>
        <w:t xml:space="preserve">Quanto è solido:</w:t>
      </w:r>
      <w:r>
        <w:t xml:space="preserve"> </w:t>
      </w:r>
      <w:r>
        <w:t xml:space="preserve">l’etichetta si spezza, in tre pezzi.</w:t>
      </w:r>
      <w:r>
        <w:t xml:space="preserve"> </w:t>
      </w:r>
      <w:r>
        <w:rPr>
          <w:b/>
          <w:bCs/>
        </w:rPr>
        <w:t xml:space="preserve">DIMOSTRATO</w:t>
      </w:r>
      <w:r>
        <w:t xml:space="preserve"> </w:t>
      </w:r>
      <w:r>
        <w:rPr>
          <w:i/>
          <w:iCs/>
        </w:rPr>
        <w:t xml:space="preserve">(studi sull’uomo, solidi)</w:t>
      </w:r>
      <w:r>
        <w:t xml:space="preserve"> </w:t>
      </w:r>
      <w:r>
        <w:t xml:space="preserve">che nella forma cronica il freno discendente sia invertito, e non solo carente (Sandrini,</w:t>
      </w:r>
      <w:r>
        <w:t xml:space="preserve"> </w:t>
      </w:r>
      <w:r>
        <w:rPr>
          <w:i/>
          <w:iCs/>
        </w:rPr>
        <w:t xml:space="preserve">Cephalalgia</w:t>
      </w:r>
      <w:r>
        <w:t xml:space="preserve"> </w:t>
      </w:r>
      <w:r>
        <w:t xml:space="preserve">2006, PMID 16776692).</w:t>
      </w:r>
      <w:r>
        <w:t xml:space="preserve"> </w:t>
      </w:r>
      <w:r>
        <w:rPr>
          <w:b/>
          <w:bCs/>
        </w:rPr>
        <w:t xml:space="preserve">PROBABILE</w:t>
      </w:r>
      <w:r>
        <w:t xml:space="preserve"> </w:t>
      </w:r>
      <w:r>
        <w:rPr>
          <w:i/>
          <w:iCs/>
        </w:rPr>
        <w:t xml:space="preserve">(razionale forte, prove parziali)</w:t>
      </w:r>
      <w:r>
        <w:t xml:space="preserve"> </w:t>
      </w:r>
      <w:r>
        <w:t xml:space="preserve">che la sensibilità pressoria sia abbassata anche in aree lontane nella sola forma cronica: prove da basse a moderate, con eterogeneità e bias di pubblicazione dichiarati (Fernández-de-las-Peñas,</w:t>
      </w:r>
      <w:r>
        <w:t xml:space="preserve"> </w:t>
      </w:r>
      <w:r>
        <w:rPr>
          <w:i/>
          <w:iCs/>
        </w:rPr>
        <w:t xml:space="preserve">Cephalalgia</w:t>
      </w:r>
      <w:r>
        <w:t xml:space="preserve"> </w:t>
      </w:r>
      <w:r>
        <w:t xml:space="preserve">2021, PMID 32957796).</w:t>
      </w:r>
      <w:r>
        <w:t xml:space="preserve"> </w:t>
      </w:r>
      <w:r>
        <w:rPr>
          <w:b/>
          <w:bCs/>
        </w:rPr>
        <w:t xml:space="preserve">IPOTESI</w:t>
      </w:r>
      <w:r>
        <w:t xml:space="preserve"> </w:t>
      </w:r>
      <w:r>
        <w:rPr>
          <w:i/>
          <w:iCs/>
        </w:rPr>
        <w:t xml:space="preserve">(meccanismo coerente, nessuno studio)</w:t>
      </w:r>
      <w:r>
        <w:t xml:space="preserve"> </w:t>
      </w:r>
      <w:r>
        <w:t xml:space="preserve">che la nostra mano modifichi quella soglia in modo durevole. L’effetto di una mobilizzazione cervicale sui marcatori autonomici è stato misurato contro placebo e in doppio cieco. La direzione era quella dell’attivazione (Sterling,</w:t>
      </w:r>
      <w:r>
        <w:t xml:space="preserve"> </w:t>
      </w:r>
      <w:r>
        <w:rPr>
          <w:i/>
          <w:iCs/>
        </w:rPr>
        <w:t xml:space="preserve">Man Ther</w:t>
      </w:r>
      <w:r>
        <w:t xml:space="preserve"> </w:t>
      </w:r>
      <w:r>
        <w:t xml:space="preserve">2001, PMID 11414776) —</w:t>
      </w:r>
      <w:r>
        <w:t xml:space="preserve"> </w:t>
      </w:r>
      <w:r>
        <w:rPr>
          <w:b/>
          <w:bCs/>
        </w:rPr>
        <w:t xml:space="preserve">su dolore cervicale, non su questa condizione</w:t>
      </w:r>
      <w:r>
        <w:t xml:space="preserve">.</w:t>
      </w:r>
    </w:p>
    <w:bookmarkEnd w:id="46"/>
    <w:bookmarkStart w:id="4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guadagno della modulazione, l’attesa del sintomo, il supporto sociale. E la quota di risultato che dipende da come si svolge l’incontro, invece che da cosa si fa.</w:t>
      </w:r>
    </w:p>
    <w:p>
      <w:pPr>
        <w:pStyle w:val="BodyText"/>
      </w:pPr>
      <w:r>
        <w:rPr>
          <w:b/>
          <w:bCs/>
        </w:rPr>
        <w:t xml:space="preserve">Meccanismi.</w:t>
      </w:r>
      <w:r>
        <w:t xml:space="preserve"> </w:t>
      </w:r>
      <w:r>
        <w:t xml:space="preserve">La molla lasciata in tensione, e in parte la bilancia: l’attesa del dolore abbassa la soglia a cui compare. Suo anche uno dei quattro predittori di cronicizzazione a dodici anni —</w:t>
      </w:r>
      <w:r>
        <w:t xml:space="preserve"> </w:t>
      </w:r>
      <w:r>
        <w:rPr>
          <w:b/>
          <w:bCs/>
        </w:rPr>
        <w:t xml:space="preserve">non essere sposato</w:t>
      </w:r>
      <w:r>
        <w:t xml:space="preserve">, che è supporto sociale e non economia energetica (Lyngberg,</w:t>
      </w:r>
      <w:r>
        <w:t xml:space="preserve"> </w:t>
      </w:r>
      <w:r>
        <w:rPr>
          <w:i/>
          <w:iCs/>
        </w:rPr>
        <w:t xml:space="preserve">Neurology</w:t>
      </w:r>
      <w:r>
        <w:t xml:space="preserve"> </w:t>
      </w:r>
      <w:r>
        <w:t xml:space="preserve">2005, PMID 16116119).</w:t>
      </w:r>
    </w:p>
    <w:p>
      <w:pPr>
        <w:pStyle w:val="BodyText"/>
      </w:pPr>
      <w:r>
        <w:rPr>
          <w:b/>
          <w:bCs/>
        </w:rPr>
        <w:t xml:space="preserve">Gli attori.</w:t>
      </w:r>
      <w:r>
        <w:t xml:space="preserve"> </w:t>
      </w:r>
      <w:r>
        <w:t xml:space="preserve">Il paziente, quello che si aspetta, quello che gli è stato detto, chi ha intorno, e tu.</w:t>
      </w:r>
    </w:p>
    <w:p>
      <w:pPr>
        <w:pStyle w:val="BodyText"/>
      </w:pPr>
      <w:r>
        <w:rPr>
          <w:b/>
          <w:bCs/>
        </w:rPr>
        <w:t xml:space="preserve">I segnali.</w:t>
      </w:r>
      <w:r>
        <w:t xml:space="preserve"> </w:t>
      </w:r>
      <w:r>
        <w:t xml:space="preserve">Miglioramento in vacanza. Tessuti che reagiscono al primo contatto. Esordio agganciato a un evento. Vive solo, o dice che nessuno lo aiuta. E la frase</w:t>
      </w:r>
      <w:r>
        <w:t xml:space="preserve"> </w:t>
      </w:r>
      <w:r>
        <w:rPr>
          <w:i/>
          <w:iCs/>
        </w:rPr>
        <w:t xml:space="preserve">“me lo dicono tutti che è stress”</w:t>
      </w:r>
      <w:r>
        <w:t xml:space="preserve">, detta con rabbia.</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 due fronti.</w:t>
      </w:r>
      <w:r>
        <w:t xml:space="preserve"> </w:t>
      </w:r>
      <w:r>
        <w:t xml:space="preserve">Primo fronte: la leva attiva di questo modello è la meglio documentata dell’intero documento su</w:t>
      </w:r>
      <w:r>
        <w:t xml:space="preserve"> </w:t>
      </w:r>
      <w:r>
        <w:rPr>
          <w:b/>
          <w:bCs/>
        </w:rPr>
        <w:t xml:space="preserve">questa</w:t>
      </w:r>
      <w:r>
        <w:t xml:space="preserve"> </w:t>
      </w:r>
      <w:r>
        <w:t xml:space="preserve">condizione. Il rilassamento con riscontro elettromiografico è al grado più alto della scala usata, superiore sia al placebo sia al solo rilassamento (Nestoriuc, PMID 18726688). E il trattamento psicologico è fra gli approcci proponibili nella sintesi danese (Krøll, PMID 34418953).</w:t>
      </w:r>
      <w:r>
        <w:t xml:space="preserve"> </w:t>
      </w:r>
      <w:r>
        <w:t xml:space="preserve">Secondo fronte: la quota di effetto non attribuibile alla tecnica è dominante. È l’88% di «Cosa dice la scienza» (Ezzatvar, PMID 38602164) —</w:t>
      </w:r>
      <w:r>
        <w:t xml:space="preserve"> </w:t>
      </w:r>
      <w:r>
        <w:rPr>
          <w:b/>
          <w:bCs/>
        </w:rPr>
        <w:t xml:space="preserve">su dolore muscolo-scheletrico in generale, non su questa condizione</w:t>
      </w:r>
      <w:r>
        <w:t xml:space="preserve">. Dice che il contesto pesa, non quanto peserà per questo paziente.</w:t>
      </w:r>
      <w:r>
        <w:t xml:space="preserve"> </w:t>
      </w:r>
      <w:r>
        <w:rPr>
          <w:b/>
          <w:bCs/>
        </w:rPr>
        <w:t xml:space="preserve">E il DIMOSTRATO appartiene alla leva attiva e al contesto: il meccanismo del modello — la molla lasciata in tensione — resta RAGIONAMENTO in «Cosa si rompe».</w:t>
      </w:r>
    </w:p>
    <w:bookmarkEnd w:id="47"/>
    <w:bookmarkStart w:id="48" w:name="biomeccanico-strutturale"/>
    <w:p>
      <w:pPr>
        <w:pStyle w:val="Heading3"/>
      </w:pPr>
      <w:r>
        <w:t xml:space="preserve">Biomeccanico-Strutturale</w:t>
      </w:r>
    </w:p>
    <w:p>
      <w:pPr>
        <w:pStyle w:val="FirstParagraph"/>
      </w:pPr>
      <w:r>
        <w:rPr>
          <w:b/>
          <w:bCs/>
        </w:rPr>
        <w:t xml:space="preserve">Cosa governa qui.</w:t>
      </w:r>
      <w:r>
        <w:t xml:space="preserve"> </w:t>
      </w:r>
      <w:r>
        <w:t xml:space="preserve">Il carico meccanico su muscoli pericranici e cingolo collo-spalla: quanto lavorano, per quanto tempo, con quanta capacità di resistenza.</w:t>
      </w:r>
    </w:p>
    <w:p>
      <w:pPr>
        <w:pStyle w:val="BodyText"/>
      </w:pPr>
      <w:r>
        <w:rPr>
          <w:b/>
          <w:bCs/>
        </w:rPr>
        <w:t xml:space="preserve">Meccanismi.</w:t>
      </w:r>
      <w:r>
        <w:t xml:space="preserve"> </w:t>
      </w:r>
      <w:r>
        <w:t xml:space="preserve">La borsa della spesa, sua per intero salvo la metà «recupero». E l’ingresso che non si chiude, in co-proprietà con il Neurologico, sul solo lato del carico.</w:t>
      </w:r>
    </w:p>
    <w:p>
      <w:pPr>
        <w:pStyle w:val="BodyText"/>
      </w:pPr>
      <w:r>
        <w:rPr>
          <w:b/>
          <w:bCs/>
        </w:rPr>
        <w:t xml:space="preserve">Gli attori.</w:t>
      </w:r>
      <w:r>
        <w:t xml:space="preserve"> </w:t>
      </w:r>
      <w:r>
        <w:t xml:space="preserve">Muscoli pericranici, suboccipitali, trapezio ed elevatore della scapola, flessori profondi del collo, elevatori della mandibola.</w:t>
      </w:r>
    </w:p>
    <w:p>
      <w:pPr>
        <w:pStyle w:val="BodyText"/>
      </w:pPr>
      <w:r>
        <w:rPr>
          <w:b/>
          <w:bCs/>
        </w:rPr>
        <w:t xml:space="preserve">I segnali.</w:t>
      </w:r>
      <w:r>
        <w:t xml:space="preserve"> </w:t>
      </w:r>
      <w:r>
        <w:t xml:space="preserve">Orario di comparsa prevedibile. Miglioramento in ferie. Punteggio pericranico alto. Punto attivo che riproduce il quadro.</w:t>
      </w:r>
    </w:p>
    <w:p>
      <w:pPr>
        <w:pStyle w:val="BlockText"/>
      </w:pPr>
      <w:r>
        <w:rPr>
          <w:b/>
          <w:bCs/>
        </w:rPr>
        <w:t xml:space="preserve">Attenzione — restrizione di perimetro, dichiarata.</w:t>
      </w:r>
      <w:r>
        <w:t xml:space="preserve"> </w:t>
      </w:r>
      <w:r>
        <w:rPr>
          <w:b/>
          <w:bCs/>
        </w:rPr>
        <w:t xml:space="preserve">La postura non è il bersaglio e non entra nelle promesse.</w:t>
      </w:r>
      <w:r>
        <w:t xml:space="preserve"> </w:t>
      </w:r>
      <w:r>
        <w:t xml:space="preserve">In venticinque pazienti cronici seguiti in un programma di terapia fisica, angolo cranio-vertebrale e mobilità cervicale non erano correlati a intensità, durata o frequenza. Non lo erano nemmeno le loro variazioni nel tempo (Fernández-de-las-Peñas,</w:t>
      </w:r>
      <w:r>
        <w:t xml:space="preserve"> </w:t>
      </w:r>
      <w:r>
        <w:rPr>
          <w:i/>
          <w:iCs/>
        </w:rPr>
        <w:t xml:space="preserve">Cephalalgia</w:t>
      </w:r>
      <w:r>
        <w:t xml:space="preserve"> </w:t>
      </w:r>
      <w:r>
        <w:t xml:space="preserve">2007, PMID 17257237). Il modello resta, con carico e capacità come oggetto.</w:t>
      </w:r>
    </w:p>
    <w:p>
      <w:pPr>
        <w:pStyle w:val="BlockText"/>
      </w:pPr>
      <w:r>
        <w:rPr>
          <w:b/>
          <w:bCs/>
        </w:rPr>
        <w:t xml:space="preserve">Quanto è solido:</w:t>
      </w:r>
      <w:r>
        <w:t xml:space="preserve"> </w:t>
      </w:r>
      <w:r>
        <w:t xml:space="preserve">l’etichetta si spezza, in due pezzi.</w:t>
      </w:r>
      <w:r>
        <w:t xml:space="preserve"> </w:t>
      </w:r>
      <w:r>
        <w:rPr>
          <w:b/>
          <w:bCs/>
        </w:rPr>
        <w:t xml:space="preserve">DIMOSTRATO</w:t>
      </w:r>
      <w:r>
        <w:t xml:space="preserve"> </w:t>
      </w:r>
      <w:r>
        <w:rPr>
          <w:i/>
          <w:iCs/>
        </w:rPr>
        <w:t xml:space="preserve">(studi sull’uomo, solidi)</w:t>
      </w:r>
      <w:r>
        <w:t xml:space="preserve"> </w:t>
      </w:r>
      <w:r>
        <w:t xml:space="preserve">che l’esercizio contro resistenza per il cingolo collo-spalla riduca frequenza e intensità, dove le sintesi lo isolano (Andersen CH, PMID 28854396; Tao, PMID 40257956). E il DIMOSTRATO appartiene all’</w:t>
      </w:r>
      <w:r>
        <w:rPr>
          <w:b/>
          <w:bCs/>
        </w:rPr>
        <w:t xml:space="preserve">esercizio</w:t>
      </w:r>
      <w:r>
        <w:t xml:space="preserve">, non alla mano, e non copre l’ingresso periferico.</w:t>
      </w:r>
      <w:r>
        <w:t xml:space="preserve"> </w:t>
      </w:r>
      <w:r>
        <w:rPr>
          <w:b/>
          <w:bCs/>
        </w:rPr>
        <w:t xml:space="preserve">IPOTESI</w:t>
      </w:r>
      <w:r>
        <w:t xml:space="preserve"> </w:t>
      </w:r>
      <w:r>
        <w:rPr>
          <w:i/>
          <w:iCs/>
        </w:rPr>
        <w:t xml:space="preserve">(meccanismo coerente, nessuno studio)</w:t>
      </w:r>
      <w:r>
        <w:t xml:space="preserve"> </w:t>
      </w:r>
      <w:r>
        <w:t xml:space="preserve">che la forma posturale sia un bersaglio: dove è stata misurata qui, non correlava con niente.</w:t>
      </w:r>
    </w:p>
    <w:bookmarkEnd w:id="48"/>
    <w:bookmarkStart w:id="49" w:name="respiratorio-circolatorio"/>
    <w:p>
      <w:pPr>
        <w:pStyle w:val="Heading3"/>
      </w:pPr>
      <w:r>
        <w:t xml:space="preserve">Respiratorio-Circolatorio</w:t>
      </w:r>
    </w:p>
    <w:p>
      <w:pPr>
        <w:pStyle w:val="FirstParagraph"/>
      </w:pPr>
      <w:r>
        <w:rPr>
          <w:b/>
          <w:bCs/>
        </w:rPr>
        <w:t xml:space="preserve">Cosa governa qui.</w:t>
      </w:r>
      <w:r>
        <w:t xml:space="preserve"> </w:t>
      </w:r>
      <w:r>
        <w:t xml:space="preserve">La sola meccanica ventilatoria: quanto del lavoro respiratorio passa da scaleni e sternocleidomastoideo invece che dal diaframma. E quindi</w:t>
      </w:r>
      <w:r>
        <w:t xml:space="preserve"> </w:t>
      </w:r>
      <w:r>
        <w:rPr>
          <w:b/>
          <w:bCs/>
        </w:rPr>
        <w:t xml:space="preserve">l’ingresso che non si chiude</w:t>
      </w:r>
      <w:r>
        <w:t xml:space="preserve">, per la quota di lavoro trasferita ai muscoli del collo.</w:t>
      </w:r>
    </w:p>
    <w:p>
      <w:pPr>
        <w:pStyle w:val="BodyText"/>
      </w:pPr>
      <w:r>
        <w:rPr>
          <w:b/>
          <w:bCs/>
        </w:rPr>
        <w:t xml:space="preserve">Gli attori.</w:t>
      </w:r>
      <w:r>
        <w:t xml:space="preserve"> </w:t>
      </w:r>
      <w:r>
        <w:t xml:space="preserve">Diaframma, scaleni, sternocleidomastoideo, prima costa.</w:t>
      </w:r>
    </w:p>
    <w:p>
      <w:pPr>
        <w:pStyle w:val="BodyText"/>
      </w:pPr>
      <w:r>
        <w:rPr>
          <w:b/>
          <w:bCs/>
        </w:rPr>
        <w:t xml:space="preserve">I segnali.</w:t>
      </w:r>
      <w:r>
        <w:t xml:space="preserve"> </w:t>
      </w:r>
      <w:r>
        <w:t xml:space="preserve">Respiro alto e corto a riposo, spalle sollevate, apnea quando parla del sintomo.</w:t>
      </w:r>
    </w:p>
    <w:p>
      <w:pPr>
        <w:pStyle w:val="BlockText"/>
      </w:pPr>
      <w:r>
        <w:rPr>
          <w:b/>
          <w:bCs/>
        </w:rPr>
        <w:t xml:space="preserve">Attenzione — restrizione di perimetro, dichiarata.</w:t>
      </w:r>
      <w:r>
        <w:t xml:space="preserve"> </w:t>
      </w:r>
      <w:r>
        <w:rPr>
          <w:b/>
          <w:bCs/>
        </w:rPr>
        <w:t xml:space="preserve">La metà circolatoria del modello non viene invocata su questo distretto.</w:t>
      </w:r>
      <w:r>
        <w:t xml:space="preserve"> </w:t>
      </w:r>
      <w:r>
        <w:t xml:space="preserve">Ritorno venoso cranico, drenaggio linfatico e gradienti pressori non sono mai stati misurati prima e dopo un trattamento manuale, e un razionale topografico non è una misura. E la fisiologia del tono vagale appartiene al Neurologico.</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e senza fonte in prestito: un’ipotesi può stare in piedi dichiarando di non averne. Il lavoro respiratorio su questa condizione</w:t>
      </w:r>
      <w:r>
        <w:t xml:space="preserve"> </w:t>
      </w:r>
      <w:r>
        <w:rPr>
          <w:b/>
          <w:bCs/>
        </w:rPr>
        <w:t xml:space="preserve">è stato misurato</w:t>
      </w:r>
      <w:r>
        <w:t xml:space="preserve">, ma mai isolato dal rilassamento e mai sulla frequenza. Dove i due sono stati dati insieme a 169 pazienti cronici, gli esiti che si sono mossi erano dolore, disabilità e sonno (Gopichandran,</w:t>
      </w:r>
      <w:r>
        <w:t xml:space="preserve"> </w:t>
      </w:r>
      <w:r>
        <w:rPr>
          <w:i/>
          <w:iCs/>
        </w:rPr>
        <w:t xml:space="preserve">Holist Nurs Pract</w:t>
      </w:r>
      <w:r>
        <w:t xml:space="preserve"> </w:t>
      </w:r>
      <w:r>
        <w:t xml:space="preserve">2024, PMID 34054116).</w:t>
      </w:r>
    </w:p>
    <w:bookmarkEnd w:id="49"/>
    <w:bookmarkStart w:id="50" w:name="metabolico-energetico"/>
    <w:p>
      <w:pPr>
        <w:pStyle w:val="Heading3"/>
      </w:pPr>
      <w:r>
        <w:t xml:space="preserve">Metabolico-Energetico</w:t>
      </w:r>
    </w:p>
    <w:p>
      <w:pPr>
        <w:pStyle w:val="FirstParagraph"/>
      </w:pPr>
      <w:r>
        <w:rPr>
          <w:b/>
          <w:bCs/>
        </w:rPr>
        <w:t xml:space="preserve">Cosa governa qui.</w:t>
      </w:r>
      <w:r>
        <w:t xml:space="preserve"> </w:t>
      </w:r>
      <w:r>
        <w:t xml:space="preserve">Il recupero: sonno, carico complessivo della giornata, capacità aerobica.</w:t>
      </w:r>
    </w:p>
    <w:p>
      <w:pPr>
        <w:pStyle w:val="BodyText"/>
      </w:pPr>
      <w:r>
        <w:rPr>
          <w:b/>
          <w:bCs/>
        </w:rPr>
        <w:t xml:space="preserve">Meccanismi.</w:t>
      </w:r>
      <w:r>
        <w:t xml:space="preserve"> </w:t>
      </w:r>
      <w:r>
        <w:t xml:space="preserve">La metà</w:t>
      </w:r>
      <w:r>
        <w:t xml:space="preserve"> </w:t>
      </w:r>
      <w:r>
        <w:rPr>
          <w:b/>
          <w:bCs/>
        </w:rPr>
        <w:t xml:space="preserve">recupero</w:t>
      </w:r>
      <w:r>
        <w:t xml:space="preserve"> </w:t>
      </w:r>
      <w:r>
        <w:t xml:space="preserve">della borsa della spesa, in co-proprietà con il Biomeccanico. Che il tempo di rientro del tessuto sia più lungo dell’intervallo fra due giornate è economia energetica, non carico. È come tornare al lavoro su una scrivania che ieri non hai finito di sgombrare. E questo modello sposta la prognosi: fra i quattro fattori che predicono la cronicizzazione a dodici anni, i</w:t>
      </w:r>
      <w:r>
        <w:t xml:space="preserve"> </w:t>
      </w:r>
      <w:r>
        <w:rPr>
          <w:b/>
          <w:bCs/>
        </w:rPr>
        <w:t xml:space="preserve">problemi di sonno</w:t>
      </w:r>
      <w:r>
        <w:t xml:space="preserve"> </w:t>
      </w:r>
      <w:r>
        <w:t xml:space="preserve">sono suoi (Lyngberg,</w:t>
      </w:r>
      <w:r>
        <w:t xml:space="preserve"> </w:t>
      </w:r>
      <w:r>
        <w:rPr>
          <w:i/>
          <w:iCs/>
        </w:rPr>
        <w:t xml:space="preserve">Neurology</w:t>
      </w:r>
      <w:r>
        <w:t xml:space="preserve"> </w:t>
      </w:r>
      <w:r>
        <w:t xml:space="preserve">2005, PMID 16116119).</w:t>
      </w:r>
    </w:p>
    <w:p>
      <w:pPr>
        <w:pStyle w:val="BodyText"/>
      </w:pPr>
      <w:r>
        <w:rPr>
          <w:b/>
          <w:bCs/>
        </w:rPr>
        <w:t xml:space="preserve">Gli attori.</w:t>
      </w:r>
      <w:r>
        <w:t xml:space="preserve"> </w:t>
      </w:r>
      <w:r>
        <w:t xml:space="preserve">Sonno, ritmo delle pause, attività fisica.</w:t>
      </w:r>
    </w:p>
    <w:p>
      <w:pPr>
        <w:pStyle w:val="BodyText"/>
      </w:pPr>
      <w:r>
        <w:rPr>
          <w:b/>
          <w:bCs/>
        </w:rPr>
        <w:t xml:space="preserve">I segnali.</w:t>
      </w:r>
      <w:r>
        <w:t xml:space="preserve"> </w:t>
      </w:r>
      <w:r>
        <w:t xml:space="preserve">Sonno frammentato. Nessuna pausa reale in otto ore. Nessuna attività fisica. E tre domande, non un’impressione:</w:t>
      </w:r>
      <w:r>
        <w:t xml:space="preserve"> </w:t>
      </w:r>
      <w:r>
        <w:rPr>
          <w:b/>
          <w:bCs/>
        </w:rPr>
        <w:t xml:space="preserve">russa? l’hanno mai visto smettere di respirare nel sonno? si addormenta di giorno?</w:t>
      </w:r>
      <w:r>
        <w:t xml:space="preserve"> </w:t>
      </w:r>
      <w:r>
        <w:t xml:space="preserve">Se le risposte sono sì, non sei nel modello metabolico: sei davanti a un sospetto di apnea, e la riga sta in «Dove finisce il nostro campo».</w:t>
      </w:r>
    </w:p>
    <w:p>
      <w:pPr>
        <w:pStyle w:val="BlockText"/>
      </w:pPr>
      <w:r>
        <w:rPr>
          <w:b/>
          <w:bCs/>
        </w:rPr>
        <w:t xml:space="preserve">Attenzione.</w:t>
      </w:r>
      <w:r>
        <w:t xml:space="preserve"> </w:t>
      </w:r>
      <w:r>
        <w:t xml:space="preserve">Niente di questo si lavora con le mani: si valuta, si nomina e si rinvia.</w:t>
      </w:r>
      <w:r>
        <w:t xml:space="preserve"> </w:t>
      </w:r>
      <w:r>
        <w:rPr>
          <w:b/>
          <w:bCs/>
        </w:rPr>
        <w:t xml:space="preserve">Quanto è solido:</w:t>
      </w:r>
      <w:r>
        <w:t xml:space="preserve"> </w:t>
      </w:r>
      <w:r>
        <w:t xml:space="preserve">l’etichetta si spezza, in tre pezzi.</w:t>
      </w:r>
      <w:r>
        <w:t xml:space="preserve"> </w:t>
      </w:r>
      <w:r>
        <w:rPr>
          <w:b/>
          <w:bCs/>
        </w:rPr>
        <w:t xml:space="preserve">PROBABILE</w:t>
      </w:r>
      <w:r>
        <w:t xml:space="preserve"> </w:t>
      </w:r>
      <w:r>
        <w:rPr>
          <w:i/>
          <w:iCs/>
        </w:rPr>
        <w:t xml:space="preserve">(razionale forte, prove parziali)</w:t>
      </w:r>
      <w:r>
        <w:t xml:space="preserve"> </w:t>
      </w:r>
      <w:r>
        <w:t xml:space="preserve">che i problemi di sonno siano un fattore prognostico.</w:t>
      </w:r>
      <w:r>
        <w:t xml:space="preserve"> </w:t>
      </w:r>
      <w:r>
        <w:rPr>
          <w:b/>
          <w:bCs/>
        </w:rPr>
        <w:t xml:space="preserve">PROBABILE</w:t>
      </w:r>
      <w:r>
        <w:t xml:space="preserve"> </w:t>
      </w:r>
      <w:r>
        <w:rPr>
          <w:i/>
          <w:iCs/>
        </w:rPr>
        <w:t xml:space="preserve">(razionale forte, prove parziali)</w:t>
      </w:r>
      <w:r>
        <w:t xml:space="preserve"> </w:t>
      </w:r>
      <w:r>
        <w:t xml:space="preserve">anche il meccanismo che li aggancia al braccio discendente della bilancia: la frammentazione del sonno fa perdere l’inibizione del dolore (Smith, PMID 17520794),</w:t>
      </w:r>
      <w:r>
        <w:t xml:space="preserve"> </w:t>
      </w:r>
      <w:r>
        <w:rPr>
          <w:b/>
          <w:bCs/>
        </w:rPr>
        <w:t xml:space="preserve">misurato su donne sane in laboratorio, non su pazienti con questa cefalea</w:t>
      </w:r>
      <w:r>
        <w:t xml:space="preserve">.</w:t>
      </w:r>
      <w:r>
        <w:t xml:space="preserve"> </w:t>
      </w:r>
      <w:r>
        <w:rPr>
          <w:b/>
          <w:bCs/>
        </w:rPr>
        <w:t xml:space="preserve">RAGIONAMENTO</w:t>
      </w:r>
      <w:r>
        <w:t xml:space="preserve"> </w:t>
      </w:r>
      <w:r>
        <w:rPr>
          <w:i/>
          <w:iCs/>
        </w:rPr>
        <w:t xml:space="preserve">(cornice clinica, non una prova)</w:t>
      </w:r>
      <w:r>
        <w:t xml:space="preserve"> </w:t>
      </w:r>
      <w:r>
        <w:t xml:space="preserve">che intervenire su quel fattore cambi il decorso di questo paziente.</w:t>
      </w:r>
      <w:r>
        <w:t xml:space="preserve"> </w:t>
      </w:r>
      <w:r>
        <w:rPr>
          <w:b/>
          <w:bCs/>
        </w:rPr>
        <w:t xml:space="preserve">E cambia la domanda che fai:</w:t>
      </w:r>
      <w:r>
        <w:t xml:space="preserve"> </w:t>
      </w:r>
      <w:r>
        <w:t xml:space="preserve">non «quante ore dorme», ma «si sveglia durante la notte, e quante volte».</w:t>
      </w:r>
    </w:p>
    <w:p>
      <w:pPr>
        <w:pStyle w:val="FirstParagraph"/>
      </w:pPr>
      <w:r>
        <w:rPr>
          <w:b/>
          <w:bCs/>
        </w:rPr>
        <w:t xml:space="preserve">Le tre cose da ricordare, più una</w:t>
      </w:r>
    </w:p>
    <w:p>
      <w:pPr>
        <w:pStyle w:val="Compact"/>
        <w:numPr>
          <w:ilvl w:val="0"/>
          <w:numId w:val="1019"/>
        </w:numPr>
      </w:pPr>
      <w:r>
        <w:t xml:space="preserve">Comandano il Neurologico e il Comportamentale. Il DIMOSTRATO del biomeccanico passa dall’esercizio, non dalla tua mano; quello del comportamentale dal contesto e dal rilassamento, non dalla tecnica.</w:t>
      </w:r>
    </w:p>
    <w:p>
      <w:pPr>
        <w:pStyle w:val="Compact"/>
        <w:numPr>
          <w:ilvl w:val="0"/>
          <w:numId w:val="1019"/>
        </w:numPr>
      </w:pPr>
      <w:r>
        <w:t xml:space="preserve">Il respiratorio qui vale per la meccanica ventilatoria e basta: niente parte circolatoria, niente tono vagale preso in prestito.</w:t>
      </w:r>
    </w:p>
    <w:p>
      <w:pPr>
        <w:pStyle w:val="Compact"/>
        <w:numPr>
          <w:ilvl w:val="0"/>
          <w:numId w:val="1019"/>
        </w:numPr>
      </w:pPr>
      <w:r>
        <w:t xml:space="preserve">Il metabolico governa il recupero e sposta la prognosi. Nominalo per quello, e non gonfiarlo.</w:t>
      </w:r>
    </w:p>
    <w:p>
      <w:pPr>
        <w:pStyle w:val="Compact"/>
        <w:numPr>
          <w:ilvl w:val="0"/>
          <w:numId w:val="1019"/>
        </w:numPr>
      </w:pPr>
      <w:r>
        <w:rPr>
          <w:b/>
          <w:bCs/>
        </w:rPr>
        <w:t xml:space="preserve">Perché ci sei tu.</w:t>
      </w:r>
      <w:r>
        <w:t xml:space="preserve"> </w:t>
      </w:r>
      <w:r>
        <w:t xml:space="preserve">In venticinque pazienti con la forma cronica, postura del capo e mobilità cervicale non erano correlate a intensità, durata né frequenza del mal di testa (Fernández-de-las-Peñas,</w:t>
      </w:r>
      <w:r>
        <w:t xml:space="preserve"> </w:t>
      </w:r>
      <w:r>
        <w:rPr>
          <w:i/>
          <w:iCs/>
        </w:rPr>
        <w:t xml:space="preserve">Cephalalgia</w:t>
      </w:r>
      <w:r>
        <w:t xml:space="preserve"> </w:t>
      </w:r>
      <w:r>
        <w:t xml:space="preserve">2007, PMID 17257237). Ti autorizza a togliere la correzione posturale dalle promesse, e a spostare l’argomento su carico e capacità. Non ti autorizza a smettere di guardare come sta seduto: resta un dato sull’esposizione, non un bersaglio.</w:t>
      </w:r>
    </w:p>
    <w:p>
      <w:r>
        <w:pict>
          <v:rect style="width:0;height:1.5pt" o:hralign="center" o:hrstd="t" o:hr="t"/>
        </w:pict>
      </w:r>
    </w:p>
    <w:bookmarkEnd w:id="50"/>
    <w:bookmarkEnd w:id="51"/>
    <w:bookmarkStart w:id="57"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su quale piano agire per primo, tratti in prova, e verifichi con una misura su un piano che non hai toccato — sapendo che qui quella verifica è disponibile in un caso su tre</w:t>
      </w:r>
      <w:r>
        <w:t xml:space="preserve"> </w:t>
      </w:r>
      <w:r>
        <w:rPr>
          <w:b/>
          <w:bCs/>
        </w:rPr>
        <w:t xml:space="preserve">per livello, e in tutti e tre col test di funzione</w:t>
      </w:r>
      <w:r>
        <w:t xml:space="preserve">, e che dove manca va dichiarata per quello che è.</w:t>
      </w:r>
    </w:p>
    <w:p>
      <w:pPr>
        <w:pStyle w:val="FirstParagraph"/>
      </w:pPr>
      <w:r>
        <w:t xml:space="preserve">Questo capitolo è ragionamento clinico, non prova. Porta l’etichetta RAGIONAMENTO dall’inizio alla fine.</w:t>
      </w:r>
    </w:p>
    <w:p>
      <w:pPr>
        <w:pStyle w:val="BlockText"/>
      </w:pPr>
      <w:r>
        <w:rPr>
          <w:b/>
          <w:bCs/>
        </w:rPr>
        <w:t xml:space="preserve">Definizione.</w:t>
      </w:r>
      <w:r>
        <w:t xml:space="preserve"> </w:t>
      </w:r>
      <w:r>
        <w:t xml:space="preserve">Un</w:t>
      </w:r>
      <w:r>
        <w:t xml:space="preserve"> </w:t>
      </w:r>
      <w:r>
        <w:rPr>
          <w:b/>
          <w:bCs/>
        </w:rPr>
        <w:t xml:space="preserve">piano</w:t>
      </w:r>
      <w:r>
        <w:t xml:space="preserve"> </w:t>
      </w:r>
      <w:r>
        <w:t xml:space="preserve">è uno dei cinque modelli del capitolo precedente, guardato dal punto di vista della decisione. Quando si tratta di scegliere su cosa agire per primo, li chiamiamo piani. Per la gerarchia fra chi regola e chi esegue questo documento usa un’altra parola —</w:t>
      </w:r>
      <w:r>
        <w:t xml:space="preserve"> </w:t>
      </w:r>
      <w:r>
        <w:rPr>
          <w:b/>
          <w:bCs/>
        </w:rPr>
        <w:t xml:space="preserve">livello</w:t>
      </w:r>
      <w:r>
        <w:t xml:space="preserve"> </w:t>
      </w:r>
      <w:r>
        <w:t xml:space="preserve">— proprio per non confondere le due cose.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bookmarkStart w:id="52" w:name="la-punta-e-il-sommerso"/>
    <w:p>
      <w:pPr>
        <w:pStyle w:val="Heading3"/>
      </w:pPr>
      <w:r>
        <w:t xml:space="preserve">La punta e il sommerso</w:t>
      </w:r>
    </w:p>
    <w:p>
      <w:pPr>
        <w:pStyle w:val="FirstParagraph"/>
      </w:pPr>
      <w:r>
        <w:t xml:space="preserve">Il paziente porta la fascia stretta intorno alla testa: quella è la punta. Lo stesso racconto può avere sommersi diversi.</w:t>
      </w:r>
    </w:p>
    <w:p>
      <w:pPr>
        <w:pStyle w:val="BodyText"/>
      </w:pPr>
      <w:r>
        <w:rPr>
          <w:b/>
          <w:bCs/>
        </w:rPr>
        <w:t xml:space="preserve">Paziente A — l’ingresso periferico.</w:t>
      </w:r>
      <w:r>
        <w:t xml:space="preserve"> </w:t>
      </w:r>
      <w:r>
        <w:t xml:space="preserve">Quarantadue anni, otto ore al video. Il dolore comincia alle cinque e migliora la domenica. La palpazione del suboccipitale destro riproduce il quadro, e lui lo riconosce.</w:t>
      </w:r>
      <w:r>
        <w:t xml:space="preserve"> </w:t>
      </w:r>
      <w:r>
        <w:rPr>
          <w:b/>
          <w:bCs/>
        </w:rPr>
        <w:t xml:space="preserve">Il dominante è il piano biomeccanico</w:t>
      </w:r>
      <w:r>
        <w:t xml:space="preserve"> </w:t>
      </w:r>
      <w:r>
        <w:t xml:space="preserve">— e va sdoppiato, perché sotto la stessa etichetta stanno due pazienti con azioni opposte.</w:t>
      </w:r>
    </w:p>
    <w:p>
      <w:pPr>
        <w:pStyle w:val="Compact"/>
        <w:numPr>
          <w:ilvl w:val="0"/>
          <w:numId w:val="1020"/>
        </w:numPr>
      </w:pPr>
      <w:r>
        <w:rPr>
          <w:b/>
          <w:bCs/>
        </w:rPr>
        <w:t xml:space="preserve">Biomeccanico d’ingresso.</w:t>
      </w:r>
      <w:r>
        <w:t xml:space="preserve"> </w:t>
      </w:r>
      <w:r>
        <w:t xml:space="preserve">Il segno è la palpazione che riproduce. La mano è il bersaglio. La verifica in seduta è il punteggio pericranico.</w:t>
      </w:r>
    </w:p>
    <w:p>
      <w:pPr>
        <w:pStyle w:val="Compact"/>
        <w:numPr>
          <w:ilvl w:val="0"/>
          <w:numId w:val="1020"/>
        </w:numPr>
      </w:pPr>
      <w:r>
        <w:rPr>
          <w:b/>
          <w:bCs/>
        </w:rPr>
        <w:t xml:space="preserve">Biomeccanico di capacità.</w:t>
      </w:r>
      <w:r>
        <w:t xml:space="preserve"> </w:t>
      </w:r>
      <w:r>
        <w:t xml:space="preserve">Il segno è l’orario prevedibile e il miglioramento in ferie. Il bersaglio vero è quello che il paziente farà da solo, in settimane.</w:t>
      </w:r>
    </w:p>
    <w:p>
      <w:pPr>
        <w:pStyle w:val="FirstParagraph"/>
      </w:pPr>
      <w:r>
        <w:t xml:space="preserve">Se non li separi, farai al secondo quello che serve al primo. E lascerai fuori la leva con le prove migliori del documento.</w:t>
      </w:r>
    </w:p>
    <w:p>
      <w:pPr>
        <w:pStyle w:val="BodyText"/>
      </w:pPr>
      <w:r>
        <w:rPr>
          <w:b/>
          <w:bCs/>
        </w:rPr>
        <w:t xml:space="preserve">Paziente B — la sensibilizzazione.</w:t>
      </w:r>
      <w:r>
        <w:t xml:space="preserve"> </w:t>
      </w:r>
      <w:r>
        <w:t xml:space="preserve">Cinquantun anni, mal di testa quasi quotidiano da tre anni. Prende qualcosa nove giorni al mese. Trova sgradevole anche la mano appoggiata sulla spalla, e la soglia sul secondo metacarpo è bassa.</w:t>
      </w:r>
      <w:r>
        <w:t xml:space="preserve"> </w:t>
      </w:r>
      <w:r>
        <w:rPr>
          <w:b/>
          <w:bCs/>
        </w:rPr>
        <w:t xml:space="preserve">Il dominante è il piano neurologico.</w:t>
      </w:r>
    </w:p>
    <w:p>
      <w:pPr>
        <w:pStyle w:val="BodyText"/>
      </w:pPr>
      <w:r>
        <w:t xml:space="preserve">Togli ingresso periferico dove il tessuto lo tollera, con contatto ampio e progressione lenta. La ragione sta nel terzo meccanismo: in lui una pressione dolorosa non recluta il freno, lo scavalca. La soglia sul metacarpo è il tuo marker fuori piano, ed è l’unico paziente in cui quel numero ha davvero margine. E scrivi al curante, perché qui la profilassi ha prove più forti del tuo lavoro.</w:t>
      </w:r>
    </w:p>
    <w:p>
      <w:pPr>
        <w:pStyle w:val="BodyText"/>
      </w:pPr>
      <w:r>
        <w:rPr>
          <w:b/>
          <w:bCs/>
        </w:rPr>
        <w:t xml:space="preserve">Nove, non sedici:</w:t>
      </w:r>
      <w:r>
        <w:t xml:space="preserve"> </w:t>
      </w:r>
      <w:r>
        <w:t xml:space="preserve">il punto 1 della Road Map l’ha superato per un soffio. A sedici avresti avuto lo stesso quadro clinico e un’altra uscita del triage, e il piano neurologico non sarebbe stato la prima domanda.</w:t>
      </w:r>
    </w:p>
    <w:p>
      <w:pPr>
        <w:pStyle w:val="BodyText"/>
      </w:pPr>
      <w:r>
        <w:rPr>
          <w:b/>
          <w:bCs/>
        </w:rPr>
        <w:t xml:space="preserve">Paziente C — il livello di attivazione.</w:t>
      </w:r>
      <w:r>
        <w:t xml:space="preserve"> </w:t>
      </w:r>
      <w:r>
        <w:t xml:space="preserve">Trentotto anni, mal di testa comparso quattro mesi fa nella settimana di una separazione. Trattiene il fiato mentre parla, e i tessuti si contraggono appena appoggi le mani.</w:t>
      </w:r>
      <w:r>
        <w:t xml:space="preserve"> </w:t>
      </w:r>
      <w:r>
        <w:rPr>
          <w:b/>
          <w:bCs/>
        </w:rPr>
        <w:t xml:space="preserve">Il dominante è il piano comportamentale.</w:t>
      </w:r>
    </w:p>
    <w:p>
      <w:pPr>
        <w:pStyle w:val="BodyText"/>
      </w:pPr>
      <w:r>
        <w:t xml:space="preserve">La parte che si sbaglia più spesso è la conseguenza:</w:t>
      </w:r>
      <w:r>
        <w:t xml:space="preserve"> </w:t>
      </w:r>
      <w:r>
        <w:rPr>
          <w:b/>
          <w:bCs/>
        </w:rPr>
        <w:t xml:space="preserve">lo tratti.</w:t>
      </w:r>
      <w:r>
        <w:t xml:space="preserve"> </w:t>
      </w:r>
      <w:r>
        <w:t xml:space="preserve">Un sintomo agganciato allo stato di attivazione non è un capolinea. È l’indicazione più chiara che esista per la leva che agisce sull’attivazione: contatto lento e ampio, ritmo del respiro guidato, tempo dedicato, spiegazione che toglie l’attesa. Con la sua etichetta reale: IPOTESI sull’effetto autonomico e DIMOSTRATO sul peso del contesto.</w:t>
      </w:r>
    </w:p>
    <w:p>
      <w:pPr>
        <w:pStyle w:val="BlockText"/>
      </w:pPr>
      <w:r>
        <w:rPr>
          <w:b/>
          <w:bCs/>
        </w:rPr>
        <w:t xml:space="preserve">Attenzione — qui la prova della chiave di volta in seduta non è disponibile, e va dichiarato.</w:t>
      </w:r>
      <w:r>
        <w:t xml:space="preserve"> </w:t>
      </w:r>
      <w:r>
        <w:t xml:space="preserve">Per il Paziente C la leva include il contatto sui pericranici e il respiro guidato. Punteggio pericranico e frequenza respiratoria</w:t>
      </w:r>
      <w:r>
        <w:t xml:space="preserve"> </w:t>
      </w:r>
      <w:r>
        <w:rPr>
          <w:b/>
          <w:bCs/>
        </w:rPr>
        <w:t xml:space="preserve">sono il piano che stai trattando</w:t>
      </w:r>
      <w:r>
        <w:t xml:space="preserve">. Se li rimisuri e sono cambiati, hai misurato l’effetto locale delle tue mani, non la dominanza. Le uscite oneste sono due. La prima è la modulazione condizionata del dolore, che sta fuori dal piano in tutti e tre i pazienti. La seconda è la verifica differita sul conteggio prospettico a quattro settimane, dichiarando che è</w:t>
      </w:r>
      <w:r>
        <w:t xml:space="preserve"> </w:t>
      </w:r>
      <w:r>
        <w:rPr>
          <w:b/>
          <w:bCs/>
        </w:rPr>
        <w:t xml:space="preserve">verifica di esito e non prova di dominanza</w:t>
      </w:r>
      <w:r>
        <w:t xml:space="preserve">.</w:t>
      </w:r>
    </w:p>
    <w:bookmarkEnd w:id="52"/>
    <w:bookmarkStart w:id="53" w:name="perché-si-indaga-da-monte"/>
    <w:p>
      <w:pPr>
        <w:pStyle w:val="Heading3"/>
      </w:pPr>
      <w:r>
        <w:t xml:space="preserve">Perché si indaga da monte</w:t>
      </w:r>
    </w:p>
    <w:p>
      <w:pPr>
        <w:pStyle w:val="FirstParagraph"/>
      </w:pPr>
      <w:r>
        <w:rPr>
          <w:b/>
          <w:bCs/>
        </w:rPr>
        <w:t xml:space="preserve">“A monte”</w:t>
      </w:r>
      <w:r>
        <w:rPr>
          <w:b/>
          <w:bCs/>
        </w:rPr>
        <w:t xml:space="preserve"> </w:t>
      </w:r>
      <w:r>
        <w:rPr>
          <w:b/>
          <w:bCs/>
        </w:rPr>
        <w:t xml:space="preserve">non è una coordinata anatomica: non vuol dire più vicino alla testa.</w:t>
      </w:r>
      <w:r>
        <w:t xml:space="preserve"> </w:t>
      </w:r>
      <w:r>
        <w:t xml:space="preserve">Vuol dire più vicino a ciò che regola. Un sistema in allerta tiene abbassato il freno su tutto quello che vorresti trattare. E la parte che vedi è quasi sempre un compenso: le spalle sollevate di chi respira alto, la mandibola serrata di chi regge una scadenza.</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Il compenso che ti riguarda passa per la catena mandibola-suboccipitali-cingolo scapolare, fino al primo relè.</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Ma la gerarchia</w:t>
      </w:r>
      <w:r>
        <w:t xml:space="preserve"> </w:t>
      </w:r>
      <w:r>
        <w:rPr>
          <w:b/>
          <w:bCs/>
        </w:rPr>
        <w:t xml:space="preserve">ordina l’indagine, non la forza delle leve</w:t>
      </w:r>
      <w:r>
        <w:t xml:space="preserve">, e qui le due cose divergono. La leva con le prove migliori appartiene al livello esecutore — il muscolo, allenato dal paziente — che nella gerarchia sta in fondo.</w:t>
      </w:r>
    </w:p>
    <w:p>
      <w:pPr>
        <w:pStyle w:val="BodyText"/>
      </w:pPr>
      <w:r>
        <w:t xml:space="preserve">E una regola del metodo qui</w:t>
      </w:r>
      <w:r>
        <w:t xml:space="preserve"> </w:t>
      </w:r>
      <w:r>
        <w:rPr>
          <w:b/>
          <w:bCs/>
        </w:rPr>
        <w:t xml:space="preserve">non si attenua: si toglie.</w:t>
      </w:r>
      <w:r>
        <w:t xml:space="preserve"> </w:t>
      </w:r>
      <w:r>
        <w:t xml:space="preserve">La regola</w:t>
      </w:r>
      <w:r>
        <w:t xml:space="preserve"> </w:t>
      </w:r>
      <w:r>
        <w:rPr>
          <w:i/>
          <w:iCs/>
        </w:rPr>
        <w:t xml:space="preserve">non trattare il punto in cui il paziente sente male</w:t>
      </w:r>
      <w:r>
        <w:t xml:space="preserve"> </w:t>
      </w:r>
      <w:r>
        <w:t xml:space="preserve">non si applica alla scelta del bersaglio, perché gli interventi con le prove migliori si applicano proprio sui muscoli pericranici e cervicali dolenti. Resta intatta la</w:t>
      </w:r>
      <w:r>
        <w:t xml:space="preserve"> </w:t>
      </w:r>
      <w:r>
        <w:rPr>
          <w:b/>
          <w:bCs/>
        </w:rPr>
        <w:t xml:space="preserve">regola di verifica</w:t>
      </w:r>
      <w:r>
        <w:t xml:space="preserve"> </w:t>
      </w:r>
      <w:r>
        <w:t xml:space="preserve">— il numero che decide deve stare su un piano che non hai trattato — ed è quella che discrimina.</w:t>
      </w:r>
    </w:p>
    <w:bookmarkEnd w:id="53"/>
    <w:bookmarkStart w:id="54" w:name="la-prova-della-chiave-di-volta"/>
    <w:p>
      <w:pPr>
        <w:pStyle w:val="Heading3"/>
      </w:pPr>
      <w:r>
        <w:t xml:space="preserve">La prova della chiave di volta</w:t>
      </w:r>
    </w:p>
    <w:p>
      <w:pPr>
        <w:pStyle w:val="FirstParagraph"/>
      </w:pPr>
      <w:r>
        <w:t xml:space="preserve">La chiave di volta è la pietra in cima all’arco: se togli quella, cade tutto il resto. Da lì il nome. Tratti in prova il piano che sospetti dominante, poi rivaluti. E se</w:t>
      </w:r>
      <w:r>
        <w:t xml:space="preserve"> </w:t>
      </w:r>
      <w:r>
        <w:rPr>
          <w:b/>
          <w:bCs/>
        </w:rPr>
        <w:t xml:space="preserve">si muove anche quello che non hai toccato</w:t>
      </w:r>
      <w:r>
        <w:t xml:space="preserve">, quello che hai trattato è la tua ricostruzione della lesione primaria.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Un marker che funziona rispetta quattro condizioni.</w:t>
      </w:r>
    </w:p>
    <w:p>
      <w:pPr>
        <w:pStyle w:val="Compact"/>
        <w:numPr>
          <w:ilvl w:val="0"/>
          <w:numId w:val="1021"/>
        </w:numPr>
      </w:pPr>
      <w:r>
        <w:t xml:space="preserve">Si misura in meno di cinque minuti, con lo stesso metodo prima e dopo.</w:t>
      </w:r>
    </w:p>
    <w:p>
      <w:pPr>
        <w:pStyle w:val="Compact"/>
        <w:numPr>
          <w:ilvl w:val="0"/>
          <w:numId w:val="1021"/>
        </w:numPr>
      </w:pPr>
      <w:r>
        <w:t xml:space="preserve">Si sceglie prima di trattare.</w:t>
      </w:r>
    </w:p>
    <w:p>
      <w:pPr>
        <w:pStyle w:val="Compact"/>
        <w:numPr>
          <w:ilvl w:val="0"/>
          <w:numId w:val="1021"/>
        </w:numPr>
      </w:pPr>
      <w:r>
        <w:rPr>
          <w:b/>
          <w:bCs/>
        </w:rPr>
        <w:t xml:space="preserve">Appartiene a un piano che non hai trattato.</w:t>
      </w:r>
    </w:p>
    <w:p>
      <w:pPr>
        <w:pStyle w:val="Compact"/>
        <w:numPr>
          <w:ilvl w:val="0"/>
          <w:numId w:val="1021"/>
        </w:numPr>
      </w:pPr>
      <w:r>
        <w:t xml:space="preserve">Ha una soglia dichiarata.</w:t>
      </w:r>
    </w:p>
    <w:p>
      <w:pPr>
        <w:pStyle w:val="BlockText"/>
      </w:pPr>
      <w:r>
        <w:rPr>
          <w:b/>
          <w:bCs/>
        </w:rPr>
        <w:t xml:space="preserve">Cosa cambia per te.</w:t>
      </w:r>
      <w:r>
        <w:t xml:space="preserve"> </w:t>
      </w:r>
      <w:r>
        <w:t xml:space="preserve">Su questa condizione la prova della chiave di volta</w:t>
      </w:r>
      <w:r>
        <w:t xml:space="preserve"> </w:t>
      </w:r>
      <w:r>
        <w:rPr>
          <w:b/>
          <w:bCs/>
        </w:rPr>
        <w:t xml:space="preserve">basata sul livello di una misura</w:t>
      </w:r>
      <w:r>
        <w:t xml:space="preserve"> </w:t>
      </w:r>
      <w:r>
        <w:t xml:space="preserve">è disponibile solo nella forma cronica sensibilizzata, dove la soglia lontana parte bassa e ha margine per salire. Negli altri sottotipi parte già normale, e un valore che non si muove non smentisce niente. L’unico marker con margine anche a soglia normale è un test di</w:t>
      </w:r>
      <w:r>
        <w:t xml:space="preserve"> </w:t>
      </w:r>
      <w:r>
        <w:rPr>
          <w:b/>
          <w:bCs/>
        </w:rPr>
        <w:t xml:space="preserve">funzione</w:t>
      </w:r>
      <w:r>
        <w:t xml:space="preserve"> </w:t>
      </w:r>
      <w:r>
        <w:t xml:space="preserve">e non di livello: la modulazione condizionata del dolore. Dove nessuno dei due è praticabile, la verifica è</w:t>
      </w:r>
      <w:r>
        <w:t xml:space="preserve"> </w:t>
      </w:r>
      <w:r>
        <w:rPr>
          <w:b/>
          <w:bCs/>
        </w:rPr>
        <w:t xml:space="preserve">differita</w:t>
      </w:r>
      <w:r>
        <w:t xml:space="preserve"> </w:t>
      </w:r>
      <w:r>
        <w:t xml:space="preserve">al conteggio prospettico su quattro settimane. Va detta al paziente all’inizio per quello che è: dice se il quadro è cambiato, non quale piano comandava.</w:t>
      </w:r>
      <w:r>
        <w:t xml:space="preserve"> </w:t>
      </w:r>
      <w:r>
        <w:rPr>
          <w:b/>
          <w:bCs/>
        </w:rPr>
        <w:t xml:space="preserve">E il risultato nullo non è muto:</w:t>
      </w:r>
      <w:r>
        <w:t xml:space="preserve"> </w:t>
      </w:r>
      <w:r>
        <w:t xml:space="preserve">se a quattro settimane il conteggio non si è mosso, il tuo reperto non era il piano che comandava, e il canale medico da parallelo diventa prioritario.</w:t>
      </w:r>
    </w:p>
    <w:p>
      <w:pPr>
        <w:pStyle w:val="FirstParagraph"/>
      </w:pPr>
      <w:r>
        <w:rPr>
          <w:b/>
          <w:bCs/>
        </w:rPr>
        <w:t xml:space="preserve">Le misure di effetto immediato del gesto</w:t>
      </w:r>
      <w:r>
        <w:t xml:space="preserve"> </w:t>
      </w:r>
      <w:r>
        <w:t xml:space="preserve">stanno sul piano che tratti. Dicono se il gesto ha fatto qualcosa, non se il piano comandava. Chiederlo a quelle misure è come farsi correggere il compito da chi te l’ha dettato.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Misura</w:t>
            </w:r>
          </w:p>
        </w:tc>
        <w:tc>
          <w:tcPr/>
          <w:p>
            <w:pPr>
              <w:pStyle w:val="Compact"/>
            </w:pPr>
            <w:r>
              <w:t xml:space="preserve">Come si prende</w:t>
            </w:r>
          </w:p>
        </w:tc>
        <w:tc>
          <w:tcPr/>
          <w:p>
            <w:pPr>
              <w:pStyle w:val="Compact"/>
            </w:pPr>
            <w:r>
              <w:t xml:space="preserve">Soglia che conta</w:t>
            </w:r>
          </w:p>
        </w:tc>
      </w:tr>
      <w:tr>
        <w:tc>
          <w:tcPr/>
          <w:p>
            <w:pPr>
              <w:pStyle w:val="Compact"/>
            </w:pPr>
            <w:r>
              <w:t xml:space="preserve">Dolore pericranico</w:t>
            </w:r>
          </w:p>
        </w:tc>
        <w:tc>
          <w:tcPr/>
          <w:p>
            <w:pPr>
              <w:pStyle w:val="Compact"/>
            </w:pPr>
            <w:r>
              <w:t xml:space="preserve">Palpazione 8 siti per lato, 0-3, totale 0-48</w:t>
            </w:r>
          </w:p>
        </w:tc>
        <w:tc>
          <w:tcPr/>
          <w:p>
            <w:pPr>
              <w:pStyle w:val="Compact"/>
            </w:pPr>
            <w:r>
              <w:t xml:space="preserve">Calo ≥ 4 punti</w:t>
            </w:r>
          </w:p>
        </w:tc>
      </w:tr>
      <w:tr>
        <w:tc>
          <w:tcPr/>
          <w:p>
            <w:pPr>
              <w:pStyle w:val="Compact"/>
            </w:pPr>
            <w:r>
              <w:t xml:space="preserve">Riproduzione in testa</w:t>
            </w:r>
          </w:p>
        </w:tc>
        <w:tc>
          <w:tcPr/>
          <w:p>
            <w:pPr>
              <w:pStyle w:val="Compact"/>
            </w:pPr>
            <w:r>
              <w:t xml:space="preserve">Pressione sostenuta 10 s su C1-C3</w:t>
            </w:r>
          </w:p>
        </w:tc>
        <w:tc>
          <w:tcPr/>
          <w:p>
            <w:pPr>
              <w:pStyle w:val="Compact"/>
            </w:pPr>
            <w:r>
              <w:t xml:space="preserve">Da riferita a locale</w:t>
            </w:r>
          </w:p>
        </w:tc>
      </w:tr>
      <w:tr>
        <w:tc>
          <w:tcPr/>
          <w:p>
            <w:pPr>
              <w:pStyle w:val="Compact"/>
            </w:pPr>
            <w:r>
              <w:t xml:space="preserve">Frequenza respiratoria</w:t>
            </w:r>
          </w:p>
        </w:tc>
        <w:tc>
          <w:tcPr/>
          <w:p>
            <w:pPr>
              <w:pStyle w:val="Compact"/>
            </w:pPr>
            <w:r>
              <w:t xml:space="preserve">Conteggio 60 s, senza avvisare</w:t>
            </w:r>
          </w:p>
        </w:tc>
        <w:tc>
          <w:tcPr/>
          <w:p>
            <w:pPr>
              <w:pStyle w:val="Compact"/>
            </w:pPr>
            <w:r>
              <w:t xml:space="preserve">Calo ≥ 3 atti sul suo basale</w:t>
            </w:r>
          </w:p>
        </w:tc>
      </w:tr>
    </w:tbl>
    <w:p>
      <w:pPr>
        <w:pStyle w:val="BodyText"/>
      </w:pPr>
      <w:r>
        <w:rPr>
          <w:b/>
          <w:bCs/>
        </w:rPr>
        <w:t xml:space="preserve">I marker della prova della chiave di volta</w:t>
      </w:r>
      <w:r>
        <w:t xml:space="preserve"> </w:t>
      </w:r>
      <w:r>
        <w:t xml:space="preserve">stanno fuori dal piano trattato, e si scelgono in base al sottotipo.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prende</w:t>
            </w:r>
          </w:p>
        </w:tc>
        <w:tc>
          <w:tcPr/>
          <w:p>
            <w:pPr>
              <w:pStyle w:val="Compact"/>
            </w:pPr>
            <w:r>
              <w:t xml:space="preserve">Soglia che conta</w:t>
            </w:r>
          </w:p>
        </w:tc>
      </w:tr>
      <w:tr>
        <w:tc>
          <w:tcPr/>
          <w:p>
            <w:pPr>
              <w:pStyle w:val="Compact"/>
            </w:pPr>
            <w:r>
              <w:t xml:space="preserve">Soglia di pressione, sito lontano</w:t>
            </w:r>
          </w:p>
        </w:tc>
        <w:tc>
          <w:tcPr/>
          <w:p>
            <w:pPr>
              <w:pStyle w:val="Compact"/>
            </w:pPr>
            <w:r>
              <w:t xml:space="preserve">Algometro, secondo metacarpo, mediana di tre</w:t>
            </w:r>
          </w:p>
        </w:tc>
        <w:tc>
          <w:tcPr/>
          <w:p>
            <w:pPr>
              <w:pStyle w:val="Compact"/>
            </w:pPr>
            <w:r>
              <w:t xml:space="preserve">Aumento ≥ 20%</w:t>
            </w:r>
          </w:p>
        </w:tc>
      </w:tr>
      <w:tr>
        <w:tc>
          <w:tcPr/>
          <w:p>
            <w:pPr>
              <w:pStyle w:val="Compact"/>
            </w:pPr>
            <w:r>
              <w:t xml:space="preserve">Modulazione condizionata (CPM)</w:t>
            </w:r>
          </w:p>
        </w:tc>
        <w:tc>
          <w:tcPr/>
          <w:p>
            <w:pPr>
              <w:pStyle w:val="Compact"/>
            </w:pPr>
            <w:r>
              <w:t xml:space="preserve">Stessa misura, mano opposta in acqua fredda</w:t>
            </w:r>
          </w:p>
        </w:tc>
        <w:tc>
          <w:tcPr/>
          <w:p>
            <w:pPr>
              <w:pStyle w:val="Compact"/>
            </w:pPr>
            <w:r>
              <w:t xml:space="preserve">Da</w:t>
            </w:r>
            <w:r>
              <w:t xml:space="preserve"> </w:t>
            </w:r>
            <w:r>
              <w:t xml:space="preserve">“non sale”</w:t>
            </w:r>
            <w:r>
              <w:t xml:space="preserve"> </w:t>
            </w:r>
            <w:r>
              <w:t xml:space="preserve">a</w:t>
            </w:r>
            <w:r>
              <w:t xml:space="preserve"> </w:t>
            </w:r>
            <w:r>
              <w:t xml:space="preserve">“sale”</w:t>
            </w:r>
          </w:p>
        </w:tc>
      </w:tr>
    </w:tbl>
    <w:p>
      <w:pPr>
        <w:pStyle w:val="BodyText"/>
      </w:pPr>
      <w:r>
        <w:t xml:space="preserve">Tre avvertenze, e sono la differenza fra una verifica e un auto-inganno.</w:t>
      </w:r>
    </w:p>
    <w:p>
      <w:pPr>
        <w:pStyle w:val="BodyText"/>
      </w:pPr>
      <w:r>
        <w:rPr>
          <w:b/>
          <w:bCs/>
        </w:rPr>
        <w:t xml:space="preserve">La prima: le soglie sono convenzioni di misura del metodo, non numeri della letteratura.</w:t>
      </w:r>
      <w:r>
        <w:t xml:space="preserve"> </w:t>
      </w:r>
      <w:r>
        <w:t xml:space="preserve">Il calo di 4 punti, l’aumento del 20% e il calo di 3 atti respiratori sono scelti sopra la variabilità dello strumento. Nessuno dei tre ha una fonte.</w:t>
      </w:r>
    </w:p>
    <w:p>
      <w:pPr>
        <w:pStyle w:val="BodyText"/>
      </w:pPr>
      <w:r>
        <w:rPr>
          <w:b/>
          <w:bCs/>
        </w:rPr>
        <w:t xml:space="preserve">La seconda: la soglia algometrica non classifica una persona.</w:t>
      </w:r>
      <w:r>
        <w:t xml:space="preserve"> </w:t>
      </w:r>
      <w:r>
        <w:t xml:space="preserve">Un solo studio l’ha misurata sul secondo metacarpo, in 157 pazienti, e</w:t>
      </w:r>
      <w:r>
        <w:t xml:space="preserve"> </w:t>
      </w:r>
      <w:r>
        <w:rPr>
          <w:b/>
          <w:bCs/>
        </w:rPr>
        <w:t xml:space="preserve">non ha trovato differenze</w:t>
      </w:r>
      <w:r>
        <w:t xml:space="preserve"> </w:t>
      </w:r>
      <w:r>
        <w:t xml:space="preserve">fra forma episodica frequente e cronica (Palacios-Ceña,</w:t>
      </w:r>
      <w:r>
        <w:t xml:space="preserve"> </w:t>
      </w:r>
      <w:r>
        <w:rPr>
          <w:i/>
          <w:iCs/>
        </w:rPr>
        <w:t xml:space="preserve">Cephalalgia</w:t>
      </w:r>
      <w:r>
        <w:t xml:space="preserve"> </w:t>
      </w:r>
      <w:r>
        <w:t xml:space="preserve">2018, PMID 27919024). La differenza fra medie che esiste in meta-analisi ha eterogeneità e bias di pubblicazione dichiarati. Non esistono valore di taglio, sensibilità né specificità. Resta un</w:t>
      </w:r>
      <w:r>
        <w:t xml:space="preserve"> </w:t>
      </w:r>
      <w:r>
        <w:rPr>
          <w:b/>
          <w:bCs/>
        </w:rPr>
        <w:t xml:space="preserve">marker di variazione dello stesso paziente</w:t>
      </w:r>
      <w:r>
        <w:t xml:space="preserve">, non un test che dice che tipo di paziente hai davanti.</w:t>
      </w:r>
      <w:r>
        <w:t xml:space="preserve"> </w:t>
      </w:r>
      <w:r>
        <w:rPr>
          <w:b/>
          <w:bCs/>
        </w:rPr>
        <w:t xml:space="preserve">Etichetta: RAGIONAMENTO</w:t>
      </w:r>
      <w:r>
        <w:t xml:space="preserve"> </w:t>
      </w:r>
      <w:r>
        <w:rPr>
          <w:i/>
          <w:iCs/>
        </w:rPr>
        <w:t xml:space="preserve">(cornice clinica, non una prova)</w:t>
      </w:r>
      <w:r>
        <w:t xml:space="preserve">.</w:t>
      </w:r>
    </w:p>
    <w:p>
      <w:pPr>
        <w:pStyle w:val="BodyText"/>
      </w:pPr>
      <w:r>
        <w:rPr>
          <w:b/>
          <w:bCs/>
        </w:rPr>
        <w:t xml:space="preserve">La terza: il CPM porta il suo lucchetto.</w:t>
      </w:r>
      <w:r>
        <w:t xml:space="preserve"> </w:t>
      </w:r>
      <w:r>
        <w:t xml:space="preserve">Che il freno discendente sia deficitario o invertito qui è misurato (Sandrini, PMID 16776692; Exposto, PMID 33690821). Che una mano lo sposti</w:t>
      </w:r>
      <w:r>
        <w:t xml:space="preserve"> </w:t>
      </w:r>
      <w:r>
        <w:rPr>
          <w:b/>
          <w:bCs/>
        </w:rPr>
        <w:t xml:space="preserve">non è mai stato misurato qui</w:t>
      </w:r>
      <w:r>
        <w:t xml:space="preserve">. Fuori da questa condizione è stato misurato, ed è poco e breve: i numeri stanno in «Cosa dice la scienza» (Arribas-Romano, PMID 32100027; Martínez-Pozas, PMID 36917046),</w:t>
      </w:r>
      <w:r>
        <w:t xml:space="preserve"> </w:t>
      </w:r>
      <w:r>
        <w:rPr>
          <w:b/>
          <w:bCs/>
        </w:rPr>
        <w:t xml:space="preserve">su pazienti con dolore muscolo-scheletrico cronico e su finestre immediate, non su questa cefalea e non sulle settimane</w:t>
      </w:r>
      <w:r>
        <w:t xml:space="preserve">. Quel dato alza l’etichetta del</w:t>
      </w:r>
      <w:r>
        <w:t xml:space="preserve"> </w:t>
      </w:r>
      <w:r>
        <w:rPr>
          <w:b/>
          <w:bCs/>
        </w:rPr>
        <w:t xml:space="preserve">meccanismo</w:t>
      </w:r>
      <w:r>
        <w:t xml:space="preserve"> </w:t>
      </w:r>
      <w:r>
        <w:t xml:space="preserve">a PROBABILE</w:t>
      </w:r>
      <w:r>
        <w:t xml:space="preserve"> </w:t>
      </w:r>
      <w:r>
        <w:rPr>
          <w:i/>
          <w:iCs/>
        </w:rPr>
        <w:t xml:space="preserve">(razionale forte, prove parziali)</w:t>
      </w:r>
      <w:r>
        <w:t xml:space="preserve">, e</w:t>
      </w:r>
      <w:r>
        <w:t xml:space="preserve"> </w:t>
      </w:r>
      <w:r>
        <w:rPr>
          <w:b/>
          <w:bCs/>
        </w:rPr>
        <w:t xml:space="preserve">non</w:t>
      </w:r>
      <w:r>
        <w:t xml:space="preserve"> </w:t>
      </w:r>
      <w:r>
        <w:t xml:space="preserve">quella della leva su questa condizione, che resta IPOTESI. La modulazione condizionata è un indice fisiologico, non un esito clinico, e l’eccezione registrata come D-028 qui</w:t>
      </w:r>
      <w:r>
        <w:t xml:space="preserve"> </w:t>
      </w:r>
      <w:r>
        <w:rPr>
          <w:b/>
          <w:bCs/>
        </w:rPr>
        <w:t xml:space="preserve">non si applica</w:t>
      </w:r>
      <w:r>
        <w:t xml:space="preserve">. Serve a sapere dove sei, non a dimostrare che l’hai cambiato. Chi non ha un algometro resta con la verifica differita, più lenta e meno specifica, da scrivere come tale in cartella. E dieci secondi di pressione sostenuta su C1-C3 sono essi stessi uno stimolo che somma: ripetere la prova a breve distanza sposta il risultato</w:t>
      </w:r>
      <w:r>
        <w:t xml:space="preserve"> </w:t>
      </w:r>
      <w:r>
        <w:rPr>
          <w:b/>
          <w:bCs/>
        </w:rPr>
        <w:t xml:space="preserve">verso il più</w:t>
      </w:r>
      <w:r>
        <w:t xml:space="preserve">.</w:t>
      </w:r>
    </w:p>
    <w:bookmarkEnd w:id="54"/>
    <w:bookmarkStart w:id="55" w:name="la-road-map"/>
    <w:p>
      <w:pPr>
        <w:pStyle w:val="Heading3"/>
      </w:pPr>
      <w:r>
        <w:t xml:space="preserve">La Road Map</w:t>
      </w:r>
    </w:p>
    <w:p>
      <w:pPr>
        <w:pStyle w:val="FirstParagraph"/>
      </w:pPr>
      <w:r>
        <w:t xml:space="preserve">Un solo criterio d’ordine: quanto un piano sta consumando la capacità di adattamento.</w:t>
      </w:r>
      <w:r>
        <w:t xml:space="preserve"> </w:t>
      </w:r>
      <w:r>
        <w:rPr>
          <w:b/>
          <w:bCs/>
        </w:rPr>
        <w:t xml:space="preserve">La raggiungibilità non entra nella classifica.</w:t>
      </w:r>
      <w:r>
        <w:t xml:space="preserve"> </w:t>
      </w:r>
      <w:r>
        <w:t xml:space="preserve">Un piano può comandare ed essere fuori dalle tue mani, e allora il rinvio diventa la cosa principale della seduta, non l’appendice. Le bandiere rosse stanno</w:t>
      </w:r>
      <w:r>
        <w:t xml:space="preserve"> </w:t>
      </w:r>
      <w:r>
        <w:rPr>
          <w:b/>
          <w:bCs/>
        </w:rPr>
        <w:t xml:space="preserve">prima</w:t>
      </w:r>
      <w:r>
        <w:t xml:space="preserve"> </w:t>
      </w:r>
      <w:r>
        <w:t xml:space="preserve">di questa lista, come cancello, perché sono un altro metro.</w:t>
      </w:r>
    </w:p>
    <w:p>
      <w:pPr>
        <w:pStyle w:val="Compact"/>
        <w:numPr>
          <w:ilvl w:val="0"/>
          <w:numId w:val="1022"/>
        </w:numPr>
      </w:pPr>
      <w:r>
        <w:rPr>
          <w:b/>
          <w:bCs/>
        </w:rPr>
        <w:t xml:space="preserve">Quante assunzioni al mese?</w:t>
      </w:r>
      <w:r>
        <w:t xml:space="preserve"> </w:t>
      </w:r>
      <w:r>
        <w:t xml:space="preserve">Sopra la soglia il quadro cambia uscita al triage, prima di qualunque ragionamento sui piani.</w:t>
      </w:r>
    </w:p>
    <w:p>
      <w:pPr>
        <w:pStyle w:val="Compact"/>
        <w:numPr>
          <w:ilvl w:val="0"/>
          <w:numId w:val="1022"/>
        </w:numPr>
      </w:pPr>
      <w:r>
        <w:rPr>
          <w:b/>
          <w:bCs/>
        </w:rPr>
        <w:t xml:space="preserve">Il sistema è in allerta?</w:t>
      </w:r>
      <w:r>
        <w:t xml:space="preserve"> </w:t>
      </w:r>
      <w:r>
        <w:t xml:space="preserve">Tessuti che rimbalzano, respiro alto, esordio agganciato a un evento. Se sì, è il primo bersaglio, e il modo in cui tratti diventa il trattamento.</w:t>
      </w:r>
    </w:p>
    <w:p>
      <w:pPr>
        <w:pStyle w:val="Compact"/>
        <w:numPr>
          <w:ilvl w:val="0"/>
          <w:numId w:val="1022"/>
        </w:numPr>
      </w:pPr>
      <w:r>
        <w:rPr>
          <w:b/>
          <w:bCs/>
        </w:rPr>
        <w:t xml:space="preserve">Come recupera?</w:t>
      </w:r>
      <w:r>
        <w:t xml:space="preserve"> </w:t>
      </w:r>
      <w:r>
        <w:t xml:space="preserve">Sonno, pause, attività fisica. È un piano regolatore e sta qui, non in fondo: se comanda lui, il rinvio è la seduta.</w:t>
      </w:r>
    </w:p>
    <w:p>
      <w:pPr>
        <w:pStyle w:val="Compact"/>
        <w:numPr>
          <w:ilvl w:val="0"/>
          <w:numId w:val="1022"/>
        </w:numPr>
      </w:pPr>
      <w:r>
        <w:rPr>
          <w:b/>
          <w:bCs/>
        </w:rPr>
        <w:t xml:space="preserve">La soglia è abbassata fuori dalla testa, o il freno non risponde?</w:t>
      </w:r>
      <w:r>
        <w:t xml:space="preserve"> </w:t>
      </w:r>
      <w:r>
        <w:t xml:space="preserve">Se sì, sei nella forma sensibilizzata: togliere ingresso, orizzonte settimane, canale medico in parallelo.</w:t>
      </w:r>
    </w:p>
    <w:p>
      <w:pPr>
        <w:pStyle w:val="Compact"/>
        <w:numPr>
          <w:ilvl w:val="0"/>
          <w:numId w:val="1022"/>
        </w:numPr>
      </w:pPr>
      <w:r>
        <w:rPr>
          <w:b/>
          <w:bCs/>
        </w:rPr>
        <w:t xml:space="preserve">Quanto ingresso periferico c’è, e da dove?</w:t>
      </w:r>
      <w:r>
        <w:t xml:space="preserve"> </w:t>
      </w:r>
      <w:r>
        <w:t xml:space="preserve">Punteggio alto e un punto che riproduce ti danno un bersaglio per la mano. Se non trovi niente, non cercare più forte: il peso si sposta sul punto successivo.</w:t>
      </w:r>
    </w:p>
    <w:p>
      <w:pPr>
        <w:pStyle w:val="Compact"/>
        <w:numPr>
          <w:ilvl w:val="0"/>
          <w:numId w:val="1022"/>
        </w:numPr>
      </w:pPr>
      <w:r>
        <w:rPr>
          <w:b/>
          <w:bCs/>
        </w:rPr>
        <w:t xml:space="preserve">Quanto carico statico c’è, e quanta capacità?</w:t>
      </w:r>
      <w:r>
        <w:t xml:space="preserve"> </w:t>
      </w:r>
      <w:r>
        <w:t xml:space="preserve">Decide se il peso del caso sta nella tua mano, o in quello che il paziente farà da solo.</w:t>
      </w:r>
    </w:p>
    <w:bookmarkEnd w:id="55"/>
    <w:bookmarkStart w:id="56" w:name="X2ade5481257d0aa798ed03c4f8805a0dcdee156"/>
    <w:p>
      <w:pPr>
        <w:pStyle w:val="Heading3"/>
      </w:pPr>
      <w:r>
        <w:t xml:space="preserve">I tre stati, e cosa cambia nel modo di parlargli</w:t>
      </w:r>
    </w:p>
    <w:p>
      <w:pPr>
        <w:pStyle w:val="FirstParagraph"/>
      </w:pPr>
      <w:r>
        <w:t xml:space="preserve">I tre stati dicono</w:t>
      </w:r>
      <w:r>
        <w:t xml:space="preserve"> </w:t>
      </w:r>
      <w:r>
        <w:rPr>
          <w:b/>
          <w:bCs/>
        </w:rPr>
        <w:t xml:space="preserve">come parlargli</w:t>
      </w:r>
      <w:r>
        <w:t xml:space="preserve">, non quale piano comanda. Il piano si decide sui segnali del capitolo precedente e sulla Road Map, anche quando lo stato in stanza suggerisce altro. Chi si commuove parlando dei figli può avere un ingresso periferico puro, con un punto che riproduce il quadro.</w:t>
      </w:r>
    </w:p>
    <w:p>
      <w:pPr>
        <w:pStyle w:val="Compact"/>
        <w:numPr>
          <w:ilvl w:val="0"/>
          <w:numId w:val="1023"/>
        </w:numPr>
      </w:pPr>
      <w:r>
        <w:rPr>
          <w:b/>
          <w:bCs/>
        </w:rPr>
        <w:t xml:space="preserve">In difesa</w:t>
      </w:r>
      <w:r>
        <w:t xml:space="preserve"> </w:t>
      </w:r>
      <w:r>
        <w:t xml:space="preserve">— teso, monosillabi, diffidente. Parla al bisogno di sicurezza: contatto lento, ritmo calmo, e dici cosa farai prima di farlo. Finché non si sente al sicuro, ogni correzione rimbalza.</w:t>
      </w:r>
    </w:p>
    <w:p>
      <w:pPr>
        <w:pStyle w:val="Compact"/>
        <w:numPr>
          <w:ilvl w:val="0"/>
          <w:numId w:val="1023"/>
        </w:numPr>
      </w:pPr>
      <w:r>
        <w:rPr>
          <w:b/>
          <w:bCs/>
        </w:rPr>
        <w:t xml:space="preserve">Emotivo</w:t>
      </w:r>
      <w:r>
        <w:t xml:space="preserve"> </w:t>
      </w:r>
      <w:r>
        <w:t xml:space="preserve">— racconta, si commuove sull’irritabilità con i figli. Parla al bisogno di essere capito: rallenti, gli restituisci quello che ha detto prima di passare all’esame, e non gli chiedi di ricostruire numeri a memoria.</w:t>
      </w:r>
    </w:p>
    <w:p>
      <w:pPr>
        <w:pStyle w:val="Compact"/>
        <w:numPr>
          <w:ilvl w:val="0"/>
          <w:numId w:val="1023"/>
        </w:numPr>
      </w:pPr>
      <w:r>
        <w:rPr>
          <w:b/>
          <w:bCs/>
        </w:rPr>
        <w:t xml:space="preserve">Razionale</w:t>
      </w:r>
      <w:r>
        <w:t xml:space="preserve"> </w:t>
      </w:r>
      <w:r>
        <w:t xml:space="preserve">— vuole capire perché la risonanza era normale. Mostragli i numeri prima e dopo, e il punto che riproduce il suo dolore: vale più di mezz’ora di spiegazione.</w:t>
      </w:r>
    </w:p>
    <w:p>
      <w:pPr>
        <w:pStyle w:val="FirstParagraph"/>
      </w:pPr>
      <w:r>
        <w:rPr>
          <w:b/>
          <w:bCs/>
        </w:rPr>
        <w:t xml:space="preserve">Le tre cose da ricordare, più una</w:t>
      </w:r>
    </w:p>
    <w:p>
      <w:pPr>
        <w:pStyle w:val="Compact"/>
        <w:numPr>
          <w:ilvl w:val="0"/>
          <w:numId w:val="1024"/>
        </w:numPr>
      </w:pPr>
      <w:r>
        <w:t xml:space="preserve">Il marker che decide sta fuori dal piano che tratti, ed è davvero disponibile solo nel cronico sensibilizzato e, come test di funzione, con il CPM. Negli altri casi la verifica è differita, e si dichiara.</w:t>
      </w:r>
    </w:p>
    <w:p>
      <w:pPr>
        <w:pStyle w:val="Compact"/>
        <w:numPr>
          <w:ilvl w:val="0"/>
          <w:numId w:val="1024"/>
        </w:numPr>
      </w:pPr>
      <w:r>
        <w:t xml:space="preserve">La regola «non trattare dove sente» qui è tolta, non attenuata. Resta la regola di verifica, ed è quella che discrimina.</w:t>
      </w:r>
    </w:p>
    <w:p>
      <w:pPr>
        <w:pStyle w:val="Compact"/>
        <w:numPr>
          <w:ilvl w:val="0"/>
          <w:numId w:val="1024"/>
        </w:numPr>
      </w:pPr>
      <w:r>
        <w:t xml:space="preserve">Il paziente in cui comanda l’attivazione è quello in cui hai più da fare, e insieme quello in cui la prova in seduta non c’è</w:t>
      </w:r>
      <w:r>
        <w:t xml:space="preserve"> </w:t>
      </w:r>
      <w:r>
        <w:rPr>
          <w:b/>
          <w:bCs/>
        </w:rPr>
        <w:t xml:space="preserve">per livello</w:t>
      </w:r>
      <w:r>
        <w:t xml:space="preserve">: leva e marker sono lo stesso piano,</w:t>
      </w:r>
      <w:r>
        <w:t xml:space="preserve"> </w:t>
      </w:r>
      <w:r>
        <w:rPr>
          <w:b/>
          <w:bCs/>
        </w:rPr>
        <w:t xml:space="preserve">e resta solo il CPM dove è praticabile</w:t>
      </w:r>
      <w:r>
        <w:t xml:space="preserve">.</w:t>
      </w:r>
    </w:p>
    <w:p>
      <w:pPr>
        <w:pStyle w:val="Compact"/>
        <w:numPr>
          <w:ilvl w:val="0"/>
          <w:numId w:val="1024"/>
        </w:numPr>
      </w:pPr>
      <w:r>
        <w:rPr>
          <w:b/>
          <w:bCs/>
        </w:rPr>
        <w:t xml:space="preserve">Perché ci sei tu.</w:t>
      </w:r>
      <w:r>
        <w:t xml:space="preserve"> </w:t>
      </w:r>
      <w:r>
        <w:t xml:space="preserve">Su 157 pazienti, il numero di punti attivi e latenti in testa, collo e spalle era associato alla sensibilità pressoria diffusa. L’associazione era indipendente dalla frequenza del mal di testa (Palacios-Ceña,</w:t>
      </w:r>
      <w:r>
        <w:t xml:space="preserve"> </w:t>
      </w:r>
      <w:r>
        <w:rPr>
          <w:i/>
          <w:iCs/>
        </w:rPr>
        <w:t xml:space="preserve">Cephalalgia</w:t>
      </w:r>
      <w:r>
        <w:t xml:space="preserve"> </w:t>
      </w:r>
      <w:r>
        <w:t xml:space="preserve">2018, PMID 27919024). Ti autorizza a contare i punti come misura di stratificazione. Non ti autorizza a presentare quel conteggio come una diagnosi, né a usarlo per dire a quale forma appartiene il paziente.</w:t>
      </w:r>
    </w:p>
    <w:p>
      <w:r>
        <w:pict>
          <v:rect style="width:0;height:1.5pt" o:hralign="center" o:hrstd="t" o:hr="t"/>
        </w:pict>
      </w:r>
    </w:p>
    <w:bookmarkEnd w:id="56"/>
    <w:bookmarkEnd w:id="57"/>
    <w:bookmarkStart w:id="6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il confine non passa dove il paziente ha diritto al trattamento, ma dove il conteggio delle pastiglie, la forma del dolore e il profilo vascolare del collo cambiano il documento che devi scrivere.</w:t>
      </w:r>
    </w:p>
    <w:bookmarkStart w:id="58" w:name="le-bandiere-rosse"/>
    <w:p>
      <w:pPr>
        <w:pStyle w:val="Heading3"/>
      </w:pPr>
      <w:r>
        <w:t xml:space="preserve">Le bandiere rosse</w:t>
      </w:r>
    </w:p>
    <w:p>
      <w:pPr>
        <w:pStyle w:val="FirstParagraph"/>
      </w:pPr>
      <w:r>
        <w:t xml:space="preserve">La lista di partenza è quella internazionale, SNNOOP10 (Do,</w:t>
      </w:r>
      <w:r>
        <w:t xml:space="preserve"> </w:t>
      </w:r>
      <w:r>
        <w:rPr>
          <w:i/>
          <w:iCs/>
        </w:rPr>
        <w:t xml:space="preserve">Neurology</w:t>
      </w:r>
      <w:r>
        <w:t xml:space="preserve"> </w:t>
      </w:r>
      <w:r>
        <w:t xml:space="preserve">2019, PMID 30587518), con due scostamenti dichiarati: l’età soglia è portata a</w:t>
      </w:r>
      <w:r>
        <w:t xml:space="preserve"> </w:t>
      </w:r>
      <w:r>
        <w:rPr>
          <w:b/>
          <w:bCs/>
        </w:rPr>
        <w:t xml:space="preserve">50 anni</w:t>
      </w:r>
      <w:r>
        <w:t xml:space="preserve"> </w:t>
      </w:r>
      <w:r>
        <w:t xml:space="preserve">invece dei 65 della lista, e alcune voci sono rese più specifiche. I blocchi sono due, perché il comportamento è diverso.</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esplosivo, il peggiore mai avuto</w:t>
            </w:r>
          </w:p>
        </w:tc>
        <w:tc>
          <w:tcPr/>
          <w:p>
            <w:pPr>
              <w:pStyle w:val="Compact"/>
            </w:pPr>
            <w:r>
              <w:t xml:space="preserve">Pronto soccorso</w:t>
            </w:r>
          </w:p>
        </w:tc>
        <w:tc>
          <w:tcPr/>
          <w:p>
            <w:pPr>
              <w:pStyle w:val="Compact"/>
            </w:pPr>
            <w:r>
              <w:t xml:space="preserve">112</w:t>
            </w:r>
          </w:p>
        </w:tc>
      </w:tr>
      <w:tr>
        <w:tc>
          <w:tcPr/>
          <w:p>
            <w:pPr>
              <w:pStyle w:val="Compact"/>
            </w:pPr>
            <w:r>
              <w:t xml:space="preserve">Febbre o sintomi sistemici, con collo rigido</w:t>
            </w:r>
          </w:p>
        </w:tc>
        <w:tc>
          <w:tcPr/>
          <w:p>
            <w:pPr>
              <w:pStyle w:val="Compact"/>
            </w:pPr>
            <w:r>
              <w:t xml:space="preserve">Pronto soccorso</w:t>
            </w:r>
          </w:p>
        </w:tc>
        <w:tc>
          <w:tcPr/>
          <w:p>
            <w:pPr>
              <w:pStyle w:val="Compact"/>
            </w:pPr>
            <w:r>
              <w:t xml:space="preserve">112</w:t>
            </w:r>
          </w:p>
        </w:tc>
      </w:tr>
      <w:tr>
        <w:tc>
          <w:tcPr/>
          <w:p>
            <w:pPr>
              <w:pStyle w:val="Compact"/>
            </w:pPr>
            <w:r>
              <w:t xml:space="preserve">Deficit di forza, parola, vista o coscienza</w:t>
            </w:r>
          </w:p>
        </w:tc>
        <w:tc>
          <w:tcPr/>
          <w:p>
            <w:pPr>
              <w:pStyle w:val="Compact"/>
            </w:pPr>
            <w:r>
              <w:t xml:space="preserve">Pronto soccorso</w:t>
            </w:r>
          </w:p>
        </w:tc>
        <w:tc>
          <w:tcPr/>
          <w:p>
            <w:pPr>
              <w:pStyle w:val="Compact"/>
            </w:pPr>
            <w:r>
              <w:t xml:space="preserve">112</w:t>
            </w:r>
          </w:p>
        </w:tc>
      </w:tr>
      <w:tr>
        <w:tc>
          <w:tcPr/>
          <w:p>
            <w:pPr>
              <w:pStyle w:val="Compact"/>
            </w:pPr>
            <w:r>
              <w:t xml:space="preserve">Convulsione con il mal di testa</w:t>
            </w:r>
          </w:p>
        </w:tc>
        <w:tc>
          <w:tcPr/>
          <w:p>
            <w:pPr>
              <w:pStyle w:val="Compact"/>
            </w:pPr>
            <w:r>
              <w:t xml:space="preserve">Pronto soccorso</w:t>
            </w:r>
          </w:p>
        </w:tc>
        <w:tc>
          <w:tcPr/>
          <w:p>
            <w:pPr>
              <w:pStyle w:val="Compact"/>
            </w:pPr>
            <w:r>
              <w:t xml:space="preserve">112</w:t>
            </w:r>
          </w:p>
        </w:tc>
      </w:tr>
      <w:tr>
        <w:tc>
          <w:tcPr/>
          <w:p>
            <w:pPr>
              <w:pStyle w:val="Compact"/>
            </w:pPr>
            <w:r>
              <w:t xml:space="preserve">Dolore</w:t>
            </w:r>
            <w:r>
              <w:t xml:space="preserve"> </w:t>
            </w:r>
            <w:r>
              <w:rPr>
                <w:b/>
                <w:bCs/>
              </w:rPr>
              <w:t xml:space="preserve">diverso da ogni episodio precedente</w:t>
            </w:r>
          </w:p>
        </w:tc>
        <w:tc>
          <w:tcPr/>
          <w:p>
            <w:pPr>
              <w:pStyle w:val="Compact"/>
            </w:pPr>
            <w:r>
              <w:t xml:space="preserve">Pronto soccorso</w:t>
            </w:r>
          </w:p>
        </w:tc>
        <w:tc>
          <w:tcPr/>
          <w:p>
            <w:pPr>
              <w:pStyle w:val="Compact"/>
            </w:pPr>
            <w:r>
              <w:t xml:space="preserve">112 se segni neurologici, altrimenti Urgente</w:t>
            </w:r>
          </w:p>
        </w:tc>
      </w:tr>
      <w:tr>
        <w:tc>
          <w:tcPr/>
          <w:p>
            <w:pPr>
              <w:pStyle w:val="Compact"/>
            </w:pPr>
            <w:r>
              <w:t xml:space="preserve">Cefalea</w:t>
            </w:r>
            <w:r>
              <w:t xml:space="preserve"> </w:t>
            </w:r>
            <w:r>
              <w:rPr>
                <w:b/>
                <w:bCs/>
              </w:rPr>
              <w:t xml:space="preserve">nuova o diversa</w:t>
            </w:r>
            <w:r>
              <w:t xml:space="preserve"> </w:t>
            </w:r>
            <w:r>
              <w:t xml:space="preserve">in gravidanza o post-parto</w:t>
            </w:r>
          </w:p>
        </w:tc>
        <w:tc>
          <w:tcPr/>
          <w:p>
            <w:pPr>
              <w:pStyle w:val="Compact"/>
            </w:pPr>
            <w:r>
              <w:t xml:space="preserve">Pronto soccorso</w:t>
            </w:r>
          </w:p>
        </w:tc>
        <w:tc>
          <w:tcPr/>
          <w:p>
            <w:pPr>
              <w:pStyle w:val="Compact"/>
            </w:pPr>
            <w:r>
              <w:t xml:space="preserve">Urgente</w:t>
            </w:r>
          </w:p>
        </w:tc>
      </w:tr>
    </w:tbl>
    <w:p>
      <w:pPr>
        <w:pStyle w:val="BlockText"/>
      </w:pPr>
      <w:r>
        <w:rPr>
          <w:b/>
          <w:bCs/>
        </w:rPr>
        <w:t xml:space="preserve">Attenzione — la riga del dolore diverso da ogni precedente.</w:t>
      </w:r>
      <w:r>
        <w:t xml:space="preserve"> </w:t>
      </w:r>
      <w:r>
        <w:t xml:space="preserve">È la riga della</w:t>
      </w:r>
      <w:r>
        <w:t xml:space="preserve"> </w:t>
      </w:r>
      <w:r>
        <w:rPr>
          <w:b/>
          <w:bCs/>
        </w:rPr>
        <w:t xml:space="preserve">dissezione arteriosa cervicale</w:t>
      </w:r>
      <w:r>
        <w:t xml:space="preserve">, e il criterio che regge non è l’intensità. Prendi venti pazienti arrivati col solo dolore: l’esordio era a rombo di tuono in quattro. Ma il dolore era</w:t>
      </w:r>
      <w:r>
        <w:t xml:space="preserve"> </w:t>
      </w:r>
      <w:r>
        <w:rPr>
          <w:b/>
          <w:bCs/>
        </w:rPr>
        <w:t xml:space="preserve">diverso da tutti gli episodi precedenti in diciannove su venti</w:t>
      </w:r>
      <w:r>
        <w:t xml:space="preserve"> </w:t>
      </w:r>
      <w:r>
        <w:t xml:space="preserve">(Arnold,</w:t>
      </w:r>
      <w:r>
        <w:t xml:space="preserve"> </w:t>
      </w:r>
      <w:r>
        <w:rPr>
          <w:i/>
          <w:iCs/>
        </w:rPr>
        <w:t xml:space="preserve">JNNP</w:t>
      </w:r>
      <w:r>
        <w:t xml:space="preserve"> </w:t>
      </w:r>
      <w:r>
        <w:t xml:space="preserve">2006, PMID 16820416). Pesa più qui che altrove, e la ragione è la popolazione di questa Bibbia: adulto giovane-medio, mal di testa più dolore al collo, cioè la stessa in cui la dissezione si maschera. Le visite fatturate per mal di testa e disturbi del collo sono risultate fortemente associate all’ictus vertebro-basilare successivo (Cassidy,</w:t>
      </w:r>
      <w:r>
        <w:t xml:space="preserve"> </w:t>
      </w:r>
      <w:r>
        <w:rPr>
          <w:i/>
          <w:iCs/>
        </w:rPr>
        <w:t xml:space="preserve">Spine</w:t>
      </w:r>
      <w:r>
        <w:t xml:space="preserve"> </w:t>
      </w:r>
      <w:r>
        <w:t xml:space="preserve">2008, PMID 18204390). Alzano la probabilità tre cose:</w:t>
      </w:r>
      <w:r>
        <w:t xml:space="preserve"> </w:t>
      </w:r>
      <w:r>
        <w:rPr>
          <w:b/>
          <w:bCs/>
        </w:rPr>
        <w:t xml:space="preserve">ptosi e miosi omolaterali</w:t>
      </w:r>
      <w:r>
        <w:t xml:space="preserve">,</w:t>
      </w:r>
      <w:r>
        <w:t xml:space="preserve"> </w:t>
      </w:r>
      <w:r>
        <w:rPr>
          <w:b/>
          <w:bCs/>
        </w:rPr>
        <w:t xml:space="preserve">acufene pulsante</w:t>
      </w:r>
      <w:r>
        <w:t xml:space="preserve">, un trauma o un movimento brusco del collo nei giorni prima.</w:t>
      </w:r>
    </w:p>
    <w:p>
      <w:pPr>
        <w:pStyle w:val="FirstParagraph"/>
      </w:pPr>
      <w:r>
        <w:rPr>
          <w:b/>
          <w:bCs/>
        </w:rPr>
        <w:t xml:space="preserve">Blocco B — invio non differibile. Si può trattare un altro distretto, e non questo. Fanno eccezione le due righe a Invio programmato, dove si lavora in parallelo anche qui.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Primo episodio dopo i 50 anni</w:t>
            </w:r>
          </w:p>
        </w:tc>
        <w:tc>
          <w:tcPr/>
          <w:p>
            <w:pPr>
              <w:pStyle w:val="Compact"/>
            </w:pPr>
            <w:r>
              <w:t xml:space="preserve">Curante, poi neurologo</w:t>
            </w:r>
          </w:p>
        </w:tc>
        <w:tc>
          <w:tcPr/>
          <w:p>
            <w:pPr>
              <w:pStyle w:val="Compact"/>
            </w:pPr>
            <w:r>
              <w:t xml:space="preserve">Invio, non attendere</w:t>
            </w:r>
          </w:p>
        </w:tc>
      </w:tr>
      <w:tr>
        <w:tc>
          <w:tcPr/>
          <w:p>
            <w:pPr>
              <w:pStyle w:val="Compact"/>
            </w:pPr>
            <w:r>
              <w:t xml:space="preserve">Cuoio capelluto dolente, mandibola stanca, over 50</w:t>
            </w:r>
          </w:p>
        </w:tc>
        <w:tc>
          <w:tcPr/>
          <w:p>
            <w:pPr>
              <w:pStyle w:val="Compact"/>
            </w:pPr>
            <w:r>
              <w:t xml:space="preserve">Curante; PS se cala la vista</w:t>
            </w:r>
          </w:p>
        </w:tc>
        <w:tc>
          <w:tcPr/>
          <w:p>
            <w:pPr>
              <w:pStyle w:val="Compact"/>
            </w:pPr>
            <w:r>
              <w:t xml:space="preserve">Invio, non attendere</w:t>
            </w:r>
          </w:p>
        </w:tc>
      </w:tr>
      <w:tr>
        <w:tc>
          <w:tcPr/>
          <w:p>
            <w:pPr>
              <w:pStyle w:val="Compact"/>
            </w:pPr>
            <w:r>
              <w:t xml:space="preserve">Peggiora sdraiato o al risveglio, con vomito</w:t>
            </w:r>
          </w:p>
        </w:tc>
        <w:tc>
          <w:tcPr/>
          <w:p>
            <w:pPr>
              <w:pStyle w:val="Compact"/>
            </w:pPr>
            <w:r>
              <w:t xml:space="preserve">Neurologo</w:t>
            </w:r>
          </w:p>
        </w:tc>
        <w:tc>
          <w:tcPr/>
          <w:p>
            <w:pPr>
              <w:pStyle w:val="Compact"/>
            </w:pPr>
            <w:r>
              <w:t xml:space="preserve">Invio, non attendere</w:t>
            </w:r>
          </w:p>
        </w:tc>
      </w:tr>
      <w:tr>
        <w:tc>
          <w:tcPr/>
          <w:p>
            <w:pPr>
              <w:pStyle w:val="Compact"/>
            </w:pPr>
            <w:r>
              <w:rPr>
                <w:b/>
                <w:bCs/>
              </w:rPr>
              <w:t xml:space="preserve">Compare in piedi, si allevia sdraiandosi</w:t>
            </w:r>
          </w:p>
        </w:tc>
        <w:tc>
          <w:tcPr/>
          <w:p>
            <w:pPr>
              <w:pStyle w:val="Compact"/>
            </w:pPr>
            <w:r>
              <w:t xml:space="preserve">Neurologo</w:t>
            </w:r>
          </w:p>
        </w:tc>
        <w:tc>
          <w:tcPr/>
          <w:p>
            <w:pPr>
              <w:pStyle w:val="Compact"/>
            </w:pPr>
            <w:r>
              <w:t xml:space="preserve">Invio, non attendere</w:t>
            </w:r>
          </w:p>
        </w:tc>
      </w:tr>
      <w:tr>
        <w:tc>
          <w:tcPr/>
          <w:p>
            <w:pPr>
              <w:pStyle w:val="Compact"/>
            </w:pPr>
            <w:r>
              <w:t xml:space="preserve">Compare o peggiora con tosse e sforzo</w:t>
            </w:r>
          </w:p>
        </w:tc>
        <w:tc>
          <w:tcPr/>
          <w:p>
            <w:pPr>
              <w:pStyle w:val="Compact"/>
            </w:pPr>
            <w:r>
              <w:t xml:space="preserve">Neurologo</w:t>
            </w:r>
          </w:p>
        </w:tc>
        <w:tc>
          <w:tcPr/>
          <w:p>
            <w:pPr>
              <w:pStyle w:val="Compact"/>
            </w:pPr>
            <w:r>
              <w:t xml:space="preserve">Invio, non attendere</w:t>
            </w:r>
          </w:p>
        </w:tc>
      </w:tr>
      <w:tr>
        <w:tc>
          <w:tcPr/>
          <w:p>
            <w:pPr>
              <w:pStyle w:val="Compact"/>
            </w:pPr>
            <w:r>
              <w:t xml:space="preserve">Cambia forma o cresce settimana dopo settimana</w:t>
            </w:r>
          </w:p>
        </w:tc>
        <w:tc>
          <w:tcPr/>
          <w:p>
            <w:pPr>
              <w:pStyle w:val="Compact"/>
            </w:pPr>
            <w:r>
              <w:t xml:space="preserve">Curante, poi neurologo</w:t>
            </w:r>
          </w:p>
        </w:tc>
        <w:tc>
          <w:tcPr/>
          <w:p>
            <w:pPr>
              <w:pStyle w:val="Compact"/>
            </w:pPr>
            <w:r>
              <w:t xml:space="preserve">Invio, non attendere</w:t>
            </w:r>
          </w:p>
        </w:tc>
      </w:tr>
      <w:tr>
        <w:tc>
          <w:tcPr/>
          <w:p>
            <w:pPr>
              <w:pStyle w:val="Compact"/>
            </w:pPr>
            <w:r>
              <w:t xml:space="preserve">Cefalea nuova o cambiata in chi è anticoagulato</w:t>
            </w:r>
          </w:p>
        </w:tc>
        <w:tc>
          <w:tcPr/>
          <w:p>
            <w:pPr>
              <w:pStyle w:val="Compact"/>
            </w:pPr>
            <w:r>
              <w:t xml:space="preserve">Curante, per imaging</w:t>
            </w:r>
          </w:p>
        </w:tc>
        <w:tc>
          <w:tcPr/>
          <w:p>
            <w:pPr>
              <w:pStyle w:val="Compact"/>
            </w:pPr>
            <w:r>
              <w:t xml:space="preserve">Invio, non attendere</w:t>
            </w:r>
          </w:p>
        </w:tc>
      </w:tr>
      <w:tr>
        <w:tc>
          <w:tcPr/>
          <w:p>
            <w:pPr>
              <w:pStyle w:val="Compact"/>
            </w:pPr>
            <w:r>
              <w:t xml:space="preserve">Storia di tumore o immunodepressione</w:t>
            </w:r>
          </w:p>
        </w:tc>
        <w:tc>
          <w:tcPr/>
          <w:p>
            <w:pPr>
              <w:pStyle w:val="Compact"/>
            </w:pPr>
            <w:r>
              <w:t xml:space="preserve">Curante</w:t>
            </w:r>
          </w:p>
        </w:tc>
        <w:tc>
          <w:tcPr/>
          <w:p>
            <w:pPr>
              <w:pStyle w:val="Compact"/>
            </w:pPr>
            <w:r>
              <w:t xml:space="preserve">Invio, non attendere</w:t>
            </w:r>
          </w:p>
        </w:tc>
      </w:tr>
      <w:tr>
        <w:tc>
          <w:tcPr/>
          <w:p>
            <w:pPr>
              <w:pStyle w:val="Compact"/>
            </w:pPr>
            <w:r>
              <w:t xml:space="preserve">Compare dopo un trauma cranico</w:t>
            </w:r>
          </w:p>
        </w:tc>
        <w:tc>
          <w:tcPr/>
          <w:p>
            <w:pPr>
              <w:pStyle w:val="Compact"/>
            </w:pPr>
            <w:r>
              <w:t xml:space="preserve">Curante</w:t>
            </w:r>
          </w:p>
        </w:tc>
        <w:tc>
          <w:tcPr/>
          <w:p>
            <w:pPr>
              <w:pStyle w:val="Compact"/>
            </w:pPr>
            <w:r>
              <w:t xml:space="preserve">Invio</w:t>
            </w:r>
          </w:p>
        </w:tc>
      </w:tr>
      <w:tr>
        <w:tc>
          <w:tcPr/>
          <w:p>
            <w:pPr>
              <w:pStyle w:val="Compact"/>
            </w:pPr>
            <w:r>
              <w:t xml:space="preserve">Occhio dolente e arrossato con lacrimazione</w:t>
            </w:r>
          </w:p>
        </w:tc>
        <w:tc>
          <w:tcPr/>
          <w:p>
            <w:pPr>
              <w:pStyle w:val="Compact"/>
            </w:pPr>
            <w:r>
              <w:t xml:space="preserve">Oculista o Pronto soccorso</w:t>
            </w:r>
          </w:p>
        </w:tc>
        <w:tc>
          <w:tcPr/>
          <w:p>
            <w:pPr>
              <w:pStyle w:val="Compact"/>
            </w:pPr>
            <w:r>
              <w:t xml:space="preserve">Urgente</w:t>
            </w:r>
          </w:p>
        </w:tc>
      </w:tr>
      <w:tr>
        <w:tc>
          <w:tcPr/>
          <w:p>
            <w:pPr>
              <w:pStyle w:val="Compact"/>
            </w:pPr>
            <w:r>
              <w:t xml:space="preserve">Al risveglio quasi ogni mattina, con russamento</w:t>
            </w:r>
          </w:p>
        </w:tc>
        <w:tc>
          <w:tcPr/>
          <w:p>
            <w:pPr>
              <w:pStyle w:val="Compact"/>
            </w:pPr>
            <w:r>
              <w:t xml:space="preserve">Curante, per il sonno</w:t>
            </w:r>
          </w:p>
        </w:tc>
        <w:tc>
          <w:tcPr/>
          <w:p>
            <w:pPr>
              <w:pStyle w:val="Compact"/>
            </w:pPr>
            <w:r>
              <w:t xml:space="preserve">Invio programmato</w:t>
            </w:r>
          </w:p>
        </w:tc>
      </w:tr>
      <w:tr>
        <w:tc>
          <w:tcPr/>
          <w:p>
            <w:pPr>
              <w:pStyle w:val="Compact"/>
            </w:pPr>
            <w:r>
              <w:t xml:space="preserve">Analgesico 15 giorni al mese, 10 se combinato</w:t>
            </w:r>
          </w:p>
        </w:tc>
        <w:tc>
          <w:tcPr/>
          <w:p>
            <w:pPr>
              <w:pStyle w:val="Compact"/>
            </w:pPr>
            <w:r>
              <w:t xml:space="preserve">Curante</w:t>
            </w:r>
          </w:p>
        </w:tc>
        <w:tc>
          <w:tcPr/>
          <w:p>
            <w:pPr>
              <w:pStyle w:val="Compact"/>
            </w:pPr>
            <w:r>
              <w:t xml:space="preserve">Invio programmato</w:t>
            </w:r>
          </w:p>
        </w:tc>
      </w:tr>
    </w:tbl>
    <w:p>
      <w:pPr>
        <w:pStyle w:val="BodyText"/>
      </w:pPr>
      <w:r>
        <w:t xml:space="preserve">Cinque righe meritano una parola in più. Le qualificazioni stanno qui perché in tabella non ci stanno.</w:t>
      </w:r>
    </w:p>
    <w:p>
      <w:pPr>
        <w:pStyle w:val="BodyText"/>
      </w:pPr>
      <w:r>
        <w:rPr>
          <w:b/>
          <w:bCs/>
        </w:rPr>
        <w:t xml:space="preserve">La cefalea che peggiora in piedi</w:t>
      </w:r>
      <w:r>
        <w:t xml:space="preserve"> </w:t>
      </w:r>
      <w:r>
        <w:t xml:space="preserve">è il quadro dell’ipotensione liquorale spontanea. Quei pazienti hanno spesso dolore o rigidità del collo, e la prima diagnosi è sbagliata nella grande maggioranza dei casi.</w:t>
      </w:r>
    </w:p>
    <w:p>
      <w:pPr>
        <w:pStyle w:val="BodyText"/>
      </w:pPr>
      <w:r>
        <w:rPr>
          <w:b/>
          <w:bCs/>
        </w:rPr>
        <w:t xml:space="preserve">Il paziente in anticoagulante o antiaggregante</w:t>
      </w:r>
      <w:r>
        <w:t xml:space="preserve"> </w:t>
      </w:r>
      <w:r>
        <w:t xml:space="preserve">porta il rischio di ematoma subdurale cronico. La riga vale</w:t>
      </w:r>
      <w:r>
        <w:t xml:space="preserve"> </w:t>
      </w:r>
      <w:r>
        <w:rPr>
          <w:b/>
          <w:bCs/>
        </w:rPr>
        <w:t xml:space="preserve">anche senza un trauma ricordato</w:t>
      </w:r>
      <w:r>
        <w:t xml:space="preserve">, perché in lui il trauma è minimo o assente dall’anamnesi (Gaist,</w:t>
      </w:r>
      <w:r>
        <w:t xml:space="preserve"> </w:t>
      </w:r>
      <w:r>
        <w:rPr>
          <w:i/>
          <w:iCs/>
        </w:rPr>
        <w:t xml:space="preserve">JAMA</w:t>
      </w:r>
      <w:r>
        <w:t xml:space="preserve"> </w:t>
      </w:r>
      <w:r>
        <w:t xml:space="preserve">2017, PMID 28245322).</w:t>
      </w:r>
    </w:p>
    <w:p>
      <w:pPr>
        <w:pStyle w:val="BodyText"/>
      </w:pPr>
      <w:r>
        <w:rPr>
          <w:b/>
          <w:bCs/>
        </w:rPr>
        <w:t xml:space="preserve">La riga del risveglio</w:t>
      </w:r>
      <w:r>
        <w:t xml:space="preserve"> </w:t>
      </w:r>
      <w:r>
        <w:t xml:space="preserve">è il sospetto di apnea nel sonno: russamento, pause respiratorie riferite dal partner, sonnolenza diurna.</w:t>
      </w:r>
    </w:p>
    <w:p>
      <w:pPr>
        <w:pStyle w:val="BodyText"/>
      </w:pPr>
      <w:r>
        <w:rPr>
          <w:b/>
          <w:bCs/>
        </w:rPr>
        <w:t xml:space="preserve">L’uso eccessivo di farmaci</w:t>
      </w:r>
      <w:r>
        <w:t xml:space="preserve"> </w:t>
      </w:r>
      <w:r>
        <w:t xml:space="preserve">sta qui per il canale medico, non per il divieto di toccare: si invia e</w:t>
      </w:r>
      <w:r>
        <w:t xml:space="preserve"> </w:t>
      </w:r>
      <w:r>
        <w:rPr>
          <w:b/>
          <w:bCs/>
        </w:rPr>
        <w:t xml:space="preserve">si lavora in parallelo</w:t>
      </w:r>
      <w:r>
        <w:t xml:space="preserve">.</w:t>
      </w:r>
    </w:p>
    <w:p>
      <w:pPr>
        <w:pStyle w:val="BodyText"/>
      </w:pPr>
      <w:r>
        <w:t xml:space="preserve">E una riga che</w:t>
      </w:r>
      <w:r>
        <w:t xml:space="preserve"> </w:t>
      </w:r>
      <w:r>
        <w:rPr>
          <w:b/>
          <w:bCs/>
        </w:rPr>
        <w:t xml:space="preserve">non è una bandiera rossa</w:t>
      </w:r>
      <w:r>
        <w:t xml:space="preserve">, e per questo sta nel testo e non in tabella: la cefalea tensiva</w:t>
      </w:r>
      <w:r>
        <w:t xml:space="preserve"> </w:t>
      </w:r>
      <w:r>
        <w:rPr>
          <w:b/>
          <w:bCs/>
        </w:rPr>
        <w:t xml:space="preserve">preesistente e invariata</w:t>
      </w:r>
      <w:r>
        <w:t xml:space="preserve"> </w:t>
      </w:r>
      <w:r>
        <w:t xml:space="preserve">in gravidanza si tratta, informando per iscritto il ginecologo curante, e scrivendo reperto e comunicazione in cartella.</w:t>
      </w:r>
    </w:p>
    <w:bookmarkEnd w:id="58"/>
    <w:bookmarkStart w:id="59" w:name="il-cancello-dingresso"/>
    <w:p>
      <w:pPr>
        <w:pStyle w:val="Heading3"/>
      </w:pPr>
      <w:r>
        <w:t xml:space="preserve">Il cancello d’ingresso</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rPr>
          <w:b/>
          <w:bCs/>
        </w:rPr>
        <w:t xml:space="preserve">Il mandato clinico</w:t>
      </w:r>
      <w:r>
        <w:t xml:space="preserve"> </w:t>
      </w:r>
      <w:r>
        <w:t xml:space="preserve">è avere qualcosa da trattare oggi. Nasce da due cose: un</w:t>
      </w:r>
      <w:r>
        <w:t xml:space="preserve"> </w:t>
      </w:r>
      <w:r>
        <w:rPr>
          <w:b/>
          <w:bCs/>
        </w:rPr>
        <w:t xml:space="preserve">reperto disfunzionale documentato</w:t>
      </w:r>
      <w:r>
        <w:t xml:space="preserve">, e un</w:t>
      </w:r>
      <w:r>
        <w:t xml:space="preserve"> </w:t>
      </w:r>
      <w:r>
        <w:rPr>
          <w:b/>
          <w:bCs/>
        </w:rPr>
        <w:t xml:space="preserve">marker scelto prima di trattare, con una soglia dichiarata</w:t>
      </w:r>
      <w:r>
        <w:t xml:space="preserve">. Se dopo il tempo definito il marker non si è mosso, il mandato decade.</w:t>
      </w:r>
      <w:r>
        <w:t xml:space="preserve"> </w:t>
      </w:r>
      <w:r>
        <w:rPr>
          <w:b/>
          <w:bCs/>
        </w:rPr>
        <w:t xml:space="preserve">Senza quei due non hai un motivo per lavorare, nemmeno con la diagnosi in mano.</w:t>
      </w:r>
    </w:p>
    <w:p>
      <w:pPr>
        <w:pStyle w:val="BodyText"/>
      </w:pPr>
      <w:r>
        <w:rPr>
          <w:b/>
          <w:bCs/>
        </w:rPr>
        <w:t xml:space="preserve">La cornice professionale</w:t>
      </w:r>
      <w:r>
        <w:t xml:space="preserve"> </w:t>
      </w:r>
      <w:r>
        <w:t xml:space="preserve">è quella del profilo. L’ambito è la</w:t>
      </w:r>
      <w:r>
        <w:t xml:space="preserve"> </w:t>
      </w:r>
      <w:r>
        <w:rPr>
          <w:b/>
          <w:bCs/>
        </w:rPr>
        <w:t xml:space="preserve">disfunzione somatica non riconducibile a patologia</w:t>
      </w:r>
      <w:r>
        <w:t xml:space="preserve">, e si opera in riferimento alla diagnosi di competenza medica. Quando l’inquadramento manca, il canale medico si attiva</w:t>
      </w:r>
      <w:r>
        <w:t xml:space="preserve"> </w:t>
      </w:r>
      <w:r>
        <w:rPr>
          <w:b/>
          <w:bCs/>
        </w:rPr>
        <w:t xml:space="preserve">contestualmente</w:t>
      </w:r>
      <w:r>
        <w:t xml:space="preserve">, non dopo.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 — ed è per questo che può essere l’oggetto del tuo lavoro mentre la diagnosi resta di qualcun altro.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E il contrappeso, attaccato al principio:</w:t>
      </w:r>
      <w:r>
        <w:t xml:space="preserve"> </w:t>
      </w:r>
      <w:r>
        <w:rPr>
          <w:b/>
          <w:bCs/>
        </w:rPr>
        <w:t xml:space="preserve">un reperto positivo giustifica il tuo lavoro, non sostituisce l’inquadramento medico.</w:t>
      </w:r>
      <w:r>
        <w:t xml:space="preserve"> </w:t>
      </w:r>
      <w:r>
        <w:t xml:space="preserve">Trovare il punto che riproduce il mal di testa non esclude nulla. Hai</w:t>
      </w:r>
      <w:r>
        <w:t xml:space="preserve"> </w:t>
      </w:r>
      <w:r>
        <w:rPr>
          <w:b/>
          <w:bCs/>
        </w:rPr>
        <w:t xml:space="preserve">qualcosa da trattare</w:t>
      </w:r>
      <w:r>
        <w:t xml:space="preserve">, non</w:t>
      </w:r>
      <w:r>
        <w:t xml:space="preserve"> </w:t>
      </w:r>
      <w:r>
        <w:rPr>
          <w:b/>
          <w:bCs/>
        </w:rPr>
        <w:t xml:space="preserve">sai cosa ha il paziente</w:t>
      </w:r>
      <w:r>
        <w:t xml:space="preserve">. Le due cose convivono, e vanno dette al paziente come conviventi.</w:t>
      </w:r>
    </w:p>
    <w:p>
      <w:pPr>
        <w:pStyle w:val="BodyText"/>
      </w:pPr>
      <w:r>
        <w:t xml:space="preserve">Un reperto fonda il mandato solo se è</w:t>
      </w:r>
      <w:r>
        <w:t xml:space="preserve"> </w:t>
      </w:r>
      <w:r>
        <w:rPr>
          <w:b/>
          <w:bCs/>
        </w:rPr>
        <w:t xml:space="preserve">riproducibile fra esaminatori e fra sedute</w:t>
      </w:r>
      <w:r>
        <w:t xml:space="preserve">. Ne reggono quattro: la</w:t>
      </w:r>
      <w:r>
        <w:t xml:space="preserve"> </w:t>
      </w:r>
      <w:r>
        <w:rPr>
          <w:b/>
          <w:bCs/>
        </w:rPr>
        <w:t xml:space="preserve">provocazione del dolore con una pressione definita</w:t>
      </w:r>
      <w:r>
        <w:t xml:space="preserve">, l’</w:t>
      </w:r>
      <w:r>
        <w:rPr>
          <w:b/>
          <w:bCs/>
        </w:rPr>
        <w:t xml:space="preserve">escursione cervicale regionale</w:t>
      </w:r>
      <w:r>
        <w:t xml:space="preserve"> </w:t>
      </w:r>
      <w:r>
        <w:t xml:space="preserve">misurata, il</w:t>
      </w:r>
      <w:r>
        <w:t xml:space="preserve"> </w:t>
      </w:r>
      <w:r>
        <w:rPr>
          <w:b/>
          <w:bCs/>
        </w:rPr>
        <w:t xml:space="preserve">conteggio delle assunzioni</w:t>
      </w:r>
      <w:r>
        <w:t xml:space="preserve">, la</w:t>
      </w:r>
      <w:r>
        <w:t xml:space="preserve"> </w:t>
      </w:r>
      <w:r>
        <w:rPr>
          <w:b/>
          <w:bCs/>
        </w:rPr>
        <w:t xml:space="preserve">soglia algometrica</w:t>
      </w:r>
      <w:r>
        <w:t xml:space="preserve">. L’escursione cervicale fonda il mandato perché è riproducibile,</w:t>
      </w:r>
      <w:r>
        <w:t xml:space="preserve"> </w:t>
      </w:r>
      <w:r>
        <w:rPr>
          <w:b/>
          <w:bCs/>
        </w:rPr>
        <w:t xml:space="preserve">e non è un bersaglio</w:t>
      </w:r>
      <w:r>
        <w:t xml:space="preserve"> </w:t>
      </w:r>
      <w:r>
        <w:t xml:space="preserve">perché non correla con l’esito: le due cose non si contraddicono. La mobilità</w:t>
      </w:r>
      <w:r>
        <w:t xml:space="preserve"> </w:t>
      </w:r>
      <w:r>
        <w:rPr>
          <w:b/>
          <w:bCs/>
        </w:rPr>
        <w:t xml:space="preserve">segmentale</w:t>
      </w:r>
      <w:r>
        <w:t xml:space="preserve"> </w:t>
      </w:r>
      <w:r>
        <w:t xml:space="preserve">e la palpazione dei tessuti molli restano orientamento: non fondano il mandato e non fanno da marker.</w:t>
      </w:r>
    </w:p>
    <w:p>
      <w:pPr>
        <w:pStyle w:val="BlockText"/>
      </w:pPr>
      <w:r>
        <w:rPr>
          <w:b/>
          <w:bCs/>
        </w:rPr>
        <w:t xml:space="preserve">Cosa cambia per te — perché tre uscite e non due.</w:t>
      </w:r>
      <w:r>
        <w:t xml:space="preserve"> </w:t>
      </w:r>
      <w:r>
        <w:t xml:space="preserve">Un cancello binario dice o è tuo o non lo è. Si scrive in una riga, e si disattende ogni volta che il paziente più frequente non rientra in nessuna delle due caselle.</w:t>
      </w:r>
      <w:r>
        <w:t xml:space="preserve"> </w:t>
      </w:r>
      <w:r>
        <w:rPr>
          <w:b/>
          <w:bCs/>
        </w:rPr>
        <w:t xml:space="preserve">E una regola scritta e disattesa vale meno di nessuna regola, perché fa credere che un controllo esista.</w:t>
      </w:r>
      <w:r>
        <w:t xml:space="preserve"> </w:t>
      </w:r>
      <w:r>
        <w:t xml:space="preserve">Il GIALLO non è una concessione: è lo standard dove prima non ce n’era nessuno. E quello che lo rende difendibile sono quattro cose verificabili — un reperto tuo, un marker, il canale medico attivato, un tempo definito.</w:t>
      </w:r>
    </w:p>
    <w:p>
      <w:pPr>
        <w:pStyle w:val="FirstParagraph"/>
      </w:pPr>
      <w:r>
        <w:rPr>
          <w:b/>
          <w:bCs/>
        </w:rPr>
        <w:t xml:space="preserve">🔴 ROSSO — Stop.</w:t>
      </w:r>
      <w:r>
        <w:t xml:space="preserve"> </w:t>
      </w:r>
      <w:r>
        <w:t xml:space="preserve">Basta una sola bandiera del Blocco A. Il paziente esce con un’indicazione medica</w:t>
      </w:r>
      <w:r>
        <w:t xml:space="preserve"> </w:t>
      </w:r>
      <w:r>
        <w:rPr>
          <w:b/>
          <w:bCs/>
        </w:rPr>
        <w:t xml:space="preserve">esplicita e scritta</w:t>
      </w:r>
      <w:r>
        <w:t xml:space="preserve">, e con i tempi dichiarati. Nessuna eccezione: nessun reperto positivo scavalca questa uscita. Con una bandiera del Blocco B si può trattare un altro distretto, e la cartella dichiara per iscritto che</w:t>
      </w:r>
      <w:r>
        <w:t xml:space="preserve"> </w:t>
      </w:r>
      <w:r>
        <w:rPr>
          <w:b/>
          <w:bCs/>
        </w:rPr>
        <w:t xml:space="preserve">la cefalea è in attesa di inquadramento e non è il bersaglio</w:t>
      </w:r>
      <w:r>
        <w:t xml:space="preserve">.</w:t>
      </w:r>
      <w:r>
        <w:t xml:space="preserve"> </w:t>
      </w:r>
      <w:r>
        <w:rPr>
          <w:b/>
          <w:bCs/>
        </w:rPr>
        <w:t xml:space="preserve">Le righe a Invio programmato fanno eccezione: lì l’inquadramento non manca, e il distretto si tratta in parallelo.</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mandare via il paziente.</w:t>
      </w:r>
      <w:r>
        <w:t xml:space="preserve"> </w:t>
      </w:r>
      <w:r>
        <w:t xml:space="preserve">Quattro condizioni, tutte verificabili.</w:t>
      </w:r>
    </w:p>
    <w:p>
      <w:pPr>
        <w:pStyle w:val="Compact"/>
        <w:numPr>
          <w:ilvl w:val="0"/>
          <w:numId w:val="1025"/>
        </w:numPr>
      </w:pPr>
      <w:r>
        <w:rPr>
          <w:b/>
          <w:bCs/>
        </w:rPr>
        <w:t xml:space="preserve">Un reperto tuo, positivo e scritto in cartella.</w:t>
      </w:r>
      <w:r>
        <w:t xml:space="preserve"> </w:t>
      </w:r>
      <w:r>
        <w:t xml:space="preserve">Non</w:t>
      </w:r>
      <w:r>
        <w:t xml:space="preserve"> </w:t>
      </w:r>
      <w:r>
        <w:t xml:space="preserve">“il paziente ha cefalea tensiva”</w:t>
      </w:r>
      <w:r>
        <w:t xml:space="preserve">, ma quale sito, quale pressione, quale risposta.</w:t>
      </w:r>
    </w:p>
    <w:p>
      <w:pPr>
        <w:pStyle w:val="Compact"/>
        <w:numPr>
          <w:ilvl w:val="0"/>
          <w:numId w:val="1025"/>
        </w:numPr>
      </w:pPr>
      <w:r>
        <w:rPr>
          <w:b/>
          <w:bCs/>
        </w:rPr>
        <w:t xml:space="preserve">Il paziente sa cosa tratti e cosa no:</w:t>
      </w:r>
      <w:r>
        <w:t xml:space="preserve"> </w:t>
      </w:r>
      <w:r>
        <w:rPr>
          <w:i/>
          <w:iCs/>
        </w:rPr>
        <w:t xml:space="preserve">«io lavoro sulla componente muscolare che ho trovato. Il mal di testa va comunque inquadrato dal suo medico, e nel frattempo io non aspetto.»</w:t>
      </w:r>
    </w:p>
    <w:p>
      <w:pPr>
        <w:pStyle w:val="Compact"/>
        <w:numPr>
          <w:ilvl w:val="0"/>
          <w:numId w:val="1025"/>
        </w:numPr>
      </w:pPr>
      <w:r>
        <w:rPr>
          <w:b/>
          <w:bCs/>
        </w:rPr>
        <w:t xml:space="preserve">Canale medico attivato senza interrompere il lavoro.</w:t>
      </w:r>
      <w:r>
        <w:t xml:space="preserve"> </w:t>
      </w:r>
      <w:r>
        <w:t xml:space="preserve">La comunicazione al curante è</w:t>
      </w:r>
      <w:r>
        <w:t xml:space="preserve"> </w:t>
      </w:r>
      <w:r>
        <w:rPr>
          <w:b/>
          <w:bCs/>
        </w:rPr>
        <w:t xml:space="preserve">scritta</w:t>
      </w:r>
      <w:r>
        <w:t xml:space="preserve">, e contiene sempre il conteggio delle assunzioni: è il dato che quasi mai qualcun altro raccoglie, e che cambia la condotta del prescrittore.</w:t>
      </w:r>
    </w:p>
    <w:p>
      <w:pPr>
        <w:pStyle w:val="Compact"/>
        <w:numPr>
          <w:ilvl w:val="0"/>
          <w:numId w:val="1025"/>
        </w:numPr>
      </w:pPr>
      <w:r>
        <w:rPr>
          <w:b/>
          <w:bCs/>
        </w:rPr>
        <w:t xml:space="preserve">Tempo definito, con revisione programmata: non oltre quattro settimane dalla prima seduta.</w:t>
      </w:r>
      <w:r>
        <w:t xml:space="preserve"> </w:t>
      </w:r>
      <w:r>
        <w:t xml:space="preserve">È l’orizzonte su cui questa Bibbia misura i giorni al mese. La data si scrive in cartella accanto al reperto, a calendario e non come numero di sedute. Quante sedute stiano dentro quel tempo lo dice la Procedura.</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 prioritaria.</w:t>
      </w:r>
    </w:p>
    <w:p>
      <w:pPr>
        <w:pStyle w:val="BodyText"/>
      </w:pPr>
      <w:r>
        <w:rPr>
          <w:b/>
          <w:bCs/>
        </w:rPr>
        <w:t xml:space="preserve">🟢 VERDE — Si procede.</w:t>
      </w:r>
      <w:r>
        <w:t xml:space="preserve"> </w:t>
      </w:r>
      <w:r>
        <w:t xml:space="preserve">Nessuna bandiera rossa, e una fra queste tre: cefalea già inquadrata dal medico o dal neurologo; accertamenti normali o coerenti; profilassi in corso o già fatta.</w:t>
      </w:r>
      <w:r>
        <w:t xml:space="preserve"> </w:t>
      </w:r>
      <w:r>
        <w:rPr>
          <w:b/>
          <w:bCs/>
        </w:rPr>
        <w:t xml:space="preserve">L’inquadramento decade</w:t>
      </w:r>
      <w:r>
        <w:t xml:space="preserve"> </w:t>
      </w:r>
      <w:r>
        <w:t xml:space="preserve">se il mal di testa cambia carattere, sede o intensità rispetto all’ultima valutazione medica, oppure se il conteggio supera la soglia. Un quadro che cambia forma</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l’indicazione medica del ROSSO, il reperto in cartella e la comunicazione al curante del GIALLO, la revisione programmata di entrambi.</w:t>
      </w:r>
      <w:r>
        <w:t xml:space="preserve"> </w:t>
      </w:r>
      <w:r>
        <w:rPr>
          <w:b/>
          <w:bCs/>
        </w:rPr>
        <w:t xml:space="preserve">Quello che non è scritto non esiste.</w:t>
      </w:r>
    </w:p>
    <w:bookmarkEnd w:id="59"/>
    <w:bookmarkStart w:id="60" w:name="X3d309b508f12a6f9dc8686923d48200d860a808"/>
    <w:p>
      <w:pPr>
        <w:pStyle w:val="Heading3"/>
      </w:pPr>
      <w:r>
        <w:t xml:space="preserve">Il profilo di rischio della cervicale alta</w:t>
      </w:r>
    </w:p>
    <w:p>
      <w:pPr>
        <w:pStyle w:val="BlockText"/>
      </w:pPr>
      <w:r>
        <w:rPr>
          <w:b/>
          <w:bCs/>
        </w:rPr>
        <w:t xml:space="preserve">Attenzione.</w:t>
      </w:r>
      <w:r>
        <w:t xml:space="preserve"> </w:t>
      </w:r>
      <w:r>
        <w:t xml:space="preserve">La regione occipite-atlante-epistrofeo è</w:t>
      </w:r>
      <w:r>
        <w:t xml:space="preserve"> </w:t>
      </w:r>
      <w:r>
        <w:rPr>
          <w:b/>
          <w:bCs/>
        </w:rPr>
        <w:t xml:space="preserve">l’unica di questo documento con un profilo di rischio proprio</w:t>
      </w:r>
      <w:r>
        <w:t xml:space="preserve">, e questa Bibbia ti ci porta più volte: è dove converge il meccanismo cardine, è dove sta il muscolo da palpare per primo, ed è dove prendi la misura della riproduzione in testa.</w:t>
      </w:r>
      <w:r>
        <w:t xml:space="preserve"> </w:t>
      </w:r>
      <w:r>
        <w:rPr>
          <w:b/>
          <w:bCs/>
        </w:rPr>
        <w:t xml:space="preserve">Il vaso.</w:t>
      </w:r>
      <w:r>
        <w:t xml:space="preserve"> </w:t>
      </w:r>
      <w:r>
        <w:t xml:space="preserve">L’arteria vertebrale passa dentro quel complesso. La</w:t>
      </w:r>
      <w:r>
        <w:t xml:space="preserve"> </w:t>
      </w:r>
      <w:r>
        <w:rPr>
          <w:b/>
          <w:bCs/>
        </w:rPr>
        <w:t xml:space="preserve">dissezione arteriosa cervicale</w:t>
      </w:r>
      <w:r>
        <w:t xml:space="preserve"> </w:t>
      </w:r>
      <w:r>
        <w:t xml:space="preserve">è l’evento avverso grave associato al gesto su questo segmento: raro, e catastrofico quando accade (Thomas,</w:t>
      </w:r>
      <w:r>
        <w:t xml:space="preserve"> </w:t>
      </w:r>
      <w:r>
        <w:rPr>
          <w:i/>
          <w:iCs/>
        </w:rPr>
        <w:t xml:space="preserve">Man Ther</w:t>
      </w:r>
      <w:r>
        <w:t xml:space="preserve"> </w:t>
      </w:r>
      <w:r>
        <w:t xml:space="preserve">2016, PMID 26250600). Prima di qualunque tecnica su C0-C2 esiste un ragionamento vascolare obbligato, codificato nel framework internazionale di riferimento (Rushton,</w:t>
      </w:r>
      <w:r>
        <w:t xml:space="preserve"> </w:t>
      </w:r>
      <w:r>
        <w:rPr>
          <w:i/>
          <w:iCs/>
        </w:rPr>
        <w:t xml:space="preserve">JOSPT</w:t>
      </w:r>
      <w:r>
        <w:t xml:space="preserve"> </w:t>
      </w:r>
      <w:r>
        <w:t xml:space="preserve">2023, PMID 36099171). Non è una manovra di screening: è un percorso di domande in anamnesi, più un esame adattato all’ipotesi vasculogena. Il come sta nella Procedura; il fatto che esista sta qui.</w:t>
      </w:r>
      <w:r>
        <w:t xml:space="preserve"> </w:t>
      </w:r>
      <w:r>
        <w:rPr>
          <w:b/>
          <w:bCs/>
        </w:rPr>
        <w:t xml:space="preserve">Il legamento.</w:t>
      </w:r>
      <w:r>
        <w:t xml:space="preserve"> </w:t>
      </w:r>
      <w:r>
        <w:t xml:space="preserve">C1-C2 ha un secondo profilo, indipendente dal vaso: l’</w:t>
      </w:r>
      <w:r>
        <w:rPr>
          <w:b/>
          <w:bCs/>
        </w:rPr>
        <w:t xml:space="preserve">incompetenza legamentosa</w:t>
      </w:r>
      <w:r>
        <w:t xml:space="preserve">. La portano artrite reumatoide, sindrome di Down, connettivopatie e i quadri post-traumatici recenti, ed è spesso silente. Va chiesta in anamnesi prima di lavorare qui.</w:t>
      </w:r>
    </w:p>
    <w:bookmarkEnd w:id="60"/>
    <w:bookmarkStart w:id="61" w:name="X981d4ada8bad081246fe7079d0331a602675b7a"/>
    <w:p>
      <w:pPr>
        <w:pStyle w:val="Heading3"/>
      </w:pPr>
      <w:r>
        <w:t xml:space="preserve">Il confine di atto, dove questa condizione lo mette alla prova</w:t>
      </w:r>
    </w:p>
    <w:p>
      <w:pPr>
        <w:pStyle w:val="BlockText"/>
      </w:pPr>
      <w:r>
        <w:rPr>
          <w:b/>
          <w:bCs/>
        </w:rPr>
        <w:t xml:space="preserve">Attenzione — due zone chiuse, per ragioni diverse.</w:t>
      </w:r>
      <w:r>
        <w:t xml:space="preserve"> </w:t>
      </w:r>
      <w:r>
        <w:rPr>
          <w:b/>
          <w:bCs/>
        </w:rPr>
        <w:t xml:space="preserve">Il lavoro intra-orale sui masticatori è fuori perimetro, in modo assoluto.</w:t>
      </w:r>
      <w:r>
        <w:t xml:space="preserve"> </w:t>
      </w:r>
      <w:r>
        <w:t xml:space="preserve">Il DPR 131/2021 definisce l’atto osteopatico con tecniche esclusivamente manuali, non invasive ed</w:t>
      </w:r>
      <w:r>
        <w:t xml:space="preserve"> </w:t>
      </w:r>
      <w:r>
        <w:rPr>
          <w:b/>
          <w:bCs/>
        </w:rPr>
        <w:t xml:space="preserve">esterne</w:t>
      </w:r>
      <w:r>
        <w:t xml:space="preserve">. Al paziente che lo chiede si risponde che è fuori dal profilo professionale, non che è pericoloso. E si aggiunge la ragione tecnica. Lo pterigoideo laterale non è raggiungibile alla palpazione intra-orale. La regione è dolente anche nei sani, e un reperto positivo lì è un falso positivo per costruzione (Türp &amp; Minagi,</w:t>
      </w:r>
      <w:r>
        <w:t xml:space="preserve"> </w:t>
      </w:r>
      <w:r>
        <w:rPr>
          <w:i/>
          <w:iCs/>
        </w:rPr>
        <w:t xml:space="preserve">J Dent</w:t>
      </w:r>
      <w:r>
        <w:t xml:space="preserve"> </w:t>
      </w:r>
      <w:r>
        <w:t xml:space="preserve">2001, PMID 11809325).</w:t>
      </w:r>
      <w:r>
        <w:t xml:space="preserve"> </w:t>
      </w:r>
      <w:r>
        <w:rPr>
          <w:b/>
          <w:bCs/>
        </w:rPr>
        <w:t xml:space="preserve">Il triangolo anteriore del collo non è un bersaglio:</w:t>
      </w:r>
      <w:r>
        <w:t xml:space="preserve"> </w:t>
      </w:r>
      <w:r>
        <w:t xml:space="preserve">contiene la guaina carotidea, e il bilancio è rischio noto contro guadagno non misurato.</w:t>
      </w:r>
    </w:p>
    <w:p>
      <w:pPr>
        <w:pStyle w:val="FirstParagraph"/>
      </w:pPr>
      <w:r>
        <w:t xml:space="preserve">E due cose che non si dicono. La prima:</w:t>
      </w:r>
      <w:r>
        <w:t xml:space="preserve"> </w:t>
      </w:r>
      <w:r>
        <w:rPr>
          <w:b/>
          <w:bCs/>
        </w:rPr>
        <w:t xml:space="preserve">“il suo mal di testa viene dalla cervicale”</w:t>
      </w:r>
      <w:r>
        <w:t xml:space="preserve">. È una diagnosi che non è nostra, ed è un’affermazione che i dati non reggono, perché il collo partecipa quasi sempre e la direzione non è stabilita. La seconda:</w:t>
      </w:r>
      <w:r>
        <w:t xml:space="preserve"> </w:t>
      </w:r>
      <w:r>
        <w:rPr>
          <w:b/>
          <w:bCs/>
        </w:rPr>
        <w:t xml:space="preserve">un referto di imaging commentato come causa del dolore</w:t>
      </w:r>
      <w:r>
        <w:t xml:space="preserve">.</w:t>
      </w:r>
    </w:p>
    <w:bookmarkEnd w:id="61"/>
    <w:bookmarkStart w:id="62" w:name="X5ac40c5b49b381f25386d880c1ce462e8995bb5"/>
    <w:p>
      <w:pPr>
        <w:pStyle w:val="Heading3"/>
      </w:pPr>
      <w:r>
        <w:t xml:space="preserve">Cosa fanno i farmaci che prende, e perché non li commenti</w:t>
      </w:r>
    </w:p>
    <w:p>
      <w:pPr>
        <w:pStyle w:val="FirstParagraph"/>
      </w:pPr>
      <w:r>
        <w:t xml:space="preserve">Paracetamolo e antinfiammatori spengono il dolore dell’episodio, e sono prima linea per l’attacco: prenderli quando servono non è un errore. Le associazioni con caffeina agiscono più in fretta, e sono fra le più implicate nell’uso eccessivo. L’amitriptilina a basso dosaggio è una</w:t>
      </w:r>
      <w:r>
        <w:t xml:space="preserve"> </w:t>
      </w:r>
      <w:r>
        <w:rPr>
          <w:b/>
          <w:bCs/>
        </w:rPr>
        <w:t xml:space="preserve">profilassi</w:t>
      </w:r>
      <w:r>
        <w:t xml:space="preserve">, non un antidolorifico: si prende ogni sera indipendentemente dal mal di testa. Molti pazienti leggono</w:t>
      </w:r>
      <w:r>
        <w:t xml:space="preserve"> </w:t>
      </w:r>
      <w:r>
        <w:t xml:space="preserve">“antidepressivo”</w:t>
      </w:r>
      <w:r>
        <w:t xml:space="preserve"> </w:t>
      </w:r>
      <w:r>
        <w:t xml:space="preserve">sul bugiardino e la sospendono.</w:t>
      </w:r>
    </w:p>
    <w:p>
      <w:pPr>
        <w:pStyle w:val="BodyText"/>
      </w:pPr>
      <w:r>
        <w:t xml:space="preserve">Nessuna valutazione, nessun suggerimento di modifica: dosaggio, inizio e sospensione li decide il prescrittore. La scelta della profilassi dipende da età e comorbilità — nell’anziano i triciclici sono considerati potenzialmente inappropriati — quindi al paziente si nomina</w:t>
      </w:r>
      <w:r>
        <w:t xml:space="preserve"> </w:t>
      </w:r>
      <w:r>
        <w:rPr>
          <w:b/>
          <w:bCs/>
        </w:rPr>
        <w:t xml:space="preserve">il canale, mai la molecola</w:t>
      </w:r>
      <w:r>
        <w:t xml:space="preserve">. Quello che devi fare è</w:t>
      </w:r>
      <w:r>
        <w:t xml:space="preserve"> </w:t>
      </w:r>
      <w:r>
        <w:rPr>
          <w:b/>
          <w:bCs/>
        </w:rPr>
        <w:t xml:space="preserve">spiegare la differenza fra sintomatico e profilassi</w:t>
      </w:r>
      <w:r>
        <w:t xml:space="preserve">, e mandarlo dal suo medico con la domanda in mano.</w:t>
      </w:r>
    </w:p>
    <w:bookmarkEnd w:id="62"/>
    <w:bookmarkStart w:id="63" w:name="X1ac5a1b3cdf7e22e51df529af64ae60c55cc369"/>
    <w:p>
      <w:pPr>
        <w:pStyle w:val="Heading3"/>
      </w:pPr>
      <w:r>
        <w:t xml:space="preserve">Cosa dichiari nel consenso su questa condizione</w:t>
      </w:r>
    </w:p>
    <w:p>
      <w:pPr>
        <w:pStyle w:val="FirstParagraph"/>
      </w:pPr>
      <w:r>
        <w:t xml:space="preserve">Tre cose, che in un’altra Bibbia non scriveresti.</w:t>
      </w:r>
    </w:p>
    <w:p>
      <w:pPr>
        <w:pStyle w:val="Compact"/>
        <w:numPr>
          <w:ilvl w:val="0"/>
          <w:numId w:val="1026"/>
        </w:numPr>
      </w:pPr>
      <w:r>
        <w:rPr>
          <w:b/>
          <w:bCs/>
        </w:rPr>
        <w:t xml:space="preserve">L’oggetto del trattamento è la disfunzione somatica cranio-cervicale e mandibolare riscontrata, non la cura della cefalea.</w:t>
      </w:r>
    </w:p>
    <w:p>
      <w:pPr>
        <w:pStyle w:val="Compact"/>
        <w:numPr>
          <w:ilvl w:val="0"/>
          <w:numId w:val="1026"/>
        </w:numPr>
      </w:pPr>
      <w:r>
        <w:rPr>
          <w:b/>
          <w:bCs/>
        </w:rPr>
        <w:t xml:space="preserve">L’evidenza di terapia manuale su questa condizione è di qualità bassa e a breve termine</w:t>
      </w:r>
      <w:r>
        <w:t xml:space="preserve">, e le tecniche ad alta velocità non sono risultate superiori a nessun trattamento sull’intensità del dolore.</w:t>
      </w:r>
    </w:p>
    <w:p>
      <w:pPr>
        <w:pStyle w:val="Compact"/>
        <w:numPr>
          <w:ilvl w:val="0"/>
          <w:numId w:val="1026"/>
        </w:numPr>
      </w:pPr>
      <w:r>
        <w:rPr>
          <w:b/>
          <w:bCs/>
        </w:rPr>
        <w:t xml:space="preserve">Il numero di giorni al mese con assunzione di analgesico viene registrato e comunicato al curante</w:t>
      </w:r>
      <w:r>
        <w:t xml:space="preserve">, perché sopra una soglia definita il quadro cambia diagnosi e cambia percorso.</w:t>
      </w:r>
    </w:p>
    <w:p>
      <w:pPr>
        <w:pStyle w:val="FirstParagraph"/>
      </w:pPr>
      <w:r>
        <w:rPr>
          <w:b/>
          <w:bCs/>
        </w:rPr>
        <w:t xml:space="preserve">Cosa succede se sbagli campo.</w:t>
      </w:r>
      <w:r>
        <w:t xml:space="preserve"> </w:t>
      </w:r>
      <w:r>
        <w:t xml:space="preserve">L’errore che costa qui non è una manovra: è il tempo. Prendi un paziente con una cefalea che sta cambiando forma, e tienilo in ciclo perché il reperto muscolare c’era ed era vero. Quel paziente perde settimane. Il reperto era vero, ma non era la domanda.</w:t>
      </w:r>
    </w:p>
    <w:p>
      <w:pPr>
        <w:pStyle w:val="BodyText"/>
      </w:pPr>
      <w:r>
        <w:rPr>
          <w:b/>
          <w:bCs/>
        </w:rPr>
        <w:t xml:space="preserve">Le tre cose da ricordare, più una</w:t>
      </w:r>
    </w:p>
    <w:p>
      <w:pPr>
        <w:pStyle w:val="Compact"/>
        <w:numPr>
          <w:ilvl w:val="0"/>
          <w:numId w:val="1027"/>
        </w:numPr>
      </w:pPr>
      <w:r>
        <w:t xml:space="preserve">Il conteggio delle assunzioni è una domanda di triage, non di anamnesi: falla alla prima seduta e riscrivila a ogni revisione, soprattutto in chi vive solo.</w:t>
      </w:r>
    </w:p>
    <w:p>
      <w:pPr>
        <w:pStyle w:val="Compact"/>
        <w:numPr>
          <w:ilvl w:val="0"/>
          <w:numId w:val="1027"/>
        </w:numPr>
      </w:pPr>
      <w:r>
        <w:t xml:space="preserve">Il Blocco A ferma tutto, riga vascolare compresa. Il Blocco B ferma questo distretto</w:t>
      </w:r>
      <w:r>
        <w:t xml:space="preserve"> </w:t>
      </w:r>
      <w:r>
        <w:rPr>
          <w:b/>
          <w:bCs/>
        </w:rPr>
        <w:t xml:space="preserve">quando l’inquadramento manca</w:t>
      </w:r>
      <w:r>
        <w:t xml:space="preserve">, e lascia lavorare altrove, per iscritto.</w:t>
      </w:r>
    </w:p>
    <w:p>
      <w:pPr>
        <w:pStyle w:val="Compact"/>
        <w:numPr>
          <w:ilvl w:val="0"/>
          <w:numId w:val="1027"/>
        </w:numPr>
      </w:pPr>
      <w:r>
        <w:t xml:space="preserve">La cervicale alta è l’unica regione con un profilo di rischio proprio, ed è quella verso cui tutto il documento ti spinge.</w:t>
      </w:r>
    </w:p>
    <w:p>
      <w:pPr>
        <w:pStyle w:val="Compact"/>
        <w:numPr>
          <w:ilvl w:val="0"/>
          <w:numId w:val="1027"/>
        </w:numPr>
      </w:pPr>
      <w:r>
        <w:rPr>
          <w:b/>
          <w:bCs/>
        </w:rPr>
        <w:t xml:space="preserve">Perché ci sei tu.</w:t>
      </w:r>
      <w:r>
        <w:t xml:space="preserve"> </w:t>
      </w:r>
      <w:r>
        <w:t xml:space="preserve">Gli antidepressivi triciclici riducono la frequenza di questa cefalea di 4,8 giorni al mese rispetto al placebo, con prove di alta qualità. E riducono di 21 dosi al mese il consumo di analgesici (Jackson,</w:t>
      </w:r>
      <w:r>
        <w:t xml:space="preserve"> </w:t>
      </w:r>
      <w:r>
        <w:rPr>
          <w:i/>
          <w:iCs/>
        </w:rPr>
        <w:t xml:space="preserve">J Gen Intern Med</w:t>
      </w:r>
      <w:r>
        <w:t xml:space="preserve"> </w:t>
      </w:r>
      <w:r>
        <w:t xml:space="preserve">2017, PMID 28721535). Ti autorizza a spingere il canale medico per il paziente cronico, e a spiegargli perché quella pastiglia serale non è un antidolorifico. Non ti autorizza a commentare la scelta del farmaco né il dosaggio.</w:t>
      </w:r>
    </w:p>
    <w:p>
      <w:r>
        <w:pict>
          <v:rect style="width:0;height:1.5pt" o:hralign="center" o:hrstd="t" o:hr="t"/>
        </w:pict>
      </w:r>
    </w:p>
    <w:bookmarkEnd w:id="63"/>
    <w:bookmarkEnd w:id="64"/>
    <w:bookmarkStart w:id="70" w:name="capitolo-10-cosa-dice-la-scienza"/>
    <w:p>
      <w:pPr>
        <w:pStyle w:val="Heading2"/>
      </w:pPr>
      <w:r>
        <w:t xml:space="preserve">Capitolo 10 — Cosa dice la scienza</w:t>
      </w:r>
    </w:p>
    <w:p>
      <w:pPr>
        <w:pStyle w:val="BlockText"/>
      </w:pPr>
      <w:r>
        <w:rPr>
          <w:b/>
          <w:bCs/>
        </w:rPr>
        <w:t xml:space="preserve">In una riga:</w:t>
      </w:r>
      <w:r>
        <w:t xml:space="preserve"> </w:t>
      </w:r>
      <w:r>
        <w:t xml:space="preserve">la mano ha prove deboli e favorevoli, l’esercizio ha prove buone ma non unanimi, e il pezzo più solido del capitolo riguarda quanto poco di quello che ottieni è attribuibile alla tecnica.</w:t>
      </w:r>
    </w:p>
    <w:bookmarkStart w:id="65" w:name="le-due-ancore"/>
    <w:p>
      <w:pPr>
        <w:pStyle w:val="Heading3"/>
      </w:pPr>
      <w:r>
        <w:t xml:space="preserve">Le due ancore</w:t>
      </w:r>
    </w:p>
    <w:p>
      <w:pPr>
        <w:pStyle w:val="FirstParagraph"/>
      </w:pPr>
      <w:r>
        <w:rPr>
          <w:b/>
          <w:bCs/>
        </w:rPr>
        <w:t xml:space="preserve">L’ancora clinica è César Fernández-de-las-Peñas</w:t>
      </w:r>
      <w:r>
        <w:t xml:space="preserve"> </w:t>
      </w:r>
      <w:r>
        <w:t xml:space="preserve">(Universidad Rey Juan Carlos, Madrid). Ha misurato più di chiunque altro il rapporto fra tessuto miofasciale e questa cefalea. E ha spostato la domanda da</w:t>
      </w:r>
      <w:r>
        <w:t xml:space="preserve"> </w:t>
      </w:r>
      <w:r>
        <w:rPr>
          <w:i/>
          <w:iCs/>
        </w:rPr>
        <w:t xml:space="preserve">“il muscolo è teso?”</w:t>
      </w:r>
      <w:r>
        <w:t xml:space="preserve"> </w:t>
      </w:r>
      <w:r>
        <w:t xml:space="preserve">a</w:t>
      </w:r>
      <w:r>
        <w:t xml:space="preserve"> </w:t>
      </w:r>
      <w:r>
        <w:rPr>
          <w:i/>
          <w:iCs/>
        </w:rPr>
        <w:t xml:space="preserve">“il muscolo riproduce il quadro?”</w:t>
      </w:r>
      <w:r>
        <w:t xml:space="preserve">.</w:t>
      </w:r>
    </w:p>
    <w:p>
      <w:pPr>
        <w:pStyle w:val="BodyText"/>
      </w:pPr>
      <w:r>
        <w:rPr>
          <w:b/>
          <w:bCs/>
        </w:rPr>
        <w:t xml:space="preserve">L’ancora fisiologica è Lars Bendtsen</w:t>
      </w:r>
      <w:r>
        <w:t xml:space="preserve"> </w:t>
      </w:r>
      <w:r>
        <w:t xml:space="preserve">(Danish Headache Center), la più autorevole delle due. È chi ha stabilito il meccanismo centrale: nella forma cronica la curva pressione-dolore è spostata verso pressioni più basse ed è</w:t>
      </w:r>
      <w:r>
        <w:t xml:space="preserve"> </w:t>
      </w:r>
      <w:r>
        <w:rPr>
          <w:b/>
          <w:bCs/>
        </w:rPr>
        <w:t xml:space="preserve">qualitativamente alterata</w:t>
      </w:r>
      <w:r>
        <w:t xml:space="preserve">, perché diventa lineare.</w:t>
      </w:r>
    </w:p>
    <w:p>
      <w:pPr>
        <w:pStyle w:val="BodyText"/>
      </w:pPr>
      <w:r>
        <w:t xml:space="preserve">Dichiararle entrambe è più onesto che gonfiarne una:</w:t>
      </w:r>
      <w:r>
        <w:t xml:space="preserve"> </w:t>
      </w:r>
      <w:r>
        <w:rPr>
          <w:b/>
          <w:bCs/>
        </w:rPr>
        <w:t xml:space="preserve">qui la fisiologia è molto più solida della terapia.</w:t>
      </w:r>
    </w:p>
    <w:bookmarkEnd w:id="65"/>
    <w:bookmarkStart w:id="66"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Jensen,</w:t>
            </w:r>
            <w:r>
              <w:t xml:space="preserve"> </w:t>
            </w:r>
            <w:r>
              <w:rPr>
                <w:i/>
                <w:iCs/>
              </w:rPr>
              <w:t xml:space="preserve">Pain</w:t>
            </w:r>
            <w:r>
              <w:t xml:space="preserve"> </w:t>
            </w:r>
            <w:r>
              <w:t xml:space="preserve">1993 (8455967)</w:t>
            </w:r>
          </w:p>
        </w:tc>
        <w:tc>
          <w:tcPr/>
          <w:p>
            <w:pPr>
              <w:pStyle w:val="Compact"/>
            </w:pPr>
            <w:r>
              <w:t xml:space="preserve">Dolorabilità in 735 adulti</w:t>
            </w:r>
          </w:p>
        </w:tc>
        <w:tc>
          <w:tcPr/>
          <w:p>
            <w:pPr>
              <w:pStyle w:val="Compact"/>
            </w:pPr>
            <w:r>
              <w:t xml:space="preserve">Palpare e registrare, di routine</w:t>
            </w:r>
          </w:p>
        </w:tc>
      </w:tr>
      <w:tr>
        <w:tc>
          <w:tcPr/>
          <w:p>
            <w:pPr>
              <w:pStyle w:val="Compact"/>
            </w:pPr>
            <w:r>
              <w:t xml:space="preserve">Bendtsen,</w:t>
            </w:r>
            <w:r>
              <w:t xml:space="preserve"> </w:t>
            </w:r>
            <w:r>
              <w:rPr>
                <w:i/>
                <w:iCs/>
              </w:rPr>
              <w:t xml:space="preserve">Pain</w:t>
            </w:r>
            <w:r>
              <w:t xml:space="preserve"> </w:t>
            </w:r>
            <w:r>
              <w:t xml:space="preserve">1996 (8826515)</w:t>
            </w:r>
          </w:p>
        </w:tc>
        <w:tc>
          <w:tcPr/>
          <w:p>
            <w:pPr>
              <w:pStyle w:val="Compact"/>
            </w:pPr>
            <w:r>
              <w:t xml:space="preserve">Curva pressione-dolore, 40 casi</w:t>
            </w:r>
          </w:p>
        </w:tc>
        <w:tc>
          <w:tcPr/>
          <w:p>
            <w:pPr>
              <w:pStyle w:val="Compact"/>
            </w:pPr>
            <w:r>
              <w:t xml:space="preserve">Spiegare la cronicizzazione</w:t>
            </w:r>
          </w:p>
        </w:tc>
      </w:tr>
      <w:tr>
        <w:tc>
          <w:tcPr/>
          <w:p>
            <w:pPr>
              <w:pStyle w:val="Compact"/>
            </w:pPr>
            <w:r>
              <w:t xml:space="preserve">Fernández,</w:t>
            </w:r>
            <w:r>
              <w:t xml:space="preserve"> </w:t>
            </w:r>
            <w:r>
              <w:rPr>
                <w:i/>
                <w:iCs/>
              </w:rPr>
              <w:t xml:space="preserve">Cephalalgia</w:t>
            </w:r>
            <w:r>
              <w:t xml:space="preserve"> </w:t>
            </w:r>
            <w:r>
              <w:t xml:space="preserve">2021 (32957796)</w:t>
            </w:r>
          </w:p>
        </w:tc>
        <w:tc>
          <w:tcPr/>
          <w:p>
            <w:pPr>
              <w:pStyle w:val="Compact"/>
            </w:pPr>
            <w:r>
              <w:t xml:space="preserve">Soglie in 20 studi</w:t>
            </w:r>
          </w:p>
        </w:tc>
        <w:tc>
          <w:tcPr/>
          <w:p>
            <w:pPr>
              <w:pStyle w:val="Compact"/>
            </w:pPr>
            <w:r>
              <w:t xml:space="preserve">Misurare fuori dalla testa</w:t>
            </w:r>
          </w:p>
        </w:tc>
      </w:tr>
      <w:tr>
        <w:tc>
          <w:tcPr/>
          <w:p>
            <w:pPr>
              <w:pStyle w:val="Compact"/>
            </w:pPr>
            <w:r>
              <w:t xml:space="preserve">Palacios-Ceña,</w:t>
            </w:r>
            <w:r>
              <w:t xml:space="preserve"> </w:t>
            </w:r>
            <w:r>
              <w:rPr>
                <w:i/>
                <w:iCs/>
              </w:rPr>
              <w:t xml:space="preserve">Cephalalgia</w:t>
            </w:r>
            <w:r>
              <w:t xml:space="preserve"> </w:t>
            </w:r>
            <w:r>
              <w:t xml:space="preserve">2018 (27919024)</w:t>
            </w:r>
          </w:p>
        </w:tc>
        <w:tc>
          <w:tcPr/>
          <w:p>
            <w:pPr>
              <w:pStyle w:val="Compact"/>
            </w:pPr>
            <w:r>
              <w:t xml:space="preserve">Punti attivi in 157 pazienti</w:t>
            </w:r>
          </w:p>
        </w:tc>
        <w:tc>
          <w:tcPr/>
          <w:p>
            <w:pPr>
              <w:pStyle w:val="Compact"/>
            </w:pPr>
            <w:r>
              <w:t xml:space="preserve">Contare i punti, stratificare</w:t>
            </w:r>
          </w:p>
        </w:tc>
      </w:tr>
      <w:tr>
        <w:tc>
          <w:tcPr/>
          <w:p>
            <w:pPr>
              <w:pStyle w:val="Compact"/>
            </w:pPr>
            <w:r>
              <w:t xml:space="preserve">Kamonseki,</w:t>
            </w:r>
            <w:r>
              <w:t xml:space="preserve"> </w:t>
            </w:r>
            <w:r>
              <w:rPr>
                <w:i/>
                <w:iCs/>
              </w:rPr>
              <w:t xml:space="preserve">Disabil Rehabil</w:t>
            </w:r>
            <w:r>
              <w:t xml:space="preserve"> </w:t>
            </w:r>
            <w:r>
              <w:t xml:space="preserve">2022 (32924640)</w:t>
            </w:r>
          </w:p>
        </w:tc>
        <w:tc>
          <w:tcPr/>
          <w:p>
            <w:pPr>
              <w:pStyle w:val="Compact"/>
            </w:pPr>
            <w:r>
              <w:t xml:space="preserve">15 studi, 1.131 pazienti</w:t>
            </w:r>
          </w:p>
        </w:tc>
        <w:tc>
          <w:tcPr/>
          <w:p>
            <w:pPr>
              <w:pStyle w:val="Compact"/>
            </w:pPr>
            <w:r>
              <w:t xml:space="preserve">Preferire il tessuto molle</w:t>
            </w:r>
          </w:p>
        </w:tc>
      </w:tr>
      <w:tr>
        <w:tc>
          <w:tcPr/>
          <w:p>
            <w:pPr>
              <w:pStyle w:val="Compact"/>
            </w:pPr>
            <w:r>
              <w:t xml:space="preserve">Falsiroli Maistrello,</w:t>
            </w:r>
            <w:r>
              <w:t xml:space="preserve"> </w:t>
            </w:r>
            <w:r>
              <w:rPr>
                <w:i/>
                <w:iCs/>
              </w:rPr>
              <w:t xml:space="preserve">Front Neurol</w:t>
            </w:r>
            <w:r>
              <w:t xml:space="preserve"> </w:t>
            </w:r>
            <w:r>
              <w:t xml:space="preserve">2018 (29740386)</w:t>
            </w:r>
          </w:p>
        </w:tc>
        <w:tc>
          <w:tcPr/>
          <w:p>
            <w:pPr>
              <w:pStyle w:val="Compact"/>
            </w:pPr>
            <w:r>
              <w:t xml:space="preserve">4 studi sui punti attivi</w:t>
            </w:r>
          </w:p>
        </w:tc>
        <w:tc>
          <w:tcPr/>
          <w:p>
            <w:pPr>
              <w:pStyle w:val="Compact"/>
            </w:pPr>
            <w:r>
              <w:t xml:space="preserve">Dire 3,5 giorni/mese</w:t>
            </w:r>
            <w:r>
              <w:t xml:space="preserve"> </w:t>
            </w:r>
            <w:r>
              <w:rPr>
                <w:b/>
                <w:bCs/>
              </w:rPr>
              <w:t xml:space="preserve">con la qualità molto bassa</w:t>
            </w:r>
          </w:p>
        </w:tc>
      </w:tr>
      <w:tr>
        <w:tc>
          <w:tcPr/>
          <w:p>
            <w:pPr>
              <w:pStyle w:val="Compact"/>
            </w:pPr>
            <w:r>
              <w:t xml:space="preserve">Andersen,</w:t>
            </w:r>
            <w:r>
              <w:t xml:space="preserve"> </w:t>
            </w:r>
            <w:r>
              <w:rPr>
                <w:i/>
                <w:iCs/>
              </w:rPr>
              <w:t xml:space="preserve">Musculoskelet Sci Pract</w:t>
            </w:r>
            <w:r>
              <w:t xml:space="preserve"> </w:t>
            </w:r>
            <w:r>
              <w:t xml:space="preserve">2017 (28854396)</w:t>
            </w:r>
          </w:p>
        </w:tc>
        <w:tc>
          <w:tcPr/>
          <w:p>
            <w:pPr>
              <w:pStyle w:val="Compact"/>
            </w:pPr>
            <w:r>
              <w:t xml:space="preserve">573 impiegati, 20 settimane</w:t>
            </w:r>
          </w:p>
        </w:tc>
        <w:tc>
          <w:tcPr/>
          <w:p>
            <w:pPr>
              <w:pStyle w:val="Compact"/>
            </w:pPr>
            <w:r>
              <w:t xml:space="preserve">Insegnare e supervisionare la forza</w:t>
            </w:r>
          </w:p>
        </w:tc>
      </w:tr>
      <w:tr>
        <w:tc>
          <w:tcPr/>
          <w:p>
            <w:pPr>
              <w:pStyle w:val="Compact"/>
            </w:pPr>
            <w:r>
              <w:t xml:space="preserve">Jackson,</w:t>
            </w:r>
            <w:r>
              <w:t xml:space="preserve"> </w:t>
            </w:r>
            <w:r>
              <w:rPr>
                <w:i/>
                <w:iCs/>
              </w:rPr>
              <w:t xml:space="preserve">J Gen Intern Med</w:t>
            </w:r>
            <w:r>
              <w:t xml:space="preserve"> </w:t>
            </w:r>
            <w:r>
              <w:t xml:space="preserve">2017 (28721535)</w:t>
            </w:r>
          </w:p>
        </w:tc>
        <w:tc>
          <w:tcPr/>
          <w:p>
            <w:pPr>
              <w:pStyle w:val="Compact"/>
            </w:pPr>
            <w:r>
              <w:t xml:space="preserve">22 studi randomizzati</w:t>
            </w:r>
          </w:p>
        </w:tc>
        <w:tc>
          <w:tcPr/>
          <w:p>
            <w:pPr>
              <w:pStyle w:val="Compact"/>
            </w:pPr>
            <w:r>
              <w:t xml:space="preserve">Attivare il canale medico</w:t>
            </w:r>
          </w:p>
        </w:tc>
      </w:tr>
    </w:tbl>
    <w:bookmarkEnd w:id="66"/>
    <w:bookmarkStart w:id="67" w:name="i-tre-cerchi"/>
    <w:p>
      <w:pPr>
        <w:pStyle w:val="Heading3"/>
      </w:pPr>
      <w:r>
        <w:t xml:space="preserve">I tre cerchi</w:t>
      </w:r>
    </w:p>
    <w:p>
      <w:pPr>
        <w:pStyle w:val="FirstParagraph"/>
      </w:pPr>
      <w:r>
        <w:rPr>
          <w:b/>
          <w:bCs/>
        </w:rPr>
        <w:t xml:space="preserve">Cerchio 1 — l’intervento su questa condizione.</w:t>
      </w:r>
      <w:r>
        <w:t xml:space="preserve"> </w:t>
      </w:r>
      <w:r>
        <w:t xml:space="preserve">Non è vuoto, ed è di qualità debole.</w:t>
      </w:r>
    </w:p>
    <w:p>
      <w:pPr>
        <w:pStyle w:val="BodyText"/>
      </w:pPr>
      <w:r>
        <w:t xml:space="preserve">La meta-analisi più netta separa le tecniche invece di sommarle. Su quindici studi e 1.131 pazienti, le tecniche sui tessuti molli sono risultate superiori a nessun trattamento su intensità e frequenza, con prove</w:t>
      </w:r>
      <w:r>
        <w:t xml:space="preserve"> </w:t>
      </w:r>
      <w:r>
        <w:rPr>
          <w:b/>
          <w:bCs/>
        </w:rPr>
        <w:t xml:space="preserve">basse</w:t>
      </w:r>
      <w:r>
        <w:t xml:space="preserve">. Le tecniche ad alta velocità e bassa ampiezza</w:t>
      </w:r>
      <w:r>
        <w:t xml:space="preserve"> </w:t>
      </w:r>
      <w:r>
        <w:rPr>
          <w:b/>
          <w:bCs/>
        </w:rPr>
        <w:t xml:space="preserve">non</w:t>
      </w:r>
      <w:r>
        <w:t xml:space="preserve"> </w:t>
      </w:r>
      <w:r>
        <w:t xml:space="preserve">sono risultate superiori a nessun trattamento sull’intensità (differenza standardizzata 0,01), né sulla frequenza. E nessuna delle due ha spostato l’impatto complessivo della cefalea sulla vita del paziente (Kamonseki,</w:t>
      </w:r>
      <w:r>
        <w:t xml:space="preserve"> </w:t>
      </w:r>
      <w:r>
        <w:rPr>
          <w:i/>
          <w:iCs/>
        </w:rPr>
        <w:t xml:space="preserve">Disabil Rehabil</w:t>
      </w:r>
      <w:r>
        <w:t xml:space="preserve"> </w:t>
      </w:r>
      <w:r>
        <w:t xml:space="preserve">2022, PMID 32924640).</w:t>
      </w:r>
    </w:p>
    <w:p>
      <w:pPr>
        <w:pStyle w:val="BlockText"/>
      </w:pPr>
      <w:r>
        <w:rPr>
          <w:b/>
          <w:bCs/>
        </w:rPr>
        <w:t xml:space="preserve">Definizione.</w:t>
      </w:r>
      <w:r>
        <w:t xml:space="preserve"> </w:t>
      </w:r>
      <w:r>
        <w:t xml:space="preserve">La</w:t>
      </w:r>
      <w:r>
        <w:t xml:space="preserve"> </w:t>
      </w:r>
      <w:r>
        <w:rPr>
          <w:b/>
          <w:bCs/>
        </w:rPr>
        <w:t xml:space="preserve">differenza standardizzata</w:t>
      </w:r>
      <w:r>
        <w:t xml:space="preserve"> </w:t>
      </w:r>
      <w:r>
        <w:t xml:space="preserve">è il modo di confrontare studi con scale diverse: 0,2 è piccolo, 0,5 medio, 0,8 grande.</w:t>
      </w:r>
      <w:r>
        <w:t xml:space="preserve"> </w:t>
      </w:r>
      <w:r>
        <w:rPr>
          <w:b/>
          <w:bCs/>
        </w:rPr>
        <w:t xml:space="preserve">0,01 è zero.</w:t>
      </w:r>
    </w:p>
    <w:p>
      <w:pPr>
        <w:pStyle w:val="FirstParagraph"/>
      </w:pPr>
      <w:r>
        <w:rPr>
          <w:b/>
          <w:bCs/>
        </w:rPr>
        <w:t xml:space="preserve">Per te:</w:t>
      </w:r>
      <w:r>
        <w:t xml:space="preserve"> </w:t>
      </w:r>
      <w:r>
        <w:t xml:space="preserve">il numero che ti riguarda è la separazione, non la media. Costruisci il tuo lavoro sul tessuto molle e sui punti che riproducono il quadro, e stai dalla parte in cui il dato esiste. Costruiscilo sulla manipolazione cervicale, e stai dalla parte in cui l’effetto misurato è zero.</w:t>
      </w:r>
    </w:p>
    <w:p>
      <w:pPr>
        <w:pStyle w:val="BodyText"/>
      </w:pPr>
      <w:r>
        <w:t xml:space="preserve">Un randomizzato successivo va in direzione opposta, e va nominato prima che lo faccia qualcun altro. In quarantacinque pazienti con cefalea tensiva e dolore al collo, manipolazione più esercizio è risultata migliore di inibizione suboccipitale più esercizio. Il vantaggio era su frequenza, intensità e soglia di pressione al temporale (Corum,</w:t>
      </w:r>
      <w:r>
        <w:t xml:space="preserve"> </w:t>
      </w:r>
      <w:r>
        <w:rPr>
          <w:i/>
          <w:iCs/>
        </w:rPr>
        <w:t xml:space="preserve">Complement Ther Clin Pract</w:t>
      </w:r>
      <w:r>
        <w:t xml:space="preserve"> </w:t>
      </w:r>
      <w:r>
        <w:t xml:space="preserve">2021, PMID 33517104).</w:t>
      </w:r>
      <w:r>
        <w:t xml:space="preserve"> </w:t>
      </w:r>
      <w:r>
        <w:rPr>
          <w:b/>
          <w:bCs/>
        </w:rPr>
        <w:t xml:space="preserve">Quindici pazienti per braccio: un trial di questa taglia non sposta una meta-analisi su 1.131.</w:t>
      </w:r>
    </w:p>
    <w:p>
      <w:pPr>
        <w:pStyle w:val="BodyText"/>
      </w:pPr>
      <w:r>
        <w:t xml:space="preserve">Il trattamento manuale dei punti attivi ha ridotto la frequenza degli attacchi di</w:t>
      </w:r>
      <w:r>
        <w:t xml:space="preserve"> </w:t>
      </w:r>
      <w:r>
        <w:rPr>
          <w:b/>
          <w:bCs/>
        </w:rPr>
        <w:t xml:space="preserve">3,5 al mese</w:t>
      </w:r>
      <w:r>
        <w:t xml:space="preserve">, su quattro studi randomizzati. L’intensità è calata di quasi 13 punti su 100, e la qualità delle prove è</w:t>
      </w:r>
      <w:r>
        <w:t xml:space="preserve"> </w:t>
      </w:r>
      <w:r>
        <w:rPr>
          <w:b/>
          <w:bCs/>
        </w:rPr>
        <w:t xml:space="preserve">molto bassa</w:t>
      </w:r>
      <w:r>
        <w:t xml:space="preserve"> </w:t>
      </w:r>
      <w:r>
        <w:t xml:space="preserve">(Falsiroli Maistrello,</w:t>
      </w:r>
      <w:r>
        <w:t xml:space="preserve"> </w:t>
      </w:r>
      <w:r>
        <w:rPr>
          <w:i/>
          <w:iCs/>
        </w:rPr>
        <w:t xml:space="preserve">Front Neurol</w:t>
      </w:r>
      <w:r>
        <w:t xml:space="preserve"> </w:t>
      </w:r>
      <w:r>
        <w:t xml:space="preserve">2018, PMID 29740386).</w:t>
      </w:r>
      <w:r>
        <w:t xml:space="preserve"> </w:t>
      </w:r>
      <w:r>
        <w:rPr>
          <w:b/>
          <w:bCs/>
        </w:rPr>
        <w:t xml:space="preserve">Per te:</w:t>
      </w:r>
      <w:r>
        <w:t xml:space="preserve"> </w:t>
      </w:r>
      <w:r>
        <w:t xml:space="preserve">3,5 giorni al mese si dice al paziente come ordine di grandezza atteso, mai come promessa. È vicino ai 4,8 giorni della profilassi, con una differenza: quel numero poggia su prove di alta qualità, questo su prove molto basse. Dire entrambi, in quest’ordine, è la conversazione più onesta che puoi avere con un neurologo.</w:t>
      </w:r>
    </w:p>
    <w:p>
      <w:pPr>
        <w:pStyle w:val="BodyText"/>
      </w:pPr>
      <w:r>
        <w:t xml:space="preserve">Nel confronto diretto su cinque studi randomizzati, la terapia manuale è risultata più efficace della farmacologica su frequenza, intensità e durata. Il vantaggio era</w:t>
      </w:r>
      <w:r>
        <w:t xml:space="preserve"> </w:t>
      </w:r>
      <w:r>
        <w:rPr>
          <w:b/>
          <w:bCs/>
        </w:rPr>
        <w:t xml:space="preserve">subito dopo il trattamento</w:t>
      </w:r>
      <w:r>
        <w:t xml:space="preserve">: al controllo più lontano i due erano</w:t>
      </w:r>
      <w:r>
        <w:t xml:space="preserve"> </w:t>
      </w:r>
      <w:r>
        <w:rPr>
          <w:b/>
          <w:bCs/>
        </w:rPr>
        <w:t xml:space="preserve">non diversi</w:t>
      </w:r>
      <w:r>
        <w:t xml:space="preserve"> </w:t>
      </w:r>
      <w:r>
        <w:t xml:space="preserve">(Mesa-Jiménez,</w:t>
      </w:r>
      <w:r>
        <w:t xml:space="preserve"> </w:t>
      </w:r>
      <w:r>
        <w:rPr>
          <w:i/>
          <w:iCs/>
        </w:rPr>
        <w:t xml:space="preserve">Cephalalgia</w:t>
      </w:r>
      <w:r>
        <w:t xml:space="preserve"> </w:t>
      </w:r>
      <w:r>
        <w:t xml:space="preserve">2015, PMID 25748428).</w:t>
      </w:r>
      <w:r>
        <w:t xml:space="preserve"> </w:t>
      </w:r>
      <w:r>
        <w:rPr>
          <w:b/>
          <w:bCs/>
        </w:rPr>
        <w:t xml:space="preserve">I numeri vanno detti con la frase:</w:t>
      </w:r>
      <w:r>
        <w:t xml:space="preserve"> </w:t>
      </w:r>
      <w:r>
        <w:t xml:space="preserve">differenza media pesata −0,80 sulla frequenza, −0,60 sull’intensità, −0,56 sulla durata. E gli autori raccomandano cautela per l’eterogeneità dei trattamenti.</w:t>
      </w:r>
    </w:p>
    <w:p>
      <w:pPr>
        <w:pStyle w:val="BlockText"/>
      </w:pPr>
      <w:r>
        <w:rPr>
          <w:b/>
          <w:bCs/>
        </w:rPr>
        <w:t xml:space="preserve">Cosa cambia per te — la soglia di rilevanza clinica, una volta sola.</w:t>
      </w:r>
      <w:r>
        <w:t xml:space="preserve"> </w:t>
      </w:r>
      <w:r>
        <w:t xml:space="preserve">Non tutti i numeri favorevoli sono numeri che il paziente sente.</w:t>
      </w:r>
      <w:r>
        <w:t xml:space="preserve"> </w:t>
      </w:r>
      <w:r>
        <w:rPr>
          <w:b/>
          <w:bCs/>
        </w:rPr>
        <w:t xml:space="preserve">3,5 giorni al mese in meno è una differenza che si vive</w:t>
      </w:r>
      <w:r>
        <w:t xml:space="preserve">; sei decimi di punto su una scala di intensità no. I due si dicono con toni diversi. Chi li dice con lo stesso tono sta vendendo il secondo con la forza del primo.</w:t>
      </w:r>
    </w:p>
    <w:p>
      <w:pPr>
        <w:pStyle w:val="FirstParagraph"/>
      </w:pPr>
      <w:r>
        <w:rPr>
          <w:b/>
          <w:bCs/>
        </w:rPr>
        <w:t xml:space="preserve">E un randomizzato controllato con placebo su questa condizione esiste: è il dato che ridimensiona la leva principale di questo documento.</w:t>
      </w:r>
      <w:r>
        <w:t xml:space="preserve"> </w:t>
      </w:r>
      <w:r>
        <w:t xml:space="preserve">Cinquantasei pazienti, dodici sedute di massaggio mirato ai punti trigger di testa e collo in sei settimane, contro un ultrasuono disattivato e contro lista d’attesa. La frequenza degli episodi è scesa sia col massaggio (p&lt;0,0003) sia col placebo (p=0,013), e</w:t>
      </w:r>
      <w:r>
        <w:t xml:space="preserve"> </w:t>
      </w:r>
      <w:r>
        <w:rPr>
          <w:b/>
          <w:bCs/>
        </w:rPr>
        <w:t xml:space="preserve">fra massaggio e placebo non è stata rilevata differenza</w:t>
      </w:r>
      <w:r>
        <w:t xml:space="preserve">. A separare i gruppi è stato il cambiamento</w:t>
      </w:r>
      <w:r>
        <w:t xml:space="preserve"> </w:t>
      </w:r>
      <w:r>
        <w:rPr>
          <w:b/>
          <w:bCs/>
        </w:rPr>
        <w:t xml:space="preserve">percepito</w:t>
      </w:r>
      <w:r>
        <w:t xml:space="preserve"> </w:t>
      </w:r>
      <w:r>
        <w:t xml:space="preserve">dal paziente, maggiore col massaggio che col placebo e con la lista d’attesa (p=0,002) (Moraska,</w:t>
      </w:r>
      <w:r>
        <w:t xml:space="preserve"> </w:t>
      </w:r>
      <w:r>
        <w:rPr>
          <w:i/>
          <w:iCs/>
        </w:rPr>
        <w:t xml:space="preserve">Clin J Pain</w:t>
      </w:r>
      <w:r>
        <w:t xml:space="preserve"> </w:t>
      </w:r>
      <w:r>
        <w:t xml:space="preserve">2015, PMID 25329141).</w:t>
      </w:r>
      <w:r>
        <w:t xml:space="preserve"> </w:t>
      </w:r>
      <w:r>
        <w:rPr>
          <w:b/>
          <w:bCs/>
        </w:rPr>
        <w:t xml:space="preserve">Cinquantasei pazienti, e il placebo era un ultrasuono disattivato — non un placebo manuale.</w:t>
      </w:r>
      <w:r>
        <w:t xml:space="preserve"> </w:t>
      </w:r>
      <w:r>
        <w:t xml:space="preserve">Non chiude la questione: la apre, e la apre nel verso che questa letteratura non stava guardando.</w:t>
      </w:r>
    </w:p>
    <w:p>
      <w:pPr>
        <w:pStyle w:val="BodyText"/>
      </w:pPr>
      <w:r>
        <w:t xml:space="preserve">Non esiste un protocollo standardizzato. Le tecniche studiate finora si rivolgono tutte, in un modo o nell’altro, alla regione cranio-cervico-mandibolare (Repiso-Guardeño,</w:t>
      </w:r>
      <w:r>
        <w:t xml:space="preserve"> </w:t>
      </w:r>
      <w:r>
        <w:rPr>
          <w:i/>
          <w:iCs/>
        </w:rPr>
        <w:t xml:space="preserve">Int J Environ Res Public Health</w:t>
      </w:r>
      <w:r>
        <w:t xml:space="preserve"> </w:t>
      </w:r>
      <w:r>
        <w:t xml:space="preserve">2023, PMID 36901475).</w:t>
      </w:r>
      <w:r>
        <w:t xml:space="preserve"> </w:t>
      </w:r>
      <w:r>
        <w:rPr>
          <w:b/>
          <w:bCs/>
        </w:rPr>
        <w:t xml:space="preserve">Per te:</w:t>
      </w:r>
      <w:r>
        <w:t xml:space="preserve"> </w:t>
      </w:r>
      <w:r>
        <w:t xml:space="preserve">non esiste</w:t>
      </w:r>
      <w:r>
        <w:t xml:space="preserve"> </w:t>
      </w:r>
      <w:r>
        <w:t xml:space="preserve">“la tecnica giusta”</w:t>
      </w:r>
      <w:r>
        <w:t xml:space="preserve"> </w:t>
      </w:r>
      <w:r>
        <w:t xml:space="preserve">da imparare, esiste la regione giusta — la stessa su cui poggia il primo meccanismo. La sintesi più severa, per le raccomandazioni danesi, valuta tredici studi randomizzati con certezza</w:t>
      </w:r>
      <w:r>
        <w:t xml:space="preserve"> </w:t>
      </w:r>
      <w:r>
        <w:rPr>
          <w:b/>
          <w:bCs/>
        </w:rPr>
        <w:t xml:space="preserve">bassa e molto bassa</w:t>
      </w:r>
      <w:r>
        <w:t xml:space="preserve">, e nessun evento avverso grave riportato (Krøll,</w:t>
      </w:r>
      <w:r>
        <w:t xml:space="preserve"> </w:t>
      </w:r>
      <w:r>
        <w:rPr>
          <w:i/>
          <w:iCs/>
        </w:rPr>
        <w:t xml:space="preserve">J Headache Pain</w:t>
      </w:r>
      <w:r>
        <w:t xml:space="preserve"> </w:t>
      </w:r>
      <w:r>
        <w:t xml:space="preserve">2021, PMID 34418953).</w:t>
      </w:r>
    </w:p>
    <w:p>
      <w:pPr>
        <w:pStyle w:val="BodyText"/>
      </w:pPr>
      <w:r>
        <w:rPr>
          <w:b/>
          <w:bCs/>
        </w:rPr>
        <w:t xml:space="preserve">Cerchio 2 — il meccanismo, misurato altrove.</w:t>
      </w:r>
    </w:p>
    <w:p>
      <w:pPr>
        <w:pStyle w:val="BodyText"/>
      </w:pPr>
      <w:r>
        <w:t xml:space="preserve">In terapia fisica per il dolore muscolo-scheletrico, una quota dell’effetto non è attribuibile alla tecnica specifica. Per la mobilizzazione sul dolore immediato quella quota è stimata all’88%, con intervallo di confidenza dal 57% al 120%. Per l’esercizio è stimata al 46%. I numeri vengono da 54 studi controllati con placebo e 3.793 partecipanti, dentro una revisione di 68 studi e 5.238 persone (Ezzatvar,</w:t>
      </w:r>
      <w:r>
        <w:t xml:space="preserve"> </w:t>
      </w:r>
      <w:r>
        <w:rPr>
          <w:i/>
          <w:iCs/>
        </w:rPr>
        <w:t xml:space="preserve">JOSPT</w:t>
      </w:r>
      <w:r>
        <w:t xml:space="preserve"> </w:t>
      </w:r>
      <w:r>
        <w:t xml:space="preserve">2024, PMID 38602164).</w:t>
      </w:r>
      <w:r>
        <w:t xml:space="preserve"> </w:t>
      </w:r>
      <w:r>
        <w:rPr>
          <w:b/>
          <w:bCs/>
        </w:rPr>
        <w:t xml:space="preserve">Misurato su dolore muscolo-scheletrico in generale, non su pazienti con questa condizione.</w:t>
      </w:r>
    </w:p>
    <w:p>
      <w:pPr>
        <w:pStyle w:val="BodyText"/>
      </w:pPr>
      <w:r>
        <w:t xml:space="preserve">Dopo mobilizzazione cervicale succedono cinque cose insieme. Lo studio è randomizzato, controllato con placebo e in doppio cieco, su trenta soggetti con dolore cervicale. La soglia di pressione sale dal lato trattato. Il dolore a riposo scende. L’attività dei flessori superficiali si riduce. E, insieme, la conduttanza cutanea</w:t>
      </w:r>
      <w:r>
        <w:t xml:space="preserve"> </w:t>
      </w:r>
      <w:r>
        <w:rPr>
          <w:b/>
          <w:bCs/>
        </w:rPr>
        <w:t xml:space="preserve">aumenta</w:t>
      </w:r>
      <w:r>
        <w:t xml:space="preserve"> </w:t>
      </w:r>
      <w:r>
        <w:t xml:space="preserve">e la temperatura</w:t>
      </w:r>
      <w:r>
        <w:t xml:space="preserve"> </w:t>
      </w:r>
      <w:r>
        <w:rPr>
          <w:b/>
          <w:bCs/>
        </w:rPr>
        <w:t xml:space="preserve">scende</w:t>
      </w:r>
      <w:r>
        <w:t xml:space="preserve">: cioè nella direzione dell’attivazione (Sterling,</w:t>
      </w:r>
      <w:r>
        <w:t xml:space="preserve"> </w:t>
      </w:r>
      <w:r>
        <w:rPr>
          <w:i/>
          <w:iCs/>
        </w:rPr>
        <w:t xml:space="preserve">Man Ther</w:t>
      </w:r>
      <w:r>
        <w:t xml:space="preserve"> </w:t>
      </w:r>
      <w:r>
        <w:t xml:space="preserve">2001, PMID 11414776).</w:t>
      </w:r>
      <w:r>
        <w:t xml:space="preserve"> </w:t>
      </w:r>
      <w:r>
        <w:rPr>
          <w:b/>
          <w:bCs/>
        </w:rPr>
        <w:t xml:space="preserve">Misurato su dolore cervicale, non su questa condizione.</w:t>
      </w:r>
    </w:p>
    <w:p>
      <w:pPr>
        <w:pStyle w:val="BodyText"/>
      </w:pPr>
      <w:r>
        <w:rPr>
          <w:b/>
          <w:bCs/>
        </w:rPr>
        <w:t xml:space="preserve">Per te:</w:t>
      </w:r>
      <w:r>
        <w:t xml:space="preserve"> </w:t>
      </w:r>
      <w:r>
        <w:t xml:space="preserve">è il dato che ti impedisce di dire</w:t>
      </w:r>
      <w:r>
        <w:t xml:space="preserve"> </w:t>
      </w:r>
      <w:r>
        <w:t xml:space="preserve">“ti rilasso il sistema nervoso”</w:t>
      </w:r>
      <w:r>
        <w:t xml:space="preserve">. L’effetto clinico c’è ed è misurato, e non passa per la calma autonomica. Dici quello che è stato misurato: meno sensibile alla pressione, meno contratto. Va nello stesso verso la meta-analisi più ampia sugli effetti psicofisiologici del trattamento manuale osteopatico.</w:t>
      </w:r>
      <w:r>
        <w:t xml:space="preserve"> </w:t>
      </w:r>
      <w:r>
        <w:rPr>
          <w:b/>
          <w:bCs/>
        </w:rPr>
        <w:t xml:space="preserve">Non trova effetto su ansia e stress. Trova una riduzione della depressione</w:t>
      </w:r>
      <w:r>
        <w:t xml:space="preserve"> </w:t>
      </w:r>
      <w:r>
        <w:t xml:space="preserve">(−0,47) e</w:t>
      </w:r>
      <w:r>
        <w:t xml:space="preserve"> </w:t>
      </w:r>
      <w:r>
        <w:rPr>
          <w:b/>
          <w:bCs/>
        </w:rPr>
        <w:t xml:space="preserve">un aumento della conduttanza cutanea</w:t>
      </w:r>
      <w:r>
        <w:t xml:space="preserve">, cioè la stessa direzione di Sterling (Gordon,</w:t>
      </w:r>
      <w:r>
        <w:t xml:space="preserve"> </w:t>
      </w:r>
      <w:r>
        <w:rPr>
          <w:i/>
          <w:iCs/>
        </w:rPr>
        <w:t xml:space="preserve">BMJ Open</w:t>
      </w:r>
      <w:r>
        <w:t xml:space="preserve"> </w:t>
      </w:r>
      <w:r>
        <w:t xml:space="preserve">2025, PMID 39920074) —</w:t>
      </w:r>
      <w:r>
        <w:t xml:space="preserve"> </w:t>
      </w:r>
      <w:r>
        <w:rPr>
          <w:b/>
          <w:bCs/>
        </w:rPr>
        <w:t xml:space="preserve">misurato su adulti in trattamento manuale osteopatico in generale, non su pazienti con questa cefalea</w:t>
      </w:r>
      <w:r>
        <w:t xml:space="preserve">.</w:t>
      </w:r>
    </w:p>
    <w:p>
      <w:pPr>
        <w:pStyle w:val="BodyText"/>
      </w:pPr>
      <w:r>
        <w:t xml:space="preserve">E la stessa famiglia di studi contiene anche il lato che sostiene il razionale, che questa Bibbia finora non aveva usato. Che la terapia fisica sposti la modulazione condizionata del dolore è stato misurato:</w:t>
      </w:r>
      <w:r>
        <w:t xml:space="preserve"> </w:t>
      </w:r>
      <w:r>
        <w:rPr>
          <w:b/>
          <w:bCs/>
        </w:rPr>
        <w:t xml:space="preserve">+0,34</w:t>
      </w:r>
      <w:r>
        <w:t xml:space="preserve"> </w:t>
      </w:r>
      <w:r>
        <w:t xml:space="preserve">(IC 95% 0,12–0,56; p=0,003; n=680). La sommazione temporale scende di</w:t>
      </w:r>
      <w:r>
        <w:t xml:space="preserve"> </w:t>
      </w:r>
      <w:r>
        <w:rPr>
          <w:b/>
          <w:bCs/>
        </w:rPr>
        <w:t xml:space="preserve">0,21</w:t>
      </w:r>
      <w:r>
        <w:t xml:space="preserve"> </w:t>
      </w:r>
      <w:r>
        <w:t xml:space="preserve">(IC 95% −0,39 a −0,03; p=0,02; n=721). I dati vengono da diciotto studi in pazienti con dolore muscolo-scheletrico cronico, con qualità metodologica dichiarata alta (Arribas-Romano,</w:t>
      </w:r>
      <w:r>
        <w:t xml:space="preserve"> </w:t>
      </w:r>
      <w:r>
        <w:rPr>
          <w:i/>
          <w:iCs/>
        </w:rPr>
        <w:t xml:space="preserve">Pain Med</w:t>
      </w:r>
      <w:r>
        <w:t xml:space="preserve"> </w:t>
      </w:r>
      <w:r>
        <w:t xml:space="preserve">2020, PMID 32100027). La revisione ombrello sulla sola terapia manuale ortopedica trova un miglioramento dell’iperalgesia meccanica con certezza</w:t>
      </w:r>
      <w:r>
        <w:t xml:space="preserve"> </w:t>
      </w:r>
      <w:r>
        <w:rPr>
          <w:b/>
          <w:bCs/>
        </w:rPr>
        <w:t xml:space="preserve">moderata</w:t>
      </w:r>
      <w:r>
        <w:t xml:space="preserve">, e dichiara gli effetti</w:t>
      </w:r>
      <w:r>
        <w:t xml:space="preserve"> </w:t>
      </w:r>
      <w:r>
        <w:rPr>
          <w:b/>
          <w:bCs/>
        </w:rPr>
        <w:t xml:space="preserve">limitati all’immediato e al breve termine</w:t>
      </w:r>
      <w:r>
        <w:t xml:space="preserve"> </w:t>
      </w:r>
      <w:r>
        <w:t xml:space="preserve">(Martínez-Pozas,</w:t>
      </w:r>
      <w:r>
        <w:t xml:space="preserve"> </w:t>
      </w:r>
      <w:r>
        <w:rPr>
          <w:i/>
          <w:iCs/>
        </w:rPr>
        <w:t xml:space="preserve">Am J Phys Med Rehabil</w:t>
      </w:r>
      <w:r>
        <w:t xml:space="preserve"> </w:t>
      </w:r>
      <w:r>
        <w:t xml:space="preserve">2023, PMID 36917046).</w:t>
      </w:r>
      <w:r>
        <w:t xml:space="preserve"> </w:t>
      </w:r>
      <w:r>
        <w:rPr>
          <w:b/>
          <w:bCs/>
        </w:rPr>
        <w:t xml:space="preserve">Misurato su pazienti con dolore muscolo-scheletrico cronico, non su pazienti con questa cefalea — e su finestre immediate e a breve termine, non sulle settimane su cui questa Bibbia misura il proprio esito.</w:t>
      </w:r>
      <w:r>
        <w:t xml:space="preserve"> </w:t>
      </w:r>
      <w:r>
        <w:rPr>
          <w:b/>
          <w:bCs/>
        </w:rPr>
        <w:t xml:space="preserve">Per te:</w:t>
      </w:r>
      <w:r>
        <w:t xml:space="preserve"> </w:t>
      </w:r>
      <w:r>
        <w:t xml:space="preserve">alza l’etichetta del</w:t>
      </w:r>
      <w:r>
        <w:t xml:space="preserve"> </w:t>
      </w:r>
      <w:r>
        <w:rPr>
          <w:b/>
          <w:bCs/>
        </w:rPr>
        <w:t xml:space="preserve">meccanismo</w:t>
      </w:r>
      <w:r>
        <w:t xml:space="preserve">, non quella della leva su questa condizione. Un indice fisiologico non è un esito clinico.</w:t>
      </w:r>
    </w:p>
    <w:p>
      <w:pPr>
        <w:pStyle w:val="BodyText"/>
      </w:pPr>
      <w:r>
        <w:rPr>
          <w:b/>
          <w:bCs/>
        </w:rPr>
        <w:t xml:space="preserve">Cerchio 3 — la fisiologia.</w:t>
      </w:r>
      <w:r>
        <w:t xml:space="preserve"> </w:t>
      </w:r>
      <w:r>
        <w:t xml:space="preserve">Tre cose sono dimostrate. La convergenza fra afferenze trigeminali e cervicali sugli stessi neuroni di secondo ordine è dimostrata direttamente nel ratto, in entrambe le direzioni. E l’afferenza dei muscoli suboccipitali facilita più a lungo di quella cutanea (Bartsch &amp; Goadsby,</w:t>
      </w:r>
      <w:r>
        <w:t xml:space="preserve"> </w:t>
      </w:r>
      <w:r>
        <w:rPr>
          <w:i/>
          <w:iCs/>
        </w:rPr>
        <w:t xml:space="preserve">Brain</w:t>
      </w:r>
      <w:r>
        <w:t xml:space="preserve"> </w:t>
      </w:r>
      <w:r>
        <w:t xml:space="preserve">2002, PMID 12077000;</w:t>
      </w:r>
      <w:r>
        <w:t xml:space="preserve"> </w:t>
      </w:r>
      <w:r>
        <w:rPr>
          <w:i/>
          <w:iCs/>
        </w:rPr>
        <w:t xml:space="preserve">Brain</w:t>
      </w:r>
      <w:r>
        <w:t xml:space="preserve"> </w:t>
      </w:r>
      <w:r>
        <w:t xml:space="preserve">2003, PMID 12821523). Nel tensivo cronico il freno discendente è invertito, non solo carente (Sandrini,</w:t>
      </w:r>
      <w:r>
        <w:t xml:space="preserve"> </w:t>
      </w:r>
      <w:r>
        <w:rPr>
          <w:i/>
          <w:iCs/>
        </w:rPr>
        <w:t xml:space="preserve">Cephalalgia</w:t>
      </w:r>
      <w:r>
        <w:t xml:space="preserve"> </w:t>
      </w:r>
      <w:r>
        <w:t xml:space="preserve">2006, PMID 16776692). La durezza del trapezio è misurabile e modificabile — da un farmaco per via endovenosa (Ashina M,</w:t>
      </w:r>
      <w:r>
        <w:t xml:space="preserve"> </w:t>
      </w:r>
      <w:r>
        <w:rPr>
          <w:i/>
          <w:iCs/>
        </w:rPr>
        <w:t xml:space="preserve">Brain</w:t>
      </w:r>
      <w:r>
        <w:t xml:space="preserve"> </w:t>
      </w:r>
      <w:r>
        <w:t xml:space="preserve">1999, PMID 10468503). Nessuna delle tre dice che una tecnica funzioni: dicono che il razionale è anatomicamente sensato.</w:t>
      </w:r>
    </w:p>
    <w:bookmarkEnd w:id="67"/>
    <w:bookmarkStart w:id="68" w:name="cosa-possiamo-dire-e-cosa-no"/>
    <w:p>
      <w:pPr>
        <w:pStyle w:val="Heading3"/>
      </w:pPr>
      <w:r>
        <w:t xml:space="preserve">Cosa possiamo dire e cosa no</w:t>
      </w:r>
    </w:p>
    <w:p>
      <w:pPr>
        <w:pStyle w:val="FirstParagraph"/>
      </w:pPr>
      <w:r>
        <w:rPr>
          <w:b/>
          <w:bCs/>
        </w:rPr>
        <w:t xml:space="preserve">Possiamo dire</w:t>
      </w:r>
      <w:r>
        <w:t xml:space="preserve"> </w:t>
      </w:r>
      <w:r>
        <w:t xml:space="preserve">cinque cose. Che il dolore pericranico alla palpazione è correlato alla frequenza di questa cefalea nella popolazione generale. Che nella forma cronica il freno discendente è invertito. Che il lavoro sui tessuti molli e sui punti attivi ha mostrato effetti su frequenza e intensità, con prove da basse a molto basse. Che l’esercizio contro resistenza ha ridotto frequenza e intensità in centinaia di randomizzati,</w:t>
      </w:r>
      <w:r>
        <w:t xml:space="preserve"> </w:t>
      </w:r>
      <w:r>
        <w:rPr>
          <w:b/>
          <w:bCs/>
        </w:rPr>
        <w:t xml:space="preserve">in gran parte lavoratori e non pazienti con diagnosi formale</w:t>
      </w:r>
      <w:r>
        <w:t xml:space="preserve">. E che nessun evento avverso grave è stato riportato negli studi delle raccomandazioni danesi.</w:t>
      </w:r>
    </w:p>
    <w:p>
      <w:pPr>
        <w:pStyle w:val="BodyText"/>
      </w:pPr>
      <w:r>
        <w:rPr>
          <w:b/>
          <w:bCs/>
        </w:rPr>
        <w:t xml:space="preserve">Non possiamo dire:</w:t>
      </w:r>
    </w:p>
    <w:p>
      <w:pPr>
        <w:pStyle w:val="Compact"/>
        <w:numPr>
          <w:ilvl w:val="0"/>
          <w:numId w:val="1028"/>
        </w:numPr>
      </w:pPr>
      <w:r>
        <w:t xml:space="preserve">Che la terapia manuale</w:t>
      </w:r>
      <w:r>
        <w:t xml:space="preserve"> </w:t>
      </w:r>
      <w:r>
        <w:rPr>
          <w:b/>
          <w:bCs/>
        </w:rPr>
        <w:t xml:space="preserve">prevenga</w:t>
      </w:r>
      <w:r>
        <w:t xml:space="preserve"> </w:t>
      </w:r>
      <w:r>
        <w:t xml:space="preserve">questa cefalea: non è mai stato dimostrato.</w:t>
      </w:r>
    </w:p>
    <w:p>
      <w:pPr>
        <w:pStyle w:val="Compact"/>
        <w:numPr>
          <w:ilvl w:val="0"/>
          <w:numId w:val="1028"/>
        </w:numPr>
      </w:pPr>
      <w:r>
        <w:t xml:space="preserve">Che le tecniche ad</w:t>
      </w:r>
      <w:r>
        <w:t xml:space="preserve"> </w:t>
      </w:r>
      <w:r>
        <w:rPr>
          <w:b/>
          <w:bCs/>
        </w:rPr>
        <w:t xml:space="preserve">alta velocità</w:t>
      </w:r>
      <w:r>
        <w:t xml:space="preserve"> </w:t>
      </w:r>
      <w:r>
        <w:t xml:space="preserve">sul collo riducano l’intensità: dove sono state misurate, non l’hanno fatto.</w:t>
      </w:r>
    </w:p>
    <w:p>
      <w:pPr>
        <w:pStyle w:val="Compact"/>
        <w:numPr>
          <w:ilvl w:val="0"/>
          <w:numId w:val="1028"/>
        </w:numPr>
      </w:pPr>
      <w:r>
        <w:t xml:space="preserve">Che l’effetto misurato sia</w:t>
      </w:r>
      <w:r>
        <w:t xml:space="preserve"> </w:t>
      </w:r>
      <w:r>
        <w:rPr>
          <w:b/>
          <w:bCs/>
        </w:rPr>
        <w:t xml:space="preserve">della tecnica</w:t>
      </w:r>
      <w:r>
        <w:t xml:space="preserve">. Nessuna sintesi ha confrontato la terapia manuale con un placebo manuale credibile, e i confronti contro nessun trattamento misurano anche tutto ciò che non è la tecnica.</w:t>
      </w:r>
    </w:p>
    <w:p>
      <w:pPr>
        <w:pStyle w:val="Compact"/>
        <w:numPr>
          <w:ilvl w:val="0"/>
          <w:numId w:val="1028"/>
        </w:numPr>
      </w:pPr>
      <w:r>
        <w:t xml:space="preserve">Che il trattamento manuale regoli il sistema nervoso autonomo verso la</w:t>
      </w:r>
      <w:r>
        <w:t xml:space="preserve"> </w:t>
      </w:r>
      <w:r>
        <w:rPr>
          <w:b/>
          <w:bCs/>
        </w:rPr>
        <w:t xml:space="preserve">calma</w:t>
      </w:r>
      <w:r>
        <w:t xml:space="preserve">: la direzione misurata era opposta.</w:t>
      </w:r>
    </w:p>
    <w:p>
      <w:pPr>
        <w:pStyle w:val="Compact"/>
        <w:numPr>
          <w:ilvl w:val="0"/>
          <w:numId w:val="1028"/>
        </w:numPr>
      </w:pPr>
      <w:r>
        <w:t xml:space="preserve">Che</w:t>
      </w:r>
      <w:r>
        <w:t xml:space="preserve"> </w:t>
      </w:r>
      <w:r>
        <w:rPr>
          <w:b/>
          <w:bCs/>
        </w:rPr>
        <w:t xml:space="preserve">postura</w:t>
      </w:r>
      <w:r>
        <w:t xml:space="preserve"> </w:t>
      </w:r>
      <w:r>
        <w:t xml:space="preserve">o mobilità cervicale spieghino la gravità del quadro: dove misurate qui, non correlavano con niente.</w:t>
      </w:r>
    </w:p>
    <w:p>
      <w:pPr>
        <w:pStyle w:val="Compact"/>
        <w:numPr>
          <w:ilvl w:val="0"/>
          <w:numId w:val="1028"/>
        </w:numPr>
      </w:pPr>
      <w:r>
        <w:t xml:space="preserve">Che il nostro lavoro</w:t>
      </w:r>
      <w:r>
        <w:t xml:space="preserve"> </w:t>
      </w:r>
      <w:r>
        <w:rPr>
          <w:b/>
          <w:bCs/>
        </w:rPr>
        <w:t xml:space="preserve">sostituisca la profilassi</w:t>
      </w:r>
      <w:r>
        <w:t xml:space="preserve">, che ha prove di qualità superiore.</w:t>
      </w:r>
    </w:p>
    <w:p>
      <w:pPr>
        <w:pStyle w:val="Compact"/>
        <w:numPr>
          <w:ilvl w:val="0"/>
          <w:numId w:val="1028"/>
        </w:numPr>
      </w:pPr>
      <w:r>
        <w:t xml:space="preserve">Che il tuo tocco</w:t>
      </w:r>
      <w:r>
        <w:t xml:space="preserve"> </w:t>
      </w:r>
      <w:r>
        <w:rPr>
          <w:b/>
          <w:bCs/>
        </w:rPr>
        <w:t xml:space="preserve">inverta la sensibilizzazione</w:t>
      </w:r>
      <w:r>
        <w:t xml:space="preserve"> </w:t>
      </w:r>
      <w:r>
        <w:t xml:space="preserve">o sposti il freno discendente: nessuno l’ha misurato</w:t>
      </w:r>
      <w:r>
        <w:t xml:space="preserve"> </w:t>
      </w:r>
      <w:r>
        <w:rPr>
          <w:b/>
          <w:bCs/>
        </w:rPr>
        <w:t xml:space="preserve">qui</w:t>
      </w:r>
      <w:r>
        <w:t xml:space="preserve">. Fuori da questa condizione l’effetto misurato è piccolo, e limitato all’immediato e al breve termine.</w:t>
      </w:r>
    </w:p>
    <w:p>
      <w:pPr>
        <w:pStyle w:val="Compact"/>
        <w:numPr>
          <w:ilvl w:val="0"/>
          <w:numId w:val="1028"/>
        </w:numPr>
      </w:pPr>
      <w:r>
        <w:t xml:space="preserve">Che il beneficio sulla frequenza sia</w:t>
      </w:r>
      <w:r>
        <w:t xml:space="preserve"> </w:t>
      </w:r>
      <w:r>
        <w:rPr>
          <w:b/>
          <w:bCs/>
        </w:rPr>
        <w:t xml:space="preserve">del massaggio</w:t>
      </w:r>
      <w:r>
        <w:t xml:space="preserve">: dove è stato confrontato con un placebo, il placebo ha fatto lo stesso (Moraska, PMID 25329141). Quello che ha separato i gruppi è il cambiamento percepito dal paziente.</w:t>
      </w:r>
    </w:p>
    <w:p>
      <w:pPr>
        <w:pStyle w:val="Compact"/>
        <w:numPr>
          <w:ilvl w:val="0"/>
          <w:numId w:val="1028"/>
        </w:numPr>
      </w:pPr>
      <w:r>
        <w:t xml:space="preserve">Che il rinforzo funzioni</w:t>
      </w:r>
      <w:r>
        <w:t xml:space="preserve"> </w:t>
      </w:r>
      <w:r>
        <w:rPr>
          <w:b/>
          <w:bCs/>
        </w:rPr>
        <w:t xml:space="preserve">perché</w:t>
      </w:r>
      <w:r>
        <w:t xml:space="preserve"> </w:t>
      </w:r>
      <w:r>
        <w:t xml:space="preserve">produce ipoalgesia. Dove l’ipoalgesia da esercizio è stata misurata, il carico dinamico contro resistenza ne produce poca nei sani (g = −0,45; IC 95% −0,69 a −0,22), e l’isometrico nessuna nel dolore muscolo-scheletrico cronico (g = −0,41; IC 95% −1,08 a 0,25, che attraversa lo zero) (Wewege,</w:t>
      </w:r>
      <w:r>
        <w:t xml:space="preserve"> </w:t>
      </w:r>
      <w:r>
        <w:rPr>
          <w:i/>
          <w:iCs/>
        </w:rPr>
        <w:t xml:space="preserve">J Pain</w:t>
      </w:r>
      <w:r>
        <w:t xml:space="preserve"> </w:t>
      </w:r>
      <w:r>
        <w:t xml:space="preserve">2021, PMID 32599154).</w:t>
      </w:r>
      <w:r>
        <w:t xml:space="preserve"> </w:t>
      </w:r>
      <w:r>
        <w:rPr>
          <w:b/>
          <w:bCs/>
        </w:rPr>
        <w:t xml:space="preserve">Misurato su volontari sani e su dolore muscolo-scheletrico cronico, non su pazienti con questa cefalea.</w:t>
      </w:r>
      <w:r>
        <w:t xml:space="preserve"> </w:t>
      </w:r>
      <w:r>
        <w:t xml:space="preserve">Uno dei mediatori candidati è stato cercato altrove, e non regge.</w:t>
      </w:r>
    </w:p>
    <w:p>
      <w:pPr>
        <w:pStyle w:val="Compact"/>
        <w:numPr>
          <w:ilvl w:val="0"/>
          <w:numId w:val="1028"/>
        </w:numPr>
      </w:pPr>
      <w:r>
        <w:t xml:space="preserve">Che il nostro lavoro sia</w:t>
      </w:r>
      <w:r>
        <w:t xml:space="preserve"> </w:t>
      </w:r>
      <w:r>
        <w:rPr>
          <w:b/>
          <w:bCs/>
        </w:rPr>
        <w:t xml:space="preserve">sicuro</w:t>
      </w:r>
      <w:r>
        <w:t xml:space="preserve"> </w:t>
      </w:r>
      <w:r>
        <w:t xml:space="preserve">nel senso forte. Tredici studi piccoli non rilevano un evento raro, e il 58% degli studi di terapia manuale cervicale non riporta gli eventi avversi (Carlesso,</w:t>
      </w:r>
      <w:r>
        <w:t xml:space="preserve"> </w:t>
      </w:r>
      <w:r>
        <w:rPr>
          <w:i/>
          <w:iCs/>
        </w:rPr>
        <w:t xml:space="preserve">Man Ther</w:t>
      </w:r>
      <w:r>
        <w:t xml:space="preserve"> </w:t>
      </w:r>
      <w:r>
        <w:t xml:space="preserve">2010, PMID 20227325). Sull’evento raro il dato non c’è, e l’assenza del dato non è un dato.</w:t>
      </w:r>
    </w:p>
    <w:bookmarkEnd w:id="68"/>
    <w:bookmarkStart w:id="69" w:name="quando-la-scienza-tace"/>
    <w:p>
      <w:pPr>
        <w:pStyle w:val="Heading3"/>
      </w:pPr>
      <w:r>
        <w:t xml:space="preserve">Quando la scienza tace</w:t>
      </w:r>
    </w:p>
    <w:p>
      <w:pPr>
        <w:pStyle w:val="FirstParagraph"/>
      </w:pPr>
      <w:r>
        <w:t xml:space="preserve">Il cerchio 1 non è vuoto: è</w:t>
      </w:r>
      <w:r>
        <w:t xml:space="preserve"> </w:t>
      </w:r>
      <w:r>
        <w:rPr>
          <w:b/>
          <w:bCs/>
        </w:rPr>
        <w:t xml:space="preserve">debole</w:t>
      </w:r>
      <w:r>
        <w:t xml:space="preserve">. Quindici studi randomizzati esistono, e la certezza delle prove è bassa o molto bassa in ogni sintesi formale. Va detto per intero, perché un lettore che si ferma a</w:t>
      </w:r>
      <w:r>
        <w:t xml:space="preserve"> </w:t>
      </w:r>
      <w:r>
        <w:t xml:space="preserve">“prove basse”</w:t>
      </w:r>
      <w:r>
        <w:t xml:space="preserve"> </w:t>
      </w:r>
      <w:r>
        <w:t xml:space="preserve">conclude, sbagliando, che allora non si tratta.</w:t>
      </w:r>
    </w:p>
    <w:p>
      <w:pPr>
        <w:pStyle w:val="BodyText"/>
      </w:pPr>
      <w:r>
        <w:rPr>
          <w:b/>
          <w:bCs/>
        </w:rPr>
        <w:t xml:space="preserve">Primo. Assenza di prove non è prova di assenza.</w:t>
      </w:r>
      <w:r>
        <w:t xml:space="preserve"> </w:t>
      </w:r>
      <w:r>
        <w:t xml:space="preserve">Prove di bassa qualità non sono prove contrarie: dicono che la misura è stata fatta male, o su troppo pochi. Le eccezioni qui sono due, e non sono incertezza: sono un dato. La prima sono le tecniche ad alta velocità, dove il risultato misurato è vicino a zero. La seconda è il confronto contro placebo del lavoro sui punti trigger: il massaggio ha ridotto la frequenza, il placebo pure, e fra i due non si è vista differenza.</w:t>
      </w:r>
    </w:p>
    <w:p>
      <w:pPr>
        <w:pStyle w:val="BodyText"/>
      </w:pPr>
      <w:r>
        <w:rPr>
          <w:b/>
          <w:bCs/>
        </w:rPr>
        <w:t xml:space="preserve">Secondo. Perché quella letteratura è sottile.</w:t>
      </w:r>
      <w:r>
        <w:t xml:space="preserve"> </w:t>
      </w:r>
      <w:r>
        <w:t xml:space="preserve">Non perché gli studi siano risultati negativi. È perché la condizione è la più prevalente del mondo e la meno finanziata: dai primi anni Duemila si sono fatti pochi progressi, per mancanza di attenzione e risorse (Ashina S, PMID 33767185). Ci sono poi i problemi di sempre in terapia manuale: campioni piccoli, esiti non standardizzati, e un placebo per il tocco difficile da costruire —</w:t>
      </w:r>
      <w:r>
        <w:t xml:space="preserve"> </w:t>
      </w:r>
      <w:r>
        <w:rPr>
          <w:b/>
          <w:bCs/>
        </w:rPr>
        <w:t xml:space="preserve">difficile, non impossibile</w:t>
      </w:r>
      <w:r>
        <w:t xml:space="preserve">. Qui è stato fatto una volta, con un ultrasuono disattivato, e il risultato è quello che sta in «Cosa non possiamo dire».</w:t>
      </w:r>
    </w:p>
    <w:p>
      <w:pPr>
        <w:pStyle w:val="BodyText"/>
      </w:pPr>
      <w:r>
        <w:rPr>
          <w:b/>
          <w:bCs/>
        </w:rPr>
        <w:t xml:space="preserve">Terzo. Su cosa ti basi, allora.</w:t>
      </w:r>
      <w:r>
        <w:t xml:space="preserve"> </w:t>
      </w:r>
      <w:r>
        <w:t xml:space="preserve">Su tre cose. Sul</w:t>
      </w:r>
      <w:r>
        <w:t xml:space="preserve"> </w:t>
      </w:r>
      <w:r>
        <w:rPr>
          <w:b/>
          <w:bCs/>
        </w:rPr>
        <w:t xml:space="preserve">meccanismo</w:t>
      </w:r>
      <w:r>
        <w:t xml:space="preserve">, qui più solido della terapia.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un marker scelto prima, misurato prima e dopo, con una soglia dichiarata prima.</w:t>
      </w:r>
    </w:p>
    <w:p>
      <w:pPr>
        <w:pStyle w:val="BodyText"/>
      </w:pPr>
      <w:r>
        <w:rPr>
          <w:b/>
          <w:bCs/>
        </w:rPr>
        <w:t xml:space="preserve">Quarto. Cosa separa questo dal pensiero magico.</w:t>
      </w:r>
      <w:r>
        <w:t xml:space="preserve"> </w:t>
      </w:r>
      <w:r>
        <w:t xml:space="preserve">La verifica, e solo quella. Sceglierla prima di trattare e accettarne il risultato anche quando dice di no è scienza applicata a un caso singolo. Sceglierla dopo aver visto il paziente stare meglio, no.</w:t>
      </w:r>
    </w:p>
    <w:p>
      <w:pPr>
        <w:pStyle w:val="BodyText"/>
      </w:pPr>
      <w:r>
        <w:rPr>
          <w:b/>
          <w:bCs/>
        </w:rPr>
        <w:t xml:space="preserve">Quinto. A cosa non autorizza.</w:t>
      </w:r>
      <w:r>
        <w:t xml:space="preserve"> </w:t>
      </w:r>
      <w:r>
        <w:t xml:space="preserve">Non a promettere un esito. Non a scrivere DIMOSTRATO dove c’è IPOTESI. Non a dire che</w:t>
      </w:r>
      <w:r>
        <w:t xml:space="preserve"> </w:t>
      </w:r>
      <w:r>
        <w:t xml:space="preserve">“gli studi lo confermano”</w:t>
      </w:r>
      <w:r>
        <w:t xml:space="preserve"> </w:t>
      </w:r>
      <w:r>
        <w:t xml:space="preserve">quando gli studi dicono</w:t>
      </w:r>
      <w:r>
        <w:t xml:space="preserve"> </w:t>
      </w:r>
      <w:r>
        <w:t xml:space="preserve">“qualità molto bassa”</w:t>
      </w:r>
      <w:r>
        <w:t xml:space="preserve">.</w:t>
      </w:r>
    </w:p>
    <w:p>
      <w:pPr>
        <w:pStyle w:val="BodyText"/>
      </w:pPr>
      <w:r>
        <w:rPr>
          <w:b/>
          <w:bCs/>
        </w:rPr>
        <w:t xml:space="preserve">Le tre cose da ricordare, più una</w:t>
      </w:r>
    </w:p>
    <w:p>
      <w:pPr>
        <w:pStyle w:val="Compact"/>
        <w:numPr>
          <w:ilvl w:val="0"/>
          <w:numId w:val="1029"/>
        </w:numPr>
      </w:pPr>
      <w:r>
        <w:t xml:space="preserve">La separazione fra tessuto molle e alta velocità vale più della media: è il dato più utile del capitolo. E dove il tessuto molle è stato confrontato con un placebo, il placebo ha fatto lo stesso sulla frequenza.</w:t>
      </w:r>
    </w:p>
    <w:p>
      <w:pPr>
        <w:pStyle w:val="Compact"/>
        <w:numPr>
          <w:ilvl w:val="0"/>
          <w:numId w:val="1029"/>
        </w:numPr>
      </w:pPr>
      <w:r>
        <w:t xml:space="preserve">3,5 giorni al mese in meno con prove molto basse, contro 4,8 con prove alte. Sai dire entrambi, in quest’ordine.</w:t>
      </w:r>
    </w:p>
    <w:p>
      <w:pPr>
        <w:pStyle w:val="Compact"/>
        <w:numPr>
          <w:ilvl w:val="0"/>
          <w:numId w:val="1029"/>
        </w:numPr>
      </w:pPr>
      <w:r>
        <w:t xml:space="preserve">La fisiologia di questa condizione è più solida della sua terapia: è una posizione, non una debolezza.</w:t>
      </w:r>
    </w:p>
    <w:p>
      <w:pPr>
        <w:pStyle w:val="Compact"/>
        <w:numPr>
          <w:ilvl w:val="0"/>
          <w:numId w:val="1029"/>
        </w:numPr>
      </w:pPr>
      <w:r>
        <w:rPr>
          <w:b/>
          <w:bCs/>
        </w:rPr>
        <w:t xml:space="preserve">Perché ci sei tu.</w:t>
      </w:r>
      <w:r>
        <w:t xml:space="preserve"> </w:t>
      </w:r>
      <w:r>
        <w:t xml:space="preserve">Nelle sintesi che hanno misurato le tecniche separatamente, le manipolazioni ad alta velocità non sono risultate superiori a nessun trattamento sull’intensità del dolore, con differenza standardizzata di 0,01 (Kamonseki,</w:t>
      </w:r>
      <w:r>
        <w:t xml:space="preserve"> </w:t>
      </w:r>
      <w:r>
        <w:rPr>
          <w:i/>
          <w:iCs/>
        </w:rPr>
        <w:t xml:space="preserve">Disabil Rehabil</w:t>
      </w:r>
      <w:r>
        <w:t xml:space="preserve"> </w:t>
      </w:r>
      <w:r>
        <w:t xml:space="preserve">2022, PMID 32924640). Ti autorizza a costruire il tuo lavoro sul tessuto e sui punti che riproducono il quadro, dove il dato esiste. Non ti autorizza a presentare la manipolazione cervicale come il tuo strumento su questa condizione.</w:t>
      </w:r>
    </w:p>
    <w:p>
      <w:r>
        <w:pict>
          <v:rect style="width:0;height:1.5pt" o:hralign="center" o:hrstd="t" o:hr="t"/>
        </w:pict>
      </w:r>
    </w:p>
    <w:bookmarkEnd w:id="69"/>
    <w:bookmarkEnd w:id="70"/>
    <w:bookmarkStart w:id="7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ogni meccanismo ha una leva, quattro su sei sono manuali, e la più forte non lo è.</w:t>
      </w:r>
    </w:p>
    <w:bookmarkStart w:id="71" w:name="sullingresso-che-non-si-chiude"/>
    <w:p>
      <w:pPr>
        <w:pStyle w:val="Heading3"/>
      </w:pPr>
      <w:r>
        <w:t xml:space="preserve">Sull’ingresso che non si chiude</w:t>
      </w:r>
    </w:p>
    <w:p>
      <w:pPr>
        <w:pStyle w:val="FirstParagraph"/>
      </w:pPr>
      <w:r>
        <w:t xml:space="preserve">La mano agisce sui tessuti molli pericranici e cervicali dolenti: trapezio superiore, suboccipitali, temporale, sternocleidomastoideo, scaleni. E agisce sui punti il cui dolore riferito il paziente riconosce come proprio.</w:t>
      </w:r>
      <w:r>
        <w:t xml:space="preserve"> </w:t>
      </w:r>
      <w:r>
        <w:rPr>
          <w:b/>
          <w:bCs/>
        </w:rPr>
        <w:t xml:space="preserve">L’effetto atteso</w:t>
      </w:r>
      <w:r>
        <w:t xml:space="preserve"> </w:t>
      </w:r>
      <w:r>
        <w:t xml:space="preserve">è meno segnale in ingresso al complesso trigemino-cervicale, quindi meno somma a fine giornata. È un effetto sul sistema, non</w:t>
      </w:r>
      <w:r>
        <w:t xml:space="preserve"> </w:t>
      </w:r>
      <w:r>
        <w:t xml:space="preserve">“il muscolo sciolto”</w:t>
      </w:r>
      <w:r>
        <w:t xml:space="preserve">.</w:t>
      </w:r>
    </w:p>
    <w:p>
      <w:pPr>
        <w:pStyle w:val="BlockText"/>
      </w:pPr>
      <w:r>
        <w:rPr>
          <w:b/>
          <w:bCs/>
        </w:rPr>
        <w:t xml:space="preserve">Quanto è solido:</w:t>
      </w:r>
      <w:r>
        <w:t xml:space="preserve"> </w:t>
      </w:r>
      <w:r>
        <w:t xml:space="preserve">l’etichetta si spezza, in due pezzi.</w:t>
      </w:r>
      <w:r>
        <w:t xml:space="preserve"> </w:t>
      </w:r>
      <w:r>
        <w:rPr>
          <w:b/>
          <w:bCs/>
        </w:rPr>
        <w:t xml:space="preserve">PROBABILE</w:t>
      </w:r>
      <w:r>
        <w:t xml:space="preserve"> </w:t>
      </w:r>
      <w:r>
        <w:rPr>
          <w:i/>
          <w:iCs/>
        </w:rPr>
        <w:t xml:space="preserve">(razionale forte, prove parziali)</w:t>
      </w:r>
      <w:r>
        <w:t xml:space="preserve"> </w:t>
      </w:r>
      <w:r>
        <w:rPr>
          <w:b/>
          <w:bCs/>
        </w:rPr>
        <w:t xml:space="preserve">sull’esito clinico.</w:t>
      </w:r>
      <w:r>
        <w:t xml:space="preserve"> </w:t>
      </w:r>
      <w:r>
        <w:t xml:space="preserve">Le tecniche sui tessuti molli sono risultate superiori a nessun trattamento su intensità e frequenza, con prove</w:t>
      </w:r>
      <w:r>
        <w:t xml:space="preserve"> </w:t>
      </w:r>
      <w:r>
        <w:rPr>
          <w:b/>
          <w:bCs/>
        </w:rPr>
        <w:t xml:space="preserve">basse</w:t>
      </w:r>
      <w:r>
        <w:t xml:space="preserve">, su quindici studi e 1.131 pazienti (Kamonseki,</w:t>
      </w:r>
      <w:r>
        <w:t xml:space="preserve"> </w:t>
      </w:r>
      <w:r>
        <w:rPr>
          <w:i/>
          <w:iCs/>
        </w:rPr>
        <w:t xml:space="preserve">Disabil Rehabil</w:t>
      </w:r>
      <w:r>
        <w:t xml:space="preserve"> </w:t>
      </w:r>
      <w:r>
        <w:t xml:space="preserve">2022, PMID 32924640). Il trattamento dei punti attivi ha ridotto la frequenza di 3,5 attacchi al mese, con qualità</w:t>
      </w:r>
      <w:r>
        <w:t xml:space="preserve"> </w:t>
      </w:r>
      <w:r>
        <w:rPr>
          <w:b/>
          <w:bCs/>
        </w:rPr>
        <w:t xml:space="preserve">molto bassa</w:t>
      </w:r>
      <w:r>
        <w:t xml:space="preserve"> </w:t>
      </w:r>
      <w:r>
        <w:t xml:space="preserve">(Falsiroli Maistrello,</w:t>
      </w:r>
      <w:r>
        <w:t xml:space="preserve"> </w:t>
      </w:r>
      <w:r>
        <w:rPr>
          <w:i/>
          <w:iCs/>
        </w:rPr>
        <w:t xml:space="preserve">Front Neurol</w:t>
      </w:r>
      <w:r>
        <w:t xml:space="preserve"> </w:t>
      </w:r>
      <w:r>
        <w:t xml:space="preserve">2018, PMID 29740386).</w:t>
      </w:r>
      <w:r>
        <w:t xml:space="preserve"> </w:t>
      </w:r>
      <w:r>
        <w:rPr>
          <w:b/>
          <w:bCs/>
        </w:rPr>
        <w:t xml:space="preserve">Con il contrappeso nella stessa riga:</w:t>
      </w:r>
      <w:r>
        <w:t xml:space="preserve"> </w:t>
      </w:r>
      <w:r>
        <w:t xml:space="preserve">dove il confronto è stato fatto contro un placebo, il placebo ha ridotto la frequenza quanto il massaggio, e a separare i gruppi è stato il cambiamento percepito dal paziente (Moraska, PMID 25329141).</w:t>
      </w:r>
      <w:r>
        <w:t xml:space="preserve"> </w:t>
      </w:r>
      <w:r>
        <w:rPr>
          <w:b/>
          <w:bCs/>
        </w:rPr>
        <w:t xml:space="preserve">PROBABILE</w:t>
      </w:r>
      <w:r>
        <w:t xml:space="preserve"> </w:t>
      </w:r>
      <w:r>
        <w:rPr>
          <w:i/>
          <w:iCs/>
        </w:rPr>
        <w:t xml:space="preserve">(razionale forte, prove parziali)</w:t>
      </w:r>
      <w:r>
        <w:t xml:space="preserve"> </w:t>
      </w:r>
      <w:r>
        <w:rPr>
          <w:b/>
          <w:bCs/>
        </w:rPr>
        <w:t xml:space="preserve">sul meccanismo.</w:t>
      </w:r>
      <w:r>
        <w:t xml:space="preserve"> </w:t>
      </w:r>
      <w:r>
        <w:t xml:space="preserve">Nessuno ha misurato il flusso afferente prima e dopo un trattamento manuale qui, ma la sensibilità del tessuto trattato sì. Sessantadue pazienti con questa cefalea sono stati randomizzati a dodici sedute di rilascio dei punti trigger, a ultrasuono disattivato o a lista d’attesa. La soglia di pressione ai punti trigger di</w:t>
      </w:r>
      <w:r>
        <w:t xml:space="preserve"> </w:t>
      </w:r>
      <w:r>
        <w:rPr>
          <w:b/>
          <w:bCs/>
        </w:rPr>
        <w:t xml:space="preserve">suboccipitali e trapezio superiore</w:t>
      </w:r>
      <w:r>
        <w:t xml:space="preserve"> </w:t>
      </w:r>
      <w:r>
        <w:t xml:space="preserve">è salita</w:t>
      </w:r>
      <w:r>
        <w:t xml:space="preserve"> </w:t>
      </w:r>
      <w:r>
        <w:rPr>
          <w:b/>
          <w:bCs/>
        </w:rPr>
        <w:t xml:space="preserve">solo</w:t>
      </w:r>
      <w:r>
        <w:t xml:space="preserve"> </w:t>
      </w:r>
      <w:r>
        <w:t xml:space="preserve">nel gruppo massaggio (p&lt;0,0001 sui suboccipitali; p&lt;0,004 sul trapezio superiore). C’era un guadagno immediato alla prima seduta, uno cumulativo mantenuto sopra il basale, e un ulteriore guadagno immediato alla dodicesima (Moraska,</w:t>
      </w:r>
      <w:r>
        <w:t xml:space="preserve"> </w:t>
      </w:r>
      <w:r>
        <w:rPr>
          <w:i/>
          <w:iCs/>
        </w:rPr>
        <w:t xml:space="preserve">Am J Phys Med Rehabil</w:t>
      </w:r>
      <w:r>
        <w:t xml:space="preserve"> </w:t>
      </w:r>
      <w:r>
        <w:t xml:space="preserve">2017, PMID 28248690).</w:t>
      </w:r>
      <w:r>
        <w:t xml:space="preserve"> </w:t>
      </w:r>
      <w:r>
        <w:rPr>
          <w:b/>
          <w:bCs/>
        </w:rPr>
        <w:t xml:space="preserve">La soglia di pressione locale non è il flusso afferente: è la sensibilità del tessuto che hai appena trattato, cioè una misura sul piano trattato — quella che «Come ragiono davanti a questo paziente» chiama misura di effetto immediato del gesto, non prova della chiave di volta.</w:t>
      </w:r>
    </w:p>
    <w:p>
      <w:pPr>
        <w:pStyle w:val="FirstParagraph"/>
      </w:pPr>
      <w:r>
        <w:rPr>
          <w:b/>
          <w:bCs/>
        </w:rPr>
        <w:t xml:space="preserve">In quanto tempo si vedrebbe.</w:t>
      </w:r>
      <w:r>
        <w:t xml:space="preserve"> </w:t>
      </w:r>
      <w:r>
        <w:t xml:space="preserve">Riproduzione e punteggio pericranico si muovono entro la seduta. Ma quella misura dice che</w:t>
      </w:r>
      <w:r>
        <w:t xml:space="preserve"> </w:t>
      </w:r>
      <w:r>
        <w:rPr>
          <w:b/>
          <w:bCs/>
        </w:rPr>
        <w:t xml:space="preserve">il gesto ha prodotto ipoalgesia locale</w:t>
      </w:r>
      <w:r>
        <w:t xml:space="preserve">, non che l’ingresso periferico è calato: la sensibilizzazione delle terminazioni ha un decorso di ore e giorni, e il calo dell’ingresso si vede sui giorni al mese.</w:t>
      </w:r>
    </w:p>
    <w:bookmarkEnd w:id="71"/>
    <w:bookmarkStart w:id="72" w:name="sulla-convergenza-collo-testa"/>
    <w:p>
      <w:pPr>
        <w:pStyle w:val="Heading3"/>
      </w:pPr>
      <w:r>
        <w:t xml:space="preserve">Sulla convergenza collo-testa</w:t>
      </w:r>
    </w:p>
    <w:p>
      <w:pPr>
        <w:pStyle w:val="FirstParagraph"/>
      </w:pPr>
      <w:r>
        <w:t xml:space="preserve">La mano agisce sui tessuti dei segmenti cervicali alti, cioè sull’ingresso che arriva alla stessa stazione da cui parte il dolore in testa.</w:t>
      </w:r>
      <w:r>
        <w:t xml:space="preserve"> </w:t>
      </w:r>
      <w:r>
        <w:rPr>
          <w:b/>
          <w:bCs/>
        </w:rPr>
        <w:t xml:space="preserve">L’effetto atteso</w:t>
      </w:r>
      <w:r>
        <w:t xml:space="preserve"> </w:t>
      </w:r>
      <w:r>
        <w:t xml:space="preserve">è che la pressione sostenuta su C1-C3 smetta di riferire dolore in testa: un cambiamento di categoria, non di intensità.</w:t>
      </w:r>
    </w:p>
    <w:p>
      <w:pPr>
        <w:pStyle w:val="BlockText"/>
      </w:pPr>
      <w:r>
        <w:rPr>
          <w:b/>
          <w:bCs/>
        </w:rPr>
        <w:t xml:space="preserve">Quanto è solido:</w:t>
      </w:r>
      <w:r>
        <w:t xml:space="preserve"> </w:t>
      </w:r>
      <w:r>
        <w:t xml:space="preserve">l’etichetta si spezza, in due pezzi.</w:t>
      </w:r>
      <w:r>
        <w:t xml:space="preserve"> </w:t>
      </w:r>
      <w:r>
        <w:rPr>
          <w:b/>
          <w:bCs/>
        </w:rPr>
        <w:t xml:space="preserve">PROBABILE</w:t>
      </w:r>
      <w:r>
        <w:t xml:space="preserve"> </w:t>
      </w:r>
      <w:r>
        <w:rPr>
          <w:i/>
          <w:iCs/>
        </w:rPr>
        <w:t xml:space="preserve">(razionale forte, prove parziali)</w:t>
      </w:r>
      <w:r>
        <w:t xml:space="preserve"> </w:t>
      </w:r>
      <w:r>
        <w:t xml:space="preserve">per il lavoro sui</w:t>
      </w:r>
      <w:r>
        <w:t xml:space="preserve"> </w:t>
      </w:r>
      <w:r>
        <w:rPr>
          <w:b/>
          <w:bCs/>
        </w:rPr>
        <w:t xml:space="preserve">tessuti molli</w:t>
      </w:r>
      <w:r>
        <w:t xml:space="preserve"> </w:t>
      </w:r>
      <w:r>
        <w:t xml:space="preserve">di quel distretto, il braccio in cui il dato esiste (Kamonseki, PMID 32924640).</w:t>
      </w:r>
      <w:r>
        <w:t xml:space="preserve"> </w:t>
      </w:r>
      <w:r>
        <w:rPr>
          <w:b/>
          <w:bCs/>
        </w:rPr>
        <w:t xml:space="preserve">IPOTESI</w:t>
      </w:r>
      <w:r>
        <w:t xml:space="preserve"> </w:t>
      </w:r>
      <w:r>
        <w:rPr>
          <w:i/>
          <w:iCs/>
        </w:rPr>
        <w:t xml:space="preserve">(meccanismo coerente, nessuno studio)</w:t>
      </w:r>
      <w:r>
        <w:t xml:space="preserve"> </w:t>
      </w:r>
      <w:r>
        <w:t xml:space="preserve">per la</w:t>
      </w:r>
      <w:r>
        <w:t xml:space="preserve"> </w:t>
      </w:r>
      <w:r>
        <w:rPr>
          <w:b/>
          <w:bCs/>
        </w:rPr>
        <w:t xml:space="preserve">componente manipolativa</w:t>
      </w:r>
      <w:r>
        <w:t xml:space="preserve">. L’unico studio umano favorevole è su settantasei pazienti in quattro gruppi. Il braccio combinato — manipolazione occipite-atlante-epistrofeo più inibizione dei tessuti suboccipitali — ha migliorato tutte le dimensioni della disabilità (Espí-López,</w:t>
      </w:r>
      <w:r>
        <w:t xml:space="preserve"> </w:t>
      </w:r>
      <w:r>
        <w:rPr>
          <w:i/>
          <w:iCs/>
        </w:rPr>
        <w:t xml:space="preserve">Eur J Phys Rehabil Med</w:t>
      </w:r>
      <w:r>
        <w:t xml:space="preserve"> </w:t>
      </w:r>
      <w:r>
        <w:t xml:space="preserve">2014, PMID 24785463).</w:t>
      </w:r>
      <w:r>
        <w:t xml:space="preserve"> </w:t>
      </w:r>
      <w:r>
        <w:rPr>
          <w:b/>
          <w:bCs/>
        </w:rPr>
        <w:t xml:space="preserve">Quel segno positivo non riabilita il thrust cervicale:</w:t>
      </w:r>
      <w:r>
        <w:t xml:space="preserve"> </w:t>
      </w:r>
      <w:r>
        <w:t xml:space="preserve">sono circa diciannove pazienti per braccio, e quello studio sta dentro la meta-analisi che sull’alta velocità trova zero. Il razionale fisiologico è dimostrato nell’animale, nella direzione giusta (Bartsch &amp; Goadsby,</w:t>
      </w:r>
      <w:r>
        <w:t xml:space="preserve"> </w:t>
      </w:r>
      <w:r>
        <w:rPr>
          <w:i/>
          <w:iCs/>
        </w:rPr>
        <w:t xml:space="preserve">Brain</w:t>
      </w:r>
      <w:r>
        <w:t xml:space="preserve"> </w:t>
      </w:r>
      <w:r>
        <w:t xml:space="preserve">2002, PMID 12077000).</w:t>
      </w:r>
    </w:p>
    <w:p>
      <w:pPr>
        <w:pStyle w:val="FirstParagraph"/>
      </w:pPr>
      <w:r>
        <w:rPr>
          <w:b/>
          <w:bCs/>
        </w:rPr>
        <w:t xml:space="preserve">In quanto tempo si vedrebbe.</w:t>
      </w:r>
      <w:r>
        <w:t xml:space="preserve"> </w:t>
      </w:r>
      <w:r>
        <w:t xml:space="preserve">Entro la seduta. Ma</w:t>
      </w:r>
      <w:r>
        <w:t xml:space="preserve"> </w:t>
      </w:r>
      <w:r>
        <w:rPr>
          <w:b/>
          <w:bCs/>
        </w:rPr>
        <w:t xml:space="preserve">la convergenza è anatomica e non cambia: cambia lo stato di facilitazione del neurone</w:t>
      </w:r>
      <w:r>
        <w:t xml:space="preserve">, e nell’animale quella facilitazione dura minuti. Il cambiamento di categoria è un effetto immediato, non una riparazione.</w:t>
      </w:r>
    </w:p>
    <w:bookmarkEnd w:id="72"/>
    <w:bookmarkStart w:id="73" w:name="sulla-componente-mandibolare"/>
    <w:p>
      <w:pPr>
        <w:pStyle w:val="Heading3"/>
      </w:pPr>
      <w:r>
        <w:t xml:space="preserve">Sulla componente mandibolare</w:t>
      </w:r>
    </w:p>
    <w:p>
      <w:pPr>
        <w:pStyle w:val="FirstParagraph"/>
      </w:pPr>
      <w:r>
        <w:t xml:space="preserve">La mano agisce</w:t>
      </w:r>
      <w:r>
        <w:t xml:space="preserve"> </w:t>
      </w:r>
      <w:r>
        <w:rPr>
          <w:b/>
          <w:bCs/>
        </w:rPr>
        <w:t xml:space="preserve">dall’esterno</w:t>
      </w:r>
      <w:r>
        <w:t xml:space="preserve"> </w:t>
      </w:r>
      <w:r>
        <w:t xml:space="preserve">su temporale e massetere, l’unico ingresso trigeminale diretto che puoi raggiungere. L’effetto si vede sul punteggio dei due siti mandibolari, entro la seduta.</w:t>
      </w:r>
    </w:p>
    <w:p>
      <w:pPr>
        <w:pStyle w:val="BodyText"/>
      </w:pPr>
      <w:r>
        <w:t xml:space="preserve">La leva che sposta di più però non è la tua: è accorgersi che i denti sono a contatto quando non si mangia, e disinnescarlo. Ed è il serramento</w:t>
      </w:r>
      <w:r>
        <w:t xml:space="preserve"> </w:t>
      </w:r>
      <w:r>
        <w:rPr>
          <w:b/>
          <w:bCs/>
        </w:rPr>
        <w:t xml:space="preserve">da sveglio</w:t>
      </w:r>
      <w:r>
        <w:t xml:space="preserve"> </w:t>
      </w:r>
      <w:r>
        <w:t xml:space="preserve">ad avere l’associazione misurata con questa cefalea, non quello del sonno (Réus, PMID 34129658).</w:t>
      </w:r>
    </w:p>
    <w:p>
      <w:pPr>
        <w:pStyle w:val="BodyText"/>
      </w:pPr>
      <w:r>
        <w:rPr>
          <w:b/>
          <w:bCs/>
        </w:rPr>
        <w:t xml:space="preserve">Quanto è solido: IPOTESI</w:t>
      </w:r>
      <w:r>
        <w:t xml:space="preserve"> </w:t>
      </w:r>
      <w:r>
        <w:rPr>
          <w:i/>
          <w:iCs/>
        </w:rPr>
        <w:t xml:space="preserve">(meccanismo coerente, nessuno studio)</w:t>
      </w:r>
      <w:r>
        <w:t xml:space="preserve">. Nessuno ha isolato il lavoro sui masticatori, e l’appoggio è la prova generale sui tessuti molli (Kamonseki, PMID 32924640).</w:t>
      </w:r>
    </w:p>
    <w:bookmarkEnd w:id="73"/>
    <w:bookmarkStart w:id="74" w:name="sulla-soglia-abbassata"/>
    <w:p>
      <w:pPr>
        <w:pStyle w:val="Heading3"/>
      </w:pPr>
      <w:r>
        <w:t xml:space="preserve">Sulla soglia abbassata</w:t>
      </w:r>
    </w:p>
    <w:p>
      <w:pPr>
        <w:pStyle w:val="FirstParagraph"/>
      </w:pPr>
      <w:r>
        <w:t xml:space="preserve">La mano non agisce direttamente su niente, ed è la riga più importante del capitolo.</w:t>
      </w:r>
      <w:r>
        <w:t xml:space="preserve"> </w:t>
      </w:r>
      <w:r>
        <w:rPr>
          <w:b/>
          <w:bCs/>
        </w:rPr>
        <w:t xml:space="preserve">L’effetto atteso</w:t>
      </w:r>
      <w:r>
        <w:t xml:space="preserve"> </w:t>
      </w:r>
      <w:r>
        <w:t xml:space="preserve">è indiretto: meno ingresso periferico nel tempo, quindi meno alimentazione della sensibilizzazione. Come togliere il piede dall’acceleratore: la macchina non si ferma lì, rallenta dopo. La soglia lontana è il tuo</w:t>
      </w:r>
      <w:r>
        <w:t xml:space="preserve"> </w:t>
      </w:r>
      <w:r>
        <w:rPr>
          <w:b/>
          <w:bCs/>
        </w:rPr>
        <w:t xml:space="preserve">marker</w:t>
      </w:r>
      <w:r>
        <w:t xml:space="preserve">, non il tuo bersaglio.</w:t>
      </w:r>
    </w:p>
    <w:p>
      <w:pPr>
        <w:pStyle w:val="BlockText"/>
      </w:pPr>
      <w:r>
        <w:rPr>
          <w:b/>
          <w:bCs/>
        </w:rPr>
        <w:t xml:space="preserve">Quanto è solido:</w:t>
      </w:r>
      <w:r>
        <w:t xml:space="preserve"> </w:t>
      </w:r>
      <w:r>
        <w:t xml:space="preserve">l’etichetta si spezza, in due pezzi.</w:t>
      </w:r>
      <w:r>
        <w:t xml:space="preserve"> </w:t>
      </w:r>
      <w:r>
        <w:rPr>
          <w:b/>
          <w:bCs/>
        </w:rPr>
        <w:t xml:space="preserve">PROBABILE</w:t>
      </w:r>
      <w:r>
        <w:t xml:space="preserve"> </w:t>
      </w:r>
      <w:r>
        <w:rPr>
          <w:i/>
          <w:iCs/>
        </w:rPr>
        <w:t xml:space="preserve">(razionale forte, prove parziali)</w:t>
      </w:r>
      <w:r>
        <w:t xml:space="preserve"> </w:t>
      </w:r>
      <w:r>
        <w:rPr>
          <w:b/>
          <w:bCs/>
        </w:rPr>
        <w:t xml:space="preserve">sul meccanismo.</w:t>
      </w:r>
      <w:r>
        <w:t xml:space="preserve"> </w:t>
      </w:r>
      <w:r>
        <w:t xml:space="preserve">Che la terapia fisica sposti la modulazione condizionata del dolore è misurato, di poco e per finestre brevi, su dolore muscolo-scheletrico cronico (Arribas-Romano, PMID 32100027; Martínez-Pozas, PMID 36917046) —</w:t>
      </w:r>
      <w:r>
        <w:t xml:space="preserve"> </w:t>
      </w:r>
      <w:r>
        <w:rPr>
          <w:b/>
          <w:bCs/>
        </w:rPr>
        <w:t xml:space="preserve">misurato su pazienti con dolore muscolo-scheletrico cronico, non su pazienti con questa cefalea, e su finestre immediate e a breve termine, non sulle settimane su cui questa Bibbia misura il proprio esito</w:t>
      </w:r>
      <w:r>
        <w:t xml:space="preserve">.</w:t>
      </w:r>
      <w:r>
        <w:t xml:space="preserve"> </w:t>
      </w:r>
      <w:r>
        <w:rPr>
          <w:b/>
          <w:bCs/>
        </w:rPr>
        <w:t xml:space="preserve">IPOTESI</w:t>
      </w:r>
      <w:r>
        <w:t xml:space="preserve"> </w:t>
      </w:r>
      <w:r>
        <w:rPr>
          <w:i/>
          <w:iCs/>
        </w:rPr>
        <w:t xml:space="preserve">(meccanismo coerente, nessuno studio)</w:t>
      </w:r>
      <w:r>
        <w:t xml:space="preserve"> </w:t>
      </w:r>
      <w:r>
        <w:rPr>
          <w:b/>
          <w:bCs/>
        </w:rPr>
        <w:t xml:space="preserve">sulla leva qui.</w:t>
      </w:r>
      <w:r>
        <w:t xml:space="preserve"> </w:t>
      </w:r>
      <w:r>
        <w:t xml:space="preserve">Che una mano inverta una sensibilizzazione già stabilita, o sposti il freno discendente,</w:t>
      </w:r>
      <w:r>
        <w:t xml:space="preserve"> </w:t>
      </w:r>
      <w:r>
        <w:rPr>
          <w:b/>
          <w:bCs/>
        </w:rPr>
        <w:t xml:space="preserve">non è mai stato misurato qui</w:t>
      </w:r>
      <w:r>
        <w:t xml:space="preserve">. È misurata l’ipoalgesia locale immediata dopo mobilizzazione cervicale (Sterling, PMID 11414776) —</w:t>
      </w:r>
      <w:r>
        <w:t xml:space="preserve"> </w:t>
      </w:r>
      <w:r>
        <w:rPr>
          <w:b/>
          <w:bCs/>
        </w:rPr>
        <w:t xml:space="preserve">su dolore cervicale, non su questa condizione</w:t>
      </w:r>
      <w:r>
        <w:t xml:space="preserve">, e a distanza di minuti, non di settimane.</w:t>
      </w:r>
    </w:p>
    <w:p>
      <w:pPr>
        <w:pStyle w:val="FirstParagraph"/>
      </w:pPr>
      <w:r>
        <w:rPr>
          <w:b/>
          <w:bCs/>
        </w:rPr>
        <w:t xml:space="preserve">In quanto tempo si vedrebbe.</w:t>
      </w:r>
      <w:r>
        <w:t xml:space="preserve"> </w:t>
      </w:r>
      <w:r>
        <w:t xml:space="preserve">Settimane. Una soglia che non si muove a fine seduta non smentisce niente.</w:t>
      </w:r>
    </w:p>
    <w:bookmarkEnd w:id="74"/>
    <w:bookmarkStart w:id="75" w:name="sul-carico-e-sulla-capacità"/>
    <w:p>
      <w:pPr>
        <w:pStyle w:val="Heading3"/>
      </w:pPr>
      <w:r>
        <w:t xml:space="preserve">Sul carico e sulla capacità</w:t>
      </w:r>
    </w:p>
    <w:p>
      <w:pPr>
        <w:pStyle w:val="FirstParagraph"/>
      </w:pPr>
      <w:r>
        <w:t xml:space="preserve">La mano qui fa poco. La leva è quella che il paziente esegue da solo, e la mano serve a rendere tollerabile l’inizio del carico, non a sostituirlo.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sull’esercizio contro resistenza, con perimetro e rovescio dichiarati nel capitolo successivo.</w:t>
      </w:r>
      <w:r>
        <w:t xml:space="preserve"> </w:t>
      </w:r>
      <w:r>
        <w:rPr>
          <w:b/>
          <w:bCs/>
        </w:rPr>
        <w:t xml:space="preserve">IPOTESI</w:t>
      </w:r>
      <w:r>
        <w:t xml:space="preserve"> </w:t>
      </w:r>
      <w:r>
        <w:rPr>
          <w:i/>
          <w:iCs/>
        </w:rPr>
        <w:t xml:space="preserve">(meccanismo coerente, nessuno studio)</w:t>
      </w:r>
      <w:r>
        <w:t xml:space="preserve"> </w:t>
      </w:r>
      <w:r>
        <w:t xml:space="preserve">sul contributo della mano a renderlo possibile.</w:t>
      </w:r>
    </w:p>
    <w:p>
      <w:pPr>
        <w:pStyle w:val="FirstParagraph"/>
      </w:pPr>
      <w:r>
        <w:rPr>
          <w:b/>
          <w:bCs/>
        </w:rPr>
        <w:t xml:space="preserve">In quanto tempo si vedrebbe.</w:t>
      </w:r>
      <w:r>
        <w:t xml:space="preserve"> </w:t>
      </w:r>
      <w:r>
        <w:t xml:space="preserve">Due orologi. La capacità comincia a muoversi fra la quarta e l’ottava settimana. Venti settimane è invece l’orizzonte a cui gli studi hanno</w:t>
      </w:r>
      <w:r>
        <w:t xml:space="preserve"> </w:t>
      </w:r>
      <w:r>
        <w:rPr>
          <w:b/>
          <w:bCs/>
        </w:rPr>
        <w:t xml:space="preserve">misurato l’esito</w:t>
      </w:r>
      <w:r>
        <w:t xml:space="preserve">. Un controllo alla decima settimana è troppo presto per l’esito, e abbastanza tardi per l’adattamento.</w:t>
      </w:r>
    </w:p>
    <w:bookmarkEnd w:id="75"/>
    <w:bookmarkStart w:id="76" w:name="sul-livello-di-attivazione"/>
    <w:p>
      <w:pPr>
        <w:pStyle w:val="Heading3"/>
      </w:pPr>
      <w:r>
        <w:t xml:space="preserve">Sul livello di attivazione</w:t>
      </w:r>
    </w:p>
    <w:p>
      <w:pPr>
        <w:pStyle w:val="FirstParagraph"/>
      </w:pPr>
      <w:r>
        <w:t xml:space="preserve">La mano agisce attraverso il modo in cui si tratta: contatto lento e ampio, ritmo del respiro guidato, tempo dedicato, spiegazione che toglie l’attesa del sintomo.</w:t>
      </w:r>
      <w:r>
        <w:t xml:space="preserve"> </w:t>
      </w:r>
      <w:r>
        <w:rPr>
          <w:b/>
          <w:bCs/>
        </w:rPr>
        <w:t xml:space="preserve">L’effetto atteso</w:t>
      </w:r>
      <w:r>
        <w:t xml:space="preserve"> </w:t>
      </w:r>
      <w:r>
        <w:t xml:space="preserve">è meno reattività del tessuto durante la seduta, e nel tempo un paziente che smette di irrigidirsi in attesa del dolore.</w:t>
      </w:r>
      <w:r>
        <w:t xml:space="preserve"> </w:t>
      </w:r>
      <w:r>
        <w:rPr>
          <w:b/>
          <w:bCs/>
        </w:rPr>
        <w:t xml:space="preserve">Non</w:t>
      </w:r>
      <w:r>
        <w:t xml:space="preserve"> </w:t>
      </w:r>
      <w:r>
        <w:t xml:space="preserve">una calma autonomica misurabile.</w:t>
      </w:r>
    </w:p>
    <w:p>
      <w:pPr>
        <w:pStyle w:val="BlockText"/>
      </w:pPr>
      <w:r>
        <w:rPr>
          <w:b/>
          <w:bCs/>
        </w:rPr>
        <w:t xml:space="preserve">Quanto è solido:</w:t>
      </w:r>
      <w:r>
        <w:t xml:space="preserve"> </w:t>
      </w:r>
      <w:r>
        <w:t xml:space="preserve">l’etichetta si spezza, in due pezzi.</w:t>
      </w:r>
      <w:r>
        <w:t xml:space="preserve"> </w:t>
      </w:r>
      <w:r>
        <w:rPr>
          <w:b/>
          <w:bCs/>
        </w:rPr>
        <w:t xml:space="preserve">DIMOSTRATO</w:t>
      </w:r>
      <w:r>
        <w:t xml:space="preserve"> </w:t>
      </w:r>
      <w:r>
        <w:rPr>
          <w:i/>
          <w:iCs/>
        </w:rPr>
        <w:t xml:space="preserve">(studi sull’uomo, solidi)</w:t>
      </w:r>
      <w:r>
        <w:t xml:space="preserve"> </w:t>
      </w:r>
      <w:r>
        <w:t xml:space="preserve">che la quota di effetto non attribuibile alla tecnica specifica sia dominante: 88%, intervallo 57-120%, per la mobilizzazione (Ezzatvar,</w:t>
      </w:r>
      <w:r>
        <w:t xml:space="preserve"> </w:t>
      </w:r>
      <w:r>
        <w:rPr>
          <w:i/>
          <w:iCs/>
        </w:rPr>
        <w:t xml:space="preserve">JOSPT</w:t>
      </w:r>
      <w:r>
        <w:t xml:space="preserve"> </w:t>
      </w:r>
      <w:r>
        <w:t xml:space="preserve">2024, PMID 38602164),</w:t>
      </w:r>
      <w:r>
        <w:t xml:space="preserve"> </w:t>
      </w:r>
      <w:r>
        <w:rPr>
          <w:b/>
          <w:bCs/>
        </w:rPr>
        <w:t xml:space="preserve">misurato su dolore muscolo-scheletrico in generale, non su questa condizione</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il contatto abbassi l’attivazione. Dove la direzione è stata misurata sulla cervicale, contro placebo e in cieco, andava verso l’attivazione (Sterling,</w:t>
      </w:r>
      <w:r>
        <w:t xml:space="preserve"> </w:t>
      </w:r>
      <w:r>
        <w:rPr>
          <w:i/>
          <w:iCs/>
        </w:rPr>
        <w:t xml:space="preserve">Man Ther</w:t>
      </w:r>
      <w:r>
        <w:t xml:space="preserve"> </w:t>
      </w:r>
      <w:r>
        <w:t xml:space="preserve">2001, PMID 11414776). E la meta-analisi più ampia non trova effetto su ansia e stress (Gordon,</w:t>
      </w:r>
      <w:r>
        <w:t xml:space="preserve"> </w:t>
      </w:r>
      <w:r>
        <w:rPr>
          <w:i/>
          <w:iCs/>
        </w:rPr>
        <w:t xml:space="preserve">BMJ Open</w:t>
      </w:r>
      <w:r>
        <w:t xml:space="preserve"> </w:t>
      </w:r>
      <w:r>
        <w:t xml:space="preserve">2025, PMID 39920074) —</w:t>
      </w:r>
      <w:r>
        <w:t xml:space="preserve"> </w:t>
      </w:r>
      <w:r>
        <w:rPr>
          <w:b/>
          <w:bCs/>
        </w:rPr>
        <w:t xml:space="preserve">misurato su adulti in trattamento manuale osteopatico in generale, non su pazienti con questa cefalea</w:t>
      </w:r>
      <w:r>
        <w:t xml:space="preserve">.</w:t>
      </w:r>
    </w:p>
    <w:p>
      <w:pPr>
        <w:pStyle w:val="FirstParagraph"/>
      </w:pPr>
      <w:r>
        <w:rPr>
          <w:b/>
          <w:bCs/>
        </w:rPr>
        <w:t xml:space="preserve">In quanto tempo si vedrebbe.</w:t>
      </w:r>
      <w:r>
        <w:t xml:space="preserve"> </w:t>
      </w:r>
      <w:r>
        <w:t xml:space="preserve">La reattività del tessuto, dentro la seduta. Lo spostamento dell’attesa, in settimane.</w:t>
      </w:r>
    </w:p>
    <w:bookmarkEnd w:id="76"/>
    <w:bookmarkStart w:id="77" w:name="X313a9305afc17cefd332a43187892ca69ddea55"/>
    <w:p>
      <w:pPr>
        <w:pStyle w:val="Heading3"/>
      </w:pPr>
      <w:r>
        <w:t xml:space="preserve">Cosa fa l’osteopata che il resto del percorso non fa</w:t>
      </w:r>
    </w:p>
    <w:p>
      <w:pPr>
        <w:pStyle w:val="FirstParagraph"/>
      </w:pPr>
      <w:r>
        <w:t xml:space="preserve">Tre misure.</w:t>
      </w:r>
      <w:r>
        <w:t xml:space="preserve"> </w:t>
      </w:r>
      <w:r>
        <w:rPr>
          <w:b/>
          <w:bCs/>
        </w:rPr>
        <w:t xml:space="preserve">L’ingresso periferico:</w:t>
      </w:r>
      <w:r>
        <w:t xml:space="preserve"> </w:t>
      </w:r>
      <w:r>
        <w:t xml:space="preserve">otto siti per lato, pressione controllata, un numero scritto.</w:t>
      </w:r>
      <w:r>
        <w:t xml:space="preserve"> </w:t>
      </w:r>
      <w:r>
        <w:rPr>
          <w:b/>
          <w:bCs/>
        </w:rPr>
        <w:t xml:space="preserve">La soglia fuori dalla testa</w:t>
      </w:r>
      <w:r>
        <w:t xml:space="preserve">, o meglio il test di funzione del freno discendente.</w:t>
      </w:r>
      <w:r>
        <w:t xml:space="preserve"> </w:t>
      </w:r>
      <w:r>
        <w:rPr>
          <w:b/>
          <w:bCs/>
        </w:rPr>
        <w:t xml:space="preserve">Il conteggio delle assunzioni.</w:t>
      </w:r>
      <w:r>
        <w:t xml:space="preserve"> </w:t>
      </w:r>
      <w:r>
        <w:t xml:space="preserve">Quasi mai qualcun altro lungo il percorso le ha raccolte.</w:t>
      </w:r>
    </w:p>
    <w:bookmarkEnd w:id="77"/>
    <w:bookmarkStart w:id="78" w:name="cosa-non-possono-fare-le-mani"/>
    <w:p>
      <w:pPr>
        <w:pStyle w:val="Heading3"/>
      </w:pPr>
      <w:r>
        <w:t xml:space="preserve">Cosa non possono fare le mani</w:t>
      </w:r>
    </w:p>
    <w:p>
      <w:pPr>
        <w:pStyle w:val="FirstParagraph"/>
      </w:pPr>
      <w:r>
        <w:t xml:space="preserve">Non prevengono questa cefalea. Non invertono una sensibilizzazione già stabilita. Non correggono una postura in modo che cambi il mal di testa. Non risolvono una cefalea da uso eccessivo di farmaci — e non significa che quel paziente non si tocchi. E non sostituiscono una profilassi con prove superiori alle nostre.</w:t>
      </w:r>
    </w:p>
    <w:p>
      <w:pPr>
        <w:pStyle w:val="BodyText"/>
      </w:pPr>
      <w:r>
        <w:t xml:space="preserve">Il come si fa non è qui: sta nella Procedura del Mal di Testa Tensivo.</w:t>
      </w:r>
    </w:p>
    <w:p>
      <w:pPr>
        <w:pStyle w:val="BodyText"/>
      </w:pPr>
      <w:r>
        <w:rPr>
          <w:b/>
          <w:bCs/>
        </w:rPr>
        <w:t xml:space="preserve">Le tre cose da ricordare, più una</w:t>
      </w:r>
    </w:p>
    <w:p>
      <w:pPr>
        <w:pStyle w:val="Compact"/>
        <w:numPr>
          <w:ilvl w:val="0"/>
          <w:numId w:val="1030"/>
        </w:numPr>
      </w:pPr>
      <w:r>
        <w:t xml:space="preserve">Quattro leve su sei sono manuali, e nessuna punta alla soglia: la soglia è il marker.</w:t>
      </w:r>
    </w:p>
    <w:p>
      <w:pPr>
        <w:pStyle w:val="Compact"/>
        <w:numPr>
          <w:ilvl w:val="0"/>
          <w:numId w:val="1030"/>
        </w:numPr>
      </w:pPr>
      <w:r>
        <w:t xml:space="preserve">Il paziente in allarme non è da rimandare: è quello in cui il modo in cui tratti pesa di più, e in cui la verifica in seduta</w:t>
      </w:r>
      <w:r>
        <w:t xml:space="preserve"> </w:t>
      </w:r>
      <w:r>
        <w:rPr>
          <w:b/>
          <w:bCs/>
        </w:rPr>
        <w:t xml:space="preserve">per livello</w:t>
      </w:r>
      <w:r>
        <w:t xml:space="preserve"> </w:t>
      </w:r>
      <w:r>
        <w:t xml:space="preserve">non è disponibile</w:t>
      </w:r>
      <w:r>
        <w:t xml:space="preserve"> </w:t>
      </w:r>
      <w:r>
        <w:rPr>
          <w:b/>
          <w:bCs/>
        </w:rPr>
        <w:t xml:space="preserve">e resta il solo test di funzione</w:t>
      </w:r>
      <w:r>
        <w:t xml:space="preserve">.</w:t>
      </w:r>
    </w:p>
    <w:p>
      <w:pPr>
        <w:pStyle w:val="Compact"/>
        <w:numPr>
          <w:ilvl w:val="0"/>
          <w:numId w:val="1030"/>
        </w:numPr>
      </w:pPr>
      <w:r>
        <w:t xml:space="preserve">Dici</w:t>
      </w:r>
      <w:r>
        <w:t xml:space="preserve"> </w:t>
      </w:r>
      <w:r>
        <w:t xml:space="preserve">“meno sensibile alla pressione”</w:t>
      </w:r>
      <w:r>
        <w:t xml:space="preserve"> </w:t>
      </w:r>
      <w:r>
        <w:t xml:space="preserve">e</w:t>
      </w:r>
      <w:r>
        <w:t xml:space="preserve"> </w:t>
      </w:r>
      <w:r>
        <w:t xml:space="preserve">“meno contratto”</w:t>
      </w:r>
      <w:r>
        <w:t xml:space="preserve">, non</w:t>
      </w:r>
      <w:r>
        <w:t xml:space="preserve"> </w:t>
      </w:r>
      <w:r>
        <w:t xml:space="preserve">“sistema nervoso rilassato”</w:t>
      </w:r>
      <w:r>
        <w:t xml:space="preserve">: la prima è stata misurata.</w:t>
      </w:r>
    </w:p>
    <w:p>
      <w:pPr>
        <w:pStyle w:val="Compact"/>
        <w:numPr>
          <w:ilvl w:val="0"/>
          <w:numId w:val="1030"/>
        </w:numPr>
      </w:pPr>
      <w:r>
        <w:rPr>
          <w:b/>
          <w:bCs/>
        </w:rPr>
        <w:t xml:space="preserve">Perché ci sei tu.</w:t>
      </w:r>
      <w:r>
        <w:t xml:space="preserve"> </w:t>
      </w:r>
      <w:r>
        <w:t xml:space="preserve">Nella sintesi per le raccomandazioni danesi — tredici studi randomizzati, certezza bassa e molto bassa —</w:t>
      </w:r>
      <w:r>
        <w:t xml:space="preserve"> </w:t>
      </w:r>
      <w:r>
        <w:rPr>
          <w:b/>
          <w:bCs/>
        </w:rPr>
        <w:t xml:space="preserve">nessun evento avverso grave è stato riportato</w:t>
      </w:r>
      <w:r>
        <w:t xml:space="preserve"> </w:t>
      </w:r>
      <w:r>
        <w:t xml:space="preserve">per nessuno degli approcci non farmacologici valutati (Krøll,</w:t>
      </w:r>
      <w:r>
        <w:t xml:space="preserve"> </w:t>
      </w:r>
      <w:r>
        <w:rPr>
          <w:i/>
          <w:iCs/>
        </w:rPr>
        <w:t xml:space="preserve">J Headache Pain</w:t>
      </w:r>
      <w:r>
        <w:t xml:space="preserve"> </w:t>
      </w:r>
      <w:r>
        <w:t xml:space="preserve">2021, PMID 34418953). Ti autorizza a proporre il tuo lavoro come opzione a rischio non documentato, a un paziente che ha già molte pastiglie addosso. Non ti autorizza a presentare l’assenza di danno come prova di efficacia, né a dire</w:t>
      </w:r>
      <w:r>
        <w:t xml:space="preserve"> </w:t>
      </w:r>
      <w:r>
        <w:t xml:space="preserve">“sicuro”</w:t>
      </w:r>
      <w:r>
        <w:t xml:space="preserve">: tredici studi piccoli non rilevano un evento raro, e il 58% degli studi di terapia manuale cervicale non riporta gli eventi avversi (Carlesso,</w:t>
      </w:r>
      <w:r>
        <w:t xml:space="preserve"> </w:t>
      </w:r>
      <w:r>
        <w:rPr>
          <w:i/>
          <w:iCs/>
        </w:rPr>
        <w:t xml:space="preserve">Man Ther</w:t>
      </w:r>
      <w:r>
        <w:t xml:space="preserve"> </w:t>
      </w:r>
      <w:r>
        <w:t xml:space="preserve">2010, PMID 20227325).</w:t>
      </w:r>
    </w:p>
    <w:p>
      <w:r>
        <w:pict>
          <v:rect style="width:0;height:1.5pt" o:hralign="center" o:hrstd="t" o:hr="t"/>
        </w:pict>
      </w:r>
    </w:p>
    <w:bookmarkEnd w:id="78"/>
    <w:bookmarkEnd w:id="79"/>
    <w:bookmarkStart w:id="82"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la leva con le prove migliori non è il tocco — è un’ora di forza a settimana per collo e spalle, e il secondo strumento è l’unico del documento a cui una revisione formale abbia assegnato il livello di efficacia più alto.</w:t>
      </w:r>
    </w:p>
    <w:bookmarkStart w:id="80" w:name="X053e14d351a5645875d16d6458d4e7f218e08ff"/>
    <w:p>
      <w:pPr>
        <w:pStyle w:val="Heading3"/>
      </w:pPr>
      <w:r>
        <w:t xml:space="preserve">Strumento 1 — Il rinforzo del collo e delle spalle</w:t>
      </w:r>
    </w:p>
    <w:p>
      <w:pPr>
        <w:pStyle w:val="FirstParagraph"/>
      </w:pPr>
      <w:r>
        <w:rPr>
          <w:b/>
          <w:bCs/>
        </w:rPr>
        <w:t xml:space="preserve">Cos’è.</w:t>
      </w:r>
      <w:r>
        <w:t xml:space="preserve"> </w:t>
      </w:r>
      <w:r>
        <w:t xml:space="preserve">Esercizi di forza per collo e cingolo scapolare, contro resistenza, con progressione del carico.</w:t>
      </w:r>
    </w:p>
    <w:p>
      <w:pPr>
        <w:pStyle w:val="BodyText"/>
      </w:pPr>
      <w:r>
        <w:rPr>
          <w:b/>
          <w:bCs/>
        </w:rPr>
        <w:t xml:space="preserve">Su quale meccanismo agisce.</w:t>
      </w:r>
      <w:r>
        <w:t xml:space="preserve"> </w:t>
      </w:r>
      <w:r>
        <w:t xml:space="preserve">Sulla</w:t>
      </w:r>
      <w:r>
        <w:t xml:space="preserve"> </w:t>
      </w:r>
      <w:r>
        <w:rPr>
          <w:b/>
          <w:bCs/>
        </w:rPr>
        <w:t xml:space="preserve">borsa della spesa al minuto quaranta</w:t>
      </w:r>
      <w:r>
        <w:t xml:space="preserve">. Alza la capacità di resistenza contro il carico statico prolungato, e allontana il punto in cui il tessuto entra nel regime dell’</w:t>
      </w:r>
      <w:r>
        <w:rPr>
          <w:b/>
          <w:bCs/>
        </w:rPr>
        <w:t xml:space="preserve">ingresso che non si chiude</w:t>
      </w:r>
      <w:r>
        <w:t xml:space="preserve">.</w:t>
      </w:r>
    </w:p>
    <w:p>
      <w:pPr>
        <w:pStyle w:val="BodyText"/>
      </w:pPr>
      <w:r>
        <w:rPr>
          <w:b/>
          <w:bCs/>
        </w:rPr>
        <w:t xml:space="preserve">Cosa hanno misurato gli studi.</w:t>
      </w:r>
      <w:r>
        <w:t xml:space="preserve"> </w:t>
      </w:r>
      <w:r>
        <w:t xml:space="preserve">Cinquecentosettantatré impiegati sono stati randomizzati</w:t>
      </w:r>
      <w:r>
        <w:t xml:space="preserve"> </w:t>
      </w:r>
      <w:r>
        <w:rPr>
          <w:b/>
          <w:bCs/>
        </w:rPr>
        <w:t xml:space="preserve">per grappoli</w:t>
      </w:r>
      <w:r>
        <w:t xml:space="preserve">, cioè per interi gruppi di lavoro e non per singole persone. Un braccio faceva</w:t>
      </w:r>
      <w:r>
        <w:t xml:space="preserve"> </w:t>
      </w:r>
      <w:r>
        <w:rPr>
          <w:b/>
          <w:bCs/>
        </w:rPr>
        <w:t xml:space="preserve">un’ora a settimana</w:t>
      </w:r>
      <w:r>
        <w:t xml:space="preserve"> </w:t>
      </w:r>
      <w:r>
        <w:t xml:space="preserve">di forza ad alta intensità per collo e spalle, distribuita in quattro modi; l’altro non si allenava. Dopo</w:t>
      </w:r>
      <w:r>
        <w:t xml:space="preserve"> </w:t>
      </w:r>
      <w:r>
        <w:rPr>
          <w:b/>
          <w:bCs/>
        </w:rPr>
        <w:t xml:space="preserve">venti settimane</w:t>
      </w:r>
      <w:r>
        <w:t xml:space="preserve"> </w:t>
      </w:r>
      <w:r>
        <w:t xml:space="preserve">frequenza e intensità sono scese di circa il</w:t>
      </w:r>
      <w:r>
        <w:t xml:space="preserve"> </w:t>
      </w:r>
      <w:r>
        <w:rPr>
          <w:b/>
          <w:bCs/>
        </w:rPr>
        <w:t xml:space="preserve">50%</w:t>
      </w:r>
      <w:r>
        <w:t xml:space="preserve"> </w:t>
      </w:r>
      <w:r>
        <w:t xml:space="preserve">in tutti i gruppi allenati, senza differenze fra le distribuzioni.</w:t>
      </w:r>
      <w:r>
        <w:t xml:space="preserve"> </w:t>
      </w:r>
      <w:r>
        <w:rPr>
          <w:b/>
          <w:bCs/>
        </w:rPr>
        <w:t xml:space="preserve">L’uso di analgesici è sceso solo nei tre gruppi supervisionati</w:t>
      </w:r>
      <w:r>
        <w:t xml:space="preserve"> </w:t>
      </w:r>
      <w:r>
        <w:t xml:space="preserve">(Andersen CH,</w:t>
      </w:r>
      <w:r>
        <w:t xml:space="preserve"> </w:t>
      </w:r>
      <w:r>
        <w:rPr>
          <w:i/>
          <w:iCs/>
        </w:rPr>
        <w:t xml:space="preserve">Musculoskelet Sci Pract</w:t>
      </w:r>
      <w:r>
        <w:t xml:space="preserve"> </w:t>
      </w:r>
      <w:r>
        <w:t xml:space="preserve">2017, PMID 28854396).</w:t>
      </w:r>
    </w:p>
    <w:p>
      <w:pPr>
        <w:pStyle w:val="BodyText"/>
      </w:pPr>
      <w:r>
        <w:t xml:space="preserve">Su pazienti che soddisfacevano i</w:t>
      </w:r>
      <w:r>
        <w:t xml:space="preserve"> </w:t>
      </w:r>
      <w:r>
        <w:rPr>
          <w:b/>
          <w:bCs/>
        </w:rPr>
        <w:t xml:space="preserve">criteri diagnostici</w:t>
      </w:r>
      <w:r>
        <w:t xml:space="preserve"> </w:t>
      </w:r>
      <w:r>
        <w:t xml:space="preserve">esistono tre studi randomizzati, e il quadro va detto per intero.</w:t>
      </w:r>
    </w:p>
    <w:p>
      <w:pPr>
        <w:pStyle w:val="BodyText"/>
      </w:pPr>
      <w:r>
        <w:rPr>
          <w:b/>
          <w:bCs/>
        </w:rPr>
        <w:t xml:space="preserve">Due favorevoli.</w:t>
      </w:r>
      <w:r>
        <w:t xml:space="preserve"> </w:t>
      </w:r>
      <w:r>
        <w:t xml:space="preserve">Ottantuno pazienti con esiti valutati</w:t>
      </w:r>
      <w:r>
        <w:t xml:space="preserve"> </w:t>
      </w:r>
      <w:r>
        <w:rPr>
          <w:b/>
          <w:bCs/>
        </w:rPr>
        <w:t xml:space="preserve">in cieco</w:t>
      </w:r>
      <w:r>
        <w:t xml:space="preserve">, dove a sei mesi frequenza, intensità e durata erano tutte ridotte, con effetti grandi (van Ettekoven &amp; Lucas,</w:t>
      </w:r>
      <w:r>
        <w:t xml:space="preserve"> </w:t>
      </w:r>
      <w:r>
        <w:rPr>
          <w:i/>
          <w:iCs/>
        </w:rPr>
        <w:t xml:space="preserve">Cephalalgia</w:t>
      </w:r>
      <w:r>
        <w:t xml:space="preserve"> </w:t>
      </w:r>
      <w:r>
        <w:t xml:space="preserve">2006, PMID 16886935). E quaranta pazienti con la</w:t>
      </w:r>
      <w:r>
        <w:t xml:space="preserve"> </w:t>
      </w:r>
      <w:r>
        <w:rPr>
          <w:b/>
          <w:bCs/>
        </w:rPr>
        <w:t xml:space="preserve">forma cronica</w:t>
      </w:r>
      <w:r>
        <w:t xml:space="preserve">. A dodici settimane la differenza fra i gruppi c’era su</w:t>
      </w:r>
      <w:r>
        <w:t xml:space="preserve"> </w:t>
      </w:r>
      <w:r>
        <w:rPr>
          <w:b/>
          <w:bCs/>
        </w:rPr>
        <w:t xml:space="preserve">durata e intensità ma non sulla frequenza</w:t>
      </w:r>
      <w:r>
        <w:t xml:space="preserve">, con aumento di spessore e forza dei flessori profondi (Martín-Vera,</w:t>
      </w:r>
      <w:r>
        <w:t xml:space="preserve"> </w:t>
      </w:r>
      <w:r>
        <w:rPr>
          <w:i/>
          <w:iCs/>
        </w:rPr>
        <w:t xml:space="preserve">Front Neurol</w:t>
      </w:r>
      <w:r>
        <w:t xml:space="preserve"> </w:t>
      </w:r>
      <w:r>
        <w:t xml:space="preserve">2023, PMID 37789886).</w:t>
      </w:r>
    </w:p>
    <w:p>
      <w:pPr>
        <w:pStyle w:val="BodyText"/>
      </w:pPr>
      <w:r>
        <w:rPr>
          <w:b/>
          <w:bCs/>
        </w:rPr>
        <w:t xml:space="preserve">Uno negativo.</w:t>
      </w:r>
      <w:r>
        <w:t xml:space="preserve"> </w:t>
      </w:r>
      <w:r>
        <w:t xml:space="preserve">Sessanta pazienti al centro cefalee di Copenhagen — il centro dell’ancora fisiologica di questa Bibbia — randomizzati a dieci settimane di forza con elastici o a correzione ergonomica.</w:t>
      </w:r>
      <w:r>
        <w:t xml:space="preserve"> </w:t>
      </w:r>
      <w:r>
        <w:rPr>
          <w:b/>
          <w:bCs/>
        </w:rPr>
        <w:t xml:space="preserve">Nessuna differenza fra i gruppi</w:t>
      </w:r>
      <w:r>
        <w:t xml:space="preserve">, e miglioramento più marcato nel controllo (Madsen,</w:t>
      </w:r>
      <w:r>
        <w:t xml:space="preserve"> </w:t>
      </w:r>
      <w:r>
        <w:rPr>
          <w:i/>
          <w:iCs/>
        </w:rPr>
        <w:t xml:space="preserve">Cephalalgia</w:t>
      </w:r>
      <w:r>
        <w:t xml:space="preserve"> </w:t>
      </w:r>
      <w:r>
        <w:t xml:space="preserve">2018, PMID 28750588).</w:t>
      </w:r>
    </w:p>
    <w:p>
      <w:pPr>
        <w:pStyle w:val="BodyText"/>
      </w:pPr>
      <w:r>
        <w:t xml:space="preserve">La meta-analisi sulla forma cronica va nella stessa direzione su nove studi, ma</w:t>
      </w:r>
      <w:r>
        <w:t xml:space="preserve"> </w:t>
      </w:r>
      <w:r>
        <w:rPr>
          <w:b/>
          <w:bCs/>
        </w:rPr>
        <w:t xml:space="preserve">non isola il rinforzo</w:t>
      </w:r>
      <w:r>
        <w:t xml:space="preserve">: i suoi numeri appartengono a raggruppamenti di più approcci (Onan,</w:t>
      </w:r>
      <w:r>
        <w:t xml:space="preserve"> </w:t>
      </w:r>
      <w:r>
        <w:rPr>
          <w:i/>
          <w:iCs/>
        </w:rPr>
        <w:t xml:space="preserve">J Oral Facial Pain Headache</w:t>
      </w:r>
      <w:r>
        <w:t xml:space="preserve"> </w:t>
      </w:r>
      <w:r>
        <w:t xml:space="preserve">2025, PMID 40129422). La sintesi che ha separato i tipi di esercizio è la più utile. Presi tutti insieme, gli esercizi non spostano la frequenza, con certezza molto bassa. Se si separano le componenti,</w:t>
      </w:r>
      <w:r>
        <w:t xml:space="preserve"> </w:t>
      </w:r>
      <w:r>
        <w:rPr>
          <w:b/>
          <w:bCs/>
        </w:rPr>
        <w:t xml:space="preserve">l’esercizio contro resistenza la riduce di 6,00</w:t>
      </w:r>
      <w:r>
        <w:t xml:space="preserve"> </w:t>
      </w:r>
      <w:r>
        <w:t xml:space="preserve">(Tao,</w:t>
      </w:r>
      <w:r>
        <w:t xml:space="preserve"> </w:t>
      </w:r>
      <w:r>
        <w:rPr>
          <w:i/>
          <w:iCs/>
        </w:rPr>
        <w:t xml:space="preserve">Postgrad Med J</w:t>
      </w:r>
      <w:r>
        <w:t xml:space="preserve"> </w:t>
      </w:r>
      <w:r>
        <w:t xml:space="preserve">2025, PMID 40257956).</w:t>
      </w:r>
    </w:p>
    <w:p>
      <w:pPr>
        <w:pStyle w:val="BlockText"/>
      </w:pPr>
      <w:r>
        <w:rPr>
          <w:b/>
          <w:bCs/>
        </w:rPr>
        <w:t xml:space="preserve">Quanto è solido:</w:t>
      </w:r>
      <w:r>
        <w:t xml:space="preserve"> </w:t>
      </w:r>
      <w:r>
        <w:t xml:space="preserve">l’etichetta si spezza, in due pezzi.</w:t>
      </w:r>
      <w:r>
        <w:t xml:space="preserve"> </w:t>
      </w:r>
      <w:r>
        <w:rPr>
          <w:b/>
          <w:bCs/>
        </w:rPr>
        <w:t xml:space="preserve">DIMOSTRATO</w:t>
      </w:r>
      <w:r>
        <w:t xml:space="preserve"> </w:t>
      </w:r>
      <w:r>
        <w:rPr>
          <w:i/>
          <w:iCs/>
        </w:rPr>
        <w:t xml:space="preserve">(studi sull’uomo, solidi)</w:t>
      </w:r>
      <w:r>
        <w:t xml:space="preserve"> </w:t>
      </w:r>
      <w:r>
        <w:t xml:space="preserve">che l’esercizio</w:t>
      </w:r>
      <w:r>
        <w:t xml:space="preserve"> </w:t>
      </w:r>
      <w:r>
        <w:rPr>
          <w:b/>
          <w:bCs/>
        </w:rPr>
        <w:t xml:space="preserve">contro resistenza</w:t>
      </w:r>
      <w:r>
        <w:t xml:space="preserve"> </w:t>
      </w:r>
      <w:r>
        <w:t xml:space="preserve">per collo e spalle riduca frequenza e intensità, dove le sintesi lo isolano dagli altri tipi di esercizio.</w:t>
      </w:r>
      <w:r>
        <w:t xml:space="preserve"> </w:t>
      </w:r>
      <w:r>
        <w:rPr>
          <w:b/>
          <w:bCs/>
        </w:rPr>
        <w:t xml:space="preserve">PROBABILE</w:t>
      </w:r>
      <w:r>
        <w:t xml:space="preserve"> </w:t>
      </w:r>
      <w:r>
        <w:rPr>
          <w:i/>
          <w:iCs/>
        </w:rPr>
        <w:t xml:space="preserve">(razionale forte, prove parziali)</w:t>
      </w:r>
      <w:r>
        <w:t xml:space="preserve"> </w:t>
      </w:r>
      <w:r>
        <w:t xml:space="preserve">che quel guadagno si trasferisca al paziente con diagnosi formale che tratti tu: due studi favorevoli su intensità e durata, uno negativo sul confronto fra gruppi, e la sintesi più recente non significativa sulla frequenza. Il salto di popolazione resta come avvertenza su Andersen — impiegati, non pazienti con diagnosi — non come limite dell’intero strumento.</w:t>
      </w:r>
    </w:p>
    <w:p>
      <w:pPr>
        <w:pStyle w:val="FirstParagraph"/>
      </w:pPr>
      <w:r>
        <w:rPr>
          <w:b/>
          <w:bCs/>
        </w:rPr>
        <w:t xml:space="preserve">Cosa non fa.</w:t>
      </w:r>
      <w:r>
        <w:t xml:space="preserve"> </w:t>
      </w:r>
      <w:r>
        <w:t xml:space="preserve">Non agisce sull’episodio in corso: nessuno di questi studi ha misurato un effetto acuto. E</w:t>
      </w:r>
      <w:r>
        <w:t xml:space="preserve"> </w:t>
      </w:r>
      <w:r>
        <w:rPr>
          <w:b/>
          <w:bCs/>
        </w:rPr>
        <w:t xml:space="preserve">la supervisione non è un dettaglio organizzativo</w:t>
      </w:r>
      <w:r>
        <w:t xml:space="preserve">: dove ci si allenava quasi da soli il mal di testa è sceso lo stesso, le pastiglie no.</w:t>
      </w:r>
    </w:p>
    <w:p>
      <w:pPr>
        <w:pStyle w:val="BlockText"/>
      </w:pPr>
      <w:r>
        <w:rPr>
          <w:b/>
          <w:bCs/>
        </w:rPr>
        <w:t xml:space="preserve">Attenzione — lo stretching non è il ripiego dell’esercizio contro resistenza.</w:t>
      </w:r>
      <w:r>
        <w:t xml:space="preserve"> </w:t>
      </w:r>
      <w:r>
        <w:t xml:space="preserve">Guarda l’unica sintesi che ha separato i tipi di esercizio. La componente di allungamento andava nella direzione dell’</w:t>
      </w:r>
      <w:r>
        <w:rPr>
          <w:b/>
          <w:bCs/>
        </w:rPr>
        <w:t xml:space="preserve">aumento</w:t>
      </w:r>
      <w:r>
        <w:t xml:space="preserve"> </w:t>
      </w:r>
      <w:r>
        <w:t xml:space="preserve">della frequenza (+4,60); quella contro resistenza la riduceva di 6,00 (Tao,</w:t>
      </w:r>
      <w:r>
        <w:t xml:space="preserve"> </w:t>
      </w:r>
      <w:r>
        <w:rPr>
          <w:i/>
          <w:iCs/>
        </w:rPr>
        <w:t xml:space="preserve">Postgrad Med J</w:t>
      </w:r>
      <w:r>
        <w:t xml:space="preserve"> </w:t>
      </w:r>
      <w:r>
        <w:t xml:space="preserve">2025, PMID 40257956). È una stima per componenti dentro una rete con certezza complessiva molto bassa:</w:t>
      </w:r>
      <w:r>
        <w:t xml:space="preserve"> </w:t>
      </w:r>
      <w:r>
        <w:rPr>
          <w:b/>
          <w:bCs/>
        </w:rPr>
        <w:t xml:space="preserve">non basta per proibirlo, basta per non consegnarlo al posto del carico</w:t>
      </w:r>
      <w:r>
        <w:t xml:space="preserve">. Ed è quello che succede per abitudine, davanti a un trapezio dolente.</w:t>
      </w:r>
    </w:p>
    <w:p>
      <w:pPr>
        <w:pStyle w:val="FirstParagraph"/>
      </w:pPr>
      <w:r>
        <w:rPr>
          <w:b/>
          <w:bCs/>
        </w:rPr>
        <w:t xml:space="preserve">Quanti arrivano in fondo.</w:t>
      </w:r>
      <w:r>
        <w:t xml:space="preserve"> </w:t>
      </w:r>
      <w:r>
        <w:t xml:space="preserve">La forbice è larga. Circa</w:t>
      </w:r>
      <w:r>
        <w:t xml:space="preserve"> </w:t>
      </w:r>
      <w:r>
        <w:rPr>
          <w:b/>
          <w:bCs/>
        </w:rPr>
        <w:t xml:space="preserve">un paziente su quattro</w:t>
      </w:r>
      <w:r>
        <w:t xml:space="preserve"> </w:t>
      </w:r>
      <w:r>
        <w:t xml:space="preserve">non ha completato dieci settimane nello studio negativo, contro il</w:t>
      </w:r>
      <w:r>
        <w:t xml:space="preserve"> </w:t>
      </w:r>
      <w:r>
        <w:rPr>
          <w:b/>
          <w:bCs/>
        </w:rPr>
        <w:t xml:space="preserve">3,7%</w:t>
      </w:r>
      <w:r>
        <w:t xml:space="preserve"> </w:t>
      </w:r>
      <w:r>
        <w:t xml:space="preserve">di perdita in quello favorevole. E una non-conoscenza dichiarata:</w:t>
      </w:r>
      <w:r>
        <w:t xml:space="preserve"> </w:t>
      </w:r>
      <w:r>
        <w:rPr>
          <w:b/>
          <w:bCs/>
        </w:rPr>
        <w:t xml:space="preserve">nessuno ha misurato cosa succede quando smette.</w:t>
      </w:r>
    </w:p>
    <w:p>
      <w:pPr>
        <w:pStyle w:val="BodyText"/>
      </w:pPr>
      <w:r>
        <w:rPr>
          <w:b/>
          <w:bCs/>
        </w:rPr>
        <w:t xml:space="preserve">La chiusura di confine.</w:t>
      </w:r>
      <w:r>
        <w:t xml:space="preserve"> </w:t>
      </w:r>
      <w:r>
        <w:t xml:space="preserve">Come e quando consegnarlo al tuo paziente sta nella Procedura.</w:t>
      </w:r>
    </w:p>
    <w:bookmarkEnd w:id="80"/>
    <w:bookmarkStart w:id="81" w:name="X3718cef5afcab32bfcbbda888d8877c6718f98c"/>
    <w:p>
      <w:pPr>
        <w:pStyle w:val="Heading3"/>
      </w:pPr>
      <w:r>
        <w:t xml:space="preserve">Strumento 2 — Il rilassamento, in due versioni che non hanno la stessa forza</w:t>
      </w:r>
    </w:p>
    <w:p>
      <w:pPr>
        <w:pStyle w:val="FirstParagraph"/>
      </w:pPr>
      <w:r>
        <w:rPr>
          <w:b/>
          <w:bCs/>
        </w:rPr>
        <w:t xml:space="preserve">Cos’è.</w:t>
      </w:r>
      <w:r>
        <w:t xml:space="preserve"> </w:t>
      </w:r>
      <w:r>
        <w:t xml:space="preserve">Due cose diverse, con prove e destinatari diversi.</w:t>
      </w:r>
    </w:p>
    <w:p>
      <w:pPr>
        <w:pStyle w:val="BodyText"/>
      </w:pPr>
      <w:r>
        <w:rPr>
          <w:b/>
          <w:bCs/>
        </w:rPr>
        <w:t xml:space="preserve">Con riscontro strumentale (biofeedback elettromiografico):</w:t>
      </w:r>
      <w:r>
        <w:t xml:space="preserve"> </w:t>
      </w:r>
      <w:r>
        <w:t xml:space="preserve">il paziente riceve un riscontro misurato sul livello di contrazione dei propri muscoli pericranici, e impara ad abbassarlo. Richiede un apparecchio, quindi</w:t>
      </w:r>
      <w:r>
        <w:t xml:space="preserve"> </w:t>
      </w:r>
      <w:r>
        <w:rPr>
          <w:b/>
          <w:bCs/>
        </w:rPr>
        <w:t xml:space="preserve">si invia, non si consegna</w:t>
      </w:r>
      <w:r>
        <w:t xml:space="preserve">.</w:t>
      </w:r>
    </w:p>
    <w:p>
      <w:pPr>
        <w:pStyle w:val="BodyText"/>
      </w:pPr>
      <w:r>
        <w:rPr>
          <w:b/>
          <w:bCs/>
        </w:rPr>
        <w:t xml:space="preserve">Senza apparecchio:</w:t>
      </w:r>
      <w:r>
        <w:t xml:space="preserve"> </w:t>
      </w:r>
      <w:r>
        <w:t xml:space="preserve">rilassamento muscolare progressivo e respirazione lenta. È la versione che il paziente può davvero eseguire da solo.</w:t>
      </w:r>
    </w:p>
    <w:p>
      <w:pPr>
        <w:pStyle w:val="BodyText"/>
      </w:pPr>
      <w:r>
        <w:rPr>
          <w:b/>
          <w:bCs/>
        </w:rPr>
        <w:t xml:space="preserve">Su quale meccanismo agisce.</w:t>
      </w:r>
      <w:r>
        <w:t xml:space="preserve"> </w:t>
      </w:r>
      <w:r>
        <w:t xml:space="preserve">Sulla</w:t>
      </w:r>
      <w:r>
        <w:t xml:space="preserve"> </w:t>
      </w:r>
      <w:r>
        <w:rPr>
          <w:b/>
          <w:bCs/>
        </w:rPr>
        <w:t xml:space="preserve">molla lasciata in tensione</w:t>
      </w:r>
      <w:r>
        <w:t xml:space="preserve">, cioè guadagno della modulazione e attesa del sintomo. E, per la quota di tono che ne dipende, sull’</w:t>
      </w:r>
      <w:r>
        <w:rPr>
          <w:b/>
          <w:bCs/>
        </w:rPr>
        <w:t xml:space="preserve">ingresso che non si chiude</w:t>
      </w:r>
      <w:r>
        <w:t xml:space="preserve">.</w:t>
      </w:r>
    </w:p>
    <w:p>
      <w:pPr>
        <w:pStyle w:val="BodyText"/>
      </w:pPr>
      <w:r>
        <w:rPr>
          <w:b/>
          <w:bCs/>
        </w:rPr>
        <w:t xml:space="preserve">Cosa hanno misurato gli studi.</w:t>
      </w:r>
      <w:r>
        <w:t xml:space="preserve"> </w:t>
      </w:r>
      <w:r>
        <w:t xml:space="preserve">La revisione complessiva sui disturbi cefalalgici riporta effetti da medi a grandi, stabili a</w:t>
      </w:r>
      <w:r>
        <w:t xml:space="preserve"> </w:t>
      </w:r>
      <w:r>
        <w:rPr>
          <w:b/>
          <w:bCs/>
        </w:rPr>
        <w:t xml:space="preserve">quattordici mesi</w:t>
      </w:r>
      <w:r>
        <w:t xml:space="preserve">, con la</w:t>
      </w:r>
      <w:r>
        <w:t xml:space="preserve"> </w:t>
      </w:r>
      <w:r>
        <w:rPr>
          <w:b/>
          <w:bCs/>
        </w:rPr>
        <w:t xml:space="preserve">frequenza</w:t>
      </w:r>
      <w:r>
        <w:t xml:space="preserve"> </w:t>
      </w:r>
      <w:r>
        <w:t xml:space="preserve">come esito che si muove di più. Per il biofeedback elettromiografico in questa condizione riporta effetti significativi anche rispetto al placebo e al solo rilassamento. E gli assegna il livello più alto della scala usata, quella dei criteri di efficacia dei trattamenti psicologici:</w:t>
      </w:r>
      <w:r>
        <w:t xml:space="preserve"> </w:t>
      </w:r>
      <w:r>
        <w:rPr>
          <w:b/>
          <w:bCs/>
        </w:rPr>
        <w:t xml:space="preserve">efficace e specifico</w:t>
      </w:r>
      <w:r>
        <w:t xml:space="preserve"> </w:t>
      </w:r>
      <w:r>
        <w:t xml:space="preserve">(Nestoriuc,</w:t>
      </w:r>
      <w:r>
        <w:t xml:space="preserve"> </w:t>
      </w:r>
      <w:r>
        <w:rPr>
          <w:i/>
          <w:iCs/>
        </w:rPr>
        <w:t xml:space="preserve">Appl Psychophysiol Biofeedback</w:t>
      </w:r>
      <w:r>
        <w:t xml:space="preserve"> </w:t>
      </w:r>
      <w:r>
        <w:t xml:space="preserve">2008, PMID 18726688).</w:t>
      </w:r>
    </w:p>
    <w:p>
      <w:pPr>
        <w:pStyle w:val="BodyText"/>
      </w:pPr>
      <w:r>
        <w:t xml:space="preserve">Sulla versione senza apparecchio: 169 pazienti cronici randomizzati, 84 dei quali hanno eseguito rilassamento progressivo e respirazione profonda. A dodici settimane avevano</w:t>
      </w:r>
      <w:r>
        <w:t xml:space="preserve"> </w:t>
      </w:r>
      <w:r>
        <w:rPr>
          <w:b/>
          <w:bCs/>
        </w:rPr>
        <w:t xml:space="preserve">meno dolore, meno disabilità e sonno migliore</w:t>
      </w:r>
      <w:r>
        <w:t xml:space="preserve">. L’abstract non riporta dimensioni d’effetto, e il limite va dichiarato con il dato (Gopichandran,</w:t>
      </w:r>
      <w:r>
        <w:t xml:space="preserve"> </w:t>
      </w:r>
      <w:r>
        <w:rPr>
          <w:i/>
          <w:iCs/>
        </w:rPr>
        <w:t xml:space="preserve">Holist Nurs Pract</w:t>
      </w:r>
      <w:r>
        <w:t xml:space="preserve"> </w:t>
      </w:r>
      <w:r>
        <w:t xml:space="preserve">2024, PMID 34054116).</w:t>
      </w:r>
    </w:p>
    <w:p>
      <w:pPr>
        <w:pStyle w:val="BodyText"/>
      </w:pPr>
      <w:r>
        <w:t xml:space="preserve">E nella meta-analisi sulla forma cronica gli approcci di rilassamento muscolare riducono la frequenza di 1,36, ma</w:t>
      </w:r>
      <w:r>
        <w:t xml:space="preserve"> </w:t>
      </w:r>
      <w:r>
        <w:rPr>
          <w:b/>
          <w:bCs/>
        </w:rPr>
        <w:t xml:space="preserve">presi insieme al rinforzo di collo e spalle</w:t>
      </w:r>
      <w:r>
        <w:t xml:space="preserve">. L’intensità (−1,17) e la durata (−0,71) sono stimate su un raggruppamento che comprende anche l’elettroagopuntura.</w:t>
      </w:r>
      <w:r>
        <w:t xml:space="preserve"> </w:t>
      </w:r>
      <w:r>
        <w:rPr>
          <w:b/>
          <w:bCs/>
        </w:rPr>
        <w:t xml:space="preserve">Nessuno dei tre numeri isola il rilassamento</w:t>
      </w:r>
      <w:r>
        <w:t xml:space="preserve"> </w:t>
      </w:r>
      <w:r>
        <w:t xml:space="preserve">(Onan, PMID 40129422).</w:t>
      </w:r>
    </w:p>
    <w:p>
      <w:pPr>
        <w:pStyle w:val="BlockText"/>
      </w:pPr>
      <w:r>
        <w:rPr>
          <w:b/>
          <w:bCs/>
        </w:rPr>
        <w:t xml:space="preserve">Quanto è solido:</w:t>
      </w:r>
      <w:r>
        <w:t xml:space="preserve"> </w:t>
      </w:r>
      <w:r>
        <w:t xml:space="preserve">l’etichetta si spezza, in due pezzi.</w:t>
      </w:r>
      <w:r>
        <w:t xml:space="preserve"> </w:t>
      </w:r>
      <w:r>
        <w:rPr>
          <w:b/>
          <w:bCs/>
        </w:rPr>
        <w:t xml:space="preserve">DIMOSTRATO</w:t>
      </w:r>
      <w:r>
        <w:t xml:space="preserve"> </w:t>
      </w:r>
      <w:r>
        <w:rPr>
          <w:i/>
          <w:iCs/>
        </w:rPr>
        <w:t xml:space="preserve">(studi sull’uomo, solidi)</w:t>
      </w:r>
      <w:r>
        <w:t xml:space="preserve"> </w:t>
      </w:r>
      <w:r>
        <w:t xml:space="preserve">per il</w:t>
      </w:r>
      <w:r>
        <w:t xml:space="preserve"> </w:t>
      </w:r>
      <w:r>
        <w:rPr>
          <w:b/>
          <w:bCs/>
        </w:rPr>
        <w:t xml:space="preserve">biofeedback elettromiografico</w:t>
      </w:r>
      <w:r>
        <w:t xml:space="preserve"> </w:t>
      </w:r>
      <w:r>
        <w:t xml:space="preserve">su questa condizione, con l’avvertenza che l’insieme comprende anche disegni non randomizzati, dichiarati dagli autori. È l’unico strumento dell’intero documento a cui una revisione formale abbia assegnato il grado di efficacia più alto della propria scala — ed è anche quello che il paziente da solo non può fare.</w:t>
      </w:r>
      <w:r>
        <w:t xml:space="preserve"> </w:t>
      </w:r>
      <w:r>
        <w:rPr>
          <w:b/>
          <w:bCs/>
        </w:rPr>
        <w:t xml:space="preserve">PROBABILE</w:t>
      </w:r>
      <w:r>
        <w:t xml:space="preserve"> </w:t>
      </w:r>
      <w:r>
        <w:rPr>
          <w:i/>
          <w:iCs/>
        </w:rPr>
        <w:t xml:space="preserve">(razionale forte, prove parziali)</w:t>
      </w:r>
      <w:r>
        <w:t xml:space="preserve"> </w:t>
      </w:r>
      <w:r>
        <w:t xml:space="preserve">per il</w:t>
      </w:r>
      <w:r>
        <w:t xml:space="preserve"> </w:t>
      </w:r>
      <w:r>
        <w:rPr>
          <w:b/>
          <w:bCs/>
        </w:rPr>
        <w:t xml:space="preserve">rilassamento senza apparecchio</w:t>
      </w:r>
      <w:r>
        <w:t xml:space="preserve">, che è la versione consegnabile, e che in due sintesi ha mosso frequenza, intensità, durata, disabilità e sonno.</w:t>
      </w:r>
    </w:p>
    <w:p>
      <w:pPr>
        <w:pStyle w:val="FirstParagraph"/>
      </w:pPr>
      <w:r>
        <w:rPr>
          <w:b/>
          <w:bCs/>
        </w:rPr>
        <w:t xml:space="preserve">Cosa non fa.</w:t>
      </w:r>
      <w:r>
        <w:t xml:space="preserve"> </w:t>
      </w:r>
      <w:r>
        <w:t xml:space="preserve">Non toglie l’ingresso periferico dove c’è: un punto che riproduce il mal di testa non smette di riprodurlo perché il paziente respira meglio. E le due versioni non sono intercambiabili: la differenza fra riscontro strumentale e</w:t>
      </w:r>
      <w:r>
        <w:t xml:space="preserve"> </w:t>
      </w:r>
      <w:r>
        <w:t xml:space="preserve">“prova a rilassarti”</w:t>
      </w:r>
      <w:r>
        <w:t xml:space="preserve"> </w:t>
      </w:r>
      <w:r>
        <w:t xml:space="preserve">è misurata.</w:t>
      </w:r>
    </w:p>
    <w:p>
      <w:pPr>
        <w:pStyle w:val="BodyText"/>
      </w:pPr>
      <w:r>
        <w:rPr>
          <w:b/>
          <w:bCs/>
        </w:rPr>
        <w:t xml:space="preserve">La chiusura di confine.</w:t>
      </w:r>
      <w:r>
        <w:t xml:space="preserve"> </w:t>
      </w:r>
      <w:r>
        <w:t xml:space="preserve">Come e quando consegnarlo al tuo paziente sta nella Procedura.</w:t>
      </w:r>
    </w:p>
    <w:p>
      <w:pPr>
        <w:pStyle w:val="BlockText"/>
      </w:pPr>
      <w:r>
        <w:rPr>
          <w:b/>
          <w:bCs/>
        </w:rPr>
        <w:t xml:space="preserve">Attenzione: due orologi diversi.</w:t>
      </w:r>
      <w:r>
        <w:t xml:space="preserve"> </w:t>
      </w:r>
      <w:r>
        <w:t xml:space="preserve">Il guadagno di venti settimane appartiene all’allenamento, non alla seduta. Attribuirlo alla tecnica manuale porta, per la strada opposta, a concludere che qui non funzioni niente.</w:t>
      </w:r>
    </w:p>
    <w:p>
      <w:pPr>
        <w:pStyle w:val="BlockText"/>
      </w:pPr>
      <w:r>
        <w:rPr>
          <w:b/>
          <w:bCs/>
        </w:rPr>
        <w:t xml:space="preserve">Attenzione — su chi è stato misurato.</w:t>
      </w:r>
      <w:r>
        <w:t xml:space="preserve"> </w:t>
      </w:r>
      <w:r>
        <w:t xml:space="preserve">Entrambi gli strumenti sono stati studiati su impiegati e adulti di mezza età. Sull’anziano fragile, sull’adolescente e sulla gravida</w:t>
      </w:r>
      <w:r>
        <w:t xml:space="preserve"> </w:t>
      </w:r>
      <w:r>
        <w:rPr>
          <w:b/>
          <w:bCs/>
        </w:rPr>
        <w:t xml:space="preserve">il salto di popolazione va dichiarato</w:t>
      </w:r>
      <w:r>
        <w:t xml:space="preserve">.</w:t>
      </w:r>
    </w:p>
    <w:p>
      <w:pPr>
        <w:pStyle w:val="FirstParagraph"/>
      </w:pPr>
      <w:r>
        <w:rPr>
          <w:b/>
          <w:bCs/>
        </w:rPr>
        <w:t xml:space="preserve">Le tre cose da ricordare, più una</w:t>
      </w:r>
    </w:p>
    <w:p>
      <w:pPr>
        <w:pStyle w:val="Compact"/>
        <w:numPr>
          <w:ilvl w:val="0"/>
          <w:numId w:val="1031"/>
        </w:numPr>
      </w:pPr>
      <w:r>
        <w:t xml:space="preserve">Negli studi che l’hanno misurato, un’ora a settimana comunque distribuita: la distribuzione non conta, la supervisione sì, e l’abbandono anche.</w:t>
      </w:r>
    </w:p>
    <w:p>
      <w:pPr>
        <w:pStyle w:val="Compact"/>
        <w:numPr>
          <w:ilvl w:val="0"/>
          <w:numId w:val="1031"/>
        </w:numPr>
      </w:pPr>
      <w:r>
        <w:t xml:space="preserve">Il rilassamento ha due versioni: con l’apparecchio ha il grado più alto e si invia; senza, si consegna e ha un grado in meno.</w:t>
      </w:r>
    </w:p>
    <w:p>
      <w:pPr>
        <w:pStyle w:val="Compact"/>
        <w:numPr>
          <w:ilvl w:val="0"/>
          <w:numId w:val="1031"/>
        </w:numPr>
      </w:pPr>
      <w:r>
        <w:t xml:space="preserve">Nessuno dei due agisce sull’episodio in corso, e va detto prima.</w:t>
      </w:r>
    </w:p>
    <w:p>
      <w:pPr>
        <w:pStyle w:val="Compact"/>
        <w:numPr>
          <w:ilvl w:val="0"/>
          <w:numId w:val="1031"/>
        </w:numPr>
      </w:pPr>
      <w:r>
        <w:rPr>
          <w:b/>
          <w:bCs/>
        </w:rPr>
        <w:t xml:space="preserve">Perché ci sei tu.</w:t>
      </w:r>
      <w:r>
        <w:t xml:space="preserve"> </w:t>
      </w:r>
      <w:r>
        <w:t xml:space="preserve">Il biofeedback elettromiografico su questa condizione è classificato</w:t>
      </w:r>
      <w:r>
        <w:t xml:space="preserve"> </w:t>
      </w:r>
      <w:r>
        <w:rPr>
          <w:b/>
          <w:bCs/>
        </w:rPr>
        <w:t xml:space="preserve">efficace e specifico</w:t>
      </w:r>
      <w:r>
        <w:t xml:space="preserve">, il livello più alto della scala, con effetti stabili a quattordici mesi (Nestoriuc, PMID 18726688). Ti autorizza a dire al paziente che qualcosa con prove forti esiste, e che riguarda quello che impara a fare lui. Non ti autorizza a presentarlo come un effetto del tuo tocco: è l’unico punto del documento in cui la leva migliore non passa dalle tue mani.</w:t>
      </w:r>
    </w:p>
    <w:p>
      <w:r>
        <w:pict>
          <v:rect style="width:0;height:1.5pt" o:hralign="center" o:hrstd="t" o:hr="t"/>
        </w:pict>
      </w:r>
    </w:p>
    <w:bookmarkEnd w:id="81"/>
    <w:bookmarkEnd w:id="82"/>
    <w:bookmarkStart w:id="86" w:name="capitolo-13-cosa-dire-al-paziente"/>
    <w:p>
      <w:pPr>
        <w:pStyle w:val="Heading2"/>
      </w:pPr>
      <w:r>
        <w:t xml:space="preserve">Capitolo 13 — Cosa dire al paziente</w:t>
      </w:r>
    </w:p>
    <w:p>
      <w:pPr>
        <w:pStyle w:val="BlockText"/>
      </w:pPr>
      <w:r>
        <w:rPr>
          <w:b/>
          <w:bCs/>
        </w:rPr>
        <w:t xml:space="preserve">In una riga:</w:t>
      </w:r>
      <w:r>
        <w:t xml:space="preserve"> </w:t>
      </w:r>
      <w:r>
        <w:t xml:space="preserve">ha già sentito</w:t>
      </w:r>
      <w:r>
        <w:t xml:space="preserve"> </w:t>
      </w:r>
      <w:r>
        <w:t xml:space="preserve">“è stress”</w:t>
      </w:r>
      <w:r>
        <w:t xml:space="preserve"> </w:t>
      </w:r>
      <w:r>
        <w:t xml:space="preserve">da cinque persone, e la frase che gli cambia la giornata è quella che gli spiega perché la risonanza era normale</w:t>
      </w:r>
      <w:r>
        <w:t xml:space="preserve"> </w:t>
      </w:r>
      <w:r>
        <w:rPr>
          <w:b/>
          <w:bCs/>
        </w:rPr>
        <w:t xml:space="preserve">e</w:t>
      </w:r>
      <w:r>
        <w:t xml:space="preserve"> </w:t>
      </w:r>
      <w:r>
        <w:t xml:space="preserve">il dolore è vero.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Sull’educazione del paziente in questa condizione</w:t>
      </w:r>
      <w:r>
        <w:t xml:space="preserve"> </w:t>
      </w:r>
      <w:r>
        <w:rPr>
          <w:b/>
          <w:bCs/>
        </w:rPr>
        <w:t xml:space="preserve">non esistono studi randomizzati rilevanti</w:t>
      </w:r>
      <w:r>
        <w:t xml:space="preserve">: la sintesi danese non ne ha identificato nessuno. E le assegna comunque l’unica raccomandazione di consenso del documento, mentre tutti gli altri approcci ne ricevono di deboli (Krøll,</w:t>
      </w:r>
      <w:r>
        <w:t xml:space="preserve"> </w:t>
      </w:r>
      <w:r>
        <w:rPr>
          <w:i/>
          <w:iCs/>
        </w:rPr>
        <w:t xml:space="preserve">J Headache Pain</w:t>
      </w:r>
      <w:r>
        <w:t xml:space="preserve"> </w:t>
      </w:r>
      <w:r>
        <w:t xml:space="preserve">2021, PMID 34418953). Massima raccomandazione, zero studi randomizzati: posizione onesta finché è scritta.</w:t>
      </w:r>
    </w:p>
    <w:bookmarkStart w:id="83" w:name="lo-script"/>
    <w:p>
      <w:pPr>
        <w:pStyle w:val="Heading3"/>
      </w:pPr>
      <w:r>
        <w:t xml:space="preserve">Lo script</w:t>
      </w:r>
    </w:p>
    <w:p>
      <w:pPr>
        <w:pStyle w:val="BlockText"/>
      </w:pPr>
      <w:r>
        <w:rPr>
          <w:i/>
          <w:iCs/>
        </w:rPr>
        <w:t xml:space="preserve">“La risonanza ha escluso le cose serie. Quello che ho trovato io non si vede nelle immagini: muscoli di collo, spalle e mandibola tesi per ore, che mandano segnale verso l’alto. Quando premo qui, lei riconosce il suo dolore: quello è il mio bersaglio. È un rubinetto che gocciola: nessuna goccia riempie niente, e a sera il lavandino è pieno. Io lavoro sul rubinetto. La terapia serale che le ha dato il medico non si tocca, e non ne parliamo né io né lei. Non le prometto che sparisce: le prometto che misuriamo se cambia, e in quanto tempo.”</w:t>
      </w:r>
    </w:p>
    <w:p>
      <w:pPr>
        <w:pStyle w:val="FirstParagraph"/>
      </w:pPr>
      <w:r>
        <w:t xml:space="preserve">La regola che regge lo script vale anche quando improvvisi:</w:t>
      </w:r>
      <w:r>
        <w:t xml:space="preserve"> </w:t>
      </w:r>
      <w:r>
        <w:rPr>
          <w:b/>
          <w:bCs/>
        </w:rPr>
        <w:t xml:space="preserve">si racconta il reperto trovato, mai l’origine del sintomo.</w:t>
      </w:r>
      <w:r>
        <w:t xml:space="preserve"> </w:t>
      </w:r>
      <w:r>
        <w:t xml:space="preserve">Dici</w:t>
      </w:r>
      <w:r>
        <w:t xml:space="preserve"> </w:t>
      </w:r>
      <w:r>
        <w:rPr>
          <w:i/>
          <w:iCs/>
        </w:rPr>
        <w:t xml:space="preserve">“ho trovato dei muscoli che riproducono il suo dolore”</w:t>
      </w:r>
      <w:r>
        <w:t xml:space="preserve">, non</w:t>
      </w:r>
      <w:r>
        <w:t xml:space="preserve"> </w:t>
      </w:r>
      <w:r>
        <w:rPr>
          <w:i/>
          <w:iCs/>
        </w:rPr>
        <w:t xml:space="preserve">“il suo dolore nasce dai muscoli”</w:t>
      </w:r>
      <w:r>
        <w:t xml:space="preserve">. La seconda è un’attribuzione di causa, cioè un atto diagnostico, e non è tua.</w:t>
      </w:r>
    </w:p>
    <w:bookmarkEnd w:id="83"/>
    <w:bookmarkStart w:id="84" w:name="le-obiezioni-e-le-risposte-oneste"/>
    <w:p>
      <w:pPr>
        <w:pStyle w:val="Heading3"/>
      </w:pPr>
      <w:r>
        <w:t xml:space="preserve">Le obiezioni, e le risposte oneste</w:t>
      </w:r>
    </w:p>
    <w:p>
      <w:pPr>
        <w:pStyle w:val="FirstParagraph"/>
      </w:pPr>
      <w:r>
        <w:rPr>
          <w:b/>
          <w:bCs/>
        </w:rPr>
        <w:t xml:space="preserve">“Ho fatto TAC e risonanza: tutto a posto. Quindi?”</w:t>
      </w:r>
      <w:r>
        <w:t xml:space="preserve"> </w:t>
      </w:r>
      <w:r>
        <w:rPr>
          <w:i/>
          <w:iCs/>
        </w:rPr>
        <w:t xml:space="preserve">“È la notizia che serviva: ha escluso le cause serie. Ma la risonanza guarda dentro il cranio, e quello che ho trovato io sta fuori — muscoli, tensione e sensibilità al dolore non si vedono in nessuna immagine. Un esame normale non è una spiegazione: è un’esclusione riuscita.”</w:t>
      </w:r>
    </w:p>
    <w:p>
      <w:pPr>
        <w:pStyle w:val="BodyText"/>
      </w:pPr>
      <w:r>
        <w:rPr>
          <w:b/>
          <w:bCs/>
        </w:rPr>
        <w:t xml:space="preserve">“È lo stress, me lo dicono tutti.”</w:t>
      </w:r>
      <w:r>
        <w:t xml:space="preserve"> </w:t>
      </w:r>
      <w:r>
        <w:rPr>
          <w:i/>
          <w:iCs/>
        </w:rPr>
        <w:t xml:space="preserve">“Vero a metà, ed è la metà che le hanno detto male. Lo stress alza il volume, non crea il segnale: il segnale arriva da muscoli che restano contratti per ore, e quelli si toccano e si misurano.”</w:t>
      </w:r>
    </w:p>
    <w:p>
      <w:pPr>
        <w:pStyle w:val="BodyText"/>
      </w:pPr>
      <w:r>
        <w:rPr>
          <w:b/>
          <w:bCs/>
        </w:rPr>
        <w:t xml:space="preserve">“Prendo una pastiglia e passa.”</w:t>
      </w:r>
      <w:r>
        <w:t xml:space="preserve"> </w:t>
      </w:r>
      <w:r>
        <w:rPr>
          <w:i/>
          <w:iCs/>
        </w:rPr>
        <w:t xml:space="preserve">“Finché la prende, sì, e prenderla quando serve non è un errore. Il punto è quante volte al mese: sopra una certa soglia il farmaco stesso può diventare parte del problema, e il percorso passa dal suo medico. Per questo le chiedo di contarle — non per giudicarla, ma perché è il numero che decide cosa possiamo fare io e lei.”</w:t>
      </w:r>
    </w:p>
    <w:p>
      <w:pPr>
        <w:pStyle w:val="BodyText"/>
      </w:pPr>
      <w:r>
        <w:rPr>
          <w:b/>
          <w:bCs/>
        </w:rPr>
        <w:t xml:space="preserve">“Prendo una pastiglia la sera, me l’ha data il neurologo.”</w:t>
      </w:r>
      <w:r>
        <w:t xml:space="preserve"> </w:t>
      </w:r>
      <w:r>
        <w:rPr>
          <w:i/>
          <w:iCs/>
        </w:rPr>
        <w:t xml:space="preserve">“Quella non è un antidolorifico: serve a ridurre il numero di giorni, si prende comunque, e non la tocchiamo né lei né io. Quello che le ho detto sul rubinetto vale per le pastiglie che prende quando ha già male.”</w:t>
      </w:r>
    </w:p>
    <w:p>
      <w:pPr>
        <w:pStyle w:val="BodyText"/>
      </w:pPr>
      <w:r>
        <w:rPr>
          <w:b/>
          <w:bCs/>
        </w:rPr>
        <w:t xml:space="preserve">“È mal di testa: cosa c’entra il collo?”</w:t>
      </w:r>
      <w:r>
        <w:t xml:space="preserve"> </w:t>
      </w:r>
      <w:r>
        <w:rPr>
          <w:i/>
          <w:iCs/>
        </w:rPr>
        <w:t xml:space="preserve">“C’entra per un motivo anatomico preciso: i segnali del collo e quelli della testa arrivano nello stesso punto del sistema nervoso, e da lì non sono più distinguibili. Adesso le faccio sentire: premo qui e lei mi dice se il dolore che sente è il suo.”</w:t>
      </w:r>
    </w:p>
    <w:p>
      <w:pPr>
        <w:pStyle w:val="BodyText"/>
      </w:pPr>
      <w:r>
        <w:t xml:space="preserve">E la frase che chiude il colloquio, e va detta come una cosa sola:</w:t>
      </w:r>
      <w:r>
        <w:t xml:space="preserve"> </w:t>
      </w:r>
      <w:r>
        <w:rPr>
          <w:b/>
          <w:bCs/>
        </w:rPr>
        <w:t xml:space="preserve">“io lavoro sulla componente muscolare che ho trovato. Il mal di testa va comunque inquadrato dal suo medico, e nel frattempo io non aspetto.”</w:t>
      </w:r>
    </w:p>
    <w:bookmarkEnd w:id="84"/>
    <w:bookmarkStart w:id="85" w:name="cosa-non-promettere-mai"/>
    <w:p>
      <w:pPr>
        <w:pStyle w:val="Heading3"/>
      </w:pPr>
      <w:r>
        <w:t xml:space="preserve">Cosa non promettere mai</w:t>
      </w:r>
    </w:p>
    <w:p>
      <w:pPr>
        <w:pStyle w:val="FirstParagraph"/>
      </w:pPr>
      <w:r>
        <w:t xml:space="preserve">Non promettere che il mal di testa sparisce. Non promettere che potrà smettere con le pastiglie: quel discorso è del suo medico, e tu non lo apri mai. Non dire che</w:t>
      </w:r>
      <w:r>
        <w:t xml:space="preserve"> </w:t>
      </w:r>
      <w:r>
        <w:t xml:space="preserve">“viene dalla cervicale”</w:t>
      </w:r>
      <w:r>
        <w:t xml:space="preserve">: è una diagnosi che non è tua, ed è un’affermazione che i dati non reggono. E non presentargli un confronto di superiorità fra il tuo lavoro e il farmaco.</w:t>
      </w:r>
    </w:p>
    <w:p>
      <w:pPr>
        <w:pStyle w:val="BlockText"/>
      </w:pPr>
      <w:r>
        <w:rPr>
          <w:b/>
          <w:bCs/>
        </w:rPr>
        <w:t xml:space="preserve">Attenzione — quello che il paziente deve sapere prima di uscire.</w:t>
      </w:r>
      <w:r>
        <w:t xml:space="preserve"> </w:t>
      </w:r>
      <w:r>
        <w:t xml:space="preserve">Un fastidio locale o un indolenzimento nelle 24-48 ore dopo la seduta rientra nell’atteso, e si dice. Va detto con la stessa chiarezza cosa</w:t>
      </w:r>
      <w:r>
        <w:t xml:space="preserve"> </w:t>
      </w:r>
      <w:r>
        <w:rPr>
          <w:b/>
          <w:bCs/>
        </w:rPr>
        <w:t xml:space="preserve">non</w:t>
      </w:r>
      <w:r>
        <w:t xml:space="preserve"> </w:t>
      </w:r>
      <w:r>
        <w:t xml:space="preserve">rientra: un mal di testa o un dolore al collo improvviso e diverso da tutti i suoi; vertigine, visione doppia o annebbiata, difficoltà a parlare, formicolio o debolezza a un braccio, instabilità nel camminare. Questi non si aspettano a domani e non si telefonano allo studio: si va in pronto soccorso, 112. Sono segnali che possono essere sfumati, e il paziente li riconosce solo se glieli hai nominati. È la contromisura al modello mentale che questa Bibbia costruisce, cioè mal di testa atteso, benigno e muscolare.</w:t>
      </w:r>
    </w:p>
    <w:p>
      <w:pPr>
        <w:pStyle w:val="FirstParagraph"/>
      </w:pPr>
      <w:r>
        <w:rPr>
          <w:b/>
          <w:bCs/>
        </w:rPr>
        <w:t xml:space="preserve">Le tre cose da ricordare, più una</w:t>
      </w:r>
    </w:p>
    <w:p>
      <w:pPr>
        <w:pStyle w:val="Compact"/>
        <w:numPr>
          <w:ilvl w:val="0"/>
          <w:numId w:val="1032"/>
        </w:numPr>
      </w:pPr>
      <w:r>
        <w:t xml:space="preserve">La metafora del rubinetto spiega l’orario, spiega perché il farmaco funziona a metà sull’episodio, e dice cosa fai tu. Non resta mai l’ultima frase, e non si applica alla profilassi.</w:t>
      </w:r>
    </w:p>
    <w:p>
      <w:pPr>
        <w:pStyle w:val="Compact"/>
        <w:numPr>
          <w:ilvl w:val="0"/>
          <w:numId w:val="1032"/>
        </w:numPr>
      </w:pPr>
      <w:r>
        <w:t xml:space="preserve">Fagli sentire il punto che riproduce il dolore alla prima seduta: vale più di venti minuti di spiegazione.</w:t>
      </w:r>
    </w:p>
    <w:p>
      <w:pPr>
        <w:pStyle w:val="Compact"/>
        <w:numPr>
          <w:ilvl w:val="0"/>
          <w:numId w:val="1032"/>
        </w:numPr>
      </w:pPr>
      <w:r>
        <w:t xml:space="preserve">Prima che esca, digli cosa non deve aspettare fino a domani.</w:t>
      </w:r>
    </w:p>
    <w:p>
      <w:pPr>
        <w:pStyle w:val="Compact"/>
        <w:numPr>
          <w:ilvl w:val="0"/>
          <w:numId w:val="1032"/>
        </w:numPr>
      </w:pPr>
      <w:r>
        <w:rPr>
          <w:b/>
          <w:bCs/>
        </w:rPr>
        <w:t xml:space="preserve">Perché ci sei tu.</w:t>
      </w:r>
      <w:r>
        <w:t xml:space="preserve"> </w:t>
      </w:r>
      <w:r>
        <w:t xml:space="preserve">Un’ora a settimana di forza per collo e spalle ha dimezzato frequenza e intensità in 573 impiegati randomizzati per venti settimane. E le pastiglie sono scese solo dove l’allenamento era supervisionato (Andersen CH,</w:t>
      </w:r>
      <w:r>
        <w:t xml:space="preserve"> </w:t>
      </w:r>
      <w:r>
        <w:rPr>
          <w:i/>
          <w:iCs/>
        </w:rPr>
        <w:t xml:space="preserve">Musculoskelet Sci Pract</w:t>
      </w:r>
      <w:r>
        <w:t xml:space="preserve"> </w:t>
      </w:r>
      <w:r>
        <w:t xml:space="preserve">2017, PMID 28854396). Ti autorizza a dirgli che una parte del risultato dipende da lui, con un numero vero in mano. Non ti autorizza a consegnargli una scheda e considerare fatta la tua parte: il dato dice l’opposto.</w:t>
      </w:r>
    </w:p>
    <w:p>
      <w:r>
        <w:pict>
          <v:rect style="width:0;height:1.5pt" o:hralign="center" o:hrstd="t" o:hr="t"/>
        </w:pict>
      </w:r>
    </w:p>
    <w:bookmarkEnd w:id="85"/>
    <w:bookmarkEnd w:id="86"/>
    <w:bookmarkStart w:id="87" w:name="capitolo-14-cosa-fare-adesso"/>
    <w:p>
      <w:pPr>
        <w:pStyle w:val="Heading2"/>
      </w:pPr>
      <w:r>
        <w:t xml:space="preserve">Capitolo 14 — Cosa fare adesso</w:t>
      </w:r>
    </w:p>
    <w:p>
      <w:pPr>
        <w:pStyle w:val="BlockText"/>
      </w:pPr>
      <w:r>
        <w:rPr>
          <w:b/>
          <w:bCs/>
        </w:rPr>
        <w:t xml:space="preserve">In una riga:</w:t>
      </w:r>
      <w:r>
        <w:t xml:space="preserve"> </w:t>
      </w:r>
      <w:r>
        <w:t xml:space="preserve">una condizione diffusissima, con fisiologia solida, terapia manuale dalle prove deboli ed esercizio dalle prove buone ma non unanimi — e il tuo mestiere è tenerle insieme senza gonfiarne nessuna.</w:t>
      </w:r>
    </w:p>
    <w:p>
      <w:pPr>
        <w:pStyle w:val="FirstParagraph"/>
      </w:pPr>
      <w:r>
        <w:t xml:space="preserve">Ti arriva una persona che ha escluso il grave e non ha ottenuto una spiegazione. Il suo dolore comincia a un’ora prevedibile perché qualcosa si accumula: muscoli del collo, della nuca e della mandibola che scaricano segnale tutto il giorno. Quel segnale entra in una stazione dove collo e testa diventano la stessa cosa, sotto un freno che l’allerta allenta. Se dura abbastanza, la stazione si ritara, il freno si inverte, la soglia si abbassa dappertutto. È lì che l’episodico diventa cronico e cambia categoria di dolore.</w:t>
      </w:r>
    </w:p>
    <w:p>
      <w:pPr>
        <w:pStyle w:val="BodyText"/>
      </w:pPr>
      <w:r>
        <w:t xml:space="preserve">Le tue leve stanno sull’ingresso: il tessuto, il punto che riproduce il quadro, il modo in cui tratti. La leva più forte non è nelle tue mani, è nelle sue. E il tuo campo finisce in tre punti: dove il dolore cambia forma, dove il collo fa male in un modo che non ha mai fatto, o dove il conteggio delle pastiglie supera la soglia.</w:t>
      </w:r>
    </w:p>
    <w:p>
      <w:pPr>
        <w:pStyle w:val="BodyText"/>
      </w:pPr>
      <w:r>
        <w:rPr>
          <w:b/>
          <w:bCs/>
        </w:rPr>
        <w:t xml:space="preserve">Le tre cose che cambi da lunedì</w:t>
      </w:r>
    </w:p>
    <w:p>
      <w:pPr>
        <w:pStyle w:val="Compact"/>
        <w:numPr>
          <w:ilvl w:val="0"/>
          <w:numId w:val="1033"/>
        </w:numPr>
      </w:pPr>
      <w:r>
        <w:rPr>
          <w:b/>
          <w:bCs/>
        </w:rPr>
        <w:t xml:space="preserve">Misura fuori dalla testa prima di toccare il collo.</w:t>
      </w:r>
      <w:r>
        <w:t xml:space="preserve"> </w:t>
      </w:r>
      <w:r>
        <w:t xml:space="preserve">Algometro sul secondo metacarpo, mediana di tre, scritta prima. E dove la soglia parte già normale, aggiungi il test di funzione. È il numero che ti dice se hai un quadro nocicettivo o un sistema sensibilizzato, e cambia obiettivo, orizzonte e comunicazione. Se l’algometro non c’è, la verifica è quella differita, e va scritta come tale.</w:t>
      </w:r>
    </w:p>
    <w:p>
      <w:pPr>
        <w:pStyle w:val="Compact"/>
        <w:numPr>
          <w:ilvl w:val="0"/>
          <w:numId w:val="1033"/>
        </w:numPr>
      </w:pPr>
      <w:r>
        <w:rPr>
          <w:b/>
          <w:bCs/>
        </w:rPr>
        <w:t xml:space="preserve">Fai due domande in più alla prima seduta.</w:t>
      </w:r>
      <w:r>
        <w:t xml:space="preserve"> </w:t>
      </w:r>
      <w:r>
        <w:rPr>
          <w:i/>
          <w:iCs/>
        </w:rPr>
        <w:t xml:space="preserve">“Quante volte al mese prende qualcosa?”</w:t>
      </w:r>
      <w:r>
        <w:t xml:space="preserve">, dicendo perché lo chiedi. E</w:t>
      </w:r>
      <w:r>
        <w:t xml:space="preserve"> </w:t>
      </w:r>
      <w:r>
        <w:rPr>
          <w:i/>
          <w:iCs/>
        </w:rPr>
        <w:t xml:space="preserve">“com’è appena sveglio?”</w:t>
      </w:r>
      <w:r>
        <w:t xml:space="preserve">. La prima decide l’uscita del triage; la seconda apre la metà del capitolo dei sottotipi che questa Bibbia teneva chiusa.</w:t>
      </w:r>
    </w:p>
    <w:p>
      <w:pPr>
        <w:pStyle w:val="Compact"/>
        <w:numPr>
          <w:ilvl w:val="0"/>
          <w:numId w:val="1033"/>
        </w:numPr>
      </w:pPr>
      <w:r>
        <w:rPr>
          <w:b/>
          <w:bCs/>
        </w:rPr>
        <w:t xml:space="preserve">Smetti di parlare di postura, e comincia a nominare il collo che fa male in modo nuovo.</w:t>
      </w:r>
      <w:r>
        <w:t xml:space="preserve"> </w:t>
      </w:r>
      <w:r>
        <w:t xml:space="preserve">La postura non correlava con niente dove è stata misurata. Il collo che fa male in modo nuovo è la riga vascolare del Blocco A, l’unico evento catastrofico che questa condizione può produrre.</w:t>
      </w:r>
    </w:p>
    <w:p>
      <w:pPr>
        <w:pStyle w:val="FirstParagraph"/>
      </w:pPr>
      <w:r>
        <w:rPr>
          <w:i/>
          <w:iCs/>
        </w:rPr>
        <w:t xml:space="preserve">Questa è una delle condizioni in cui la parte che ti riguarda non l’hanno messa lì gli osteopati: ce l’ha messa la neurologia, quando ha scritto che il dolore di questa cefalea nasce probabilmente in periferia. Non capita spesso di lavorare dentro una fisiopatologia che qualcun altro ha già accettato al posto tuo. Il modo per non sprecarla è uno solo: misurare quello che dichiari, e dichiarare solo quello che hai misurato.</w:t>
      </w:r>
    </w:p>
    <w:p>
      <w:pPr>
        <w:pStyle w:val="BodyText"/>
      </w:pPr>
      <w:r>
        <w:rPr>
          <w:b/>
          <w:bCs/>
        </w:rPr>
        <w:t xml:space="preserve">Le tre cose da ricordare, più una</w:t>
      </w:r>
    </w:p>
    <w:p>
      <w:pPr>
        <w:pStyle w:val="Compact"/>
        <w:numPr>
          <w:ilvl w:val="0"/>
          <w:numId w:val="1034"/>
        </w:numPr>
      </w:pPr>
      <w:r>
        <w:t xml:space="preserve">Misura fuori dalla testa prima di toccare il collo, e dichiara quale verifica hai davvero a disposizione.</w:t>
      </w:r>
    </w:p>
    <w:p>
      <w:pPr>
        <w:pStyle w:val="Compact"/>
        <w:numPr>
          <w:ilvl w:val="0"/>
          <w:numId w:val="1034"/>
        </w:numPr>
      </w:pPr>
      <w:r>
        <w:t xml:space="preserve">Chiedi il conteggio delle assunzioni e com’è al risveglio, e di’ perché lo chiedi.</w:t>
      </w:r>
    </w:p>
    <w:p>
      <w:pPr>
        <w:pStyle w:val="Compact"/>
        <w:numPr>
          <w:ilvl w:val="0"/>
          <w:numId w:val="1034"/>
        </w:numPr>
      </w:pPr>
      <w:r>
        <w:t xml:space="preserve">Togli la postura dalle spiegazioni; metti la riga vascolare nella tua anamnesi.</w:t>
      </w:r>
    </w:p>
    <w:p>
      <w:pPr>
        <w:pStyle w:val="Compact"/>
        <w:numPr>
          <w:ilvl w:val="0"/>
          <w:numId w:val="1034"/>
        </w:numPr>
      </w:pPr>
      <w:r>
        <w:rPr>
          <w:b/>
          <w:bCs/>
        </w:rPr>
        <w:t xml:space="preserve">Perché ci sei tu.</w:t>
      </w:r>
      <w:r>
        <w:t xml:space="preserve"> </w:t>
      </w:r>
      <w:r>
        <w:t xml:space="preserve">Nel confronto diretto su cinque studi randomizzati, la terapia manuale è risultata più efficace della farmacologica su frequenza, intensità e durata</w:t>
      </w:r>
      <w:r>
        <w:t xml:space="preserve"> </w:t>
      </w:r>
      <w:r>
        <w:rPr>
          <w:b/>
          <w:bCs/>
        </w:rPr>
        <w:t xml:space="preserve">subito dopo il trattamento</w:t>
      </w:r>
      <w:r>
        <w:t xml:space="preserve">, e non diversa al controllo più lontano. Le differenze medie pesate stanno fra −0,56 e −0,80, e gli autori raccomandano cautela per l’eterogeneità (Mesa-Jiménez,</w:t>
      </w:r>
      <w:r>
        <w:t xml:space="preserve"> </w:t>
      </w:r>
      <w:r>
        <w:rPr>
          <w:i/>
          <w:iCs/>
        </w:rPr>
        <w:t xml:space="preserve">Cephalalgia</w:t>
      </w:r>
      <w:r>
        <w:t xml:space="preserve"> </w:t>
      </w:r>
      <w:r>
        <w:t xml:space="preserve">2015, PMID 25748428). Ti autorizza a dichiarare</w:t>
      </w:r>
      <w:r>
        <w:t xml:space="preserve"> </w:t>
      </w:r>
      <w:r>
        <w:rPr>
          <w:b/>
          <w:bCs/>
        </w:rPr>
        <w:t xml:space="preserve">al medico</w:t>
      </w:r>
      <w:r>
        <w:t xml:space="preserve"> </w:t>
      </w:r>
      <w:r>
        <w:t xml:space="preserve">l’orizzonte su cui il tuo lavoro ha mostrato qualcosa. Non ti autorizza a presentare al paziente un confronto di superiorità sul farmaco, né a promettere che quel vantaggio duri.</w:t>
      </w:r>
    </w:p>
    <w:p>
      <w:r>
        <w:pict>
          <v:rect style="width:0;height:1.5pt" o:hralign="center" o:hrstd="t" o:hr="t"/>
        </w:pict>
      </w:r>
    </w:p>
    <w:bookmarkEnd w:id="87"/>
    <w:bookmarkStart w:id="146" w:name="appendice-a-glossario"/>
    <w:p>
      <w:pPr>
        <w:pStyle w:val="Heading2"/>
      </w:pPr>
      <w:r>
        <w:t xml:space="preserve">Appendice A — Glossario</w:t>
      </w:r>
    </w:p>
    <w:p>
      <w:pPr>
        <w:pStyle w:val="FirstParagraph"/>
      </w:pPr>
      <w:r>
        <w:rPr>
          <w:b/>
          <w:bCs/>
        </w:rPr>
        <w:t xml:space="preserve">Bandiera rossa</w:t>
      </w:r>
      <w:r>
        <w:t xml:space="preserve"> </w:t>
      </w:r>
      <w:r>
        <w:t xml:space="preserve">— Un segnale clinico che alza la probabilità che il mal di testa non sia primario. Richiede un accertamento medico prima o al posto del trattamento.</w:t>
      </w:r>
    </w:p>
    <w:p>
      <w:pPr>
        <w:pStyle w:val="BodyText"/>
      </w:pPr>
      <w:r>
        <w:rPr>
          <w:b/>
          <w:bCs/>
        </w:rPr>
        <w:t xml:space="preserve">Catena</w:t>
      </w:r>
      <w:r>
        <w:t xml:space="preserve"> </w:t>
      </w:r>
      <w:r>
        <w:t xml:space="preserve">—</w:t>
      </w:r>
      <w:r>
        <w:t xml:space="preserve"> </w:t>
      </w:r>
      <w:r>
        <w:rPr>
          <w:i/>
          <w:iCs/>
        </w:rPr>
        <w:t xml:space="preserve">Definizione canonica.</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BodyText"/>
      </w:pPr>
      <w:r>
        <w:rPr>
          <w:b/>
          <w:bCs/>
        </w:rPr>
        <w:t xml:space="preserve">Cefalea primaria</w:t>
      </w:r>
      <w:r>
        <w:t xml:space="preserve"> </w:t>
      </w:r>
      <w:r>
        <w:t xml:space="preserve">— Un mal di testa che è la malattia stessa, e non il sintomo di un’altra condizione.</w:t>
      </w:r>
    </w:p>
    <w:p>
      <w:pPr>
        <w:pStyle w:val="BodyText"/>
      </w:pPr>
      <w:r>
        <w:rPr>
          <w:b/>
          <w:bCs/>
        </w:rPr>
        <w:t xml:space="preserve">Cefalea secondaria</w:t>
      </w:r>
      <w:r>
        <w:t xml:space="preserve"> </w:t>
      </w:r>
      <w:r>
        <w:t xml:space="preserve">— Un mal di testa che è il sintomo di un’altra condizione, che va identificata.</w:t>
      </w:r>
    </w:p>
    <w:p>
      <w:pPr>
        <w:pStyle w:val="BodyText"/>
      </w:pPr>
      <w:r>
        <w:rPr>
          <w:b/>
          <w:bCs/>
        </w:rPr>
        <w:t xml:space="preserve">Cefalea da uso eccessivo di farmaci</w:t>
      </w:r>
      <w:r>
        <w:t xml:space="preserve"> </w:t>
      </w:r>
      <w:r>
        <w:t xml:space="preserve">— Mal di testa presente quindici giorni al mese o più, in chi assume troppi farmaci da almeno tre mesi. La soglia è quindici giorni al mese o più per gli analgesici semplici, dieci o più per le combinazioni e i triptani.</w:t>
      </w:r>
    </w:p>
    <w:p>
      <w:pPr>
        <w:pStyle w:val="BodyText"/>
      </w:pPr>
      <w:r>
        <w:rPr>
          <w:b/>
          <w:bCs/>
        </w:rPr>
        <w:t xml:space="preserve">Chiave di volta</w:t>
      </w:r>
      <w:r>
        <w:t xml:space="preserve"> </w:t>
      </w:r>
      <w:r>
        <w:t xml:space="preserve">— La pietra in cima a un arco: se la togli, cade tutto il resto. Dà il nome alla prova in cui tratti il piano che sospetti dominante, e verifichi se si muove anche qualcosa che non hai toccato.</w:t>
      </w:r>
    </w:p>
    <w:p>
      <w:pPr>
        <w:pStyle w:val="BodyText"/>
      </w:pPr>
      <w:r>
        <w:rPr>
          <w:b/>
          <w:bCs/>
        </w:rPr>
        <w:t xml:space="preserve">Compenso</w:t>
      </w:r>
      <w:r>
        <w:t xml:space="preserve"> </w:t>
      </w:r>
      <w:r>
        <w:t xml:space="preserve">—</w:t>
      </w:r>
      <w:r>
        <w:t xml:space="preserve"> </w:t>
      </w:r>
      <w:r>
        <w:rPr>
          <w:i/>
          <w:iCs/>
        </w:rPr>
        <w:t xml:space="preserve">Definizione canonica.</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Complesso trigemino-cervicale</w:t>
      </w:r>
      <w:r>
        <w:t xml:space="preserve"> </w:t>
      </w:r>
      <w:r>
        <w:t xml:space="preserve">— Il continuum funzionale fra la parte più bassa del nucleo trigeminale e le corna dorsali di C1-C3. Lì terminano insieme le fibre del trigemino e quelle delle prime tre radici cervicali. Non è un nucleo unico, ed è per questo che si chiama complesso.</w:t>
      </w:r>
    </w:p>
    <w:p>
      <w:pPr>
        <w:pStyle w:val="BodyText"/>
      </w:pPr>
      <w:r>
        <w:rPr>
          <w:b/>
          <w:bCs/>
        </w:rPr>
        <w:t xml:space="preserve">Conduttanza cutanea</w:t>
      </w:r>
      <w:r>
        <w:t xml:space="preserve"> </w:t>
      </w:r>
      <w:r>
        <w:t xml:space="preserve">— Quanto la pelle conduce elettricità: sale con l’attività del sistema nervoso simpatico. È una misura di attivazione, non di calma.</w:t>
      </w:r>
    </w:p>
    <w:p>
      <w:pPr>
        <w:pStyle w:val="BodyText"/>
      </w:pPr>
      <w:r>
        <w:rPr>
          <w:b/>
          <w:bCs/>
        </w:rPr>
        <w:t xml:space="preserve">Differenza standardizzata</w:t>
      </w:r>
      <w:r>
        <w:t xml:space="preserve"> </w:t>
      </w:r>
      <w:r>
        <w:t xml:space="preserve">— Modo di confrontare studi che hanno usato scale diverse, esprimendo la distanza fra due gruppi in</w:t>
      </w:r>
      <w:r>
        <w:t xml:space="preserve"> </w:t>
      </w:r>
      <w:r>
        <w:t xml:space="preserve">“quante deviazioni”</w:t>
      </w:r>
      <w:r>
        <w:t xml:space="preserve">. Come ordine di grandezza: 0,2 piccola, 0,5 media, 0,8 grande, vicino a 0 nessuna differenza.</w:t>
      </w:r>
    </w:p>
    <w:p>
      <w:pPr>
        <w:pStyle w:val="BodyText"/>
      </w:pPr>
      <w:r>
        <w:rPr>
          <w:b/>
          <w:bCs/>
        </w:rPr>
        <w:t xml:space="preserve">DIMOSTRATO</w:t>
      </w:r>
      <w:r>
        <w:t xml:space="preserve"> </w:t>
      </w:r>
      <w:r>
        <w:t xml:space="preserve">— Etichetta di solidità: studi sull’uomo, solidi. Copre studi controllati, revisioni sistematiche solide e misura sperimentale diretta nell’uomo.</w:t>
      </w:r>
    </w:p>
    <w:p>
      <w:pPr>
        <w:pStyle w:val="BodyText"/>
      </w:pPr>
      <w:r>
        <w:rPr>
          <w:b/>
          <w:bCs/>
        </w:rPr>
        <w:t xml:space="preserve">Disfunzione somatica</w:t>
      </w:r>
      <w:r>
        <w:t xml:space="preserve"> </w:t>
      </w:r>
      <w:r>
        <w:t xml:space="preserve">—</w:t>
      </w:r>
      <w:r>
        <w:t xml:space="preserve"> </w:t>
      </w:r>
      <w:r>
        <w:rPr>
          <w:i/>
          <w:iCs/>
        </w:rPr>
        <w:t xml:space="preserve">Definizione canonica.</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BodyText"/>
      </w:pPr>
      <w:r>
        <w:rPr>
          <w:b/>
          <w:bCs/>
        </w:rPr>
        <w:t xml:space="preserve">Dolore nociplastico</w:t>
      </w:r>
      <w:r>
        <w:t xml:space="preserve"> </w:t>
      </w:r>
      <w:r>
        <w:t xml:space="preserve">— Dolore che nasce da un’alterazione del modo in cui il sistema nervoso elabora il segnale, senza un danno tissutale che lo giustifichi. La forma cronica di questa cefalea rientra qui, e la categoria porta con sé la previsione di una risposta ridotta alle terapie dirette alla periferia.</w:t>
      </w:r>
    </w:p>
    <w:p>
      <w:pPr>
        <w:pStyle w:val="BodyText"/>
      </w:pPr>
      <w:r>
        <w:rPr>
          <w:b/>
          <w:bCs/>
        </w:rPr>
        <w:t xml:space="preserve">Dolore riferito</w:t>
      </w:r>
      <w:r>
        <w:t xml:space="preserve"> </w:t>
      </w:r>
      <w:r>
        <w:t xml:space="preserve">— Dolore percepito in una sede diversa da quella in cui viene applicato lo stimolo.</w:t>
      </w:r>
    </w:p>
    <w:p>
      <w:pPr>
        <w:pStyle w:val="BodyText"/>
      </w:pPr>
      <w:r>
        <w:rPr>
          <w:b/>
          <w:bCs/>
        </w:rPr>
        <w:t xml:space="preserve">Escursione cervicale regionale</w:t>
      </w:r>
      <w:r>
        <w:t xml:space="preserve"> </w:t>
      </w:r>
      <w:r>
        <w:t xml:space="preserve">— Quanto si muove il collo nel suo insieme, misurato in gradi. È riproducibile fra esaminatori, e per questo fonda il mandato. La</w:t>
      </w:r>
      <w:r>
        <w:t xml:space="preserve"> </w:t>
      </w:r>
      <w:r>
        <w:rPr>
          <w:b/>
          <w:bCs/>
        </w:rPr>
        <w:t xml:space="preserve">mobilità segmentale</w:t>
      </w:r>
      <w:r>
        <w:t xml:space="preserve">, cioè la valutazione manuale del movimento di un singolo livello vertebrale, resta invece orientamento.</w:t>
      </w:r>
    </w:p>
    <w:p>
      <w:pPr>
        <w:pStyle w:val="BodyText"/>
      </w:pPr>
      <w:r>
        <w:rPr>
          <w:b/>
          <w:bCs/>
        </w:rPr>
        <w:t xml:space="preserve">Freno discendente (modulazione discendente)</w:t>
      </w:r>
      <w:r>
        <w:t xml:space="preserve"> </w:t>
      </w:r>
      <w:r>
        <w:t xml:space="preserve">— Le vie che scendono dal tronco encefalico e riducono il guadagno del primo relè del dolore. Nella forma cronica di questa cefalea non è solo carente: si inverte.</w:t>
      </w:r>
    </w:p>
    <w:p>
      <w:pPr>
        <w:pStyle w:val="BodyText"/>
      </w:pPr>
      <w:r>
        <w:rPr>
          <w:b/>
          <w:bCs/>
        </w:rPr>
        <w:t xml:space="preserve">Fuso neuromuscolare</w:t>
      </w:r>
      <w:r>
        <w:t xml:space="preserve"> </w:t>
      </w:r>
      <w:r>
        <w:t xml:space="preserve">— Il sensore di lunghezza dentro il muscolo, che informa il sistema nervoso su quanto il muscolo è allungato. È una via propriocettiva, non nocicettiva: non produce dolore.</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kPa</w:t>
      </w:r>
      <w:r>
        <w:t xml:space="preserve"> </w:t>
      </w:r>
      <w:r>
        <w:t xml:space="preserve">— Kilopascal, l’unità in cui si misura una pressione. Un algometro dice a quanti kPa il paziente comincia a sentire dolore invece che pressione. Fra pazienti diversi il valore assoluto conta poco: conta la variazione dello stesso paziente.</w:t>
      </w:r>
    </w:p>
    <w:p>
      <w:pPr>
        <w:pStyle w:val="BodyText"/>
      </w:pPr>
      <w:r>
        <w:rPr>
          <w:b/>
          <w:bCs/>
        </w:rPr>
        <w:t xml:space="preserve">Lesione primaria</w:t>
      </w:r>
      <w:r>
        <w:t xml:space="preserve"> </w:t>
      </w:r>
      <w:r>
        <w:t xml:space="preserve">—</w:t>
      </w:r>
      <w:r>
        <w:t xml:space="preserve"> </w:t>
      </w:r>
      <w:r>
        <w:rPr>
          <w:i/>
          <w:iCs/>
        </w:rPr>
        <w:t xml:space="preserve">Definizione canonica.</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w:t>
      </w:r>
      <w:r>
        <w:t xml:space="preserve"> </w:t>
      </w:r>
      <w:r>
        <w:rPr>
          <w:i/>
          <w:iCs/>
        </w:rPr>
        <w:t xml:space="preserve">Definizione canonica.</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Modulazione condizionata del dolore (CPM)</w:t>
      </w:r>
      <w:r>
        <w:t xml:space="preserve"> </w:t>
      </w:r>
      <w:r>
        <w:t xml:space="preserve">— Test che misura se il freno discendente funziona. Si prende una soglia di dolore, poi la si riprende mentre un secondo stimolo doloroso è applicato altrove. Nel sistema che modula bene la soglia sale; nel profilo pro-nocicettivo resta ferma o scende.</w:t>
      </w:r>
    </w:p>
    <w:p>
      <w:pPr>
        <w:pStyle w:val="BodyText"/>
      </w:pPr>
      <w:r>
        <w:rPr>
          <w:b/>
          <w:bCs/>
        </w:rPr>
        <w:t xml:space="preserve">Muscoli pericranici</w:t>
      </w:r>
      <w:r>
        <w:t xml:space="preserve"> </w:t>
      </w:r>
      <w:r>
        <w:t xml:space="preserve">— I muscoli che avvolgono cranio e collo, e che il metodo internazionale di palpazione esamina in otto siti per lato.</w:t>
      </w:r>
    </w:p>
    <w:p>
      <w:pPr>
        <w:pStyle w:val="BodyText"/>
      </w:pPr>
      <w:r>
        <w:rPr>
          <w:b/>
          <w:bCs/>
        </w:rPr>
        <w:t xml:space="preserve">Piano</w:t>
      </w:r>
      <w:r>
        <w:t xml:space="preserve"> </w:t>
      </w:r>
      <w:r>
        <w:t xml:space="preserve">— Uno dei cinque modelli osteopatici, guardato dal punto di vista della decisione clinica: quando si sceglie su cosa agire per primo, i modelli si chiamano piani. Per la gerarchia fra chi regola e chi esegue si usa invece</w:t>
      </w:r>
      <w:r>
        <w:t xml:space="preserve"> </w:t>
      </w:r>
      <w:r>
        <w:rPr>
          <w:b/>
          <w:bCs/>
        </w:rPr>
        <w:t xml:space="preserve">livello</w:t>
      </w:r>
      <w:r>
        <w:t xml:space="preserv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Profilassi</w:t>
      </w:r>
      <w:r>
        <w:t xml:space="preserve"> </w:t>
      </w:r>
      <w:r>
        <w:t xml:space="preserve">— Un farmaco assunto con regolarità per ridurre il numero di episodi, indipendentemente dalla presenza del sintomo. Non è un antidolorifico.</w:t>
      </w:r>
    </w:p>
    <w:p>
      <w:pPr>
        <w:pStyle w:val="BodyText"/>
      </w:pPr>
      <w:r>
        <w:rPr>
          <w:b/>
          <w:bCs/>
        </w:rPr>
        <w:t xml:space="preserve">Punto attivo</w:t>
      </w:r>
      <w:r>
        <w:t xml:space="preserve"> </w:t>
      </w:r>
      <w:r>
        <w:t xml:space="preserve">— Zona ipersensibile dentro un muscolo, il cui dolore riferito riproduce il quadro spontaneo del paziente. Se il dolore riferito non è riconosciuto, il punto si dice latente. La riproduzione del dolore è il segno più riproducibile fra esaminatori; la banda tesa il meno.</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Randomizzazione per grappoli</w:t>
      </w:r>
      <w:r>
        <w:t xml:space="preserve"> </w:t>
      </w:r>
      <w:r>
        <w:t xml:space="preserve">— Assegnazione al caso di interi gruppi — reparti, aziende, scuole — invece che di singole persone.</w:t>
      </w:r>
    </w:p>
    <w:p>
      <w:pPr>
        <w:pStyle w:val="BodyText"/>
      </w:pPr>
      <w:r>
        <w:rPr>
          <w:b/>
          <w:bCs/>
        </w:rPr>
        <w:t xml:space="preserve">Regola di verifica</w:t>
      </w:r>
      <w:r>
        <w:t xml:space="preserve"> </w:t>
      </w:r>
      <w:r>
        <w:t xml:space="preserve">— La regola che impone che il numero con cui giudichi il tuo lavoro appartenga a un piano che non hai trattato. È ciò che resta, in questa condizione, dopo che è stata tolta la regola di non trattare dove il paziente sente male.</w:t>
      </w:r>
    </w:p>
    <w:p>
      <w:pPr>
        <w:pStyle w:val="BodyText"/>
      </w:pPr>
      <w:r>
        <w:rPr>
          <w:b/>
          <w:bCs/>
        </w:rPr>
        <w:t xml:space="preserve">Reperto disfunzionale</w:t>
      </w:r>
      <w:r>
        <w:t xml:space="preserve"> </w:t>
      </w:r>
      <w:r>
        <w:t xml:space="preserve">—</w:t>
      </w:r>
      <w:r>
        <w:t xml:space="preserve"> </w:t>
      </w:r>
      <w:r>
        <w:rPr>
          <w:i/>
          <w:iCs/>
        </w:rPr>
        <w:t xml:space="preserve">Definizione canonica.</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Sensibilizzazione centrale</w:t>
      </w:r>
      <w:r>
        <w:t xml:space="preserve"> </w:t>
      </w:r>
      <w:r>
        <w:t xml:space="preserve">— Aumento della risposta dei neuroni centrali a un ingresso normale, per cui stimoli che di solito non fanno male cominciano a farlo.</w:t>
      </w:r>
    </w:p>
    <w:p>
      <w:pPr>
        <w:pStyle w:val="BodyText"/>
      </w:pPr>
      <w:r>
        <w:rPr>
          <w:b/>
          <w:bCs/>
        </w:rPr>
        <w:t xml:space="preserve">Sistema dominante</w:t>
      </w:r>
      <w:r>
        <w:t xml:space="preserve"> </w:t>
      </w:r>
      <w:r>
        <w:t xml:space="preserve">—</w:t>
      </w:r>
      <w:r>
        <w:t xml:space="preserve"> </w:t>
      </w:r>
      <w:r>
        <w:rPr>
          <w:i/>
          <w:iCs/>
        </w:rPr>
        <w:t xml:space="preserve">Definizione canonica.</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SNNOOP10</w:t>
      </w:r>
      <w:r>
        <w:t xml:space="preserve"> </w:t>
      </w:r>
      <w:r>
        <w:t xml:space="preserve">— Sigla della lista internazionale dei segnali che aumentano la probabilità di una cefalea secondaria.</w:t>
      </w:r>
    </w:p>
    <w:p>
      <w:pPr>
        <w:pStyle w:val="BodyText"/>
      </w:pPr>
      <w:r>
        <w:rPr>
          <w:b/>
          <w:bCs/>
        </w:rPr>
        <w:t xml:space="preserve">Soglia di pressione dolorosa</w:t>
      </w:r>
      <w:r>
        <w:t xml:space="preserve"> </w:t>
      </w:r>
      <w:r>
        <w:t xml:space="preserve">— La pressione minima, misurata con un algometro, alla quale il paziente comincia a sentire dolore invece che semplice pressione.</w:t>
      </w:r>
    </w:p>
    <w:p>
      <w:pPr>
        <w:pStyle w:val="BodyText"/>
      </w:pPr>
      <w:r>
        <w:rPr>
          <w:b/>
          <w:bCs/>
        </w:rPr>
        <w:t xml:space="preserve">Total Tenderness Score</w:t>
      </w:r>
      <w:r>
        <w:t xml:space="preserve"> </w:t>
      </w:r>
      <w:r>
        <w:t xml:space="preserve">— Punteggio del dolore alla palpazione dei muscoli pericranici:</w:t>
      </w:r>
      <w:r>
        <w:t xml:space="preserve"> </w:t>
      </w:r>
      <w:r>
        <w:rPr>
          <w:b/>
          <w:bCs/>
        </w:rPr>
        <w:t xml:space="preserve">otto siti per lato</w:t>
      </w:r>
      <w:r>
        <w:t xml:space="preserve"> </w:t>
      </w:r>
      <w:r>
        <w:t xml:space="preserve">— frontale, temporale, massetere, processo coronoideo, processo mastoideo, sternocleidomastoideo, trapezio superiore, inserzioni dei muscoli posteriori del collo — da 0 a 3 ciascuno, per un totale da</w:t>
      </w:r>
      <w:r>
        <w:t xml:space="preserve"> </w:t>
      </w:r>
      <w:r>
        <w:rPr>
          <w:b/>
          <w:bCs/>
        </w:rPr>
        <w:t xml:space="preserve">0 a 48</w:t>
      </w:r>
      <w:r>
        <w:t xml:space="preserve">.</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Appendice B — Le fonti</w:t>
            </w:r>
          </w:p>
        </w:tc>
      </w:tr>
      <w:tr>
        <w:tc>
          <w:tcPr/>
          <w:p>
            <w:pPr>
              <w:pStyle w:val="Compact"/>
            </w:pPr>
            <w:r>
              <w:t xml:space="preserve">Tutte verificate su PubMed. Le voci contrassegnate con ▲ sono state aggiunte in v2 su rilievo dei revisori di primo livello; quelle con ● in v3, su rilievo dei revisori di secondo livello.</w:t>
            </w:r>
          </w:p>
        </w:tc>
      </w:tr>
      <w:tr>
        <w:tc>
          <w:tcPr/>
          <w:p>
            <w:pPr>
              <w:pStyle w:val="Compact"/>
            </w:pPr>
            <w:r>
              <w:t xml:space="preserve">1. Ezzatvar Y, Dueñas L, Balasch-Bernat M, Lluch-Girbés E, Rossettini G.</w:t>
            </w:r>
            <w:r>
              <w:t xml:space="preserve"> </w:t>
            </w:r>
            <w:r>
              <w:rPr>
                <w:i/>
                <w:iCs/>
              </w:rPr>
              <w:t xml:space="preserve">Which Portion of Physiotherapy Treatments’ Effect Is Not Attributable to the Specific Effects in People With Musculoskeletal Pain? A Meta-Analysis of Randomized Placebo-Controlled Trials.</w:t>
            </w:r>
            <w:r>
              <w:t xml:space="preserve"> </w:t>
            </w:r>
            <w:r>
              <w:t xml:space="preserve">J Orthop Sports Phys Ther 2024;54(6):391-399.</w:t>
            </w:r>
            <w:r>
              <w:t xml:space="preserve"> </w:t>
            </w:r>
            <w:hyperlink r:id="rId88">
              <w:r>
                <w:rPr>
                  <w:rStyle w:val="Hyperlink"/>
                </w:rPr>
                <w:t xml:space="preserve">PMID 38602164</w:t>
              </w:r>
            </w:hyperlink>
            <w:r>
              <w:t xml:space="preserve"> </w:t>
            </w:r>
            <w:r>
              <w:t xml:space="preserve">2. Ashina S, Bendtsen L, Lyngberg AC, Lipton RB, Hajiyeva N, Jensen R.</w:t>
            </w:r>
            <w:r>
              <w:t xml:space="preserve"> </w:t>
            </w:r>
            <w:r>
              <w:rPr>
                <w:i/>
                <w:iCs/>
              </w:rPr>
              <w:t xml:space="preserve">Prevalence of neck pain in migraine and tension-type headache: a population study.</w:t>
            </w:r>
            <w:r>
              <w:t xml:space="preserve"> </w:t>
            </w:r>
            <w:r>
              <w:t xml:space="preserve">Cephalalgia 2015;35(3):211-219.</w:t>
            </w:r>
            <w:r>
              <w:t xml:space="preserve"> </w:t>
            </w:r>
            <w:hyperlink r:id="rId89">
              <w:r>
                <w:rPr>
                  <w:rStyle w:val="Hyperlink"/>
                </w:rPr>
                <w:t xml:space="preserve">PMID 24853166</w:t>
              </w:r>
            </w:hyperlink>
            <w:r>
              <w:t xml:space="preserve"> </w:t>
            </w:r>
            <w:r>
              <w:t xml:space="preserve">3. Ashina S, Mitsikostas DD, Lee MJ, et al. </w:t>
            </w:r>
            <w:r>
              <w:rPr>
                <w:i/>
                <w:iCs/>
              </w:rPr>
              <w:t xml:space="preserve">Tension-type headache.</w:t>
            </w:r>
            <w:r>
              <w:t xml:space="preserve"> </w:t>
            </w:r>
            <w:r>
              <w:t xml:space="preserve">Nat Rev Dis Primers 2021;7(1):24.</w:t>
            </w:r>
            <w:r>
              <w:t xml:space="preserve"> </w:t>
            </w:r>
            <w:hyperlink r:id="rId90">
              <w:r>
                <w:rPr>
                  <w:rStyle w:val="Hyperlink"/>
                </w:rPr>
                <w:t xml:space="preserve">PMID 33767185</w:t>
              </w:r>
            </w:hyperlink>
            <w:r>
              <w:t xml:space="preserve"> </w:t>
            </w:r>
            <w:r>
              <w:t xml:space="preserve">4. Stovner LJ, Hagen K, Linde M, Steiner TJ.</w:t>
            </w:r>
            <w:r>
              <w:t xml:space="preserve"> </w:t>
            </w:r>
            <w:r>
              <w:rPr>
                <w:i/>
                <w:iCs/>
              </w:rPr>
              <w:t xml:space="preserve">The global prevalence of headache: an update.</w:t>
            </w:r>
            <w:r>
              <w:t xml:space="preserve"> </w:t>
            </w:r>
            <w:r>
              <w:t xml:space="preserve">J Headache Pain 2022;23(1):34.</w:t>
            </w:r>
            <w:r>
              <w:t xml:space="preserve"> </w:t>
            </w:r>
            <w:hyperlink r:id="rId91">
              <w:r>
                <w:rPr>
                  <w:rStyle w:val="Hyperlink"/>
                </w:rPr>
                <w:t xml:space="preserve">PMID 35410119</w:t>
              </w:r>
            </w:hyperlink>
            <w:r>
              <w:t xml:space="preserve"> </w:t>
            </w:r>
            <w:r>
              <w:t xml:space="preserve">5. Lyngberg AC, Rasmussen BK, Jørgensen T, Jensen R.</w:t>
            </w:r>
            <w:r>
              <w:t xml:space="preserve"> </w:t>
            </w:r>
            <w:r>
              <w:rPr>
                <w:i/>
                <w:iCs/>
              </w:rPr>
              <w:t xml:space="preserve">Prognosis of migraine and tension-type headache: a population-based follow-up study.</w:t>
            </w:r>
            <w:r>
              <w:t xml:space="preserve"> </w:t>
            </w:r>
            <w:r>
              <w:t xml:space="preserve">Neurology 2005;65(4):580-585.</w:t>
            </w:r>
            <w:r>
              <w:t xml:space="preserve"> </w:t>
            </w:r>
            <w:hyperlink r:id="rId92">
              <w:r>
                <w:rPr>
                  <w:rStyle w:val="Hyperlink"/>
                </w:rPr>
                <w:t xml:space="preserve">PMID 16116119</w:t>
              </w:r>
            </w:hyperlink>
            <w:r>
              <w:t xml:space="preserve"> </w:t>
            </w:r>
            <w:r>
              <w:t xml:space="preserve">6. Westergaard ML, Hansen EH, Glümer C, Olesen J, Jensen RH.</w:t>
            </w:r>
            <w:r>
              <w:t xml:space="preserve"> </w:t>
            </w:r>
            <w:r>
              <w:rPr>
                <w:i/>
                <w:iCs/>
              </w:rPr>
              <w:t xml:space="preserve">Definitions of medication-overuse headache in population-based studies and their implications on prevalence estimates: a systematic review.</w:t>
            </w:r>
            <w:r>
              <w:t xml:space="preserve"> </w:t>
            </w:r>
            <w:r>
              <w:t xml:space="preserve">Cephalalgia 2014;34(6):409-425.</w:t>
            </w:r>
            <w:r>
              <w:t xml:space="preserve"> </w:t>
            </w:r>
            <w:hyperlink r:id="rId93">
              <w:r>
                <w:rPr>
                  <w:rStyle w:val="Hyperlink"/>
                </w:rPr>
                <w:t xml:space="preserve">PMID 24293089</w:t>
              </w:r>
            </w:hyperlink>
            <w:r>
              <w:t xml:space="preserve"> </w:t>
            </w:r>
            <w:r>
              <w:t xml:space="preserve">7. Jensen R, Rasmussen BK, Pedersen B, Olesen J.</w:t>
            </w:r>
            <w:r>
              <w:t xml:space="preserve"> </w:t>
            </w:r>
            <w:r>
              <w:rPr>
                <w:i/>
                <w:iCs/>
              </w:rPr>
              <w:t xml:space="preserve">Muscle tenderness and pressure pain thresholds in headache. A population study.</w:t>
            </w:r>
            <w:r>
              <w:t xml:space="preserve"> </w:t>
            </w:r>
            <w:r>
              <w:t xml:space="preserve">Pain 1993;52(2):193-199.</w:t>
            </w:r>
            <w:r>
              <w:t xml:space="preserve"> </w:t>
            </w:r>
            <w:hyperlink r:id="rId94">
              <w:r>
                <w:rPr>
                  <w:rStyle w:val="Hyperlink"/>
                </w:rPr>
                <w:t xml:space="preserve">PMID 8455967</w:t>
              </w:r>
            </w:hyperlink>
            <w:r>
              <w:t xml:space="preserve"> </w:t>
            </w:r>
            <w:r>
              <w:t xml:space="preserve">8. Fernández-de-las-Peñas C, Fernández-Mayoralas DM, Ortega-Santiago R, et al. </w:t>
            </w:r>
            <w:r>
              <w:rPr>
                <w:i/>
                <w:iCs/>
              </w:rPr>
              <w:t xml:space="preserve">Referred pain from myofascial trigger points in head and neck-shoulder muscles reproduces head pain features in children with chronic tension type headache.</w:t>
            </w:r>
            <w:r>
              <w:t xml:space="preserve"> </w:t>
            </w:r>
            <w:r>
              <w:t xml:space="preserve">J Headache Pain 2011;12(1):35-43.</w:t>
            </w:r>
            <w:r>
              <w:t xml:space="preserve"> </w:t>
            </w:r>
            <w:hyperlink r:id="rId95">
              <w:r>
                <w:rPr>
                  <w:rStyle w:val="Hyperlink"/>
                </w:rPr>
                <w:t xml:space="preserve">PMID 21359873</w:t>
              </w:r>
            </w:hyperlink>
            <w:r>
              <w:t xml:space="preserve"> </w:t>
            </w:r>
            <w:r>
              <w:t xml:space="preserve">9. Ashina M, Bendtsen L, Jensen R, Lassen LH, Sakai F, Olesen J.</w:t>
            </w:r>
            <w:r>
              <w:t xml:space="preserve"> </w:t>
            </w:r>
            <w:r>
              <w:rPr>
                <w:i/>
                <w:iCs/>
              </w:rPr>
              <w:t xml:space="preserve">Possible mechanisms of action of nitric oxide synthase inhibitors in chronic tension-type headache.</w:t>
            </w:r>
            <w:r>
              <w:t xml:space="preserve"> </w:t>
            </w:r>
            <w:r>
              <w:t xml:space="preserve">Brain 1999;122(9):1629-1635.</w:t>
            </w:r>
            <w:r>
              <w:t xml:space="preserve"> </w:t>
            </w:r>
            <w:hyperlink r:id="rId96">
              <w:r>
                <w:rPr>
                  <w:rStyle w:val="Hyperlink"/>
                </w:rPr>
                <w:t xml:space="preserve">PMID 10468503</w:t>
              </w:r>
            </w:hyperlink>
            <w:r>
              <w:t xml:space="preserve"> </w:t>
            </w:r>
            <w:r>
              <w:t xml:space="preserve">10. Bendtsen L, Jensen R, Olesen J.</w:t>
            </w:r>
            <w:r>
              <w:t xml:space="preserve"> </w:t>
            </w:r>
            <w:r>
              <w:rPr>
                <w:i/>
                <w:iCs/>
              </w:rPr>
              <w:t xml:space="preserve">Qualitatively altered nociception in chronic myofascial pain.</w:t>
            </w:r>
            <w:r>
              <w:t xml:space="preserve"> </w:t>
            </w:r>
            <w:r>
              <w:t xml:space="preserve">Pain 1996;65(2-3):259-264.</w:t>
            </w:r>
            <w:r>
              <w:t xml:space="preserve"> </w:t>
            </w:r>
            <w:hyperlink r:id="rId97">
              <w:r>
                <w:rPr>
                  <w:rStyle w:val="Hyperlink"/>
                </w:rPr>
                <w:t xml:space="preserve">PMID 8826515</w:t>
              </w:r>
            </w:hyperlink>
            <w:r>
              <w:t xml:space="preserve"> </w:t>
            </w:r>
            <w:r>
              <w:t xml:space="preserve">11. ▲ Bartsch T, Goadsby PJ.</w:t>
            </w:r>
            <w:r>
              <w:t xml:space="preserve"> </w:t>
            </w:r>
            <w:r>
              <w:rPr>
                <w:i/>
                <w:iCs/>
              </w:rPr>
              <w:t xml:space="preserve">Stimulation of the greater occipital nerve induces increased central excitability of dural afferent input.</w:t>
            </w:r>
            <w:r>
              <w:t xml:space="preserve"> </w:t>
            </w:r>
            <w:r>
              <w:t xml:space="preserve">Brain 2002;125(7):1496-1509.</w:t>
            </w:r>
            <w:r>
              <w:t xml:space="preserve"> </w:t>
            </w:r>
            <w:hyperlink r:id="rId98">
              <w:r>
                <w:rPr>
                  <w:rStyle w:val="Hyperlink"/>
                </w:rPr>
                <w:t xml:space="preserve">PMID 12077000</w:t>
              </w:r>
            </w:hyperlink>
            <w:r>
              <w:t xml:space="preserve"> </w:t>
            </w:r>
            <w:r>
              <w:t xml:space="preserve">12. Bartsch T, Goadsby PJ.</w:t>
            </w:r>
            <w:r>
              <w:t xml:space="preserve"> </w:t>
            </w:r>
            <w:r>
              <w:rPr>
                <w:i/>
                <w:iCs/>
              </w:rPr>
              <w:t xml:space="preserve">Increased responses in trigeminocervical nociceptive neurons to cervical input after stimulation of the dura mater.</w:t>
            </w:r>
            <w:r>
              <w:t xml:space="preserve"> </w:t>
            </w:r>
            <w:r>
              <w:t xml:space="preserve">Brain 2003;126(8):1801-1813.</w:t>
            </w:r>
            <w:r>
              <w:t xml:space="preserve"> </w:t>
            </w:r>
            <w:hyperlink r:id="rId99">
              <w:r>
                <w:rPr>
                  <w:rStyle w:val="Hyperlink"/>
                </w:rPr>
                <w:t xml:space="preserve">PMID 12821523</w:t>
              </w:r>
            </w:hyperlink>
            <w:r>
              <w:t xml:space="preserve"> </w:t>
            </w:r>
            <w:r>
              <w:t xml:space="preserve">13. ▲ Sandrini G, Rossi P, Milanov I, Serrao M, Cecchini AP, Nappi G.</w:t>
            </w:r>
            <w:r>
              <w:t xml:space="preserve"> </w:t>
            </w:r>
            <w:r>
              <w:rPr>
                <w:i/>
                <w:iCs/>
              </w:rPr>
              <w:t xml:space="preserve">Abnormal modulatory influence of diffuse noxious inhibitory controls in migraine and chronic tension-type headache patients.</w:t>
            </w:r>
            <w:r>
              <w:t xml:space="preserve"> </w:t>
            </w:r>
            <w:r>
              <w:t xml:space="preserve">Cephalalgia 2006;26(7):782-789.</w:t>
            </w:r>
            <w:r>
              <w:t xml:space="preserve"> </w:t>
            </w:r>
            <w:hyperlink r:id="rId100">
              <w:r>
                <w:rPr>
                  <w:rStyle w:val="Hyperlink"/>
                </w:rPr>
                <w:t xml:space="preserve">PMID 16776692</w:t>
              </w:r>
            </w:hyperlink>
            <w:r>
              <w:t xml:space="preserve"> </w:t>
            </w:r>
            <w:r>
              <w:t xml:space="preserve">14. ▲ Exposto FG, Masuda M, Castrillon EE, Svensson P.</w:t>
            </w:r>
            <w:r>
              <w:t xml:space="preserve"> </w:t>
            </w:r>
            <w:r>
              <w:rPr>
                <w:i/>
                <w:iCs/>
              </w:rPr>
              <w:t xml:space="preserve">Pain in the Temple? Headache, Muscle Pain or Both: A Retrospective Analysis.</w:t>
            </w:r>
            <w:r>
              <w:t xml:space="preserve"> </w:t>
            </w:r>
            <w:r>
              <w:t xml:space="preserve">Pain Med 2021;22(2):441-450.</w:t>
            </w:r>
            <w:r>
              <w:t xml:space="preserve"> </w:t>
            </w:r>
            <w:hyperlink r:id="rId101">
              <w:r>
                <w:rPr>
                  <w:rStyle w:val="Hyperlink"/>
                </w:rPr>
                <w:t xml:space="preserve">PMID 33690821</w:t>
              </w:r>
            </w:hyperlink>
            <w:r>
              <w:t xml:space="preserve"> </w:t>
            </w:r>
            <w:r>
              <w:t xml:space="preserve">15. ▲ Exposto FG, Udagawa G, Naish PLC, Svensson P.</w:t>
            </w:r>
            <w:r>
              <w:t xml:space="preserve"> </w:t>
            </w:r>
            <w:r>
              <w:rPr>
                <w:i/>
                <w:iCs/>
              </w:rPr>
              <w:t xml:space="preserve">Comparison of masseter muscle activity and pain sensitivity during experimental tooth clenching.</w:t>
            </w:r>
            <w:r>
              <w:t xml:space="preserve"> </w:t>
            </w:r>
            <w:r>
              <w:t xml:space="preserve">Cephalalgia 2019;39(9):1119-1130.</w:t>
            </w:r>
            <w:r>
              <w:t xml:space="preserve"> </w:t>
            </w:r>
            <w:hyperlink r:id="rId102">
              <w:r>
                <w:rPr>
                  <w:rStyle w:val="Hyperlink"/>
                </w:rPr>
                <w:t xml:space="preserve">PMID 30922083</w:t>
              </w:r>
            </w:hyperlink>
            <w:r>
              <w:t xml:space="preserve"> </w:t>
            </w:r>
            <w:r>
              <w:t xml:space="preserve">16. ▲ Fitzcharles MA, Cohen SP, Clauw DJ, Littlejohn G, Usui C, Häuser W.</w:t>
            </w:r>
            <w:r>
              <w:t xml:space="preserve"> </w:t>
            </w:r>
            <w:r>
              <w:rPr>
                <w:i/>
                <w:iCs/>
              </w:rPr>
              <w:t xml:space="preserve">Nociplastic pain: towards an understanding of prevalent pain conditions.</w:t>
            </w:r>
            <w:r>
              <w:t xml:space="preserve"> </w:t>
            </w:r>
            <w:r>
              <w:t xml:space="preserve">Lancet 2021;397(10289):2098-2110.</w:t>
            </w:r>
            <w:r>
              <w:t xml:space="preserve"> </w:t>
            </w:r>
            <w:hyperlink r:id="rId103">
              <w:r>
                <w:rPr>
                  <w:rStyle w:val="Hyperlink"/>
                </w:rPr>
                <w:t xml:space="preserve">PMID 34062144</w:t>
              </w:r>
            </w:hyperlink>
            <w:r>
              <w:t xml:space="preserve"> </w:t>
            </w:r>
            <w:r>
              <w:t xml:space="preserve">17. Ashina S, Bendtsen L, Burstein R, Iljazi A, Jensen RH, Lipton RB.</w:t>
            </w:r>
            <w:r>
              <w:t xml:space="preserve"> </w:t>
            </w:r>
            <w:r>
              <w:rPr>
                <w:i/>
                <w:iCs/>
              </w:rPr>
              <w:t xml:space="preserve">Pain sensitivity in relation to frequency of migraine and tension-type headache with or without coexistent neck pain.</w:t>
            </w:r>
            <w:r>
              <w:t xml:space="preserve"> </w:t>
            </w:r>
            <w:r>
              <w:t xml:space="preserve">Scand J Pain 2023;23(1):76-87.</w:t>
            </w:r>
            <w:r>
              <w:t xml:space="preserve"> </w:t>
            </w:r>
            <w:hyperlink r:id="rId104">
              <w:r>
                <w:rPr>
                  <w:rStyle w:val="Hyperlink"/>
                </w:rPr>
                <w:t xml:space="preserve">PMID 36137215</w:t>
              </w:r>
            </w:hyperlink>
            <w:r>
              <w:t xml:space="preserve"> </w:t>
            </w:r>
            <w:r>
              <w:t xml:space="preserve">18. Fernández-de-las-Peñas C, Plaza-Manzano G, Navarro-Santana MJ, Olesen J, Jensen RH, Bendtsen L.</w:t>
            </w:r>
            <w:r>
              <w:t xml:space="preserve"> </w:t>
            </w:r>
            <w:r>
              <w:rPr>
                <w:i/>
                <w:iCs/>
              </w:rPr>
              <w:t xml:space="preserve">Evidence of localized and widespread pressure pain hypersensitivity in patients with tension-type headache: A systematic review and meta-analysis.</w:t>
            </w:r>
            <w:r>
              <w:t xml:space="preserve"> </w:t>
            </w:r>
            <w:r>
              <w:t xml:space="preserve">Cephalalgia 2021;41(2):256-273.</w:t>
            </w:r>
            <w:r>
              <w:t xml:space="preserve"> </w:t>
            </w:r>
            <w:hyperlink r:id="rId105">
              <w:r>
                <w:rPr>
                  <w:rStyle w:val="Hyperlink"/>
                </w:rPr>
                <w:t xml:space="preserve">PMID 32957796</w:t>
              </w:r>
            </w:hyperlink>
            <w:r>
              <w:t xml:space="preserve"> </w:t>
            </w:r>
            <w:r>
              <w:t xml:space="preserve">19. Palacios-Ceña M, Wang K, Castaldo M, et al. </w:t>
            </w:r>
            <w:r>
              <w:rPr>
                <w:i/>
                <w:iCs/>
              </w:rPr>
              <w:t xml:space="preserve">Trigger points are associated with widespread pressure pain sensitivity in people with tension-type headache.</w:t>
            </w:r>
            <w:r>
              <w:t xml:space="preserve"> </w:t>
            </w:r>
            <w:r>
              <w:t xml:space="preserve">Cephalalgia 2018;38(2):237-245.</w:t>
            </w:r>
            <w:r>
              <w:t xml:space="preserve"> </w:t>
            </w:r>
            <w:hyperlink r:id="rId106">
              <w:r>
                <w:rPr>
                  <w:rStyle w:val="Hyperlink"/>
                </w:rPr>
                <w:t xml:space="preserve">PMID 27919024</w:t>
              </w:r>
            </w:hyperlink>
            <w:r>
              <w:t xml:space="preserve"> </w:t>
            </w:r>
            <w:r>
              <w:t xml:space="preserve">20. ▲ Lucas N, Macaskill P, Irwig L, Moran R, Bogduk N.</w:t>
            </w:r>
            <w:r>
              <w:t xml:space="preserve"> </w:t>
            </w:r>
            <w:r>
              <w:rPr>
                <w:i/>
                <w:iCs/>
              </w:rPr>
              <w:t xml:space="preserve">Reliability of physical examination for diagnosis of myofascial trigger points: a systematic review of the literature.</w:t>
            </w:r>
            <w:r>
              <w:t xml:space="preserve"> </w:t>
            </w:r>
            <w:r>
              <w:t xml:space="preserve">Clin J Pain 2009;25(1):80-89.</w:t>
            </w:r>
            <w:r>
              <w:t xml:space="preserve"> </w:t>
            </w:r>
            <w:hyperlink r:id="rId107">
              <w:r>
                <w:rPr>
                  <w:rStyle w:val="Hyperlink"/>
                </w:rPr>
                <w:t xml:space="preserve">PMID 19158550</w:t>
              </w:r>
            </w:hyperlink>
            <w:r>
              <w:t xml:space="preserve"> </w:t>
            </w:r>
            <w:r>
              <w:t xml:space="preserve">21. Andersen CH, Jensen RH, Dalager T, Zebis MK, Sjøgaard G, Andersen LL.</w:t>
            </w:r>
            <w:r>
              <w:t xml:space="preserve"> </w:t>
            </w:r>
            <w:r>
              <w:rPr>
                <w:i/>
                <w:iCs/>
              </w:rPr>
              <w:t xml:space="preserve">Effect of resistance training on headache symptoms in adults: Secondary analysis of a RCT.</w:t>
            </w:r>
            <w:r>
              <w:t xml:space="preserve"> </w:t>
            </w:r>
            <w:r>
              <w:t xml:space="preserve">Musculoskelet Sci Pract 2017;32:38-43.</w:t>
            </w:r>
            <w:r>
              <w:t xml:space="preserve"> </w:t>
            </w:r>
            <w:hyperlink r:id="rId108">
              <w:r>
                <w:rPr>
                  <w:rStyle w:val="Hyperlink"/>
                </w:rPr>
                <w:t xml:space="preserve">PMID 28854396</w:t>
              </w:r>
            </w:hyperlink>
            <w:r>
              <w:t xml:space="preserve"> </w:t>
            </w:r>
            <w:r>
              <w:t xml:space="preserve">22. ▲ Madsen BK, Søgaard K, Andersen LL, Tornøe B, Jensen RH.</w:t>
            </w:r>
            <w:r>
              <w:t xml:space="preserve"> </w:t>
            </w:r>
            <w:r>
              <w:rPr>
                <w:i/>
                <w:iCs/>
              </w:rPr>
              <w:t xml:space="preserve">Efficacy of strength training on tension-type headache: A randomised controlled study.</w:t>
            </w:r>
            <w:r>
              <w:t xml:space="preserve"> </w:t>
            </w:r>
            <w:r>
              <w:t xml:space="preserve">Cephalalgia 2018;38(6):1071-1080.</w:t>
            </w:r>
            <w:r>
              <w:t xml:space="preserve"> </w:t>
            </w:r>
            <w:hyperlink r:id="rId109">
              <w:r>
                <w:rPr>
                  <w:rStyle w:val="Hyperlink"/>
                </w:rPr>
                <w:t xml:space="preserve">PMID 28750588</w:t>
              </w:r>
            </w:hyperlink>
            <w:r>
              <w:t xml:space="preserve"> </w:t>
            </w:r>
            <w:r>
              <w:t xml:space="preserve">23. ▲ van Ettekoven H, Lucas C.</w:t>
            </w:r>
            <w:r>
              <w:t xml:space="preserve"> </w:t>
            </w:r>
            <w:r>
              <w:rPr>
                <w:i/>
                <w:iCs/>
              </w:rPr>
              <w:t xml:space="preserve">Efficacy of physiotherapy including a craniocervical training programme for tension-type headache; a randomized clinical trial.</w:t>
            </w:r>
            <w:r>
              <w:t xml:space="preserve"> </w:t>
            </w:r>
            <w:r>
              <w:t xml:space="preserve">Cephalalgia 2006;26(8):983-991.</w:t>
            </w:r>
            <w:r>
              <w:t xml:space="preserve"> </w:t>
            </w:r>
            <w:hyperlink r:id="rId110">
              <w:r>
                <w:rPr>
                  <w:rStyle w:val="Hyperlink"/>
                </w:rPr>
                <w:t xml:space="preserve">PMID 16886935</w:t>
              </w:r>
            </w:hyperlink>
            <w:r>
              <w:t xml:space="preserve"> </w:t>
            </w:r>
            <w:r>
              <w:t xml:space="preserve">24. ▲ Martín-Vera D, Sánchez-Sierra A, González-de-la-Flor Á, et al. </w:t>
            </w:r>
            <w:r>
              <w:rPr>
                <w:i/>
                <w:iCs/>
              </w:rPr>
              <w:t xml:space="preserve">Efficacy of a strength-based exercise program in patients with chronic tension type headache: a randomized controlled trial.</w:t>
            </w:r>
            <w:r>
              <w:t xml:space="preserve"> </w:t>
            </w:r>
            <w:r>
              <w:t xml:space="preserve">Front Neurol 2023;14:1256303.</w:t>
            </w:r>
            <w:r>
              <w:t xml:space="preserve"> </w:t>
            </w:r>
            <w:hyperlink r:id="rId111">
              <w:r>
                <w:rPr>
                  <w:rStyle w:val="Hyperlink"/>
                </w:rPr>
                <w:t xml:space="preserve">PMID 37789886</w:t>
              </w:r>
            </w:hyperlink>
            <w:r>
              <w:t xml:space="preserve"> </w:t>
            </w:r>
            <w:r>
              <w:t xml:space="preserve">25. ▲ Tao QF, Hua C, Qin D, et al. </w:t>
            </w:r>
            <w:r>
              <w:rPr>
                <w:i/>
                <w:iCs/>
              </w:rPr>
              <w:t xml:space="preserve">Disentangling preventive effects of differential exercise types on tension-type headache: a component network meta-analysis of randomized controlled trials.</w:t>
            </w:r>
            <w:r>
              <w:t xml:space="preserve"> </w:t>
            </w:r>
            <w:r>
              <w:t xml:space="preserve">Postgrad Med J 2025;101(1201):1147-1155.</w:t>
            </w:r>
            <w:r>
              <w:t xml:space="preserve"> </w:t>
            </w:r>
            <w:hyperlink r:id="rId112">
              <w:r>
                <w:rPr>
                  <w:rStyle w:val="Hyperlink"/>
                </w:rPr>
                <w:t xml:space="preserve">PMID 40257956</w:t>
              </w:r>
            </w:hyperlink>
            <w:r>
              <w:t xml:space="preserve"> </w:t>
            </w:r>
            <w:r>
              <w:t xml:space="preserve">26. Doepel M, Nilner M, Ekberg E, Vahlberg T, Le Bell Y.</w:t>
            </w:r>
            <w:r>
              <w:t xml:space="preserve"> </w:t>
            </w:r>
            <w:r>
              <w:rPr>
                <w:i/>
                <w:iCs/>
              </w:rPr>
              <w:t xml:space="preserve">Headache: short- and long-term effectiveness of a prefabricated appliance compared to a stabilization appliance.</w:t>
            </w:r>
            <w:r>
              <w:t xml:space="preserve"> </w:t>
            </w:r>
            <w:r>
              <w:t xml:space="preserve">Acta Odontol Scand 2011;69(3):129-136.</w:t>
            </w:r>
            <w:r>
              <w:t xml:space="preserve"> </w:t>
            </w:r>
            <w:hyperlink r:id="rId113">
              <w:r>
                <w:rPr>
                  <w:rStyle w:val="Hyperlink"/>
                </w:rPr>
                <w:t xml:space="preserve">PMID 21142584</w:t>
              </w:r>
            </w:hyperlink>
            <w:r>
              <w:t xml:space="preserve"> </w:t>
            </w:r>
            <w:r>
              <w:t xml:space="preserve">27. Fernández-de-las-Peñas C, Alonso-Blanco C, Cuadrado ML, Pareja JA.</w:t>
            </w:r>
            <w:r>
              <w:t xml:space="preserve"> </w:t>
            </w:r>
            <w:r>
              <w:rPr>
                <w:i/>
                <w:iCs/>
              </w:rPr>
              <w:t xml:space="preserve">Neck mobility and forward head posture are not related to headache parameters in chronic tension-type headache.</w:t>
            </w:r>
            <w:r>
              <w:t xml:space="preserve"> </w:t>
            </w:r>
            <w:r>
              <w:t xml:space="preserve">Cephalalgia 2007;27(2):158-164.</w:t>
            </w:r>
            <w:r>
              <w:t xml:space="preserve"> </w:t>
            </w:r>
            <w:hyperlink r:id="rId114">
              <w:r>
                <w:rPr>
                  <w:rStyle w:val="Hyperlink"/>
                </w:rPr>
                <w:t xml:space="preserve">PMID 17257237</w:t>
              </w:r>
            </w:hyperlink>
            <w:r>
              <w:t xml:space="preserve"> </w:t>
            </w:r>
            <w:r>
              <w:t xml:space="preserve">28. 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w:t>
            </w:r>
            <w:r>
              <w:t xml:space="preserve"> </w:t>
            </w:r>
            <w:hyperlink r:id="rId115">
              <w:r>
                <w:rPr>
                  <w:rStyle w:val="Hyperlink"/>
                </w:rPr>
                <w:t xml:space="preserve">PMID 11414776</w:t>
              </w:r>
            </w:hyperlink>
            <w:r>
              <w:t xml:space="preserve"> </w:t>
            </w:r>
            <w:r>
              <w:t xml:space="preserve">29. Do TP, Remmers A, Schytz HW, et al. </w:t>
            </w:r>
            <w:r>
              <w:rPr>
                <w:i/>
                <w:iCs/>
              </w:rPr>
              <w:t xml:space="preserve">Red and orange flags for secondary headaches in clinical practice: SNNOOP10 list.</w:t>
            </w:r>
            <w:r>
              <w:t xml:space="preserve"> </w:t>
            </w:r>
            <w:r>
              <w:t xml:space="preserve">Neurology 2019;92(3):134-144.</w:t>
            </w:r>
            <w:r>
              <w:t xml:space="preserve"> </w:t>
            </w:r>
            <w:hyperlink r:id="rId116">
              <w:r>
                <w:rPr>
                  <w:rStyle w:val="Hyperlink"/>
                </w:rPr>
                <w:t xml:space="preserve">PMID 30587518</w:t>
              </w:r>
            </w:hyperlink>
            <w:r>
              <w:t xml:space="preserve"> </w:t>
            </w:r>
            <w:r>
              <w:t xml:space="preserve">30. ▲ Rushton A, Carlesso LC, Flynn T, et al. </w:t>
            </w:r>
            <w:r>
              <w:rPr>
                <w:i/>
                <w:iCs/>
              </w:rPr>
              <w:t xml:space="preserve">International Framework for Examination of the Cervical Region for Potential of Vascular Pathologies of the Neck Prior to Musculoskeletal Intervention: International IFOMPT Cervical Framework.</w:t>
            </w:r>
            <w:r>
              <w:t xml:space="preserve"> </w:t>
            </w:r>
            <w:r>
              <w:t xml:space="preserve">J Orthop Sports Phys Ther 2023;53(1):7-22.</w:t>
            </w:r>
            <w:r>
              <w:t xml:space="preserve"> </w:t>
            </w:r>
            <w:hyperlink r:id="rId117">
              <w:r>
                <w:rPr>
                  <w:rStyle w:val="Hyperlink"/>
                </w:rPr>
                <w:t xml:space="preserve">PMID 36099171</w:t>
              </w:r>
            </w:hyperlink>
            <w:r>
              <w:t xml:space="preserve"> </w:t>
            </w:r>
            <w:r>
              <w:t xml:space="preserve">31. ▲ Thomas LC.</w:t>
            </w:r>
            <w:r>
              <w:t xml:space="preserve"> </w:t>
            </w:r>
            <w:r>
              <w:rPr>
                <w:i/>
                <w:iCs/>
              </w:rPr>
              <w:t xml:space="preserve">Cervical arterial dissection: an overview and implications for manipulative therapy practice.</w:t>
            </w:r>
            <w:r>
              <w:t xml:space="preserve"> </w:t>
            </w:r>
            <w:r>
              <w:t xml:space="preserve">Man Ther 2016;21:2-9.</w:t>
            </w:r>
            <w:r>
              <w:t xml:space="preserve"> </w:t>
            </w:r>
            <w:hyperlink r:id="rId118">
              <w:r>
                <w:rPr>
                  <w:rStyle w:val="Hyperlink"/>
                </w:rPr>
                <w:t xml:space="preserve">PMID 26250600</w:t>
              </w:r>
            </w:hyperlink>
            <w:r>
              <w:t xml:space="preserve"> </w:t>
            </w:r>
            <w:r>
              <w:t xml:space="preserve">32. ▲ Arnold M, Cumurciuc R, Stapf C, Favrole P, Berthet K, Bousser MG.</w:t>
            </w:r>
            <w:r>
              <w:t xml:space="preserve"> </w:t>
            </w:r>
            <w:r>
              <w:rPr>
                <w:i/>
                <w:iCs/>
              </w:rPr>
              <w:t xml:space="preserve">Pain as the only symptom of cervical artery dissection.</w:t>
            </w:r>
            <w:r>
              <w:t xml:space="preserve"> </w:t>
            </w:r>
            <w:r>
              <w:t xml:space="preserve">J Neurol Neurosurg Psychiatry 2006;77(9):1021-1024.</w:t>
            </w:r>
            <w:r>
              <w:t xml:space="preserve"> </w:t>
            </w:r>
            <w:hyperlink r:id="rId119">
              <w:r>
                <w:rPr>
                  <w:rStyle w:val="Hyperlink"/>
                </w:rPr>
                <w:t xml:space="preserve">PMID 16820416</w:t>
              </w:r>
            </w:hyperlink>
            <w:r>
              <w:t xml:space="preserve"> </w:t>
            </w:r>
            <w:r>
              <w:t xml:space="preserve">33. ▲ Cassidy JD, Boyle E, Côté P, et al. </w:t>
            </w:r>
            <w:r>
              <w:rPr>
                <w:i/>
                <w:iCs/>
              </w:rPr>
              <w:t xml:space="preserve">Risk of vertebrobasilar stroke and chiropractic care.</w:t>
            </w:r>
            <w:r>
              <w:t xml:space="preserve"> </w:t>
            </w:r>
            <w:r>
              <w:t xml:space="preserve">Spine 2008;33(4 Suppl):S176-S183.</w:t>
            </w:r>
            <w:r>
              <w:t xml:space="preserve"> </w:t>
            </w:r>
            <w:hyperlink r:id="rId120">
              <w:r>
                <w:rPr>
                  <w:rStyle w:val="Hyperlink"/>
                </w:rPr>
                <w:t xml:space="preserve">PMID 18204390</w:t>
              </w:r>
            </w:hyperlink>
            <w:r>
              <w:t xml:space="preserve"> </w:t>
            </w:r>
            <w:r>
              <w:t xml:space="preserve">34. ▲ Carlesso LC, Gross AR, Santaguida PL, et al. </w:t>
            </w:r>
            <w:r>
              <w:rPr>
                <w:i/>
                <w:iCs/>
              </w:rPr>
              <w:t xml:space="preserve">Adverse events associated with the use of cervical manipulation and mobilization for the treatment of neck pain in adults.</w:t>
            </w:r>
            <w:r>
              <w:t xml:space="preserve"> </w:t>
            </w:r>
            <w:r>
              <w:t xml:space="preserve">Man Ther 2010;15(5):434-444.</w:t>
            </w:r>
            <w:r>
              <w:t xml:space="preserve"> </w:t>
            </w:r>
            <w:hyperlink r:id="rId121">
              <w:r>
                <w:rPr>
                  <w:rStyle w:val="Hyperlink"/>
                </w:rPr>
                <w:t xml:space="preserve">PMID 20227325</w:t>
              </w:r>
            </w:hyperlink>
            <w:r>
              <w:t xml:space="preserve"> </w:t>
            </w:r>
            <w:r>
              <w:t xml:space="preserve">35. ▲ Gaist D, García Rodríguez LA, Hellfritzsch M, et al. </w:t>
            </w:r>
            <w:r>
              <w:rPr>
                <w:i/>
                <w:iCs/>
              </w:rPr>
              <w:t xml:space="preserve">Association of Antithrombotic Drug Use With Subdural Hematoma Risk.</w:t>
            </w:r>
            <w:r>
              <w:t xml:space="preserve"> </w:t>
            </w:r>
            <w:r>
              <w:t xml:space="preserve">JAMA 2017;317(8):836-846.</w:t>
            </w:r>
            <w:r>
              <w:t xml:space="preserve"> </w:t>
            </w:r>
            <w:hyperlink r:id="rId122">
              <w:r>
                <w:rPr>
                  <w:rStyle w:val="Hyperlink"/>
                </w:rPr>
                <w:t xml:space="preserve">PMID 28245322</w:t>
              </w:r>
            </w:hyperlink>
            <w:r>
              <w:t xml:space="preserve"> </w:t>
            </w:r>
            <w:r>
              <w:t xml:space="preserve">36. ▲ Suzuki K, Miyamoto M, Miyamoto T, et al. </w:t>
            </w:r>
            <w:r>
              <w:rPr>
                <w:i/>
                <w:iCs/>
              </w:rPr>
              <w:t xml:space="preserve">Sleep apnoea headache in obstructive sleep apnoea syndrome patients presenting with morning headache.</w:t>
            </w:r>
            <w:r>
              <w:t xml:space="preserve"> </w:t>
            </w:r>
            <w:r>
              <w:t xml:space="preserve">J Headache Pain 2015;16:56.</w:t>
            </w:r>
            <w:r>
              <w:t xml:space="preserve"> </w:t>
            </w:r>
            <w:hyperlink r:id="rId123">
              <w:r>
                <w:rPr>
                  <w:rStyle w:val="Hyperlink"/>
                </w:rPr>
                <w:t xml:space="preserve">PMID 26103955</w:t>
              </w:r>
            </w:hyperlink>
            <w:r>
              <w:t xml:space="preserve"> </w:t>
            </w:r>
            <w:r>
              <w:t xml:space="preserve">37. ▲ Song TJ, Cho SJ, Kim WJ, Yang KI, Yun CH, Chu MK.</w:t>
            </w:r>
            <w:r>
              <w:t xml:space="preserve"> </w:t>
            </w:r>
            <w:r>
              <w:rPr>
                <w:i/>
                <w:iCs/>
              </w:rPr>
              <w:t xml:space="preserve">Anxiety and Depression in Tension-Type Headache: A Population-Based Study.</w:t>
            </w:r>
            <w:r>
              <w:t xml:space="preserve"> </w:t>
            </w:r>
            <w:r>
              <w:t xml:space="preserve">PLoS One 2016;11(10):e0165316.</w:t>
            </w:r>
            <w:r>
              <w:t xml:space="preserve"> </w:t>
            </w:r>
            <w:hyperlink r:id="rId124">
              <w:r>
                <w:rPr>
                  <w:rStyle w:val="Hyperlink"/>
                </w:rPr>
                <w:t xml:space="preserve">PMID 27783660</w:t>
              </w:r>
            </w:hyperlink>
            <w:r>
              <w:t xml:space="preserve"> </w:t>
            </w:r>
            <w:r>
              <w:t xml:space="preserve">38. Türp JC, Minagi S.</w:t>
            </w:r>
            <w:r>
              <w:t xml:space="preserve"> </w:t>
            </w:r>
            <w:r>
              <w:rPr>
                <w:i/>
                <w:iCs/>
              </w:rPr>
              <w:t xml:space="preserve">Palpation of the lateral pterygoid region in TMD — where is the evidence?</w:t>
            </w:r>
            <w:r>
              <w:t xml:space="preserve"> </w:t>
            </w:r>
            <w:r>
              <w:t xml:space="preserve">J Dent 2001;29(7):475-483.</w:t>
            </w:r>
            <w:r>
              <w:t xml:space="preserve"> </w:t>
            </w:r>
            <w:hyperlink r:id="rId125">
              <w:r>
                <w:rPr>
                  <w:rStyle w:val="Hyperlink"/>
                </w:rPr>
                <w:t xml:space="preserve">PMID 11809325</w:t>
              </w:r>
            </w:hyperlink>
            <w:r>
              <w:t xml:space="preserve"> </w:t>
            </w:r>
            <w:r>
              <w:t xml:space="preserve">39. Jackson JL, Mancuso JM, Nickoloff S, Bernstein R, Kay C.</w:t>
            </w:r>
            <w:r>
              <w:t xml:space="preserve"> </w:t>
            </w:r>
            <w:r>
              <w:rPr>
                <w:i/>
                <w:iCs/>
              </w:rPr>
              <w:t xml:space="preserve">Tricyclic and Tetracyclic Antidepressants for the Prevention of Frequent Episodic or Chronic Tension-Type Headache in Adults: A Systematic Review and Meta-Analysis.</w:t>
            </w:r>
            <w:r>
              <w:t xml:space="preserve"> </w:t>
            </w:r>
            <w:r>
              <w:t xml:space="preserve">J Gen Intern Med 2017;32(12):1351-1358.</w:t>
            </w:r>
            <w:r>
              <w:t xml:space="preserve"> </w:t>
            </w:r>
            <w:hyperlink r:id="rId126">
              <w:r>
                <w:rPr>
                  <w:rStyle w:val="Hyperlink"/>
                </w:rPr>
                <w:t xml:space="preserve">PMID 28721535</w:t>
              </w:r>
            </w:hyperlink>
            <w:r>
              <w:t xml:space="preserve"> </w:t>
            </w:r>
            <w:r>
              <w:t xml:space="preserve">40. Kamonseki DH, Lopes EP, van der Meer HA, Calixtre LB.</w:t>
            </w:r>
            <w:r>
              <w:t xml:space="preserve"> </w:t>
            </w:r>
            <w:r>
              <w:rPr>
                <w:i/>
                <w:iCs/>
              </w:rPr>
              <w:t xml:space="preserve">Effectiveness of manual therapy in patients with tension-type headache. A systematic review and meta-analysis.</w:t>
            </w:r>
            <w:r>
              <w:t xml:space="preserve"> </w:t>
            </w:r>
            <w:r>
              <w:t xml:space="preserve">Disabil Rehabil 2022;44(10):1780-1789.</w:t>
            </w:r>
            <w:r>
              <w:t xml:space="preserve"> </w:t>
            </w:r>
            <w:hyperlink r:id="rId127">
              <w:r>
                <w:rPr>
                  <w:rStyle w:val="Hyperlink"/>
                </w:rPr>
                <w:t xml:space="preserve">PMID 32924640</w:t>
              </w:r>
            </w:hyperlink>
            <w:r>
              <w:t xml:space="preserve"> </w:t>
            </w:r>
            <w:r>
              <w:t xml:space="preserve">41. Falsiroli Maistrello L, Geri T, Gianola S, Zaninetti M, Testa M.</w:t>
            </w:r>
            <w:r>
              <w:t xml:space="preserve"> </w:t>
            </w:r>
            <w:r>
              <w:rPr>
                <w:i/>
                <w:iCs/>
              </w:rPr>
              <w:t xml:space="preserve">Effectiveness of Trigger Point Manual Treatment on the Frequency, Intensity, and Duration of Attacks in Primary Headaches: A Systematic Review and Meta-Analysis of Randomized Controlled Trials.</w:t>
            </w:r>
            <w:r>
              <w:t xml:space="preserve"> </w:t>
            </w:r>
            <w:r>
              <w:t xml:space="preserve">Front Neurol 2018;9:254.</w:t>
            </w:r>
            <w:r>
              <w:t xml:space="preserve"> </w:t>
            </w:r>
            <w:hyperlink r:id="rId128">
              <w:r>
                <w:rPr>
                  <w:rStyle w:val="Hyperlink"/>
                </w:rPr>
                <w:t xml:space="preserve">PMID 29740386</w:t>
              </w:r>
            </w:hyperlink>
            <w:r>
              <w:t xml:space="preserve"> </w:t>
            </w:r>
            <w:r>
              <w:t xml:space="preserve">42. Mesa-Jiménez JA, Lozano-López C, Angulo-Díaz-Parreño S, Rodríguez-Fernández ÁL, De-la-Hoz-Aizpurua JL, Fernández-de-las-Peñas C.</w:t>
            </w:r>
            <w:r>
              <w:t xml:space="preserve"> </w:t>
            </w:r>
            <w:r>
              <w:rPr>
                <w:i/>
                <w:iCs/>
              </w:rPr>
              <w:t xml:space="preserve">Multimodal manual therapy vs. pharmacological care for management of tension type headache: A meta-analysis of randomized trials.</w:t>
            </w:r>
            <w:r>
              <w:t xml:space="preserve"> </w:t>
            </w:r>
            <w:r>
              <w:t xml:space="preserve">Cephalalgia 2015;35(14):1323-1332.</w:t>
            </w:r>
            <w:r>
              <w:t xml:space="preserve"> </w:t>
            </w:r>
            <w:hyperlink r:id="rId129">
              <w:r>
                <w:rPr>
                  <w:rStyle w:val="Hyperlink"/>
                </w:rPr>
                <w:t xml:space="preserve">PMID 25748428</w:t>
              </w:r>
            </w:hyperlink>
            <w:r>
              <w:t xml:space="preserve"> </w:t>
            </w:r>
            <w:r>
              <w:t xml:space="preserve">43. Krøll LS, Callesen HE, Carlsen LN, et al. </w:t>
            </w:r>
            <w:r>
              <w:rPr>
                <w:i/>
                <w:iCs/>
              </w:rPr>
              <w:t xml:space="preserve">Manual joint mobilisation techniques, supervised physical activity, psychological treatment, acupuncture and patient education for patients with tension-type headache. A systematic review and meta-analysis.</w:t>
            </w:r>
            <w:r>
              <w:t xml:space="preserve"> </w:t>
            </w:r>
            <w:r>
              <w:t xml:space="preserve">J Headache Pain 2021;22(1):96.</w:t>
            </w:r>
            <w:r>
              <w:t xml:space="preserve"> </w:t>
            </w:r>
            <w:hyperlink r:id="rId130">
              <w:r>
                <w:rPr>
                  <w:rStyle w:val="Hyperlink"/>
                </w:rPr>
                <w:t xml:space="preserve">PMID 34418953</w:t>
              </w:r>
            </w:hyperlink>
            <w:r>
              <w:t xml:space="preserve"> </w:t>
            </w:r>
            <w:r>
              <w:t xml:space="preserve">44. Gordon TC, Hope-Bell J, Draper-Rodi J, MacMillan A, Miller D, Edwards DJ.</w:t>
            </w:r>
            <w:r>
              <w:t xml:space="preserve"> </w:t>
            </w:r>
            <w:r>
              <w:rPr>
                <w:i/>
                <w:iCs/>
              </w:rPr>
              <w:t xml:space="preserve">Effects of manual osteopathic interventions on psychometric and psychophysiological indicators of anxiety, depression and stress in adults.</w:t>
            </w:r>
            <w:r>
              <w:t xml:space="preserve"> </w:t>
            </w:r>
            <w:r>
              <w:t xml:space="preserve">BMJ Open 2025;15(2):e095933.</w:t>
            </w:r>
            <w:r>
              <w:t xml:space="preserve"> </w:t>
            </w:r>
            <w:hyperlink r:id="rId131">
              <w:r>
                <w:rPr>
                  <w:rStyle w:val="Hyperlink"/>
                </w:rPr>
                <w:t xml:space="preserve">PMID 39920074</w:t>
              </w:r>
            </w:hyperlink>
            <w:r>
              <w:t xml:space="preserve"> </w:t>
            </w:r>
            <w:r>
              <w:t xml:space="preserve">45. Espí-López GV, Rodríguez-Blanco C, Oliva-Pascual-Vaca A, Benítez-Martínez JC, Lluch E, Falla D.</w:t>
            </w:r>
            <w:r>
              <w:t xml:space="preserve"> </w:t>
            </w:r>
            <w:r>
              <w:rPr>
                <w:i/>
                <w:iCs/>
              </w:rPr>
              <w:t xml:space="preserve">Effect of manual therapy techniques on headache disability in patients with tension-type headache. Randomized controlled trial.</w:t>
            </w:r>
            <w:r>
              <w:t xml:space="preserve"> </w:t>
            </w:r>
            <w:r>
              <w:t xml:space="preserve">Eur J Phys Rehabil Med 2014;50(6):641-647.</w:t>
            </w:r>
            <w:r>
              <w:t xml:space="preserve"> </w:t>
            </w:r>
            <w:hyperlink r:id="rId132">
              <w:r>
                <w:rPr>
                  <w:rStyle w:val="Hyperlink"/>
                </w:rPr>
                <w:t xml:space="preserve">PMID 24785463</w:t>
              </w:r>
            </w:hyperlink>
            <w:r>
              <w:t xml:space="preserve"> </w:t>
            </w:r>
            <w:r>
              <w:t xml:space="preserve">46. Onan D, Arıkan H, Ekizoğlu E, Taşdelen B, Özge A, Martelletti P.</w:t>
            </w:r>
            <w:r>
              <w:t xml:space="preserve"> </w:t>
            </w:r>
            <w:r>
              <w:rPr>
                <w:i/>
                <w:iCs/>
              </w:rPr>
              <w:t xml:space="preserve">The efficacy of physiotherapy approaches in chronic tension-type headache: a systematic review and meta-analysis.</w:t>
            </w:r>
            <w:r>
              <w:t xml:space="preserve"> </w:t>
            </w:r>
            <w:r>
              <w:t xml:space="preserve">J Oral Facial Pain Headache 2025;39(1):34-48.</w:t>
            </w:r>
            <w:r>
              <w:t xml:space="preserve"> </w:t>
            </w:r>
            <w:hyperlink r:id="rId133">
              <w:r>
                <w:rPr>
                  <w:rStyle w:val="Hyperlink"/>
                </w:rPr>
                <w:t xml:space="preserve">PMID 40129422</w:t>
              </w:r>
            </w:hyperlink>
            <w:r>
              <w:t xml:space="preserve"> </w:t>
            </w:r>
            <w:r>
              <w:t xml:space="preserve">47. Nestoriuc Y, Martin A, Rief W, Andrasik F.</w:t>
            </w:r>
            <w:r>
              <w:t xml:space="preserve"> </w:t>
            </w:r>
            <w:r>
              <w:rPr>
                <w:i/>
                <w:iCs/>
              </w:rPr>
              <w:t xml:space="preserve">Biofeedback treatment for headache disorders: a comprehensive efficacy review.</w:t>
            </w:r>
            <w:r>
              <w:t xml:space="preserve"> </w:t>
            </w:r>
            <w:r>
              <w:t xml:space="preserve">Appl Psychophysiol Biofeedback 2008;33(3):125-140.</w:t>
            </w:r>
            <w:r>
              <w:t xml:space="preserve"> </w:t>
            </w:r>
            <w:hyperlink r:id="rId134">
              <w:r>
                <w:rPr>
                  <w:rStyle w:val="Hyperlink"/>
                </w:rPr>
                <w:t xml:space="preserve">PMID 18726688</w:t>
              </w:r>
            </w:hyperlink>
            <w:r>
              <w:t xml:space="preserve"> </w:t>
            </w:r>
            <w:r>
              <w:t xml:space="preserve">48. ▲ Gopichandran L, Srivastsava AK, Vanamail P, et al. </w:t>
            </w:r>
            <w:r>
              <w:rPr>
                <w:i/>
                <w:iCs/>
              </w:rPr>
              <w:t xml:space="preserve">Effectiveness of Progressive Muscle Relaxation and Deep Breathing Exercise on Pain, Disability, and Sleep Among Patients With Chronic Tension-Type Headache: A Randomized Control Trial.</w:t>
            </w:r>
            <w:r>
              <w:t xml:space="preserve"> </w:t>
            </w:r>
            <w:r>
              <w:t xml:space="preserve">Holist Nurs Pract 2024;38(5):285-296.</w:t>
            </w:r>
            <w:r>
              <w:t xml:space="preserve"> </w:t>
            </w:r>
            <w:hyperlink r:id="rId135">
              <w:r>
                <w:rPr>
                  <w:rStyle w:val="Hyperlink"/>
                </w:rPr>
                <w:t xml:space="preserve">PMID 34054116</w:t>
              </w:r>
            </w:hyperlink>
            <w:r>
              <w:t xml:space="preserve"> </w:t>
            </w:r>
            <w:r>
              <w:t xml:space="preserve">49. Repiso-Guardeño A, Moreno-Morales N, Armenta-Pendón MA, Rodríguez-Martínez MDC, Pino-Lozano R, Armenta-Peinado JA.</w:t>
            </w:r>
            <w:r>
              <w:t xml:space="preserve"> </w:t>
            </w:r>
            <w:r>
              <w:rPr>
                <w:i/>
                <w:iCs/>
              </w:rPr>
              <w:t xml:space="preserve">Physical Therapy in Tension-Type Headache: A Systematic Review of Randomized Controlled Trials.</w:t>
            </w:r>
            <w:r>
              <w:t xml:space="preserve"> </w:t>
            </w:r>
            <w:r>
              <w:t xml:space="preserve">Int J Environ Res Public Health 2023;20(5):4466.</w:t>
            </w:r>
            <w:r>
              <w:t xml:space="preserve"> </w:t>
            </w:r>
            <w:hyperlink r:id="rId136">
              <w:r>
                <w:rPr>
                  <w:rStyle w:val="Hyperlink"/>
                </w:rPr>
                <w:t xml:space="preserve">PMID 36901475</w:t>
              </w:r>
            </w:hyperlink>
          </w:p>
        </w:tc>
      </w:tr>
      <w:tr>
        <w:tc>
          <w:tcPr/>
          <w:p>
            <w:pPr>
              <w:pStyle w:val="Compact"/>
            </w:pPr>
            <w:r>
              <w:t xml:space="preserve">50. ● Moraska AF, Stenerson L, Butryn N, Krutsch JP, Schmiege SJ, Mann JD.</w:t>
            </w:r>
            <w:r>
              <w:t xml:space="preserve"> </w:t>
            </w:r>
            <w:r>
              <w:rPr>
                <w:i/>
                <w:iCs/>
              </w:rPr>
              <w:t xml:space="preserve">Myofascial trigger point-focused head and neck massage for recurrent tension-type headache: a randomized, placebo-controlled clinical trial.</w:t>
            </w:r>
            <w:r>
              <w:t xml:space="preserve"> </w:t>
            </w:r>
            <w:r>
              <w:t xml:space="preserve">Clin J Pain 2015;31(2):159-168.</w:t>
            </w:r>
            <w:r>
              <w:t xml:space="preserve"> </w:t>
            </w:r>
            <w:hyperlink r:id="rId137">
              <w:r>
                <w:rPr>
                  <w:rStyle w:val="Hyperlink"/>
                </w:rPr>
                <w:t xml:space="preserve">PMID 25329141</w:t>
              </w:r>
            </w:hyperlink>
            <w:r>
              <w:t xml:space="preserve"> </w:t>
            </w:r>
            <w:r>
              <w:t xml:space="preserve">51. ● Moraska AF, Schmiege SJ, Mann JD, Butryn N, Krutsch JP.</w:t>
            </w:r>
            <w:r>
              <w:t xml:space="preserve"> </w:t>
            </w:r>
            <w:r>
              <w:rPr>
                <w:i/>
                <w:iCs/>
              </w:rPr>
              <w:t xml:space="preserve">Responsiveness of Myofascial Trigger Points to Single and Multiple Trigger Point Release Massages: A Randomized, Placebo Controlled Trial.</w:t>
            </w:r>
            <w:r>
              <w:t xml:space="preserve"> </w:t>
            </w:r>
            <w:r>
              <w:t xml:space="preserve">Am J Phys Med Rehabil 2017;96(9):639-645.</w:t>
            </w:r>
            <w:r>
              <w:t xml:space="preserve"> </w:t>
            </w:r>
            <w:hyperlink r:id="rId138">
              <w:r>
                <w:rPr>
                  <w:rStyle w:val="Hyperlink"/>
                </w:rPr>
                <w:t xml:space="preserve">PMID 28248690</w:t>
              </w:r>
            </w:hyperlink>
            <w:r>
              <w:t xml:space="preserve"> </w:t>
            </w:r>
            <w:r>
              <w:t xml:space="preserve">52. ● Arribas-Romano A, Fernández-Carnero J, Molina-Rueda F, Angulo-Diaz-Parreño S, Navarro-Santana MJ.</w:t>
            </w:r>
            <w:r>
              <w:t xml:space="preserve"> </w:t>
            </w:r>
            <w:r>
              <w:rPr>
                <w:i/>
                <w:iCs/>
              </w:rPr>
              <w:t xml:space="preserve">Efficacy of Physical Therapy on Nociceptive Pain Processing Alterations in Patients with Chronic Musculoskeletal Pain: A Systematic Review and Meta-analysis.</w:t>
            </w:r>
            <w:r>
              <w:t xml:space="preserve"> </w:t>
            </w:r>
            <w:r>
              <w:t xml:space="preserve">Pain Med 2020;21(10):2502-2517.</w:t>
            </w:r>
            <w:r>
              <w:t xml:space="preserve"> </w:t>
            </w:r>
            <w:hyperlink r:id="rId139">
              <w:r>
                <w:rPr>
                  <w:rStyle w:val="Hyperlink"/>
                </w:rPr>
                <w:t xml:space="preserve">PMID 32100027</w:t>
              </w:r>
            </w:hyperlink>
            <w:r>
              <w:t xml:space="preserve"> </w:t>
            </w:r>
            <w:r>
              <w:t xml:space="preserve">53. ● Martínez-Pozas O, Sánchez-Romero EA, Beltran-Alacreu H, et al. </w:t>
            </w:r>
            <w:r>
              <w:rPr>
                <w:i/>
                <w:iCs/>
              </w:rPr>
              <w:t xml:space="preserve">Effects of Orthopedic Manual Therapy on Pain Sensitization in Patients With Chronic Musculoskeletal Pain: An Umbrella Review With Meta-Meta-analysis.</w:t>
            </w:r>
            <w:r>
              <w:t xml:space="preserve"> </w:t>
            </w:r>
            <w:r>
              <w:t xml:space="preserve">Am J Phys Med Rehabil 2023;102(10):879-885.</w:t>
            </w:r>
            <w:r>
              <w:t xml:space="preserve"> </w:t>
            </w:r>
            <w:hyperlink r:id="rId140">
              <w:r>
                <w:rPr>
                  <w:rStyle w:val="Hyperlink"/>
                </w:rPr>
                <w:t xml:space="preserve">PMID 36917046</w:t>
              </w:r>
            </w:hyperlink>
            <w:r>
              <w:t xml:space="preserve"> </w:t>
            </w:r>
            <w:r>
              <w:t xml:space="preserve">54. ● Réus JC, Polmann H, Mendes Souza BD, et al. </w:t>
            </w:r>
            <w:r>
              <w:rPr>
                <w:i/>
                <w:iCs/>
              </w:rPr>
              <w:t xml:space="preserve">Association Between Primary Headache and Bruxism: An Updated Systematic Review.</w:t>
            </w:r>
            <w:r>
              <w:t xml:space="preserve"> </w:t>
            </w:r>
            <w:r>
              <w:t xml:space="preserve">J Oral Facial Pain Headache 2021;35(2):129-138.</w:t>
            </w:r>
            <w:r>
              <w:t xml:space="preserve"> </w:t>
            </w:r>
            <w:hyperlink r:id="rId141">
              <w:r>
                <w:rPr>
                  <w:rStyle w:val="Hyperlink"/>
                </w:rPr>
                <w:t xml:space="preserve">PMID 34129658</w:t>
              </w:r>
            </w:hyperlink>
            <w:r>
              <w:t xml:space="preserve"> </w:t>
            </w:r>
            <w:r>
              <w:t xml:space="preserve">55. ● Smith MT, Edwards RR, McCann UD, Haythornthwaite JA.</w:t>
            </w:r>
            <w:r>
              <w:t xml:space="preserve"> </w:t>
            </w:r>
            <w:r>
              <w:rPr>
                <w:i/>
                <w:iCs/>
              </w:rPr>
              <w:t xml:space="preserve">The effects of sleep deprivation on pain inhibition and spontaneous pain in women.</w:t>
            </w:r>
            <w:r>
              <w:t xml:space="preserve"> </w:t>
            </w:r>
            <w:r>
              <w:t xml:space="preserve">Sleep 2007;30(4):494-505.</w:t>
            </w:r>
            <w:r>
              <w:t xml:space="preserve"> </w:t>
            </w:r>
            <w:hyperlink r:id="rId142">
              <w:r>
                <w:rPr>
                  <w:rStyle w:val="Hyperlink"/>
                </w:rPr>
                <w:t xml:space="preserve">PMID 17520794</w:t>
              </w:r>
            </w:hyperlink>
            <w:r>
              <w:t xml:space="preserve"> </w:t>
            </w:r>
            <w:r>
              <w:t xml:space="preserve">56. ● Juliano LM, Griffiths RR.</w:t>
            </w:r>
            <w:r>
              <w:t xml:space="preserve"> </w:t>
            </w:r>
            <w:r>
              <w:rPr>
                <w:i/>
                <w:iCs/>
              </w:rPr>
              <w:t xml:space="preserve">A critical review of caffeine withdrawal: empirical validation of symptoms and signs, incidence, severity, and associated features.</w:t>
            </w:r>
            <w:r>
              <w:t xml:space="preserve"> </w:t>
            </w:r>
            <w:r>
              <w:t xml:space="preserve">Psychopharmacology (Berl) 2004;176(1):1-29.</w:t>
            </w:r>
            <w:r>
              <w:t xml:space="preserve"> </w:t>
            </w:r>
            <w:hyperlink r:id="rId143">
              <w:r>
                <w:rPr>
                  <w:rStyle w:val="Hyperlink"/>
                </w:rPr>
                <w:t xml:space="preserve">PMID 15448977</w:t>
              </w:r>
            </w:hyperlink>
            <w:r>
              <w:t xml:space="preserve"> </w:t>
            </w:r>
            <w:r>
              <w:t xml:space="preserve">57. ● Corum M, Aydin T, Medin Ceylan C, Kesiktas FN.</w:t>
            </w:r>
            <w:r>
              <w:t xml:space="preserve"> </w:t>
            </w:r>
            <w:r>
              <w:rPr>
                <w:i/>
                <w:iCs/>
              </w:rPr>
              <w:t xml:space="preserve">The comparative effects of spinal manipulation, myofascial release and exercise in tension-type headache patients with neck pain: A randomized controlled trial.</w:t>
            </w:r>
            <w:r>
              <w:t xml:space="preserve"> </w:t>
            </w:r>
            <w:r>
              <w:t xml:space="preserve">Complement Ther Clin Pract 2021;43:101319.</w:t>
            </w:r>
            <w:r>
              <w:t xml:space="preserve"> </w:t>
            </w:r>
            <w:hyperlink r:id="rId144">
              <w:r>
                <w:rPr>
                  <w:rStyle w:val="Hyperlink"/>
                </w:rPr>
                <w:t xml:space="preserve">PMID 33517104</w:t>
              </w:r>
            </w:hyperlink>
            <w:r>
              <w:t xml:space="preserve"> </w:t>
            </w:r>
            <w:r>
              <w:t xml:space="preserve">58. ● Wewege MA, Jones MD.</w:t>
            </w:r>
            <w:r>
              <w:t xml:space="preserve"> </w:t>
            </w:r>
            <w:r>
              <w:rPr>
                <w:i/>
                <w:iCs/>
              </w:rPr>
              <w:t xml:space="preserve">Exercise-Induced Hypoalgesia in Healthy Individuals and People With Chronic Musculoskeletal Pain: A Systematic Review and Meta-Analysis.</w:t>
            </w:r>
            <w:r>
              <w:t xml:space="preserve"> </w:t>
            </w:r>
            <w:r>
              <w:t xml:space="preserve">J Pain 2021;22(1):21-31.</w:t>
            </w:r>
            <w:r>
              <w:t xml:space="preserve"> </w:t>
            </w:r>
            <w:hyperlink r:id="rId145">
              <w:r>
                <w:rPr>
                  <w:rStyle w:val="Hyperlink"/>
                </w:rPr>
                <w:t xml:space="preserve">PMID 32599154</w:t>
              </w:r>
            </w:hyperlink>
          </w:p>
        </w:tc>
      </w:tr>
      <w:tr>
        <w:tc>
          <w:tcPr/>
          <w:p>
            <w:pPr>
              <w:pStyle w:val="Compact"/>
            </w:pPr>
            <w:r>
              <w:t xml:space="preserve">Fonti non indicizzate su PubMed usate nel testo:</w:t>
            </w:r>
            <w:r>
              <w:t xml:space="preserve"> </w:t>
            </w:r>
            <w:r>
              <w:rPr>
                <w:b/>
                <w:bCs/>
              </w:rPr>
              <w:t xml:space="preserve">ICHD-3</w:t>
            </w:r>
            <w:r>
              <w:t xml:space="preserve"> </w:t>
            </w:r>
            <w:r>
              <w:t xml:space="preserve">(criteri 2.1-2.3, 8.3.1, 10.1.4),</w:t>
            </w:r>
            <w:r>
              <w:t xml:space="preserve"> </w:t>
            </w:r>
            <w:r>
              <w:rPr>
                <w:i/>
                <w:iCs/>
              </w:rPr>
              <w:t xml:space="preserve">ichd-3.org</w:t>
            </w:r>
            <w:r>
              <w:t xml:space="preserve">;</w:t>
            </w:r>
            <w:r>
              <w:t xml:space="preserve"> </w:t>
            </w:r>
            <w:r>
              <w:rPr>
                <w:b/>
                <w:bCs/>
              </w:rPr>
              <w:t xml:space="preserve">DPR 131/2021</w:t>
            </w:r>
            <w:r>
              <w:t xml:space="preserve"> </w:t>
            </w:r>
            <w:r>
              <w:t xml:space="preserve">(profilo dell’osteopata).</w:t>
            </w:r>
          </w:p>
        </w:tc>
      </w:tr>
    </w:tbl>
    <w:bookmarkEnd w:id="146"/>
    <w:bookmarkStart w:id="147" w:name="nota-di-metodo-v4"/>
    <w:p>
      <w:pPr>
        <w:pStyle w:val="Heading2"/>
      </w:pPr>
      <w:r>
        <w:t xml:space="preserve">Nota di metodo — v4</w:t>
      </w:r>
    </w:p>
    <w:p>
      <w:pPr>
        <w:pStyle w:val="FirstParagraph"/>
      </w:pPr>
      <w:r>
        <w:rPr>
          <w:b/>
          <w:bCs/>
        </w:rPr>
        <w:t xml:space="preserve">Cosa è cambiato rispetto alla v3.</w:t>
      </w:r>
      <w:r>
        <w:t xml:space="preserve"> </w:t>
      </w:r>
      <w:r>
        <w:t xml:space="preserve">Sono passati due revisori di terzo livello: la logica dell’apprendimento e l’Ispettore delle Giunture. I loro rilievi sono stati pesati, non sommati. Il livello ha una regola propria —</w:t>
      </w:r>
      <w:r>
        <w:t xml:space="preserve"> </w:t>
      </w:r>
      <w:r>
        <w:rPr>
          <w:b/>
          <w:bCs/>
        </w:rPr>
        <w:t xml:space="preserve">prima si sposta, poi si riscrive, in ultimo si aggiunge</w:t>
      </w:r>
      <w:r>
        <w:t xml:space="preserve"> </w:t>
      </w:r>
      <w:r>
        <w:t xml:space="preserve">— e nessun contenuto clinico nuovo. Nessuno dei diciassette innesti porta un meccanismo, uno studio, una bandiera rossa o una cautela che non fosse già scritta altrove nel documento.</w:t>
      </w:r>
    </w:p>
    <w:p>
      <w:pPr>
        <w:pStyle w:val="BodyText"/>
      </w:pPr>
      <w:r>
        <w:rPr>
          <w:i/>
          <w:iCs/>
        </w:rPr>
        <w:t xml:space="preserve">Contraddizioni corrette (ERRORE, sul lato indicato dal revisore).</w:t>
      </w:r>
    </w:p>
    <w:p>
      <w:pPr>
        <w:pStyle w:val="BodyText"/>
      </w:pPr>
      <w:r>
        <w:rPr>
          <w:b/>
          <w:bCs/>
        </w:rPr>
        <w:t xml:space="preserve">E1 — la cefalea da uso eccessivo di farmaci.</w:t>
      </w:r>
      <w:r>
        <w:t xml:space="preserve"> </w:t>
      </w:r>
      <w:r>
        <w:t xml:space="preserve">Tre capitoli su quattro la trattano come co-gestione, mentre il Blocco B la trattava come divieto di toccare: la regola generale del blocco non si era aggiornata quando la riga è entrata in tabella. È stato corretto il Capitolo 9 — titolo del blocco, paragrafo ROSSO e bullet di chiusura — facendo portare alla regola la distinzione che la colonna</w:t>
      </w:r>
      <w:r>
        <w:t xml:space="preserve"> </w:t>
      </w:r>
      <w:r>
        <w:rPr>
          <w:i/>
          <w:iCs/>
        </w:rPr>
        <w:t xml:space="preserve">Tempi</w:t>
      </w:r>
      <w:r>
        <w:t xml:space="preserve"> </w:t>
      </w:r>
      <w:r>
        <w:t xml:space="preserve">già faceva fra «Invio, non attendere» e «Invio programmato». Propagato alla Mappa, blocco 5.</w:t>
      </w:r>
    </w:p>
    <w:p>
      <w:pPr>
        <w:pStyle w:val="BodyText"/>
      </w:pPr>
      <w:r>
        <w:rPr>
          <w:b/>
          <w:bCs/>
        </w:rPr>
        <w:t xml:space="preserve">E2 — la disponibilità della prova sul paziente con driver di attivazione.</w:t>
      </w:r>
      <w:r>
        <w:t xml:space="preserve"> </w:t>
      </w:r>
      <w:r>
        <w:t xml:space="preserve">Il box ancorato dichiara il CPM fuori piano in tutti e tre i pazienti; i due riassunti e l’apertura dicevano invece che la prova in seduta non c’è. La frase «leva e marker sono lo stesso piano» è vera</w:t>
      </w:r>
      <w:r>
        <w:t xml:space="preserve"> </w:t>
      </w:r>
      <w:r>
        <w:rPr>
          <w:b/>
          <w:bCs/>
        </w:rPr>
        <w:t xml:space="preserve">per livello</w:t>
      </w:r>
      <w:r>
        <w:t xml:space="preserve"> </w:t>
      </w:r>
      <w:r>
        <w:t xml:space="preserve">e falsa senza quella qualificazione. Sono stati corretti i tre riassunti, non il box. Propagato alla Mappa, blocco 6.</w:t>
      </w:r>
    </w:p>
    <w:p>
      <w:pPr>
        <w:pStyle w:val="BodyText"/>
      </w:pPr>
      <w:r>
        <w:rPr>
          <w:b/>
          <w:bCs/>
        </w:rPr>
        <w:t xml:space="preserve">E3 — l’ordine dei modelli.</w:t>
      </w:r>
      <w:r>
        <w:t xml:space="preserve"> </w:t>
      </w:r>
      <w:r>
        <w:t xml:space="preserve">Il Capitolo 7 dichiarava di seguire lo stesso ordine della Road Map, e non è vero su due conti. La riconciliazione era già scritta in Capitolo 8: «la gerarchia ordina l’indagine, non la forza delle leve». È stato corretto il Capitolo 7, che è il lato che rivendicava un’identità falsa.</w:t>
      </w:r>
    </w:p>
    <w:p>
      <w:pPr>
        <w:pStyle w:val="BodyText"/>
      </w:pPr>
      <w:r>
        <w:rPr>
          <w:i/>
          <w:iCs/>
        </w:rPr>
        <w:t xml:space="preserve">Rischi applicati.</w:t>
      </w:r>
      <w:r>
        <w:t xml:space="preserve"> </w:t>
      </w:r>
      <w:r>
        <w:t xml:space="preserve">Il perimetro del DIMOSTRATO nel box del Comportamentale, nella stessa forma già usata dal Biomeccanico (C7). La frase-ponte di Ezzatvar al primo punto d’uso, il solo dei cinque in cui mancava. La popolazione di Andersen dentro «Cosa possiamo dire», che è il frasario da usare davanti a un medico (C0, C10). I quattro reperti che fondano il mandato al posto di «senza reperto positivo»: quella formula si leggeva come «palpazione negativa» e negava il GIALLO a un paziente che ce l’ha (C6). Dal lato dell’apprendimento sono entrate tre cose. La conseguenza del risultato nullo, duplicata in forma compressa nel capitolo in cui si decide e non solo in Capitolo 9, dove regge il GIALLO. I nove giorni al mese del Paziente B, resi l’esercizio che erano già, con la soglia della Road Map. E la soglia di autonomia, riscritta per</w:t>
      </w:r>
      <w:r>
        <w:t xml:space="preserve"> </w:t>
      </w:r>
      <w:r>
        <w:rPr>
          <w:b/>
          <w:bCs/>
        </w:rPr>
        <w:t xml:space="preserve">casi difficili</w:t>
      </w:r>
      <w:r>
        <w:t xml:space="preserve"> </w:t>
      </w:r>
      <w:r>
        <w:t xml:space="preserve">invece che per quantità di richiamo, con le tre situazioni già presenti nel documento.</w:t>
      </w:r>
    </w:p>
    <w:p>
      <w:pPr>
        <w:pStyle w:val="BodyText"/>
      </w:pPr>
      <w:r>
        <w:rPr>
          <w:i/>
          <w:iCs/>
        </w:rPr>
        <w:t xml:space="preserve">Preferenze accolte, per costo nullo o per coerenza con un rischio applicato.</w:t>
      </w:r>
      <w:r>
        <w:t xml:space="preserve"> </w:t>
      </w:r>
      <w:r>
        <w:t xml:space="preserve">Il pronome del GIALLO allineato al</w:t>
      </w:r>
      <w:r>
        <w:t xml:space="preserve"> </w:t>
      </w:r>
      <w:r>
        <w:rPr>
          <w:i/>
          <w:iCs/>
        </w:rPr>
        <w:t xml:space="preserve">lei</w:t>
      </w:r>
      <w:r>
        <w:t xml:space="preserve"> </w:t>
      </w:r>
      <w:r>
        <w:t xml:space="preserve">di tutto il documento (C9, zero parole). Gli scaleni nell’elenco muscolare della leva 1, unico modello il cui meccanismo non si agganciava per nome (C11, una parola). I sottotipi aggiunti alla seconda lettura, che è il capitolo su cui poggia la nuova prova di padronanza (C0, quattro parole).</w:t>
      </w:r>
    </w:p>
    <w:p>
      <w:pPr>
        <w:pStyle w:val="BodyText"/>
      </w:pPr>
      <w:r>
        <w:rPr>
          <w:i/>
          <w:iCs/>
        </w:rPr>
        <w:t xml:space="preserve">Rilievi valutati e non applicati.</w:t>
      </w:r>
      <w:r>
        <w:t xml:space="preserve"> </w:t>
      </w:r>
      <w:r>
        <w:t xml:space="preserve">Il contro-segnale del test di pressione duplicato in Capitolo 5, e il pointer allo sdoppiamento del Paziente A in Capitolo 6 (apprendimento, P1 e P2): sono duplicazioni al punto d’uso su un documento già oltre il tetto, e l’informazione esiste ed è raggiungibile nel capitolo in cui decide. Il rinvio alla leva mandibolare del paziente in Capitolo 12 (coerenza, P2): il Capitolo 11 dichiara già perché quella leva non ha una scheda propria — nessuno l’ha isolata — e ventiquattro parole di rinvio, in un capitolo che il quarto livello dovrà comprimere, non pagano il loro costo. Nessuno dei tre è una contraddizione: sono comodità di navigazione, e si ignorano di default.</w:t>
      </w:r>
    </w:p>
    <w:p>
      <w:pPr>
        <w:pStyle w:val="BodyText"/>
      </w:pPr>
      <w:r>
        <w:rPr>
          <w:i/>
          <w:iCs/>
        </w:rPr>
        <w:t xml:space="preserve">La decima giuntura proposta</w:t>
      </w:r>
      <w:r>
        <w:t xml:space="preserve"> </w:t>
      </w:r>
      <w:r>
        <w:t xml:space="preserve">dall’Ispettore — ordine di peso contro ordine d’indagine — è registrata come</w:t>
      </w:r>
      <w:r>
        <w:t xml:space="preserve"> </w:t>
      </w:r>
      <w:r>
        <w:rPr>
          <w:b/>
          <w:bCs/>
        </w:rPr>
        <w:t xml:space="preserve">D-037</w:t>
      </w:r>
      <w:r>
        <w:t xml:space="preserve">, in stato PROPOSTA. Le due liste si leggono in parallelo: se non coincidono il documento dichiara perché, e mai le dichiara uguali.</w:t>
      </w:r>
    </w:p>
    <w:p>
      <w:pPr>
        <w:pStyle w:val="BodyText"/>
      </w:pPr>
      <w:r>
        <w:rPr>
          <w:b/>
          <w:bCs/>
        </w:rPr>
        <w:t xml:space="preserve">Lunghezza.</w:t>
      </w:r>
      <w:r>
        <w:t xml:space="preserve"> </w:t>
      </w:r>
      <w:r>
        <w:t xml:space="preserve">Corpo a</w:t>
      </w:r>
      <w:r>
        <w:t xml:space="preserve"> </w:t>
      </w:r>
      <w:r>
        <w:rPr>
          <w:b/>
          <w:bCs/>
        </w:rPr>
        <w:t xml:space="preserve">20.484 parole</w:t>
      </w:r>
      <w:r>
        <w:t xml:space="preserve"> </w:t>
      </w:r>
      <w:r>
        <w:t xml:space="preserve">contro le 20.191 della v3:</w:t>
      </w:r>
      <w:r>
        <w:t xml:space="preserve"> </w:t>
      </w:r>
      <w:r>
        <w:rPr>
          <w:b/>
          <w:bCs/>
        </w:rPr>
        <w:t xml:space="preserve">+1,45%</w:t>
      </w:r>
      <w:r>
        <w:t xml:space="preserve">. Il budget di terzo livello è ≤ 5%, quindi ne è stato consumato meno di un quarto. Il corpo resta sopra il tetto di 13.000 parole. Il conflitto è registrato come</w:t>
      </w:r>
      <w:r>
        <w:t xml:space="preserve"> </w:t>
      </w:r>
      <w:r>
        <w:rPr>
          <w:b/>
          <w:bCs/>
        </w:rPr>
        <w:t xml:space="preserve">D-019</w:t>
      </w:r>
      <w:r>
        <w:t xml:space="preserve">, e l’asciugatura è materia del quarto livello, che questo livello non ha né anticipato né ostacolato.</w:t>
      </w:r>
    </w:p>
    <w:p>
      <w:pPr>
        <w:pStyle w:val="BodyText"/>
      </w:pPr>
      <w:r>
        <w:rPr>
          <w:b/>
          <w:bCs/>
        </w:rPr>
        <w:t xml:space="preserve">Deviazioni dal metodo applicate</w:t>
      </w:r>
      <w:r>
        <w:t xml:space="preserve">, tutte in stato PROPOSTA:</w:t>
      </w:r>
      <w:r>
        <w:t xml:space="preserve"> </w:t>
      </w:r>
      <w:r>
        <w:rPr>
          <w:b/>
          <w:bCs/>
        </w:rPr>
        <w:t xml:space="preserve">D-004</w:t>
      </w:r>
      <w:r>
        <w:t xml:space="preserve">,</w:t>
      </w:r>
      <w:r>
        <w:t xml:space="preserve"> </w:t>
      </w:r>
      <w:r>
        <w:rPr>
          <w:b/>
          <w:bCs/>
        </w:rPr>
        <w:t xml:space="preserve">D-011</w:t>
      </w:r>
      <w:r>
        <w:t xml:space="preserve">,</w:t>
      </w:r>
      <w:r>
        <w:t xml:space="preserve"> </w:t>
      </w:r>
      <w:r>
        <w:rPr>
          <w:b/>
          <w:bCs/>
        </w:rPr>
        <w:t xml:space="preserve">D-015</w:t>
      </w:r>
      <w:r>
        <w:t xml:space="preserve">,</w:t>
      </w:r>
      <w:r>
        <w:t xml:space="preserve"> </w:t>
      </w:r>
      <w:r>
        <w:rPr>
          <w:b/>
          <w:bCs/>
        </w:rPr>
        <w:t xml:space="preserve">D-016</w:t>
      </w:r>
      <w:r>
        <w:t xml:space="preserve">,</w:t>
      </w:r>
      <w:r>
        <w:t xml:space="preserve"> </w:t>
      </w:r>
      <w:r>
        <w:rPr>
          <w:b/>
          <w:bCs/>
        </w:rPr>
        <w:t xml:space="preserve">D-017</w:t>
      </w:r>
      <w:r>
        <w:t xml:space="preserve">,</w:t>
      </w:r>
      <w:r>
        <w:t xml:space="preserve"> </w:t>
      </w:r>
      <w:r>
        <w:rPr>
          <w:b/>
          <w:bCs/>
        </w:rPr>
        <w:t xml:space="preserve">D-018</w:t>
      </w:r>
      <w:r>
        <w:t xml:space="preserve">,</w:t>
      </w:r>
      <w:r>
        <w:t xml:space="preserve"> </w:t>
      </w:r>
      <w:r>
        <w:rPr>
          <w:b/>
          <w:bCs/>
        </w:rPr>
        <w:t xml:space="preserve">D-019</w:t>
      </w:r>
      <w:r>
        <w:t xml:space="preserve">,</w:t>
      </w:r>
      <w:r>
        <w:t xml:space="preserve"> </w:t>
      </w:r>
      <w:r>
        <w:rPr>
          <w:b/>
          <w:bCs/>
        </w:rPr>
        <w:t xml:space="preserve">D-020/lombalgia</w:t>
      </w:r>
      <w:r>
        <w:t xml:space="preserve">,</w:t>
      </w:r>
      <w:r>
        <w:t xml:space="preserve"> </w:t>
      </w:r>
      <w:r>
        <w:rPr>
          <w:b/>
          <w:bCs/>
        </w:rPr>
        <w:t xml:space="preserve">D-022</w:t>
      </w:r>
      <w:r>
        <w:t xml:space="preserve">,</w:t>
      </w:r>
      <w:r>
        <w:t xml:space="preserve"> </w:t>
      </w:r>
      <w:r>
        <w:rPr>
          <w:b/>
          <w:bCs/>
        </w:rPr>
        <w:t xml:space="preserve">D-023</w:t>
      </w:r>
      <w:r>
        <w:t xml:space="preserve">,</w:t>
      </w:r>
      <w:r>
        <w:t xml:space="preserve"> </w:t>
      </w:r>
      <w:r>
        <w:rPr>
          <w:b/>
          <w:bCs/>
        </w:rPr>
        <w:t xml:space="preserve">D-024</w:t>
      </w:r>
      <w:r>
        <w:t xml:space="preserve">,</w:t>
      </w:r>
      <w:r>
        <w:t xml:space="preserve"> </w:t>
      </w:r>
      <w:r>
        <w:rPr>
          <w:b/>
          <w:bCs/>
        </w:rPr>
        <w:t xml:space="preserve">D-025</w:t>
      </w:r>
      <w:r>
        <w:t xml:space="preserve">,</w:t>
      </w:r>
      <w:r>
        <w:t xml:space="preserve"> </w:t>
      </w:r>
      <w:r>
        <w:rPr>
          <w:b/>
          <w:bCs/>
        </w:rPr>
        <w:t xml:space="preserve">D-027</w:t>
      </w:r>
      <w:r>
        <w:t xml:space="preserve">,</w:t>
      </w:r>
      <w:r>
        <w:t xml:space="preserve"> </w:t>
      </w:r>
      <w:r>
        <w:rPr>
          <w:b/>
          <w:bCs/>
        </w:rPr>
        <w:t xml:space="preserve">D-028</w:t>
      </w:r>
      <w:r>
        <w:t xml:space="preserve">,</w:t>
      </w:r>
      <w:r>
        <w:t xml:space="preserve"> </w:t>
      </w:r>
      <w:r>
        <w:rPr>
          <w:b/>
          <w:bCs/>
        </w:rPr>
        <w:t xml:space="preserve">D-029</w:t>
      </w:r>
      <w:r>
        <w:t xml:space="preserve">,</w:t>
      </w:r>
      <w:r>
        <w:t xml:space="preserve"> </w:t>
      </w:r>
      <w:r>
        <w:rPr>
          <w:b/>
          <w:bCs/>
        </w:rPr>
        <w:t xml:space="preserve">D-030</w:t>
      </w:r>
      <w:r>
        <w:t xml:space="preserve">,</w:t>
      </w:r>
      <w:r>
        <w:t xml:space="preserve"> </w:t>
      </w:r>
      <w:r>
        <w:rPr>
          <w:b/>
          <w:bCs/>
        </w:rPr>
        <w:t xml:space="preserve">D-031</w:t>
      </w:r>
      <w:r>
        <w:t xml:space="preserve">,</w:t>
      </w:r>
      <w:r>
        <w:t xml:space="preserve"> </w:t>
      </w:r>
      <w:r>
        <w:rPr>
          <w:b/>
          <w:bCs/>
        </w:rPr>
        <w:t xml:space="preserve">D-033</w:t>
      </w:r>
      <w:r>
        <w:t xml:space="preserve">,</w:t>
      </w:r>
      <w:r>
        <w:t xml:space="preserve"> </w:t>
      </w:r>
      <w:r>
        <w:rPr>
          <w:b/>
          <w:bCs/>
        </w:rPr>
        <w:t xml:space="preserve">D-034</w:t>
      </w:r>
      <w:r>
        <w:t xml:space="preserve">,</w:t>
      </w:r>
      <w:r>
        <w:t xml:space="preserve"> </w:t>
      </w:r>
      <w:r>
        <w:rPr>
          <w:b/>
          <w:bCs/>
        </w:rPr>
        <w:t xml:space="preserve">D-035</w:t>
      </w:r>
      <w:r>
        <w:t xml:space="preserve">,</w:t>
      </w:r>
      <w:r>
        <w:t xml:space="preserve"> </w:t>
      </w:r>
      <w:r>
        <w:rPr>
          <w:b/>
          <w:bCs/>
        </w:rPr>
        <w:t xml:space="preserve">D-036</w:t>
      </w:r>
      <w:r>
        <w:t xml:space="preserve">,</w:t>
      </w:r>
      <w:r>
        <w:t xml:space="preserve"> </w:t>
      </w:r>
      <w:r>
        <w:rPr>
          <w:b/>
          <w:bCs/>
        </w:rPr>
        <w:t xml:space="preserve">D-037</w:t>
      </w:r>
      <w:r>
        <w:t xml:space="preserve">.</w:t>
      </w:r>
    </w:p>
    <w:p>
      <w:r>
        <w:pict>
          <v:rect style="width:0;height:1.5pt" o:hralign="center" o:hrstd="t" o:hr="t"/>
        </w:pict>
      </w:r>
    </w:p>
    <w:bookmarkEnd w:id="147"/>
    <w:bookmarkStart w:id="151" w:name="Xdca8f0a8127bc99d8c3bb904d6c4e7912b3a920"/>
    <w:p>
      <w:pPr>
        <w:pStyle w:val="Heading2"/>
      </w:pPr>
      <w:r>
        <w:t xml:space="preserve">Passaggi da proteggere dall’editor (4º livello)</w:t>
      </w:r>
    </w:p>
    <w:p>
      <w:pPr>
        <w:pStyle w:val="FirstParagraph"/>
      </w:pPr>
      <w:r>
        <w:t xml:space="preserve">Tre livelli di revisione hanno marcato queste righe come</w:t>
      </w:r>
      <w:r>
        <w:t xml:space="preserve"> </w:t>
      </w:r>
      <w:r>
        <w:rPr>
          <w:b/>
          <w:bCs/>
        </w:rPr>
        <w:t xml:space="preserve">non comprimibili</w:t>
      </w:r>
      <w:r>
        <w:t xml:space="preserve">. Ognuna ha l’aspetto di una cautela ridondante, di un meta-commento o di una ripetizione. E ognuna è la sola cosa che tiene in piedi qualcosa a valle. Tagliarne una lascia il PMID e toglie il limite, oppure lascia il rimando e toglie il referente.</w:t>
      </w:r>
    </w:p>
    <w:bookmarkStart w:id="148" w:name="Xf943b596c7826d684f5995a20e0a16720dc2e43"/>
    <w:p>
      <w:pPr>
        <w:pStyle w:val="Heading3"/>
      </w:pPr>
      <w:r>
        <w:t xml:space="preserve">Le qualificazioni scientifiche (1º e 2º livello)</w:t>
      </w:r>
    </w:p>
    <w:p>
      <w:pPr>
        <w:pStyle w:val="FirstParagraph"/>
      </w:pPr>
      <w:r>
        <w:rPr>
          <w:b/>
          <w:bCs/>
        </w:rPr>
        <w:t xml:space="preserve">Le frasi-ponte del cerchio 2.</w:t>
      </w:r>
      <w:r>
        <w:t xml:space="preserve"> </w:t>
      </w:r>
      <w:r>
        <w:t xml:space="preserve">Sono sette, e vanno tutte tenute.</w:t>
      </w:r>
    </w:p>
    <w:p>
      <w:pPr>
        <w:pStyle w:val="Compact"/>
        <w:numPr>
          <w:ilvl w:val="0"/>
          <w:numId w:val="1035"/>
        </w:numPr>
      </w:pPr>
      <w:r>
        <w:t xml:space="preserve">«Misurato su pazienti con dolore muscolo-scheletrico cronico, non su pazienti con questa cefalea — e su finestre immediate e a breve termine, non sulle settimane su cui questa Bibbia misura il proprio esito» (Arribas-Romano/Martínez-Pozas). Servono</w:t>
      </w:r>
      <w:r>
        <w:t xml:space="preserve"> </w:t>
      </w:r>
      <w:r>
        <w:rPr>
          <w:b/>
          <w:bCs/>
        </w:rPr>
        <w:t xml:space="preserve">entrambe le metà</w:t>
      </w:r>
      <w:r>
        <w:t xml:space="preserve">: la seconda impedisce di trasformare un effetto di minuti in una promessa di settimane.</w:t>
      </w:r>
    </w:p>
    <w:p>
      <w:pPr>
        <w:pStyle w:val="Compact"/>
        <w:numPr>
          <w:ilvl w:val="0"/>
          <w:numId w:val="1035"/>
        </w:numPr>
      </w:pPr>
      <w:r>
        <w:t xml:space="preserve">«Misurato su donne sane in laboratorio, non su pazienti con questa cefalea, e sull’inibizione del dolore, non sul mal di testa» (Smith).</w:t>
      </w:r>
    </w:p>
    <w:p>
      <w:pPr>
        <w:pStyle w:val="Compact"/>
        <w:numPr>
          <w:ilvl w:val="0"/>
          <w:numId w:val="1035"/>
        </w:numPr>
      </w:pPr>
      <w:r>
        <w:t xml:space="preserve">«Misurato su volontari sani e su dolore muscolo-scheletrico cronico, non su pazienti con questa cefalea» (Wewege).</w:t>
      </w:r>
    </w:p>
    <w:p>
      <w:pPr>
        <w:pStyle w:val="Compact"/>
        <w:numPr>
          <w:ilvl w:val="0"/>
          <w:numId w:val="1035"/>
        </w:numPr>
      </w:pPr>
      <w:r>
        <w:t xml:space="preserve">«Misurato su adulti in trattamento manuale osteopatico in generale, non su pazienti con questa cefalea» (Gordon,</w:t>
      </w:r>
      <w:r>
        <w:t xml:space="preserve"> </w:t>
      </w:r>
      <w:r>
        <w:rPr>
          <w:b/>
          <w:bCs/>
        </w:rPr>
        <w:t xml:space="preserve">entrambi i punti d’uso</w:t>
      </w:r>
      <w:r>
        <w:t xml:space="preserve">).</w:t>
      </w:r>
    </w:p>
    <w:p>
      <w:pPr>
        <w:pStyle w:val="Compact"/>
        <w:numPr>
          <w:ilvl w:val="0"/>
          <w:numId w:val="1035"/>
        </w:numPr>
      </w:pPr>
      <w:r>
        <w:t xml:space="preserve">«Misurato su dolore muscolo-scheletrico in generale, non su questa condizione» (Ezzatvar,</w:t>
      </w:r>
      <w:r>
        <w:t xml:space="preserve"> </w:t>
      </w:r>
      <w:r>
        <w:rPr>
          <w:b/>
          <w:bCs/>
        </w:rPr>
        <w:t xml:space="preserve">tutti e cinque i punti d’uso</w:t>
      </w:r>
      <w:r>
        <w:t xml:space="preserve">, anche dove il numero è stato abbreviato — il quinto è stato reintrodotto in v4).</w:t>
      </w:r>
    </w:p>
    <w:p>
      <w:pPr>
        <w:pStyle w:val="Compact"/>
        <w:numPr>
          <w:ilvl w:val="0"/>
          <w:numId w:val="1035"/>
        </w:numPr>
      </w:pPr>
      <w:r>
        <w:t xml:space="preserve">«Su dolore cervicale, non su questa condizione» (Sterling,</w:t>
      </w:r>
      <w:r>
        <w:t xml:space="preserve"> </w:t>
      </w:r>
      <w:r>
        <w:rPr>
          <w:b/>
          <w:bCs/>
        </w:rPr>
        <w:t xml:space="preserve">tutti e quattro</w:t>
      </w:r>
      <w:r>
        <w:t xml:space="preserve">).</w:t>
      </w:r>
    </w:p>
    <w:p>
      <w:pPr>
        <w:pStyle w:val="Compact"/>
        <w:numPr>
          <w:ilvl w:val="0"/>
          <w:numId w:val="1035"/>
        </w:numPr>
      </w:pPr>
      <w:r>
        <w:t xml:space="preserve">«Misurato nell’animale, non su pazienti con questa condizione» (Bartsch &amp; Goadsby).</w:t>
      </w:r>
    </w:p>
    <w:p>
      <w:pPr>
        <w:pStyle w:val="FirstParagraph"/>
      </w:pPr>
      <w:r>
        <w:t xml:space="preserve">E, nuova in v4, «in gran parte lavoratori e non pazienti con diagnosi formale», accanto ad Andersen dentro «Cosa possiamo dire»: è l’elenco che si usa come frasario davanti a un medico.</w:t>
      </w:r>
    </w:p>
    <w:p>
      <w:pPr>
        <w:pStyle w:val="BodyText"/>
      </w:pPr>
      <w:r>
        <w:rPr>
          <w:b/>
          <w:bCs/>
        </w:rPr>
        <w:t xml:space="preserve">La parola «qui».</w:t>
      </w:r>
      <w:r>
        <w:t xml:space="preserve"> </w:t>
      </w:r>
      <w:r>
        <w:t xml:space="preserve">In «non è mai stato misurato</w:t>
      </w:r>
      <w:r>
        <w:t xml:space="preserve"> </w:t>
      </w:r>
      <w:r>
        <w:rPr>
          <w:b/>
          <w:bCs/>
        </w:rPr>
        <w:t xml:space="preserve">qui</w:t>
      </w:r>
      <w:r>
        <w:t xml:space="preserve">» è la differenza fra una frase vera e una falsa. Non si toglie, non si sposta, non si sostituisce.</w:t>
      </w:r>
    </w:p>
    <w:p>
      <w:pPr>
        <w:pStyle w:val="BodyText"/>
      </w:pPr>
      <w:r>
        <w:rPr>
          <w:b/>
          <w:bCs/>
        </w:rPr>
        <w:t xml:space="preserve">Le qualificazioni attaccate ai numeri.</w:t>
      </w:r>
      <w:r>
        <w:t xml:space="preserve"> </w:t>
      </w:r>
      <w:r>
        <w:t xml:space="preserve">«Cinquantasei pazienti, e il placebo era un ultrasuono disattivato — non un placebo manuale». «La soglia di pressione locale non è il flusso afferente: è la sensibilità del tessuto che hai appena trattato» — senza quella riga, Moraska 2017 diventa prova della chiave di volta e il Capitolo 8 crolla. «È un’associazione, non una direzione» e «il bruxismo del sonno non ha mostrato associazione» (Réus). «La frammentazione, non la riduzione delle ore» e «le soglie non si sono mosse» (Smith). «Quindici pazienti per braccio: un trial di questa taglia non sposta una meta-analisi su 1.131» (Corum). La nota che</w:t>
      </w:r>
      <w:r>
        <w:t xml:space="preserve"> </w:t>
      </w:r>
      <w:r>
        <w:rPr>
          <w:b/>
          <w:bCs/>
        </w:rPr>
        <w:t xml:space="preserve">D-028 non si applica</w:t>
      </w:r>
      <w:r>
        <w:t xml:space="preserve">, perché la modulazione condizionata è un indice fisiologico e non un esito clinico. «Con la qualità molto bassa» accanto ai 3,5 giorni/mese. «L’intervallo attraversa il 100%» accanto all’88%. «Eterogeneità e bias di pubblicazione dichiarati» accanto ai −103 kPa. «Le tre soglie numeriche sono convenzioni di misura del metodo, non numeri della letteratura».</w:t>
      </w:r>
    </w:p>
    <w:p>
      <w:pPr>
        <w:pStyle w:val="BodyText"/>
      </w:pPr>
      <w:r>
        <w:rPr>
          <w:b/>
          <w:bCs/>
        </w:rPr>
        <w:t xml:space="preserve">Il testo reintrodotto dall’audit di fedeltà.</w:t>
      </w:r>
      <w:r>
        <w:t xml:space="preserve"> </w:t>
      </w:r>
      <w:r>
        <w:t xml:space="preserve">La voce a Glossario di «lesione primaria». I passi 4 e 6 di «Come si studia questa Bibbia», le uniche due righe che consegnano la Mappa al lettore. La ragione dichiarata del triage: «una regola scritta e disattesa vale meno di nessuna regola».</w:t>
      </w:r>
    </w:p>
    <w:p>
      <w:pPr>
        <w:pStyle w:val="BodyText"/>
      </w:pPr>
      <w:r>
        <w:rPr>
          <w:b/>
          <w:bCs/>
        </w:rPr>
        <w:t xml:space="preserve">Nel Capitolo 12</w:t>
      </w:r>
      <w:r>
        <w:t xml:space="preserve">, già compresso, restano intoccabili sette cose: le tre etichette spezzate; i tre PMID dei randomizzati su pazienti diagnosticati,</w:t>
      </w:r>
      <w:r>
        <w:t xml:space="preserve"> </w:t>
      </w:r>
      <w:r>
        <w:rPr>
          <w:b/>
          <w:bCs/>
        </w:rPr>
        <w:t xml:space="preserve">compreso Madsen 2018 che è negativo</w:t>
      </w:r>
      <w:r>
        <w:t xml:space="preserve">; il dato sulla supervisione; il box sullo stretching (+4,60 contro −6,00); la forbice di abbandono; la non-conoscenza dichiarata «nessuno ha misurato cosa succede quando smette»; le due chiusure di confine.</w:t>
      </w:r>
      <w:r>
        <w:t xml:space="preserve"> </w:t>
      </w:r>
      <w:r>
        <w:rPr>
          <w:b/>
          <w:bCs/>
        </w:rPr>
        <w:t xml:space="preserve">Nello script</w:t>
      </w:r>
      <w:r>
        <w:t xml:space="preserve">, già a 100 parole: la riga sulla profilassi e quella sul non promettere.</w:t>
      </w:r>
    </w:p>
    <w:bookmarkEnd w:id="148"/>
    <w:bookmarkStart w:id="149" w:name="Xab44b3bfcb1cd28115f0e87d3a9640503cae958"/>
    <w:p>
      <w:pPr>
        <w:pStyle w:val="Heading3"/>
      </w:pPr>
      <w:r>
        <w:t xml:space="preserve">L’impianto didattico (3º livello — apprendimento)</w:t>
      </w:r>
    </w:p>
    <w:p>
      <w:pPr>
        <w:pStyle w:val="FirstParagraph"/>
      </w:pPr>
      <w:r>
        <w:t xml:space="preserve">Queste voci sono</w:t>
      </w:r>
      <w:r>
        <w:t xml:space="preserve"> </w:t>
      </w:r>
      <w:r>
        <w:rPr>
          <w:b/>
          <w:bCs/>
        </w:rPr>
        <w:t xml:space="preserve">didattiche, non scientifiche</w:t>
      </w:r>
      <w:r>
        <w:t xml:space="preserve">, e l’editor può classificarle al massimo come PREFERENZA.</w:t>
      </w:r>
    </w:p>
    <w:p>
      <w:pPr>
        <w:pStyle w:val="Compact"/>
        <w:numPr>
          <w:ilvl w:val="0"/>
          <w:numId w:val="1036"/>
        </w:numPr>
      </w:pPr>
      <w:r>
        <w:rPr>
          <w:b/>
          <w:bCs/>
        </w:rPr>
        <w:t xml:space="preserve">Il Capitolo 4 «Come funziona quando funziona», per intero.</w:t>
      </w:r>
      <w:r>
        <w:t xml:space="preserve"> </w:t>
      </w:r>
      <w:r>
        <w:t xml:space="preserve">Senza il passo 3 crolla il meccanismo 3, e crolla la riga del Capitolo 11 «la mano non agisce direttamente su niente». Senza il passo 5 crolla la ragione per cui il suboccipitale si tratta come muscolo.</w:t>
      </w:r>
      <w:r>
        <w:t xml:space="preserve"> </w:t>
      </w:r>
      <w:r>
        <w:rPr>
          <w:b/>
          <w:bCs/>
        </w:rPr>
        <w:t xml:space="preserve">La frase-cerniera «Questo è il sistema quando funziona. Ora vediamo dove si rompe.» sono dieci parole che tengono l’ordine di lettura di due capitoli.</w:t>
      </w:r>
    </w:p>
    <w:p>
      <w:pPr>
        <w:pStyle w:val="Compact"/>
        <w:numPr>
          <w:ilvl w:val="0"/>
          <w:numId w:val="1036"/>
        </w:numPr>
      </w:pPr>
      <w:r>
        <w:rPr>
          <w:b/>
          <w:bCs/>
        </w:rPr>
        <w:t xml:space="preserve">Le cinque metafore di chiusura dei meccanismi:</w:t>
      </w:r>
      <w:r>
        <w:t xml:space="preserve"> </w:t>
      </w:r>
      <w:r>
        <w:t xml:space="preserve">rubinetto, due strade senza semaforo, bilancia a tre chili, borsa della spesa al minuto quaranta, molla del cancello. Il rubinetto è il cuore dello script al paziente; la borsa della spesa regge i «due orologi». Tagliarne una lascia un rimando senza referente.</w:t>
      </w:r>
    </w:p>
    <w:p>
      <w:pPr>
        <w:pStyle w:val="Compact"/>
        <w:numPr>
          <w:ilvl w:val="0"/>
          <w:numId w:val="1036"/>
        </w:numPr>
      </w:pPr>
      <w:r>
        <w:rPr>
          <w:b/>
          <w:bCs/>
        </w:rPr>
        <w:t xml:space="preserve">La ripetizione dei segni fra Capitolo 5 e Capitolo 6.</w:t>
      </w:r>
      <w:r>
        <w:t xml:space="preserve"> </w:t>
      </w:r>
      <w:r>
        <w:t xml:space="preserve">Lo stesso segno insegna in «Come si vede addosso al paziente» e serve nella colonna «Segnale che lo riconosce». Non è ridondanza: è ancoraggio.</w:t>
      </w:r>
    </w:p>
    <w:p>
      <w:pPr>
        <w:pStyle w:val="Compact"/>
        <w:numPr>
          <w:ilvl w:val="0"/>
          <w:numId w:val="1036"/>
        </w:numPr>
      </w:pPr>
      <w:r>
        <w:rPr>
          <w:b/>
          <w:bCs/>
        </w:rPr>
        <w:t xml:space="preserve">Le due avvertenze negative:</w:t>
      </w:r>
      <w:r>
        <w:t xml:space="preserve"> </w:t>
      </w:r>
      <w:r>
        <w:t xml:space="preserve">«il tessuto può palpare uguale» e «non cercare più forte». Sono gli unici due punti in cui il documento insegna ad accettare un reperto negativo, invece di andarlo a cercare più forte.</w:t>
      </w:r>
    </w:p>
    <w:p>
      <w:pPr>
        <w:pStyle w:val="Compact"/>
        <w:numPr>
          <w:ilvl w:val="0"/>
          <w:numId w:val="1036"/>
        </w:numPr>
      </w:pPr>
      <w:r>
        <w:rPr>
          <w:b/>
          <w:bCs/>
        </w:rPr>
        <w:t xml:space="preserve">Il box «Attenzione — il contro-segnale» del meccanismo 4</w:t>
      </w:r>
      <w:r>
        <w:t xml:space="preserve">, cioè il fine settimana che peggiora e smentisce il carico statico. È la sola smentita in forma piena del capitolo dei meccanismi.</w:t>
      </w:r>
    </w:p>
    <w:p>
      <w:pPr>
        <w:pStyle w:val="Compact"/>
        <w:numPr>
          <w:ilvl w:val="0"/>
          <w:numId w:val="1036"/>
        </w:numPr>
      </w:pPr>
      <w:r>
        <w:rPr>
          <w:b/>
          <w:bCs/>
        </w:rPr>
        <w:t xml:space="preserve">La riga «Se li rimisuri e sono cambiati, hai misurato l’effetto locale delle tue mani, non la dominanza»</w:t>
      </w:r>
      <w:r>
        <w:t xml:space="preserve">, e la duplicazione aggiunta in v4 nello stesso capitolo («e il risultato nullo non è muto…»). La ripetizione con il Capitolo 9 è</w:t>
      </w:r>
      <w:r>
        <w:t xml:space="preserve"> </w:t>
      </w:r>
      <w:r>
        <w:rPr>
          <w:b/>
          <w:bCs/>
        </w:rPr>
        <w:t xml:space="preserve">voluta</w:t>
      </w:r>
      <w:r>
        <w:t xml:space="preserve">: è la sola cosa che impedisce al documento di insegnare l’auto-conferma.</w:t>
      </w:r>
    </w:p>
    <w:p>
      <w:pPr>
        <w:pStyle w:val="Compact"/>
        <w:numPr>
          <w:ilvl w:val="0"/>
          <w:numId w:val="1036"/>
        </w:numPr>
      </w:pPr>
      <w:r>
        <w:rPr>
          <w:b/>
          <w:bCs/>
        </w:rPr>
        <w:t xml:space="preserve">Le due tabelle separate del Capitolo 8</w:t>
      </w:r>
      <w:r>
        <w:t xml:space="preserve"> </w:t>
      </w:r>
      <w:r>
        <w:t xml:space="preserve">— «misure di effetto immediato del gesto» e «marker della prova della chiave di volta». Fonderle in una tabella con una colonna «piano» risparmia sei righe e riapre il difetto:</w:t>
      </w:r>
      <w:r>
        <w:t xml:space="preserve"> </w:t>
      </w:r>
      <w:r>
        <w:rPr>
          <w:b/>
          <w:bCs/>
        </w:rPr>
        <w:t xml:space="preserve">la separazione è l’insegnamento</w:t>
      </w:r>
      <w:r>
        <w:t xml:space="preserve">.</w:t>
      </w:r>
    </w:p>
    <w:p>
      <w:pPr>
        <w:pStyle w:val="Compact"/>
        <w:numPr>
          <w:ilvl w:val="0"/>
          <w:numId w:val="1036"/>
        </w:numPr>
      </w:pPr>
      <w:r>
        <w:rPr>
          <w:b/>
          <w:bCs/>
        </w:rPr>
        <w:t xml:space="preserve">Le glosse inline «Per te:» e i box «Perché ci sei tu», con la coppia</w:t>
      </w:r>
      <w:r>
        <w:rPr>
          <w:b/>
          <w:bCs/>
        </w:rPr>
        <w:t xml:space="preserve"> </w:t>
      </w:r>
      <w:r>
        <w:rPr>
          <w:b/>
          <w:bCs/>
          <w:i/>
          <w:iCs/>
        </w:rPr>
        <w:t xml:space="preserve">ti autorizza / non ti autorizza</w:t>
      </w:r>
      <w:r>
        <w:rPr>
          <w:b/>
          <w:bCs/>
        </w:rPr>
        <w:t xml:space="preserve">.</w:t>
      </w:r>
      <w:r>
        <w:t xml:space="preserve"> </w:t>
      </w:r>
      <w:r>
        <w:t xml:space="preserve">Sono l’intero apparato del perché. Se serve spazio, si accorci il</w:t>
      </w:r>
      <w:r>
        <w:t xml:space="preserve"> </w:t>
      </w:r>
      <w:r>
        <w:rPr>
          <w:b/>
          <w:bCs/>
        </w:rPr>
        <w:t xml:space="preserve">numero</w:t>
      </w:r>
      <w:r>
        <w:t xml:space="preserve">, mai la coppia.</w:t>
      </w:r>
    </w:p>
    <w:p>
      <w:pPr>
        <w:pStyle w:val="Compact"/>
        <w:numPr>
          <w:ilvl w:val="0"/>
          <w:numId w:val="1036"/>
        </w:numPr>
      </w:pPr>
      <w:r>
        <w:rPr>
          <w:b/>
          <w:bCs/>
        </w:rPr>
        <w:t xml:space="preserve">Il paragrafo «Come si studia questa Bibbia»</w:t>
      </w:r>
      <w:r>
        <w:t xml:space="preserve">, comprese le due righe della Mappa e la soglia di padronanza per casi difficili aggiunta in v4. È l’unico punto del documento che parla a chi sta imparando.</w:t>
      </w:r>
    </w:p>
    <w:bookmarkEnd w:id="149"/>
    <w:bookmarkStart w:id="150" w:name="le-giunture-3º-livello-coerenza"/>
    <w:p>
      <w:pPr>
        <w:pStyle w:val="Heading3"/>
      </w:pPr>
      <w:r>
        <w:t xml:space="preserve">Le giunture (3º livello — coerenza)</w:t>
      </w:r>
    </w:p>
    <w:p>
      <w:pPr>
        <w:pStyle w:val="FirstParagraph"/>
      </w:pPr>
      <w:r>
        <w:t xml:space="preserve">Queste voci hanno l’aspetto della ripetizione, e sono invece</w:t>
      </w:r>
      <w:r>
        <w:t xml:space="preserve"> </w:t>
      </w:r>
      <w:r>
        <w:rPr>
          <w:b/>
          <w:bCs/>
        </w:rPr>
        <w:t xml:space="preserve">i due lati di una giuntura</w:t>
      </w:r>
      <w:r>
        <w:t xml:space="preserve">: comprimerne uno riapre la contraddizione.</w:t>
      </w:r>
    </w:p>
    <w:p>
      <w:pPr>
        <w:pStyle w:val="Compact"/>
        <w:numPr>
          <w:ilvl w:val="0"/>
          <w:numId w:val="1037"/>
        </w:numPr>
      </w:pPr>
      <w:r>
        <w:rPr>
          <w:b/>
          <w:bCs/>
        </w:rPr>
        <w:t xml:space="preserve">Il doppio racconto del Paziente C (Capitolo 8) e della leva sull’attivazione (Capitolo 11).</w:t>
      </w:r>
      <w:r>
        <w:t xml:space="preserve"> </w:t>
      </w:r>
      <w:r>
        <w:t xml:space="preserve">«Contatto lento e ampio, ritmo del respiro guidato, tempo dedicato, spiegazione che toglie l’attesa», due volte quasi identiche: la loro identità letterale</w:t>
      </w:r>
      <w:r>
        <w:t xml:space="preserve"> </w:t>
      </w:r>
      <w:r>
        <w:rPr>
          <w:b/>
          <w:bCs/>
        </w:rPr>
        <w:t xml:space="preserve">è</w:t>
      </w:r>
      <w:r>
        <w:t xml:space="preserve"> </w:t>
      </w:r>
      <w:r>
        <w:t xml:space="preserve">la prova che la giuntura tiene.</w:t>
      </w:r>
    </w:p>
    <w:p>
      <w:pPr>
        <w:pStyle w:val="Compact"/>
        <w:numPr>
          <w:ilvl w:val="0"/>
          <w:numId w:val="1037"/>
        </w:numPr>
      </w:pPr>
      <w:r>
        <w:rPr>
          <w:b/>
          <w:bCs/>
        </w:rPr>
        <w:t xml:space="preserve">La frase del GIALLO in Capitolo 9 e la frase di chiusura del colloquio in Capitolo 13.</w:t>
      </w:r>
      <w:r>
        <w:t xml:space="preserve"> </w:t>
      </w:r>
      <w:r>
        <w:t xml:space="preserve">Stessa frase, due volte, di proposito: una fra colleghi e una al paziente.</w:t>
      </w:r>
    </w:p>
    <w:p>
      <w:pPr>
        <w:pStyle w:val="Compact"/>
        <w:numPr>
          <w:ilvl w:val="0"/>
          <w:numId w:val="1037"/>
        </w:numPr>
      </w:pPr>
      <w:r>
        <w:rPr>
          <w:b/>
          <w:bCs/>
        </w:rPr>
        <w:t xml:space="preserve">La qualificazione sotto la tabella del Capitolo 9:</w:t>
      </w:r>
      <w:r>
        <w:t xml:space="preserve"> </w:t>
      </w:r>
      <w:r>
        <w:t xml:space="preserve">«L’uso eccessivo di farmaci sta qui per il canale medico, non per il divieto di toccare.» Va tenuta</w:t>
      </w:r>
      <w:r>
        <w:t xml:space="preserve"> </w:t>
      </w:r>
      <w:r>
        <w:rPr>
          <w:b/>
          <w:bCs/>
        </w:rPr>
        <w:t xml:space="preserve">anche dopo</w:t>
      </w:r>
      <w:r>
        <w:t xml:space="preserve"> </w:t>
      </w:r>
      <w:r>
        <w:t xml:space="preserve">la correzione di v4, perché è la ragione della regola.</w:t>
      </w:r>
    </w:p>
    <w:p>
      <w:pPr>
        <w:pStyle w:val="Compact"/>
        <w:numPr>
          <w:ilvl w:val="0"/>
          <w:numId w:val="1037"/>
        </w:numPr>
      </w:pPr>
      <w:r>
        <w:rPr>
          <w:b/>
          <w:bCs/>
        </w:rPr>
        <w:t xml:space="preserve">La frase «la gerarchia ordina l’indagine, non la forza delle leve, e qui le due cose divergono».</w:t>
      </w:r>
      <w:r>
        <w:t xml:space="preserve"> </w:t>
      </w:r>
      <w:r>
        <w:t xml:space="preserve">Ha l’aria del meta-commento, ed è il perno della correzione del Capitolo 7.</w:t>
      </w:r>
    </w:p>
    <w:p>
      <w:pPr>
        <w:pStyle w:val="Compact"/>
        <w:numPr>
          <w:ilvl w:val="0"/>
          <w:numId w:val="1037"/>
        </w:numPr>
      </w:pPr>
      <w:r>
        <w:rPr>
          <w:b/>
          <w:bCs/>
        </w:rPr>
        <w:t xml:space="preserve">La difesa del terzo punto della Road Map:</w:t>
      </w:r>
      <w:r>
        <w:t xml:space="preserve"> </w:t>
      </w:r>
      <w:r>
        <w:t xml:space="preserve">«È un piano regolatore e sta qui, non in fondo». Senza, il punto 3 sembra un errore di ordinamento e verrà spostato.</w:t>
      </w:r>
    </w:p>
    <w:p>
      <w:pPr>
        <w:pStyle w:val="Compact"/>
        <w:numPr>
          <w:ilvl w:val="0"/>
          <w:numId w:val="1037"/>
        </w:numPr>
      </w:pPr>
      <w:r>
        <w:rPr>
          <w:b/>
          <w:bCs/>
        </w:rPr>
        <w:t xml:space="preserve">Le due frasi che dichiarano la disponibilità del CPM in Capitolo 8</w:t>
      </w:r>
      <w:r>
        <w:t xml:space="preserve"> </w:t>
      </w:r>
      <w:r>
        <w:t xml:space="preserve">— «che sta fuori dal piano in tutti e tre i pazienti» e «il CPM porta il suo lucchetto». Sono il lato corretto della giuntura 1: se il box si asciuga, restano solo i riassunti.</w:t>
      </w:r>
    </w:p>
    <w:p>
      <w:pPr>
        <w:pStyle w:val="Compact"/>
        <w:numPr>
          <w:ilvl w:val="0"/>
          <w:numId w:val="1037"/>
        </w:numPr>
      </w:pPr>
      <w:r>
        <w:rPr>
          <w:b/>
          <w:bCs/>
        </w:rPr>
        <w:t xml:space="preserve">La riga sull’escursione cervicale:</w:t>
      </w:r>
      <w:r>
        <w:t xml:space="preserve"> </w:t>
      </w:r>
      <w:r>
        <w:t xml:space="preserve">«fonda il mandato… e non è un bersaglio… le due cose non si contraddicono». È una riconciliazione esplicita fra due affermazioni che altrimenti si leggono come opposte.</w:t>
      </w:r>
    </w:p>
    <w:p>
      <w:pPr>
        <w:pStyle w:val="FirstParagraph"/>
      </w:pPr>
      <w:r>
        <w:rPr>
          <w:b/>
          <w:bCs/>
        </w:rPr>
        <w:t xml:space="preserve">Ripetizioni con funzione didattica, da non fondere:</w:t>
      </w:r>
      <w:r>
        <w:t xml:space="preserve"> </w:t>
      </w:r>
      <w:r>
        <w:t xml:space="preserve">i «due orologi» detti due volte (Capitoli 11 e 12), e le frasi-ponte del cerchio 2 ripetute a ogni punto d’uso. Lì la ripetizione</w:t>
      </w:r>
      <w:r>
        <w:t xml:space="preserve"> </w:t>
      </w:r>
      <w:r>
        <w:rPr>
          <w:b/>
          <w:bCs/>
        </w:rPr>
        <w:t xml:space="preserve">è</w:t>
      </w:r>
      <w:r>
        <w:t xml:space="preserve"> </w:t>
      </w:r>
      <w:r>
        <w:t xml:space="preserve">il meccanismo, non l’effetto collaterale.</w:t>
      </w:r>
    </w:p>
    <w:bookmarkEnd w:id="150"/>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6" Target="https://pubmed.ncbi.nlm.nih.gov/10468503/" TargetMode="External" /><Relationship Type="http://schemas.openxmlformats.org/officeDocument/2006/relationships/hyperlink" Id="rId115" Target="https://pubmed.ncbi.nlm.nih.gov/11414776/" TargetMode="External" /><Relationship Type="http://schemas.openxmlformats.org/officeDocument/2006/relationships/hyperlink" Id="rId125" Target="https://pubmed.ncbi.nlm.nih.gov/11809325/" TargetMode="External" /><Relationship Type="http://schemas.openxmlformats.org/officeDocument/2006/relationships/hyperlink" Id="rId98" Target="https://pubmed.ncbi.nlm.nih.gov/12077000/" TargetMode="External" /><Relationship Type="http://schemas.openxmlformats.org/officeDocument/2006/relationships/hyperlink" Id="rId99" Target="https://pubmed.ncbi.nlm.nih.gov/12821523/" TargetMode="External" /><Relationship Type="http://schemas.openxmlformats.org/officeDocument/2006/relationships/hyperlink" Id="rId143" Target="https://pubmed.ncbi.nlm.nih.gov/15448977/" TargetMode="External" /><Relationship Type="http://schemas.openxmlformats.org/officeDocument/2006/relationships/hyperlink" Id="rId92" Target="https://pubmed.ncbi.nlm.nih.gov/16116119/" TargetMode="External" /><Relationship Type="http://schemas.openxmlformats.org/officeDocument/2006/relationships/hyperlink" Id="rId100" Target="https://pubmed.ncbi.nlm.nih.gov/16776692/" TargetMode="External" /><Relationship Type="http://schemas.openxmlformats.org/officeDocument/2006/relationships/hyperlink" Id="rId119" Target="https://pubmed.ncbi.nlm.nih.gov/16820416/" TargetMode="External" /><Relationship Type="http://schemas.openxmlformats.org/officeDocument/2006/relationships/hyperlink" Id="rId110" Target="https://pubmed.ncbi.nlm.nih.gov/16886935/" TargetMode="External" /><Relationship Type="http://schemas.openxmlformats.org/officeDocument/2006/relationships/hyperlink" Id="rId114" Target="https://pubmed.ncbi.nlm.nih.gov/17257237/" TargetMode="External" /><Relationship Type="http://schemas.openxmlformats.org/officeDocument/2006/relationships/hyperlink" Id="rId142" Target="https://pubmed.ncbi.nlm.nih.gov/17520794/" TargetMode="External" /><Relationship Type="http://schemas.openxmlformats.org/officeDocument/2006/relationships/hyperlink" Id="rId120" Target="https://pubmed.ncbi.nlm.nih.gov/18204390/" TargetMode="External" /><Relationship Type="http://schemas.openxmlformats.org/officeDocument/2006/relationships/hyperlink" Id="rId134" Target="https://pubmed.ncbi.nlm.nih.gov/18726688/" TargetMode="External" /><Relationship Type="http://schemas.openxmlformats.org/officeDocument/2006/relationships/hyperlink" Id="rId107" Target="https://pubmed.ncbi.nlm.nih.gov/19158550/" TargetMode="External" /><Relationship Type="http://schemas.openxmlformats.org/officeDocument/2006/relationships/hyperlink" Id="rId121" Target="https://pubmed.ncbi.nlm.nih.gov/20227325/" TargetMode="External" /><Relationship Type="http://schemas.openxmlformats.org/officeDocument/2006/relationships/hyperlink" Id="rId113" Target="https://pubmed.ncbi.nlm.nih.gov/21142584/" TargetMode="External" /><Relationship Type="http://schemas.openxmlformats.org/officeDocument/2006/relationships/hyperlink" Id="rId95" Target="https://pubmed.ncbi.nlm.nih.gov/21359873/" TargetMode="External" /><Relationship Type="http://schemas.openxmlformats.org/officeDocument/2006/relationships/hyperlink" Id="rId93" Target="https://pubmed.ncbi.nlm.nih.gov/24293089/" TargetMode="External" /><Relationship Type="http://schemas.openxmlformats.org/officeDocument/2006/relationships/hyperlink" Id="rId132" Target="https://pubmed.ncbi.nlm.nih.gov/24785463/" TargetMode="External" /><Relationship Type="http://schemas.openxmlformats.org/officeDocument/2006/relationships/hyperlink" Id="rId89" Target="https://pubmed.ncbi.nlm.nih.gov/24853166/" TargetMode="External" /><Relationship Type="http://schemas.openxmlformats.org/officeDocument/2006/relationships/hyperlink" Id="rId137" Target="https://pubmed.ncbi.nlm.nih.gov/25329141/" TargetMode="External" /><Relationship Type="http://schemas.openxmlformats.org/officeDocument/2006/relationships/hyperlink" Id="rId129" Target="https://pubmed.ncbi.nlm.nih.gov/25748428/" TargetMode="External" /><Relationship Type="http://schemas.openxmlformats.org/officeDocument/2006/relationships/hyperlink" Id="rId123" Target="https://pubmed.ncbi.nlm.nih.gov/26103955/" TargetMode="External" /><Relationship Type="http://schemas.openxmlformats.org/officeDocument/2006/relationships/hyperlink" Id="rId118" Target="https://pubmed.ncbi.nlm.nih.gov/26250600/" TargetMode="External" /><Relationship Type="http://schemas.openxmlformats.org/officeDocument/2006/relationships/hyperlink" Id="rId124" Target="https://pubmed.ncbi.nlm.nih.gov/27783660/" TargetMode="External" /><Relationship Type="http://schemas.openxmlformats.org/officeDocument/2006/relationships/hyperlink" Id="rId106" Target="https://pubmed.ncbi.nlm.nih.gov/27919024/" TargetMode="External" /><Relationship Type="http://schemas.openxmlformats.org/officeDocument/2006/relationships/hyperlink" Id="rId122" Target="https://pubmed.ncbi.nlm.nih.gov/28245322/" TargetMode="External" /><Relationship Type="http://schemas.openxmlformats.org/officeDocument/2006/relationships/hyperlink" Id="rId138" Target="https://pubmed.ncbi.nlm.nih.gov/28248690/" TargetMode="External" /><Relationship Type="http://schemas.openxmlformats.org/officeDocument/2006/relationships/hyperlink" Id="rId126" Target="https://pubmed.ncbi.nlm.nih.gov/28721535/" TargetMode="External" /><Relationship Type="http://schemas.openxmlformats.org/officeDocument/2006/relationships/hyperlink" Id="rId109" Target="https://pubmed.ncbi.nlm.nih.gov/28750588/" TargetMode="External" /><Relationship Type="http://schemas.openxmlformats.org/officeDocument/2006/relationships/hyperlink" Id="rId108" Target="https://pubmed.ncbi.nlm.nih.gov/28854396/" TargetMode="External" /><Relationship Type="http://schemas.openxmlformats.org/officeDocument/2006/relationships/hyperlink" Id="rId128" Target="https://pubmed.ncbi.nlm.nih.gov/29740386/" TargetMode="External" /><Relationship Type="http://schemas.openxmlformats.org/officeDocument/2006/relationships/hyperlink" Id="rId116" Target="https://pubmed.ncbi.nlm.nih.gov/30587518/" TargetMode="External" /><Relationship Type="http://schemas.openxmlformats.org/officeDocument/2006/relationships/hyperlink" Id="rId102" Target="https://pubmed.ncbi.nlm.nih.gov/30922083/" TargetMode="External" /><Relationship Type="http://schemas.openxmlformats.org/officeDocument/2006/relationships/hyperlink" Id="rId139" Target="https://pubmed.ncbi.nlm.nih.gov/32100027/" TargetMode="External" /><Relationship Type="http://schemas.openxmlformats.org/officeDocument/2006/relationships/hyperlink" Id="rId145" Target="https://pubmed.ncbi.nlm.nih.gov/32599154/" TargetMode="External" /><Relationship Type="http://schemas.openxmlformats.org/officeDocument/2006/relationships/hyperlink" Id="rId127" Target="https://pubmed.ncbi.nlm.nih.gov/32924640/" TargetMode="External" /><Relationship Type="http://schemas.openxmlformats.org/officeDocument/2006/relationships/hyperlink" Id="rId105" Target="https://pubmed.ncbi.nlm.nih.gov/32957796/" TargetMode="External" /><Relationship Type="http://schemas.openxmlformats.org/officeDocument/2006/relationships/hyperlink" Id="rId144" Target="https://pubmed.ncbi.nlm.nih.gov/33517104/" TargetMode="External" /><Relationship Type="http://schemas.openxmlformats.org/officeDocument/2006/relationships/hyperlink" Id="rId101" Target="https://pubmed.ncbi.nlm.nih.gov/33690821/" TargetMode="External" /><Relationship Type="http://schemas.openxmlformats.org/officeDocument/2006/relationships/hyperlink" Id="rId90" Target="https://pubmed.ncbi.nlm.nih.gov/33767185/" TargetMode="External" /><Relationship Type="http://schemas.openxmlformats.org/officeDocument/2006/relationships/hyperlink" Id="rId135" Target="https://pubmed.ncbi.nlm.nih.gov/34054116/" TargetMode="External" /><Relationship Type="http://schemas.openxmlformats.org/officeDocument/2006/relationships/hyperlink" Id="rId103" Target="https://pubmed.ncbi.nlm.nih.gov/34062144/" TargetMode="External" /><Relationship Type="http://schemas.openxmlformats.org/officeDocument/2006/relationships/hyperlink" Id="rId141" Target="https://pubmed.ncbi.nlm.nih.gov/34129658/" TargetMode="External" /><Relationship Type="http://schemas.openxmlformats.org/officeDocument/2006/relationships/hyperlink" Id="rId130" Target="https://pubmed.ncbi.nlm.nih.gov/34418953/" TargetMode="External" /><Relationship Type="http://schemas.openxmlformats.org/officeDocument/2006/relationships/hyperlink" Id="rId91" Target="https://pubmed.ncbi.nlm.nih.gov/35410119/" TargetMode="External" /><Relationship Type="http://schemas.openxmlformats.org/officeDocument/2006/relationships/hyperlink" Id="rId117" Target="https://pubmed.ncbi.nlm.nih.gov/36099171/" TargetMode="External" /><Relationship Type="http://schemas.openxmlformats.org/officeDocument/2006/relationships/hyperlink" Id="rId104" Target="https://pubmed.ncbi.nlm.nih.gov/36137215/" TargetMode="External" /><Relationship Type="http://schemas.openxmlformats.org/officeDocument/2006/relationships/hyperlink" Id="rId136" Target="https://pubmed.ncbi.nlm.nih.gov/36901475/" TargetMode="External" /><Relationship Type="http://schemas.openxmlformats.org/officeDocument/2006/relationships/hyperlink" Id="rId140" Target="https://pubmed.ncbi.nlm.nih.gov/36917046/" TargetMode="External" /><Relationship Type="http://schemas.openxmlformats.org/officeDocument/2006/relationships/hyperlink" Id="rId111" Target="https://pubmed.ncbi.nlm.nih.gov/37789886/" TargetMode="External" /><Relationship Type="http://schemas.openxmlformats.org/officeDocument/2006/relationships/hyperlink" Id="rId88" Target="https://pubmed.ncbi.nlm.nih.gov/38602164/" TargetMode="External" /><Relationship Type="http://schemas.openxmlformats.org/officeDocument/2006/relationships/hyperlink" Id="rId131" Target="https://pubmed.ncbi.nlm.nih.gov/39920074/" TargetMode="External" /><Relationship Type="http://schemas.openxmlformats.org/officeDocument/2006/relationships/hyperlink" Id="rId133" Target="https://pubmed.ncbi.nlm.nih.gov/40129422/" TargetMode="External" /><Relationship Type="http://schemas.openxmlformats.org/officeDocument/2006/relationships/hyperlink" Id="rId112" Target="https://pubmed.ncbi.nlm.nih.gov/40257956/" TargetMode="External" /><Relationship Type="http://schemas.openxmlformats.org/officeDocument/2006/relationships/hyperlink" Id="rId94" Target="https://pubmed.ncbi.nlm.nih.gov/8455967/" TargetMode="External" /><Relationship Type="http://schemas.openxmlformats.org/officeDocument/2006/relationships/hyperlink" Id="rId97" Target="https://pubmed.ncbi.nlm.nih.gov/8826515/" TargetMode="External" /></Relationships>
</file>

<file path=word/_rels/footnotes.xml.rels><?xml version="1.0" encoding="UTF-8"?><Relationships xmlns="http://schemas.openxmlformats.org/package/2006/relationships"><Relationship Type="http://schemas.openxmlformats.org/officeDocument/2006/relationships/hyperlink" Id="rId96" Target="https://pubmed.ncbi.nlm.nih.gov/10468503/" TargetMode="External" /><Relationship Type="http://schemas.openxmlformats.org/officeDocument/2006/relationships/hyperlink" Id="rId115" Target="https://pubmed.ncbi.nlm.nih.gov/11414776/" TargetMode="External" /><Relationship Type="http://schemas.openxmlformats.org/officeDocument/2006/relationships/hyperlink" Id="rId125" Target="https://pubmed.ncbi.nlm.nih.gov/11809325/" TargetMode="External" /><Relationship Type="http://schemas.openxmlformats.org/officeDocument/2006/relationships/hyperlink" Id="rId98" Target="https://pubmed.ncbi.nlm.nih.gov/12077000/" TargetMode="External" /><Relationship Type="http://schemas.openxmlformats.org/officeDocument/2006/relationships/hyperlink" Id="rId99" Target="https://pubmed.ncbi.nlm.nih.gov/12821523/" TargetMode="External" /><Relationship Type="http://schemas.openxmlformats.org/officeDocument/2006/relationships/hyperlink" Id="rId143" Target="https://pubmed.ncbi.nlm.nih.gov/15448977/" TargetMode="External" /><Relationship Type="http://schemas.openxmlformats.org/officeDocument/2006/relationships/hyperlink" Id="rId92" Target="https://pubmed.ncbi.nlm.nih.gov/16116119/" TargetMode="External" /><Relationship Type="http://schemas.openxmlformats.org/officeDocument/2006/relationships/hyperlink" Id="rId100" Target="https://pubmed.ncbi.nlm.nih.gov/16776692/" TargetMode="External" /><Relationship Type="http://schemas.openxmlformats.org/officeDocument/2006/relationships/hyperlink" Id="rId119" Target="https://pubmed.ncbi.nlm.nih.gov/16820416/" TargetMode="External" /><Relationship Type="http://schemas.openxmlformats.org/officeDocument/2006/relationships/hyperlink" Id="rId110" Target="https://pubmed.ncbi.nlm.nih.gov/16886935/" TargetMode="External" /><Relationship Type="http://schemas.openxmlformats.org/officeDocument/2006/relationships/hyperlink" Id="rId114" Target="https://pubmed.ncbi.nlm.nih.gov/17257237/" TargetMode="External" /><Relationship Type="http://schemas.openxmlformats.org/officeDocument/2006/relationships/hyperlink" Id="rId142" Target="https://pubmed.ncbi.nlm.nih.gov/17520794/" TargetMode="External" /><Relationship Type="http://schemas.openxmlformats.org/officeDocument/2006/relationships/hyperlink" Id="rId120" Target="https://pubmed.ncbi.nlm.nih.gov/18204390/" TargetMode="External" /><Relationship Type="http://schemas.openxmlformats.org/officeDocument/2006/relationships/hyperlink" Id="rId134" Target="https://pubmed.ncbi.nlm.nih.gov/18726688/" TargetMode="External" /><Relationship Type="http://schemas.openxmlformats.org/officeDocument/2006/relationships/hyperlink" Id="rId107" Target="https://pubmed.ncbi.nlm.nih.gov/19158550/" TargetMode="External" /><Relationship Type="http://schemas.openxmlformats.org/officeDocument/2006/relationships/hyperlink" Id="rId121" Target="https://pubmed.ncbi.nlm.nih.gov/20227325/" TargetMode="External" /><Relationship Type="http://schemas.openxmlformats.org/officeDocument/2006/relationships/hyperlink" Id="rId113" Target="https://pubmed.ncbi.nlm.nih.gov/21142584/" TargetMode="External" /><Relationship Type="http://schemas.openxmlformats.org/officeDocument/2006/relationships/hyperlink" Id="rId95" Target="https://pubmed.ncbi.nlm.nih.gov/21359873/" TargetMode="External" /><Relationship Type="http://schemas.openxmlformats.org/officeDocument/2006/relationships/hyperlink" Id="rId93" Target="https://pubmed.ncbi.nlm.nih.gov/24293089/" TargetMode="External" /><Relationship Type="http://schemas.openxmlformats.org/officeDocument/2006/relationships/hyperlink" Id="rId132" Target="https://pubmed.ncbi.nlm.nih.gov/24785463/" TargetMode="External" /><Relationship Type="http://schemas.openxmlformats.org/officeDocument/2006/relationships/hyperlink" Id="rId89" Target="https://pubmed.ncbi.nlm.nih.gov/24853166/" TargetMode="External" /><Relationship Type="http://schemas.openxmlformats.org/officeDocument/2006/relationships/hyperlink" Id="rId137" Target="https://pubmed.ncbi.nlm.nih.gov/25329141/" TargetMode="External" /><Relationship Type="http://schemas.openxmlformats.org/officeDocument/2006/relationships/hyperlink" Id="rId129" Target="https://pubmed.ncbi.nlm.nih.gov/25748428/" TargetMode="External" /><Relationship Type="http://schemas.openxmlformats.org/officeDocument/2006/relationships/hyperlink" Id="rId123" Target="https://pubmed.ncbi.nlm.nih.gov/26103955/" TargetMode="External" /><Relationship Type="http://schemas.openxmlformats.org/officeDocument/2006/relationships/hyperlink" Id="rId118" Target="https://pubmed.ncbi.nlm.nih.gov/26250600/" TargetMode="External" /><Relationship Type="http://schemas.openxmlformats.org/officeDocument/2006/relationships/hyperlink" Id="rId124" Target="https://pubmed.ncbi.nlm.nih.gov/27783660/" TargetMode="External" /><Relationship Type="http://schemas.openxmlformats.org/officeDocument/2006/relationships/hyperlink" Id="rId106" Target="https://pubmed.ncbi.nlm.nih.gov/27919024/" TargetMode="External" /><Relationship Type="http://schemas.openxmlformats.org/officeDocument/2006/relationships/hyperlink" Id="rId122" Target="https://pubmed.ncbi.nlm.nih.gov/28245322/" TargetMode="External" /><Relationship Type="http://schemas.openxmlformats.org/officeDocument/2006/relationships/hyperlink" Id="rId138" Target="https://pubmed.ncbi.nlm.nih.gov/28248690/" TargetMode="External" /><Relationship Type="http://schemas.openxmlformats.org/officeDocument/2006/relationships/hyperlink" Id="rId126" Target="https://pubmed.ncbi.nlm.nih.gov/28721535/" TargetMode="External" /><Relationship Type="http://schemas.openxmlformats.org/officeDocument/2006/relationships/hyperlink" Id="rId109" Target="https://pubmed.ncbi.nlm.nih.gov/28750588/" TargetMode="External" /><Relationship Type="http://schemas.openxmlformats.org/officeDocument/2006/relationships/hyperlink" Id="rId108" Target="https://pubmed.ncbi.nlm.nih.gov/28854396/" TargetMode="External" /><Relationship Type="http://schemas.openxmlformats.org/officeDocument/2006/relationships/hyperlink" Id="rId128" Target="https://pubmed.ncbi.nlm.nih.gov/29740386/" TargetMode="External" /><Relationship Type="http://schemas.openxmlformats.org/officeDocument/2006/relationships/hyperlink" Id="rId116" Target="https://pubmed.ncbi.nlm.nih.gov/30587518/" TargetMode="External" /><Relationship Type="http://schemas.openxmlformats.org/officeDocument/2006/relationships/hyperlink" Id="rId102" Target="https://pubmed.ncbi.nlm.nih.gov/30922083/" TargetMode="External" /><Relationship Type="http://schemas.openxmlformats.org/officeDocument/2006/relationships/hyperlink" Id="rId139" Target="https://pubmed.ncbi.nlm.nih.gov/32100027/" TargetMode="External" /><Relationship Type="http://schemas.openxmlformats.org/officeDocument/2006/relationships/hyperlink" Id="rId145" Target="https://pubmed.ncbi.nlm.nih.gov/32599154/" TargetMode="External" /><Relationship Type="http://schemas.openxmlformats.org/officeDocument/2006/relationships/hyperlink" Id="rId127" Target="https://pubmed.ncbi.nlm.nih.gov/32924640/" TargetMode="External" /><Relationship Type="http://schemas.openxmlformats.org/officeDocument/2006/relationships/hyperlink" Id="rId105" Target="https://pubmed.ncbi.nlm.nih.gov/32957796/" TargetMode="External" /><Relationship Type="http://schemas.openxmlformats.org/officeDocument/2006/relationships/hyperlink" Id="rId144" Target="https://pubmed.ncbi.nlm.nih.gov/33517104/" TargetMode="External" /><Relationship Type="http://schemas.openxmlformats.org/officeDocument/2006/relationships/hyperlink" Id="rId101" Target="https://pubmed.ncbi.nlm.nih.gov/33690821/" TargetMode="External" /><Relationship Type="http://schemas.openxmlformats.org/officeDocument/2006/relationships/hyperlink" Id="rId90" Target="https://pubmed.ncbi.nlm.nih.gov/33767185/" TargetMode="External" /><Relationship Type="http://schemas.openxmlformats.org/officeDocument/2006/relationships/hyperlink" Id="rId135" Target="https://pubmed.ncbi.nlm.nih.gov/34054116/" TargetMode="External" /><Relationship Type="http://schemas.openxmlformats.org/officeDocument/2006/relationships/hyperlink" Id="rId103" Target="https://pubmed.ncbi.nlm.nih.gov/34062144/" TargetMode="External" /><Relationship Type="http://schemas.openxmlformats.org/officeDocument/2006/relationships/hyperlink" Id="rId141" Target="https://pubmed.ncbi.nlm.nih.gov/34129658/" TargetMode="External" /><Relationship Type="http://schemas.openxmlformats.org/officeDocument/2006/relationships/hyperlink" Id="rId130" Target="https://pubmed.ncbi.nlm.nih.gov/34418953/" TargetMode="External" /><Relationship Type="http://schemas.openxmlformats.org/officeDocument/2006/relationships/hyperlink" Id="rId91" Target="https://pubmed.ncbi.nlm.nih.gov/35410119/" TargetMode="External" /><Relationship Type="http://schemas.openxmlformats.org/officeDocument/2006/relationships/hyperlink" Id="rId117" Target="https://pubmed.ncbi.nlm.nih.gov/36099171/" TargetMode="External" /><Relationship Type="http://schemas.openxmlformats.org/officeDocument/2006/relationships/hyperlink" Id="rId104" Target="https://pubmed.ncbi.nlm.nih.gov/36137215/" TargetMode="External" /><Relationship Type="http://schemas.openxmlformats.org/officeDocument/2006/relationships/hyperlink" Id="rId136" Target="https://pubmed.ncbi.nlm.nih.gov/36901475/" TargetMode="External" /><Relationship Type="http://schemas.openxmlformats.org/officeDocument/2006/relationships/hyperlink" Id="rId140" Target="https://pubmed.ncbi.nlm.nih.gov/36917046/" TargetMode="External" /><Relationship Type="http://schemas.openxmlformats.org/officeDocument/2006/relationships/hyperlink" Id="rId111" Target="https://pubmed.ncbi.nlm.nih.gov/37789886/" TargetMode="External" /><Relationship Type="http://schemas.openxmlformats.org/officeDocument/2006/relationships/hyperlink" Id="rId88" Target="https://pubmed.ncbi.nlm.nih.gov/38602164/" TargetMode="External" /><Relationship Type="http://schemas.openxmlformats.org/officeDocument/2006/relationships/hyperlink" Id="rId131" Target="https://pubmed.ncbi.nlm.nih.gov/39920074/" TargetMode="External" /><Relationship Type="http://schemas.openxmlformats.org/officeDocument/2006/relationships/hyperlink" Id="rId133" Target="https://pubmed.ncbi.nlm.nih.gov/40129422/" TargetMode="External" /><Relationship Type="http://schemas.openxmlformats.org/officeDocument/2006/relationships/hyperlink" Id="rId112" Target="https://pubmed.ncbi.nlm.nih.gov/40257956/" TargetMode="External" /><Relationship Type="http://schemas.openxmlformats.org/officeDocument/2006/relationships/hyperlink" Id="rId94" Target="https://pubmed.ncbi.nlm.nih.gov/8455967/" TargetMode="External" /><Relationship Type="http://schemas.openxmlformats.org/officeDocument/2006/relationships/hyperlink" Id="rId97" Target="https://pubmed.ncbi.nlm.nih.gov/88265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Mal di Testa Tensivo</dc:title>
  <dc:creator>Mobilitas — Direzione Osteopatica</dc:creator>
  <dc:language>it-IT</dc:language>
  <cp:keywords/>
  <dcterms:created xsi:type="dcterms:W3CDTF">2026-08-20T18:10:24Z</dcterms:created>
  <dcterms:modified xsi:type="dcterms:W3CDTF">2026-08-20T18:10:24Z</dcterms:modified>
</cp:coreProperties>
</file>

<file path=docProps/custom.xml><?xml version="1.0" encoding="utf-8"?>
<Properties xmlns="http://schemas.openxmlformats.org/officeDocument/2006/custom-properties" xmlns:vt="http://schemas.openxmlformats.org/officeDocument/2006/docPropsVTypes"/>
</file>