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mappa-rettilineizzazione-cervicale"/>
    <w:p>
      <w:pPr>
        <w:pStyle w:val="Heading1"/>
      </w:pPr>
      <w:r>
        <w:t xml:space="preserve">Mappa — Rettilineizzazione cervicale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Deborah Falla ·</w:t>
      </w:r>
      <w:r>
        <w:t xml:space="preserve"> </w:t>
      </w:r>
      <w:r>
        <w:rPr>
          <w:b/>
          <w:bCs/>
        </w:rPr>
        <w:t xml:space="preserve">Ancora della misura:</w:t>
      </w:r>
      <w:r>
        <w:t xml:space="preserve"> </w:t>
      </w:r>
      <w:r>
        <w:t xml:space="preserve">Dieter Grob —</w:t>
      </w:r>
      <w:r>
        <w:t xml:space="preserve"> </w:t>
      </w:r>
      <w:r>
        <w:rPr>
          <w:b/>
          <w:bCs/>
        </w:rPr>
        <w:t xml:space="preserve">v7.0 finale</w:t>
      </w:r>
      <w:r>
        <w:t xml:space="preserve">,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3"/>
      </w:pPr>
      <w:r>
        <w:t xml:space="preserve">1 · La condizione in tre righe</w:t>
      </w:r>
    </w:p>
    <w:p>
      <w:pPr>
        <w:pStyle w:val="FirstParagraph"/>
      </w:pPr>
      <w:r>
        <w:t xml:space="preserve">Perdita della normale curva cervicale, vista su radiografia laterale in una posizione sola.</w:t>
      </w:r>
      <w:r>
        <w:t xml:space="preserve"> </w:t>
      </w:r>
      <w:r>
        <w:t xml:space="preserve">Circa un terzo delle persone</w:t>
      </w:r>
      <w:r>
        <w:t xml:space="preserve"> </w:t>
      </w:r>
      <w:r>
        <w:rPr>
          <w:b/>
          <w:bCs/>
        </w:rPr>
        <w:t xml:space="preserve">senza sintomi</w:t>
      </w:r>
      <w:r>
        <w:t xml:space="preserve"> </w:t>
      </w:r>
      <w:r>
        <w:t xml:space="preserve">ce l’ha: la curva non separa chi ha male da chi non ne ha.</w:t>
      </w:r>
      <w:r>
        <w:t xml:space="preserve"> </w:t>
      </w:r>
      <w:r>
        <w:t xml:space="preserve">Il dolore cervicale ha decorso a episodi e tende a tornare: fra metà e tre quarti ne riferisce ancora a 1-5 anni.</w:t>
      </w:r>
    </w:p>
    <w:bookmarkEnd w:id="9"/>
    <w:bookmarkStart w:id="10" w:name="la-catena-causale"/>
    <w:p>
      <w:pPr>
        <w:pStyle w:val="Heading3"/>
      </w:pPr>
      <w:r>
        <w:t xml:space="preserve">2 · La catena causale</w:t>
      </w:r>
    </w:p>
    <w:p>
      <w:pPr>
        <w:pStyle w:val="FirstParagraph"/>
      </w:pPr>
      <w:r>
        <w:rPr>
          <w:rStyle w:val="VerbatimChar"/>
        </w:rPr>
        <w:t xml:space="preserve">ore continuative in flessione del capo → i profondi non tengono più la posizione → i superficiali e i muscoli della scapola coprono il turno → il collo lavora in escursione ridotta sopra un dorso che non ruota → morsa alla base del collo che cresce nel pomeriggio</w:t>
      </w:r>
    </w:p>
    <w:bookmarkEnd w:id="10"/>
    <w:bookmarkStart w:id="11" w:name="i-meccanismi-e-quanto-sono-solidi"/>
    <w:p>
      <w:pPr>
        <w:pStyle w:val="Heading3"/>
      </w:pPr>
      <w:r>
        <w:t xml:space="preserve">3 ·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Profondi che mollano</w:t>
            </w:r>
          </w:p>
        </w:tc>
        <w:tc>
          <w:tcPr/>
          <w:p>
            <w:pPr>
              <w:pStyle w:val="Compact"/>
            </w:pPr>
            <w:r>
              <w:t xml:space="preserve">Test cranio-cervicale non tenuto</w:t>
            </w:r>
          </w:p>
        </w:tc>
        <w:tc>
          <w:tcPr/>
          <w:p>
            <w:pPr>
              <w:pStyle w:val="Compact"/>
            </w:pPr>
            <w:r>
              <w:t xml:space="preserve">DIMOSTRATO l’alterazione / PROBABILE l’allenamento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Carico che cresce con i gradi</w:t>
            </w:r>
          </w:p>
        </w:tc>
        <w:tc>
          <w:tcPr/>
          <w:p>
            <w:pPr>
              <w:pStyle w:val="Compact"/>
            </w:pPr>
            <w:r>
              <w:t xml:space="preserve">Sintomo legato alla durata</w:t>
            </w:r>
          </w:p>
        </w:tc>
        <w:tc>
          <w:tcPr/>
          <w:p>
            <w:pPr>
              <w:pStyle w:val="Compact"/>
            </w:pPr>
            <w:r>
              <w:t xml:space="preserve">DIMOSTRATO / IPOTESI sul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Torace che trascina la testa</w:t>
            </w:r>
          </w:p>
        </w:tc>
        <w:tc>
          <w:tcPr/>
          <w:p>
            <w:pPr>
              <w:pStyle w:val="Compact"/>
            </w:pPr>
            <w:r>
              <w:t xml:space="preserve">Rotazione seduta ridotta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Cerniera alta rigida</w:t>
            </w:r>
          </w:p>
        </w:tc>
        <w:tc>
          <w:tcPr/>
          <w:p>
            <w:pPr>
              <w:pStyle w:val="Compact"/>
            </w:pPr>
            <w:r>
              <w:t xml:space="preserve">Flessione-rotazione sotto 32°</w:t>
            </w:r>
          </w:p>
        </w:tc>
        <w:tc>
          <w:tcPr/>
          <w:p>
            <w:pPr>
              <w:pStyle w:val="Compact"/>
            </w:pPr>
            <w:r>
              <w:t xml:space="preserve">PROBABILE il test / IPOTESI l’ingresso nocicettivo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</w:t>
            </w:r>
          </w:p>
        </w:tc>
        <w:tc>
          <w:tcPr/>
          <w:p>
            <w:pPr>
              <w:pStyle w:val="Compact"/>
            </w:pPr>
            <w:r>
              <w:t xml:space="preserve">Segue il periodo, non il carico</w:t>
            </w:r>
          </w:p>
        </w:tc>
        <w:tc>
          <w:tcPr/>
          <w:p>
            <w:pPr>
              <w:pStyle w:val="Compact"/>
            </w:pPr>
            <w:r>
              <w:t xml:space="preserve">DIMOSTRATI i processi centrali / IPOTESI il tocco</w:t>
            </w:r>
          </w:p>
        </w:tc>
      </w:tr>
    </w:tbl>
    <w:p>
      <w:pPr>
        <w:pStyle w:val="BodyText"/>
      </w:pPr>
      <w:r>
        <w:rPr>
          <w:i/>
          <w:iCs/>
        </w:rPr>
        <w:t xml:space="preserve">Tipo di dolore: nocicettivo nei primi tre, nociplastico nel quinto, neuropatico solo come cancello.</w:t>
      </w:r>
      <w:r>
        <w:t xml:space="preserve"> </w:t>
      </w:r>
      <w:r>
        <w:rPr>
          <w:i/>
          <w:iCs/>
        </w:rPr>
        <w:t xml:space="preserve">Mani più esercizio battono l’esercizio da solo su dolore e disabilità (16 e 13 studi, certezza bassa). L’esercizio aggiunto sopra la terapia manuale non cambia niente (3 studi, certezza moderata) — Wilhelm 2023, PMID 37092822.</w:t>
      </w:r>
    </w:p>
    <w:bookmarkEnd w:id="11"/>
    <w:bookmarkStart w:id="12" w:name="i-sottotipi-e-chi-comanda"/>
    <w:p>
      <w:pPr>
        <w:pStyle w:val="Heading3"/>
      </w:pPr>
      <w:r>
        <w:t xml:space="preserve">4 ·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Piano dominante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che regge poco</w:t>
            </w:r>
          </w:p>
        </w:tc>
        <w:tc>
          <w:tcPr/>
          <w:p>
            <w:pPr>
              <w:pStyle w:val="Compact"/>
            </w:pPr>
            <w:r>
              <w:t xml:space="preserve">Bene al mattino, morsa alle cinque</w:t>
            </w:r>
          </w:p>
        </w:tc>
        <w:tc>
          <w:tcPr/>
          <w:p>
            <w:pPr>
              <w:pStyle w:val="Compact"/>
            </w:pPr>
            <w:r>
              <w:t xml:space="preserve">Il collo, tenuta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agganciato alla giornata</w:t>
            </w:r>
          </w:p>
        </w:tc>
        <w:tc>
          <w:tcPr/>
          <w:p>
            <w:pPr>
              <w:pStyle w:val="Compact"/>
            </w:pPr>
            <w:r>
              <w:t xml:space="preserve">Migliora a carico invariato</w:t>
            </w:r>
          </w:p>
        </w:tc>
        <w:tc>
          <w:tcPr/>
          <w:p>
            <w:pPr>
              <w:pStyle w:val="Compact"/>
            </w:pPr>
            <w:r>
              <w:t xml:space="preserve">L’attivazione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che non gira</w:t>
            </w:r>
          </w:p>
        </w:tc>
        <w:tc>
          <w:tcPr/>
          <w:p>
            <w:pPr>
              <w:pStyle w:val="Compact"/>
            </w:pPr>
            <w:r>
              <w:t xml:space="preserve">Retromarcia con tutto il busto</w:t>
            </w:r>
          </w:p>
        </w:tc>
        <w:tc>
          <w:tcPr/>
          <w:p>
            <w:pPr>
              <w:pStyle w:val="Compact"/>
            </w:pPr>
            <w:r>
              <w:t xml:space="preserve">Il collo, mobilità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che paga per il dorso</w:t>
            </w:r>
          </w:p>
        </w:tc>
        <w:tc>
          <w:tcPr/>
          <w:p>
            <w:pPr>
              <w:pStyle w:val="Compact"/>
            </w:pPr>
            <w:r>
              <w:t xml:space="preserve">Rotazione seduta ridotta</w:t>
            </w:r>
          </w:p>
        </w:tc>
        <w:tc>
          <w:tcPr/>
          <w:p>
            <w:pPr>
              <w:pStyle w:val="Compact"/>
            </w:pPr>
            <w:r>
              <w:t xml:space="preserve">Il contenitore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dopo un tamponamento</w:t>
            </w:r>
          </w:p>
        </w:tc>
        <w:tc>
          <w:tcPr/>
          <w:p>
            <w:pPr>
              <w:pStyle w:val="Compact"/>
            </w:pPr>
            <w:r>
              <w:t xml:space="preserve">Il referto ha una data</w:t>
            </w:r>
          </w:p>
        </w:tc>
        <w:tc>
          <w:tcPr/>
          <w:p>
            <w:pPr>
              <w:pStyle w:val="Compact"/>
            </w:pPr>
            <w:r>
              <w:t xml:space="preserve">Il collo, in acuto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Formicolio posizionale</w:t>
            </w:r>
          </w:p>
        </w:tc>
        <w:tc>
          <w:tcPr/>
          <w:p>
            <w:pPr>
              <w:pStyle w:val="Compact"/>
            </w:pPr>
            <w:r>
              <w:t xml:space="preserve">Dopo ore di schermo, nessun deficit</w:t>
            </w:r>
          </w:p>
        </w:tc>
        <w:tc>
          <w:tcPr/>
          <w:p>
            <w:pPr>
              <w:pStyle w:val="Compact"/>
            </w:pPr>
            <w:r>
              <w:t xml:space="preserve">Il contenitore</w:t>
            </w:r>
          </w:p>
        </w:tc>
        <w:tc>
          <w:tcPr/>
          <w:p>
            <w:pPr>
              <w:pStyle w:val="Compact"/>
            </w:pPr>
            <w:r>
              <w:t xml:space="preserve">Abbastanza — giallo prioritario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Braccio che formicola davvero</w:t>
            </w:r>
          </w:p>
        </w:tc>
        <w:tc>
          <w:tcPr/>
          <w:p>
            <w:pPr>
              <w:pStyle w:val="Compact"/>
            </w:pPr>
            <w:r>
              <w:t xml:space="preserve">Territorio preciso oltre il gomito</w:t>
            </w:r>
          </w:p>
        </w:tc>
        <w:tc>
          <w:tcPr/>
          <w:p>
            <w:pPr>
              <w:pStyle w:val="Compact"/>
            </w:pPr>
            <w:r>
              <w:t xml:space="preserve">Fuori</w:t>
            </w:r>
          </w:p>
        </w:tc>
        <w:tc>
          <w:tcPr/>
          <w:p>
            <w:pPr>
              <w:pStyle w:val="Compact"/>
            </w:pPr>
            <w:r>
              <w:t xml:space="preserve">Poco — cancello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su un osso che non regge</w:t>
            </w:r>
          </w:p>
        </w:tc>
        <w:tc>
          <w:tcPr/>
          <w:p>
            <w:pPr>
              <w:pStyle w:val="Compact"/>
            </w:pPr>
            <w:r>
              <w:t xml:space="preserve">Over 65, osteoporosi, rachide anchilosato</w:t>
            </w:r>
          </w:p>
        </w:tc>
        <w:tc>
          <w:tcPr/>
          <w:p>
            <w:pPr>
              <w:pStyle w:val="Compact"/>
            </w:pPr>
            <w:r>
              <w:t xml:space="preserve">Cambia il gesto</w:t>
            </w:r>
          </w:p>
        </w:tc>
        <w:tc>
          <w:tcPr/>
          <w:p>
            <w:pPr>
              <w:pStyle w:val="Compact"/>
            </w:pPr>
            <w:r>
              <w:t xml:space="preserve">Poco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Collo rigido strutturato</w:t>
            </w:r>
          </w:p>
        </w:tc>
        <w:tc>
          <w:tcPr/>
          <w:p>
            <w:pPr>
              <w:pStyle w:val="Compact"/>
            </w:pPr>
            <w:r>
              <w:t xml:space="preserve">Non estende da sdraiato</w:t>
            </w:r>
          </w:p>
        </w:tc>
        <w:tc>
          <w:tcPr/>
          <w:p>
            <w:pPr>
              <w:pStyle w:val="Compact"/>
            </w:pPr>
            <w:r>
              <w:t xml:space="preserve">Nessun piano</w:t>
            </w:r>
          </w:p>
        </w:tc>
        <w:tc>
          <w:tcPr/>
          <w:p>
            <w:pPr>
              <w:pStyle w:val="Compact"/>
            </w:pPr>
            <w:r>
              <w:t xml:space="preserve">Poco — comfort e resistenza; invio solo ai due bivi</w:t>
            </w:r>
          </w:p>
        </w:tc>
      </w:tr>
    </w:tbl>
    <w:p>
      <w:pPr>
        <w:pStyle w:val="BodyText"/>
      </w:pPr>
      <w:r>
        <w:rPr>
          <w:i/>
          <w:iCs/>
        </w:rPr>
        <w:t xml:space="preserve">Più piani positivi insieme: arbitra l’ordine della Road Map, decide la prova della chiave di volta.</w:t>
      </w:r>
    </w:p>
    <w:bookmarkEnd w:id="12"/>
    <w:bookmarkStart w:id="13" w:name="le-bandiere-rosse"/>
    <w:p>
      <w:pPr>
        <w:pStyle w:val="Heading3"/>
      </w:pPr>
      <w:r>
        <w:t xml:space="preserve">5 · Le bandiere rosse</w:t>
      </w:r>
    </w:p>
    <w:p>
      <w:pPr>
        <w:pStyle w:val="Compact"/>
        <w:numPr>
          <w:ilvl w:val="0"/>
          <w:numId w:val="1001"/>
        </w:numPr>
      </w:pPr>
      <w:r>
        <w:t xml:space="preserve">Trauma con fattore ad alto rischio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Deficit neurologico che peggiora → Pronto soccorso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Goffaggine delle mani, andatura instabile → Neurologo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Scosse elettriche flettendo il capo → Neurologo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Dolore o cefalea</w:t>
      </w:r>
      <w:r>
        <w:t xml:space="preserve"> </w:t>
      </w:r>
      <w:r>
        <w:rPr>
          <w:b/>
          <w:bCs/>
        </w:rPr>
        <w:t xml:space="preserve">da un lato, nuovi e diversi da tutti i precedenti</w:t>
      </w:r>
      <w:r>
        <w:t xml:space="preserve"> </w:t>
      </w:r>
      <w:r>
        <w:t xml:space="preserve">→ Pronto soccorso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Horner, acufene pulsante, disartria o disfagia nuove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Febbre con rigidità nucale in flessione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Dolore ingravescente in diabetico, immunodepresso, dializzato, o dopo infezione o procedura — con o senza febbre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Neoplasia pregressa, in qualunque epoca, con dolore nuovo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Dolore notturno crescente, calo di peso → Medico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Vertigine, diplopia, disartria, atassia → Pronto soccorso →</w:t>
      </w:r>
      <w:r>
        <w:t xml:space="preserve"> </w:t>
      </w:r>
      <w:r>
        <w:rPr>
          <w:b/>
          <w:bCs/>
        </w:rPr>
        <w:t xml:space="preserve">112 se in atto</w:t>
      </w:r>
    </w:p>
    <w:p>
      <w:pPr>
        <w:pStyle w:val="Compact"/>
        <w:numPr>
          <w:ilvl w:val="0"/>
          <w:numId w:val="1001"/>
        </w:numPr>
      </w:pPr>
      <w:r>
        <w:t xml:space="preserve">Cefalea improvvisa, mai avuta così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FirstParagraph"/>
      </w:pPr>
      <w:r>
        <w:rPr>
          <w:b/>
          <w:bCs/>
        </w:rPr>
        <w:t xml:space="preserve">Uscite gialle prioritarie</w:t>
      </w:r>
      <w:r>
        <w:t xml:space="preserve"> </w:t>
      </w:r>
      <w:r>
        <w:rPr>
          <w:i/>
          <w:iCs/>
        </w:rPr>
        <w:t xml:space="preserve">(si lavora, con due strette: comunicazione scritta al curante prima della seduta successiva, e ricontrollo di forza, sensibilità e riflessi a ogni seduta)</w:t>
      </w:r>
    </w:p>
    <w:p>
      <w:pPr>
        <w:pStyle w:val="Compact"/>
        <w:numPr>
          <w:ilvl w:val="0"/>
          <w:numId w:val="1002"/>
        </w:numPr>
      </w:pPr>
      <w:r>
        <w:t xml:space="preserve">Formicolio stabile senza deficit di forza → Medico curante</w:t>
      </w:r>
    </w:p>
    <w:p>
      <w:pPr>
        <w:pStyle w:val="Compact"/>
        <w:numPr>
          <w:ilvl w:val="0"/>
          <w:numId w:val="1002"/>
        </w:numPr>
      </w:pPr>
      <w:r>
        <w:t xml:space="preserve">Rigidità mattutina oltre 30 minuti, dolore notturno che migliora muovendosi, sotto i 45 anni → Valutazione reumatologica</w:t>
      </w:r>
    </w:p>
    <w:p>
      <w:pPr>
        <w:pStyle w:val="Compact"/>
        <w:numPr>
          <w:ilvl w:val="0"/>
          <w:numId w:val="1002"/>
        </w:numPr>
      </w:pPr>
      <w:r>
        <w:t xml:space="preserve">Artrite reumatoide, sindrome di Down, rachide anchilosato → Imaging dinamico</w:t>
      </w:r>
    </w:p>
    <w:p>
      <w:pPr>
        <w:pStyle w:val="FirstParagraph"/>
      </w:pPr>
      <w:r>
        <w:rPr>
          <w:i/>
          <w:iCs/>
        </w:rPr>
        <w:t xml:space="preserve">L’accordo fra linee guida su quali bandiere usare è mediamente zero: è una rete, non un filtro.</w:t>
      </w:r>
    </w:p>
    <w:bookmarkEnd w:id="13"/>
    <w:bookmarkStart w:id="14" w:name="la-sicurezza-del-gesto-in-quattro-righe"/>
    <w:p>
      <w:pPr>
        <w:pStyle w:val="Heading3"/>
      </w:pPr>
      <w:r>
        <w:t xml:space="preserve">6 · La sicurezza del gesto, in quattro righe</w:t>
      </w:r>
    </w:p>
    <w:p>
      <w:pPr>
        <w:pStyle w:val="FirstParagraph"/>
      </w:pPr>
      <w:r>
        <w:t xml:space="preserve">Nella</w:t>
      </w:r>
      <w:r>
        <w:t xml:space="preserve"> </w:t>
      </w:r>
      <w:r>
        <w:rPr>
          <w:b/>
          <w:bCs/>
        </w:rPr>
        <w:t xml:space="preserve">cerniera alta passano le arterie vertebrali</w:t>
      </w:r>
      <w:r>
        <w:t xml:space="preserve">. La dissezione è rara — negli studi randomizzati tutti gli eventi sono lievi — ma è la classe di evento grave più frequente qui (58% di 334 casi, 75% dopo manipolazione), e</w:t>
      </w:r>
      <w:r>
        <w:t xml:space="preserve"> </w:t>
      </w:r>
      <w:r>
        <w:rPr>
          <w:b/>
          <w:bCs/>
        </w:rPr>
        <w:t xml:space="preserve">nessun test preliminare la esclude</w:t>
      </w:r>
      <w:r>
        <w:t xml:space="preserve">.</w:t>
      </w:r>
      <w:r>
        <w:t xml:space="preserve"> </w:t>
      </w:r>
      <w:r>
        <w:t xml:space="preserve">Sul</w:t>
      </w:r>
      <w:r>
        <w:t xml:space="preserve"> </w:t>
      </w:r>
      <w:r>
        <w:rPr>
          <w:b/>
          <w:bCs/>
        </w:rPr>
        <w:t xml:space="preserve">dorso</w:t>
      </w:r>
      <w:r>
        <w:t xml:space="preserve"> </w:t>
      </w:r>
      <w:r>
        <w:t xml:space="preserve">il rischio non è zero: lesione midollare, pneumotorace, frattura costale. Con</w:t>
      </w:r>
      <w:r>
        <w:t xml:space="preserve"> </w:t>
      </w:r>
      <w:r>
        <w:rPr>
          <w:b/>
          <w:bCs/>
        </w:rPr>
        <w:t xml:space="preserve">osso fragile</w:t>
      </w:r>
      <w:r>
        <w:t xml:space="preserve"> </w:t>
      </w:r>
      <w:r>
        <w:t xml:space="preserve">— osteoporosi, cortisone cronico, rachide anchilosato, neoplasia — smette di essere il piano prudente.</w:t>
      </w:r>
      <w:r>
        <w:t xml:space="preserve"> </w:t>
      </w:r>
      <w:r>
        <w:t xml:space="preserve">Con artrite reumatoide, sindrome di Down o rachide anchilosato</w:t>
      </w:r>
      <w:r>
        <w:t xml:space="preserve"> </w:t>
      </w:r>
      <w:r>
        <w:rPr>
          <w:b/>
          <w:bCs/>
        </w:rPr>
        <w:t xml:space="preserve">instabilità e fragilità si presumono</w:t>
      </w:r>
      <w:r>
        <w:t xml:space="preserve"> </w:t>
      </w:r>
      <w:r>
        <w:t xml:space="preserve">finché l’imaging non dice il contrario: niente alta velocità, niente leve lunghe, in nessuna seduta.</w:t>
      </w:r>
      <w:r>
        <w:t xml:space="preserve"> </w:t>
      </w:r>
      <w:r>
        <w:t xml:space="preserve">Manipolazione e mobilizzazione cervicali sono</w:t>
      </w:r>
      <w:r>
        <w:t xml:space="preserve"> </w:t>
      </w:r>
      <w:r>
        <w:rPr>
          <w:b/>
          <w:bCs/>
        </w:rPr>
        <w:t xml:space="preserve">equivalenti</w:t>
      </w:r>
      <w:r>
        <w:t xml:space="preserve"> </w:t>
      </w:r>
      <w:r>
        <w:t xml:space="preserve">sugli esiti: la bassa velocità</w:t>
      </w:r>
      <w:r>
        <w:t xml:space="preserve"> </w:t>
      </w:r>
      <w:r>
        <w:rPr>
          <w:b/>
          <w:bCs/>
        </w:rPr>
        <w:t xml:space="preserve">riduce</w:t>
      </w:r>
      <w:r>
        <w:t xml:space="preserve"> </w:t>
      </w:r>
      <w:r>
        <w:t xml:space="preserve">l’esposizione, non la azzera.</w:t>
      </w:r>
    </w:p>
    <w:p>
      <w:pPr>
        <w:pStyle w:val="BodyText"/>
      </w:pPr>
      <w:r>
        <w:rPr>
          <w:b/>
          <w:bCs/>
        </w:rPr>
        <w:t xml:space="preserve">Prima che esca:</w:t>
      </w:r>
      <w:r>
        <w:t xml:space="preserve"> </w:t>
      </w:r>
      <w:r>
        <w:t xml:space="preserve">cefalea o dolore nuovi per intensità o carattere, vertigine, disturbo visivo, difficoltà a parlare o deglutire, formicolio o debolezza</w:t>
      </w:r>
      <w:r>
        <w:t xml:space="preserve"> </w:t>
      </w:r>
      <w:r>
        <w:rPr>
          <w:b/>
          <w:bCs/>
        </w:rPr>
        <w:t xml:space="preserve">entro 48 ore</w:t>
      </w:r>
      <w:r>
        <w:t xml:space="preserve"> </w:t>
      </w:r>
      <w:r>
        <w:t xml:space="preserve">sono pronto soccorso.</w:t>
      </w:r>
    </w:p>
    <w:bookmarkEnd w:id="14"/>
    <w:bookmarkStart w:id="15" w:name="come-decidi-e-su-cosa-verifichi"/>
    <w:p>
      <w:pPr>
        <w:pStyle w:val="Heading3"/>
      </w:pPr>
      <w:r>
        <w:t xml:space="preserve">7 ·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allarme? → cosa crede di avere? → il contenitore si muove? → la cerniera alta ruota? → i profondi reggono? → cosa è fuori dalle tue mani?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Come si misura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cervicale</w:t>
            </w:r>
          </w:p>
        </w:tc>
        <w:tc>
          <w:tcPr/>
          <w:p>
            <w:pPr>
              <w:pStyle w:val="Compact"/>
            </w:pPr>
            <w:r>
              <w:t xml:space="preserve">Goniometro, media dei lati</w:t>
            </w:r>
          </w:p>
        </w:tc>
        <w:tc>
          <w:tcPr/>
          <w:p>
            <w:pPr>
              <w:pStyle w:val="Compact"/>
            </w:pPr>
            <w:r>
              <w:t xml:space="preserve">10°</w:t>
            </w:r>
          </w:p>
        </w:tc>
        <w:tc>
          <w:tcPr/>
          <w:p>
            <w:pPr>
              <w:pStyle w:val="Compact"/>
            </w:pPr>
            <w:r>
              <w:t xml:space="preserve">Errore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Tenuta cranio-cervicale</w:t>
            </w:r>
          </w:p>
        </w:tc>
        <w:tc>
          <w:tcPr/>
          <w:p>
            <w:pPr>
              <w:pStyle w:val="Compact"/>
            </w:pPr>
            <w:r>
              <w:t xml:space="preserve">Gradino tenuto, cronometro</w:t>
            </w:r>
          </w:p>
        </w:tc>
        <w:tc>
          <w:tcPr/>
          <w:p>
            <w:pPr>
              <w:pStyle w:val="Compact"/>
            </w:pPr>
            <w:r>
              <w:t xml:space="preserve">Un gradino, 10 secondi</w:t>
            </w:r>
          </w:p>
        </w:tc>
        <w:tc>
          <w:tcPr/>
          <w:p>
            <w:pPr>
              <w:pStyle w:val="Compact"/>
            </w:pPr>
            <w:r>
              <w:t xml:space="preserve">Unità 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tronco seduto</w:t>
            </w:r>
          </w:p>
        </w:tc>
        <w:tc>
          <w:tcPr/>
          <w:p>
            <w:pPr>
              <w:pStyle w:val="Compact"/>
            </w:pPr>
            <w:r>
              <w:t xml:space="preserve">Inclinometro</w:t>
            </w:r>
          </w:p>
        </w:tc>
        <w:tc>
          <w:tcPr/>
          <w:p>
            <w:pPr>
              <w:pStyle w:val="Compact"/>
            </w:pPr>
            <w:r>
              <w:t xml:space="preserve">10°</w:t>
            </w:r>
          </w:p>
        </w:tc>
        <w:tc>
          <w:tcPr/>
          <w:p>
            <w:pPr>
              <w:pStyle w:val="Compact"/>
            </w:pPr>
            <w:r>
              <w:t xml:space="preserve">Errore raddoppiato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Latenza del sintomo</w:t>
            </w:r>
          </w:p>
        </w:tc>
        <w:tc>
          <w:tcPr/>
          <w:p>
            <w:pPr>
              <w:pStyle w:val="Compact"/>
            </w:pPr>
            <w:r>
              <w:t xml:space="preserve">Ora di comparsa, diario 7 giorni</w:t>
            </w:r>
          </w:p>
        </w:tc>
        <w:tc>
          <w:tcPr/>
          <w:p>
            <w:pPr>
              <w:pStyle w:val="Compact"/>
            </w:pPr>
            <w:r>
              <w:t xml:space="preserve">Un’ora</w:t>
            </w:r>
          </w:p>
        </w:tc>
        <w:tc>
          <w:tcPr/>
          <w:p>
            <w:pPr>
              <w:pStyle w:val="Compact"/>
            </w:pPr>
            <w:r>
              <w:t xml:space="preserve">Convenzione interna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marker della prova sta nel piano che NON hai trattato, e cambia con quello che tratti.</w:t>
      </w:r>
      <w:r>
        <w:t xml:space="preserve"> </w:t>
      </w:r>
      <w:r>
        <w:t xml:space="preserve">Se tratti collo o dorso, il marker è la</w:t>
      </w:r>
      <w:r>
        <w:t xml:space="preserve"> </w:t>
      </w:r>
      <w:r>
        <w:rPr>
          <w:b/>
          <w:bCs/>
        </w:rPr>
        <w:t xml:space="preserve">latenza del sintomo</w:t>
      </w:r>
      <w:r>
        <w:t xml:space="preserve">. Se tratti l’attivazione, sono le</w:t>
      </w:r>
      <w:r>
        <w:t xml:space="preserve"> </w:t>
      </w:r>
      <w:r>
        <w:rPr>
          <w:b/>
          <w:bCs/>
        </w:rPr>
        <w:t xml:space="preserve">misure meccaniche</w:t>
      </w:r>
      <w:r>
        <w:t xml:space="preserve">, rilette a settimane: lì la latenza è un esito, non la prova. Sul dorso conta il</w:t>
      </w:r>
      <w:r>
        <w:t xml:space="preserve"> </w:t>
      </w:r>
      <w:r>
        <w:rPr>
          <w:b/>
          <w:bCs/>
        </w:rPr>
        <w:t xml:space="preserve">carry-over</w:t>
      </w:r>
      <w:r>
        <w:t xml:space="preserve">, cioè la rotazione all’inizio della seduta dopo, prima di toccare. La soglia algometrica remota è solo</w:t>
      </w:r>
      <w:r>
        <w:t xml:space="preserve"> </w:t>
      </w:r>
      <w:r>
        <w:rPr>
          <w:b/>
          <w:bCs/>
        </w:rPr>
        <w:t xml:space="preserve">conferma facoltativa</w:t>
      </w:r>
      <w:r>
        <w:t xml:space="preserve">: non distingue questi pazienti dai sani.</w:t>
      </w:r>
    </w:p>
    <w:bookmarkEnd w:id="15"/>
    <w:bookmarkStart w:id="16" w:name="cosa-fa-il-paziente-da-solo"/>
    <w:p>
      <w:pPr>
        <w:pStyle w:val="Heading3"/>
      </w:pPr>
      <w:r>
        <w:t xml:space="preserve">8 · Cosa fa il paziente da solo</w:t>
      </w:r>
    </w:p>
    <w:p>
      <w:pPr>
        <w:pStyle w:val="FirstParagraph"/>
      </w:pPr>
      <w:r>
        <w:t xml:space="preserve">Basso carico sui</w:t>
      </w:r>
      <w:r>
        <w:t xml:space="preserve"> </w:t>
      </w:r>
      <w:r>
        <w:rPr>
          <w:b/>
          <w:bCs/>
        </w:rPr>
        <w:t xml:space="preserve">flessori profondi</w:t>
      </w:r>
      <w:r>
        <w:t xml:space="preserve">, isometrico sugli</w:t>
      </w:r>
      <w:r>
        <w:t xml:space="preserve"> </w:t>
      </w:r>
      <w:r>
        <w:rPr>
          <w:b/>
          <w:bCs/>
        </w:rPr>
        <w:t xml:space="preserve">estensori</w:t>
      </w:r>
      <w:r>
        <w:t xml:space="preserve">, e — la metà che si perde per strada —</w:t>
      </w:r>
      <w:r>
        <w:t xml:space="preserve"> </w:t>
      </w:r>
      <w:r>
        <w:rPr>
          <w:b/>
          <w:bCs/>
        </w:rPr>
        <w:t xml:space="preserve">rinforzo scapolo-toracico</w:t>
      </w:r>
      <w:r>
        <w:t xml:space="preserve">. Più</w:t>
      </w:r>
      <w:r>
        <w:t xml:space="preserve"> </w:t>
      </w:r>
      <w:r>
        <w:rPr>
          <w:b/>
          <w:bCs/>
        </w:rPr>
        <w:t xml:space="preserve">sensomotorio</w:t>
      </w:r>
      <w:r>
        <w:t xml:space="preserve">,</w:t>
      </w:r>
      <w:r>
        <w:t xml:space="preserve"> </w:t>
      </w:r>
      <w:r>
        <w:rPr>
          <w:b/>
          <w:bCs/>
        </w:rPr>
        <w:t xml:space="preserve">respiro condotto</w:t>
      </w:r>
      <w:r>
        <w:t xml:space="preserve"> </w:t>
      </w:r>
      <w:r>
        <w:t xml:space="preserve">ed</w:t>
      </w:r>
      <w:r>
        <w:t xml:space="preserve"> </w:t>
      </w:r>
      <w:r>
        <w:rPr>
          <w:b/>
          <w:bCs/>
        </w:rPr>
        <w:t xml:space="preserve">educazione</w:t>
      </w:r>
      <w:r>
        <w:t xml:space="preserve">.</w:t>
      </w:r>
      <w:r>
        <w:t xml:space="preserve"> </w:t>
      </w:r>
      <w:r>
        <w:t xml:space="preserve">Dolore e funzione: riduzione da moderata a grande su 27 studi, GRADE moderata —</w:t>
      </w:r>
      <w:r>
        <w:t xml:space="preserve"> </w:t>
      </w:r>
      <w:r>
        <w:rPr>
          <w:b/>
          <w:bCs/>
        </w:rPr>
        <w:t xml:space="preserve">PROBABILE</w:t>
      </w:r>
      <w:r>
        <w:t xml:space="preserve">. Lo stretching</w:t>
      </w:r>
      <w:r>
        <w:t xml:space="preserve"> </w:t>
      </w:r>
      <w:r>
        <w:rPr>
          <w:b/>
          <w:bCs/>
        </w:rPr>
        <w:t xml:space="preserve">da solo</w:t>
      </w:r>
      <w:r>
        <w:t xml:space="preserve"> </w:t>
      </w:r>
      <w:r>
        <w:t xml:space="preserve">ha le prove più deboli; dentro un programma con rinforzo funziona.</w:t>
      </w:r>
      <w:r>
        <w:t xml:space="preserve"> </w:t>
      </w:r>
      <w:r>
        <w:t xml:space="preserve">Curva: 85,2% contro 22,5% a tre mesi (trial senza cieco), 28% contro 9% non significativo a dodici mesi —</w:t>
      </w:r>
      <w:r>
        <w:t xml:space="preserve"> </w:t>
      </w:r>
      <w:r>
        <w:rPr>
          <w:b/>
          <w:bCs/>
        </w:rPr>
        <w:t xml:space="preserve">IPOTESI</w:t>
      </w:r>
      <w:r>
        <w:t xml:space="preserve">.</w:t>
      </w:r>
      <w:r>
        <w:t xml:space="preserve"> </w:t>
      </w:r>
      <w:r>
        <w:t xml:space="preserve">Quando smette: dopo un ciclo lungo il guadagno regge a tre anni —</w:t>
      </w:r>
      <w:r>
        <w:t xml:space="preserve"> </w:t>
      </w:r>
      <w:r>
        <w:rPr>
          <w:b/>
          <w:bCs/>
        </w:rPr>
        <w:t xml:space="preserve">PROBABILE</w:t>
      </w:r>
      <w:r>
        <w:t xml:space="preserve">. L’aderenza reale è circa un terzo di quella prescritta.</w:t>
      </w:r>
      <w:r>
        <w:t xml:space="preserve"> </w:t>
      </w:r>
      <w:r>
        <w:t xml:space="preserve">Sulla postazione: adattarla o passare alla scrivania regolabile</w:t>
      </w:r>
      <w:r>
        <w:t xml:space="preserve"> </w:t>
      </w:r>
      <w:r>
        <w:rPr>
          <w:b/>
          <w:bCs/>
        </w:rPr>
        <w:t xml:space="preserve">non ha mostrato effetto</w:t>
      </w:r>
      <w:r>
        <w:t xml:space="preserve">. L’appoggio del braccio funziona solo</w:t>
      </w:r>
      <w:r>
        <w:t xml:space="preserve"> </w:t>
      </w:r>
      <w:r>
        <w:rPr>
          <w:b/>
          <w:bCs/>
        </w:rPr>
        <w:t xml:space="preserve">combinato</w:t>
      </w:r>
      <w:r>
        <w:t xml:space="preserve"> </w:t>
      </w:r>
      <w:r>
        <w:t xml:space="preserve">con un mouse alternativo (Hoe 2018, PMID 30350850).</w:t>
      </w:r>
    </w:p>
    <w:bookmarkEnd w:id="16"/>
    <w:bookmarkStart w:id="17" w:name="la-frase-per-il-paziente"/>
    <w:p>
      <w:pPr>
        <w:pStyle w:val="Heading3"/>
      </w:pPr>
      <w:r>
        <w:t xml:space="preserve">9 · La frase per il paziente</w:t>
      </w:r>
    </w:p>
    <w:p>
      <w:pPr>
        <w:pStyle w:val="BlockText"/>
      </w:pPr>
      <w:r>
        <w:rPr>
          <w:i/>
          <w:iCs/>
        </w:rPr>
        <w:t xml:space="preserve">“Quella parola sul referto descrive una forma, non un danno. Molte persone che non hanno mai avuto male al collo hanno la stessa identica forma. Quello che conta è un’altra cosa: quanto il tuo collo si muove, e quanto regge prima di stancarsi. Sono due numeri, e li misuriamo adesso. Poi rimisuriamo, e vediamo se quello che facciamo li sposta. Se non li sposta te lo dico. Una parte del lavoro la faccio io con le mani, e una parte la fai tu — e la tua è quella con più prove alle spalle.”</w:t>
      </w:r>
    </w:p>
    <w:p>
      <w:pPr>
        <w:pStyle w:val="FirstParagraph"/>
      </w:pPr>
      <w:r>
        <w:rPr>
          <w:i/>
          <w:iCs/>
        </w:rPr>
        <w:t xml:space="preserve">E la convivenza, con le stesse parole del cancello: aver trovato qualcosa da trattare non significa sapere cosa ha. Se serve un inquadramento medico, si attiva mentre si lavora.</w:t>
      </w:r>
    </w:p>
    <w:bookmarkEnd w:id="17"/>
    <w:bookmarkStart w:id="18" w:name="perché-ci-sei-tu"/>
    <w:p>
      <w:pPr>
        <w:pStyle w:val="Heading3"/>
      </w:pPr>
      <w:r>
        <w:t xml:space="preserve">Perché ci sei tu</w: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La leva meglio documentata</w:t>
      </w:r>
      <w:r>
        <w:t xml:space="preserve"> </w:t>
      </w:r>
      <w:r>
        <w:rPr>
          <w:b/>
          <w:bCs/>
        </w:rPr>
        <w:t xml:space="preserve">non è il tocco</w:t>
      </w:r>
      <w:r>
        <w:t xml:space="preserve">: è un esercizio, ed è tua da insegnare e da verificare. Dolore ridotto</w:t>
      </w:r>
      <w:r>
        <w:t xml:space="preserve"> </w:t>
      </w:r>
      <w:r>
        <w:rPr>
          <w:b/>
          <w:bCs/>
        </w:rPr>
        <w:t xml:space="preserve">da moderato a grande</w:t>
      </w:r>
      <w:r>
        <w:t xml:space="preserve"> </w:t>
      </w:r>
      <w:r>
        <w:t xml:space="preserve">su 27 studi, qualità moderata (Gross, 2015, PMID 25629215). Curva recuperata nell’85,2% contro 22,5% a tre mesi, in un trial senza cieco (Alpayci, 2017, PMID 28118272). Nessuna differenza significativa a dodici mesi contro trattamento attivo (Zhang, 2024, PMID 38169407). Ti autorizza a metterla al centro del ciclo invece che in coda. Non ti autorizza a promettere la curva: sul dolore i due studi concordano, sulla forma no.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BlockText"/>
      </w:pPr>
      <w:r>
        <w:t xml:space="preserve">Varianti ammesse: quando il dato non è umano la specie entra nell’etichetta (</w:t>
      </w:r>
      <w:r>
        <w:rPr>
          <w:i/>
          <w:iCs/>
        </w:rPr>
        <w:t xml:space="preserve">DIMOSTRATO nell’animale — studi solidi, ma su ratto anestetizzato</w:t>
      </w:r>
      <w:r>
        <w:t xml:space="preserve">); quando esistono studi diretti a risultato contrario o discordante, IPOTESI porta</w:t>
      </w:r>
      <w:r>
        <w:t xml:space="preserve"> </w:t>
      </w:r>
      <w:r>
        <w:rPr>
          <w:i/>
          <w:iCs/>
        </w:rPr>
        <w:t xml:space="preserve">(meccanismo coerente, prove contrarie)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La regola del ponte.</w:t>
      </w:r>
      <w:r>
        <w:t xml:space="preserve"> </w:t>
      </w:r>
      <w:r>
        <w:t xml:space="preserve">L’evidenza trasversale alza l’etichetta del</w:t>
      </w:r>
      <w:r>
        <w:t xml:space="preserve"> </w:t>
      </w:r>
      <w:r>
        <w:rPr>
          <w:b/>
          <w:bCs/>
        </w:rPr>
        <w:t xml:space="preserve">meccanismo</w:t>
      </w:r>
      <w:r>
        <w:t xml:space="preserve">, mai quella della</w:t>
      </w:r>
      <w:r>
        <w:t xml:space="preserve"> </w:t>
      </w:r>
      <w:r>
        <w:rPr>
          <w:b/>
          <w:bCs/>
        </w:rPr>
        <w:t xml:space="preserve">leva</w:t>
      </w:r>
      <w:r>
        <w:t xml:space="preserve"> </w:t>
      </w:r>
      <w:r>
        <w:t xml:space="preserve">su questa condizione. Dove una leva poggia su una popolazione contigua vale l’eccezione dichiarata (D-028): etichetta mai sopra PROBABILE, popolazione scritta accanto a ogni uso, e un indice fisiologico su volontari sani non regge mai una leva.</w:t>
      </w:r>
    </w:p>
    <w:p>
      <w:pPr>
        <w:pStyle w:val="FirstParagraph"/>
      </w:pPr>
      <w:r>
        <w:rPr>
          <w:i/>
          <w:iCs/>
        </w:rPr>
        <w:t xml:space="preserve">Deviazioni dichiarate: blocco 6 (sicurezza del gesto, D-042), blocco 7 (ragionamento clinico, D-018), blocco 8 (strumenti attivi, D-011), legenda (eccezione al ponte D-028, glossa qualificata di IPOTESI D-044).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2026-08-21T23:54:18Z</dcterms:created>
  <dcterms:modified xsi:type="dcterms:W3CDTF">2026-08-21T23:54:18Z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