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Sciatalgia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3" w:name="la-bibbia-della-sciatalgia"/>
    <w:p>
      <w:pPr>
        <w:pStyle w:val="Heading1"/>
      </w:pPr>
      <w:r>
        <w:t xml:space="preserve">La Bibbia della Sciatalgia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Kika Konstantinou (Keele University) —</w:t>
      </w:r>
      <w:r>
        <w:t xml:space="preserve"> </w:t>
      </w:r>
      <w:r>
        <w:rPr>
          <w:b/>
          <w:bCs/>
        </w:rPr>
        <w:t xml:space="preserve">Ancora fisiologica:</w:t>
      </w:r>
      <w:r>
        <w:t xml:space="preserve"> </w:t>
      </w:r>
      <w:r>
        <w:t xml:space="preserve">Annina B. Schmid (University of Oxford)</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pPr>
        <w:pStyle w:val="BodyText"/>
      </w:pPr>
      <w:r>
        <w:rPr>
          <w:b/>
          <w:bCs/>
        </w:rPr>
        <w:t xml:space="preserve">Sulla lunghezza.</w:t>
      </w:r>
      <w:r>
        <w:t xml:space="preserve"> </w:t>
      </w:r>
      <w:r>
        <w:t xml:space="preserve">Questo documento supera il tetto di 8.000-13.000 parole, e la decisione è registrata (</w:t>
      </w:r>
      <w:r>
        <w:rPr>
          <w:b/>
          <w:bCs/>
        </w:rPr>
        <w:t xml:space="preserve">D-019</w:t>
      </w:r>
      <w:r>
        <w:t xml:space="preserve">). Il residuo non è ridondanza. Sono le frasi che dichiarano il limite di ogni fonte, le glosse fisse delle etichette, le bandiere rosse e gli slot «Perché ci sei tu». Tagliarle accorcerebbe il documento e lo peggiorerebbe.</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dolore che scende lungo la gamba, non il piano di trattamento.</w:t>
      </w:r>
    </w:p>
    <w:p>
      <w:pPr>
        <w:pStyle w:val="FirstParagraph"/>
      </w:pPr>
      <w:r>
        <w:rPr>
          <w:b/>
          <w:bCs/>
        </w:rPr>
        <w:t xml:space="preserve">A chi parla.</w:t>
      </w:r>
      <w:r>
        <w:t xml:space="preserve"> </w:t>
      </w:r>
      <w:r>
        <w:t xml:space="preserve">All’osteopata del team. Qui non trovi cos’è il nervo sciatico. Trovi perché il punto in cui il paziente sente male è quasi sempre il posto sbagliato dove cercare.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modello e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bookmarkStart w:id="9" w:name="come-si-studia-questa-bibbia"/>
    <w:p>
      <w:pPr>
        <w:pStyle w:val="Heading3"/>
      </w:pPr>
      <w:r>
        <w:t xml:space="preserve">Come si studia questa Bibbia</w:t>
      </w:r>
    </w:p>
    <w:p>
      <w:pPr>
        <w:pStyle w:val="FirstParagraph"/>
      </w:pPr>
      <w:r>
        <w:t xml:space="preserve">Sei passi, in quest’ordine. Nessun capitolo è facoltativo.</w:t>
      </w:r>
    </w:p>
    <w:p>
      <w:pPr>
        <w:pStyle w:val="Compact"/>
        <w:numPr>
          <w:ilvl w:val="0"/>
          <w:numId w:val="1001"/>
        </w:numPr>
      </w:pPr>
      <w:r>
        <w:rPr>
          <w:b/>
          <w:bCs/>
        </w:rPr>
        <w:t xml:space="preserve">Prima lettura, tutta di fila, senza appunti.</w:t>
      </w:r>
      <w:r>
        <w:t xml:space="preserve"> </w:t>
      </w:r>
      <w:r>
        <w:t xml:space="preserve">Quello che non torna si segna e si lascia lì.</w:t>
      </w:r>
    </w:p>
    <w:p>
      <w:pPr>
        <w:pStyle w:val="Compact"/>
        <w:numPr>
          <w:ilvl w:val="0"/>
          <w:numId w:val="1001"/>
        </w:numPr>
      </w:pPr>
      <w:r>
        <w:rPr>
          <w:b/>
          <w:bCs/>
        </w:rPr>
        <w:t xml:space="preserve">Seconda passata con un paziente vero in testa.</w:t>
      </w:r>
      <w:r>
        <w:t xml:space="preserve"> </w:t>
      </w:r>
      <w:r>
        <w:t xml:space="preserve">Leggi solo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Chiudi il documento e parla.</w:t>
      </w:r>
      <w:r>
        <w:t xml:space="preserve"> </w:t>
      </w:r>
      <w:r>
        <w:rPr>
          <w:b/>
          <w:bCs/>
        </w:rPr>
        <w:t xml:space="preserve">Quello che non sai dire, non l’hai imparato</w:t>
      </w:r>
      <w:r>
        <w:t xml:space="preserve">, e torni solo lì. Cosa devi saper dire sta in «Cosa fare adesso».</w:t>
      </w:r>
    </w:p>
    <w:p>
      <w:pPr>
        <w:pStyle w:val="Compact"/>
        <w:numPr>
          <w:ilvl w:val="0"/>
          <w:numId w:val="1001"/>
        </w:numPr>
      </w:pPr>
      <w:r>
        <w:rPr>
          <w:b/>
          <w:bCs/>
        </w:rPr>
        <w:t xml:space="preserve">Prima del primo paziente leggi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Dicono altro quando hai avuto qualcuno davanti.</w:t>
      </w:r>
    </w:p>
    <w:p>
      <w:pPr>
        <w:pStyle w:val="Compact"/>
        <w:numPr>
          <w:ilvl w:val="0"/>
          <w:numId w:val="1001"/>
        </w:numPr>
      </w:pPr>
      <w:r>
        <w:rPr>
          <w:b/>
          <w:bCs/>
        </w:rPr>
        <w:t xml:space="preserve">A sei mesi: solo la Mappa.</w:t>
      </w:r>
      <w:r>
        <w:t xml:space="preserve"> </w:t>
      </w:r>
      <w:r>
        <w:t xml:space="preserve">Il blocco che non ti riaccende il capitolo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ha la sua etichetta: se manca, è un claim gonfiato.</w:t>
      </w:r>
    </w:p>
    <w:p>
      <w:pPr>
        <w:pStyle w:val="Compact"/>
        <w:numPr>
          <w:ilvl w:val="0"/>
          <w:numId w:val="1002"/>
        </w:numPr>
      </w:pPr>
      <w:r>
        <w:t xml:space="preserve">Sulla sciatalgia il problema non è che le prove manchino. È che quelle buone dicono cose molto più modeste di quelle che senti dire in giro.</w:t>
      </w:r>
    </w:p>
    <w:p>
      <w:pPr>
        <w:pStyle w:val="Compact"/>
        <w:numPr>
          <w:ilvl w:val="0"/>
          <w:numId w:val="1002"/>
        </w:numPr>
      </w:pPr>
      <w:r>
        <w:rPr>
          <w:b/>
          <w:bCs/>
        </w:rPr>
        <w:t xml:space="preserve">Perché ci sei tu.</w:t>
      </w:r>
      <w:r>
        <w:t xml:space="preserve"> </w:t>
      </w:r>
      <w:r>
        <w:t xml:space="preserve">Diciotto studi controllati e 2.699 pazienti con sciatalgia non hanno trovato differenza fra fisioterapia e controlli sui totali, a nessuna distanza di tempo (Dove e Schmid,</w:t>
      </w:r>
      <w:r>
        <w:t xml:space="preserve"> </w:t>
      </w:r>
      <w:r>
        <w:rPr>
          <w:i/>
          <w:iCs/>
        </w:rPr>
        <w:t xml:space="preserve">Eur Spine J</w:t>
      </w:r>
      <w:r>
        <w:t xml:space="preserve"> </w:t>
      </w:r>
      <w:r>
        <w:t xml:space="preserve">2023, PMID 36580149). Questo ti autorizza a lavorare per verifica sul singolo paziente, con un marker scelto prima e una scadenza scritta. Non ti autorizza a dire che il tuo trattamento è provato: non lo è.</w:t>
      </w:r>
    </w:p>
    <w:p>
      <w:pPr>
        <w:pStyle w:val="FirstParagraph"/>
      </w:pPr>
      <w:r>
        <w:t xml:space="preserve">Buon nutrimento!</w:t>
      </w:r>
    </w:p>
    <w:p>
      <w:r>
        <w:pict>
          <v:rect style="width:0;height:1.5pt" o:hralign="center" o:hrstd="t" o:hr="t"/>
        </w:pict>
      </w:r>
    </w:p>
    <w:bookmarkEnd w:id="9"/>
    <w:bookmarkEnd w:id="10"/>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non riesce più a stare in nessuna posizione e a cui hanno mostrato un’immagine invece di darle una spiegazione.</w:t>
      </w:r>
    </w:p>
    <w:bookmarkStart w:id="11" w:name="come-lo-racconta-lui"/>
    <w:p>
      <w:pPr>
        <w:pStyle w:val="Heading3"/>
      </w:pPr>
      <w:r>
        <w:t xml:space="preserve">Come lo racconta lui</w:t>
      </w:r>
    </w:p>
    <w:p>
      <w:pPr>
        <w:pStyle w:val="FirstParagraph"/>
      </w:pPr>
      <w:r>
        <w:t xml:space="preserve">Non dice</w:t>
      </w:r>
      <w:r>
        <w:t xml:space="preserve"> </w:t>
      </w:r>
      <w:r>
        <w:t xml:space="preserve">“sciatalgia”</w:t>
      </w:r>
      <w:r>
        <w:t xml:space="preserve">. Dice</w:t>
      </w:r>
      <w:r>
        <w:t xml:space="preserve"> </w:t>
      </w:r>
      <w:r>
        <w:rPr>
          <w:i/>
          <w:iCs/>
        </w:rPr>
        <w:t xml:space="preserve">“mi parte da qui e scende”</w:t>
      </w:r>
      <w:r>
        <w:t xml:space="preserve">, e intanto si passa la mano dal gluteo al polpaccio. Il gesto vale più della parola: la mano disegna il percorso, e il percorso è la prima cosa che devi guardare.</w:t>
      </w:r>
    </w:p>
    <w:p>
      <w:pPr>
        <w:pStyle w:val="BodyText"/>
      </w:pPr>
      <w:r>
        <w:t xml:space="preserve">Poi dice che nessuna posizione regge:</w:t>
      </w:r>
      <w:r>
        <w:t xml:space="preserve"> </w:t>
      </w:r>
      <w:r>
        <w:rPr>
          <w:i/>
          <w:iCs/>
        </w:rPr>
        <w:t xml:space="preserve">“mi siedo e fa male, mi alzo e fa male, mi sdraio e fa male uguale”</w:t>
      </w:r>
      <w:r>
        <w:t xml:space="preserve">. Di notte si alza a camminare per casa alle tre. Poi arriva la scossa:</w:t>
      </w:r>
      <w:r>
        <w:t xml:space="preserve"> </w:t>
      </w:r>
      <w:r>
        <w:rPr>
          <w:i/>
          <w:iCs/>
        </w:rPr>
        <w:t xml:space="preserve">“mi abbasso a raccogliere una cosa e parte una scarica che mi taglia la gamba in due.”</w:t>
      </w:r>
      <w:r>
        <w:t xml:space="preserve"> </w:t>
      </w:r>
      <w:r>
        <w:t xml:space="preserve">Ogni volta pensa che questa sia quella che non passa più.</w:t>
      </w:r>
    </w:p>
    <w:p>
      <w:pPr>
        <w:pStyle w:val="BodyText"/>
      </w:pPr>
      <w:r>
        <w:t xml:space="preserve">Per ultima dice la parte che lo spaventa davvero:</w:t>
      </w:r>
      <w:r>
        <w:t xml:space="preserve"> </w:t>
      </w:r>
      <w:r>
        <w:rPr>
          <w:i/>
          <w:iCs/>
        </w:rPr>
        <w:t xml:space="preserve">“non è il dolore, è il formicolio.”</w:t>
      </w:r>
      <w:r>
        <w:t xml:space="preserve"> </w:t>
      </w:r>
      <w:r>
        <w:t xml:space="preserve">Il dolore lo capisce. La zona di gamba che sente meno, o il piede che fa fatica a sollevarsi, no. Sa che c’entra un nervo, e sui nervi nessuno scherza.</w:t>
      </w:r>
    </w:p>
    <w:bookmarkEnd w:id="11"/>
    <w:bookmarkStart w:id="12" w:name="cosa-ha-già-fatto"/>
    <w:p>
      <w:pPr>
        <w:pStyle w:val="Heading3"/>
      </w:pPr>
      <w:r>
        <w:t xml:space="preserve">Cosa ha già fatto</w:t>
      </w:r>
    </w:p>
    <w:p>
      <w:pPr>
        <w:pStyle w:val="FirstParagraph"/>
      </w:pPr>
      <w:r>
        <w:t xml:space="preserve">Ha preso antinfiammatori a dose piena. Poi il cortisone, che</w:t>
      </w:r>
      <w:r>
        <w:t xml:space="preserve"> </w:t>
      </w:r>
      <w:r>
        <w:rPr>
          <w:i/>
          <w:iCs/>
        </w:rPr>
        <w:t xml:space="preserve">“ha funzionato davvero, e quando è finito è tornato tutto”</w:t>
      </w:r>
      <w:r>
        <w:t xml:space="preserve">. Spesso ha preso anche un</w:t>
      </w:r>
      <w:r>
        <w:t xml:space="preserve"> </w:t>
      </w:r>
      <w:r>
        <w:rPr>
          <w:b/>
          <w:bCs/>
        </w:rPr>
        <w:t xml:space="preserve">gabapentinoide</w:t>
      </w:r>
      <w:r>
        <w:t xml:space="preserve"> </w:t>
      </w:r>
      <w:r>
        <w:t xml:space="preserve">— un farmaco per il dolore da nervo, come pregabalin o gabapentin — per il bruciore, e un miorilassante per la contrattura. Ha provato ghiaccio, calore, fascia lombare, riposo.</w:t>
      </w:r>
    </w:p>
    <w:p>
      <w:pPr>
        <w:pStyle w:val="BodyText"/>
      </w:pPr>
      <w:r>
        <w:t xml:space="preserve">Ha fatto la risonanza lombosacrale, e a volte l’elettromiografia. Gli hanno mostrato l’immagine e gli hanno detto</w:t>
      </w:r>
      <w:r>
        <w:t xml:space="preserve"> </w:t>
      </w:r>
      <w:r>
        <w:rPr>
          <w:i/>
          <w:iCs/>
        </w:rPr>
        <w:t xml:space="preserve">“sono i dischi”</w:t>
      </w:r>
      <w:r>
        <w:t xml:space="preserve">. Ha fatto fisioterapia e massaggi, dopo i quali è stato meglio per qualche giorno. E qualcuno ha già pronunciato la parola intervento: da allora ogni giorno senza miglioramento gli sembra un passo su quella strada.</w:t>
      </w:r>
    </w:p>
    <w:p>
      <w:pPr>
        <w:pStyle w:val="BodyText"/>
      </w:pPr>
      <w:r>
        <w:rPr>
          <w:b/>
          <w:bCs/>
        </w:rPr>
        <w:t xml:space="preserve">Chiedi anche cosa prende per il resto della sua vita, e scrivilo.</w:t>
      </w:r>
      <w:r>
        <w:t xml:space="preserve"> </w:t>
      </w:r>
      <w:r>
        <w:t xml:space="preserve">Non per commentarlo. Due voci di quell’elenco — un anticoagulante, un cortisone prolungato — cambiano il significato dello stesso dolore, e le trovi nella tabella delle bandiere rosse.</w:t>
      </w:r>
    </w:p>
    <w:bookmarkEnd w:id="12"/>
    <w:bookmarkStart w:id="13" w:name="cosa-nessuno-ha-guardato"/>
    <w:p>
      <w:pPr>
        <w:pStyle w:val="Heading3"/>
      </w:pPr>
      <w:r>
        <w:t xml:space="preserve">Cosa nessuno ha guardato</w:t>
      </w:r>
    </w:p>
    <w:p>
      <w:pPr>
        <w:pStyle w:val="FirstParagraph"/>
      </w:pPr>
      <w:r>
        <w:t xml:space="preserve">Il percorso che ha fatto è corretto: la risonanza serve a escludere le cose che contano. Ma la risonanza guarda</w:t>
      </w:r>
      <w:r>
        <w:t xml:space="preserve"> </w:t>
      </w:r>
      <w:r>
        <w:rPr>
          <w:b/>
          <w:bCs/>
        </w:rPr>
        <w:t xml:space="preserve">il contenitore fermo</w:t>
      </w:r>
      <w:r>
        <w:t xml:space="preserve">, cioè quanto spazio ha il nervo in un corpo immobile dentro una macchina.</w:t>
      </w:r>
    </w:p>
    <w:p>
      <w:pPr>
        <w:pStyle w:val="BodyText"/>
      </w:pPr>
      <w:r>
        <w:t xml:space="preserve">Nessuno ha guardato</w:t>
      </w:r>
      <w:r>
        <w:t xml:space="preserve"> </w:t>
      </w:r>
      <w:r>
        <w:rPr>
          <w:b/>
          <w:bCs/>
        </w:rPr>
        <w:t xml:space="preserve">il nervo che si muove</w:t>
      </w:r>
      <w:r>
        <w:t xml:space="preserve">. A quanti gradi compare il sintomo quando gli sollevi la gamba tesa. Se quel sintomo cambia muovendo solo la caviglia. Quanta rotazione ha l’anca da quel lato. Quanto si flette la colonna prima che parta la scarica. Non è negligenza: non è di quel campo, è del tuo.</w:t>
      </w:r>
    </w:p>
    <w:p>
      <w:pPr>
        <w:pStyle w:val="BodyText"/>
      </w:pPr>
      <w:r>
        <w:rPr>
          <w:b/>
          <w:bCs/>
        </w:rPr>
        <w:t xml:space="preserve">Ma non è sempre lui.</w:t>
      </w:r>
      <w:r>
        <w:t xml:space="preserve"> </w:t>
      </w:r>
      <w:r>
        <w:t xml:space="preserve">Quello che hai letto è l’adulto con dolore radicolare senza deficit. Altri cinque pazienti cambiano le regole.</w:t>
      </w:r>
    </w:p>
    <w:p>
      <w:pPr>
        <w:pStyle w:val="Compact"/>
        <w:numPr>
          <w:ilvl w:val="0"/>
          <w:numId w:val="1003"/>
        </w:numPr>
      </w:pPr>
      <w:r>
        <w:rPr>
          <w:b/>
          <w:bCs/>
        </w:rPr>
        <w:t xml:space="preserve">Perde forza di settimana in settimana</w:t>
      </w:r>
      <w:r>
        <w:t xml:space="preserve"> </w:t>
      </w:r>
      <w:r>
        <w:t xml:space="preserve">→ va inquadrato prima, non trattato meglio.</w:t>
      </w:r>
    </w:p>
    <w:p>
      <w:pPr>
        <w:pStyle w:val="Compact"/>
        <w:numPr>
          <w:ilvl w:val="0"/>
          <w:numId w:val="1003"/>
        </w:numPr>
      </w:pPr>
      <w:r>
        <w:rPr>
          <w:b/>
          <w:bCs/>
        </w:rPr>
        <w:t xml:space="preserve">Disturbo nuovo di vescica, o zona addormentata fra le gambe</w:t>
      </w:r>
      <w:r>
        <w:t xml:space="preserve"> </w:t>
      </w:r>
      <w:r>
        <w:t xml:space="preserve">→ «Dove finisce il nostro campo».</w:t>
      </w:r>
    </w:p>
    <w:p>
      <w:pPr>
        <w:pStyle w:val="Compact"/>
        <w:numPr>
          <w:ilvl w:val="0"/>
          <w:numId w:val="1003"/>
        </w:numPr>
      </w:pPr>
      <w:r>
        <w:rPr>
          <w:b/>
          <w:bCs/>
        </w:rPr>
        <w:t xml:space="preserve">Oltre i sessant’anni, sta meglio piegato sul carrello del supermercato</w:t>
      </w:r>
      <w:r>
        <w:t xml:space="preserve"> </w:t>
      </w:r>
      <w:r>
        <w:t xml:space="preserve">→ quadro diverso, risponde ad altro.</w:t>
      </w:r>
    </w:p>
    <w:p>
      <w:pPr>
        <w:pStyle w:val="Compact"/>
        <w:numPr>
          <w:ilvl w:val="0"/>
          <w:numId w:val="1003"/>
        </w:numPr>
      </w:pPr>
      <w:r>
        <w:rPr>
          <w:b/>
          <w:bCs/>
        </w:rPr>
        <w:t xml:space="preserve">Diabetico di lunga data con dolore violento a coscia e anca</w:t>
      </w:r>
      <w:r>
        <w:t xml:space="preserve">, e</w:t>
      </w:r>
      <w:r>
        <w:t xml:space="preserve"> </w:t>
      </w:r>
      <w:r>
        <w:rPr>
          <w:b/>
          <w:bCs/>
        </w:rPr>
        <w:t xml:space="preserve">signora in anticoagulante con dolore partito di colpo</w:t>
      </w:r>
      <w:r>
        <w:t xml:space="preserve"> </w:t>
      </w:r>
      <w:r>
        <w:t xml:space="preserve">→ una riga ciascuno in «Che cos’è davvero» e nella tabella delle bandiere.</w:t>
      </w:r>
    </w:p>
    <w:p>
      <w:pPr>
        <w:pStyle w:val="Compact"/>
        <w:numPr>
          <w:ilvl w:val="0"/>
          <w:numId w:val="1003"/>
        </w:numPr>
      </w:pPr>
      <w:r>
        <w:rPr>
          <w:b/>
          <w:bCs/>
        </w:rPr>
        <w:t xml:space="preserve">Donna in gravidanza</w:t>
      </w:r>
      <w:r>
        <w:t xml:space="preserve"> </w:t>
      </w:r>
      <w:r>
        <w:t xml:space="preserve">che dice</w:t>
      </w:r>
      <w:r>
        <w:t xml:space="preserve"> </w:t>
      </w:r>
      <w:r>
        <w:t xml:space="preserve">“sciatica”</w:t>
      </w:r>
      <w:r>
        <w:t xml:space="preserve"> </w:t>
      </w:r>
      <w:r>
        <w:t xml:space="preserve">→ quasi sempre un altro generatore.</w:t>
      </w:r>
    </w:p>
    <w:p>
      <w:pPr>
        <w:pStyle w:val="FirstParagraph"/>
      </w:pPr>
      <w:r>
        <w:rPr>
          <w:b/>
          <w:bCs/>
        </w:rPr>
        <w:t xml:space="preserve">Le tre domande che ti farà</w:t>
      </w:r>
      <w:r>
        <w:t xml:space="preserve"> </w:t>
      </w:r>
      <w:r>
        <w:t xml:space="preserve">riguardano la risonanza e l’operazione, la paura del tocco, il dolore tornato dopo il cortisone. Le risposte per intero stanno in «Cosa dire al paziente».</w:t>
      </w:r>
    </w:p>
    <w:p>
      <w:pPr>
        <w:pStyle w:val="BodyText"/>
      </w:pPr>
      <w:r>
        <w:rPr>
          <w:b/>
          <w:bCs/>
        </w:rPr>
        <w:t xml:space="preserve">Le tre cose da ricordare, più una</w:t>
      </w:r>
    </w:p>
    <w:p>
      <w:pPr>
        <w:pStyle w:val="Compact"/>
        <w:numPr>
          <w:ilvl w:val="0"/>
          <w:numId w:val="1004"/>
        </w:numPr>
      </w:pPr>
      <w:r>
        <w:t xml:space="preserve">La prima cosa da guardare non è il referto: è la mano del paziente che disegna il percorso sulla gamba.</w:t>
      </w:r>
    </w:p>
    <w:p>
      <w:pPr>
        <w:pStyle w:val="Compact"/>
        <w:numPr>
          <w:ilvl w:val="0"/>
          <w:numId w:val="1004"/>
        </w:numPr>
      </w:pPr>
      <w:r>
        <w:t xml:space="preserve">L’elenco dei farmaci in corso si chiede e si scrive: due voci cambiano la lettura dello stesso dolore.</w:t>
      </w:r>
    </w:p>
    <w:p>
      <w:pPr>
        <w:pStyle w:val="Compact"/>
        <w:numPr>
          <w:ilvl w:val="0"/>
          <w:numId w:val="1004"/>
        </w:numPr>
      </w:pPr>
      <w:r>
        <w:t xml:space="preserve">Il formicolio e la debolezza lo spaventano più del dolore, e hanno un peso diverso anche per te.</w:t>
      </w:r>
    </w:p>
    <w:p>
      <w:pPr>
        <w:pStyle w:val="Compact"/>
        <w:numPr>
          <w:ilvl w:val="0"/>
          <w:numId w:val="1004"/>
        </w:numPr>
      </w:pPr>
      <w:r>
        <w:rPr>
          <w:b/>
          <w:bCs/>
        </w:rPr>
        <w:t xml:space="preserve">Perché ci sei tu.</w:t>
      </w:r>
      <w:r>
        <w:t xml:space="preserve"> </w:t>
      </w:r>
      <w:r>
        <w:t xml:space="preserve">L’infiltrazione epidurale di cortisone riduce il dolore alla gamba di circa 5 punti su 100 rispetto al placebo a breve termine, nella sintesi di 8 studi e 949 pazienti (Oliveira,</w:t>
      </w:r>
      <w:r>
        <w:t xml:space="preserve"> </w:t>
      </w:r>
      <w:r>
        <w:rPr>
          <w:i/>
          <w:iCs/>
        </w:rPr>
        <w:t xml:space="preserve">Cochrane Database Syst Rev</w:t>
      </w:r>
      <w:r>
        <w:t xml:space="preserve"> </w:t>
      </w:r>
      <w:r>
        <w:t xml:space="preserve">2020, PMID 32271952). Questo ti autorizza a prendere in carico chi ti dice</w:t>
      </w:r>
      <w:r>
        <w:t xml:space="preserve"> </w:t>
      </w:r>
      <w:r>
        <w:t xml:space="preserve">“ho già fatto tutto”</w:t>
      </w:r>
      <w:r>
        <w:t xml:space="preserve">, perché quel tutto ha spostato poco. Non ti autorizza a commentare l’indicazione dell’infiltrazione: la decide chi la prescrive.</w:t>
      </w:r>
    </w:p>
    <w:p>
      <w:r>
        <w:pict>
          <v:rect style="width:0;height:1.5pt" o:hralign="center" o:hrstd="t" o:hr="t"/>
        </w:pict>
      </w:r>
    </w:p>
    <w:bookmarkEnd w:id="13"/>
    <w:bookmarkEnd w:id="14"/>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la sciatalgia non è una malattia ma un sintomo di sofferenza di una radice nervosa, e nella maggior parte dei casi si risolve — solo molto più lentamente di quanto il paziente sopporti.</w:t>
      </w:r>
    </w:p>
    <w:bookmarkStart w:id="15" w:name="X7dfb1678db40e6f43b3644ed7ffae4dcf9fa3ce"/>
    <w:p>
      <w:pPr>
        <w:pStyle w:val="Heading3"/>
      </w:pPr>
      <w:r>
        <w:t xml:space="preserve">La definizione, e le tre voci che il nome copre</w:t>
      </w:r>
    </w:p>
    <w:p>
      <w:pPr>
        <w:pStyle w:val="FirstParagraph"/>
      </w:pPr>
      <w:r>
        <w:t xml:space="preserve">La sciatalgia è</w:t>
      </w:r>
      <w:r>
        <w:t xml:space="preserve"> </w:t>
      </w:r>
      <w:r>
        <w:rPr>
          <w:b/>
          <w:bCs/>
        </w:rPr>
        <w:t xml:space="preserve">dolore che si irradia lungo il territorio di una radice nervosa lombosacrale</w:t>
      </w:r>
      <w:r>
        <w:t xml:space="preserve">, tipicamente L4, L5 o S1, per irritazione o compressione della radice.</w:t>
      </w:r>
    </w:p>
    <w:p>
      <w:pPr>
        <w:pStyle w:val="BodyText"/>
      </w:pPr>
      <w:r>
        <w:t xml:space="preserve">La tassonomia di riferimento ha</w:t>
      </w:r>
      <w:r>
        <w:t xml:space="preserve"> </w:t>
      </w:r>
      <w:r>
        <w:rPr>
          <w:b/>
          <w:bCs/>
        </w:rPr>
        <w:t xml:space="preserve">tre</w:t>
      </w:r>
      <w:r>
        <w:t xml:space="preserve"> </w:t>
      </w:r>
      <w:r>
        <w:t xml:space="preserve">voci, non due. Il documento che la fissa è lo stesso che tutti citano per la prima (Bogduk,</w:t>
      </w:r>
      <w:r>
        <w:t xml:space="preserve"> </w:t>
      </w:r>
      <w:r>
        <w:rPr>
          <w:i/>
          <w:iCs/>
        </w:rPr>
        <w:t xml:space="preserve">Pain</w:t>
      </w:r>
      <w:r>
        <w:t xml:space="preserve"> </w:t>
      </w:r>
      <w:r>
        <w:t xml:space="preserve">2009, PMID 19762151).</w:t>
      </w:r>
    </w:p>
    <w:p>
      <w:pPr>
        <w:pStyle w:val="BlockText"/>
      </w:pPr>
      <w:r>
        <w:rPr>
          <w:b/>
          <w:bCs/>
        </w:rPr>
        <w:t xml:space="preserve">Definizione.</w:t>
      </w:r>
      <w:r>
        <w:t xml:space="preserve"> </w:t>
      </w:r>
      <w:r>
        <w:t xml:space="preserve">Il</w:t>
      </w:r>
      <w:r>
        <w:t xml:space="preserve"> </w:t>
      </w:r>
      <w:r>
        <w:rPr>
          <w:b/>
          <w:bCs/>
        </w:rPr>
        <w:t xml:space="preserve">dolore riferito somatico</w:t>
      </w:r>
      <w:r>
        <w:t xml:space="preserve"> </w:t>
      </w:r>
      <w:r>
        <w:t xml:space="preserve">è dolore percepito lontano dalla struttura che lo genera, senza che nessun nervo sia sofferente. Nasce dalla convergenza dei segnali nel midollo. È sordo e largo, e di regola si ferma sopra il ginocchio.</w:t>
      </w:r>
    </w:p>
    <w:p>
      <w:pPr>
        <w:pStyle w:val="BlockText"/>
      </w:pPr>
      <w:r>
        <w:t xml:space="preserve">Il</w:t>
      </w:r>
      <w:r>
        <w:t xml:space="preserve"> </w:t>
      </w:r>
      <w:r>
        <w:rPr>
          <w:b/>
          <w:bCs/>
        </w:rPr>
        <w:t xml:space="preserve">dolore radicolare</w:t>
      </w:r>
      <w:r>
        <w:t xml:space="preserve"> </w:t>
      </w:r>
      <w:r>
        <w:t xml:space="preserve">nasce dalla radice o dal suo ganglio. Segue una linea stretta, scende sotto il ginocchio e porta spesso formicolio.</w:t>
      </w:r>
    </w:p>
    <w:p>
      <w:pPr>
        <w:pStyle w:val="BlockText"/>
      </w:pPr>
      <w:r>
        <w:t xml:space="preserve">La</w:t>
      </w:r>
      <w:r>
        <w:t xml:space="preserve"> </w:t>
      </w:r>
      <w:r>
        <w:rPr>
          <w:b/>
          <w:bCs/>
        </w:rPr>
        <w:t xml:space="preserve">radicolopatia</w:t>
      </w:r>
      <w:r>
        <w:t xml:space="preserve"> </w:t>
      </w:r>
      <w:r>
        <w:t xml:space="preserve">è la perdita</w:t>
      </w:r>
      <w:r>
        <w:t xml:space="preserve"> </w:t>
      </w:r>
      <w:r>
        <w:rPr>
          <w:b/>
          <w:bCs/>
        </w:rPr>
        <w:t xml:space="preserve">oggettiva</w:t>
      </w:r>
      <w:r>
        <w:t xml:space="preserve"> </w:t>
      </w:r>
      <w:r>
        <w:t xml:space="preserve">di funzione di una radice: ipoestesia in un territorio, riduzione di forza, riflesso ridotto o assente. Si misura e si scrive. Non è il dolore: può esserci senza dolore, e il dolore radicolare può esserci senza di lei.</w:t>
      </w:r>
    </w:p>
    <w:p>
      <w:pPr>
        <w:pStyle w:val="FirstParagraph"/>
      </w:pPr>
      <w:r>
        <w:rPr>
          <w:b/>
          <w:bCs/>
        </w:rPr>
        <w:t xml:space="preserve">Per te:</w:t>
      </w:r>
      <w:r>
        <w:t xml:space="preserve"> </w:t>
      </w:r>
      <w:r>
        <w:rPr>
          <w:i/>
          <w:iCs/>
        </w:rPr>
        <w:t xml:space="preserve">radicolopatia</w:t>
      </w:r>
      <w:r>
        <w:t xml:space="preserve"> </w:t>
      </w:r>
      <w:r>
        <w:t xml:space="preserve">è la parola che usano il referto elettromiografico e il neurochirurgo. Quando la trovi scritta, il paziente non è più nella categoria</w:t>
      </w:r>
      <w:r>
        <w:t xml:space="preserve"> </w:t>
      </w:r>
      <w:r>
        <w:t xml:space="preserve">“dolore”</w:t>
      </w:r>
      <w:r>
        <w:t xml:space="preserve">, ed è cambiata l’uscita del triage. La differenza si misura: l’intorpidimento è riferito dal 78% dei pazienti con radicolopatia e dallo 0% di quelli con solo dolore radicolare (Tampin,</w:t>
      </w:r>
      <w:r>
        <w:t xml:space="preserve"> </w:t>
      </w:r>
      <w:r>
        <w:rPr>
          <w:i/>
          <w:iCs/>
        </w:rPr>
        <w:t xml:space="preserve">Scand J Pain</w:t>
      </w:r>
      <w:r>
        <w:t xml:space="preserve"> </w:t>
      </w:r>
      <w:r>
        <w:t xml:space="preserve">2021, PMID 34333881).</w:t>
      </w:r>
    </w:p>
    <w:bookmarkEnd w:id="15"/>
    <w:bookmarkStart w:id="16" w:name="di-che-tipo-è-questo-dolore"/>
    <w:p>
      <w:pPr>
        <w:pStyle w:val="Heading3"/>
      </w:pPr>
      <w:r>
        <w:t xml:space="preserve">Di che tipo è questo dolore</w:t>
      </w:r>
    </w:p>
    <w:p>
      <w:pPr>
        <w:pStyle w:val="FirstParagraph"/>
      </w:pPr>
      <w:r>
        <w:t xml:space="preserve">La classificazione decide più della topografia, e le tre categorie convivono.</w:t>
      </w:r>
    </w:p>
    <w:p>
      <w:pPr>
        <w:pStyle w:val="Compact"/>
        <w:numPr>
          <w:ilvl w:val="0"/>
          <w:numId w:val="1005"/>
        </w:numPr>
      </w:pPr>
      <w:r>
        <w:rPr>
          <w:b/>
          <w:bCs/>
        </w:rPr>
        <w:t xml:space="preserve">Nocicettivo</w:t>
      </w:r>
      <w:r>
        <w:t xml:space="preserve">: il dolore riferito somatico, cioè un tessuto che segnala.</w:t>
      </w:r>
    </w:p>
    <w:p>
      <w:pPr>
        <w:pStyle w:val="Compact"/>
        <w:numPr>
          <w:ilvl w:val="0"/>
          <w:numId w:val="1005"/>
        </w:numPr>
      </w:pPr>
      <w:r>
        <w:rPr>
          <w:b/>
          <w:bCs/>
        </w:rPr>
        <w:t xml:space="preserve">Neuropatico</w:t>
      </w:r>
      <w:r>
        <w:t xml:space="preserve">: il dolore radicolare e la radicolopatia. La sciatalgia con dolore radicolare è la causa più comune di dolore neuropatico (Schmid,</w:t>
      </w:r>
      <w:r>
        <w:t xml:space="preserve"> </w:t>
      </w:r>
      <w:r>
        <w:rPr>
          <w:i/>
          <w:iCs/>
        </w:rPr>
        <w:t xml:space="preserve">Pain Rep</w:t>
      </w:r>
      <w:r>
        <w:t xml:space="preserve"> </w:t>
      </w:r>
      <w:r>
        <w:t xml:space="preserve">2020, PMID 32766466).</w:t>
      </w:r>
    </w:p>
    <w:p>
      <w:pPr>
        <w:pStyle w:val="Compact"/>
        <w:numPr>
          <w:ilvl w:val="0"/>
          <w:numId w:val="1005"/>
        </w:numPr>
      </w:pPr>
      <w:r>
        <w:rPr>
          <w:b/>
          <w:bCs/>
        </w:rPr>
        <w:t xml:space="preserve">Con meccanismi centrali</w:t>
      </w:r>
      <w:r>
        <w:t xml:space="preserve">: quadri persistenti con ipersensibilità oltre il territorio, segni dal lato sano e modulazione del dolore compromessa quanto nella fibromialgia, misurata anche all’avambraccio controlaterale (Knezevic,</w:t>
      </w:r>
      <w:r>
        <w:t xml:space="preserve"> </w:t>
      </w:r>
      <w:r>
        <w:rPr>
          <w:i/>
          <w:iCs/>
        </w:rPr>
        <w:t xml:space="preserve">Neurophysiol Clin</w:t>
      </w:r>
      <w:r>
        <w:t xml:space="preserve"> </w:t>
      </w:r>
      <w:r>
        <w:t xml:space="preserve">2023, PMID 36716611).</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l’esistenza dei tre profili e la loro separabilità con misure sensoriali.</w:t>
      </w:r>
      <w:r>
        <w:t xml:space="preserve"> </w:t>
      </w:r>
      <w:r>
        <w:rPr>
          <w:b/>
          <w:bCs/>
        </w:rPr>
        <w:t xml:space="preserve">RAGIONAMENTO</w:t>
      </w:r>
      <w:r>
        <w:rPr>
          <w:b/>
          <w:bCs/>
        </w:rPr>
        <w:t xml:space="preserve"> </w:t>
      </w:r>
      <w:r>
        <w:rPr>
          <w:b/>
          <w:bCs/>
          <w:i/>
          <w:iCs/>
        </w:rPr>
        <w:t xml:space="preserve">(cornice clinica, non una prova)</w:t>
      </w:r>
      <w:r>
        <w:t xml:space="preserve"> </w:t>
      </w:r>
      <w:r>
        <w:t xml:space="preserve">per la conseguenza: dove la componente è nocicettiva, di meccanosensibilità neurale o neuropatica l’intervento sul tessuto è indicato; dove dominano le dimensioni centrali, l’indicazione si sposta su esposizione, spiegazione e tempo.</w:t>
      </w:r>
      <w:r>
        <w:t xml:space="preserve"> </w:t>
      </w:r>
      <w:r>
        <w:rPr>
          <w:b/>
          <w:bCs/>
        </w:rPr>
        <w:t xml:space="preserve">Che il trattamento manuale modifichi una di queste componenti nella sciatalgia non è stato testato.</w:t>
      </w:r>
    </w:p>
    <w:bookmarkEnd w:id="16"/>
    <w:bookmarkStart w:id="17" w:name="quanto-è-diffusa"/>
    <w:p>
      <w:pPr>
        <w:pStyle w:val="Heading3"/>
      </w:pPr>
      <w:r>
        <w:t xml:space="preserve">Quanto è diffusa</w:t>
      </w:r>
    </w:p>
    <w:p>
      <w:pPr>
        <w:pStyle w:val="FirstParagraph"/>
      </w:pPr>
      <w:r>
        <w:t xml:space="preserve">Le stime di quante persone abbiano avuto una sciatalgia nella vita vanno da poco più di una su cento a più di quattro su dieci. La ragione non è la popolazione, è la definizione: ogni studio chiama sciatalgia una cosa diversa — il percorso del dolore, i test, l’immagine (Konstantinou e Dunn,</w:t>
      </w:r>
      <w:r>
        <w:t xml:space="preserve"> </w:t>
      </w:r>
      <w:r>
        <w:rPr>
          <w:i/>
          <w:iCs/>
        </w:rPr>
        <w:t xml:space="preserve">Spine</w:t>
      </w:r>
      <w:r>
        <w:t xml:space="preserve"> </w:t>
      </w:r>
      <w:r>
        <w:t xml:space="preserve">2008, PMID 18923325). È come chiedere quante persone hanno mal di stomaco: dipende da cosa ci metti dentro.</w:t>
      </w:r>
    </w:p>
    <w:p>
      <w:pPr>
        <w:pStyle w:val="BodyText"/>
      </w:pPr>
      <w:r>
        <w:rPr>
          <w:b/>
          <w:bCs/>
        </w:rPr>
        <w:t xml:space="preserve">Per te:</w:t>
      </w:r>
      <w:r>
        <w:t xml:space="preserve"> </w:t>
      </w:r>
      <w:r>
        <w:t xml:space="preserve">non usare un numero di prevalenza per convincere. Usa il fatto che lo genera:</w:t>
      </w:r>
      <w:r>
        <w:t xml:space="preserve"> </w:t>
      </w:r>
      <w:r>
        <w:rPr>
          <w:b/>
          <w:bCs/>
        </w:rPr>
        <w:t xml:space="preserve">la parola</w:t>
      </w:r>
      <w:r>
        <w:rPr>
          <w:b/>
          <w:bCs/>
        </w:rPr>
        <w:t xml:space="preserve"> </w:t>
      </w:r>
      <w:r>
        <w:rPr>
          <w:b/>
          <w:bCs/>
        </w:rPr>
        <w:t xml:space="preserve">“sciatica”</w:t>
      </w:r>
      <w:r>
        <w:rPr>
          <w:b/>
          <w:bCs/>
        </w:rPr>
        <w:t xml:space="preserve"> </w:t>
      </w:r>
      <w:r>
        <w:rPr>
          <w:b/>
          <w:bCs/>
        </w:rPr>
        <w:t xml:space="preserve">non ha un significato unico.</w:t>
      </w:r>
      <w:r>
        <w:t xml:space="preserve"> </w:t>
      </w:r>
      <w:r>
        <w:t xml:space="preserve">La prima cosa da chiarire è quale definizione stesse usando chi ha parlato al paziente prima di te.</w:t>
      </w:r>
    </w:p>
    <w:bookmarkEnd w:id="17"/>
    <w:bookmarkStart w:id="18" w:name="come-evolve-se-non-fai-nulla"/>
    <w:p>
      <w:pPr>
        <w:pStyle w:val="Heading3"/>
      </w:pPr>
      <w:r>
        <w:t xml:space="preserve">Come evolve se non fai nulla</w:t>
      </w:r>
    </w:p>
    <w:p>
      <w:pPr>
        <w:pStyle w:val="FirstParagraph"/>
      </w:pPr>
      <w:r>
        <w:t xml:space="preserve">Meglio di quanto il paziente creda, e più lentamente di quanto sopporti.</w:t>
      </w:r>
    </w:p>
    <w:p>
      <w:pPr>
        <w:pStyle w:val="BodyText"/>
      </w:pPr>
      <w:r>
        <w:t xml:space="preserve">Poco più della metà di chi va dal medico di base per un dolore che scende lungo la gamba sta meglio a dodici mesi: il 55% su 609 persone, dove</w:t>
      </w:r>
      <w:r>
        <w:t xml:space="preserve"> </w:t>
      </w:r>
      <w:r>
        <w:t xml:space="preserve">“meglio”</w:t>
      </w:r>
      <w:r>
        <w:t xml:space="preserve"> </w:t>
      </w:r>
      <w:r>
        <w:t xml:space="preserve">vuol dire almeno il 30% di disabilità in meno (Konstantinou,</w:t>
      </w:r>
      <w:r>
        <w:t xml:space="preserve"> </w:t>
      </w:r>
      <w:r>
        <w:rPr>
          <w:i/>
          <w:iCs/>
        </w:rPr>
        <w:t xml:space="preserve">Spine J</w:t>
      </w:r>
      <w:r>
        <w:t xml:space="preserve"> </w:t>
      </w:r>
      <w:r>
        <w:t xml:space="preserve">2018, PMID 29174459).</w:t>
      </w:r>
    </w:p>
    <w:p>
      <w:pPr>
        <w:pStyle w:val="BodyText"/>
      </w:pPr>
      <w:r>
        <w:rPr>
          <w:b/>
          <w:bCs/>
        </w:rPr>
        <w:t xml:space="preserve">Per te:</w:t>
      </w:r>
      <w:r>
        <w:t xml:space="preserve"> </w:t>
      </w:r>
      <w:r>
        <w:t xml:space="preserve">il numero che ti riguarda è questo, perché i tuoi pazienti arrivano da lì. A un anno</w:t>
      </w:r>
      <w:r>
        <w:t xml:space="preserve"> </w:t>
      </w:r>
      <w:r>
        <w:rPr>
          <w:b/>
          <w:bCs/>
        </w:rPr>
        <w:t xml:space="preserve">quasi uno su due non è migliorato</w:t>
      </w:r>
      <w:r>
        <w:t xml:space="preserve">, e il tempo da solo non basta.</w:t>
      </w:r>
    </w:p>
    <w:p>
      <w:pPr>
        <w:pStyle w:val="BodyText"/>
      </w:pPr>
      <w:r>
        <w:t xml:space="preserve">Il secondo numero è più ottimista e riguarda un altro paziente. Fra 283 persone con sciatalgia grave da sei a dodici settimane, mandate al neurochirurgo, la probabilità di sentirsi guarite a un anno era del 95% in entrambi i gruppi. Chi veniva operato subito ci arrivava molto prima.</w:t>
      </w:r>
      <w:r>
        <w:t xml:space="preserve"> </w:t>
      </w:r>
      <w:r>
        <w:rPr>
          <w:b/>
          <w:bCs/>
        </w:rPr>
        <w:t xml:space="preserve">E c’è un’avvertenza che pesa più del numero: il 39% del gruppo conservativo è stato operato comunque entro l’anno, in media dopo 18,7 settimane</w:t>
      </w:r>
      <w:r>
        <w:t xml:space="preserve"> </w:t>
      </w:r>
      <w:r>
        <w:t xml:space="preserve">(Peul,</w:t>
      </w:r>
      <w:r>
        <w:t xml:space="preserve"> </w:t>
      </w:r>
      <w:r>
        <w:rPr>
          <w:i/>
          <w:iCs/>
        </w:rPr>
        <w:t xml:space="preserve">N Engl J Med</w:t>
      </w:r>
      <w:r>
        <w:t xml:space="preserve"> </w:t>
      </w:r>
      <w:r>
        <w:t xml:space="preserve">2007, PMID 17538084).</w:t>
      </w:r>
    </w:p>
    <w:p>
      <w:pPr>
        <w:pStyle w:val="BodyText"/>
      </w:pPr>
      <w:r>
        <w:rPr>
          <w:b/>
          <w:bCs/>
        </w:rPr>
        <w:t xml:space="preserve">Per te:</w:t>
      </w:r>
      <w:r>
        <w:t xml:space="preserve"> </w:t>
      </w:r>
      <w:r>
        <w:t xml:space="preserve">il 95% misura la percezione di guarigione in pazienti selezionati e seguiti da vicino. Il 55% misura la disabilità in pazienti veri di medicina generale. L’orizzonte lungo è vero e va detto. Ma l’esito che tu prometti resta la funzione, non la guarigione,</w:t>
      </w:r>
      <w:r>
        <w:t xml:space="preserve"> </w:t>
      </w:r>
      <w:r>
        <w:rPr>
          <w:b/>
          <w:bCs/>
        </w:rPr>
        <w:t xml:space="preserve">e mai un intervento evitato: in quello studio quattro su dieci di chi aspettava si sono operati lo stesso.</w:t>
      </w:r>
    </w:p>
    <w:p>
      <w:pPr>
        <w:pStyle w:val="BodyText"/>
      </w:pPr>
      <w:r>
        <w:t xml:space="preserve">E l’immagine cambia da sola. Il materiale erniato si riassorbe spontaneamente nel 96% dei sequestri, nel 70% delle estrusioni, nel 41% delle protrusioni e nel 13% dei bulging (Chiu,</w:t>
      </w:r>
      <w:r>
        <w:t xml:space="preserve"> </w:t>
      </w:r>
      <w:r>
        <w:rPr>
          <w:i/>
          <w:iCs/>
        </w:rPr>
        <w:t xml:space="preserve">Clin Rehabil</w:t>
      </w:r>
      <w:r>
        <w:t xml:space="preserve"> </w:t>
      </w:r>
      <w:r>
        <w:t xml:space="preserve">2015, PMID 25009200).</w:t>
      </w:r>
    </w:p>
    <w:p>
      <w:pPr>
        <w:pStyle w:val="BodyText"/>
      </w:pPr>
      <w:r>
        <w:rPr>
          <w:b/>
          <w:bCs/>
        </w:rPr>
        <w:t xml:space="preserve">Per te:</w:t>
      </w:r>
      <w:r>
        <w:t xml:space="preserve"> </w:t>
      </w:r>
      <w:r>
        <w:t xml:space="preserve">più l’ernia è grossa, più è probabile che se ne vada da sola. È l’esatto contrario di quello che il paziente ha capito dal referto, e va detto con questi numeri in mano.</w:t>
      </w:r>
    </w:p>
    <w:bookmarkEnd w:id="18"/>
    <w:bookmarkStart w:id="19" w:name="X33366b177538ae9fd773a963d812086931f46b7"/>
    <w:p>
      <w:pPr>
        <w:pStyle w:val="Heading3"/>
      </w:pPr>
      <w:r>
        <w:t xml:space="preserve">Cosa dicono le etichette diagnostiche, e cosa non dicono</w:t>
      </w:r>
    </w:p>
    <w:p>
      <w:pPr>
        <w:pStyle w:val="FirstParagraph"/>
      </w:pPr>
      <w:r>
        <w:t xml:space="preserve">Arriva con tre parole:</w:t>
      </w:r>
      <w:r>
        <w:t xml:space="preserve"> </w:t>
      </w:r>
      <w:r>
        <w:rPr>
          <w:b/>
          <w:bCs/>
        </w:rPr>
        <w:t xml:space="preserve">protrusione</w:t>
      </w:r>
      <w:r>
        <w:t xml:space="preserve">,</w:t>
      </w:r>
      <w:r>
        <w:t xml:space="preserve"> </w:t>
      </w:r>
      <w:r>
        <w:rPr>
          <w:b/>
          <w:bCs/>
        </w:rPr>
        <w:t xml:space="preserve">estrusione</w:t>
      </w:r>
      <w:r>
        <w:t xml:space="preserve">,</w:t>
      </w:r>
      <w:r>
        <w:t xml:space="preserve"> </w:t>
      </w:r>
      <w:r>
        <w:rPr>
          <w:b/>
          <w:bCs/>
        </w:rPr>
        <w:t xml:space="preserve">conflitto radicolare</w:t>
      </w:r>
      <w:r>
        <w:t xml:space="preserve">.</w:t>
      </w:r>
    </w:p>
    <w:p>
      <w:pPr>
        <w:pStyle w:val="BlockText"/>
      </w:pPr>
      <w:r>
        <w:rPr>
          <w:b/>
          <w:bCs/>
        </w:rPr>
        <w:t xml:space="preserve">Definizione.</w:t>
      </w:r>
      <w:r>
        <w:t xml:space="preserve"> </w:t>
      </w:r>
      <w:r>
        <w:rPr>
          <w:i/>
          <w:iCs/>
        </w:rPr>
        <w:t xml:space="preserve">Protrusione</w:t>
      </w:r>
      <w:r>
        <w:t xml:space="preserve">: il disco sporge oltre il bordo della vertebra, con l’anello esterno integro.</w:t>
      </w:r>
      <w:r>
        <w:t xml:space="preserve"> </w:t>
      </w:r>
      <w:r>
        <w:rPr>
          <w:i/>
          <w:iCs/>
        </w:rPr>
        <w:t xml:space="preserve">Estrusione</w:t>
      </w:r>
      <w:r>
        <w:t xml:space="preserve">: il materiale del nucleo esce oltre l’anello.</w:t>
      </w:r>
      <w:r>
        <w:t xml:space="preserve"> </w:t>
      </w:r>
      <w:r>
        <w:rPr>
          <w:i/>
          <w:iCs/>
        </w:rPr>
        <w:t xml:space="preserve">Sequestro</w:t>
      </w:r>
      <w:r>
        <w:t xml:space="preserve">: un frammento si stacca e migra.</w:t>
      </w:r>
      <w:r>
        <w:t xml:space="preserve"> </w:t>
      </w:r>
      <w:r>
        <w:rPr>
          <w:i/>
          <w:iCs/>
        </w:rPr>
        <w:t xml:space="preserve">Conflitto radicolare</w:t>
      </w:r>
      <w:r>
        <w:t xml:space="preserve">: il radiologo descrive un contatto fra materiale discale e radice.</w:t>
      </w:r>
    </w:p>
    <w:p>
      <w:pPr>
        <w:pStyle w:val="FirstParagraph"/>
      </w:pPr>
      <w:r>
        <w:t xml:space="preserve">Su persone</w:t>
      </w:r>
      <w:r>
        <w:t xml:space="preserve"> </w:t>
      </w:r>
      <w:r>
        <w:rPr>
          <w:b/>
          <w:bCs/>
        </w:rPr>
        <w:t xml:space="preserve">senza alcun sintomo</w:t>
      </w:r>
      <w:r>
        <w:t xml:space="preserve"> </w:t>
      </w:r>
      <w:r>
        <w:t xml:space="preserve">la protrusione discale si trova nel 29% dei ventenni e nel 43% degli ottantenni. Il bulging passa dal 30% all’84% e la degenerazione del disco dal 37% al 96% (Brinjikji,</w:t>
      </w:r>
      <w:r>
        <w:t xml:space="preserve"> </w:t>
      </w:r>
      <w:r>
        <w:rPr>
          <w:i/>
          <w:iCs/>
        </w:rPr>
        <w:t xml:space="preserve">AJNR Am J Neuroradiol</w:t>
      </w:r>
      <w:r>
        <w:t xml:space="preserve"> </w:t>
      </w:r>
      <w:r>
        <w:t xml:space="preserve">2015, PMID 25430861).</w:t>
      </w:r>
    </w:p>
    <w:p>
      <w:pPr>
        <w:pStyle w:val="BodyText"/>
      </w:pPr>
      <w:r>
        <w:rPr>
          <w:b/>
          <w:bCs/>
        </w:rPr>
        <w:t xml:space="preserve">Per te:</w:t>
      </w:r>
      <w:r>
        <w:t xml:space="preserve"> </w:t>
      </w:r>
      <w:r>
        <w:t xml:space="preserve">hai due frasi da dire, e vanno dette insieme.</w:t>
      </w:r>
      <w:r>
        <w:t xml:space="preserve"> </w:t>
      </w:r>
      <w:r>
        <w:rPr>
          <w:i/>
          <w:iCs/>
        </w:rPr>
        <w:t xml:space="preserve">“Quella protrusione ce l’hanno tre persone su dieci a vent’anni, e non hanno male.”</w:t>
      </w:r>
      <w:r>
        <w:t xml:space="preserve"> </w:t>
      </w:r>
      <w:r>
        <w:t xml:space="preserve">E subito dopo:</w:t>
      </w:r>
      <w:r>
        <w:t xml:space="preserve"> </w:t>
      </w:r>
      <w:r>
        <w:rPr>
          <w:i/>
          <w:iCs/>
        </w:rPr>
        <w:t xml:space="preserve">“la risonanza serve comunque, perché una minoranza di referti descrive cose diverse, e quelle contano davvero.”</w:t>
      </w:r>
      <w:r>
        <w:t xml:space="preserve"> </w:t>
      </w:r>
      <w:r>
        <w:t xml:space="preserve">La diagnosi è atto medico. Qui impari a</w:t>
      </w:r>
      <w:r>
        <w:t xml:space="preserve"> </w:t>
      </w:r>
      <w:r>
        <w:rPr>
          <w:b/>
          <w:bCs/>
        </w:rPr>
        <w:t xml:space="preserve">leggere</w:t>
      </w:r>
      <w:r>
        <w:t xml:space="preserve"> </w:t>
      </w:r>
      <w:r>
        <w:t xml:space="preserve">un referto per capire cosa non spiega, non a formularne uno.</w:t>
      </w:r>
    </w:p>
    <w:bookmarkEnd w:id="19"/>
    <w:bookmarkStart w:id="20" w:name="cosa-non-è"/>
    <w:p>
      <w:pPr>
        <w:pStyle w:val="Heading3"/>
      </w:pPr>
      <w:r>
        <w:t xml:space="preserve">Cosa non è</w:t>
      </w:r>
    </w:p>
    <w:p>
      <w:pPr>
        <w:pStyle w:val="Compact"/>
        <w:numPr>
          <w:ilvl w:val="0"/>
          <w:numId w:val="1006"/>
        </w:numPr>
      </w:pPr>
      <w:r>
        <w:rPr>
          <w:b/>
          <w:bCs/>
        </w:rPr>
        <w:t xml:space="preserve">Non è la claudicatio della stenosi del canale centrale.</w:t>
      </w:r>
      <w:r>
        <w:t xml:space="preserve"> </w:t>
      </w:r>
      <w:r>
        <w:t xml:space="preserve">Quella compare camminando, migliora piegandosi in avanti, e spesso prende</w:t>
      </w:r>
      <w:r>
        <w:t xml:space="preserve"> </w:t>
      </w:r>
      <w:r>
        <w:rPr>
          <w:b/>
          <w:bCs/>
        </w:rPr>
        <w:t xml:space="preserve">entrambe</w:t>
      </w:r>
      <w:r>
        <w:t xml:space="preserve"> </w:t>
      </w:r>
      <w:r>
        <w:t xml:space="preserve">le gambe senza seguire una linea. La stenosi del</w:t>
      </w:r>
      <w:r>
        <w:t xml:space="preserve"> </w:t>
      </w:r>
      <w:r>
        <w:rPr>
          <w:b/>
          <w:bCs/>
        </w:rPr>
        <w:t xml:space="preserve">recesso laterale</w:t>
      </w:r>
      <w:r>
        <w:t xml:space="preserve"> </w:t>
      </w:r>
      <w:r>
        <w:t xml:space="preserve">è un’altra cosa e resta dentro la sciatalgia: vedi «Non è una condizione sola».</w:t>
      </w:r>
    </w:p>
    <w:p>
      <w:pPr>
        <w:pStyle w:val="Compact"/>
        <w:numPr>
          <w:ilvl w:val="0"/>
          <w:numId w:val="1006"/>
        </w:numPr>
      </w:pPr>
      <w:r>
        <w:rPr>
          <w:b/>
          <w:bCs/>
        </w:rPr>
        <w:t xml:space="preserve">Non è una coxartrosi.</w:t>
      </w:r>
      <w:r>
        <w:t xml:space="preserve"> </w:t>
      </w:r>
      <w:r>
        <w:t xml:space="preserve">Lì il dolore è inguinale o gluteo profondo, non scende sotto il ginocchio e non segue una linea. Peggiora col carico, non con la posizione tenuta. La rotazione interna è ridotta</w:t>
      </w:r>
      <w:r>
        <w:t xml:space="preserve"> </w:t>
      </w:r>
      <w:r>
        <w:rPr>
          <w:b/>
          <w:bCs/>
        </w:rPr>
        <w:t xml:space="preserve">e dolorosa</w:t>
      </w:r>
      <w:r>
        <w:t xml:space="preserve"> </w:t>
      </w:r>
      <w:r>
        <w:t xml:space="preserve">anche passivamente, e spesso l’anca è limitata in tutti i piani. È fra i quadri riconosciuti che imitano la radicolopatia lombosacrale (Bateman,</w:t>
      </w:r>
      <w:r>
        <w:t xml:space="preserve"> </w:t>
      </w:r>
      <w:r>
        <w:rPr>
          <w:i/>
          <w:iCs/>
        </w:rPr>
        <w:t xml:space="preserve">Muscle Nerve</w:t>
      </w:r>
      <w:r>
        <w:t xml:space="preserve"> </w:t>
      </w:r>
      <w:r>
        <w:t xml:space="preserve">2025, PMID 38726566), ed è quella che ti frega: la rotazione d’anca qui fa tre lavori insieme.</w:t>
      </w:r>
    </w:p>
    <w:p>
      <w:pPr>
        <w:pStyle w:val="Compact"/>
        <w:numPr>
          <w:ilvl w:val="0"/>
          <w:numId w:val="1006"/>
        </w:numPr>
      </w:pPr>
      <w:r>
        <w:rPr>
          <w:b/>
          <w:bCs/>
        </w:rPr>
        <w:t xml:space="preserve">Non è la radicoloplessopatia lombosacrale diabetica.</w:t>
      </w:r>
      <w:r>
        <w:t xml:space="preserve"> </w:t>
      </w:r>
      <w:r>
        <w:t xml:space="preserve">Quella colpisce il diabetico di lunga data, con dolore violento a coscia e anca in pochi giorni, poi debolezza prossimale e calo di peso. È asimmetrica e monofasica, e la diagnosi è clinica (Llewelyn,</w:t>
      </w:r>
      <w:r>
        <w:t xml:space="preserve"> </w:t>
      </w:r>
      <w:r>
        <w:rPr>
          <w:i/>
          <w:iCs/>
        </w:rPr>
        <w:t xml:space="preserve">Pract Neurol</w:t>
      </w:r>
      <w:r>
        <w:t xml:space="preserve"> </w:t>
      </w:r>
      <w:r>
        <w:t xml:space="preserve">2019, PMID 30530723). Si manda al curante senza aprire un ciclo.</w:t>
      </w:r>
    </w:p>
    <w:p>
      <w:pPr>
        <w:pStyle w:val="Compact"/>
        <w:numPr>
          <w:ilvl w:val="0"/>
          <w:numId w:val="1006"/>
        </w:numPr>
      </w:pPr>
      <w:r>
        <w:rPr>
          <w:b/>
          <w:bCs/>
        </w:rPr>
        <w:t xml:space="preserve">Non è la trocanterite.</w:t>
      </w:r>
      <w:r>
        <w:t xml:space="preserve"> </w:t>
      </w:r>
      <w:r>
        <w:t xml:space="preserve">Dolore laterale sull’anca, riprodotto premendo, che non scende sotto il ginocchio.</w:t>
      </w:r>
    </w:p>
    <w:p>
      <w:pPr>
        <w:pStyle w:val="Compact"/>
        <w:numPr>
          <w:ilvl w:val="0"/>
          <w:numId w:val="1006"/>
        </w:numPr>
      </w:pPr>
      <w:r>
        <w:rPr>
          <w:b/>
          <w:bCs/>
        </w:rPr>
        <w:t xml:space="preserve">Non è il dolore sacroiliaco.</w:t>
      </w:r>
      <w:r>
        <w:t xml:space="preserve"> </w:t>
      </w:r>
      <w:r>
        <w:t xml:space="preserve">Largo, sotto la cintura, senza linea e senza risposta ai test di tensione neurale.</w:t>
      </w:r>
    </w:p>
    <w:p>
      <w:pPr>
        <w:pStyle w:val="Compact"/>
        <w:numPr>
          <w:ilvl w:val="0"/>
          <w:numId w:val="1006"/>
        </w:numPr>
      </w:pPr>
      <w:r>
        <w:rPr>
          <w:b/>
          <w:bCs/>
        </w:rPr>
        <w:t xml:space="preserve">Non è il dolore pelvico della gravidanza.</w:t>
      </w:r>
      <w:r>
        <w:t xml:space="preserve"> </w:t>
      </w:r>
      <w:r>
        <w:t xml:space="preserve">Largo, fra sacro e pube, legato al carico su una gamba sola, senza linea e senza formicolio. Riguarda quattro-cinque donne su dieci in gravidanza (Guo e Xu,</w:t>
      </w:r>
      <w:r>
        <w:t xml:space="preserve"> </w:t>
      </w:r>
      <w:r>
        <w:rPr>
          <w:i/>
          <w:iCs/>
        </w:rPr>
        <w:t xml:space="preserve">J Matern Fetal Neonatal Med</w:t>
      </w:r>
      <w:r>
        <w:t xml:space="preserve"> </w:t>
      </w:r>
      <w:r>
        <w:t xml:space="preserve">2026, PMID 42481240).</w:t>
      </w:r>
    </w:p>
    <w:p>
      <w:pPr>
        <w:pStyle w:val="Compact"/>
        <w:numPr>
          <w:ilvl w:val="0"/>
          <w:numId w:val="1006"/>
        </w:numPr>
      </w:pPr>
      <w:r>
        <w:rPr>
          <w:b/>
          <w:bCs/>
        </w:rPr>
        <w:t xml:space="preserve">Non è una neuropatia periferica distale.</w:t>
      </w:r>
      <w:r>
        <w:t xml:space="preserve"> </w:t>
      </w:r>
      <w:r>
        <w:t xml:space="preserve">A calza sui due piedi, spesso legata al diabete, senza mal di schiena.</w:t>
      </w:r>
    </w:p>
    <w:p>
      <w:pPr>
        <w:pStyle w:val="Compact"/>
        <w:numPr>
          <w:ilvl w:val="0"/>
          <w:numId w:val="1006"/>
        </w:numPr>
      </w:pPr>
      <w:r>
        <w:rPr>
          <w:b/>
          <w:bCs/>
        </w:rPr>
        <w:t xml:space="preserve">Non è una claudicatio vascolare.</w:t>
      </w:r>
      <w:r>
        <w:t xml:space="preserve"> </w:t>
      </w:r>
      <w:r>
        <w:t xml:space="preserve">Dolore da sforzo che si ferma appena ti fermi, con polsi ridotti.</w:t>
      </w:r>
    </w:p>
    <w:p>
      <w:pPr>
        <w:pStyle w:val="FirstParagraph"/>
      </w:pPr>
      <w:r>
        <w:rPr>
          <w:b/>
          <w:bCs/>
        </w:rPr>
        <w:t xml:space="preserve">Le tre cose da ricordare, più una</w:t>
      </w:r>
    </w:p>
    <w:p>
      <w:pPr>
        <w:pStyle w:val="Compact"/>
        <w:numPr>
          <w:ilvl w:val="0"/>
          <w:numId w:val="1007"/>
        </w:numPr>
      </w:pPr>
      <w:r>
        <w:t xml:space="preserve">Le voci sono tre e non due: dolore riferito somatico, dolore radicolare, radicolopatia. La terza si misura, e cambia l’uscita.</w:t>
      </w:r>
    </w:p>
    <w:p>
      <w:pPr>
        <w:pStyle w:val="Compact"/>
        <w:numPr>
          <w:ilvl w:val="0"/>
          <w:numId w:val="1007"/>
        </w:numPr>
      </w:pPr>
      <w:r>
        <w:t xml:space="preserve">A un anno quasi uno su due dei pazienti di medicina generale non è migliorato: il tempo da solo non chiude il caso.</w:t>
      </w:r>
    </w:p>
    <w:p>
      <w:pPr>
        <w:pStyle w:val="Compact"/>
        <w:numPr>
          <w:ilvl w:val="0"/>
          <w:numId w:val="1007"/>
        </w:numPr>
      </w:pPr>
      <w:r>
        <w:t xml:space="preserve">Più l’ernia è grossa, più probabilmente si riassorbe. Il referto spaventa nella direzione sbagliata.</w:t>
      </w:r>
    </w:p>
    <w:p>
      <w:pPr>
        <w:pStyle w:val="Compact"/>
        <w:numPr>
          <w:ilvl w:val="0"/>
          <w:numId w:val="1007"/>
        </w:numPr>
      </w:pPr>
      <w:r>
        <w:rPr>
          <w:b/>
          <w:bCs/>
        </w:rPr>
        <w:t xml:space="preserve">Perché ci sei tu.</w:t>
      </w:r>
      <w:r>
        <w:t xml:space="preserve"> </w:t>
      </w:r>
      <w:r>
        <w:t xml:space="preserve">Sette estrusioni su dieci si riassorbono da sole, e i quadri più piccoli si riassorbono meno (Chiu,</w:t>
      </w:r>
      <w:r>
        <w:t xml:space="preserve"> </w:t>
      </w:r>
      <w:r>
        <w:rPr>
          <w:i/>
          <w:iCs/>
        </w:rPr>
        <w:t xml:space="preserve">Clin Rehabil</w:t>
      </w:r>
      <w:r>
        <w:t xml:space="preserve"> </w:t>
      </w:r>
      <w:r>
        <w:t xml:space="preserve">2015, PMID 25009200). Questo ti autorizza a togliere al referto il potere di sentenza che ha oggi, con un dato e non con una rassicurazione. Non ti autorizza a prenderti il merito del riassorbimento: non è quello che stai trattando.</w:t>
      </w:r>
    </w:p>
    <w:p>
      <w:r>
        <w:pict>
          <v:rect style="width:0;height:1.5pt" o:hralign="center" o:hrstd="t" o:hr="t"/>
        </w:pict>
      </w:r>
    </w:p>
    <w:bookmarkEnd w:id="20"/>
    <w:bookmarkEnd w:id="21"/>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il nervo attraversa tre strette in fila, e ognuna può essere quella che conta.</w:t>
      </w:r>
    </w:p>
    <w:bookmarkStart w:id="22" w:name="X38683db2518b91ec65638f39a24f44eeb9e6d50"/>
    <w:p>
      <w:pPr>
        <w:pStyle w:val="Heading3"/>
      </w:pPr>
      <w:r>
        <w:t xml:space="preserve">La radice nervosa e il suo manicotto durale</w:t>
      </w:r>
    </w:p>
    <w:p>
      <w:pPr>
        <w:pStyle w:val="FirstParagraph"/>
      </w:pPr>
      <w:r>
        <w:rPr>
          <w:b/>
          <w:bCs/>
        </w:rPr>
        <w:t xml:space="preserve">Cos’è.</w:t>
      </w:r>
      <w:r>
        <w:t xml:space="preserve"> </w:t>
      </w:r>
      <w:r>
        <w:t xml:space="preserve">Le fibre che escono dal midollo e diventano nervo periferico. Per un tratto sono avvolte da un prolungamento della dura madre, il</w:t>
      </w:r>
      <w:r>
        <w:t xml:space="preserve"> </w:t>
      </w:r>
      <w:r>
        <w:rPr>
          <w:b/>
          <w:bCs/>
        </w:rPr>
        <w:t xml:space="preserve">manicotto durale</w:t>
      </w:r>
      <w:r>
        <w:t xml:space="preserve">, che le lega alla colonna di liquido del sacco durale. Portano il segnale motorio in giù e quello sensitivo in su.</w:t>
      </w:r>
    </w:p>
    <w:p>
      <w:pPr>
        <w:pStyle w:val="BodyText"/>
      </w:pPr>
      <w:r>
        <w:rPr>
          <w:b/>
          <w:bCs/>
        </w:rPr>
        <w:t xml:space="preserve">Perché conta qui.</w:t>
      </w:r>
      <w:r>
        <w:t xml:space="preserve"> </w:t>
      </w:r>
      <w:r>
        <w:t xml:space="preserve">La radice genera il dolore radicolare. Ed è il motivo per cui tossire, starnutire o spingere in bagno scatena la fitta. Quei tre gesti sono un</w:t>
      </w:r>
      <w:r>
        <w:t xml:space="preserve"> </w:t>
      </w:r>
      <w:r>
        <w:rPr>
          <w:b/>
          <w:bCs/>
        </w:rPr>
        <w:t xml:space="preserve">Valsalva</w:t>
      </w:r>
      <w:r>
        <w:t xml:space="preserve">, cioè una spinta a glottide chiusa: ogni aumento improvviso di pressione nel torace e nell’addome si trasmette al plesso venoso attorno al sacco, che si gonfia.</w:t>
      </w:r>
    </w:p>
    <w:p>
      <w:pPr>
        <w:pStyle w:val="BodyText"/>
      </w:pPr>
      <w:r>
        <w:rPr>
          <w:b/>
          <w:bCs/>
        </w:rPr>
        <w:t xml:space="preserve">Per te:</w:t>
      </w:r>
      <w:r>
        <w:t xml:space="preserve"> </w:t>
      </w:r>
      <w:r>
        <w:t xml:space="preserve">il segno funziona in un verso solo.</w:t>
      </w:r>
      <w:r>
        <w:t xml:space="preserve"> </w:t>
      </w:r>
      <w:r>
        <w:rPr>
          <w:b/>
          <w:bCs/>
        </w:rPr>
        <w:t xml:space="preserve">La tosse che scarica dice dentro il canale. La tosse che non scarica non dice fuori: dice solo che quel segno non c’è</w:t>
      </w:r>
      <w:r>
        <w:t xml:space="preserve">, e moltissimi quadri radicolari intraspinali non ce l’hanno.</w:t>
      </w:r>
    </w:p>
    <w:bookmarkEnd w:id="22"/>
    <w:bookmarkStart w:id="23" w:name="il-ganglio-della-radice-dorsale"/>
    <w:p>
      <w:pPr>
        <w:pStyle w:val="Heading3"/>
      </w:pPr>
      <w:r>
        <w:t xml:space="preserve">Il ganglio della radice dorsale</w:t>
      </w:r>
    </w:p>
    <w:p>
      <w:pPr>
        <w:pStyle w:val="FirstParagraph"/>
      </w:pPr>
      <w:r>
        <w:rPr>
          <w:b/>
          <w:bCs/>
        </w:rPr>
        <w:t xml:space="preserve">Cos’è.</w:t>
      </w:r>
      <w:r>
        <w:t xml:space="preserve"> </w:t>
      </w:r>
      <w:r>
        <w:t xml:space="preserve">Il grappolo di corpi cellulari dei neuroni sensitivi, alloggiato dentro il forame: la centralina dei segnali che salgono dalla gamba.</w:t>
      </w:r>
    </w:p>
    <w:p>
      <w:pPr>
        <w:pStyle w:val="BodyText"/>
      </w:pPr>
      <w:r>
        <w:rPr>
          <w:b/>
          <w:bCs/>
        </w:rPr>
        <w:t xml:space="preserve">Perché conta qui, ed è la chicca.</w:t>
      </w:r>
      <w:r>
        <w:t xml:space="preserve"> </w:t>
      </w:r>
      <w:r>
        <w:t xml:space="preserve">È</w:t>
      </w:r>
      <w:r>
        <w:t xml:space="preserve"> </w:t>
      </w:r>
      <w:r>
        <w:rPr>
          <w:b/>
          <w:bCs/>
        </w:rPr>
        <w:t xml:space="preserve">uno dei punti dove la barriera fra sangue e tessuto nervoso protegge meno</w:t>
      </w:r>
      <w:r>
        <w:t xml:space="preserve">: cellule immunitarie e molecole infiammatorie arrivano lì con una facilità che altrove non hanno. E l’infiammazione, una volta partita,</w:t>
      </w:r>
      <w:r>
        <w:t xml:space="preserve"> </w:t>
      </w:r>
      <w:r>
        <w:rPr>
          <w:b/>
          <w:bCs/>
        </w:rPr>
        <w:t xml:space="preserve">apre la barriera anche dove era chiusa</w:t>
      </w:r>
      <w:r>
        <w:t xml:space="preserve">, al sito di danno assonale, con ulteriore ingresso di cellule immunitarie e rigonfiamento (Schmid, Fundaun e Tampin,</w:t>
      </w:r>
      <w:r>
        <w:t xml:space="preserve"> </w:t>
      </w:r>
      <w:r>
        <w:rPr>
          <w:i/>
          <w:iCs/>
        </w:rPr>
        <w:t xml:space="preserve">Pain Rep</w:t>
      </w:r>
      <w:r>
        <w:t xml:space="preserve"> </w:t>
      </w:r>
      <w:r>
        <w:t xml:space="preserve">2020, PMID 32766466). È il motivo per cui il processo si alimenta da solo e non si spegne in pochi giorni.</w:t>
      </w:r>
    </w:p>
    <w:p>
      <w:pPr>
        <w:pStyle w:val="BodyText"/>
      </w:pPr>
      <w:r>
        <w:t xml:space="preserve">Nel ratto, una compressione lieve e progressiva del nervo sciatico produce infiltrazione di macrofagi e linfociti</w:t>
      </w:r>
      <w:r>
        <w:t xml:space="preserve"> </w:t>
      </w:r>
      <w:r>
        <w:rPr>
          <w:b/>
          <w:bCs/>
        </w:rPr>
        <w:t xml:space="preserve">anche nel ganglio, e non solo nel punto compresso</w:t>
      </w:r>
      <w:r>
        <w:t xml:space="preserve">. Compaiono anche perdita di mielina e ipersensibilità (Schmid e Coppieters,</w:t>
      </w:r>
      <w:r>
        <w:t xml:space="preserve"> </w:t>
      </w:r>
      <w:r>
        <w:rPr>
          <w:i/>
          <w:iCs/>
        </w:rPr>
        <w:t xml:space="preserve">J Neuropathol Exp Neurol</w:t>
      </w:r>
      <w:r>
        <w:t xml:space="preserve"> </w:t>
      </w:r>
      <w:r>
        <w:t xml:space="preserve">2013, PMID 23771220). Resta un dato di ratto.</w:t>
      </w:r>
    </w:p>
    <w:p>
      <w:pPr>
        <w:pStyle w:val="BodyText"/>
      </w:pPr>
      <w:r>
        <w:rPr>
          <w:b/>
          <w:bCs/>
        </w:rPr>
        <w:t xml:space="preserve">Per te:</w:t>
      </w:r>
      <w:r>
        <w:t xml:space="preserve"> </w:t>
      </w:r>
      <w:r>
        <w:t xml:space="preserve">l’infiammazione che arriva al ganglio spiega perché una gamba fa male tutta, in modo continuo e bruciante, quando in risonanza il contatto è in un punto solo. Ed è il motivo per cui un’ernia piccola può fare più male di una grossa.</w:t>
      </w:r>
    </w:p>
    <w:bookmarkEnd w:id="23"/>
    <w:bookmarkStart w:id="24" w:name="X4d889af8c129595fd78623e36675fd7dc615841"/>
    <w:p>
      <w:pPr>
        <w:pStyle w:val="Heading3"/>
      </w:pPr>
      <w:r>
        <w:t xml:space="preserve">I territori, i muscoli indicatori e i riflessi</w:t>
      </w:r>
    </w:p>
    <w:p>
      <w:pPr>
        <w:pStyle w:val="FirstParagraph"/>
      </w:pPr>
      <w:r>
        <w:rPr>
          <w:b/>
          <w:bCs/>
        </w:rPr>
        <w:t xml:space="preserve">Cos’è.</w:t>
      </w:r>
      <w:r>
        <w:t xml:space="preserve"> </w:t>
      </w:r>
      <w:r>
        <w:t xml:space="preserve">La mappa che serve per tre cose: verificare se il livello del referto corrisponde al territorio del sintomo, scrivere in cartella come stanno forza e sensibilità, mappare prima di mandare.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Radice</w:t>
            </w:r>
          </w:p>
        </w:tc>
        <w:tc>
          <w:tcPr/>
          <w:p>
            <w:pPr>
              <w:pStyle w:val="Compact"/>
            </w:pPr>
            <w:r>
              <w:t xml:space="preserve">Sensibilità</w:t>
            </w:r>
          </w:p>
        </w:tc>
        <w:tc>
          <w:tcPr/>
          <w:p>
            <w:pPr>
              <w:pStyle w:val="Compact"/>
            </w:pPr>
            <w:r>
              <w:t xml:space="preserve">Muscolo indicatore</w:t>
            </w:r>
          </w:p>
        </w:tc>
        <w:tc>
          <w:tcPr/>
          <w:p>
            <w:pPr>
              <w:pStyle w:val="Compact"/>
            </w:pPr>
            <w:r>
              <w:t xml:space="preserve">Riflesso</w:t>
            </w:r>
          </w:p>
        </w:tc>
      </w:tr>
      <w:tr>
        <w:tc>
          <w:tcPr/>
          <w:p>
            <w:pPr>
              <w:pStyle w:val="Compact"/>
            </w:pPr>
            <w:r>
              <w:t xml:space="preserve">L4</w:t>
            </w:r>
          </w:p>
        </w:tc>
        <w:tc>
          <w:tcPr/>
          <w:p>
            <w:pPr>
              <w:pStyle w:val="Compact"/>
            </w:pPr>
            <w:r>
              <w:t xml:space="preserve">Faccia mediale della gamba</w:t>
            </w:r>
          </w:p>
        </w:tc>
        <w:tc>
          <w:tcPr/>
          <w:p>
            <w:pPr>
              <w:pStyle w:val="Compact"/>
            </w:pPr>
            <w:r>
              <w:t xml:space="preserve">Quadricipite</w:t>
            </w:r>
          </w:p>
        </w:tc>
        <w:tc>
          <w:tcPr/>
          <w:p>
            <w:pPr>
              <w:pStyle w:val="Compact"/>
            </w:pPr>
            <w:r>
              <w:t xml:space="preserve">Rotuleo</w:t>
            </w:r>
          </w:p>
        </w:tc>
      </w:tr>
      <w:tr>
        <w:tc>
          <w:tcPr/>
          <w:p>
            <w:pPr>
              <w:pStyle w:val="Compact"/>
            </w:pPr>
            <w:r>
              <w:t xml:space="preserve">L5</w:t>
            </w:r>
          </w:p>
        </w:tc>
        <w:tc>
          <w:tcPr/>
          <w:p>
            <w:pPr>
              <w:pStyle w:val="Compact"/>
            </w:pPr>
            <w:r>
              <w:t xml:space="preserve">Dorso del piede e alluce</w:t>
            </w:r>
          </w:p>
        </w:tc>
        <w:tc>
          <w:tcPr/>
          <w:p>
            <w:pPr>
              <w:pStyle w:val="Compact"/>
            </w:pPr>
            <w:r>
              <w:t xml:space="preserve">Estensore dell’alluce, tibiale anteriore</w:t>
            </w:r>
          </w:p>
        </w:tc>
        <w:tc>
          <w:tcPr/>
          <w:p>
            <w:pPr>
              <w:pStyle w:val="Compact"/>
            </w:pPr>
            <w:r>
              <w:t xml:space="preserve">Nessuno</w:t>
            </w:r>
          </w:p>
        </w:tc>
      </w:tr>
      <w:tr>
        <w:tc>
          <w:tcPr/>
          <w:p>
            <w:pPr>
              <w:pStyle w:val="Compact"/>
            </w:pPr>
            <w:r>
              <w:t xml:space="preserve">S1</w:t>
            </w:r>
          </w:p>
        </w:tc>
        <w:tc>
          <w:tcPr/>
          <w:p>
            <w:pPr>
              <w:pStyle w:val="Compact"/>
            </w:pPr>
            <w:r>
              <w:t xml:space="preserve">Pianta, tallone, quinto dito</w:t>
            </w:r>
          </w:p>
        </w:tc>
        <w:tc>
          <w:tcPr/>
          <w:p>
            <w:pPr>
              <w:pStyle w:val="Compact"/>
            </w:pPr>
            <w:r>
              <w:t xml:space="preserve">Flessori plantari</w:t>
            </w:r>
          </w:p>
        </w:tc>
        <w:tc>
          <w:tcPr/>
          <w:p>
            <w:pPr>
              <w:pStyle w:val="Compact"/>
            </w:pPr>
            <w:r>
              <w:t xml:space="preserve">Achilleo</w:t>
            </w:r>
          </w:p>
        </w:tc>
      </w:tr>
    </w:tbl>
    <w:p>
      <w:pPr>
        <w:pStyle w:val="BodyText"/>
      </w:pPr>
      <w:r>
        <w:rPr>
          <w:b/>
          <w:bCs/>
        </w:rPr>
        <w:t xml:space="preserve">Come si misurano.</w:t>
      </w:r>
      <w:r>
        <w:t xml:space="preserve"> </w:t>
      </w:r>
      <w:r>
        <w:t xml:space="preserve">Sensibilità: tocco leggero e puntura, confronto lato-lato</w:t>
      </w:r>
      <w:r>
        <w:t xml:space="preserve"> </w:t>
      </w:r>
      <w:r>
        <w:rPr>
          <w:b/>
          <w:bCs/>
        </w:rPr>
        <w:t xml:space="preserve">e</w:t>
      </w:r>
      <w:r>
        <w:t xml:space="preserve"> </w:t>
      </w:r>
      <w:r>
        <w:t xml:space="preserve">con l’arto superiore. Forza: gradazione MRC, cioè la scala a sei gradi da 0 a 5, sempre sullo stesso muscolo e sempre scritta. Riflessi: confronto lato-lato.</w:t>
      </w:r>
    </w:p>
    <w:p>
      <w:pPr>
        <w:pStyle w:val="BodyText"/>
      </w:pPr>
      <w:r>
        <w:rPr>
          <w:b/>
          <w:bCs/>
        </w:rPr>
        <w:t xml:space="preserve">Per te, ed è la regola di lettura.</w:t>
      </w:r>
      <w:r>
        <w:t xml:space="preserve"> </w:t>
      </w:r>
      <w:r>
        <w:t xml:space="preserve">Un deficit</w:t>
      </w:r>
      <w:r>
        <w:t xml:space="preserve"> </w:t>
      </w:r>
      <w:r>
        <w:rPr>
          <w:b/>
          <w:bCs/>
        </w:rPr>
        <w:t xml:space="preserve">stabile, in un solo territorio, con forza conservata</w:t>
      </w:r>
      <w:r>
        <w:t xml:space="preserve"> </w:t>
      </w:r>
      <w:r>
        <w:t xml:space="preserve">è un dato prognostico: si scrive, si comunica, si lavora in parallelo. Un deficit</w:t>
      </w:r>
      <w:r>
        <w:t xml:space="preserve"> </w:t>
      </w:r>
      <w:r>
        <w:rPr>
          <w:b/>
          <w:bCs/>
        </w:rPr>
        <w:t xml:space="preserve">motorio obiettivo</w:t>
      </w:r>
      <w:r>
        <w:t xml:space="preserve"> </w:t>
      </w:r>
      <w:r>
        <w:t xml:space="preserve">è invece un’uscita, e così un’ipoestesia che</w:t>
      </w:r>
      <w:r>
        <w:t xml:space="preserve"> </w:t>
      </w:r>
      <w:r>
        <w:rPr>
          <w:b/>
          <w:bCs/>
        </w:rPr>
        <w:t xml:space="preserve">si estende</w:t>
      </w:r>
      <w:r>
        <w:t xml:space="preserve"> </w:t>
      </w:r>
      <w:r>
        <w:t xml:space="preserve">o compare</w:t>
      </w:r>
      <w:r>
        <w:t xml:space="preserve"> </w:t>
      </w:r>
      <w:r>
        <w:rPr>
          <w:b/>
          <w:bCs/>
        </w:rPr>
        <w:t xml:space="preserve">bilaterale</w:t>
      </w:r>
      <w:r>
        <w:t xml:space="preserve">. Il bilaterale in un quadro unilaterale non è un raddoppio del problema: è un segno di meccanismo centrale (PMID 32766466).</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l’anatomia dei territori, delle radici e dei riflessi, che è descrittiva e consolidata.</w:t>
      </w:r>
      <w:r>
        <w:t xml:space="preserve"> </w:t>
      </w:r>
      <w:r>
        <w:rPr>
          <w:b/>
          <w:bCs/>
        </w:rPr>
        <w:t xml:space="preserve">RAGIONAMENTO</w:t>
      </w:r>
      <w:r>
        <w:rPr>
          <w:b/>
          <w:bCs/>
        </w:rPr>
        <w:t xml:space="preserve"> </w:t>
      </w:r>
      <w:r>
        <w:rPr>
          <w:b/>
          <w:bCs/>
          <w:i/>
          <w:iCs/>
        </w:rPr>
        <w:t xml:space="preserve">(cornice clinica, non una prova)</w:t>
      </w:r>
      <w:r>
        <w:t xml:space="preserve"> </w:t>
      </w:r>
      <w:r>
        <w:t xml:space="preserve">per la regola di lettura del deficit.</w:t>
      </w:r>
    </w:p>
    <w:bookmarkEnd w:id="24"/>
    <w:bookmarkStart w:id="25" w:name="Xeacf0e682ff3a9515533e43ce09e1df5938c493"/>
    <w:p>
      <w:pPr>
        <w:pStyle w:val="Heading3"/>
      </w:pPr>
      <w:r>
        <w:t xml:space="preserve">Il forame di coniugazione e il recesso laterale</w:t>
      </w:r>
    </w:p>
    <w:p>
      <w:pPr>
        <w:pStyle w:val="FirstParagraph"/>
      </w:pPr>
      <w:r>
        <w:rPr>
          <w:b/>
          <w:bCs/>
        </w:rPr>
        <w:t xml:space="preserve">Cos’è.</w:t>
      </w:r>
      <w:r>
        <w:t xml:space="preserve"> </w:t>
      </w:r>
      <w:r>
        <w:t xml:space="preserve">Le due porte da cui la radice esce. Ospitano anche il ganglio, i vasi e il grasso.</w:t>
      </w:r>
    </w:p>
    <w:p>
      <w:pPr>
        <w:pStyle w:val="BodyText"/>
      </w:pPr>
      <w:r>
        <w:rPr>
          <w:b/>
          <w:bCs/>
        </w:rPr>
        <w:t xml:space="preserve">Perché conta qui.</w:t>
      </w:r>
      <w:r>
        <w:t xml:space="preserve"> </w:t>
      </w:r>
      <w:r>
        <w:t xml:space="preserve">Il loro volume si riduce in estensione e aumenta in flessione. È il motivo per cui il paziente con stenosi del recesso sta meglio curvo in avanti, e quello con dolore discale spesso sta peggio.</w:t>
      </w:r>
    </w:p>
    <w:bookmarkEnd w:id="25"/>
    <w:bookmarkStart w:id="26" w:name="i-vasi-dentro-il-nervo"/>
    <w:p>
      <w:pPr>
        <w:pStyle w:val="Heading3"/>
      </w:pPr>
      <w:r>
        <w:t xml:space="preserve">I vasi dentro il nervo</w:t>
      </w:r>
    </w:p>
    <w:p>
      <w:pPr>
        <w:pStyle w:val="FirstParagraph"/>
      </w:pPr>
      <w:r>
        <w:rPr>
          <w:b/>
          <w:bCs/>
        </w:rPr>
        <w:t xml:space="preserve">Cos’è.</w:t>
      </w:r>
      <w:r>
        <w:t xml:space="preserve"> </w:t>
      </w:r>
      <w:r>
        <w:t xml:space="preserve">La rete di vasi dentro e attorno ai fascicoli. Nutre un tessuto che consuma molto e non ha riserve.</w:t>
      </w:r>
    </w:p>
    <w:p>
      <w:pPr>
        <w:pStyle w:val="BodyText"/>
      </w:pPr>
      <w:r>
        <w:rPr>
          <w:b/>
          <w:bCs/>
        </w:rPr>
        <w:t xml:space="preserve">Perché conta qui.</w:t>
      </w:r>
      <w:r>
        <w:t xml:space="preserve"> </w:t>
      </w:r>
      <w:r>
        <w:t xml:space="preserve">Il flusso si interrompe a pressioni bassissime: sul nervo tibiale di coniglio il deflusso venoso è già disturbato a</w:t>
      </w:r>
      <w:r>
        <w:t xml:space="preserve"> </w:t>
      </w:r>
      <w:r>
        <w:rPr>
          <w:b/>
          <w:bCs/>
        </w:rPr>
        <w:t xml:space="preserve">20-30 mmHg</w:t>
      </w:r>
      <w:r>
        <w:t xml:space="preserve"> </w:t>
      </w:r>
      <w:r>
        <w:t xml:space="preserve">(Rydevik,</w:t>
      </w:r>
      <w:r>
        <w:t xml:space="preserve"> </w:t>
      </w:r>
      <w:r>
        <w:rPr>
          <w:i/>
          <w:iCs/>
        </w:rPr>
        <w:t xml:space="preserve">J Hand Surg Am</w:t>
      </w:r>
      <w:r>
        <w:t xml:space="preserve"> </w:t>
      </w:r>
      <w:r>
        <w:t xml:space="preserve">1981, PMID 7204915).</w:t>
      </w:r>
    </w:p>
    <w:p>
      <w:pPr>
        <w:pStyle w:val="BodyText"/>
      </w:pPr>
      <w:r>
        <w:rPr>
          <w:b/>
          <w:bCs/>
        </w:rPr>
        <w:t xml:space="preserve">Per te:</w:t>
      </w:r>
      <w:r>
        <w:t xml:space="preserve"> </w:t>
      </w:r>
      <w:r>
        <w:t xml:space="preserve">non serve uno schiacciamento importante per far soffrire un nervo. Serve una pressione modesta mantenuta. È il razionale per cui una posizione tenuta due ore conta quanto un gesto brusco.</w:t>
      </w:r>
    </w:p>
    <w:bookmarkEnd w:id="26"/>
    <w:bookmarkStart w:id="27" w:name="il-tessuto-di-scorrimento-del-nervo"/>
    <w:p>
      <w:pPr>
        <w:pStyle w:val="Heading3"/>
      </w:pPr>
      <w:r>
        <w:t xml:space="preserve">Il tessuto di scorrimento del nervo</w:t>
      </w:r>
    </w:p>
    <w:p>
      <w:pPr>
        <w:pStyle w:val="FirstParagraph"/>
      </w:pPr>
      <w:r>
        <w:rPr>
          <w:b/>
          <w:bCs/>
        </w:rPr>
        <w:t xml:space="preserve">Cos’è.</w:t>
      </w:r>
      <w:r>
        <w:t xml:space="preserve"> </w:t>
      </w:r>
      <w:r>
        <w:t xml:space="preserve">Lo strato lasso di connettivo che avvolge il tronco nervoso e gli permette di</w:t>
      </w:r>
      <w:r>
        <w:t xml:space="preserve"> </w:t>
      </w:r>
      <w:r>
        <w:rPr>
          <w:b/>
          <w:bCs/>
        </w:rPr>
        <w:t xml:space="preserve">scorrere longitudinalmente</w:t>
      </w:r>
      <w:r>
        <w:t xml:space="preserve"> </w:t>
      </w:r>
      <w:r>
        <w:t xml:space="preserve">invece di allungarsi. Un nervo che scorre non si tende. È il cassetto che va sulle sue guide: finché scorre, non devi mai forzarlo.</w:t>
      </w:r>
    </w:p>
    <w:p>
      <w:pPr>
        <w:pStyle w:val="BodyText"/>
      </w:pPr>
      <w:r>
        <w:rPr>
          <w:b/>
          <w:bCs/>
        </w:rPr>
        <w:t xml:space="preserve">Perché conta qui.</w:t>
      </w:r>
      <w:r>
        <w:t xml:space="preserve"> </w:t>
      </w:r>
      <w:r>
        <w:t xml:space="preserve">Alla prova sperimentale i due gesti non sono equivalenti. Nel cadavere, una tecnica che allunga il nervo da un capo e lo accorcia dall’altro produce un’escursione di 12,6 mm al polso, con una variazione di tensione molto minore. Una tecnica che tende entrambi i capi ne produce 6,1 mm (Coppieters e Butler,</w:t>
      </w:r>
      <w:r>
        <w:t xml:space="preserve"> </w:t>
      </w:r>
      <w:r>
        <w:rPr>
          <w:i/>
          <w:iCs/>
        </w:rPr>
        <w:t xml:space="preserve">Man Ther</w:t>
      </w:r>
      <w:r>
        <w:t xml:space="preserve"> </w:t>
      </w:r>
      <w:r>
        <w:t xml:space="preserve">2008, PMID 17398140). Lungo l’arto inferiore la forza si trasmette ben oltre l’articolazione che muovi: la dorsiflessione della caviglia produce tensione e scorrimento fino al nervo tibiale, a SLR fermo (Coppieters,</w:t>
      </w:r>
      <w:r>
        <w:t xml:space="preserve"> </w:t>
      </w:r>
      <w:r>
        <w:rPr>
          <w:i/>
          <w:iCs/>
        </w:rPr>
        <w:t xml:space="preserve">J Orthop Res</w:t>
      </w:r>
      <w:r>
        <w:t xml:space="preserve"> </w:t>
      </w:r>
      <w:r>
        <w:t xml:space="preserve">2006, PMID 16838375).</w:t>
      </w:r>
    </w:p>
    <w:p>
      <w:pPr>
        <w:pStyle w:val="BodyText"/>
      </w:pPr>
      <w:r>
        <w:rPr>
          <w:b/>
          <w:bCs/>
        </w:rPr>
        <w:t xml:space="preserve">E qui serve l’ordine di grandezza vero, perché quello del cadavere inganna.</w:t>
      </w:r>
      <w:r>
        <w:t xml:space="preserve"> </w:t>
      </w:r>
      <w:r>
        <w:t xml:space="preserve">Sullo sciatico, in persone vive, l’ecografia misura escursioni molto più piccole. Alla coscia posteriore uno</w:t>
      </w:r>
      <w:r>
        <w:t xml:space="preserve"> </w:t>
      </w:r>
      <w:r>
        <w:rPr>
          <w:i/>
          <w:iCs/>
        </w:rPr>
        <w:t xml:space="preserve">slider</w:t>
      </w:r>
      <w:r>
        <w:t xml:space="preserve"> </w:t>
      </w:r>
      <w:r>
        <w:t xml:space="preserve">sposta il nervo di</w:t>
      </w:r>
      <w:r>
        <w:t xml:space="preserve"> </w:t>
      </w:r>
      <w:r>
        <w:rPr>
          <w:b/>
          <w:bCs/>
        </w:rPr>
        <w:t xml:space="preserve">3,2 ± 2,0 mm</w:t>
      </w:r>
      <w:r>
        <w:t xml:space="preserve">, contro i</w:t>
      </w:r>
      <w:r>
        <w:t xml:space="preserve"> </w:t>
      </w:r>
      <w:r>
        <w:rPr>
          <w:b/>
          <w:bCs/>
        </w:rPr>
        <w:t xml:space="preserve">2,6 ± 1,5 mm</w:t>
      </w:r>
      <w:r>
        <w:t xml:space="preserve"> </w:t>
      </w:r>
      <w:r>
        <w:t xml:space="preserve">di un</w:t>
      </w:r>
      <w:r>
        <w:t xml:space="preserve"> </w:t>
      </w:r>
      <w:r>
        <w:rPr>
          <w:i/>
          <w:iCs/>
        </w:rPr>
        <w:t xml:space="preserve">tensioner</w:t>
      </w:r>
      <w:r>
        <w:t xml:space="preserve">, in 31 volontari sani. La sola flessione del collo non sposta nulla (Ellis,</w:t>
      </w:r>
      <w:r>
        <w:t xml:space="preserve"> </w:t>
      </w:r>
      <w:r>
        <w:rPr>
          <w:i/>
          <w:iCs/>
        </w:rPr>
        <w:t xml:space="preserve">J Orthop Sports Phys Ther</w:t>
      </w:r>
      <w:r>
        <w:t xml:space="preserve"> </w:t>
      </w:r>
      <w:r>
        <w:t xml:space="preserve">2012, PMID 22711174). La sola dorsiflessione di caviglia produce uno scorrimento distale di</w:t>
      </w:r>
      <w:r>
        <w:t xml:space="preserve"> </w:t>
      </w:r>
      <w:r>
        <w:rPr>
          <w:b/>
          <w:bCs/>
        </w:rPr>
        <w:t xml:space="preserve">0,7-1,6 mm</w:t>
      </w:r>
      <w:r>
        <w:t xml:space="preserve"> </w:t>
      </w:r>
      <w:r>
        <w:t xml:space="preserve">a ginocchio esteso, in 27 volontari sani (Alshami,</w:t>
      </w:r>
      <w:r>
        <w:t xml:space="preserve"> </w:t>
      </w:r>
      <w:r>
        <w:rPr>
          <w:i/>
          <w:iCs/>
        </w:rPr>
        <w:t xml:space="preserve">J Ultrasound</w:t>
      </w:r>
      <w:r>
        <w:t xml:space="preserve"> </w:t>
      </w:r>
      <w:r>
        <w:t xml:space="preserve">2022, PMID 34036554).</w:t>
      </w:r>
      <w:r>
        <w:t xml:space="preserve"> </w:t>
      </w:r>
      <w:r>
        <w:rPr>
          <w:b/>
          <w:bCs/>
        </w:rPr>
        <w:t xml:space="preserve">Dodici millimetri sono il nervo mediano, al polso, in un cadavere; sullo sciatico, in persone vive, sono tre.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w:t>
      </w:r>
      <w:r>
        <w:t xml:space="preserve"> </w:t>
      </w:r>
      <w:r>
        <w:rPr>
          <w:b/>
          <w:bCs/>
        </w:rPr>
        <w:t xml:space="preserve">meccanismo</w:t>
      </w:r>
      <w:r>
        <w:t xml:space="preserve">: uno scorrimento longitudinale dello sciatico esiste, è misurabile e cambia con il gesto.</w:t>
      </w:r>
      <w:r>
        <w:t xml:space="preserve"> </w:t>
      </w:r>
      <w:r>
        <w:rPr>
          <w:b/>
          <w:bCs/>
        </w:rPr>
        <w:t xml:space="preserve">Misurato in volontari sani, con l’ecografia, sul nervo che scorre — non su pazienti con dolore radicolare, e senza nessun esito clinico: nessuno ha misurato se recuperare quei millimetri cambi un sintomo.</w:t>
      </w:r>
      <w:r>
        <w:t xml:space="preserve"> </w:t>
      </w:r>
      <w:r>
        <w:t xml:space="preserve">Nessun effetto sull’etichetta della leva.</w:t>
      </w:r>
    </w:p>
    <w:p>
      <w:pPr>
        <w:pStyle w:val="BlockText"/>
      </w:pPr>
      <w:r>
        <w:rPr>
          <w:b/>
          <w:bCs/>
        </w:rPr>
        <w:t xml:space="preserve">Attenzione.</w:t>
      </w:r>
      <w:r>
        <w:t xml:space="preserve"> </w:t>
      </w:r>
      <w:r>
        <w:t xml:space="preserve">La differenza fra i due gesti non è solo di efficacia.</w:t>
      </w:r>
      <w:r>
        <w:t xml:space="preserve"> </w:t>
      </w:r>
      <w:r>
        <w:rPr>
          <w:b/>
          <w:bCs/>
        </w:rPr>
        <w:t xml:space="preserve">Nel nervo acutamente irritabile è la tensione, non lo scorrimento, la modalità che riaccende il quadro.</w:t>
      </w:r>
      <w:r>
        <w:t xml:space="preserve"> </w:t>
      </w:r>
      <w:r>
        <w:t xml:space="preserve">Fra i trattamenti conservativi meccanici nella radicolopatia da ernia, gli eventi avversi documentati comprendono dolore e debolezza dell’arto inferiore (Hahne,</w:t>
      </w:r>
      <w:r>
        <w:t xml:space="preserve"> </w:t>
      </w:r>
      <w:r>
        <w:rPr>
          <w:i/>
          <w:iCs/>
        </w:rPr>
        <w:t xml:space="preserve">Spine</w:t>
      </w:r>
      <w:r>
        <w:t xml:space="preserve"> </w:t>
      </w:r>
      <w:r>
        <w:t xml:space="preserve">2010, PMID 20421859). La scelta fra scorrimento e tensione è prima di tutto una scelta di sicurezza. Il come e il quando stanno nella Procedura.</w:t>
      </w:r>
    </w:p>
    <w:bookmarkEnd w:id="27"/>
    <w:bookmarkStart w:id="28" w:name="lo-spazio-gluteo-profondo"/>
    <w:p>
      <w:pPr>
        <w:pStyle w:val="Heading3"/>
      </w:pPr>
      <w:r>
        <w:t xml:space="preserve">Lo spazio gluteo profondo</w:t>
      </w:r>
    </w:p>
    <w:p>
      <w:pPr>
        <w:pStyle w:val="FirstParagraph"/>
      </w:pPr>
      <w:r>
        <w:rPr>
          <w:b/>
          <w:bCs/>
        </w:rPr>
        <w:t xml:space="preserve">Cos’è.</w:t>
      </w:r>
      <w:r>
        <w:t xml:space="preserve"> </w:t>
      </w:r>
      <w:r>
        <w:t xml:space="preserve">Il compartimento fra grande gluteo e rotatori profondi. Lì lo sciatico scorre fra piriforme, gemelli, otturatore e ischio, uscendo dal bacino.</w:t>
      </w:r>
    </w:p>
    <w:p>
      <w:pPr>
        <w:pStyle w:val="BodyText"/>
      </w:pPr>
      <w:r>
        <w:rPr>
          <w:b/>
          <w:bCs/>
        </w:rPr>
        <w:t xml:space="preserve">Perché conta qui.</w:t>
      </w:r>
      <w:r>
        <w:t xml:space="preserve"> </w:t>
      </w:r>
      <w:r>
        <w:t xml:space="preserve">È la seconda strettoia della strada, e l’unica che le tue mani raggiungono direttamente. Su 6.062 cadaveri di 18 studi, il 16,9% ha una variante anatomica: il nervo o una sua parte attraversa il muscolo o gli passa sopra (Smoll,</w:t>
      </w:r>
      <w:r>
        <w:t xml:space="preserve"> </w:t>
      </w:r>
      <w:r>
        <w:rPr>
          <w:i/>
          <w:iCs/>
        </w:rPr>
        <w:t xml:space="preserve">Clin Anat</w:t>
      </w:r>
      <w:r>
        <w:t xml:space="preserve"> </w:t>
      </w:r>
      <w:r>
        <w:t xml:space="preserve">2010, PMID 19998490).</w:t>
      </w:r>
    </w:p>
    <w:p>
      <w:pPr>
        <w:pStyle w:val="BlockText"/>
      </w:pPr>
      <w:r>
        <w:rPr>
          <w:b/>
          <w:bCs/>
        </w:rPr>
        <w:t xml:space="preserve">Attenzione.</w:t>
      </w:r>
      <w:r>
        <w:t xml:space="preserve"> </w:t>
      </w:r>
      <w:r>
        <w:t xml:space="preserve">Quello che c’è sotto la tua mano qui è</w:t>
      </w:r>
      <w:r>
        <w:t xml:space="preserve"> </w:t>
      </w:r>
      <w:r>
        <w:rPr>
          <w:b/>
          <w:bCs/>
        </w:rPr>
        <w:t xml:space="preserve">il tronco nervoso</w:t>
      </w:r>
      <w:r>
        <w:t xml:space="preserve">, non un muscolo con un nervo accanto: in quasi due persone su dieci lo attraversa (PMID 19998490). E la stessa pressione modesta e mantenuta che spiega il guasto — 20-30 mmHg (PMID 7204915) — la produce un pollice. La riproduzione del punto dolente è un test di pochi secondi;</w:t>
      </w:r>
      <w:r>
        <w:t xml:space="preserve"> </w:t>
      </w:r>
      <w:r>
        <w:rPr>
          <w:b/>
          <w:bCs/>
        </w:rPr>
        <w:t xml:space="preserve">la compressione tenuta sul nervo non è una leva terapeutica.</w:t>
      </w:r>
    </w:p>
    <w:p>
      <w:pPr>
        <w:pStyle w:val="FirstParagraph"/>
      </w:pPr>
      <w:r>
        <w:rPr>
          <w:b/>
          <w:bCs/>
        </w:rPr>
        <w:t xml:space="preserve">Le tre cose da ricordare, più una</w:t>
      </w:r>
    </w:p>
    <w:p>
      <w:pPr>
        <w:pStyle w:val="Compact"/>
        <w:numPr>
          <w:ilvl w:val="0"/>
          <w:numId w:val="1008"/>
        </w:numPr>
      </w:pPr>
      <w:r>
        <w:t xml:space="preserve">Il ganglio è dentro il forame ed è mal protetto dal sangue: è lì che l’infiammazione entra, e una volta entrata apre la barriera anche altrove.</w:t>
      </w:r>
    </w:p>
    <w:p>
      <w:pPr>
        <w:pStyle w:val="Compact"/>
        <w:numPr>
          <w:ilvl w:val="0"/>
          <w:numId w:val="1008"/>
        </w:numPr>
      </w:pPr>
      <w:r>
        <w:t xml:space="preserve">Bastano 20-30 mmHg per disturbare il nutrimento del nervo: la pressione modesta e mantenuta conta quanto il trauma — anche quando è la tua.</w:t>
      </w:r>
    </w:p>
    <w:p>
      <w:pPr>
        <w:pStyle w:val="Compact"/>
        <w:numPr>
          <w:ilvl w:val="0"/>
          <w:numId w:val="1008"/>
        </w:numPr>
      </w:pPr>
      <w:r>
        <w:t xml:space="preserve">Un nervo sano scorre invece di allungarsi, e lo scorrimento si perde prima della lunghezza.</w:t>
      </w:r>
    </w:p>
    <w:p>
      <w:pPr>
        <w:pStyle w:val="Compact"/>
        <w:numPr>
          <w:ilvl w:val="0"/>
          <w:numId w:val="1008"/>
        </w:numPr>
      </w:pPr>
      <w:r>
        <w:rPr>
          <w:b/>
          <w:bCs/>
        </w:rPr>
        <w:t xml:space="preserve">Perché ci sei tu.</w:t>
      </w:r>
      <w:r>
        <w:t xml:space="preserve"> </w:t>
      </w:r>
      <w:r>
        <w:t xml:space="preserve">Quasi due persone su dieci hanno un rapporto fra nervo sciatico e piriforme diverso da quello del libro: 16,9% su 6.062 cadaveri (Smoll,</w:t>
      </w:r>
      <w:r>
        <w:t xml:space="preserve"> </w:t>
      </w:r>
      <w:r>
        <w:rPr>
          <w:i/>
          <w:iCs/>
        </w:rPr>
        <w:t xml:space="preserve">Clin Anat</w:t>
      </w:r>
      <w:r>
        <w:t xml:space="preserve"> </w:t>
      </w:r>
      <w:r>
        <w:t xml:space="preserve">2010, PMID 19998490). Questo ti autorizza a esaminare lo spazio gluteo profondo prima di concludere che il problema sia solo lombare. Non ti autorizza a diagnosticare una sindrome del piriforme: gli stessi autori concludono che la variante è ugualmente comune in chi non ha sintomi, e probabilmente meno patogena di quanto si credesse.</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nervo sano non è teso e non è fermo: scorre dentro la sua strada, e la strada gli lascia spazio in ogni posizione.</w:t>
      </w:r>
    </w:p>
    <w:p>
      <w:pPr>
        <w:pStyle w:val="FirstParagraph"/>
      </w:pPr>
      <w:r>
        <w:t xml:space="preserve">Il sistema che si guasta nella sciatalgia funziona così.</w:t>
      </w:r>
    </w:p>
    <w:p>
      <w:pPr>
        <w:pStyle w:val="Compact"/>
        <w:numPr>
          <w:ilvl w:val="0"/>
          <w:numId w:val="1009"/>
        </w:numPr>
      </w:pPr>
      <w:r>
        <w:rPr>
          <w:b/>
          <w:bCs/>
        </w:rPr>
        <w:t xml:space="preserve">La radice esce dal sacco durale e attraversa il recesso e il forame.</w:t>
      </w:r>
      <w:r>
        <w:t xml:space="preserve"> </w:t>
      </w:r>
      <w:r>
        <w:t xml:space="preserve">Riceve sangue da vasi a bassa pressione, si unisce alle altre radici e scende dietro la coscia, fino a dividersi verso polpaccio e piede. Ovunque il grasso e i vasi fanno da cuscinetto, e quei vasi tollerano poco schiacciamento perché non hanno vie alternative.</w:t>
      </w:r>
    </w:p>
    <w:p>
      <w:pPr>
        <w:pStyle w:val="Compact"/>
        <w:numPr>
          <w:ilvl w:val="0"/>
          <w:numId w:val="1009"/>
        </w:numPr>
      </w:pPr>
      <w:r>
        <w:rPr>
          <w:b/>
          <w:bCs/>
        </w:rPr>
        <w:t xml:space="preserve">Quando ti muovi, il nervo scorre.</w:t>
      </w:r>
      <w:r>
        <w:t xml:space="preserve"> </w:t>
      </w:r>
      <w:r>
        <w:t xml:space="preserve">Fletti l’anca a ginocchio esteso e il nervo risale lungo la coscia. Muovi la caviglia e la trazione arriva fin lassù. Lo scorrimento è il modo in cui il sistema evita la tensione: prima si sposta, e solo dopo si allunga.</w:t>
      </w:r>
    </w:p>
    <w:p>
      <w:pPr>
        <w:pStyle w:val="Compact"/>
        <w:numPr>
          <w:ilvl w:val="0"/>
          <w:numId w:val="1009"/>
        </w:numPr>
      </w:pPr>
      <w:r>
        <w:rPr>
          <w:b/>
          <w:bCs/>
        </w:rPr>
        <w:t xml:space="preserve">Il liquido dentro il sacco durale assorbe le pressioni.</w:t>
      </w:r>
      <w:r>
        <w:t xml:space="preserve"> </w:t>
      </w:r>
      <w:r>
        <w:t xml:space="preserve">Quando tossisci la pressione sale e si distribuisce: il sistema è progettato per reggerla. Come una bottiglia piena che stringi: la spinta si spartisce, e nessun punto se la prende tutta.</w:t>
      </w:r>
    </w:p>
    <w:p>
      <w:pPr>
        <w:pStyle w:val="FirstParagraph"/>
      </w:pPr>
      <w:r>
        <w:t xml:space="preserve">Il risultato è un nervo che nessuna posizione mette in difficoltà. Ti siedi, ti pieghi, ti allacci le scarpe, tossisci, e il nervo ha sempre un po’ di gioco da spendere.</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La riserva del nervo non è lunghezza, è scorrimento: si consuma per prima.</w:t>
      </w:r>
    </w:p>
    <w:p>
      <w:pPr>
        <w:pStyle w:val="Compact"/>
        <w:numPr>
          <w:ilvl w:val="0"/>
          <w:numId w:val="1010"/>
        </w:numPr>
      </w:pPr>
      <w:r>
        <w:t xml:space="preserve">Il forame ha un cuscinetto di grasso e vasi, e quel cuscinetto è la prima cosa che sparisce.</w:t>
      </w:r>
    </w:p>
    <w:p>
      <w:pPr>
        <w:pStyle w:val="Compact"/>
        <w:numPr>
          <w:ilvl w:val="0"/>
          <w:numId w:val="1010"/>
        </w:numPr>
      </w:pPr>
      <w:r>
        <w:t xml:space="preserve">Il sistema è fatto per reggere gli aumenti di pressione: quando non li regge più, il problema è dentro il canale.</w:t>
      </w:r>
    </w:p>
    <w:p>
      <w:pPr>
        <w:pStyle w:val="Compact"/>
        <w:numPr>
          <w:ilvl w:val="0"/>
          <w:numId w:val="1010"/>
        </w:numPr>
      </w:pPr>
      <w:r>
        <w:rPr>
          <w:b/>
          <w:bCs/>
        </w:rPr>
        <w:t xml:space="preserve">Perché ci sei tu.</w:t>
      </w:r>
      <w:r>
        <w:t xml:space="preserve"> </w:t>
      </w:r>
      <w:r>
        <w:t xml:space="preserve">Lungo l’arto inferiore la forza si trasmette oltre l’articolazione che muovi: la sola dorsiflessione della caviglia produce tensione e scorrimento fino al nervo tibiale, a gamba ferma (Coppieters,</w:t>
      </w:r>
      <w:r>
        <w:t xml:space="preserve"> </w:t>
      </w:r>
      <w:r>
        <w:rPr>
          <w:i/>
          <w:iCs/>
        </w:rPr>
        <w:t xml:space="preserve">J Orthop Res</w:t>
      </w:r>
      <w:r>
        <w:t xml:space="preserve"> </w:t>
      </w:r>
      <w:r>
        <w:t xml:space="preserve">2006, PMID 16838375). Questo ti autorizza a usare un’articolazione lontana per capire se il sintomo viene dal nervo. Non ti autorizza a promettere che stai spostando il nervo di un numero di millimetri: quella misura, nel vivo, non esiste.</w:t>
      </w:r>
    </w:p>
    <w:p>
      <w:r>
        <w:pict>
          <v:rect style="width:0;height:1.5pt" o:hralign="center" o:hrstd="t" o:hr="t"/>
        </w:pict>
      </w:r>
    </w:p>
    <w:bookmarkEnd w:id="30"/>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guasti, e solo il primo compare in risonanza.</w:t>
      </w:r>
    </w:p>
    <w:p>
      <w:pPr>
        <w:pStyle w:val="FirstParagraph"/>
      </w:pPr>
      <w:r>
        <w:t xml:space="preserve">I meccanismi sono ordinati</w:t>
      </w:r>
      <w:r>
        <w:t xml:space="preserve"> </w:t>
      </w:r>
      <w:r>
        <w:rPr>
          <w:b/>
          <w:bCs/>
        </w:rPr>
        <w:t xml:space="preserve">dal più locale al più diffuso</w:t>
      </w:r>
      <w:r>
        <w:t xml:space="preserve">, non dal più solido: il quinto porta l’unico dato prognostico misurato su questa condizione.</w:t>
      </w:r>
    </w:p>
    <w:bookmarkStart w:id="31" w:name="la-radice-schiacciata-e-infiammata"/>
    <w:p>
      <w:pPr>
        <w:pStyle w:val="Heading3"/>
      </w:pPr>
      <w:r>
        <w:t xml:space="preserve">1. La radice schiacciata e infiammata</w:t>
      </w:r>
    </w:p>
    <w:p>
      <w:pPr>
        <w:pStyle w:val="Compact"/>
        <w:numPr>
          <w:ilvl w:val="0"/>
          <w:numId w:val="1011"/>
        </w:numPr>
      </w:pPr>
      <w:r>
        <w:t xml:space="preserve">Il materiale del disco esce oltre l’anello fibroso e occupa spazio nel recesso o nel forame.</w:t>
      </w:r>
    </w:p>
    <w:p>
      <w:pPr>
        <w:pStyle w:val="Compact"/>
        <w:numPr>
          <w:ilvl w:val="0"/>
          <w:numId w:val="1011"/>
        </w:numPr>
      </w:pPr>
      <w:r>
        <w:t xml:space="preserve">La radice viene compressa. Il ritorno venoso si disturba già a 20-30 mmHg, e il nervo si gonfia e si nutre peggio.</w:t>
      </w:r>
    </w:p>
    <w:p>
      <w:pPr>
        <w:pStyle w:val="Compact"/>
        <w:numPr>
          <w:ilvl w:val="0"/>
          <w:numId w:val="1011"/>
        </w:numPr>
      </w:pPr>
      <w:r>
        <w:t xml:space="preserve">Il nucleo è tessuto che il sistema immunitario non riconosce. Attorno alla radice parte una reazione infiammatoria, che raggiunge il ganglio.</w:t>
      </w:r>
    </w:p>
    <w:p>
      <w:pPr>
        <w:pStyle w:val="Compact"/>
        <w:numPr>
          <w:ilvl w:val="0"/>
          <w:numId w:val="1011"/>
        </w:numPr>
      </w:pPr>
      <w:r>
        <w:rPr>
          <w:b/>
          <w:bCs/>
        </w:rPr>
        <w:t xml:space="preserve">Il ganglio infiammato comincia a generare scariche di suo, senza che nessuno lo stimoli.</w:t>
      </w:r>
      <w:r>
        <w:t xml:space="preserve"> </w:t>
      </w:r>
      <w:r>
        <w:t xml:space="preserve">È la</w:t>
      </w:r>
      <w:r>
        <w:t xml:space="preserve"> </w:t>
      </w:r>
      <w:r>
        <w:rPr>
          <w:b/>
          <w:bCs/>
        </w:rPr>
        <w:t xml:space="preserve">scarica ectopica</w:t>
      </w:r>
      <w:r>
        <w:t xml:space="preserve">, ed è la definizione stessa del dolore radicolare. Il paziente sente dolore e formicolio anche da fermo, di notte, in qualunque posizione: il segnale non arriva più dalla gamba, parte dalla radice.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compressione, infiammazione e scarica ectopica come meccanismo del dolore radicolare nell’uomo (Schmid, Fundaun e Tampin,</w:t>
      </w:r>
      <w:r>
        <w:t xml:space="preserve"> </w:t>
      </w:r>
      <w:r>
        <w:rPr>
          <w:i/>
          <w:iCs/>
        </w:rPr>
        <w:t xml:space="preserve">Pain Rep</w:t>
      </w:r>
      <w:r>
        <w:t xml:space="preserve"> </w:t>
      </w:r>
      <w:r>
        <w:t xml:space="preserve">2020, PMID 32766466).</w:t>
      </w:r>
      <w:r>
        <w:t xml:space="preserve"> </w:t>
      </w:r>
      <w:r>
        <w:rPr>
          <w:b/>
          <w:bCs/>
        </w:rPr>
        <w:t xml:space="preserve">PROBABILE</w:t>
      </w:r>
      <w:r>
        <w:rPr>
          <w:b/>
          <w:bCs/>
        </w:rPr>
        <w:t xml:space="preserve"> </w:t>
      </w:r>
      <w:r>
        <w:rPr>
          <w:b/>
          <w:bCs/>
          <w:i/>
          <w:iCs/>
        </w:rPr>
        <w:t xml:space="preserve">(razionale forte, prove parziali)</w:t>
      </w:r>
      <w:r>
        <w:t xml:space="preserve"> </w:t>
      </w:r>
      <w:r>
        <w:t xml:space="preserve">per l’estensione dell’infiammazione al ganglio, misurata nel ratto (PMID 23771220, vedi «Le strutture in gioco»): nell’uomo il ponte è un ragionamento. La fisiologia della compressione viene dal coniglio (PMID 7204915).</w:t>
      </w:r>
    </w:p>
    <w:p>
      <w:pPr>
        <w:pStyle w:val="FirstParagraph"/>
      </w:pPr>
      <w:r>
        <w:rPr>
          <w:b/>
          <w:bCs/>
        </w:rPr>
        <w:t xml:space="preserve">Come si vede addosso al paziente.</w:t>
      </w:r>
      <w:r>
        <w:t xml:space="preserve"> </w:t>
      </w:r>
      <w:r>
        <w:t xml:space="preserve">Dolore lungo una linea stretta, sotto il ginocchio. Scarica alla tosse e alla spinta in bagno. SLR positivo a pochi gradi, con riproduzione del sintomo distale. Bruciore notturno che parte da fermo, senza bisogno di un movimento: è la scarica ectopica, non un tuo fallimento. Il cortisone funziona bene e poi il quadro torna, ed è il segno che si sta spegnendo l’infiammazione e non l’ingombro.</w:t>
      </w:r>
      <w:r>
        <w:t xml:space="preserve"> </w:t>
      </w:r>
      <w:r>
        <w:rPr>
          <w:b/>
          <w:bCs/>
        </w:rPr>
        <w:t xml:space="preserve">Se compaiono ipoestesia in un territorio, forza ridotta o riflesso assente, non sei più solo qui: sei nella radicolopatia</w:t>
      </w:r>
      <w:r>
        <w:t xml:space="preserve">, e vale la regola di lettura di «Le strutture in gioco».</w:t>
      </w:r>
    </w:p>
    <w:p>
      <w:pPr>
        <w:pStyle w:val="BodyText"/>
      </w:pPr>
      <w:r>
        <w:rPr>
          <w:b/>
          <w:bCs/>
        </w:rPr>
        <w:t xml:space="preserve">Una molletta stretta su un tubo di gomma: il tubo non si rompe, ma a valle non arriva più niente e a monte si gonfia.</w:t>
      </w:r>
    </w:p>
    <w:bookmarkEnd w:id="31"/>
    <w:bookmarkStart w:id="32" w:name="il-nervo-che-ha-perso-lo-scorrimento"/>
    <w:p>
      <w:pPr>
        <w:pStyle w:val="Heading3"/>
      </w:pPr>
      <w:r>
        <w:t xml:space="preserve">2. Il nervo che ha perso lo scorrimento</w:t>
      </w:r>
    </w:p>
    <w:p>
      <w:pPr>
        <w:pStyle w:val="Compact"/>
        <w:numPr>
          <w:ilvl w:val="0"/>
          <w:numId w:val="1012"/>
        </w:numPr>
      </w:pPr>
      <w:r>
        <w:t xml:space="preserve">Un episodio acuto, una postura mantenuta o un’infiammazione prolungata rendono più denso il tessuto di scorrimento attorno al nervo.</w:t>
      </w:r>
    </w:p>
    <w:p>
      <w:pPr>
        <w:pStyle w:val="Compact"/>
        <w:numPr>
          <w:ilvl w:val="0"/>
          <w:numId w:val="1012"/>
        </w:numPr>
      </w:pPr>
      <w:r>
        <w:t xml:space="preserve">Il nervo smette di potersi spostare lungo la sua strada. Ogni movimento che prima si spendeva in scorrimento adesso si spende in tensione.</w:t>
      </w:r>
    </w:p>
    <w:p>
      <w:pPr>
        <w:pStyle w:val="Compact"/>
        <w:numPr>
          <w:ilvl w:val="0"/>
          <w:numId w:val="1012"/>
        </w:numPr>
      </w:pPr>
      <w:r>
        <w:rPr>
          <w:b/>
          <w:bCs/>
        </w:rPr>
        <w:t xml:space="preserve">Il tronco nervoso diventa meccanosensibile</w:t>
      </w:r>
      <w:r>
        <w:t xml:space="preserve">, cioè risponde con dolore a una trazione che prima non contava. Rispondono le terminazioni dentro il suo involucro e i punti di assone demielinizzato. È per questo che il sintomo compare a un movimento e non a riposo.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meccanica dello scorrimento è misurata nel cadavere (PMID 16838375; PMID 17398140) e la meccanosensibilità neurale accresciuta è descritta come classe clinica dall’ancora fisiologica (PMID 32766466). Che la perdita di scorrimento causi il sintomo nel paziente vivo non è stato misurato.</w:t>
      </w:r>
    </w:p>
    <w:p>
      <w:pPr>
        <w:pStyle w:val="FirstParagraph"/>
      </w:pPr>
      <w:r>
        <w:rPr>
          <w:b/>
          <w:bCs/>
        </w:rPr>
        <w:t xml:space="preserve">Come si vede addosso al paziente.</w:t>
      </w:r>
      <w:r>
        <w:t xml:space="preserve"> </w:t>
      </w:r>
      <w:r>
        <w:t xml:space="preserve">Il sintomo cambia muovendo un’articolazione lontana da quella che stai testando: sollevi la gamba tesa, ti fermi sotto la soglia, e la sola dorsiflessione della caviglia riproduce il dolore. Il paziente non tollera le posizioni che tendono il nervo, anche quando il dolore a riposo è basso. Il quadro è vecchio di mesi e non ha più la scarica acuta.</w:t>
      </w:r>
    </w:p>
    <w:p>
      <w:pPr>
        <w:pStyle w:val="BodyText"/>
      </w:pPr>
      <w:r>
        <w:rPr>
          <w:b/>
          <w:bCs/>
        </w:rPr>
        <w:t xml:space="preserve">Un cavo del freno della bicicletta che non scorre più nella guaina: il freno tira lo stesso, e continua a tirare anche quando lasci la leva.</w:t>
      </w:r>
    </w:p>
    <w:bookmarkEnd w:id="32"/>
    <w:bookmarkStart w:id="33" w:name="il-nervo-disturbato-lungo-la-strada"/>
    <w:p>
      <w:pPr>
        <w:pStyle w:val="Heading3"/>
      </w:pPr>
      <w:r>
        <w:t xml:space="preserve">3. Il nervo disturbato lungo la strada</w:t>
      </w:r>
    </w:p>
    <w:p>
      <w:pPr>
        <w:pStyle w:val="Compact"/>
        <w:numPr>
          <w:ilvl w:val="0"/>
          <w:numId w:val="1013"/>
        </w:numPr>
      </w:pPr>
      <w:r>
        <w:t xml:space="preserve">Il nervo attraversa lo spazio gluteo profondo, fra piriforme, gemelli e ischio.</w:t>
      </w:r>
    </w:p>
    <w:p>
      <w:pPr>
        <w:pStyle w:val="Compact"/>
        <w:numPr>
          <w:ilvl w:val="0"/>
          <w:numId w:val="1013"/>
        </w:numPr>
      </w:pPr>
      <w:r>
        <w:t xml:space="preserve">Uno di quei tessuti aumenta di tono o di volume. Oppure il rapporto anatomico è già di partenza sfavorevole.</w:t>
      </w:r>
    </w:p>
    <w:p>
      <w:pPr>
        <w:pStyle w:val="Compact"/>
        <w:numPr>
          <w:ilvl w:val="0"/>
          <w:numId w:val="1013"/>
        </w:numPr>
      </w:pPr>
      <w:r>
        <w:t xml:space="preserve">Il nervo viene irritato</w:t>
      </w:r>
      <w:r>
        <w:t xml:space="preserve"> </w:t>
      </w:r>
      <w:r>
        <w:rPr>
          <w:b/>
          <w:bCs/>
        </w:rPr>
        <w:t xml:space="preserve">a valle della colonna</w:t>
      </w:r>
      <w:r>
        <w:t xml:space="preserve">. Il paziente ha un dolore di gamba che la risonanza non spiega, o che spiega a un livello diverso dal territorio.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singolo tessuto responsabile: non esiste un test che lo isoli. Come entità clinica, fra il 6% e il 17% dei pazienti visti in secondo livello per sciatalgia soddisfa i criteri della sindrome glutea profonda. Gli autori dichiarano la stima per difetto (Hopayian e Heathcote,</w:t>
      </w:r>
      <w:r>
        <w:t xml:space="preserve"> </w:t>
      </w:r>
      <w:r>
        <w:rPr>
          <w:i/>
          <w:iCs/>
        </w:rPr>
        <w:t xml:space="preserve">Br J Gen Pract</w:t>
      </w:r>
      <w:r>
        <w:t xml:space="preserve"> </w:t>
      </w:r>
      <w:r>
        <w:t xml:space="preserve">2019, PMID 31558515 —</w:t>
      </w:r>
      <w:r>
        <w:t xml:space="preserve"> </w:t>
      </w:r>
      <w:r>
        <w:rPr>
          <w:b/>
          <w:bCs/>
        </w:rPr>
        <w:t xml:space="preserve">editoriale</w:t>
      </w:r>
      <w:r>
        <w:t xml:space="preserve">, e la misura è</w:t>
      </w:r>
      <w:r>
        <w:t xml:space="preserve"> </w:t>
      </w:r>
      <w:r>
        <w:t xml:space="preserve">“soddisfa i criteri”</w:t>
      </w:r>
      <w:r>
        <w:t xml:space="preserve">, non</w:t>
      </w:r>
      <w:r>
        <w:t xml:space="preserve"> </w:t>
      </w:r>
      <w:r>
        <w:t xml:space="preserve">“ha una sofferenza del nervo”</w:t>
      </w:r>
      <w:r>
        <w:t xml:space="preserve">). La fonte più forte è anche la più scomoda, e va letta per intero.</w:t>
      </w:r>
    </w:p>
    <w:p>
      <w:pPr>
        <w:pStyle w:val="FirstParagraph"/>
      </w:pPr>
      <w:r>
        <w:rPr>
          <w:b/>
          <w:bCs/>
        </w:rPr>
        <w:t xml:space="preserve">Cosa dice la fonte migliore, e perché ti toglie una parola.</w:t>
      </w:r>
      <w:r>
        <w:t xml:space="preserve"> </w:t>
      </w:r>
      <w:r>
        <w:t xml:space="preserve">Il nervo sciatico attraversa il piriforme in circa il 16% dei soggetti sani,</w:t>
      </w:r>
      <w:r>
        <w:t xml:space="preserve"> </w:t>
      </w:r>
      <w:r>
        <w:rPr>
          <w:b/>
          <w:bCs/>
        </w:rPr>
        <w:t xml:space="preserve">e quella frequenza non è diversa in chi ha la sindrome</w:t>
      </w:r>
      <w:r>
        <w:t xml:space="preserve">.</w:t>
      </w:r>
      <w:r>
        <w:t xml:space="preserve"> </w:t>
      </w:r>
      <w:r>
        <w:rPr>
          <w:b/>
          <w:bCs/>
        </w:rPr>
        <w:t xml:space="preserve">Non esiste un test clinico che confermi la diagnosi</w:t>
      </w:r>
      <w:r>
        <w:t xml:space="preserve">, e l’elettrodiagnostica serve solo a escludere altro (Lo e Robinson,</w:t>
      </w:r>
      <w:r>
        <w:t xml:space="preserve"> </w:t>
      </w:r>
      <w:r>
        <w:rPr>
          <w:i/>
          <w:iCs/>
        </w:rPr>
        <w:t xml:space="preserve">Handb Clin Neurol</w:t>
      </w:r>
      <w:r>
        <w:t xml:space="preserve"> </w:t>
      </w:r>
      <w:r>
        <w:t xml:space="preserve">2024, PMID 38697742).</w:t>
      </w:r>
    </w:p>
    <w:p>
      <w:pPr>
        <w:pStyle w:val="BlockText"/>
      </w:pPr>
      <w:r>
        <w:rPr>
          <w:b/>
          <w:bCs/>
        </w:rPr>
        <w:t xml:space="preserve">Attenzione.</w:t>
      </w:r>
      <w:r>
        <w:t xml:space="preserve"> </w:t>
      </w:r>
      <w:r>
        <w:rPr>
          <w:i/>
          <w:iCs/>
        </w:rPr>
        <w:t xml:space="preserve">Misurato come entità clinica definita per criteri, non come sofferenza del nervo dimostrata.</w:t>
      </w:r>
      <w:r>
        <w:t xml:space="preserve"> </w:t>
      </w:r>
      <w:r>
        <w:t xml:space="preserve">Gli autori concludono che nella maggior parte dei casi pubblicati la diagnosi è attribuibile a</w:t>
      </w:r>
      <w:r>
        <w:t xml:space="preserve"> </w:t>
      </w:r>
      <w:r>
        <w:rPr>
          <w:b/>
          <w:bCs/>
        </w:rPr>
        <w:t xml:space="preserve">una condizione miofasciale più che a una neuropatia focale</w:t>
      </w:r>
      <w:r>
        <w:t xml:space="preserve">, e nessun test li separa. Il meccanismo resta. La parola</w:t>
      </w:r>
      <w:r>
        <w:t xml:space="preserve"> </w:t>
      </w:r>
      <w:r>
        <w:rPr>
          <w:i/>
          <w:iCs/>
        </w:rPr>
        <w:t xml:space="preserve">neuropatico</w:t>
      </w:r>
      <w:r>
        <w:t xml:space="preserve"> </w:t>
      </w:r>
      <w:r>
        <w:t xml:space="preserve">su questo quadro va usata per</w:t>
      </w:r>
      <w:r>
        <w:t xml:space="preserve"> </w:t>
      </w:r>
      <w:r>
        <w:rPr>
          <w:b/>
          <w:bCs/>
        </w:rPr>
        <w:t xml:space="preserve">presentazione</w:t>
      </w:r>
      <w:r>
        <w:t xml:space="preserve">, non per diagnosi.</w:t>
      </w:r>
    </w:p>
    <w:p>
      <w:pPr>
        <w:pStyle w:val="FirstParagraph"/>
      </w:pPr>
      <w:r>
        <w:rPr>
          <w:b/>
          <w:bCs/>
        </w:rPr>
        <w:t xml:space="preserve">Il doppio schiacciamento.</w:t>
      </w:r>
      <w:r>
        <w:t xml:space="preserve"> </w:t>
      </w:r>
      <w:r>
        <w:t xml:space="preserve">Due compressioni sottosoglia lungo lo stesso nervo si sommano: un contatto discale vero</w:t>
      </w:r>
      <w:r>
        <w:t xml:space="preserve"> </w:t>
      </w:r>
      <w:r>
        <w:rPr>
          <w:b/>
          <w:bCs/>
        </w:rPr>
        <w:t xml:space="preserve">più</w:t>
      </w:r>
      <w:r>
        <w:t xml:space="preserve"> </w:t>
      </w:r>
      <w:r>
        <w:t xml:space="preserve">una componente glutea. È la configurazione più comune dopo mesi, e la metà raggiungibile dalle tue mani è quella distale.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studio sulla sciatalgia ha misurato la somma delle due compressioni.</w:t>
      </w:r>
    </w:p>
    <w:p>
      <w:pPr>
        <w:pStyle w:val="FirstParagraph"/>
      </w:pPr>
      <w:r>
        <w:rPr>
          <w:b/>
          <w:bCs/>
        </w:rPr>
        <w:t xml:space="preserve">Come si vede addosso al paziente.</w:t>
      </w:r>
      <w:r>
        <w:t xml:space="preserve"> </w:t>
      </w:r>
      <w:r>
        <w:t xml:space="preserve">Dolore che parte dal gluteo profondo e non dalla schiena. Peggiora sulle superfici dure, per pressione più che per flessione. Punto dolente profondo fra ischio e grande trocantere, riprodotto premendo. SLR positivo senza mal di schiena e senza scarica alla tosse. Rotazione d’anca ridotta su quel lato —</w:t>
      </w:r>
      <w:r>
        <w:t xml:space="preserve"> </w:t>
      </w:r>
      <w:r>
        <w:rPr>
          <w:b/>
          <w:bCs/>
        </w:rPr>
        <w:t xml:space="preserve">e prima di attribuirla, escludi l’anca</w:t>
      </w:r>
      <w:r>
        <w:t xml:space="preserve">: limitata in tutti i piani e dolorosa in inguine è anca, limitata in rotazione con punto dolente profondo e SLR positivo è percorso del nervo.</w:t>
      </w:r>
    </w:p>
    <w:p>
      <w:pPr>
        <w:pStyle w:val="BodyText"/>
      </w:pPr>
      <w:r>
        <w:rPr>
          <w:b/>
          <w:bCs/>
        </w:rPr>
        <w:t xml:space="preserve">Un tubo dell’acqua che passa dietro un armadio: il rubinetto è a posto, e il problema è l’armadio che qualcuno ha spinto contro il muro.</w:t>
      </w:r>
    </w:p>
    <w:bookmarkEnd w:id="33"/>
    <w:bookmarkStart w:id="34" w:name="il-carico-che-non-cambia-mai-posizione"/>
    <w:p>
      <w:pPr>
        <w:pStyle w:val="Heading3"/>
      </w:pPr>
      <w:r>
        <w:t xml:space="preserve">4. Il carico che non cambia mai posizione</w:t>
      </w:r>
    </w:p>
    <w:p>
      <w:pPr>
        <w:pStyle w:val="Compact"/>
        <w:numPr>
          <w:ilvl w:val="0"/>
          <w:numId w:val="1014"/>
        </w:numPr>
      </w:pPr>
      <w:r>
        <w:t xml:space="preserve">Il paziente passa ore nella stessa posizione: al volante, alla scrivania, in piedi al banco.</w:t>
      </w:r>
    </w:p>
    <w:p>
      <w:pPr>
        <w:pStyle w:val="Compact"/>
        <w:numPr>
          <w:ilvl w:val="0"/>
          <w:numId w:val="1014"/>
        </w:numPr>
      </w:pPr>
      <w:r>
        <w:t xml:space="preserve">In quella posizione una parte del sistema resta vicino al proprio limite. Il forame è chiuso in estensione, il nervo è teso in flessione, il gluteo è compresso da seduto.</w:t>
      </w:r>
    </w:p>
    <w:p>
      <w:pPr>
        <w:pStyle w:val="Compact"/>
        <w:numPr>
          <w:ilvl w:val="0"/>
          <w:numId w:val="1014"/>
        </w:numPr>
      </w:pPr>
      <w:r>
        <w:t xml:space="preserve">Il tessuto nervoso non tollera la pressione mantenuta, per quanto modesta. Il sintomo compare per la</w:t>
      </w:r>
      <w:r>
        <w:t xml:space="preserve"> </w:t>
      </w:r>
      <w:r>
        <w:rPr>
          <w:b/>
          <w:bCs/>
        </w:rPr>
        <w:t xml:space="preserve">durata</w:t>
      </w:r>
      <w:r>
        <w:t xml:space="preserve"> </w:t>
      </w:r>
      <w:r>
        <w:t xml:space="preserve">e non per il gesto: quaranta minuti in macchina, non il minuto in cui sale.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sensibilità del nervo alla pressione mantenuta è misurata (PMID 7204915). Che la posizione di lavoro sia una causa modificabile è un’inferenza clinica, non un dato controllato.</w:t>
      </w:r>
    </w:p>
    <w:p>
      <w:pPr>
        <w:pStyle w:val="FirstParagraph"/>
      </w:pPr>
      <w:r>
        <w:t xml:space="preserve">E c’è un pezzo che quasi tutti spiegano male. La pressione dentro il disco lombare da seduti</w:t>
      </w:r>
      <w:r>
        <w:t xml:space="preserve"> </w:t>
      </w:r>
      <w:r>
        <w:rPr>
          <w:b/>
          <w:bCs/>
        </w:rPr>
        <w:t xml:space="preserve">non è più alta</w:t>
      </w:r>
      <w:r>
        <w:t xml:space="preserve"> </w:t>
      </w:r>
      <w:r>
        <w:t xml:space="preserve">che in piedi. Nella misura diretta in vivo</w:t>
      </w:r>
      <w:r>
        <w:t xml:space="preserve"> </w:t>
      </w:r>
      <w:r>
        <w:rPr>
          <w:b/>
          <w:bCs/>
        </w:rPr>
        <w:t xml:space="preserve">su un solo volontario</w:t>
      </w:r>
      <w:r>
        <w:t xml:space="preserve">, con un trasduttore impiantato in L4-L5, sedersi senza schienale dà 0,46 MPa contro gli 0,5 MPa dello stare in piedi. Quello che la alza davvero è la flessione massima da seduti, 0,83 MPa, e sollevare un peso a schiena curva, 2,3 MPa (Wilke,</w:t>
      </w:r>
      <w:r>
        <w:t xml:space="preserve"> </w:t>
      </w:r>
      <w:r>
        <w:rPr>
          <w:i/>
          <w:iCs/>
        </w:rPr>
        <w:t xml:space="preserve">Spine</w:t>
      </w:r>
      <w:r>
        <w:t xml:space="preserve"> </w:t>
      </w:r>
      <w:r>
        <w:t xml:space="preserve">1999, PMID 10222525). È un n = 1: vale come smentita di un mito, non come misura di popolazione. Il messaggio robusto è quello che l’autore mette in conclusione:</w:t>
      </w:r>
      <w:r>
        <w:t xml:space="preserve"> </w:t>
      </w:r>
      <w:r>
        <w:rPr>
          <w:b/>
          <w:bCs/>
        </w:rPr>
        <w:t xml:space="preserve">cambiare posizione conta più della posizione.</w:t>
      </w:r>
    </w:p>
    <w:p>
      <w:pPr>
        <w:pStyle w:val="BodyText"/>
      </w:pPr>
      <w:r>
        <w:rPr>
          <w:b/>
          <w:bCs/>
        </w:rPr>
        <w:t xml:space="preserve">Come si vede addosso al paziente.</w:t>
      </w:r>
      <w:r>
        <w:t xml:space="preserve"> </w:t>
      </w:r>
      <w:r>
        <w:t xml:space="preserve">Sta bene a inizio giornata e male dopo un tempo prevedibile. Il dolore si spegne cambiando posizione e riprende con la stessa. Evita i viaggi lunghi, e collega il peggioramento a un cambio di sedia o di turno.</w:t>
      </w:r>
    </w:p>
    <w:p>
      <w:pPr>
        <w:pStyle w:val="BodyText"/>
      </w:pPr>
      <w:r>
        <w:rPr>
          <w:b/>
          <w:bCs/>
        </w:rPr>
        <w:t xml:space="preserve">Una corda per stendere: da sola sta lenta, ma se appendi il lenzuolo sempre nello stesso punto, alla fine resta tesa tutto il giorno.</w:t>
      </w:r>
    </w:p>
    <w:bookmarkEnd w:id="34"/>
    <w:bookmarkStart w:id="35" w:name="Xa1bfefbbd9509b4550d9478a051479b0fc0c6d1"/>
    <w:p>
      <w:pPr>
        <w:pStyle w:val="Heading3"/>
      </w:pPr>
      <w:r>
        <w:t xml:space="preserve">5. La soglia che si abbassa, e la paura che la tiene giù</w:t>
      </w:r>
    </w:p>
    <w:p>
      <w:pPr>
        <w:pStyle w:val="FirstParagraph"/>
      </w:pPr>
      <w:r>
        <w:t xml:space="preserve">Sono due cose, e vanno tenute separate perché sono due bersagli.</w:t>
      </w:r>
    </w:p>
    <w:p>
      <w:pPr>
        <w:pStyle w:val="BodyText"/>
      </w:pPr>
      <w:r>
        <w:rPr>
          <w:b/>
          <w:bCs/>
        </w:rPr>
        <w:t xml:space="preserve">(a) La soglia che si abbassa — via neuroimmune e centrale.</w:t>
      </w:r>
      <w:r>
        <w:t xml:space="preserve"> </w:t>
      </w:r>
      <w:r>
        <w:t xml:space="preserve">La neuroinfiammazione sensibilizza assoni lesi</w:t>
      </w:r>
      <w:r>
        <w:t xml:space="preserve"> </w:t>
      </w:r>
      <w:r>
        <w:rPr>
          <w:b/>
          <w:bCs/>
        </w:rPr>
        <w:t xml:space="preserve">e non lesi</w:t>
      </w:r>
      <w:r>
        <w:t xml:space="preserve">, e i nocicettori del tessuto a valle. Nei quadri persistenti compaiono deficit sensitivi</w:t>
      </w:r>
      <w:r>
        <w:t xml:space="preserve"> </w:t>
      </w:r>
      <w:r>
        <w:rPr>
          <w:b/>
          <w:bCs/>
        </w:rPr>
        <w:t xml:space="preserve">bilaterali</w:t>
      </w:r>
      <w:r>
        <w:t xml:space="preserve"> </w:t>
      </w:r>
      <w:r>
        <w:t xml:space="preserve">in quadri unilaterali, ipersensibilità</w:t>
      </w:r>
      <w:r>
        <w:t xml:space="preserve"> </w:t>
      </w:r>
      <w:r>
        <w:rPr>
          <w:b/>
          <w:bCs/>
        </w:rPr>
        <w:t xml:space="preserve">diffusa</w:t>
      </w:r>
      <w:r>
        <w:t xml:space="preserve"> </w:t>
      </w:r>
      <w:r>
        <w:t xml:space="preserve">e modulazione condizionata del dolore compromessa.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descritta come classe clinica nelle neuropatie da intrappolamento (PMID 32766466) e misurata nella radicolopatia lombosacrale, dove la soglia di pressione dolorosa e la modulazione condizionata del dolore sono compromesse quanto nella fibromialgia, anche all’avambraccio controlaterale (Knezevic,</w:t>
      </w:r>
      <w:r>
        <w:t xml:space="preserve"> </w:t>
      </w:r>
      <w:r>
        <w:rPr>
          <w:i/>
          <w:iCs/>
        </w:rPr>
        <w:t xml:space="preserve">Neurophysiol Clin</w:t>
      </w:r>
      <w:r>
        <w:t xml:space="preserve"> </w:t>
      </w:r>
      <w:r>
        <w:t xml:space="preserve">2023, PMID 36716611).</w:t>
      </w:r>
    </w:p>
    <w:p>
      <w:pPr>
        <w:pStyle w:val="FirstParagraph"/>
      </w:pPr>
      <w:r>
        <w:rPr>
          <w:b/>
          <w:bCs/>
        </w:rPr>
        <w:t xml:space="preserve">(b) L’evitamento e la credenza.</w:t>
      </w:r>
      <w:r>
        <w:t xml:space="preserve"> </w:t>
      </w:r>
      <w:r>
        <w:t xml:space="preserve">Il dolore radicolare è intenso, notturno e imprevedibile. Il paziente smette di piegarsi, cammina calcolando ogni passo, si muove in difesa. Il movimento evitato smette di essere riconosciuto come sicuro.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valore prognostico: nei 609 pazienti seguiti per un anno, durata lunga del sintomo, identificazione con il problema e</w:t>
      </w:r>
      <w:r>
        <w:t xml:space="preserve"> </w:t>
      </w:r>
      <w:r>
        <w:rPr>
          <w:b/>
          <w:bCs/>
        </w:rPr>
        <w:t xml:space="preserve">convinzione che il recupero sarà lungo</w:t>
      </w:r>
      <w:r>
        <w:t xml:space="preserve"> </w:t>
      </w:r>
      <w:r>
        <w:t xml:space="preserve">predicono un esito peggiore (Konstantinou,</w:t>
      </w:r>
      <w:r>
        <w:t xml:space="preserve"> </w:t>
      </w:r>
      <w:r>
        <w:rPr>
          <w:i/>
          <w:iCs/>
        </w:rPr>
        <w:t xml:space="preserve">Spine J</w:t>
      </w:r>
      <w:r>
        <w:t xml:space="preserve"> </w:t>
      </w:r>
      <w:r>
        <w:t xml:space="preserve">2018, PMID 29174459).</w:t>
      </w:r>
      <w:r>
        <w:t xml:space="preserve"> </w:t>
      </w:r>
      <w:r>
        <w:rPr>
          <w:b/>
          <w:bCs/>
        </w:rPr>
        <w:t xml:space="preserve">IPOTESI</w:t>
      </w:r>
      <w:r>
        <w:rPr>
          <w:b/>
          <w:bCs/>
        </w:rPr>
        <w:t xml:space="preserve"> </w:t>
      </w:r>
      <w:r>
        <w:rPr>
          <w:b/>
          <w:bCs/>
          <w:i/>
          <w:iCs/>
        </w:rPr>
        <w:t xml:space="preserve">(meccanismo coerente, nessuno studio)</w:t>
      </w:r>
      <w:r>
        <w:t xml:space="preserve"> </w:t>
      </w:r>
      <w:r>
        <w:t xml:space="preserve">per la catena che porta dalla paura alla soglia abbassata: nessuno l’ha misurata sulla sciatalgia. La paura non è la causa della soglia bassa — è un fattore che vi si somma.</w:t>
      </w:r>
    </w:p>
    <w:p>
      <w:pPr>
        <w:pStyle w:val="FirstParagraph"/>
      </w:pPr>
      <w:r>
        <w:rPr>
          <w:b/>
          <w:bCs/>
        </w:rPr>
        <w:t xml:space="preserve">Come si vede addosso al paziente.</w:t>
      </w:r>
      <w:r>
        <w:t xml:space="preserve"> </w:t>
      </w:r>
      <w:r>
        <w:t xml:space="preserve">Reperto piccolo e quadro grande. Nessuna posizione lo spegne. Il tessuto reagisce appena appoggi le mani. L’ipersensibilità esce dal territorio di una radice o compare dall’altro lato. Nel racconto c’è una frase su cosa succederà se la gamba cede, e il sintomo si è aggravato attorno a un fatto della sua vita.</w:t>
      </w:r>
    </w:p>
    <w:p>
      <w:pPr>
        <w:pStyle w:val="BodyText"/>
      </w:pPr>
      <w:r>
        <w:rPr>
          <w:b/>
          <w:bCs/>
        </w:rPr>
        <w:t xml:space="preserve">Una casa in cui è saltata la luce una volta: da allora accendi la torcia prima di entrare nel corridoio, anche di giorno.</w:t>
      </w:r>
    </w:p>
    <w:p>
      <w:pPr>
        <w:pStyle w:val="BodyText"/>
      </w:pPr>
      <w:r>
        <w:rPr>
          <w:b/>
          <w:bCs/>
        </w:rPr>
        <w:t xml:space="preserve">Le tre cose da ricordare, più una</w:t>
      </w:r>
    </w:p>
    <w:p>
      <w:pPr>
        <w:pStyle w:val="Compact"/>
        <w:numPr>
          <w:ilvl w:val="0"/>
          <w:numId w:val="1015"/>
        </w:numPr>
      </w:pPr>
      <w:r>
        <w:t xml:space="preserve">La compressione non basta a spiegare il quadro. L’infiammazione attorno alla radice e nel ganglio è la seconda metà, e da lì nasce la scarica che fa bruciare la gamba da fermo.</w:t>
      </w:r>
    </w:p>
    <w:p>
      <w:pPr>
        <w:pStyle w:val="Compact"/>
        <w:numPr>
          <w:ilvl w:val="0"/>
          <w:numId w:val="1015"/>
        </w:numPr>
      </w:pPr>
      <w:r>
        <w:t xml:space="preserve">Un nervo perde lo scorrimento prima di perdere la lunghezza: è il guasto che nessuna immagine mostra.</w:t>
      </w:r>
    </w:p>
    <w:p>
      <w:pPr>
        <w:pStyle w:val="Compact"/>
        <w:numPr>
          <w:ilvl w:val="0"/>
          <w:numId w:val="1015"/>
        </w:numPr>
      </w:pPr>
      <w:r>
        <w:rPr>
          <w:b/>
          <w:bCs/>
        </w:rPr>
        <w:t xml:space="preserve">Un dolore di gamba senza mal di schiena e senza scarica alla tosse ti sposta l’attenzione verso lo spazio gluteo profondo, non verso la colonna.</w:t>
      </w:r>
    </w:p>
    <w:p>
      <w:pPr>
        <w:pStyle w:val="Compact"/>
        <w:numPr>
          <w:ilvl w:val="0"/>
          <w:numId w:val="1015"/>
        </w:numPr>
      </w:pPr>
      <w:r>
        <w:rPr>
          <w:b/>
          <w:bCs/>
        </w:rPr>
        <w:t xml:space="preserve">Perché ci sei tu.</w:t>
      </w:r>
      <w:r>
        <w:t xml:space="preserve"> </w:t>
      </w:r>
      <w:r>
        <w:t xml:space="preserve">Sedersi non alza la pressione dentro il disco più che stare in piedi: 0,46 contro 0,5 MPa, con un sensore dentro il nucleo, in un solo volontario (Wilke,</w:t>
      </w:r>
      <w:r>
        <w:t xml:space="preserve"> </w:t>
      </w:r>
      <w:r>
        <w:rPr>
          <w:i/>
          <w:iCs/>
        </w:rPr>
        <w:t xml:space="preserve">Spine</w:t>
      </w:r>
      <w:r>
        <w:t xml:space="preserve"> </w:t>
      </w:r>
      <w:r>
        <w:t xml:space="preserve">1999, PMID 10222525). Questo ti autorizza a smettere di spiegare la sedia con lo schiacciamento del disco e a cercare la flessione mantenuta e la tensione sul nervo. Non ti autorizza a dire che stare seduti non c’entra: c’entra, per un’altra strada.</w:t>
      </w:r>
    </w:p>
    <w:p>
      <w:r>
        <w:pict>
          <v:rect style="width:0;height:1.5pt" o:hralign="center" o:hrstd="t" o:hr="t"/>
        </w:pict>
      </w:r>
    </w:p>
    <w:bookmarkEnd w:id="35"/>
    <w:bookmarkEnd w:id="36"/>
    <w:bookmarkStart w:id="37"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quadri con lo stesso racconto, e il tipo di dolore separa meglio della topografia.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Tipo di dolore e meccanismo</w:t>
            </w:r>
          </w:p>
        </w:tc>
        <w:tc>
          <w:tcPr/>
          <w:p>
            <w:pPr>
              <w:pStyle w:val="Compact"/>
            </w:pPr>
            <w:r>
              <w:t xml:space="preserve">Quanto puoi fare</w:t>
            </w:r>
          </w:p>
        </w:tc>
      </w:tr>
      <w:tr>
        <w:tc>
          <w:tcPr/>
          <w:p>
            <w:pPr>
              <w:pStyle w:val="Compact"/>
            </w:pPr>
            <w:r>
              <w:t xml:space="preserve">Riferito somatico</w:t>
            </w:r>
          </w:p>
        </w:tc>
        <w:tc>
          <w:tcPr/>
          <w:p>
            <w:pPr>
              <w:pStyle w:val="Compact"/>
            </w:pPr>
            <w:r>
              <w:t xml:space="preserve">Dolore largo sopra il ginocchio</w:t>
            </w:r>
          </w:p>
        </w:tc>
        <w:tc>
          <w:tcPr/>
          <w:p>
            <w:pPr>
              <w:pStyle w:val="Compact"/>
            </w:pPr>
            <w:r>
              <w:t xml:space="preserve">Nocicettivo · carico che non cambia posizione</w:t>
            </w:r>
          </w:p>
        </w:tc>
        <w:tc>
          <w:tcPr/>
          <w:p>
            <w:pPr>
              <w:pStyle w:val="Compact"/>
            </w:pPr>
            <w:r>
              <w:t xml:space="preserve">Molto</w:t>
            </w:r>
          </w:p>
        </w:tc>
      </w:tr>
      <w:tr>
        <w:tc>
          <w:tcPr/>
          <w:p>
            <w:pPr>
              <w:pStyle w:val="Compact"/>
            </w:pPr>
            <w:r>
              <w:t xml:space="preserve">Extraspinale gluteo</w:t>
            </w:r>
          </w:p>
        </w:tc>
        <w:tc>
          <w:tcPr/>
          <w:p>
            <w:pPr>
              <w:pStyle w:val="Compact"/>
            </w:pPr>
            <w:r>
              <w:t xml:space="preserve">Parte dal gluteo, punto profondo</w:t>
            </w:r>
          </w:p>
        </w:tc>
        <w:tc>
          <w:tcPr/>
          <w:p>
            <w:pPr>
              <w:pStyle w:val="Compact"/>
            </w:pPr>
            <w:r>
              <w:t xml:space="preserve">Neuropatico per presentazione · nervo lungo la strada</w:t>
            </w:r>
          </w:p>
        </w:tc>
        <w:tc>
          <w:tcPr/>
          <w:p>
            <w:pPr>
              <w:pStyle w:val="Compact"/>
            </w:pPr>
            <w:r>
              <w:t xml:space="preserve">Molto</w:t>
            </w:r>
          </w:p>
        </w:tc>
      </w:tr>
      <w:tr>
        <w:tc>
          <w:tcPr/>
          <w:p>
            <w:pPr>
              <w:pStyle w:val="Compact"/>
            </w:pPr>
            <w:r>
              <w:t xml:space="preserve">Radicolare discale</w:t>
            </w:r>
          </w:p>
        </w:tc>
        <w:tc>
          <w:tcPr/>
          <w:p>
            <w:pPr>
              <w:pStyle w:val="Compact"/>
            </w:pPr>
            <w:r>
              <w:t xml:space="preserve">Linea stretta sotto il ginocchio</w:t>
            </w:r>
          </w:p>
        </w:tc>
        <w:tc>
          <w:tcPr/>
          <w:p>
            <w:pPr>
              <w:pStyle w:val="Compact"/>
            </w:pPr>
            <w:r>
              <w:t xml:space="preserve">Neuropatico · radice schiacciata e infiammata</w:t>
            </w:r>
          </w:p>
        </w:tc>
        <w:tc>
          <w:tcPr/>
          <w:p>
            <w:pPr>
              <w:pStyle w:val="Compact"/>
            </w:pPr>
            <w:r>
              <w:t xml:space="preserve">Abbastanza</w:t>
            </w:r>
          </w:p>
        </w:tc>
      </w:tr>
      <w:tr>
        <w:tc>
          <w:tcPr/>
          <w:p>
            <w:pPr>
              <w:pStyle w:val="Compact"/>
            </w:pPr>
            <w:r>
              <w:t xml:space="preserve">Compressione risolta, gamba sintomatica</w:t>
            </w:r>
          </w:p>
        </w:tc>
        <w:tc>
          <w:tcPr/>
          <w:p>
            <w:pPr>
              <w:pStyle w:val="Compact"/>
            </w:pPr>
            <w:r>
              <w:t xml:space="preserve">Mesi, referto pulito, bruciore</w:t>
            </w:r>
          </w:p>
        </w:tc>
        <w:tc>
          <w:tcPr/>
          <w:p>
            <w:pPr>
              <w:pStyle w:val="Compact"/>
            </w:pPr>
            <w:r>
              <w:t xml:space="preserve">Neuropatico · scorrimento perso più soglia</w:t>
            </w:r>
          </w:p>
        </w:tc>
        <w:tc>
          <w:tcPr/>
          <w:p>
            <w:pPr>
              <w:pStyle w:val="Compact"/>
            </w:pPr>
            <w:r>
              <w:t xml:space="preserve">Abbastanza</w:t>
            </w:r>
          </w:p>
        </w:tc>
      </w:tr>
      <w:tr>
        <w:tc>
          <w:tcPr/>
          <w:p>
            <w:pPr>
              <w:pStyle w:val="Compact"/>
            </w:pPr>
            <w:r>
              <w:t xml:space="preserve">Cronico con segni centrali</w:t>
            </w:r>
          </w:p>
        </w:tc>
        <w:tc>
          <w:tcPr/>
          <w:p>
            <w:pPr>
              <w:pStyle w:val="Compact"/>
            </w:pPr>
            <w:r>
              <w:t xml:space="preserve">Ipersensibilità oltre il territorio</w:t>
            </w:r>
          </w:p>
        </w:tc>
        <w:tc>
          <w:tcPr/>
          <w:p>
            <w:pPr>
              <w:pStyle w:val="Compact"/>
            </w:pPr>
            <w:r>
              <w:t xml:space="preserve">Centrale · soglia abbassata</w:t>
            </w:r>
          </w:p>
        </w:tc>
        <w:tc>
          <w:tcPr/>
          <w:p>
            <w:pPr>
              <w:pStyle w:val="Compact"/>
            </w:pPr>
            <w:r>
              <w:t xml:space="preserve">Abbastanza</w:t>
            </w:r>
          </w:p>
        </w:tc>
      </w:tr>
      <w:tr>
        <w:tc>
          <w:tcPr/>
          <w:p>
            <w:pPr>
              <w:pStyle w:val="Compact"/>
            </w:pPr>
            <w:r>
              <w:t xml:space="preserve">Stenosi del recesso laterale</w:t>
            </w:r>
          </w:p>
        </w:tc>
        <w:tc>
          <w:tcPr/>
          <w:p>
            <w:pPr>
              <w:pStyle w:val="Compact"/>
            </w:pPr>
            <w:r>
              <w:t xml:space="preserve">Unilaterale, migliora in flessione</w:t>
            </w:r>
          </w:p>
        </w:tc>
        <w:tc>
          <w:tcPr/>
          <w:p>
            <w:pPr>
              <w:pStyle w:val="Compact"/>
            </w:pPr>
            <w:r>
              <w:t xml:space="preserve">Neuropatico · contenitore osseo</w:t>
            </w:r>
          </w:p>
        </w:tc>
        <w:tc>
          <w:tcPr/>
          <w:p>
            <w:pPr>
              <w:pStyle w:val="Compact"/>
            </w:pPr>
            <w:r>
              <w:t xml:space="preserve">Poco</w:t>
            </w:r>
          </w:p>
        </w:tc>
      </w:tr>
      <w:tr>
        <w:tc>
          <w:tcPr/>
          <w:p>
            <w:pPr>
              <w:pStyle w:val="Compact"/>
            </w:pPr>
            <w:r>
              <w:t xml:space="preserve">Con deficit progressivo</w:t>
            </w:r>
          </w:p>
        </w:tc>
        <w:tc>
          <w:tcPr/>
          <w:p>
            <w:pPr>
              <w:pStyle w:val="Compact"/>
            </w:pPr>
            <w:r>
              <w:t xml:space="preserve">Forza che cala ogni settimana</w:t>
            </w:r>
          </w:p>
        </w:tc>
        <w:tc>
          <w:tcPr/>
          <w:p>
            <w:pPr>
              <w:pStyle w:val="Compact"/>
            </w:pPr>
            <w:r>
              <w:t xml:space="preserve">Radicolopatia · è un’uscita</w:t>
            </w:r>
          </w:p>
        </w:tc>
        <w:tc>
          <w:tcPr/>
          <w:p>
            <w:pPr>
              <w:pStyle w:val="Compact"/>
            </w:pPr>
            <w:r>
              <w:t xml:space="preserve">Niente: invio</w:t>
            </w:r>
          </w:p>
        </w:tc>
      </w:tr>
    </w:tbl>
    <w:p>
      <w:pPr>
        <w:pStyle w:val="BodyText"/>
      </w:pPr>
      <w:r>
        <w:rPr>
          <w:b/>
          <w:bCs/>
        </w:rPr>
        <w:t xml:space="preserve">La colonna «Quanto puoi fare» misura fin dove arrivano le tue mani, non quanto è provato.</w:t>
      </w:r>
      <w:r>
        <w:t xml:space="preserve"> </w:t>
      </w:r>
      <w:r>
        <w:t xml:space="preserve">Le etichette di solidità stanno in «Perché le mani possono cambiare qualcosa», e sul gluteo sono le più deboli del documento.</w:t>
      </w:r>
    </w:p>
    <w:p>
      <w:pPr>
        <w:pStyle w:val="BodyText"/>
      </w:pPr>
      <w:r>
        <w:rPr>
          <w:b/>
          <w:bCs/>
        </w:rPr>
        <w:t xml:space="preserve">Il sottotipo orienta, non decide.</w:t>
      </w:r>
      <w:r>
        <w:t xml:space="preserve"> </w:t>
      </w:r>
      <w:r>
        <w:t xml:space="preserve">Il dominante si stabilisce sul singolo paziente. E</w:t>
      </w:r>
      <w:r>
        <w:t xml:space="preserve"> </w:t>
      </w:r>
      <w:r>
        <w:rPr>
          <w:b/>
          <w:bCs/>
        </w:rPr>
        <w:t xml:space="preserve">i sottotipi non si escludono</w:t>
      </w:r>
      <w:r>
        <w:t xml:space="preserve">: lo stesso paziente può avere una componente radicolare e una lungo la strada, e la seconda è quella che le tue mani raggiungono. Sono due rubinetti sulla stessa vasca, e uno solo ha la manopola a portata di mano.</w:t>
      </w:r>
    </w:p>
    <w:p>
      <w:pPr>
        <w:pStyle w:val="BodyText"/>
      </w:pPr>
      <w:r>
        <w:rPr>
          <w:b/>
          <w:bCs/>
        </w:rPr>
        <w:t xml:space="preserve">Il radicolare discale</w:t>
      </w:r>
      <w:r>
        <w:t xml:space="preserve"> </w:t>
      </w:r>
      <w:r>
        <w:t xml:space="preserve">è il quadro classico. Il tuo lavoro conta meno di quanto ti aspetti nell’acuto e più di quanto pensi nel subacuto: nel primo mese comandano infiammazione e tempo, dopo comandano lo scorrimento perso e le posizioni che il paziente ha smesso di tollerare.</w:t>
      </w:r>
      <w:r>
        <w:t xml:space="preserve"> </w:t>
      </w:r>
      <w:r>
        <w:rPr>
          <w:b/>
          <w:bCs/>
        </w:rPr>
        <w:t xml:space="preserve">L’eccezione è la protrusione acuta senza deficit: è l’unico quadro del documento con un dato in doppio cieco a favore delle mani</w:t>
      </w:r>
      <w:r>
        <w:t xml:space="preserve"> </w:t>
      </w:r>
      <w:r>
        <w:t xml:space="preserve">(vedi «Perché le mani possono cambiare qualcosa»).</w:t>
      </w:r>
    </w:p>
    <w:p>
      <w:pPr>
        <w:pStyle w:val="BodyText"/>
      </w:pPr>
      <w:r>
        <w:rPr>
          <w:b/>
          <w:bCs/>
        </w:rPr>
        <w:t xml:space="preserve">Il riferito somatico</w:t>
      </w:r>
      <w:r>
        <w:t xml:space="preserve"> </w:t>
      </w:r>
      <w:r>
        <w:t xml:space="preserve">è il più frequente fra i quadri che ti arrivano con il nome di</w:t>
      </w:r>
      <w:r>
        <w:t xml:space="preserve"> </w:t>
      </w:r>
      <w:r>
        <w:t xml:space="preserve">“sciatica”</w:t>
      </w:r>
      <w:r>
        <w:t xml:space="preserve">. I test di tensione neurale non lo riproducono, ed è questo che lo separa dall’extraspinale gluteo. Per la definizione di «Che cos’è davvero» non è una sciatalgia, e la sua leva si studia nelle Bibbie di Lombalgia, Dolore sacroiliaco e Trocanterite.</w:t>
      </w:r>
    </w:p>
    <w:p>
      <w:pPr>
        <w:pStyle w:val="BodyText"/>
      </w:pPr>
      <w:r>
        <w:rPr>
          <w:b/>
          <w:bCs/>
        </w:rPr>
        <w:t xml:space="preserve">L’extraspinale gluteo</w:t>
      </w:r>
      <w:r>
        <w:t xml:space="preserve"> </w:t>
      </w:r>
      <w:r>
        <w:t xml:space="preserve">è il quadro che nessuno guarda, perché la risonanza ha già parlato. Il segnale è la combinazione: dolore dal gluteo, nessuna scarica alla tosse, punto dolente profondo, rotazione d’anca ridotta con anca altrimenti libera. È l’unico sottotipo in cui la struttura sospetta sta sotto le tue mani.</w:t>
      </w:r>
      <w:r>
        <w:t xml:space="preserve"> </w:t>
      </w:r>
      <w:r>
        <w:rPr>
          <w:b/>
          <w:bCs/>
        </w:rPr>
        <w:t xml:space="preserve">La colonna del tipo di dolore qui dice «neuropatico per presentazione», e la parola conta:</w:t>
      </w:r>
      <w:r>
        <w:t xml:space="preserve"> </w:t>
      </w:r>
      <w:r>
        <w:t xml:space="preserve">nella maggior parte dei casi pubblicati il quadro è descritto come miofasciale e non come neuropatia focale, e nessun test li separa (PMID 38697742).</w:t>
      </w:r>
    </w:p>
    <w:p>
      <w:pPr>
        <w:pStyle w:val="BodyText"/>
      </w:pPr>
      <w:r>
        <w:rPr>
          <w:b/>
          <w:bCs/>
        </w:rPr>
        <w:t xml:space="preserve">La compressione risolta con gamba ancora sintomatica</w:t>
      </w:r>
      <w:r>
        <w:t xml:space="preserve"> </w:t>
      </w:r>
      <w:r>
        <w:t xml:space="preserve">è mezza sala d’attesa, e finiva archiviata come radicolare discale. Lì non comanda più l’ingombro: comandano scorrimento e soglia.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ricostruzione clinica di quale meccanismo resta acceso, non un dato misurato su questo sottogruppo.</w:t>
      </w:r>
    </w:p>
    <w:p>
      <w:pPr>
        <w:pStyle w:val="FirstParagraph"/>
      </w:pPr>
      <w:r>
        <w:rPr>
          <w:b/>
          <w:bCs/>
        </w:rPr>
        <w:t xml:space="preserve">Il cronico con segni centrali</w:t>
      </w:r>
      <w:r>
        <w:t xml:space="preserve"> </w:t>
      </w:r>
      <w:r>
        <w:t xml:space="preserve">aggiunge alla riga della tabella i segni dal lato sano o su un arto superiore, e un quadro sproporzionato al reperto. Non è un paziente senza bersaglio: ne ha uno diverso, e lo trovi in «Come ragiono davanti a questo paziente».</w:t>
      </w:r>
    </w:p>
    <w:p>
      <w:pPr>
        <w:pStyle w:val="BodyText"/>
      </w:pPr>
      <w:r>
        <w:rPr>
          <w:b/>
          <w:bCs/>
        </w:rPr>
        <w:t xml:space="preserve">La stenosi del recesso laterale</w:t>
      </w:r>
      <w:r>
        <w:t xml:space="preserve"> </w:t>
      </w:r>
      <w:r>
        <w:t xml:space="preserve">non va confusa con la claudicatio del canale centrale, esclusa in «Che cos’è davvero»: qui il quadro è unilaterale e ha una linea. Le tue mani non allargano l’osso. Lavori sulla tolleranza e sul carico, e lo dici con chiarezza.</w:t>
      </w:r>
    </w:p>
    <w:p>
      <w:pPr>
        <w:pStyle w:val="BodyText"/>
      </w:pPr>
      <w:r>
        <w:rPr>
          <w:b/>
          <w:bCs/>
        </w:rPr>
        <w:t xml:space="preserve">Il quadro con deficit progressivo</w:t>
      </w:r>
      <w:r>
        <w:t xml:space="preserve"> </w:t>
      </w:r>
      <w:r>
        <w:t xml:space="preserve">non è un sottotipo da trattare: è materiale per «Dove finisce il nostro campo», e il valore che porti è la velocità.</w:t>
      </w:r>
    </w:p>
    <w:p>
      <w:pPr>
        <w:pStyle w:val="BodyText"/>
      </w:pPr>
      <w:r>
        <w:rPr>
          <w:b/>
          <w:bCs/>
        </w:rPr>
        <w:t xml:space="preserve">Dove sta la resa, dentro il dolore radicolare vero.</w:t>
      </w:r>
      <w:r>
        <w:t xml:space="preserve"> </w:t>
      </w:r>
      <w:r>
        <w:t xml:space="preserve">Su scorrimento e spazio gluteo profondo, non di più.</w:t>
      </w:r>
    </w:p>
    <w:p>
      <w:pPr>
        <w:pStyle w:val="BodyText"/>
      </w:pPr>
      <w:r>
        <w:rPr>
          <w:b/>
          <w:bCs/>
        </w:rPr>
        <w:t xml:space="preserve">Condizioni spesso associate, e dove si studiano.</w:t>
      </w:r>
      <w:r>
        <w:t xml:space="preserve"> </w:t>
      </w:r>
      <w:r>
        <w:t xml:space="preserve">Mal di schiena senza irradiazione →</w:t>
      </w:r>
      <w:r>
        <w:t xml:space="preserve"> </w:t>
      </w:r>
      <w:r>
        <w:rPr>
          <w:b/>
          <w:bCs/>
        </w:rPr>
        <w:t xml:space="preserve">Lombalgia</w:t>
      </w:r>
      <w:r>
        <w:t xml:space="preserve">; referto che parla di ernia →</w:t>
      </w:r>
      <w:r>
        <w:t xml:space="preserve"> </w:t>
      </w:r>
      <w:r>
        <w:rPr>
          <w:b/>
          <w:bCs/>
        </w:rPr>
        <w:t xml:space="preserve">Ernia del disco</w:t>
      </w:r>
      <w:r>
        <w:t xml:space="preserve">; dolore largo sotto la cintura senza linea →</w:t>
      </w:r>
      <w:r>
        <w:t xml:space="preserve"> </w:t>
      </w:r>
      <w:r>
        <w:rPr>
          <w:b/>
          <w:bCs/>
        </w:rPr>
        <w:t xml:space="preserve">Dolore sacroiliaco</w:t>
      </w:r>
      <w:r>
        <w:t xml:space="preserve">; punto laterale sull’anca →</w:t>
      </w:r>
      <w:r>
        <w:t xml:space="preserve"> </w:t>
      </w:r>
      <w:r>
        <w:rPr>
          <w:b/>
          <w:bCs/>
        </w:rPr>
        <w:t xml:space="preserve">Trocanterite</w:t>
      </w:r>
      <w:r>
        <w:t xml:space="preserve">.</w:t>
      </w:r>
    </w:p>
    <w:p>
      <w:pPr>
        <w:pStyle w:val="BodyText"/>
      </w:pPr>
      <w:r>
        <w:rPr>
          <w:b/>
          <w:bCs/>
        </w:rPr>
        <w:t xml:space="preserve">Le tre cose da ricordare, più una</w:t>
      </w:r>
    </w:p>
    <w:p>
      <w:pPr>
        <w:pStyle w:val="Compact"/>
        <w:numPr>
          <w:ilvl w:val="0"/>
          <w:numId w:val="1016"/>
        </w:numPr>
      </w:pPr>
      <w:r>
        <w:t xml:space="preserve">Il ginocchio è il confine più utile che hai, ma il tipo di dolore separa meglio della topografia.</w:t>
      </w:r>
    </w:p>
    <w:p>
      <w:pPr>
        <w:pStyle w:val="Compact"/>
        <w:numPr>
          <w:ilvl w:val="0"/>
          <w:numId w:val="1016"/>
        </w:numPr>
      </w:pPr>
      <w:r>
        <w:t xml:space="preserve">I sottotipi non si escludono: una scarica alla tosse non ti vieta di esaminare il gluteo, ti vieta di riattribuire il quadro fuori dalla colonna.</w:t>
      </w:r>
    </w:p>
    <w:p>
      <w:pPr>
        <w:pStyle w:val="Compact"/>
        <w:numPr>
          <w:ilvl w:val="0"/>
          <w:numId w:val="1016"/>
        </w:numPr>
      </w:pPr>
      <w:r>
        <w:t xml:space="preserve">Un quadro che migliora piegandosi in avanti non è un radicolare discale, e non risponde alle stesse leve.</w:t>
      </w:r>
    </w:p>
    <w:p>
      <w:pPr>
        <w:pStyle w:val="Compact"/>
        <w:numPr>
          <w:ilvl w:val="0"/>
          <w:numId w:val="1016"/>
        </w:numPr>
      </w:pPr>
      <w:r>
        <w:rPr>
          <w:b/>
          <w:bCs/>
        </w:rPr>
        <w:t xml:space="preserve">Perché ci sei tu.</w:t>
      </w:r>
      <w:r>
        <w:t xml:space="preserve"> </w:t>
      </w:r>
      <w:r>
        <w:t xml:space="preserve">Fra sei e diciassette pazienti su cento visti dallo specialista per una sciatalgia soddisfano i criteri della sindrome glutea profonda, un quadro fuori dalla colonna, e la stima è dichiarata per difetto (Hopayian e Heathcote,</w:t>
      </w:r>
      <w:r>
        <w:t xml:space="preserve"> </w:t>
      </w:r>
      <w:r>
        <w:rPr>
          <w:i/>
          <w:iCs/>
        </w:rPr>
        <w:t xml:space="preserve">Br J Gen Pract</w:t>
      </w:r>
      <w:r>
        <w:t xml:space="preserve"> </w:t>
      </w:r>
      <w:r>
        <w:t xml:space="preserve">2019, PMID 31558515). Questo ti autorizza a esaminare il gluteo prima di accettare che il problema sia solo lombare. Non ti autorizza a spostare fuori dalla colonna un quadro con deficit o scarica alla tosse: quello lo esamini comunque, ma non lo riattribuisci.</w:t>
      </w:r>
    </w:p>
    <w:p>
      <w:r>
        <w:pict>
          <v:rect style="width:0;height:1.5pt" o:hralign="center" o:hrstd="t" o:hr="t"/>
        </w:pict>
      </w:r>
    </w:p>
    <w:bookmarkEnd w:id="37"/>
    <w:bookmarkStart w:id="43"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dati veri, uno porta un razionale forte senza misura, e due vanno usati per quello che sono.</w:t>
      </w:r>
    </w:p>
    <w:bookmarkStart w:id="38" w:name="biomeccanico-strutturale"/>
    <w:p>
      <w:pPr>
        <w:pStyle w:val="Heading3"/>
      </w:pPr>
      <w:r>
        <w:t xml:space="preserve">Biomeccanico-strutturale</w:t>
      </w:r>
    </w:p>
    <w:p>
      <w:pPr>
        <w:pStyle w:val="FirstParagraph"/>
      </w:pPr>
      <w:r>
        <w:rPr>
          <w:b/>
          <w:bCs/>
        </w:rPr>
        <w:t xml:space="preserve">Cosa governa qui.</w:t>
      </w:r>
      <w:r>
        <w:t xml:space="preserve"> </w:t>
      </w:r>
      <w:r>
        <w:t xml:space="preserve">Lo spazio che il contenitore lascia al nervo, e lo scorrimento disponibile lungo il percorso.</w:t>
      </w:r>
    </w:p>
    <w:p>
      <w:pPr>
        <w:pStyle w:val="BodyText"/>
      </w:pPr>
      <w:r>
        <w:rPr>
          <w:b/>
          <w:bCs/>
        </w:rPr>
        <w:t xml:space="preserve">Gli attori.</w:t>
      </w:r>
      <w:r>
        <w:t xml:space="preserve"> </w:t>
      </w:r>
      <w:r>
        <w:t xml:space="preserve">Recesso e forame, disco, tessuto di scorrimento, spazio gluteo profondo, catena posteriore, cerniera dorso-lombare — cioè il passaggio fra le ultime vertebre dorsali e le prime lombari, dove la colonna cambia mestiere.</w:t>
      </w:r>
    </w:p>
    <w:p>
      <w:pPr>
        <w:pStyle w:val="BodyText"/>
      </w:pPr>
      <w:r>
        <w:rPr>
          <w:b/>
          <w:bCs/>
        </w:rPr>
        <w:t xml:space="preserve">I segnali che ti dicono che pesa in questo paziente.</w:t>
      </w:r>
      <w:r>
        <w:t xml:space="preserve"> </w:t>
      </w:r>
      <w:r>
        <w:t xml:space="preserve">Il sintomo cambia con la posizione in modo prevedibile. La rotazione d’anca è ridotta dal lato del dolore. La flessione lombare è limitata e asimmetrica. La differenziazione strutturale è positiva.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il</w:t>
      </w:r>
      <w:r>
        <w:t xml:space="preserve"> </w:t>
      </w:r>
      <w:r>
        <w:rPr>
          <w:b/>
          <w:bCs/>
        </w:rPr>
        <w:t xml:space="preserve">meccanismo</w:t>
      </w:r>
      <w:r>
        <w:t xml:space="preserve">, esposto in «Cosa si rompe», meccanismi 1, 2 e 4.</w:t>
      </w:r>
      <w:r>
        <w:t xml:space="preserve"> </w:t>
      </w:r>
      <w:r>
        <w:rPr>
          <w:b/>
          <w:bCs/>
        </w:rPr>
        <w:t xml:space="preserve">IPOTESI</w:t>
      </w:r>
      <w:r>
        <w:rPr>
          <w:b/>
          <w:bCs/>
        </w:rPr>
        <w:t xml:space="preserve"> </w:t>
      </w:r>
      <w:r>
        <w:rPr>
          <w:b/>
          <w:bCs/>
          <w:i/>
          <w:iCs/>
        </w:rPr>
        <w:t xml:space="preserve">(meccanismo coerente, nessuno studio)</w:t>
      </w:r>
      <w:r>
        <w:t xml:space="preserve"> </w:t>
      </w:r>
      <w:r>
        <w:t xml:space="preserve">per la</w:t>
      </w:r>
      <w:r>
        <w:t xml:space="preserve"> </w:t>
      </w:r>
      <w:r>
        <w:rPr>
          <w:b/>
          <w:bCs/>
        </w:rPr>
        <w:t xml:space="preserve">leva in generale</w:t>
      </w:r>
      <w:r>
        <w:t xml:space="preserve">, con due eccezioni dichiarate in «Perché le mani possono cambiare qualcosa»:</w:t>
      </w:r>
      <w:r>
        <w:t xml:space="preserve"> </w:t>
      </w:r>
      <w:r>
        <w:rPr>
          <w:b/>
          <w:bCs/>
        </w:rPr>
        <w:t xml:space="preserve">PROBABILE</w:t>
      </w:r>
      <w:r>
        <w:rPr>
          <w:b/>
          <w:bCs/>
        </w:rPr>
        <w:t xml:space="preserve"> </w:t>
      </w:r>
      <w:r>
        <w:rPr>
          <w:b/>
          <w:bCs/>
          <w:i/>
          <w:iCs/>
        </w:rPr>
        <w:t xml:space="preserve">(razionale forte, prove parziali)</w:t>
      </w:r>
      <w:r>
        <w:t xml:space="preserve"> </w:t>
      </w:r>
      <w:r>
        <w:t xml:space="preserve">per la mobilizzazione neurale sullo scorrimento, e</w:t>
      </w:r>
      <w:r>
        <w:t xml:space="preserve"> </w:t>
      </w:r>
      <w:r>
        <w:rPr>
          <w:b/>
          <w:bCs/>
        </w:rPr>
        <w:t xml:space="preserve">PROBABILE</w:t>
      </w:r>
      <w:r>
        <w:t xml:space="preserve"> </w:t>
      </w:r>
      <w:r>
        <w:t xml:space="preserve">limitato al sottogruppo protrusione acuta senza deficit per la manipolazione.</w:t>
      </w:r>
    </w:p>
    <w:bookmarkEnd w:id="38"/>
    <w:bookmarkStart w:id="39" w:name="respiratorio-circolatorio"/>
    <w:p>
      <w:pPr>
        <w:pStyle w:val="Heading3"/>
      </w:pPr>
      <w:r>
        <w:t xml:space="preserve">Respiratorio-circolatorio</w:t>
      </w:r>
    </w:p>
    <w:p>
      <w:pPr>
        <w:pStyle w:val="FirstParagraph"/>
      </w:pPr>
      <w:r>
        <w:rPr>
          <w:b/>
          <w:bCs/>
        </w:rPr>
        <w:t xml:space="preserve">Modello non portante su questa condizione, con l’ambito ristretto e dichiarato.</w:t>
      </w:r>
      <w:r>
        <w:t xml:space="preserve"> </w:t>
      </w:r>
      <w:r>
        <w:t xml:space="preserve">Resta uno dei cinque, con la sua etichetta e i suoi segnali: è l’ambito a essere stretto, non il modello a essere tolto.</w:t>
      </w:r>
    </w:p>
    <w:p>
      <w:pPr>
        <w:pStyle w:val="BodyText"/>
      </w:pPr>
      <w:r>
        <w:rPr>
          <w:b/>
          <w:bCs/>
        </w:rPr>
        <w:t xml:space="preserve">Cosa governa qui.</w:t>
      </w:r>
      <w:r>
        <w:t xml:space="preserve"> </w:t>
      </w:r>
      <w:r>
        <w:t xml:space="preserve">La trasmissione della pressione da torace e addome al plesso venoso epidurale attorno alla radice.</w:t>
      </w:r>
      <w:r>
        <w:t xml:space="preserve"> </w:t>
      </w:r>
      <w:r>
        <w:rPr>
          <w:b/>
          <w:bCs/>
        </w:rPr>
        <w:t xml:space="preserve">Non</w:t>
      </w:r>
      <w:r>
        <w:t xml:space="preserve"> </w:t>
      </w:r>
      <w:r>
        <w:t xml:space="preserve">il drenaggio dei tessuti, che su questo distretto nessuno ha misurato.</w:t>
      </w:r>
    </w:p>
    <w:p>
      <w:pPr>
        <w:pStyle w:val="BodyText"/>
      </w:pPr>
      <w:r>
        <w:rPr>
          <w:b/>
          <w:bCs/>
        </w:rPr>
        <w:t xml:space="preserve">Gli attori.</w:t>
      </w:r>
      <w:r>
        <w:t xml:space="preserve"> </w:t>
      </w:r>
      <w:r>
        <w:t xml:space="preserve">Diaframma, parete addominale, plesso venoso epidurale, manicotto durale.</w:t>
      </w:r>
    </w:p>
    <w:p>
      <w:pPr>
        <w:pStyle w:val="BodyText"/>
      </w:pPr>
      <w:r>
        <w:rPr>
          <w:b/>
          <w:bCs/>
        </w:rPr>
        <w:t xml:space="preserve">I segnali che ti dicono che pesa in questo paziente.</w:t>
      </w:r>
      <w:r>
        <w:t xml:space="preserve"> </w:t>
      </w:r>
      <w:r>
        <w:t xml:space="preserve">Scarica alla tosse e allo sforzo a glottide chiusa. Peggioramento notturno da fermo. Sintomo che cambia con la spinta in bagno.</w:t>
      </w:r>
    </w:p>
    <w:p>
      <w:pPr>
        <w:pStyle w:val="BodyText"/>
      </w:pPr>
      <w:r>
        <w:t xml:space="preserve">La pressione dentro torace e addome si trasmette al canale e al plesso venoso epidurale. È la fisiologia della scarica al Valsalva, e vive già in «Le strutture in gioco» come</w:t>
      </w:r>
      <w:r>
        <w:t xml:space="preserve"> </w:t>
      </w:r>
      <w:r>
        <w:rPr>
          <w:b/>
          <w:bCs/>
        </w:rPr>
        <w:t xml:space="preserve">segno di provocazione</w:t>
      </w:r>
      <w:r>
        <w:t xml:space="preserve">: un segno che dice</w:t>
      </w:r>
      <w:r>
        <w:t xml:space="preserve"> </w:t>
      </w:r>
      <w:r>
        <w:rPr>
          <w:i/>
          <w:iCs/>
        </w:rPr>
        <w:t xml:space="preserve">dove</w:t>
      </w:r>
      <w:r>
        <w:t xml:space="preserve"> </w:t>
      </w:r>
      <w:r>
        <w:t xml:space="preserve">sta la lesione, non che questo modello sia la lente operativa.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l’intero modello. La congestione venosa attorno alla radice resta un meccanismo dichiarato: autorizza a spiegare al paziente perché la notte e la tosse sono peggio,</w:t>
      </w:r>
      <w:r>
        <w:t xml:space="preserve"> </w:t>
      </w:r>
      <w:r>
        <w:rPr>
          <w:b/>
          <w:bCs/>
        </w:rPr>
        <w:t xml:space="preserve">non autorizza nessuna promessa di drenaggio</w:t>
      </w:r>
      <w:r>
        <w:t xml:space="preserve">. Nessuno ha misurato la pressione epidurale prima e dopo un lavoro manuale, e la ricerca su questo punto non trova studi.</w:t>
      </w:r>
    </w:p>
    <w:bookmarkEnd w:id="39"/>
    <w:bookmarkStart w:id="40" w:name="neurologico"/>
    <w:p>
      <w:pPr>
        <w:pStyle w:val="Heading3"/>
      </w:pPr>
      <w:r>
        <w:t xml:space="preserve">Neurologico</w:t>
      </w:r>
    </w:p>
    <w:p>
      <w:pPr>
        <w:pStyle w:val="FirstParagraph"/>
      </w:pPr>
      <w:r>
        <w:rPr>
          <w:b/>
          <w:bCs/>
        </w:rPr>
        <w:t xml:space="preserve">Cosa governa qui.</w:t>
      </w:r>
      <w:r>
        <w:t xml:space="preserve"> </w:t>
      </w:r>
      <w:r>
        <w:t xml:space="preserve">L’irritazione della radice, la scarica ectopica dal ganglio, l’infiammazione, e la soglia a cui il sistema segnala pericolo.</w:t>
      </w:r>
    </w:p>
    <w:p>
      <w:pPr>
        <w:pStyle w:val="BodyText"/>
      </w:pPr>
      <w:r>
        <w:rPr>
          <w:b/>
          <w:bCs/>
        </w:rPr>
        <w:t xml:space="preserve">Gli attori.</w:t>
      </w:r>
      <w:r>
        <w:t xml:space="preserve"> </w:t>
      </w:r>
      <w:r>
        <w:t xml:space="preserve">Radice e manicotto durale, ganglio della radice dorsale, corno posteriore, sistema immunitario locale.</w:t>
      </w:r>
    </w:p>
    <w:p>
      <w:pPr>
        <w:pStyle w:val="BodyText"/>
      </w:pPr>
      <w:r>
        <w:rPr>
          <w:b/>
          <w:bCs/>
        </w:rPr>
        <w:t xml:space="preserve">I segnali che ti dicono che pesa in questo paziente.</w:t>
      </w:r>
      <w:r>
        <w:t xml:space="preserve"> </w:t>
      </w:r>
      <w:r>
        <w:t xml:space="preserve">Bruciore continuo invece di fitte, che parte da fermo. Sintomi notturni. Zone di ipoestesia. Dolore evocato da uno stimolo leggero, o ipersensibilità oltre il territorio di una singola radice.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infiammazione e scarica ectopica (PMID 32766466).</w:t>
      </w:r>
      <w:r>
        <w:t xml:space="preserve"> </w:t>
      </w:r>
      <w:r>
        <w:rPr>
          <w:b/>
          <w:bCs/>
        </w:rPr>
        <w:t xml:space="preserve">PROBABILE</w:t>
      </w:r>
      <w:r>
        <w:rPr>
          <w:b/>
          <w:bCs/>
        </w:rPr>
        <w:t xml:space="preserve"> </w:t>
      </w:r>
      <w:r>
        <w:rPr>
          <w:b/>
          <w:bCs/>
          <w:i/>
          <w:iCs/>
        </w:rPr>
        <w:t xml:space="preserve">(razionale forte, prove parziali)</w:t>
      </w:r>
      <w:r>
        <w:t xml:space="preserve"> </w:t>
      </w:r>
      <w:r>
        <w:t xml:space="preserve">per la diffusione al ganglio, misurata nel ratto (PMID 23771220). Entrambi sono esposti in «Cosa si rompe», meccanismi 1 e 5.</w:t>
      </w:r>
      <w:r>
        <w:t xml:space="preserve"> </w:t>
      </w:r>
      <w:r>
        <w:rPr>
          <w:b/>
          <w:bCs/>
        </w:rPr>
        <w:t xml:space="preserve">IPOTESI</w:t>
      </w:r>
      <w:r>
        <w:rPr>
          <w:b/>
          <w:bCs/>
        </w:rPr>
        <w:t xml:space="preserve"> </w:t>
      </w:r>
      <w:r>
        <w:rPr>
          <w:b/>
          <w:bCs/>
          <w:i/>
          <w:iCs/>
        </w:rPr>
        <w:t xml:space="preserve">(meccanismo coerente, nessuno studio)</w:t>
      </w:r>
      <w:r>
        <w:t xml:space="preserve"> </w:t>
      </w:r>
      <w:r>
        <w:t xml:space="preserve">per l’idea che il contatto manuale modifichi questa infiammazione.</w:t>
      </w:r>
    </w:p>
    <w:bookmarkEnd w:id="40"/>
    <w:bookmarkStart w:id="41" w:name="metabolico-energetico"/>
    <w:p>
      <w:pPr>
        <w:pStyle w:val="Heading3"/>
      </w:pPr>
      <w:r>
        <w:t xml:space="preserve">Metabolico-energetico</w:t>
      </w:r>
    </w:p>
    <w:p>
      <w:pPr>
        <w:pStyle w:val="FirstParagraph"/>
      </w:pPr>
      <w:r>
        <w:rPr>
          <w:b/>
          <w:bCs/>
        </w:rPr>
        <w:t xml:space="preserve">Cosa governa qui.</w:t>
      </w:r>
      <w:r>
        <w:t xml:space="preserve"> </w:t>
      </w:r>
      <w:r>
        <w:t xml:space="preserve">Le condizioni generali che rendono un nervo più o meno capace di tollerare una compressione e di ripararsi.</w:t>
      </w:r>
    </w:p>
    <w:p>
      <w:pPr>
        <w:pStyle w:val="BodyText"/>
      </w:pPr>
      <w:r>
        <w:rPr>
          <w:b/>
          <w:bCs/>
        </w:rPr>
        <w:t xml:space="preserve">Gli attori.</w:t>
      </w:r>
      <w:r>
        <w:t xml:space="preserve"> </w:t>
      </w:r>
      <w:r>
        <w:t xml:space="preserve">Diabete, fumo, peso, sonno, farmaci in corso.</w:t>
      </w:r>
    </w:p>
    <w:p>
      <w:pPr>
        <w:pStyle w:val="BodyText"/>
      </w:pPr>
      <w:r>
        <w:rPr>
          <w:b/>
          <w:bCs/>
        </w:rPr>
        <w:t xml:space="preserve">I segnali che ti dicono che pesa in questo paziente.</w:t>
      </w:r>
      <w:r>
        <w:t xml:space="preserve"> </w:t>
      </w:r>
      <w:r>
        <w:t xml:space="preserve">Sintomi anche dall’altra gamba, o a calza sui due piedi. Fumo importante. Sonno rotto da settimane. Nessuna risposta a niente, in un quadro banale.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w:t>
      </w:r>
      <w:r>
        <w:t xml:space="preserve"> </w:t>
      </w:r>
      <w:r>
        <w:rPr>
          <w:b/>
          <w:bCs/>
        </w:rPr>
        <w:t xml:space="preserve">fattore di rischio</w:t>
      </w:r>
      <w:r>
        <w:t xml:space="preserve">: l’obesità dà OR 1,40 sul dolore radicolare e 1,89 sulla chirurgia da ernia, su 26 studi (Shiri,</w:t>
      </w:r>
      <w:r>
        <w:t xml:space="preserve"> </w:t>
      </w:r>
      <w:r>
        <w:rPr>
          <w:i/>
          <w:iCs/>
        </w:rPr>
        <w:t xml:space="preserve">Am J Epidemiol</w:t>
      </w:r>
      <w:r>
        <w:t xml:space="preserve"> </w:t>
      </w:r>
      <w:r>
        <w:t xml:space="preserve">2014, PMID 24569641); il fumo attuale dà OR 1,46 su 28 studi e 459.023 partecipanti (Shiri e Falah-Hassani,</w:t>
      </w:r>
      <w:r>
        <w:t xml:space="preserve"> </w:t>
      </w:r>
      <w:r>
        <w:rPr>
          <w:i/>
          <w:iCs/>
        </w:rPr>
        <w:t xml:space="preserve">Am J Med</w:t>
      </w:r>
      <w:r>
        <w:t xml:space="preserve"> </w:t>
      </w:r>
      <w:r>
        <w:t xml:space="preserve">2016, PMID 26403480).</w:t>
      </w:r>
      <w:r>
        <w:t xml:space="preserve"> </w:t>
      </w:r>
      <w:r>
        <w:rPr>
          <w:b/>
          <w:bCs/>
        </w:rPr>
        <w:t xml:space="preserve">Nessuna leva osteopatica</w:t>
      </w:r>
      <w:r>
        <w:t xml:space="preserve">, e il cerchio si chiude con il dato negativo: BMI e fumo non predicono l’esito nella sciatalgia trattata senza chirurgia (Verwoerd,</w:t>
      </w:r>
      <w:r>
        <w:t xml:space="preserve"> </w:t>
      </w:r>
      <w:r>
        <w:rPr>
          <w:i/>
          <w:iCs/>
        </w:rPr>
        <w:t xml:space="preserve">Eur J Pain</w:t>
      </w:r>
      <w:r>
        <w:t xml:space="preserve"> </w:t>
      </w:r>
      <w:r>
        <w:t xml:space="preserve">2013, PMID 23494852). Si valuta, si segnala e si rinvia al curante.</w:t>
      </w:r>
    </w:p>
    <w:bookmarkEnd w:id="41"/>
    <w:bookmarkStart w:id="42"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Quanto il paziente si muove, cosa crede che gli stia succedendo, e quanto quella credenza gli restringe la vita.</w:t>
      </w:r>
    </w:p>
    <w:p>
      <w:pPr>
        <w:pStyle w:val="BodyText"/>
      </w:pPr>
      <w:r>
        <w:rPr>
          <w:b/>
          <w:bCs/>
        </w:rPr>
        <w:t xml:space="preserve">Gli attori.</w:t>
      </w:r>
      <w:r>
        <w:t xml:space="preserve"> </w:t>
      </w:r>
      <w:r>
        <w:t xml:space="preserve">Aspettativa sul recupero, paura del movimento, significato attribuito al referto.</w:t>
      </w:r>
    </w:p>
    <w:p>
      <w:pPr>
        <w:pStyle w:val="BodyText"/>
      </w:pPr>
      <w:r>
        <w:rPr>
          <w:b/>
          <w:bCs/>
        </w:rPr>
        <w:t xml:space="preserve">I segnali che ti dicono che pesa in questo paziente.</w:t>
      </w:r>
      <w:r>
        <w:t xml:space="preserve"> </w:t>
      </w:r>
      <w:r>
        <w:t xml:space="preserve">Ti riferisce la risonanza prima del sintomo. Ha smesso di fare cose che potrebbe fare. Ripete sempre uguale una frase sentita da qualcun altro. Chiede se muovendosi può peggiorare.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w:t>
      </w:r>
      <w:r>
        <w:t xml:space="preserve"> </w:t>
      </w:r>
      <w:r>
        <w:rPr>
          <w:b/>
          <w:bCs/>
        </w:rPr>
        <w:t xml:space="preserve">predittore di esito</w:t>
      </w:r>
      <w:r>
        <w:t xml:space="preserve"> </w:t>
      </w:r>
      <w:r>
        <w:t xml:space="preserve">in 609 pazienti con questa condizione (PMID 29174459).</w:t>
      </w:r>
      <w:r>
        <w:t xml:space="preserve"> </w:t>
      </w:r>
      <w:r>
        <w:rPr>
          <w:b/>
          <w:bCs/>
        </w:rPr>
        <w:t xml:space="preserve">PROBABILE</w:t>
      </w:r>
      <w:r>
        <w:rPr>
          <w:b/>
          <w:bCs/>
        </w:rPr>
        <w:t xml:space="preserve"> </w:t>
      </w:r>
      <w:r>
        <w:rPr>
          <w:b/>
          <w:bCs/>
          <w:i/>
          <w:iCs/>
        </w:rPr>
        <w:t xml:space="preserve">(razionale forte, prove parziali)</w:t>
      </w:r>
      <w:r>
        <w:t xml:space="preserve"> </w:t>
      </w:r>
      <w:r>
        <w:t xml:space="preserve">che un intervento su queste variabili cambi l’esito: la prova più solida viene da 492 adulti con lombalgia cronica disabilitante, non da pazienti con sciatalgia (Kent,</w:t>
      </w:r>
      <w:r>
        <w:t xml:space="preserve"> </w:t>
      </w:r>
      <w:r>
        <w:rPr>
          <w:i/>
          <w:iCs/>
        </w:rPr>
        <w:t xml:space="preserve">Lancet</w:t>
      </w:r>
      <w:r>
        <w:t xml:space="preserve"> </w:t>
      </w:r>
      <w:r>
        <w:t xml:space="preserve">2023, PMID 37146623).</w:t>
      </w:r>
    </w:p>
    <w:p>
      <w:pPr>
        <w:pStyle w:val="BlockText"/>
      </w:pPr>
      <w:r>
        <w:rPr>
          <w:b/>
          <w:bCs/>
        </w:rPr>
        <w:t xml:space="preserve">Cosa cambia per te.</w:t>
      </w:r>
      <w:r>
        <w:t xml:space="preserve"> </w:t>
      </w:r>
      <w:r>
        <w:t xml:space="preserve">Questa è la regola del ponte, e come si applica qui. Un dato ottenuto fuori da questa condizione alza l’etichetta del</w:t>
      </w:r>
      <w:r>
        <w:t xml:space="preserve"> </w:t>
      </w:r>
      <w:r>
        <w:rPr>
          <w:b/>
          <w:bCs/>
        </w:rPr>
        <w:t xml:space="preserve">meccanismo</w:t>
      </w:r>
      <w:r>
        <w:t xml:space="preserve">, mai quella della leva. Un solo caso fa eccezione, e va dichiarato ogni volta: un</w:t>
      </w:r>
      <w:r>
        <w:t xml:space="preserve"> </w:t>
      </w:r>
      <w:r>
        <w:rPr>
          <w:b/>
          <w:bCs/>
        </w:rPr>
        <w:t xml:space="preserve">intervento con esito clinico</w:t>
      </w:r>
      <w:r>
        <w:t xml:space="preserve"> </w:t>
      </w:r>
      <w:r>
        <w:t xml:space="preserve">testato su una popolazione contigua (lombalgia cronica disabilitante) può reggere PROBABILE per la leva, declassato di un grado e con la popolazione scritta accanto. Un</w:t>
      </w:r>
      <w:r>
        <w:t xml:space="preserve"> </w:t>
      </w:r>
      <w:r>
        <w:rPr>
          <w:b/>
          <w:bCs/>
        </w:rPr>
        <w:t xml:space="preserve">indice fisiologico</w:t>
      </w:r>
      <w:r>
        <w:t xml:space="preserve"> </w:t>
      </w:r>
      <w:r>
        <w:t xml:space="preserve">misurato in volontari sani non regge mai una leva: resta meccanismo.</w:t>
      </w:r>
    </w:p>
    <w:p>
      <w:pPr>
        <w:pStyle w:val="FirstParagraph"/>
      </w:pPr>
      <w:r>
        <w:rPr>
          <w:b/>
          <w:bCs/>
        </w:rPr>
        <w:t xml:space="preserve">Le tre cose da ricordare, più una</w:t>
      </w:r>
    </w:p>
    <w:p>
      <w:pPr>
        <w:pStyle w:val="Compact"/>
        <w:numPr>
          <w:ilvl w:val="0"/>
          <w:numId w:val="1017"/>
        </w:numPr>
      </w:pPr>
      <w:r>
        <w:t xml:space="preserve">Su questa condizione il modello con i dati migliori è il Neurologico, e riguarda il meccanismo, non la tua mano.</w:t>
      </w:r>
    </w:p>
    <w:p>
      <w:pPr>
        <w:pStyle w:val="Compact"/>
        <w:numPr>
          <w:ilvl w:val="0"/>
          <w:numId w:val="1017"/>
        </w:numPr>
      </w:pPr>
      <w:r>
        <w:t xml:space="preserve">Il Respiratorio-Circolatorio qui ha l’ambito ristretto: dà un segno di provocazione — la scarica al Valsalva — non una leva, e va detto al paziente e scritto in cartella.</w:t>
      </w:r>
    </w:p>
    <w:p>
      <w:pPr>
        <w:pStyle w:val="Compact"/>
        <w:numPr>
          <w:ilvl w:val="0"/>
          <w:numId w:val="1017"/>
        </w:numPr>
      </w:pPr>
      <w:r>
        <w:t xml:space="preserve">Il modello Comportamentale è dimostrato come predittore e probabile come leva su un’altra popolazione: sono tre cose diverse e vanno tenute separate.</w:t>
      </w:r>
    </w:p>
    <w:p>
      <w:pPr>
        <w:pStyle w:val="Compact"/>
        <w:numPr>
          <w:ilvl w:val="0"/>
          <w:numId w:val="1017"/>
        </w:numPr>
      </w:pPr>
      <w:r>
        <w:rPr>
          <w:b/>
          <w:bCs/>
        </w:rPr>
        <w:t xml:space="preserve">Perché ci sei tu.</w:t>
      </w:r>
      <w:r>
        <w:t xml:space="preserve"> </w:t>
      </w:r>
      <w:r>
        <w:t xml:space="preserve">Fumo e obesità sono fattori di rischio misurati per il dolore radicolare, su decine di studi e centinaia di migliaia di persone (PMID 24569641; PMID 26403480). Questo ti autorizza a fare quelle domande in anamnesi con un motivo scritto. Non ti autorizza a costruirci sopra una leva: sull’esito della sciatalgia già in corso, quegli stessi fattori non predicono niente (PMID 23494852).</w:t>
      </w:r>
    </w:p>
    <w:p>
      <w:r>
        <w:pict>
          <v:rect style="width:0;height:1.5pt" o:hralign="center" o:hrstd="t" o:hr="t"/>
        </w:pict>
      </w:r>
    </w:p>
    <w:bookmarkEnd w:id="42"/>
    <w:bookmarkEnd w:id="43"/>
    <w:bookmarkStart w:id="5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dolore alla gamba è la punta; il tuo lavoro è decidere quale dei cinque guasti consuma la capacità di adattamento di questo paziente, e su cosa lo verifichi.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tutto il capitolo. È il modo in cui si decide su cosa agire per primo, non qualcosa che sia stato misurato.</w:t>
      </w:r>
    </w:p>
    <w:p>
      <w:pPr>
        <w:pStyle w:val="BlockText"/>
      </w:pPr>
      <w:r>
        <w:rPr>
          <w:b/>
          <w:bCs/>
        </w:rPr>
        <w:t xml:space="preserve">Definizione.</w:t>
      </w:r>
      <w:r>
        <w:t xml:space="preserve"> </w:t>
      </w:r>
      <w:r>
        <w:t xml:space="preserve">Un</w:t>
      </w:r>
      <w:r>
        <w:t xml:space="preserve"> </w:t>
      </w:r>
      <w:r>
        <w:rPr>
          <w:b/>
          <w:bCs/>
        </w:rPr>
        <w:t xml:space="preserve">piano</w:t>
      </w:r>
      <w:r>
        <w:t xml:space="preserve"> </w:t>
      </w:r>
      <w:r>
        <w:t xml:space="preserve">è uno dei tre livelli su cui puoi lavorare qui: il livello di attivazione, il contenitore lombo-pelvico, il percorso del nervo lungo l’arto. La regola della prova si gioca fra loro.</w:t>
      </w:r>
      <w:r>
        <w:t xml:space="preserve"> </w:t>
      </w:r>
      <w:r>
        <w:rPr>
          <w:b/>
          <w:bCs/>
        </w:rPr>
        <w:t xml:space="preserve">I cinque meccanismi di «Cosa si rompe» rientrano in questi tre piani:</w:t>
      </w:r>
      <w:r>
        <w:t xml:space="preserve"> </w:t>
      </w:r>
      <w:r>
        <w:t xml:space="preserve">il primo e il secondo fra percorso del nervo e contenitore, il terzo sul percorso del nervo, il quarto sul contenitore, il quinto sul livello di attivazione.</w:t>
      </w:r>
    </w:p>
    <w:p>
      <w:pPr>
        <w:pStyle w:val="BlockText"/>
      </w:pPr>
      <w:r>
        <w:t xml:space="preserve">Il</w:t>
      </w:r>
      <w:r>
        <w:t xml:space="preserve"> </w:t>
      </w:r>
      <w:r>
        <w:rPr>
          <w:b/>
          <w:bCs/>
        </w:rPr>
        <w:t xml:space="preserve">livello di attivazione</w:t>
      </w:r>
      <w:r>
        <w:t xml:space="preserve"> </w:t>
      </w:r>
      <w:r>
        <w:t xml:space="preserve">è quanto il sistema nervoso di questo paziente sta segnalando pericolo in generale, indipendentemente dal reperto. Lo leggi da: quadro sproporzionato al reperto, tessuto che reagisce al primo contatto, ipersensibilità oltre il territorio, nessuna posizione che spenga.</w:t>
      </w:r>
    </w:p>
    <w:p>
      <w:pPr>
        <w:pStyle w:val="BlockText"/>
      </w:pP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lockText"/>
      </w:pP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i/>
          <w:iCs/>
        </w:rPr>
        <w:t xml:space="preserve">Le ultime quattro sono testo fisso del metodo, uguale in tutte le Bibbie. Valgono per tutto il documento e non vengono ripetute capitolo per capitolo.</w:t>
      </w:r>
    </w:p>
    <w:bookmarkStart w:id="44" w:name="Xae99fc2cfd90acf9a65506f197ec3b75c301e6e"/>
    <w:p>
      <w:pPr>
        <w:pStyle w:val="Heading3"/>
      </w:pPr>
      <w:r>
        <w:t xml:space="preserve">Prima di tutto: quanto è irritabile questo quadro</w:t>
      </w:r>
    </w:p>
    <w:p>
      <w:pPr>
        <w:pStyle w:val="FirstParagraph"/>
      </w:pPr>
      <w:r>
        <w:t xml:space="preserve">Tre domande decidono quanto puoi fare oggi.</w:t>
      </w:r>
      <w:r>
        <w:t xml:space="preserve"> </w:t>
      </w:r>
      <w:r>
        <w:rPr>
          <w:b/>
          <w:bCs/>
        </w:rPr>
        <w:t xml:space="preserve">Quanto poco basta a scatenare il sintomo. Quanto ci mette a comparire. Quanto dura lo strascico.</w:t>
      </w:r>
      <w:r>
        <w:t xml:space="preserve"> </w:t>
      </w:r>
      <w:r>
        <w:t xml:space="preserve">Un nervo che si accende al primo movimento e resta acceso due giorni non regge la stessa giornata di uno che si accende a fine escursione e si spegne in un minuto. Senza questo criterio la cultura del marker spinge a provocare ripetutamente il nervo più reattivo che hai in studio: il paziente peggiora per tre giorni, e non torna.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w:t>
      </w:r>
    </w:p>
    <w:bookmarkEnd w:id="44"/>
    <w:bookmarkStart w:id="45" w:name="la-punta-e-il-sommerso"/>
    <w:p>
      <w:pPr>
        <w:pStyle w:val="Heading3"/>
      </w:pPr>
      <w:r>
        <w:t xml:space="preserve">La punta e il sommerso</w:t>
      </w:r>
    </w:p>
    <w:p>
      <w:pPr>
        <w:pStyle w:val="FirstParagraph"/>
      </w:pPr>
      <w:r>
        <w:t xml:space="preserve">Il</w:t>
      </w:r>
      <w:r>
        <w:t xml:space="preserve"> </w:t>
      </w:r>
      <w:r>
        <w:rPr>
          <w:b/>
          <w:bCs/>
        </w:rPr>
        <w:t xml:space="preserve">sistema dominante</w:t>
      </w:r>
      <w:r>
        <w:t xml:space="preserve"> </w:t>
      </w:r>
      <w:r>
        <w:t xml:space="preserve">non si legge dal sintomo. Tre pazienti fanno lo stesso gesto, la mano che scende dal gluteo al polpaccio, e hanno tre sommersi diversi. L’andatura antalgica e la gamba che non viene caricata sono</w:t>
      </w:r>
      <w:r>
        <w:t xml:space="preserve"> </w:t>
      </w:r>
      <w:r>
        <w:rPr>
          <w:b/>
          <w:bCs/>
        </w:rPr>
        <w:t xml:space="preserve">compensi</w:t>
      </w:r>
      <w:r>
        <w:t xml:space="preserve"> </w:t>
      </w:r>
      <w:r>
        <w:t xml:space="preserve">puri: dicono che il sistema sta reggendo, non dove si è rotto.</w:t>
      </w:r>
      <w:r>
        <w:t xml:space="preserve"> </w:t>
      </w:r>
      <w:r>
        <w:rPr>
          <w:b/>
          <w:bCs/>
        </w:rPr>
        <w:t xml:space="preserve">La deviazione laterale del busto è un compenso diverso</w:t>
      </w:r>
      <w:r>
        <w:t xml:space="preserve">, perché porta un’informazione: cambia con il carico, e il fatto che cambi o non cambi ti dice qualcosa.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che la deviazione laterale porti informazione sul dominante è coerente con la meccanica, e nessuno l’ha misurato sulla sciatalgia.</w:t>
      </w:r>
    </w:p>
    <w:p>
      <w:pPr>
        <w:pStyle w:val="FirstParagraph"/>
      </w:pPr>
      <w:r>
        <w:rPr>
          <w:b/>
          <w:bCs/>
        </w:rPr>
        <w:t xml:space="preserve">Il primo</w:t>
      </w:r>
      <w:r>
        <w:t xml:space="preserve"> </w:t>
      </w:r>
      <w:r>
        <w:t xml:space="preserve">ha il dolore da tre settimane, la scarica alla tosse, SLR positivo a venticinque gradi e una zona del piede che sente meno. Il sommerso è l’infiammazione attorno alla radice.</w:t>
      </w:r>
      <w:r>
        <w:t xml:space="preserve"> </w:t>
      </w:r>
      <w:r>
        <w:rPr>
          <w:b/>
          <w:bCs/>
        </w:rPr>
        <w:t xml:space="preserve">Quello che fai:</w:t>
      </w:r>
      <w:r>
        <w:t xml:space="preserve"> </w:t>
      </w:r>
      <w:r>
        <w:t xml:space="preserve">c’è un deficit sensitivo, quindi parti dall’invio al curante previsto dalla tabella, con comunicazione scritta e scadenza. Sei in GIALLO, quindi lavori in parallelo e non al posto. Dichiari che l’obiettivo è allargare le posizioni tollerate, non togliere il dolore, e lavori lontano dal punto irritato.</w:t>
      </w:r>
      <w:r>
        <w:t xml:space="preserve"> </w:t>
      </w:r>
      <w:r>
        <w:rPr>
          <w:b/>
          <w:bCs/>
        </w:rPr>
        <w:t xml:space="preserve">Esito:</w:t>
      </w:r>
      <w:r>
        <w:t xml:space="preserve"> </w:t>
      </w:r>
      <w:r>
        <w:t xml:space="preserve">i gradi di comparsa.</w:t>
      </w:r>
      <w:r>
        <w:t xml:space="preserve"> </w:t>
      </w:r>
      <w:r>
        <w:rPr>
          <w:b/>
          <w:bCs/>
        </w:rPr>
        <w:t xml:space="preserve">Prova:</w:t>
      </w:r>
      <w:r>
        <w:t xml:space="preserve"> </w:t>
      </w:r>
      <w:r>
        <w:t xml:space="preserve">flessione lombare o rotazione d’anca, quella dei due che non hai trattato.</w:t>
      </w:r>
    </w:p>
    <w:p>
      <w:pPr>
        <w:pStyle w:val="BodyText"/>
      </w:pPr>
      <w:r>
        <w:rPr>
          <w:b/>
          <w:bCs/>
        </w:rPr>
        <w:t xml:space="preserve">Il secondo</w:t>
      </w:r>
      <w:r>
        <w:t xml:space="preserve"> </w:t>
      </w:r>
      <w:r>
        <w:t xml:space="preserve">ha il dolore da cinque mesi, nessuna scarica, una gamba che tira appena si siede a ginocchia distese, rotazione d’anca meno quindici gradi. Prima di andare avanti, una domanda: quella rotazione ridotta è l’anca o è il nervo? Se fosse l’anca sarebbe limitata in tutti i piani e dolorosa in inguine. Qui l’anca per il resto è libera, e il sommerso è la meccanica del contenitore.</w:t>
      </w:r>
      <w:r>
        <w:t xml:space="preserve"> </w:t>
      </w:r>
      <w:r>
        <w:rPr>
          <w:b/>
          <w:bCs/>
        </w:rPr>
        <w:t xml:space="preserve">Quello che fai:</w:t>
      </w:r>
      <w:r>
        <w:t xml:space="preserve"> </w:t>
      </w:r>
      <w:r>
        <w:t xml:space="preserve">lavori sui tessuti che limitano lo scorrimento.</w:t>
      </w:r>
      <w:r>
        <w:t xml:space="preserve"> </w:t>
      </w:r>
      <w:r>
        <w:rPr>
          <w:b/>
          <w:bCs/>
        </w:rPr>
        <w:t xml:space="preserve">Esito:</w:t>
      </w:r>
      <w:r>
        <w:t xml:space="preserve"> </w:t>
      </w:r>
      <w:r>
        <w:t xml:space="preserve">la differenziazione strutturale.</w:t>
      </w:r>
      <w:r>
        <w:t xml:space="preserve"> </w:t>
      </w:r>
      <w:r>
        <w:rPr>
          <w:b/>
          <w:bCs/>
        </w:rPr>
        <w:t xml:space="preserve">Prova:</w:t>
      </w:r>
      <w:r>
        <w:t xml:space="preserve"> </w:t>
      </w:r>
      <w:r>
        <w:t xml:space="preserve">la flessione lombare, che è il piano che non hai trattato.</w:t>
      </w:r>
    </w:p>
    <w:p>
      <w:pPr>
        <w:pStyle w:val="BodyText"/>
      </w:pPr>
      <w:r>
        <w:rPr>
          <w:b/>
          <w:bCs/>
        </w:rPr>
        <w:t xml:space="preserve">Il terzo</w:t>
      </w:r>
      <w:r>
        <w:t xml:space="preserve"> </w:t>
      </w:r>
      <w:r>
        <w:t xml:space="preserve">ha un reperto piccolo e un quadro grande, con l’ipersensibilità che esce dal territorio, e ripete che la gamba prima o poi cederà. Il sommerso è il livello di attivazione.</w:t>
      </w:r>
    </w:p>
    <w:p>
      <w:pPr>
        <w:pStyle w:val="BlockText"/>
      </w:pPr>
      <w:r>
        <w:rPr>
          <w:b/>
          <w:bCs/>
        </w:rPr>
        <w:t xml:space="preserve">Cosa cambia per te.</w:t>
      </w:r>
      <w:r>
        <w:t xml:space="preserve"> </w:t>
      </w:r>
      <w:r>
        <w:t xml:space="preserve">Non è un capolinea, e crederlo è l’errore più costoso che si possa fare qui. Se il livello di attivazione è quello che comanda, allora</w:t>
      </w:r>
      <w:r>
        <w:t xml:space="preserve"> </w:t>
      </w:r>
      <w:r>
        <w:rPr>
          <w:b/>
          <w:bCs/>
        </w:rPr>
        <w:t xml:space="preserve">l’attivazione è il bersaglio</w:t>
      </w:r>
      <w:r>
        <w:t xml:space="preserve"> </w:t>
      </w:r>
      <w:r>
        <w:t xml:space="preserve">— e su quel bersaglio hai una leva: contatto lento, ritmo del respiro, tempo dedicato, esposizione graduata al movimento che il paziente ha smesso di fare, e la spiegazione che toglie al referto il potere che ha preso. È lavoro manuale a tutti gli effetti, mirato altrove.</w:t>
      </w:r>
      <w:r>
        <w:t xml:space="preserve"> </w:t>
      </w:r>
      <w:r>
        <w:rPr>
          <w:b/>
          <w:bCs/>
        </w:rPr>
        <w:t xml:space="preserve">Questo è il paziente in cui hai più da fare, non meno</w:t>
      </w:r>
      <w:r>
        <w:t xml:space="preserve">, con la sua etichetta reale: IPOTESI</w:t>
      </w:r>
      <w:r>
        <w:t xml:space="preserve"> </w:t>
      </w:r>
      <w:r>
        <w:rPr>
          <w:i/>
          <w:iCs/>
        </w:rPr>
        <w:t xml:space="preserve">(meccanismo coerente, nessuno studio)</w:t>
      </w:r>
      <w:r>
        <w:t xml:space="preserve"> </w:t>
      </w:r>
      <w:r>
        <w:t xml:space="preserve">per la parte manuale e per il respiro, PROBABILE</w:t>
      </w:r>
      <w:r>
        <w:t xml:space="preserve"> </w:t>
      </w:r>
      <w:r>
        <w:rPr>
          <w:i/>
          <w:iCs/>
        </w:rPr>
        <w:t xml:space="preserve">(razionale forte, prove parziali)</w:t>
      </w:r>
      <w:r>
        <w:t xml:space="preserve"> </w:t>
      </w:r>
      <w:r>
        <w:t xml:space="preserve">per spiegazione ed esposizione, provate su un’altra popolazione.</w:t>
      </w:r>
    </w:p>
    <w:p>
      <w:pPr>
        <w:pStyle w:val="FirstParagraph"/>
      </w:pPr>
      <w:r>
        <w:rPr>
          <w:b/>
          <w:bCs/>
        </w:rPr>
        <w:t xml:space="preserve">Quello che fai:</w:t>
      </w:r>
      <w:r>
        <w:t xml:space="preserve"> </w:t>
      </w:r>
      <w:r>
        <w:t xml:space="preserve">dichiari prima di iniziare che l’esito atteso è meno disabilità e più posizioni tollerate, col dolore che si muove dopo.</w:t>
      </w:r>
      <w:r>
        <w:t xml:space="preserve"> </w:t>
      </w:r>
      <w:r>
        <w:rPr>
          <w:b/>
          <w:bCs/>
        </w:rPr>
        <w:t xml:space="preserve">Esito:</w:t>
      </w:r>
      <w:r>
        <w:t xml:space="preserve"> </w:t>
      </w:r>
      <w:r>
        <w:t xml:space="preserve">il numero di posizioni tollerate, elencate e scritte prima.</w:t>
      </w:r>
      <w:r>
        <w:t xml:space="preserve"> </w:t>
      </w:r>
      <w:r>
        <w:rPr>
          <w:b/>
          <w:bCs/>
        </w:rPr>
        <w:t xml:space="preserve">Prova:</w:t>
      </w:r>
      <w:r>
        <w:t xml:space="preserve"> </w:t>
      </w:r>
      <w:r>
        <w:t xml:space="preserve">la soglia di pressione su sito remoto controlaterale, che sta su un arto che non hai toccato.</w:t>
      </w:r>
    </w:p>
    <w:bookmarkEnd w:id="45"/>
    <w:bookmarkStart w:id="46" w:name="perché-si-indaga-da-monte"/>
    <w:p>
      <w:pPr>
        <w:pStyle w:val="Heading3"/>
      </w:pPr>
      <w:r>
        <w:t xml:space="preserve">Perché si indaga da monte</w:t>
      </w:r>
    </w:p>
    <w:p>
      <w:pPr>
        <w:pStyle w:val="FirstParagraph"/>
      </w:pPr>
      <w:r>
        <w:t xml:space="preserve">Il corpo sacrifica il comfort per proteggere le funzioni vitali. Il piano che comanda è il</w:t>
      </w:r>
      <w:r>
        <w:t xml:space="preserve"> </w:t>
      </w:r>
      <w:r>
        <w:rPr>
          <w:b/>
          <w:bCs/>
        </w:rPr>
        <w:t xml:space="preserve">più a monte sul piano funzionale</w:t>
      </w:r>
      <w:r>
        <w:t xml:space="preserve"> </w:t>
      </w:r>
      <w:r>
        <w:t xml:space="preserve">fra quelli disfunzionali.</w:t>
      </w:r>
      <w:r>
        <w:t xml:space="preserve"> </w:t>
      </w:r>
      <w:r>
        <w:rPr>
          <w:b/>
          <w:bCs/>
        </w:rPr>
        <w:t xml:space="preserve">«A monte» non è una coordinata anatomica: non vuol dire più vicino alla testa.</w:t>
      </w:r>
      <w:r>
        <w:t xml:space="preserve"> </w:t>
      </w:r>
      <w:r>
        <w:t xml:space="preserve">Qui significa prima il livello di attivazione, che decide quanto il tessuto ti lascia lavorare; poi il contenitore lombo-pelvico e il percorso del nervo, che decidono quanto spazio c’è. Il polpaccio, dove il paziente indica, non è mai a monte di niente.</w:t>
      </w:r>
    </w:p>
    <w:p>
      <w:pPr>
        <w:pStyle w:val="BodyText"/>
      </w:pPr>
      <w:r>
        <w:rPr>
          <w:b/>
          <w:bCs/>
        </w:rPr>
        <w:t xml:space="preserve">A volte il piano dominante non è raggiungibile dalla mano.</w:t>
      </w:r>
      <w:r>
        <w:t xml:space="preserve"> </w:t>
      </w:r>
      <w:r>
        <w:t xml:space="preserve">È il caso del primo paziente, perché le mani non spengono l’infiammazione. Allora si agisce sul primo piano subordinato che è raggiungibile, si dichiara al paziente che il bersaglio non è la causa ma lo spazio di manovra, e si abbassa di conseguenza l’esito promesso. La gerarchia non si scavalca a piacere: si dichiara quando non la si può raggiungere.</w:t>
      </w:r>
    </w:p>
    <w:bookmarkEnd w:id="46"/>
    <w:bookmarkStart w:id="47" w:name="X5ad4bd230c36af6ec0643446dcd6d428bbbf750"/>
    <w:p>
      <w:pPr>
        <w:pStyle w:val="Heading3"/>
      </w:pPr>
      <w:r>
        <w:t xml:space="preserve">La prova della chiave di volta, e cosa non prova</w:t>
      </w:r>
    </w:p>
    <w:p>
      <w:pPr>
        <w:pStyle w:val="FirstParagraph"/>
      </w:pPr>
      <w:r>
        <w:t xml:space="preserve">Tratti in prova il piano che sospetti dominante, poi rivaluti.</w:t>
      </w:r>
      <w:r>
        <w:t xml:space="preserve"> </w:t>
      </w:r>
      <w:r>
        <w:rPr>
          <w:b/>
          <w:bCs/>
        </w:rPr>
        <w:t xml:space="preserve">Il marker con cui rivaluti deve appartenere a un piano che non hai trattato.</w:t>
      </w:r>
      <w:r>
        <w:t xml:space="preserve"> </w:t>
      </w:r>
      <w:r>
        <w:t xml:space="preserve">Se lavori sullo spazio gluteo e rimisuri la rotazione d’anca, verifichi che il tessuto appena inibito si è mosso, non che comandava. È come farti controllare il conto da chi te l’ha scritto. Il</w:t>
      </w:r>
      <w:r>
        <w:t xml:space="preserve"> </w:t>
      </w:r>
      <w:r>
        <w:rPr>
          <w:b/>
          <w:bCs/>
        </w:rPr>
        <w:t xml:space="preserve">reperto disfunzionale</w:t>
      </w:r>
      <w:r>
        <w:t xml:space="preserve"> </w:t>
      </w:r>
      <w:r>
        <w:t xml:space="preserve">da cui sei partito resta in cartella con la sua misura, così la rivalutazione confronta due numeri e non due impressioni.</w:t>
      </w:r>
    </w:p>
    <w:p>
      <w:pPr>
        <w:pStyle w:val="BodyText"/>
      </w:pPr>
      <w:r>
        <w:rPr>
          <w:b/>
          <w:bCs/>
        </w:rPr>
        <w:t xml:space="preserve">E qui va detta la cosa che tiene onesto tutto l’impianto.</w:t>
      </w:r>
      <w:r>
        <w:t xml:space="preserve"> </w:t>
      </w:r>
      <w:r>
        <w:t xml:space="preserve">La verifica sul singolo paziente</w:t>
      </w:r>
      <w:r>
        <w:t xml:space="preserve"> </w:t>
      </w:r>
      <w:r>
        <w:rPr>
          <w:b/>
          <w:bCs/>
        </w:rPr>
        <w:t xml:space="preserve">non dimostra</w:t>
      </w:r>
      <w:r>
        <w:t xml:space="preserve"> </w:t>
      </w:r>
      <w:r>
        <w:t xml:space="preserve">che il trattamento ha funzionato. Un marker che si muove può muoversi per la storia naturale, per la ripetizione della misura o per l’aspettativa. In questa condizione la fluttuazione è enorme:</w:t>
      </w:r>
      <w:r>
        <w:t xml:space="preserve"> </w:t>
      </w:r>
      <w:r>
        <w:rPr>
          <w:b/>
          <w:bCs/>
        </w:rPr>
        <w:t xml:space="preserve">circa sette pazienti su dieci con sindrome radicolare migliorano in due settimane comunque, a letto o no — 70% contro 65%</w:t>
      </w:r>
      <w:r>
        <w:t xml:space="preserve"> </w:t>
      </w:r>
      <w:r>
        <w:t xml:space="preserve">(Vroomen,</w:t>
      </w:r>
      <w:r>
        <w:t xml:space="preserve"> </w:t>
      </w:r>
      <w:r>
        <w:rPr>
          <w:i/>
          <w:iCs/>
        </w:rPr>
        <w:t xml:space="preserve">N Engl J Med</w:t>
      </w:r>
      <w:r>
        <w:t xml:space="preserve"> </w:t>
      </w:r>
      <w:r>
        <w:t xml:space="preserve">1999, PMID 9971865). Quello che la verifica dà è</w:t>
      </w:r>
      <w:r>
        <w:t xml:space="preserve"> </w:t>
      </w:r>
      <w:r>
        <w:rPr>
          <w:b/>
          <w:bCs/>
        </w:rPr>
        <w:t xml:space="preserve">asimmetrico: un marker che non si muove falsifica l’ipotesi, un marker che si muove non la conferma.</w:t>
      </w:r>
    </w:p>
    <w:p>
      <w:pPr>
        <w:pStyle w:val="BodyText"/>
      </w:pPr>
      <w:r>
        <w:t xml:space="preserve">Il metodo di Stecco dice di cercare a monte del punto in cui il paziente sente male, e dà due nomi alle due cose. Il</w:t>
      </w:r>
      <w:r>
        <w:t xml:space="preserve"> </w:t>
      </w:r>
      <w:r>
        <w:rPr>
          <w:b/>
          <w:bCs/>
        </w:rPr>
        <w:t xml:space="preserve">Centro di Percezione</w:t>
      </w:r>
      <w:r>
        <w:t xml:space="preserve"> </w:t>
      </w:r>
      <w:r>
        <w:t xml:space="preserve">è il punto in cui il paziente sente il dolore. Il</w:t>
      </w:r>
      <w:r>
        <w:t xml:space="preserve"> </w:t>
      </w:r>
      <w:r>
        <w:rPr>
          <w:b/>
          <w:bCs/>
        </w:rPr>
        <w:t xml:space="preserve">Centro di Coordinazione</w:t>
      </w:r>
      <w:r>
        <w:t xml:space="preserve"> </w:t>
      </w:r>
      <w:r>
        <w:t xml:space="preserve">è il punto che governa quel segmento di movimento, e che nella ricostruzione clinica ha innescato il resto: è lì che si tratta.</w:t>
      </w:r>
      <w:r>
        <w:t xml:space="preserve"> </w:t>
      </w:r>
      <w:r>
        <w:rPr>
          <w:b/>
          <w:bCs/>
        </w:rPr>
        <w:t xml:space="preserve">Qui il principio funziona meglio che su qualunque altra condizione del corpus</w:t>
      </w:r>
      <w:r>
        <w:t xml:space="preserve">, per una ragione anatomica e non dottrinale: il punto dolente è il territorio del nervo, mentre la lesione sta lungo il percorso o alla radice. Trattare il polpaccio di una sciatalgia è trattare la vittima, e non è una metafora.</w:t>
      </w:r>
    </w:p>
    <w:bookmarkEnd w:id="47"/>
    <w:bookmarkStart w:id="48" w:name="i-marker-di-questa-condizione"/>
    <w:p>
      <w:pPr>
        <w:pStyle w:val="Heading3"/>
      </w:pPr>
      <w:r>
        <w:t xml:space="preserve">I marker di questa condizione</w:t>
      </w:r>
    </w:p>
    <w:p>
      <w:pPr>
        <w:pStyle w:val="FirstParagraph"/>
      </w:pPr>
      <w:r>
        <w:t xml:space="preserve">Un marker deve rispettare quattro condizioni, e uno che non le rispetta produce false conferme. Misurabile in meno di un minuto. Scelto prima. Su un piano non trattato. Con una soglia dichiarata.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Variazione minima che conta</w:t>
            </w:r>
          </w:p>
        </w:tc>
        <w:tc>
          <w:tcPr/>
          <w:p>
            <w:pPr>
              <w:pStyle w:val="Compact"/>
            </w:pPr>
            <w:r>
              <w:t xml:space="preserve">Da dove viene la soglia</w:t>
            </w:r>
          </w:p>
        </w:tc>
      </w:tr>
      <w:tr>
        <w:tc>
          <w:tcPr/>
          <w:p>
            <w:pPr>
              <w:pStyle w:val="Compact"/>
            </w:pPr>
            <w:r>
              <w:t xml:space="preserve">Gradi di comparsa del sintomo distale</w:t>
            </w:r>
          </w:p>
        </w:tc>
        <w:tc>
          <w:tcPr/>
          <w:p>
            <w:pPr>
              <w:pStyle w:val="Compact"/>
            </w:pPr>
            <w:r>
              <w:t xml:space="preserve">SLR passivo, stesso operatore</w:t>
            </w:r>
          </w:p>
        </w:tc>
        <w:tc>
          <w:tcPr/>
          <w:p>
            <w:pPr>
              <w:pStyle w:val="Compact"/>
            </w:pPr>
            <w:r>
              <w:t xml:space="preserve">+ 20° sul pre</w:t>
            </w:r>
          </w:p>
        </w:tc>
        <w:tc>
          <w:tcPr/>
          <w:p>
            <w:pPr>
              <w:pStyle w:val="Compact"/>
            </w:pPr>
            <w:r>
              <w:t xml:space="preserve">Letteratura</w:t>
            </w:r>
          </w:p>
        </w:tc>
      </w:tr>
      <w:tr>
        <w:tc>
          <w:tcPr/>
          <w:p>
            <w:pPr>
              <w:pStyle w:val="Compact"/>
            </w:pPr>
            <w:r>
              <w:t xml:space="preserve">Differenziazione strutturale</w:t>
            </w:r>
          </w:p>
        </w:tc>
        <w:tc>
          <w:tcPr/>
          <w:p>
            <w:pPr>
              <w:pStyle w:val="Compact"/>
            </w:pPr>
            <w:r>
              <w:t xml:space="preserve">Dorsiflessione a SLR fermo</w:t>
            </w:r>
          </w:p>
        </w:tc>
        <w:tc>
          <w:tcPr/>
          <w:p>
            <w:pPr>
              <w:pStyle w:val="Compact"/>
            </w:pPr>
            <w:r>
              <w:t xml:space="preserve">Da positiva a negativa</w:t>
            </w:r>
          </w:p>
        </w:tc>
        <w:tc>
          <w:tcPr/>
          <w:p>
            <w:pPr>
              <w:pStyle w:val="Compact"/>
            </w:pPr>
            <w:r>
              <w:t xml:space="preserve">Non numerico</w:t>
            </w:r>
          </w:p>
        </w:tc>
      </w:tr>
      <w:tr>
        <w:tc>
          <w:tcPr/>
          <w:p>
            <w:pPr>
              <w:pStyle w:val="Compact"/>
            </w:pPr>
            <w:r>
              <w:t xml:space="preserve">Rotazione interna d’anca</w:t>
            </w:r>
          </w:p>
        </w:tc>
        <w:tc>
          <w:tcPr/>
          <w:p>
            <w:pPr>
              <w:pStyle w:val="Compact"/>
            </w:pPr>
            <w:r>
              <w:t xml:space="preserve">Prono, ginocchio a 90°</w:t>
            </w:r>
          </w:p>
        </w:tc>
        <w:tc>
          <w:tcPr/>
          <w:p>
            <w:pPr>
              <w:pStyle w:val="Compact"/>
            </w:pPr>
            <w:r>
              <w:t xml:space="preserve">+ 10° sul pre</w:t>
            </w:r>
          </w:p>
        </w:tc>
        <w:tc>
          <w:tcPr/>
          <w:p>
            <w:pPr>
              <w:pStyle w:val="Compact"/>
            </w:pPr>
            <w:r>
              <w:t xml:space="preserve">Convenzione interna</w:t>
            </w:r>
          </w:p>
        </w:tc>
      </w:tr>
      <w:tr>
        <w:tc>
          <w:tcPr/>
          <w:p>
            <w:pPr>
              <w:pStyle w:val="Compact"/>
            </w:pPr>
            <w:r>
              <w:t xml:space="preserve">Flessione lombare, dita-suolo</w:t>
            </w:r>
          </w:p>
        </w:tc>
        <w:tc>
          <w:tcPr/>
          <w:p>
            <w:pPr>
              <w:pStyle w:val="Compact"/>
            </w:pPr>
            <w:r>
              <w:t xml:space="preserve">In piedi, in centimetri</w:t>
            </w:r>
          </w:p>
        </w:tc>
        <w:tc>
          <w:tcPr/>
          <w:p>
            <w:pPr>
              <w:pStyle w:val="Compact"/>
            </w:pPr>
            <w:r>
              <w:t xml:space="preserve">− 5 cm sul pre</w:t>
            </w:r>
          </w:p>
        </w:tc>
        <w:tc>
          <w:tcPr/>
          <w:p>
            <w:pPr>
              <w:pStyle w:val="Compact"/>
            </w:pPr>
            <w:r>
              <w:t xml:space="preserve">Convenzione interna</w:t>
            </w:r>
          </w:p>
        </w:tc>
      </w:tr>
    </w:tbl>
    <w:p>
      <w:pPr>
        <w:pStyle w:val="BodyText"/>
      </w:pPr>
      <w:r>
        <w:rPr>
          <w:b/>
          <w:bCs/>
        </w:rPr>
        <w:t xml:space="preserve">Le altre tre misure che tieni, fuori tabella.</w:t>
      </w:r>
      <w:r>
        <w:t xml:space="preserve"> </w:t>
      </w:r>
      <w:r>
        <w:t xml:space="preserve">La</w:t>
      </w:r>
      <w:r>
        <w:t xml:space="preserve"> </w:t>
      </w:r>
      <w:r>
        <w:rPr>
          <w:b/>
          <w:bCs/>
        </w:rPr>
        <w:t xml:space="preserve">forza del muscolo indicatore</w:t>
      </w:r>
      <w:r>
        <w:t xml:space="preserve"> </w:t>
      </w:r>
      <w:r>
        <w:t xml:space="preserve">(MRC, sempre lo stesso muscolo) è una misura di sicurezza: qualunque calo è un’uscita, non un risultato. Le</w:t>
      </w:r>
      <w:r>
        <w:t xml:space="preserve"> </w:t>
      </w:r>
      <w:r>
        <w:rPr>
          <w:b/>
          <w:bCs/>
        </w:rPr>
        <w:t xml:space="preserve">posizioni tollerate</w:t>
      </w:r>
      <w:r>
        <w:t xml:space="preserve">, scritte alla prima seduta, sono esito e non prova: appartengono al piano su cui stai lavorando. La</w:t>
      </w:r>
      <w:r>
        <w:t xml:space="preserve"> </w:t>
      </w:r>
      <w:r>
        <w:rPr>
          <w:b/>
          <w:bCs/>
        </w:rPr>
        <w:t xml:space="preserve">soglia di pressione su sito remoto</w:t>
      </w:r>
      <w:r>
        <w:t xml:space="preserve"> </w:t>
      </w:r>
      <w:r>
        <w:t xml:space="preserve">non ha soglia numerica, e la trovi più sotto con i suoi due limiti.</w:t>
      </w:r>
    </w:p>
    <w:p>
      <w:pPr>
        <w:pStyle w:val="BodyText"/>
      </w:pPr>
      <w:r>
        <w:rPr>
          <w:b/>
          <w:bCs/>
        </w:rPr>
        <w:t xml:space="preserve">Il primo marker è l’esito, non la prova</w:t>
      </w:r>
      <w:r>
        <w:t xml:space="preserve">: appartiene al piano su cui hai appena lavorato. E non è un test diagnostico: nelle popolazioni chirurgiche l’SLR ha sensibilità 0,92 e specificità 0,28 (van der Windt,</w:t>
      </w:r>
      <w:r>
        <w:t xml:space="preserve"> </w:t>
      </w:r>
      <w:r>
        <w:rPr>
          <w:i/>
          <w:iCs/>
        </w:rPr>
        <w:t xml:space="preserve">Cochrane Database Syst Rev</w:t>
      </w:r>
      <w:r>
        <w:t xml:space="preserve"> </w:t>
      </w:r>
      <w:r>
        <w:t xml:space="preserve">2010, PMID 20166095). La differenza minima davvero rilevabile è fra 13 e 20 gradi, su 15 studi di affidabilità.</w:t>
      </w:r>
      <w:r>
        <w:t xml:space="preserve"> </w:t>
      </w:r>
      <w:r>
        <w:rPr>
          <w:b/>
          <w:bCs/>
        </w:rPr>
        <w:t xml:space="preserve">E gli stessi autori concludono che l’errore di misura probabilmente sconsiglia di usare l’escursione dell’SLR per decidere</w:t>
      </w:r>
      <w:r>
        <w:t xml:space="preserve"> </w:t>
      </w:r>
      <w:r>
        <w:t xml:space="preserve">(Nee, Coppieters e Boyd,</w:t>
      </w:r>
      <w:r>
        <w:t xml:space="preserve"> </w:t>
      </w:r>
      <w:r>
        <w:rPr>
          <w:i/>
          <w:iCs/>
        </w:rPr>
        <w:t xml:space="preserve">Musculoskelet Sci Pract</w:t>
      </w:r>
      <w:r>
        <w:t xml:space="preserve"> </w:t>
      </w:r>
      <w:r>
        <w:t xml:space="preserve">2022, PMID 35245880). Per questo qui è misura di esito, con la soglia sul limite alto dell’intervallo:</w:t>
      </w:r>
      <w:r>
        <w:t xml:space="preserve"> </w:t>
      </w:r>
      <w:r>
        <w:rPr>
          <w:b/>
          <w:bCs/>
        </w:rPr>
        <w:t xml:space="preserve">un guadagno di dieci gradi non è un risultato, è rumore dello strumento.</w:t>
      </w:r>
      <w:r>
        <w:t xml:space="preserve"> </w:t>
      </w:r>
      <w:r>
        <w:t xml:space="preserve">E misura il</w:t>
      </w:r>
      <w:r>
        <w:t xml:space="preserve"> </w:t>
      </w:r>
      <w:r>
        <w:rPr>
          <w:b/>
          <w:bCs/>
        </w:rPr>
        <w:t xml:space="preserve">punto in cui compare il sintomo distale</w:t>
      </w:r>
      <w:r>
        <w:t xml:space="preserve">, non l’escursione massima: la seconda dipende dalla catena posteriore, il primo dal nervo. Il test controlaterale ha il profilo speculare — poco sensibile, molto specifico — e va usato di conseguenza; i suoi valori non sono qui perché questa Bibbia non li ha ancora verificati.</w:t>
      </w:r>
    </w:p>
    <w:p>
      <w:pPr>
        <w:pStyle w:val="BodyText"/>
      </w:pPr>
      <w:r>
        <w:rPr>
          <w:b/>
          <w:bCs/>
        </w:rPr>
        <w:t xml:space="preserve">La coppia della prova.</w:t>
      </w:r>
      <w:r>
        <w:t xml:space="preserve"> </w:t>
      </w:r>
      <w:r>
        <w:t xml:space="preserve">Rotazione d’anca e flessione lombare:</w:t>
      </w:r>
      <w:r>
        <w:t xml:space="preserve"> </w:t>
      </w:r>
      <w:r>
        <w:rPr>
          <w:b/>
          <w:bCs/>
        </w:rPr>
        <w:t xml:space="preserve">usa quella del piano che non hai trattato.</w:t>
      </w:r>
      <w:r>
        <w:t xml:space="preserve"> </w:t>
      </w:r>
      <w:r>
        <w:t xml:space="preserve">Delle soglie una sola viene dalla letteratura, quella dei venti gradi.</w:t>
      </w:r>
      <w:r>
        <w:t xml:space="preserve"> </w:t>
      </w:r>
      <w:r>
        <w:rPr>
          <w:b/>
          <w:bCs/>
        </w:rPr>
        <w:t xml:space="preserve">Le altre sono convenzioni del metodo, e il loro errore di misura non è documentato.</w:t>
      </w:r>
      <w:r>
        <w:t xml:space="preserve"> </w:t>
      </w:r>
      <w:r>
        <w:t xml:space="preserve">La differenza va dichiarata.</w:t>
      </w:r>
    </w:p>
    <w:p>
      <w:pPr>
        <w:pStyle w:val="BodyText"/>
      </w:pPr>
      <w:r>
        <w:rPr>
          <w:b/>
          <w:bCs/>
        </w:rPr>
        <w:t xml:space="preserve">Il marker che guarda il sistema nervoso.</w:t>
      </w:r>
      <w:r>
        <w:t xml:space="preserve"> </w:t>
      </w:r>
      <w:r>
        <w:t xml:space="preserve">La soglia di pressione su sito remoto controlaterale sta sul piano non trattato più radicale che esista. Se la componente è</w:t>
      </w:r>
      <w:r>
        <w:t xml:space="preserve"> </w:t>
      </w:r>
      <w:r>
        <w:rPr>
          <w:b/>
          <w:bCs/>
        </w:rPr>
        <w:t xml:space="preserve">centrale</w:t>
      </w:r>
      <w:r>
        <w:t xml:space="preserve">, la soglia è bassa anche lontano dalla gamba e il lavoro locale non la muove. Se è</w:t>
      </w:r>
      <w:r>
        <w:t xml:space="preserve"> </w:t>
      </w:r>
      <w:r>
        <w:rPr>
          <w:b/>
          <w:bCs/>
        </w:rPr>
        <w:t xml:space="preserve">periferica</w:t>
      </w:r>
      <w:r>
        <w:t xml:space="preserve">, la soglia remota è normale (PMID 36716611).</w:t>
      </w:r>
      <w:r>
        <w:t xml:space="preserve"> </w:t>
      </w:r>
      <w:r>
        <w:rPr>
          <w:b/>
          <w:bCs/>
        </w:rPr>
        <w:t xml:space="preserve">Ha due limiti, e vanno detti insieme al marker.</w:t>
      </w:r>
      <w:r>
        <w:t xml:space="preserve"> </w:t>
      </w:r>
      <w:r>
        <w:t xml:space="preserve">Il primo è di strumento:</w:t>
      </w:r>
      <w:r>
        <w:t xml:space="preserve"> </w:t>
      </w:r>
      <w:r>
        <w:rPr>
          <w:b/>
          <w:bCs/>
        </w:rPr>
        <w:t xml:space="preserve">questo marker non ha una soglia numerica</w:t>
      </w:r>
      <w:r>
        <w:t xml:space="preserve">, né da letteratura né da convenzione. Senza algometro il confronto lato-lato di una pressione digitale vale come</w:t>
      </w:r>
      <w:r>
        <w:t xml:space="preserve"> </w:t>
      </w:r>
      <w:r>
        <w:rPr>
          <w:b/>
          <w:bCs/>
        </w:rPr>
        <w:t xml:space="preserve">tendenza e non come numero</w:t>
      </w:r>
      <w:r>
        <w:t xml:space="preserve">, e va scritto in cartella così. Il secondo limite è di logica.</w:t>
      </w:r>
    </w:p>
    <w:p>
      <w:pPr>
        <w:pStyle w:val="BlockText"/>
      </w:pPr>
      <w:r>
        <w:rPr>
          <w:b/>
          <w:bCs/>
        </w:rPr>
        <w:t xml:space="preserve">Cosa cambia per te.</w:t>
      </w:r>
      <w:r>
        <w:t xml:space="preserve"> </w:t>
      </w:r>
      <w:r>
        <w:t xml:space="preserve">La soglia di pressione su sito remoto vale come piano non trattato</w:t>
      </w:r>
      <w:r>
        <w:t xml:space="preserve"> </w:t>
      </w:r>
      <w:r>
        <w:rPr>
          <w:b/>
          <w:bCs/>
        </w:rPr>
        <w:t xml:space="preserve">solo se non hai manipolato</w:t>
      </w:r>
      <w:r>
        <w:t xml:space="preserve">. Una revisione sistematica con meta-analisi di 20 studi mostra che dopo una manipolazione spinale la soglia di pressione dolorosa sale</w:t>
      </w:r>
      <w:r>
        <w:t xml:space="preserve"> </w:t>
      </w:r>
      <w:r>
        <w:rPr>
          <w:b/>
          <w:bCs/>
        </w:rPr>
        <w:t xml:space="preserve">anche in siti lontani</w:t>
      </w:r>
      <w:r>
        <w:t xml:space="preserve"> </w:t>
      </w:r>
      <w:r>
        <w:t xml:space="preserve">dal punto di applicazione. Gli autori lo leggono come effetto centrale (Coronado,</w:t>
      </w:r>
      <w:r>
        <w:t xml:space="preserve"> </w:t>
      </w:r>
      <w:r>
        <w:rPr>
          <w:i/>
          <w:iCs/>
        </w:rPr>
        <w:t xml:space="preserve">J Electromyogr Kinesiol</w:t>
      </w:r>
      <w:r>
        <w:t xml:space="preserve"> </w:t>
      </w:r>
      <w:r>
        <w:t xml:space="preserve">2012, PMID 22296867). Dopo una manipolazione, quel marker si muove per effetto della manipolazione stessa: non è più una prova, è il bersaglio. È lo stesso auto-inganno della rotazione d’anca, spostato di due metri.</w:t>
      </w:r>
    </w:p>
    <w:bookmarkEnd w:id="48"/>
    <w:bookmarkStart w:id="49" w:name="la-road-map"/>
    <w:p>
      <w:pPr>
        <w:pStyle w:val="Heading3"/>
      </w:pPr>
      <w:r>
        <w:t xml:space="preserve">La road map</w:t>
      </w:r>
    </w:p>
    <w:p>
      <w:pPr>
        <w:pStyle w:val="FirstParagraph"/>
      </w:pPr>
      <w:r>
        <w:t xml:space="preserve">Questa è la sequenza da cui riparti quando il paziente non somiglia a nessuno dei tre di sopra.</w:t>
      </w:r>
    </w:p>
    <w:p>
      <w:pPr>
        <w:pStyle w:val="Compact"/>
        <w:numPr>
          <w:ilvl w:val="0"/>
          <w:numId w:val="1018"/>
        </w:numPr>
      </w:pPr>
      <w:r>
        <w:rPr>
          <w:b/>
          <w:bCs/>
        </w:rPr>
        <w:t xml:space="preserve">C’è una bandiera rossa?</w:t>
      </w:r>
      <w:r>
        <w:t xml:space="preserve"> </w:t>
      </w:r>
      <w:r>
        <w:t xml:space="preserve">Vescica, sella, bilateralità, forza che cala. Se sì, il ragionamento si ferma qui.</w:t>
      </w:r>
    </w:p>
    <w:p>
      <w:pPr>
        <w:pStyle w:val="Compact"/>
        <w:numPr>
          <w:ilvl w:val="0"/>
          <w:numId w:val="1018"/>
        </w:numPr>
      </w:pPr>
      <w:r>
        <w:rPr>
          <w:b/>
          <w:bCs/>
        </w:rPr>
        <w:t xml:space="preserve">Che tipo di dolore è?</w:t>
      </w:r>
      <w:r>
        <w:t xml:space="preserve"> </w:t>
      </w:r>
      <w:r>
        <w:t xml:space="preserve">Riferito somatico, radicolare, radicolopatia, o quadro con segni centrali. La linea, il ginocchio, il deficit misurato.</w:t>
      </w:r>
    </w:p>
    <w:p>
      <w:pPr>
        <w:pStyle w:val="Compact"/>
        <w:numPr>
          <w:ilvl w:val="0"/>
          <w:numId w:val="1018"/>
        </w:numPr>
      </w:pPr>
      <w:r>
        <w:rPr>
          <w:b/>
          <w:bCs/>
        </w:rPr>
        <w:t xml:space="preserve">Qual è il livello di attivazione?</w:t>
      </w:r>
      <w:r>
        <w:t xml:space="preserve"> </w:t>
      </w:r>
      <w:r>
        <w:t xml:space="preserve">Se il quadro è sproporzionato al reperto, il bersaglio è quello, e l’esito atteso si dichiara prima.</w:t>
      </w:r>
    </w:p>
    <w:p>
      <w:pPr>
        <w:pStyle w:val="Compact"/>
        <w:numPr>
          <w:ilvl w:val="0"/>
          <w:numId w:val="1018"/>
        </w:numPr>
      </w:pPr>
      <w:r>
        <w:rPr>
          <w:b/>
          <w:bCs/>
        </w:rPr>
        <w:t xml:space="preserve">Dove viene disturbato il nervo lungo la strada?</w:t>
      </w:r>
      <w:r>
        <w:t xml:space="preserve"> </w:t>
      </w:r>
      <w:r>
        <w:t xml:space="preserve">Scarica alla tosse, punto dolente profondo, rotazione d’anca con anca altrimenti libera.</w:t>
      </w:r>
    </w:p>
    <w:p>
      <w:pPr>
        <w:pStyle w:val="Compact"/>
        <w:numPr>
          <w:ilvl w:val="0"/>
          <w:numId w:val="1018"/>
        </w:numPr>
      </w:pPr>
      <w:r>
        <w:rPr>
          <w:b/>
          <w:bCs/>
        </w:rPr>
        <w:t xml:space="preserve">Quanto scorrimento è rimasto?</w:t>
      </w:r>
      <w:r>
        <w:t xml:space="preserve"> </w:t>
      </w:r>
      <w:r>
        <w:t xml:space="preserve">Differenziazione strutturale, tolleranza alle posizioni che tendono il nervo.</w:t>
      </w:r>
    </w:p>
    <w:p>
      <w:pPr>
        <w:pStyle w:val="Compact"/>
        <w:numPr>
          <w:ilvl w:val="0"/>
          <w:numId w:val="1018"/>
        </w:numPr>
      </w:pPr>
      <w:r>
        <w:rPr>
          <w:b/>
          <w:bCs/>
        </w:rPr>
        <w:t xml:space="preserve">Quale posizione della giornata lo tiene in piedi?</w:t>
      </w:r>
      <w:r>
        <w:t xml:space="preserve"> </w:t>
      </w:r>
      <w:r>
        <w:t xml:space="preserve">Durata, non gesto.</w:t>
      </w:r>
    </w:p>
    <w:p>
      <w:pPr>
        <w:pStyle w:val="FirstParagraph"/>
      </w:pPr>
      <w:r>
        <w:t xml:space="preserve">Le prime due decidono</w:t>
      </w:r>
      <w:r>
        <w:t xml:space="preserve"> </w:t>
      </w:r>
      <w:r>
        <w:rPr>
          <w:b/>
          <w:bCs/>
        </w:rPr>
        <w:t xml:space="preserve">se</w:t>
      </w:r>
      <w:r>
        <w:t xml:space="preserve"> </w:t>
      </w:r>
      <w:r>
        <w:t xml:space="preserve">lavori e cosa prometti. Le altre quattro decidono</w:t>
      </w:r>
      <w:r>
        <w:t xml:space="preserve"> </w:t>
      </w:r>
      <w:r>
        <w:rPr>
          <w:b/>
          <w:bCs/>
        </w:rPr>
        <w:t xml:space="preserve">da dove parti</w:t>
      </w:r>
      <w:r>
        <w:t xml:space="preserve">.</w:t>
      </w:r>
    </w:p>
    <w:bookmarkEnd w:id="49"/>
    <w:bookmarkStart w:id="50" w:name="i-tre-stati-del-paziente"/>
    <w:p>
      <w:pPr>
        <w:pStyle w:val="Heading3"/>
      </w:pPr>
      <w:r>
        <w:t xml:space="preserve">I tre stati del paziente</w:t>
      </w:r>
    </w:p>
    <w:p>
      <w:pPr>
        <w:pStyle w:val="Compact"/>
        <w:numPr>
          <w:ilvl w:val="0"/>
          <w:numId w:val="1019"/>
        </w:numPr>
      </w:pPr>
      <w:r>
        <w:rPr>
          <w:b/>
          <w:bCs/>
        </w:rPr>
        <w:t xml:space="preserve">In difesa</w:t>
      </w:r>
      <w:r>
        <w:t xml:space="preserve"> </w:t>
      </w:r>
      <w:r>
        <w:t xml:space="preserve">— teso, monosillabi, paura che il tocco peggiori.</w:t>
      </w:r>
    </w:p>
    <w:p>
      <w:pPr>
        <w:pStyle w:val="Compact"/>
        <w:numPr>
          <w:ilvl w:val="0"/>
          <w:numId w:val="1019"/>
        </w:numPr>
      </w:pPr>
      <w:r>
        <w:rPr>
          <w:b/>
          <w:bCs/>
        </w:rPr>
        <w:t xml:space="preserve">Emotivo</w:t>
      </w:r>
      <w:r>
        <w:t xml:space="preserve"> </w:t>
      </w:r>
      <w:r>
        <w:t xml:space="preserve">— racconta e collega il dolore a un periodo della vita. Si nomina il legame senza interpretarlo, e si riporta il colloquio su un dato:</w:t>
      </w:r>
      <w:r>
        <w:t xml:space="preserve"> </w:t>
      </w:r>
      <w:r>
        <w:rPr>
          <w:i/>
          <w:iCs/>
        </w:rPr>
        <w:t xml:space="preserve">“misuriamo adesso, prima che io ti tocchi”</w:t>
      </w:r>
      <w:r>
        <w:t xml:space="preserve">.</w:t>
      </w:r>
    </w:p>
    <w:p>
      <w:pPr>
        <w:pStyle w:val="Compact"/>
        <w:numPr>
          <w:ilvl w:val="0"/>
          <w:numId w:val="1019"/>
        </w:numPr>
      </w:pPr>
      <w:r>
        <w:rPr>
          <w:b/>
          <w:bCs/>
        </w:rPr>
        <w:t xml:space="preserve">Razionale</w:t>
      </w:r>
      <w:r>
        <w:t xml:space="preserve"> </w:t>
      </w:r>
      <w:r>
        <w:t xml:space="preserve">— ha letto il referto e vuole sapere. Mostragli il prima e il dopo di un marker con la sua soglia.</w:t>
      </w:r>
    </w:p>
    <w:p>
      <w:pPr>
        <w:pStyle w:val="FirstParagraph"/>
      </w:pPr>
      <w:r>
        <w:rPr>
          <w:b/>
          <w:bCs/>
        </w:rPr>
        <w:t xml:space="preserve">Non è cortesia, ed è misurato.</w:t>
      </w:r>
      <w:r>
        <w:t xml:space="preserve"> </w:t>
      </w:r>
      <w:r>
        <w:t xml:space="preserve">In 182 pazienti con lombalgia cronica dentro uno studio randomizzato che confrontava esercizio e manipolazione, l’alleanza terapeutica valutata</w:t>
      </w:r>
      <w:r>
        <w:t xml:space="preserve"> </w:t>
      </w:r>
      <w:r>
        <w:rPr>
          <w:b/>
          <w:bCs/>
        </w:rPr>
        <w:t xml:space="preserve">alla seconda seduta</w:t>
      </w:r>
      <w:r>
        <w:t xml:space="preserve"> </w:t>
      </w:r>
      <w:r>
        <w:t xml:space="preserve">predice tutti gli esiti a otto settimane: funzione, dolore, disabilità, effetto globale percepito (Ferreira,</w:t>
      </w:r>
      <w:r>
        <w:t xml:space="preserve"> </w:t>
      </w:r>
      <w:r>
        <w:rPr>
          <w:i/>
          <w:iCs/>
        </w:rPr>
        <w:t xml:space="preserve">Phys Ther</w:t>
      </w:r>
      <w:r>
        <w:t xml:space="preserve"> </w:t>
      </w:r>
      <w:r>
        <w:t xml:space="preserve">2013, PMID 23139428).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w:t>
      </w:r>
      <w:r>
        <w:t xml:space="preserve"> </w:t>
      </w:r>
      <w:r>
        <w:rPr>
          <w:i/>
          <w:iCs/>
        </w:rPr>
        <w:t xml:space="preserve">Misurato su lombalgia cronica, non su sciatalgia, ed è un’associazione: nessuno ha randomizzato i pazienti a un’alleanza migliore, e chi migliora può valutare meglio chi lo cura.</w:t>
      </w:r>
      <w:r>
        <w:t xml:space="preserve"> </w:t>
      </w:r>
      <w:r>
        <w:t xml:space="preserve">Nessun effetto su nessuna leva.</w:t>
      </w:r>
    </w:p>
    <w:p>
      <w:pPr>
        <w:pStyle w:val="FirstParagraph"/>
      </w:pPr>
      <w:r>
        <w:rPr>
          <w:b/>
          <w:bCs/>
        </w:rPr>
        <w:t xml:space="preserve">Le tre cose da ricordare, più una</w:t>
      </w:r>
    </w:p>
    <w:p>
      <w:pPr>
        <w:pStyle w:val="Compact"/>
        <w:numPr>
          <w:ilvl w:val="0"/>
          <w:numId w:val="1020"/>
        </w:numPr>
      </w:pPr>
      <w:r>
        <w:t xml:space="preserve">Il marker che decide appartiene al piano che non hai trattato; e un marker che si muove non conferma niente, mentre uno che non si muove falsifica.</w:t>
      </w:r>
    </w:p>
    <w:p>
      <w:pPr>
        <w:pStyle w:val="Compact"/>
        <w:numPr>
          <w:ilvl w:val="0"/>
          <w:numId w:val="1020"/>
        </w:numPr>
      </w:pPr>
      <w:r>
        <w:t xml:space="preserve">«A monte» qui vuol dire prima l’attivazione e poi il contenitore, mai il polpaccio. Se il dominante non è raggiungibile, lo dichiari e abbassi l’esito promesso.</w:t>
      </w:r>
    </w:p>
    <w:p>
      <w:pPr>
        <w:pStyle w:val="Compact"/>
        <w:numPr>
          <w:ilvl w:val="0"/>
          <w:numId w:val="1020"/>
        </w:numPr>
      </w:pPr>
      <w:r>
        <w:t xml:space="preserve">Un quadro sproporzionato al reperto è un paziente con un bersaglio diverso, non un paziente senza bersaglio.</w:t>
      </w:r>
    </w:p>
    <w:p>
      <w:pPr>
        <w:pStyle w:val="Compact"/>
        <w:numPr>
          <w:ilvl w:val="0"/>
          <w:numId w:val="1020"/>
        </w:numPr>
      </w:pPr>
      <w:r>
        <w:rPr>
          <w:b/>
          <w:bCs/>
        </w:rPr>
        <w:t xml:space="preserve">Perché ci sei tu.</w:t>
      </w:r>
      <w:r>
        <w:t xml:space="preserve"> </w:t>
      </w:r>
      <w:r>
        <w:t xml:space="preserve">La differenza minima davvero rilevabile nel test di elevazione della gamba tesa è fra 13 e 20 gradi, su 15 studi di affidabilità (Nee, Coppieters e Boyd,</w:t>
      </w:r>
      <w:r>
        <w:t xml:space="preserve"> </w:t>
      </w:r>
      <w:r>
        <w:rPr>
          <w:i/>
          <w:iCs/>
        </w:rPr>
        <w:t xml:space="preserve">Musculoskelet Sci Pract</w:t>
      </w:r>
      <w:r>
        <w:t xml:space="preserve"> </w:t>
      </w:r>
      <w:r>
        <w:t xml:space="preserve">2022, PMID 35245880). Questo ti autorizza a fissare una soglia sopra l’errore e a difendere il tuo risultato. Non ti autorizza a chiamare risultato un guadagno di dieci gradi: è lo strumento che oscilla.</w:t>
      </w:r>
    </w:p>
    <w:p>
      <w:r>
        <w:pict>
          <v:rect style="width:0;height:1.5pt" o:hralign="center" o:hrstd="t" o:hr="t"/>
        </w:pict>
      </w:r>
    </w:p>
    <w:bookmarkEnd w:id="50"/>
    <w:bookmarkEnd w:id="51"/>
    <w:bookmarkStart w:id="56"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la cosa più pericolosa non è una manovra sbagliata, è una domanda non fatta su vescica, sella e forza.</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Start w:id="52" w:name="le-bandiere-rosse"/>
    <w:p>
      <w:pPr>
        <w:pStyle w:val="Heading3"/>
      </w:pPr>
      <w:r>
        <w:t xml:space="preserve">Le bandiere rosse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Ritenzione o incontinenza urinaria nuova</w:t>
            </w:r>
          </w:p>
        </w:tc>
        <w:tc>
          <w:tcPr/>
          <w:p>
            <w:pPr>
              <w:pStyle w:val="Compact"/>
            </w:pPr>
            <w:r>
              <w:t xml:space="preserve">Pronto soccorso</w:t>
            </w:r>
          </w:p>
        </w:tc>
        <w:tc>
          <w:tcPr/>
          <w:p>
            <w:pPr>
              <w:pStyle w:val="Compact"/>
            </w:pPr>
            <w:r>
              <w:t xml:space="preserve">112</w:t>
            </w:r>
          </w:p>
        </w:tc>
      </w:tr>
      <w:tr>
        <w:tc>
          <w:tcPr/>
          <w:p>
            <w:pPr>
              <w:pStyle w:val="Compact"/>
            </w:pPr>
            <w:r>
              <w:t xml:space="preserve">Perdita di sensibilità a sella o genitali</w:t>
            </w:r>
          </w:p>
        </w:tc>
        <w:tc>
          <w:tcPr/>
          <w:p>
            <w:pPr>
              <w:pStyle w:val="Compact"/>
            </w:pPr>
            <w:r>
              <w:t xml:space="preserve">Pronto soccorso</w:t>
            </w:r>
          </w:p>
        </w:tc>
        <w:tc>
          <w:tcPr/>
          <w:p>
            <w:pPr>
              <w:pStyle w:val="Compact"/>
            </w:pPr>
            <w:r>
              <w:t xml:space="preserve">112</w:t>
            </w:r>
          </w:p>
        </w:tc>
      </w:tr>
      <w:tr>
        <w:tc>
          <w:tcPr/>
          <w:p>
            <w:pPr>
              <w:pStyle w:val="Compact"/>
            </w:pPr>
            <w:r>
              <w:t xml:space="preserve">Sciatalgia bilaterale comparsa di colpo</w:t>
            </w:r>
          </w:p>
        </w:tc>
        <w:tc>
          <w:tcPr/>
          <w:p>
            <w:pPr>
              <w:pStyle w:val="Compact"/>
            </w:pPr>
            <w:r>
              <w:t xml:space="preserve">Pronto soccorso</w:t>
            </w:r>
          </w:p>
        </w:tc>
        <w:tc>
          <w:tcPr/>
          <w:p>
            <w:pPr>
              <w:pStyle w:val="Compact"/>
            </w:pPr>
            <w:r>
              <w:t xml:space="preserve">112</w:t>
            </w:r>
          </w:p>
        </w:tc>
      </w:tr>
      <w:tr>
        <w:tc>
          <w:tcPr/>
          <w:p>
            <w:pPr>
              <w:pStyle w:val="Compact"/>
            </w:pPr>
            <w:r>
              <w:t xml:space="preserve">Difficoltà nuova a controllare le feci</w:t>
            </w:r>
          </w:p>
        </w:tc>
        <w:tc>
          <w:tcPr/>
          <w:p>
            <w:pPr>
              <w:pStyle w:val="Compact"/>
            </w:pPr>
            <w:r>
              <w:t xml:space="preserve">Pronto soccorso</w:t>
            </w:r>
          </w:p>
        </w:tc>
        <w:tc>
          <w:tcPr/>
          <w:p>
            <w:pPr>
              <w:pStyle w:val="Compact"/>
            </w:pPr>
            <w:r>
              <w:t xml:space="preserve">112</w:t>
            </w:r>
          </w:p>
        </w:tc>
      </w:tr>
      <w:tr>
        <w:tc>
          <w:tcPr/>
          <w:p>
            <w:pPr>
              <w:pStyle w:val="Compact"/>
            </w:pPr>
            <w:r>
              <w:t xml:space="preserve">Anticoagulante o piastrinopenia, dolore spinale improvviso</w:t>
            </w:r>
          </w:p>
        </w:tc>
        <w:tc>
          <w:tcPr/>
          <w:p>
            <w:pPr>
              <w:pStyle w:val="Compact"/>
            </w:pPr>
            <w:r>
              <w:t xml:space="preserve">Pronto soccorso</w:t>
            </w:r>
          </w:p>
        </w:tc>
        <w:tc>
          <w:tcPr/>
          <w:p>
            <w:pPr>
              <w:pStyle w:val="Compact"/>
            </w:pPr>
            <w:r>
              <w:t xml:space="preserve">112</w:t>
            </w:r>
          </w:p>
        </w:tc>
      </w:tr>
      <w:tr>
        <w:tc>
          <w:tcPr/>
          <w:p>
            <w:pPr>
              <w:pStyle w:val="Compact"/>
            </w:pPr>
            <w:r>
              <w:t xml:space="preserve">Piede cadente o forza che crolla</w:t>
            </w:r>
          </w:p>
        </w:tc>
        <w:tc>
          <w:tcPr/>
          <w:p>
            <w:pPr>
              <w:pStyle w:val="Compact"/>
            </w:pPr>
            <w:r>
              <w:t xml:space="preserve">Pronto soccorso, via neurochirurgica</w:t>
            </w:r>
          </w:p>
        </w:tc>
        <w:tc>
          <w:tcPr/>
          <w:p>
            <w:pPr>
              <w:pStyle w:val="Compact"/>
            </w:pPr>
            <w:r>
              <w:t xml:space="preserve">Urgente</w:t>
            </w:r>
          </w:p>
        </w:tc>
      </w:tr>
      <w:tr>
        <w:tc>
          <w:tcPr/>
          <w:p>
            <w:pPr>
              <w:pStyle w:val="Compact"/>
            </w:pPr>
            <w:r>
              <w:t xml:space="preserve">Forza che cala di settimana in settimana</w:t>
            </w:r>
          </w:p>
        </w:tc>
        <w:tc>
          <w:tcPr/>
          <w:p>
            <w:pPr>
              <w:pStyle w:val="Compact"/>
            </w:pPr>
            <w:r>
              <w:t xml:space="preserve">Pronto soccorso, via neurochirurgica</w:t>
            </w:r>
          </w:p>
        </w:tc>
        <w:tc>
          <w:tcPr/>
          <w:p>
            <w:pPr>
              <w:pStyle w:val="Compact"/>
            </w:pPr>
            <w:r>
              <w:t xml:space="preserve">Urgente</w:t>
            </w:r>
          </w:p>
        </w:tc>
      </w:tr>
      <w:tr>
        <w:tc>
          <w:tcPr/>
          <w:p>
            <w:pPr>
              <w:pStyle w:val="Compact"/>
            </w:pPr>
            <w:r>
              <w:t xml:space="preserve">Dolore spinale notturno con fattore di rischio infettivo</w:t>
            </w:r>
          </w:p>
        </w:tc>
        <w:tc>
          <w:tcPr/>
          <w:p>
            <w:pPr>
              <w:pStyle w:val="Compact"/>
            </w:pPr>
            <w:r>
              <w:t xml:space="preserve">Pronto soccorso</w:t>
            </w:r>
          </w:p>
        </w:tc>
        <w:tc>
          <w:tcPr/>
          <w:p>
            <w:pPr>
              <w:pStyle w:val="Compact"/>
            </w:pPr>
            <w:r>
              <w:t xml:space="preserve">Urgente</w:t>
            </w:r>
          </w:p>
        </w:tc>
      </w:tr>
      <w:tr>
        <w:tc>
          <w:tcPr/>
          <w:p>
            <w:pPr>
              <w:pStyle w:val="Compact"/>
            </w:pPr>
            <w:r>
              <w:t xml:space="preserve">Massa addominale pulsante, o dolore non meccanico vascolare</w:t>
            </w:r>
          </w:p>
        </w:tc>
        <w:tc>
          <w:tcPr/>
          <w:p>
            <w:pPr>
              <w:pStyle w:val="Compact"/>
            </w:pPr>
            <w:r>
              <w:t xml:space="preserve">Pronto soccorso</w:t>
            </w:r>
          </w:p>
        </w:tc>
        <w:tc>
          <w:tcPr/>
          <w:p>
            <w:pPr>
              <w:pStyle w:val="Compact"/>
            </w:pPr>
            <w:r>
              <w:t xml:space="preserve">Urgente</w:t>
            </w:r>
          </w:p>
        </w:tc>
      </w:tr>
      <w:tr>
        <w:tc>
          <w:tcPr/>
          <w:p>
            <w:pPr>
              <w:pStyle w:val="Compact"/>
            </w:pPr>
            <w:r>
              <w:t xml:space="preserve">Storia oncologica, dolore nuovo con segni neurologici</w:t>
            </w:r>
          </w:p>
        </w:tc>
        <w:tc>
          <w:tcPr/>
          <w:p>
            <w:pPr>
              <w:pStyle w:val="Compact"/>
            </w:pPr>
            <w:r>
              <w:t xml:space="preserve">Pronto soccorso</w:t>
            </w:r>
          </w:p>
        </w:tc>
        <w:tc>
          <w:tcPr/>
          <w:p>
            <w:pPr>
              <w:pStyle w:val="Compact"/>
            </w:pPr>
            <w:r>
              <w:t xml:space="preserve">Urgente</w:t>
            </w:r>
          </w:p>
        </w:tc>
      </w:tr>
      <w:tr>
        <w:tc>
          <w:tcPr/>
          <w:p>
            <w:pPr>
              <w:pStyle w:val="Compact"/>
            </w:pPr>
            <w:r>
              <w:t xml:space="preserve">Storia oncologica e dolore nuovo, senza segni neurologici</w:t>
            </w:r>
          </w:p>
        </w:tc>
        <w:tc>
          <w:tcPr/>
          <w:p>
            <w:pPr>
              <w:pStyle w:val="Compact"/>
            </w:pPr>
            <w:r>
              <w:t xml:space="preserve">Curante</w:t>
            </w:r>
          </w:p>
        </w:tc>
        <w:tc>
          <w:tcPr/>
          <w:p>
            <w:pPr>
              <w:pStyle w:val="Compact"/>
            </w:pPr>
            <w:r>
              <w:t xml:space="preserve">Invio, non attendere</w:t>
            </w:r>
          </w:p>
        </w:tc>
      </w:tr>
      <w:tr>
        <w:tc>
          <w:tcPr/>
          <w:p>
            <w:pPr>
              <w:pStyle w:val="Compact"/>
            </w:pPr>
            <w:r>
              <w:t xml:space="preserve">Dolore notturno crescente e calo di peso</w:t>
            </w:r>
          </w:p>
        </w:tc>
        <w:tc>
          <w:tcPr/>
          <w:p>
            <w:pPr>
              <w:pStyle w:val="Compact"/>
            </w:pPr>
            <w:r>
              <w:t xml:space="preserve">Curante</w:t>
            </w:r>
          </w:p>
        </w:tc>
        <w:tc>
          <w:tcPr/>
          <w:p>
            <w:pPr>
              <w:pStyle w:val="Compact"/>
            </w:pPr>
            <w:r>
              <w:t xml:space="preserve">Invio, non attendere</w:t>
            </w:r>
          </w:p>
        </w:tc>
      </w:tr>
      <w:tr>
        <w:tc>
          <w:tcPr/>
          <w:p>
            <w:pPr>
              <w:pStyle w:val="Compact"/>
            </w:pPr>
            <w:r>
              <w:t xml:space="preserve">Trauma, osteoporosi o cortisone prolungato</w:t>
            </w:r>
          </w:p>
        </w:tc>
        <w:tc>
          <w:tcPr/>
          <w:p>
            <w:pPr>
              <w:pStyle w:val="Compact"/>
            </w:pPr>
            <w:r>
              <w:t xml:space="preserve">Curante, via radiologica</w:t>
            </w:r>
          </w:p>
        </w:tc>
        <w:tc>
          <w:tcPr/>
          <w:p>
            <w:pPr>
              <w:pStyle w:val="Compact"/>
            </w:pPr>
            <w:r>
              <w:t xml:space="preserve">Invio, non attendere</w:t>
            </w:r>
          </w:p>
        </w:tc>
      </w:tr>
      <w:tr>
        <w:tc>
          <w:tcPr/>
          <w:p>
            <w:pPr>
              <w:pStyle w:val="Compact"/>
            </w:pPr>
            <w:r>
              <w:t xml:space="preserve">Deficit</w:t>
            </w:r>
            <w:r>
              <w:t xml:space="preserve"> </w:t>
            </w:r>
            <w:r>
              <w:rPr>
                <w:b/>
                <w:bCs/>
              </w:rPr>
              <w:t xml:space="preserve">motorio</w:t>
            </w:r>
            <w:r>
              <w:t xml:space="preserve"> </w:t>
            </w:r>
            <w:r>
              <w:t xml:space="preserve">obiettivo (MRC ≤ 4/5), anche stabile</w:t>
            </w:r>
          </w:p>
        </w:tc>
        <w:tc>
          <w:tcPr/>
          <w:p>
            <w:pPr>
              <w:pStyle w:val="Compact"/>
            </w:pPr>
            <w:r>
              <w:t xml:space="preserve">Curante, via neurochirurgica</w:t>
            </w:r>
          </w:p>
        </w:tc>
        <w:tc>
          <w:tcPr/>
          <w:p>
            <w:pPr>
              <w:pStyle w:val="Compact"/>
            </w:pPr>
            <w:r>
              <w:t xml:space="preserve">Invio, non attendere</w:t>
            </w:r>
          </w:p>
        </w:tc>
      </w:tr>
      <w:tr>
        <w:tc>
          <w:tcPr/>
          <w:p>
            <w:pPr>
              <w:pStyle w:val="Compact"/>
            </w:pPr>
            <w:r>
              <w:t xml:space="preserve">Deficit</w:t>
            </w:r>
            <w:r>
              <w:t xml:space="preserve"> </w:t>
            </w:r>
            <w:r>
              <w:rPr>
                <w:b/>
                <w:bCs/>
              </w:rPr>
              <w:t xml:space="preserve">sensitivo</w:t>
            </w:r>
            <w:r>
              <w:t xml:space="preserve"> </w:t>
            </w:r>
            <w:r>
              <w:t xml:space="preserve">stabile, un territorio, forza conservata</w:t>
            </w:r>
          </w:p>
        </w:tc>
        <w:tc>
          <w:tcPr/>
          <w:p>
            <w:pPr>
              <w:pStyle w:val="Compact"/>
            </w:pPr>
            <w:r>
              <w:t xml:space="preserve">Curante</w:t>
            </w:r>
          </w:p>
        </w:tc>
        <w:tc>
          <w:tcPr/>
          <w:p>
            <w:pPr>
              <w:pStyle w:val="Compact"/>
            </w:pPr>
            <w:r>
              <w:t xml:space="preserve">Invio</w:t>
            </w:r>
          </w:p>
        </w:tc>
      </w:tr>
      <w:tr>
        <w:tc>
          <w:tcPr/>
          <w:p>
            <w:pPr>
              <w:pStyle w:val="Compact"/>
            </w:pPr>
            <w:r>
              <w:t xml:space="preserve">Sciatalgia oltre dodici settimane mai inquadrata</w:t>
            </w:r>
          </w:p>
        </w:tc>
        <w:tc>
          <w:tcPr/>
          <w:p>
            <w:pPr>
              <w:pStyle w:val="Compact"/>
            </w:pPr>
            <w:r>
              <w:t xml:space="preserve">Curante</w:t>
            </w:r>
          </w:p>
        </w:tc>
        <w:tc>
          <w:tcPr/>
          <w:p>
            <w:pPr>
              <w:pStyle w:val="Compact"/>
            </w:pPr>
            <w:r>
              <w:t xml:space="preserve">Invio programmato</w:t>
            </w:r>
          </w:p>
        </w:tc>
      </w:tr>
    </w:tbl>
    <w:p>
      <w:pPr>
        <w:pStyle w:val="BodyText"/>
      </w:pPr>
      <w:r>
        <w:rPr>
          <w:b/>
          <w:bCs/>
        </w:rPr>
        <w:t xml:space="preserve">I cinque tempi, e non ce ne sono altri.</w:t>
      </w:r>
      <w:r>
        <w:t xml:space="preserve"> </w:t>
      </w:r>
      <w:r>
        <w:rPr>
          <w:rStyle w:val="VerbatimChar"/>
        </w:rPr>
        <w:t xml:space="preserve">112</w:t>
      </w:r>
      <w:r>
        <w:t xml:space="preserve"> </w:t>
      </w:r>
      <w:r>
        <w:t xml:space="preserve">·</w:t>
      </w:r>
      <w:r>
        <w:t xml:space="preserve"> </w:t>
      </w:r>
      <w:r>
        <w:rPr>
          <w:rStyle w:val="VerbatimChar"/>
        </w:rPr>
        <w:t xml:space="preserve">Urgente</w:t>
      </w:r>
      <w:r>
        <w:t xml:space="preserve"> </w:t>
      </w:r>
      <w:r>
        <w:t xml:space="preserve">·</w:t>
      </w:r>
      <w:r>
        <w:t xml:space="preserve"> </w:t>
      </w:r>
      <w:r>
        <w:rPr>
          <w:rStyle w:val="VerbatimChar"/>
        </w:rPr>
        <w:t xml:space="preserve">Invio, non attendere</w:t>
      </w:r>
      <w:r>
        <w:t xml:space="preserve"> </w:t>
      </w:r>
      <w:r>
        <w:t xml:space="preserve">·</w:t>
      </w:r>
      <w:r>
        <w:t xml:space="preserve"> </w:t>
      </w:r>
      <w:r>
        <w:rPr>
          <w:rStyle w:val="VerbatimChar"/>
        </w:rPr>
        <w:t xml:space="preserve">Invio</w:t>
      </w:r>
      <w:r>
        <w:t xml:space="preserve"> </w:t>
      </w:r>
      <w:r>
        <w:t xml:space="preserve">·</w:t>
      </w:r>
      <w:r>
        <w:t xml:space="preserve"> </w:t>
      </w:r>
      <w:r>
        <w:rPr>
          <w:rStyle w:val="VerbatimChar"/>
        </w:rPr>
        <w:t xml:space="preserve">Invio programmato</w:t>
      </w:r>
      <w:r>
        <w:t xml:space="preserve">. Un’urgenza scritta fuori da questo elenco non si esegue.</w:t>
      </w:r>
    </w:p>
    <w:p>
      <w:pPr>
        <w:pStyle w:val="BodyText"/>
      </w:pPr>
      <w:r>
        <w:rPr>
          <w:b/>
          <w:bCs/>
        </w:rPr>
        <w:t xml:space="preserve">Come si leggono le tre righe che sbagliano quasi tutti.</w:t>
      </w:r>
    </w:p>
    <w:p>
      <w:pPr>
        <w:pStyle w:val="BodyText"/>
      </w:pPr>
      <w:r>
        <w:rPr>
          <w:b/>
          <w:bCs/>
        </w:rPr>
        <w:t xml:space="preserve">L’infezione.</w:t>
      </w:r>
      <w:r>
        <w:t xml:space="preserve"> </w:t>
      </w:r>
      <w:r>
        <w:t xml:space="preserve">I fattori di rischio sono immunodepressione, diabete, droghe per via iniettiva, catetere venoso o procedura spinale recente, infezione recente in altra sede, batteriemia nota.</w:t>
      </w:r>
      <w:r>
        <w:t xml:space="preserve"> </w:t>
      </w:r>
      <w:r>
        <w:rPr>
          <w:b/>
          <w:bCs/>
        </w:rPr>
        <w:t xml:space="preserve">La febbre è una conferma, non un filtro.</w:t>
      </w:r>
      <w:r>
        <w:t xml:space="preserve"> </w:t>
      </w:r>
      <w:r>
        <w:t xml:space="preserve">Su 457 pazienti con ascesso epidurale spinale solo il 10% aveva la triade classica dolore-febbre-segni neurologici. E il 71% aveva avuto almeno una visita potenzialmente correlata nei 30 giorni prima della diagnosi: era già passato davanti a un clinico che non aveva sospettato nulla (Durant,</w:t>
      </w:r>
      <w:r>
        <w:t xml:space="preserve"> </w:t>
      </w:r>
      <w:r>
        <w:rPr>
          <w:i/>
          <w:iCs/>
        </w:rPr>
        <w:t xml:space="preserve">West J Emerg Med</w:t>
      </w:r>
      <w:r>
        <w:t xml:space="preserve"> </w:t>
      </w:r>
      <w:r>
        <w:t xml:space="preserve">2025, PMID 40562008).</w:t>
      </w:r>
    </w:p>
    <w:p>
      <w:pPr>
        <w:pStyle w:val="BodyText"/>
      </w:pPr>
      <w:r>
        <w:rPr>
          <w:b/>
          <w:bCs/>
        </w:rPr>
        <w:t xml:space="preserve">Il deficit.</w:t>
      </w:r>
      <w:r>
        <w:t xml:space="preserve"> </w:t>
      </w:r>
      <w:r>
        <w:t xml:space="preserve">“Stabile”</w:t>
      </w:r>
      <w:r>
        <w:t xml:space="preserve"> </w:t>
      </w:r>
      <w:r>
        <w:t xml:space="preserve">non vuol dire benigno: vuol dire che la finestra si chiude a velocità costante. Per ogni giorno di ritardo della chirurgia nel piede cadente da ernia la probabilità di recupero della forza cala dello 0,2% (Baig Mirza,</w:t>
      </w:r>
      <w:r>
        <w:t xml:space="preserve"> </w:t>
      </w:r>
      <w:r>
        <w:rPr>
          <w:i/>
          <w:iCs/>
        </w:rPr>
        <w:t xml:space="preserve">J Neurosurg Spine</w:t>
      </w:r>
      <w:r>
        <w:t xml:space="preserve"> </w:t>
      </w:r>
      <w:r>
        <w:t xml:space="preserve">2025, PMID 40184689). Oltre le sei settimane gli esiti motori peggiorano (Thavarajasingam,</w:t>
      </w:r>
      <w:r>
        <w:t xml:space="preserve"> </w:t>
      </w:r>
      <w:r>
        <w:rPr>
          <w:i/>
          <w:iCs/>
        </w:rPr>
        <w:t xml:space="preserve">Brain Spine</w:t>
      </w:r>
      <w:r>
        <w:t xml:space="preserve"> </w:t>
      </w:r>
      <w:r>
        <w:t xml:space="preserve">2025, PMID 41078967). Nella comunicazione scritta vanno data di insorgenza e grado di forza per gruppo muscolare. Una</w:t>
      </w:r>
      <w:r>
        <w:t xml:space="preserve"> </w:t>
      </w:r>
      <w:r>
        <w:rPr>
          <w:b/>
          <w:bCs/>
        </w:rPr>
        <w:t xml:space="preserve">parestesia o ipoestesia stabile in un solo territorio con forza conservata non è un rosso</w:t>
      </w:r>
      <w:r>
        <w:t xml:space="preserve">: è il quadro tipico del primo meccanismo, entra nel giallo, e si lavora in parallelo.</w:t>
      </w:r>
    </w:p>
    <w:p>
      <w:pPr>
        <w:pStyle w:val="BodyText"/>
      </w:pPr>
      <w:r>
        <w:rPr>
          <w:b/>
          <w:bCs/>
        </w:rPr>
        <w:t xml:space="preserve">Il non spinale.</w:t>
      </w:r>
      <w:r>
        <w:t xml:space="preserve"> </w:t>
      </w:r>
      <w:r>
        <w:t xml:space="preserve">La riga vascolare si legge su chi ha superato i sessant’anni, con fattori di rischio cardiovascolare e dolore che non risponde alla posizione. Nel dolore lombare che arriva in urgenza la patologia grave</w:t>
      </w:r>
      <w:r>
        <w:t xml:space="preserve"> </w:t>
      </w:r>
      <w:r>
        <w:rPr>
          <w:b/>
          <w:bCs/>
        </w:rPr>
        <w:t xml:space="preserve">non spinale</w:t>
      </w:r>
      <w:r>
        <w:t xml:space="preserve"> </w:t>
      </w:r>
      <w:r>
        <w:t xml:space="preserve">è il 14,6% dei casi contro il 3,3% di quella spinale. E un aneurisma aortico addominale noto ha un rapporto di verosimiglianza positivo (LR+) di 10,2, cioè rende dieci volte più probabile una patologia grave (Shaw,</w:t>
      </w:r>
      <w:r>
        <w:t xml:space="preserve"> </w:t>
      </w:r>
      <w:r>
        <w:rPr>
          <w:i/>
          <w:iCs/>
        </w:rPr>
        <w:t xml:space="preserve">Eur Spine J</w:t>
      </w:r>
      <w:r>
        <w:t xml:space="preserve"> </w:t>
      </w:r>
      <w:r>
        <w:t xml:space="preserve">2020, PMID 32495276).</w:t>
      </w:r>
    </w:p>
    <w:p>
      <w:pPr>
        <w:pStyle w:val="BodyText"/>
      </w:pPr>
      <w:r>
        <w:rPr>
          <w:b/>
          <w:bCs/>
        </w:rPr>
        <w:t xml:space="preserve">Il deficit sensitivo stabile.</w:t>
      </w:r>
      <w:r>
        <w:t xml:space="preserve"> </w:t>
      </w:r>
      <w:r>
        <w:t xml:space="preserve">L’uscita è</w:t>
      </w:r>
      <w:r>
        <w:t xml:space="preserve"> </w:t>
      </w:r>
      <w:r>
        <w:rPr>
          <w:rStyle w:val="VerbatimChar"/>
        </w:rPr>
        <w:t xml:space="preserve">Invio</w:t>
      </w:r>
      <w:r>
        <w:t xml:space="preserve"> </w:t>
      </w:r>
      <w:r>
        <w:t xml:space="preserve">e non un’attesa: la condotta in parallelo è quella descritta più sotto nel GIALLO. E l’aneurisma aorto-iliaco che esordisce</w:t>
      </w:r>
      <w:r>
        <w:t xml:space="preserve"> </w:t>
      </w:r>
      <w:r>
        <w:rPr>
          <w:b/>
          <w:bCs/>
        </w:rPr>
        <w:t xml:space="preserve">come sciatalgia</w:t>
      </w:r>
      <w:r>
        <w:t xml:space="preserve"> </w:t>
      </w:r>
      <w:r>
        <w:t xml:space="preserve">è documentato (Kostiuk,</w:t>
      </w:r>
      <w:r>
        <w:t xml:space="preserve"> </w:t>
      </w:r>
      <w:r>
        <w:rPr>
          <w:i/>
          <w:iCs/>
        </w:rPr>
        <w:t xml:space="preserve">Vasc Endovascular Surg</w:t>
      </w:r>
      <w:r>
        <w:t xml:space="preserve"> </w:t>
      </w:r>
      <w:r>
        <w:t xml:space="preserve">2025, PMID 39438778).</w:t>
      </w:r>
    </w:p>
    <w:p>
      <w:pPr>
        <w:pStyle w:val="BodyText"/>
      </w:pPr>
      <w:r>
        <w:t xml:space="preserve">Le prime quattro righe sono la cauda equina, e per quei sintomi la linea guida prescrive l’emergenza</w:t>
      </w:r>
      <w:r>
        <w:t xml:space="preserve"> </w:t>
      </w:r>
      <w:r>
        <w:rPr>
          <w:b/>
          <w:bCs/>
        </w:rPr>
        <w:t xml:space="preserve">anche senza segni obiettivi</w:t>
      </w:r>
      <w:r>
        <w:t xml:space="preserve"> </w:t>
      </w:r>
      <w:r>
        <w:t xml:space="preserve">(NICE NG59, aggiornata 2020). Le altre vengono dal quadro internazionale delle bandiere rosse spinali, che include le patologie vascolari (Finucane,</w:t>
      </w:r>
      <w:r>
        <w:t xml:space="preserve"> </w:t>
      </w:r>
      <w:r>
        <w:rPr>
          <w:i/>
          <w:iCs/>
        </w:rPr>
        <w:t xml:space="preserve">J Orthop Sports Phys Ther</w:t>
      </w:r>
      <w:r>
        <w:t xml:space="preserve"> </w:t>
      </w:r>
      <w:r>
        <w:t xml:space="preserve">2020, PMID 32438853). La cauda equina è rara: 2,7 casi ogni 100.000 all’anno. Ed è l’incidenza dei</w:t>
      </w:r>
      <w:r>
        <w:t xml:space="preserve"> </w:t>
      </w:r>
      <w:r>
        <w:rPr>
          <w:b/>
          <w:bCs/>
        </w:rPr>
        <w:t xml:space="preserve">casi operati in emergenza</w:t>
      </w:r>
      <w:r>
        <w:t xml:space="preserve"> </w:t>
      </w:r>
      <w:r>
        <w:t xml:space="preserve">— i sospetti che arrivano al pronto soccorso sono molti di più (Woodfield,</w:t>
      </w:r>
      <w:r>
        <w:t xml:space="preserve"> </w:t>
      </w:r>
      <w:r>
        <w:rPr>
          <w:i/>
          <w:iCs/>
        </w:rPr>
        <w:t xml:space="preserve">Neuroepidemiology</w:t>
      </w:r>
      <w:r>
        <w:t xml:space="preserve"> </w:t>
      </w:r>
      <w:r>
        <w:t xml:space="preserve">2022, PMID 36315989).</w:t>
      </w:r>
    </w:p>
    <w:p>
      <w:pPr>
        <w:pStyle w:val="BodyText"/>
      </w:pPr>
      <w:r>
        <w:rPr>
          <w:b/>
          <w:bCs/>
        </w:rPr>
        <w:t xml:space="preserve">Per te:</w:t>
      </w:r>
      <w:r>
        <w:t xml:space="preserve"> </w:t>
      </w:r>
      <w:r>
        <w:t xml:space="preserve">rara vuol dire che non la vedrai quasi mai, non che puoi non cercarla. La domanda su vescica, sella e feci costa quindici secondi, si fa a</w:t>
      </w:r>
      <w:r>
        <w:t xml:space="preserve"> </w:t>
      </w:r>
      <w:r>
        <w:rPr>
          <w:b/>
          <w:bCs/>
        </w:rPr>
        <w:t xml:space="preserve">ogni</w:t>
      </w:r>
      <w:r>
        <w:t xml:space="preserve"> </w:t>
      </w:r>
      <w:r>
        <w:t xml:space="preserve">paziente con dolore che scende lungo la gamba, e si scrive.</w:t>
      </w:r>
    </w:p>
    <w:bookmarkEnd w:id="52"/>
    <w:bookmarkStart w:id="53" w:name="il-cancello-dingresso"/>
    <w:p>
      <w:pPr>
        <w:pStyle w:val="Heading3"/>
      </w:pPr>
      <w:r>
        <w:t xml:space="preserve">Il cancello d’ingresso</w:t>
      </w:r>
    </w:p>
    <w:p>
      <w:pPr>
        <w:pStyle w:val="FirstParagraph"/>
      </w:pPr>
      <w:r>
        <w:t xml:space="preserve">Il cancello non stabilisce se il paziente ha diritto al trattamento, ma</w:t>
      </w:r>
      <w:r>
        <w:t xml:space="preserve"> </w:t>
      </w:r>
      <w:r>
        <w:rPr>
          <w:b/>
          <w:bCs/>
        </w:rPr>
        <w:t xml:space="preserve">quale delle tre situazioni hai davanti</w:t>
      </w:r>
      <w:r>
        <w:t xml:space="preserve">.</w:t>
      </w:r>
    </w:p>
    <w:p>
      <w:pPr>
        <w:pStyle w:val="BodyText"/>
      </w:pPr>
      <w:r>
        <w:rPr>
          <w:b/>
          <w:bCs/>
        </w:rPr>
        <w:t xml:space="preserve">Il tuo mandato clinico non nasce dalla diagnosi medica.</w:t>
      </w:r>
      <w:r>
        <w:t xml:space="preserve"> </w:t>
      </w:r>
      <w:r>
        <w:t xml:space="preserve">Nasce da un reperto disfunzionale documentato e da un marker che si muove quando lo tratti:</w:t>
      </w:r>
      <w:r>
        <w:t xml:space="preserve"> </w:t>
      </w:r>
      <w:r>
        <w:rPr>
          <w:b/>
          <w:bCs/>
        </w:rPr>
        <w:t xml:space="preserve">senza quelli non hai un motivo per lavorare nemmeno con la risonanza in mano.</w:t>
      </w:r>
      <w:r>
        <w:t xml:space="preserve"> </w:t>
      </w:r>
      <w:r>
        <w:t xml:space="preserve">La cornice resta quella del profilo: si opera in riferimento alla diagnosi di competenza medica, e quando l’inquadramento manca il canale medico si attiva</w:t>
      </w:r>
      <w:r>
        <w:t xml:space="preserve"> </w:t>
      </w:r>
      <w:r>
        <w:rPr>
          <w:b/>
          <w:bCs/>
        </w:rPr>
        <w:t xml:space="preserve">insieme</w:t>
      </w:r>
      <w:r>
        <w:t xml:space="preserve"> </w:t>
      </w:r>
      <w:r>
        <w:t xml:space="preserve">al tuo lavoro, non dopo.</w:t>
      </w:r>
    </w:p>
    <w:p>
      <w:pPr>
        <w:pStyle w:val="BodyText"/>
      </w:pPr>
      <w:r>
        <w:rPr>
          <w:b/>
          <w:bCs/>
        </w:rPr>
        <w:t xml:space="preserve">Un reperto positivo giustifica il tuo lavoro, non sostituisce l’inquadramento medico.</w:t>
      </w:r>
      <w:r>
        <w:t xml:space="preserve"> </w:t>
      </w:r>
      <w:r>
        <w:t xml:space="preserve">Trovare una rotazione d’anca ridotta e un punto dolente profondo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insieme.</w:t>
      </w:r>
    </w:p>
    <w:p>
      <w:pPr>
        <w:pStyle w:val="BodyText"/>
      </w:pPr>
      <w:r>
        <w:rPr>
          <w:b/>
          <w:bCs/>
        </w:rPr>
        <w:t xml:space="preserve">🔴 ROSSO — Stop.</w:t>
      </w:r>
      <w:r>
        <w:t xml:space="preserve"> </w:t>
      </w:r>
      <w:r>
        <w:t xml:space="preserve">Basta una sola bandiera rossa. Il paziente esce con un’indicazione medica</w:t>
      </w:r>
      <w:r>
        <w:t xml:space="preserve"> </w:t>
      </w:r>
      <w:r>
        <w:rPr>
          <w:b/>
          <w:bCs/>
        </w:rPr>
        <w:t xml:space="preserve">esplicita e scritta</w:t>
      </w:r>
      <w:r>
        <w:t xml:space="preserve">, con destinatario e tempi presi dalla tabella.</w:t>
      </w:r>
      <w:r>
        <w:t xml:space="preserve"> </w:t>
      </w:r>
      <w:r>
        <w:rPr>
          <w:b/>
          <w:bCs/>
        </w:rPr>
        <w:t xml:space="preserve">Se la riga manda al pronto soccorso, quella seduta si chiude lì: nessun trattamento, in nessun distretto</w:t>
      </w:r>
      <w:r>
        <w:t xml:space="preserve">, e in cartella resta l’ora in cui l’hai detto. Se manda al curante senza urgenza, puoi trattare una disfunzione indipendente di un altro distretto, dichiarando in cartella che il dolore alla gamba è in attesa di inquadramento e non è il bersaglio.</w:t>
      </w:r>
      <w:r>
        <w:t xml:space="preserve"> </w:t>
      </w:r>
      <w:r>
        <w:rPr>
          <w:b/>
          <w:bCs/>
        </w:rPr>
        <w:t xml:space="preserve">Nessun reperto positivo scavalca questa uscita.</w:t>
      </w:r>
    </w:p>
    <w:p>
      <w:pPr>
        <w:pStyle w:val="BodyText"/>
      </w:pPr>
      <w:r>
        <w:rPr>
          <w:b/>
          <w:bCs/>
        </w:rPr>
        <w:t xml:space="preserve">🟡 GIALLO — Si lavora, in parallelo.</w:t>
      </w:r>
      <w:r>
        <w:t xml:space="preserve"> </w:t>
      </w:r>
      <w:r>
        <w:t xml:space="preserve">Nessuna bandiera rossa, inquadramento assente o incompleto: una risonanza di due anni fa mai commentata, un’ipoestesia stabile mai raccontata, un’elettromiografia prescritta e mai fatta.</w:t>
      </w:r>
      <w:r>
        <w:t xml:space="preserve"> </w:t>
      </w:r>
      <w:r>
        <w:rPr>
          <w:b/>
          <w:bCs/>
        </w:rPr>
        <w:t xml:space="preserve">È la situazione più frequente, e non è un motivo per rimandare il paziente fuori.</w:t>
      </w:r>
      <w:r>
        <w:t xml:space="preserve"> </w:t>
      </w:r>
      <w:r>
        <w:t xml:space="preserve">Si lavora a quattro condizioni.</w:t>
      </w:r>
    </w:p>
    <w:p>
      <w:pPr>
        <w:pStyle w:val="Compact"/>
        <w:numPr>
          <w:ilvl w:val="0"/>
          <w:numId w:val="1021"/>
        </w:numPr>
      </w:pPr>
      <w:r>
        <w:rPr>
          <w:b/>
          <w:bCs/>
        </w:rPr>
        <w:t xml:space="preserve">Un reperto tuo, positivo e scritto in cartella.</w:t>
      </w:r>
      <w:r>
        <w:t xml:space="preserve"> </w:t>
      </w:r>
      <w:r>
        <w:t xml:space="preserve">Non</w:t>
      </w:r>
      <w:r>
        <w:t xml:space="preserve"> </w:t>
      </w:r>
      <w:r>
        <w:t xml:space="preserve">“il paziente ha una sciatalgia”</w:t>
      </w:r>
      <w:r>
        <w:t xml:space="preserve">, ma a quanti gradi compare il sintomo distale, da che lato, se la differenziazione strutturale è positiva, quanti gradi di rotazione d’anca mancano, dove sta il punto dolente profondo. Quest’ultimo</w:t>
      </w:r>
      <w:r>
        <w:t xml:space="preserve"> </w:t>
      </w:r>
      <w:r>
        <w:rPr>
          <w:b/>
          <w:bCs/>
        </w:rPr>
        <w:t xml:space="preserve">orienta e non fonda da solo</w:t>
      </w:r>
      <w:r>
        <w:t xml:space="preserve">, perché è la classe di test meno riproducibile che hai e nessun test conferma la sindrome glutea profonda (PMID 38697742). E poi forza e sensibilità</w:t>
      </w:r>
      <w:r>
        <w:t xml:space="preserve"> </w:t>
      </w:r>
      <w:r>
        <w:rPr>
          <w:b/>
          <w:bCs/>
        </w:rPr>
        <w:t xml:space="preserve">misurate come dice «Le strutture in gioco»</w:t>
      </w:r>
      <w:r>
        <w:t xml:space="preserve">: territorio, muscolo indicatore, riflesso.</w:t>
      </w:r>
    </w:p>
    <w:p>
      <w:pPr>
        <w:pStyle w:val="Compact"/>
        <w:numPr>
          <w:ilvl w:val="0"/>
          <w:numId w:val="1021"/>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lungo il percorso del nervo. Il formicolio al piede va comunque inquadrato dal tuo medico, e nel frattempo io non aspetto.»</w:t>
      </w:r>
    </w:p>
    <w:p>
      <w:pPr>
        <w:pStyle w:val="Compact"/>
        <w:numPr>
          <w:ilvl w:val="0"/>
          <w:numId w:val="1021"/>
        </w:numPr>
      </w:pPr>
      <w:r>
        <w:rPr>
          <w:b/>
          <w:bCs/>
        </w:rPr>
        <w:t xml:space="preserve">Canale medico attivato senza interrompere il lavoro.</w:t>
      </w:r>
      <w:r>
        <w:t xml:space="preserve"> </w:t>
      </w:r>
      <w:r>
        <w:t xml:space="preserve">Una comunicazione scritta al curante, non un rinvio. Dentro ci vanno tre cose: cosa hai trovato, quale segno stai seguendo, entro quando lo rivedi.</w:t>
      </w:r>
    </w:p>
    <w:p>
      <w:pPr>
        <w:pStyle w:val="Compact"/>
        <w:numPr>
          <w:ilvl w:val="0"/>
          <w:numId w:val="1021"/>
        </w:numPr>
      </w:pPr>
      <w:r>
        <w:rPr>
          <w:b/>
          <w:bCs/>
        </w:rPr>
        <w:t xml:space="preserve">Tempo definito: il marker si muove o il quadro cambia uscita entro il numero di sedute previsto dalla Procedura, e comunque non oltre sei settimane</w:t>
      </w:r>
      <w:r>
        <w:t xml:space="preserve">, con la data scritta in cartella il primo giorno.</w:t>
      </w:r>
      <w:r>
        <w:t xml:space="preserve"> </w:t>
      </w:r>
      <w:r>
        <w:rPr>
          <w:b/>
          <w:bCs/>
        </w:rPr>
        <w:t xml:space="preserve">La revisione è programmata, non lasciata all’iniziativa.</w:t>
      </w:r>
      <w:r>
        <w:t xml:space="preserve"> </w:t>
      </w:r>
      <w:r>
        <w:t xml:space="preserve">Le sei settimane non sono una convenzione: oltre quella soglia gli esiti dei deficit motori peggiorano (PMID 41078967), ed è il punto in cui nello studio chirurgico di riferimento questi pazienti erano già stati mandati al neurochirurgo (PMID 17538084).</w:t>
      </w:r>
    </w:p>
    <w:p>
      <w:pPr>
        <w:pStyle w:val="FirstParagraph"/>
      </w:pPr>
      <w:r>
        <w:rPr>
          <w:b/>
          <w:bCs/>
        </w:rPr>
        <w:t xml:space="preserve">Se il tempo scade e il marker non si è mosso</w:t>
      </w:r>
      <w:r>
        <w:t xml:space="preserve">, non è una rinuncia: il tuo reperto non era quello che comandava, e la spinta sul canale medico da parallela diventa prioritaria.</w:t>
      </w:r>
    </w:p>
    <w:p>
      <w:pPr>
        <w:pStyle w:val="BodyText"/>
      </w:pPr>
      <w:r>
        <w:rPr>
          <w:b/>
          <w:bCs/>
        </w:rPr>
        <w:t xml:space="preserve">🟢 VERDE — Si procede.</w:t>
      </w:r>
      <w:r>
        <w:t xml:space="preserve"> </w:t>
      </w:r>
      <w:r>
        <w:t xml:space="preserve">Nessuna bandiera rossa, e una fra queste quattro: quadro tipico già valutato dal medico, con forza e sensibilità documentate; ciclo di fisioterapia in corso o già fatto; risonanza coerente, cioè un quadro discale senza compressione midollare e senza segni di altra natura; elettromiografia già refertata.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Qui i quattro cambiamenti che riaprono il triage sono: un disturbo nuovo di vescica o di intestino; il dolore che passa all’altra gamba; una forza che cala di settimana in settimana; un dolore che perde il legame con la posizione.</w:t>
      </w:r>
      <w:r>
        <w:t xml:space="preserve"> </w:t>
      </w:r>
      <w:r>
        <w:rPr>
          <w:b/>
          <w:bCs/>
        </w:rPr>
        <w:t xml:space="preserve">Un quadro che cambia forma torna al triage, dall’inizio.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indicazione medica, reperto, comunicazione, data di revisione.</w:t>
      </w:r>
      <w:r>
        <w:t xml:space="preserve"> </w:t>
      </w:r>
      <w:r>
        <w:rPr>
          <w:b/>
          <w:bCs/>
        </w:rPr>
        <w:t xml:space="preserve">Quello che non è scritto non esiste.</w:t>
      </w:r>
    </w:p>
    <w:p>
      <w:pPr>
        <w:pStyle w:val="BodyText"/>
      </w:pPr>
      <w:r>
        <w:rPr>
          <w:b/>
          <w:bCs/>
        </w:rPr>
        <w:t xml:space="preserve">E vale soprattutto dopo.</w:t>
      </w:r>
      <w:r>
        <w:t xml:space="preserve"> </w:t>
      </w:r>
      <w:r>
        <w:t xml:space="preserve">L’elenco consegnato al paziente conta nelle 48 ore che seguono una seduta e nei fine settimana.</w:t>
      </w:r>
      <w:r>
        <w:t xml:space="preserve"> </w:t>
      </w:r>
      <w:r>
        <w:rPr>
          <w:b/>
          <w:bCs/>
        </w:rPr>
        <w:t xml:space="preserve">Un sintomo nuovo di vescica, sella o forza comparso dopo un trattamento è una cauda equina finché non è escluso, non una reazione al trattamento.</w:t>
      </w:r>
      <w:r>
        <w:t xml:space="preserve"> </w:t>
      </w:r>
      <w:r>
        <w:t xml:space="preserve">Nei casi storici il danno non fu la manovra: fu che nessuno riconobbe il quadro comparso dopo, e i pazienti restarono giorni senza trattamento (Haldeman e Rubinstein,</w:t>
      </w:r>
      <w:r>
        <w:t xml:space="preserve"> </w:t>
      </w:r>
      <w:r>
        <w:rPr>
          <w:i/>
          <w:iCs/>
        </w:rPr>
        <w:t xml:space="preserve">Spine</w:t>
      </w:r>
      <w:r>
        <w:t xml:space="preserve"> </w:t>
      </w:r>
      <w:r>
        <w:t xml:space="preserve">1992, PMID 1471004).</w:t>
      </w:r>
    </w:p>
    <w:bookmarkEnd w:id="53"/>
    <w:bookmarkStart w:id="54" w:name="X1ac5a1b3cdf7e22e51df529af64ae60c55cc369"/>
    <w:p>
      <w:pPr>
        <w:pStyle w:val="Heading3"/>
      </w:pPr>
      <w:r>
        <w:t xml:space="preserve">Cosa dichiari nel consenso, su questa condizione</w:t>
      </w:r>
    </w:p>
    <w:p>
      <w:pPr>
        <w:pStyle w:val="Compact"/>
        <w:numPr>
          <w:ilvl w:val="0"/>
          <w:numId w:val="1022"/>
        </w:numPr>
      </w:pPr>
      <w:r>
        <w:rPr>
          <w:b/>
          <w:bCs/>
        </w:rPr>
        <w:t xml:space="preserve">Che il bersaglio è la meccanica del percorso del nervo che hai misurato</w:t>
      </w:r>
      <w:r>
        <w:t xml:space="preserve">, non l’ernia descritta dal referto.</w:t>
      </w:r>
    </w:p>
    <w:p>
      <w:pPr>
        <w:pStyle w:val="Compact"/>
        <w:numPr>
          <w:ilvl w:val="0"/>
          <w:numId w:val="1022"/>
        </w:numPr>
      </w:pPr>
      <w:r>
        <w:rPr>
          <w:b/>
          <w:bCs/>
        </w:rPr>
        <w:t xml:space="preserve">Che sugli interventi conservativi le prove sono deboli</w:t>
      </w:r>
      <w:r>
        <w:t xml:space="preserve">: gli autori delle sintesi stessi dicono che il risultato potrebbe cambiare con il prossimo studio.</w:t>
      </w:r>
      <w:r>
        <w:t xml:space="preserve"> </w:t>
      </w:r>
      <w:r>
        <w:rPr>
          <w:b/>
          <w:bCs/>
        </w:rPr>
        <w:t xml:space="preserve">E che il criterio per decidere se continuare</w:t>
      </w:r>
      <w:r>
        <w:t xml:space="preserve"> </w:t>
      </w:r>
      <w:r>
        <w:t xml:space="preserve">è un segno misurato prima e dopo, con una soglia e una data.</w:t>
      </w:r>
    </w:p>
    <w:p>
      <w:pPr>
        <w:pStyle w:val="Compact"/>
        <w:numPr>
          <w:ilvl w:val="0"/>
          <w:numId w:val="1022"/>
        </w:numPr>
      </w:pPr>
      <w:r>
        <w:rPr>
          <w:b/>
          <w:bCs/>
        </w:rPr>
        <w:t xml:space="preserve">Che esiste un elenco di sintomi al comparire dei quali il paziente interrompe il ciclo e va al pronto soccorso</w:t>
      </w:r>
      <w:r>
        <w:t xml:space="preserve">: vescica, sella, feci, forza che crolla, dolore su entrambe le gambe. Si consegna scritto, e la firma vale anche su quello.</w:t>
      </w:r>
    </w:p>
    <w:bookmarkEnd w:id="54"/>
    <w:bookmarkStart w:id="55" w:name="il-confine-di-atto-e-il-prescrittore"/>
    <w:p>
      <w:pPr>
        <w:pStyle w:val="Heading3"/>
      </w:pPr>
      <w:r>
        <w:t xml:space="preserve">Il confine di atto, e il prescrittore</w:t>
      </w:r>
    </w:p>
    <w:p>
      <w:pPr>
        <w:pStyle w:val="FirstParagraph"/>
      </w:pPr>
      <w:r>
        <w:t xml:space="preserve">Tre atti restano fuori dal tuo perimetro.</w:t>
      </w:r>
      <w:r>
        <w:t xml:space="preserve"> </w:t>
      </w:r>
      <w:r>
        <w:rPr>
          <w:b/>
          <w:bCs/>
        </w:rPr>
        <w:t xml:space="preserve">Attribuire il sintomo a un’immagine</w:t>
      </w:r>
      <w:r>
        <w:t xml:space="preserve">: dire</w:t>
      </w:r>
      <w:r>
        <w:t xml:space="preserve"> </w:t>
      </w:r>
      <w:r>
        <w:t xml:space="preserve">“il dolore viene da questa ernia”</w:t>
      </w:r>
      <w:r>
        <w:t xml:space="preserve"> </w:t>
      </w:r>
      <w:r>
        <w:t xml:space="preserve">è una diagnosi; puoi dire cosa il referto</w:t>
      </w:r>
      <w:r>
        <w:t xml:space="preserve"> </w:t>
      </w:r>
      <w:r>
        <w:rPr>
          <w:b/>
          <w:bCs/>
        </w:rPr>
        <w:t xml:space="preserve">non</w:t>
      </w:r>
      <w:r>
        <w:t xml:space="preserve"> </w:t>
      </w:r>
      <w:r>
        <w:t xml:space="preserve">spiega.</w:t>
      </w:r>
      <w:r>
        <w:t xml:space="preserve"> </w:t>
      </w:r>
      <w:r>
        <w:rPr>
          <w:b/>
          <w:bCs/>
        </w:rPr>
        <w:t xml:space="preserve">Stabilire o escludere il livello radicolare</w:t>
      </w:r>
      <w:r>
        <w:t xml:space="preserve">: mappi territorio, forza e riflessi e mandi, non referti.</w:t>
      </w:r>
      <w:r>
        <w:t xml:space="preserve"> </w:t>
      </w:r>
      <w:r>
        <w:rPr>
          <w:b/>
          <w:bCs/>
        </w:rPr>
        <w:t xml:space="preserve">Trattare un paziente con sospetto di cauda equina o con deficit progressivo</w:t>
      </w:r>
      <w:r>
        <w:t xml:space="preserve">, anche altrove e con tecniche dolci, se questo ritarda l’invio. Il DPR 131/2021 riserva la diagnosi al medico e definisce l’osteopatia con tecniche esclusivamente manuali, non invasive ed esterne.</w:t>
      </w:r>
    </w:p>
    <w:p>
      <w:pPr>
        <w:pStyle w:val="BodyText"/>
      </w:pPr>
      <w:r>
        <w:rPr>
          <w:b/>
          <w:bCs/>
        </w:rPr>
        <w:t xml:space="preserve">Sui farmaci non commenti e non suggerisci di ridurre: decide il prescrittore.</w:t>
      </w:r>
      <w:r>
        <w:t xml:space="preserve"> </w:t>
      </w:r>
      <w:r>
        <w:t xml:space="preserve">Quello che fai è riferire per iscritto al curante,</w:t>
      </w:r>
      <w:r>
        <w:t xml:space="preserve"> </w:t>
      </w:r>
      <w:r>
        <w:rPr>
          <w:b/>
          <w:bCs/>
        </w:rPr>
        <w:t xml:space="preserve">senza valutarli</w:t>
      </w:r>
      <w:r>
        <w:t xml:space="preserve">, quali farmaci assume, da quanto e che effetto dice di averne. Compresi i FANS a dose piena in autogestione, che sono la voce più frequente.</w:t>
      </w:r>
    </w:p>
    <w:p>
      <w:pPr>
        <w:pStyle w:val="BodyText"/>
      </w:pPr>
      <w:r>
        <w:t xml:space="preserve">Il pregabalin non ha ridotto il dolore alla gamba né a otto né a cinquantadue settimane, e ha dato quasi il doppio degli eventi avversi (Mathieson,</w:t>
      </w:r>
      <w:r>
        <w:t xml:space="preserve"> </w:t>
      </w:r>
      <w:r>
        <w:rPr>
          <w:i/>
          <w:iCs/>
        </w:rPr>
        <w:t xml:space="preserve">N Engl J Med</w:t>
      </w:r>
      <w:r>
        <w:t xml:space="preserve"> </w:t>
      </w:r>
      <w:r>
        <w:t xml:space="preserve">2017, PMID 28328324).</w:t>
      </w:r>
      <w:r>
        <w:t xml:space="preserve"> </w:t>
      </w:r>
      <w:r>
        <w:rPr>
          <w:b/>
          <w:bCs/>
        </w:rPr>
        <w:t xml:space="preserve">Tu devi saperlo</w:t>
      </w:r>
      <w:r>
        <w:t xml:space="preserve">, per non stupirti se il farmaco non ha aiutato. Ma non va in una lettera sul singolo paziente. E se il paziente ne deduce che può smettere, l’unica frase che dici è:</w:t>
      </w:r>
      <w:r>
        <w:t xml:space="preserve"> </w:t>
      </w:r>
      <w:r>
        <w:rPr>
          <w:b/>
          <w:bCs/>
        </w:rPr>
        <w:t xml:space="preserve">«un farmaco per il dolore da nervo non si sospende di colpo, e la decisione è di chi lo ha prescritto.»</w:t>
      </w:r>
    </w:p>
    <w:p>
      <w:pPr>
        <w:pStyle w:val="BodyText"/>
      </w:pPr>
      <w:r>
        <w:t xml:space="preserve">E il cortisone:</w:t>
      </w:r>
      <w:r>
        <w:t xml:space="preserve"> </w:t>
      </w:r>
      <w:r>
        <w:rPr>
          <w:b/>
          <w:bCs/>
        </w:rPr>
        <w:t xml:space="preserve">un cortisone ripetuto non è solo un’informazione per il curante, è un segmento la cui resistenza non conosci, e va inquadrato prima di qualunque tecnica ad alta velocità.</w:t>
      </w:r>
    </w:p>
    <w:p>
      <w:pPr>
        <w:pStyle w:val="BodyText"/>
      </w:pPr>
      <w:r>
        <w:rPr>
          <w:b/>
          <w:bCs/>
        </w:rPr>
        <w:t xml:space="preserve">Cosa succede se sbagli campo.</w:t>
      </w:r>
      <w:r>
        <w:t xml:space="preserve"> </w:t>
      </w:r>
      <w:r>
        <w:t xml:space="preserve">Una cauda equina non riconosciuta si misura in ore, e l’esito è la funzione di vescica e intestino. Un piede cadente trattato per otto sedute mentre la forza cala: il danno non lo hai causato, ma hai fatto aspettare il paziente.</w:t>
      </w:r>
    </w:p>
    <w:p>
      <w:pPr>
        <w:pStyle w:val="BodyText"/>
      </w:pPr>
      <w:r>
        <w:rPr>
          <w:b/>
          <w:bCs/>
        </w:rPr>
        <w:t xml:space="preserve">Le tre cose da ricordare, più una</w:t>
      </w:r>
    </w:p>
    <w:p>
      <w:pPr>
        <w:pStyle w:val="Compact"/>
        <w:numPr>
          <w:ilvl w:val="0"/>
          <w:numId w:val="1023"/>
        </w:numPr>
      </w:pPr>
      <w:r>
        <w:t xml:space="preserve">La domanda su vescica, sella e feci si fa a ogni paziente, ogni volta che il quadro cambia, e si scrive — e vale doppio nelle 48 ore dopo una seduta.</w:t>
      </w:r>
    </w:p>
    <w:p>
      <w:pPr>
        <w:pStyle w:val="Compact"/>
        <w:numPr>
          <w:ilvl w:val="0"/>
          <w:numId w:val="1023"/>
        </w:numPr>
      </w:pPr>
      <w:r>
        <w:t xml:space="preserve">Il giallo è la norma sulla sciatalgia, regge su quattro cose scritte, e ha un tetto di sei settimane.</w:t>
      </w:r>
    </w:p>
    <w:p>
      <w:pPr>
        <w:pStyle w:val="Compact"/>
        <w:numPr>
          <w:ilvl w:val="0"/>
          <w:numId w:val="1023"/>
        </w:numPr>
      </w:pPr>
      <w:r>
        <w:t xml:space="preserve">La febbre è una conferma e non un filtro; un deficit motorio stabile non è benigno, è una finestra che si chiude.</w:t>
      </w:r>
    </w:p>
    <w:p>
      <w:pPr>
        <w:pStyle w:val="Compact"/>
        <w:numPr>
          <w:ilvl w:val="0"/>
          <w:numId w:val="1023"/>
        </w:numPr>
      </w:pPr>
      <w:r>
        <w:rPr>
          <w:b/>
          <w:bCs/>
        </w:rPr>
        <w:t xml:space="preserve">Perché ci sei tu.</w:t>
      </w:r>
      <w:r>
        <w:t xml:space="preserve"> </w:t>
      </w:r>
      <w:r>
        <w:t xml:space="preserve">La sindrome della cauda equina operata in emergenza riguarda circa 3 persone su 100.000 all’anno (Woodfield,</w:t>
      </w:r>
      <w:r>
        <w:t xml:space="preserve"> </w:t>
      </w:r>
      <w:r>
        <w:rPr>
          <w:i/>
          <w:iCs/>
        </w:rPr>
        <w:t xml:space="preserve">Neuroepidemiology</w:t>
      </w:r>
      <w:r>
        <w:t xml:space="preserve"> </w:t>
      </w:r>
      <w:r>
        <w:t xml:space="preserve">2022, PMID 36315989). Questo ti autorizza a non drammatizzare e a lavorare con serenità in un quadro senza bandiere. Non ti autorizza a smettere di cercarla: rara non vuol dire improbabile in chi hai davanti oggi.</w:t>
      </w:r>
    </w:p>
    <w:p>
      <w:r>
        <w:pict>
          <v:rect style="width:0;height:1.5pt" o:hralign="center" o:hrstd="t" o:hr="t"/>
        </w:pict>
      </w:r>
    </w:p>
    <w:bookmarkEnd w:id="55"/>
    <w:bookmarkEnd w:id="56"/>
    <w:bookmarkStart w:id="63" w:name="capitolo-10-cosa-dice-la-scienza"/>
    <w:p>
      <w:pPr>
        <w:pStyle w:val="Heading2"/>
      </w:pPr>
      <w:r>
        <w:t xml:space="preserve">Capitolo 10 — Cosa dice la scienza</w:t>
      </w:r>
    </w:p>
    <w:p>
      <w:pPr>
        <w:pStyle w:val="BlockText"/>
      </w:pPr>
      <w:r>
        <w:rPr>
          <w:b/>
          <w:bCs/>
        </w:rPr>
        <w:t xml:space="preserve">In una riga:</w:t>
      </w:r>
      <w:r>
        <w:t xml:space="preserve"> </w:t>
      </w:r>
      <w:r>
        <w:t xml:space="preserve">la fisiologia di questa condizione è solida, la sua terapia conservativa no, e chi te lo dice con più chiarezza è la stessa persona che ne ha spiegato il meccanismo.</w:t>
      </w:r>
    </w:p>
    <w:p>
      <w:pPr>
        <w:pStyle w:val="BlockText"/>
      </w:pPr>
      <w:r>
        <w:rPr>
          <w:b/>
          <w:bCs/>
        </w:rPr>
        <w:t xml:space="preserve">Definizione.</w:t>
      </w:r>
      <w:r>
        <w:t xml:space="preserve"> </w:t>
      </w:r>
      <w:r>
        <w:rPr>
          <w:b/>
          <w:bCs/>
        </w:rPr>
        <w:t xml:space="preserve">Confidenza molto bassa</w:t>
      </w:r>
      <w:r>
        <w:t xml:space="preserve"> </w:t>
      </w:r>
      <w:r>
        <w:t xml:space="preserve">(o</w:t>
      </w:r>
      <w:r>
        <w:t xml:space="preserve"> </w:t>
      </w:r>
      <w:r>
        <w:t xml:space="preserve">“prove di qualità molto bassa”</w:t>
      </w:r>
      <w:r>
        <w:t xml:space="preserve">) vuol dire che gli autori della sintesi dichiarano che il risultato potrebbe cambiare con il prossimo studio. Una</w:t>
      </w:r>
      <w:r>
        <w:t xml:space="preserve"> </w:t>
      </w:r>
      <w:r>
        <w:rPr>
          <w:b/>
          <w:bCs/>
        </w:rPr>
        <w:t xml:space="preserve">network meta-analysis</w:t>
      </w:r>
      <w:r>
        <w:t xml:space="preserve">, che qui chiamiamo per esteso</w:t>
      </w:r>
      <w:r>
        <w:t xml:space="preserve"> </w:t>
      </w:r>
      <w:r>
        <w:rPr>
          <w:i/>
          <w:iCs/>
        </w:rPr>
        <w:t xml:space="preserve">la sintesi che confronta tutti i trattamenti fra loro</w:t>
      </w:r>
      <w:r>
        <w:t xml:space="preserve">, mette in classifica interventi mai confrontati direttamente.</w:t>
      </w:r>
    </w:p>
    <w:bookmarkStart w:id="57" w:name="le-due-ancore"/>
    <w:p>
      <w:pPr>
        <w:pStyle w:val="Heading3"/>
      </w:pPr>
      <w:r>
        <w:t xml:space="preserve">Le due ancore</w:t>
      </w:r>
    </w:p>
    <w:p>
      <w:pPr>
        <w:pStyle w:val="FirstParagraph"/>
      </w:pPr>
      <w:r>
        <w:rPr>
          <w:b/>
          <w:bCs/>
        </w:rPr>
        <w:t xml:space="preserve">L’ancora clinica è Kika Konstantinou</w:t>
      </w:r>
      <w:r>
        <w:t xml:space="preserve">, fisioterapista, Keele University. Non ha dimostrato che qualcosa funziona: ha misurato cosa succede davvero a chi va dal medico di base con un dolore che scende lungo la gamba, su 609 persone seguite per un anno.</w:t>
      </w:r>
    </w:p>
    <w:p>
      <w:pPr>
        <w:pStyle w:val="BodyText"/>
      </w:pPr>
      <w:r>
        <w:rPr>
          <w:b/>
          <w:bCs/>
        </w:rPr>
        <w:t xml:space="preserve">L’ancora fisiologica è Annina B. Schmid</w:t>
      </w:r>
      <w:r>
        <w:t xml:space="preserve">, fisioterapista e ricercatrice, University of Oxford. Ha stabilito che nell’intrappolamento del nervo il problema non è solo lo schiacciamento: c’è una risposta immunitaria che dal punto compresso arriva al ganglio, e spiega perché i sintomi sono più larghi della compressione.</w:t>
      </w:r>
    </w:p>
    <w:p>
      <w:pPr>
        <w:pStyle w:val="BodyText"/>
      </w:pPr>
      <w:r>
        <w:rPr>
          <w:b/>
          <w:bCs/>
        </w:rPr>
        <w:t xml:space="preserve">Sulla sciatalgia la fisiologia è molto più solida della terapia</w:t>
      </w:r>
      <w:r>
        <w:t xml:space="preserve">, e la stessa Schmid firma la sintesi che ce lo dice.</w:t>
      </w:r>
    </w:p>
    <w:bookmarkEnd w:id="57"/>
    <w:bookmarkStart w:id="58"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Dove e Schmid,</w:t>
            </w:r>
            <w:r>
              <w:t xml:space="preserve"> </w:t>
            </w:r>
            <w:r>
              <w:rPr>
                <w:i/>
                <w:iCs/>
              </w:rPr>
              <w:t xml:space="preserve">Eur Spine J</w:t>
            </w:r>
            <w:r>
              <w:t xml:space="preserve"> </w:t>
            </w:r>
            <w:r>
              <w:t xml:space="preserve">2023 (36580149)</w:t>
            </w:r>
          </w:p>
        </w:tc>
        <w:tc>
          <w:tcPr/>
          <w:p>
            <w:pPr>
              <w:pStyle w:val="Compact"/>
            </w:pPr>
            <w:r>
              <w:t xml:space="preserve">18 RCT, 2.699 pazienti</w:t>
            </w:r>
          </w:p>
        </w:tc>
        <w:tc>
          <w:tcPr/>
          <w:p>
            <w:pPr>
              <w:pStyle w:val="Compact"/>
            </w:pPr>
            <w:r>
              <w:t xml:space="preserve">Verificare, non promettere</w:t>
            </w:r>
          </w:p>
        </w:tc>
      </w:tr>
      <w:tr>
        <w:tc>
          <w:tcPr/>
          <w:p>
            <w:pPr>
              <w:pStyle w:val="Compact"/>
            </w:pPr>
            <w:r>
              <w:t xml:space="preserve">Zhu,</w:t>
            </w:r>
            <w:r>
              <w:t xml:space="preserve"> </w:t>
            </w:r>
            <w:r>
              <w:rPr>
                <w:i/>
                <w:iCs/>
              </w:rPr>
              <w:t xml:space="preserve">J Orthop Sports Phys Ther</w:t>
            </w:r>
            <w:r>
              <w:t xml:space="preserve"> </w:t>
            </w:r>
            <w:r>
              <w:t xml:space="preserve">2025 (40434940)</w:t>
            </w:r>
          </w:p>
        </w:tc>
        <w:tc>
          <w:tcPr/>
          <w:p>
            <w:pPr>
              <w:pStyle w:val="Compact"/>
            </w:pPr>
            <w:r>
              <w:t xml:space="preserve">40 RCT, 5.381 pazienti, acuta</w:t>
            </w:r>
          </w:p>
        </w:tc>
        <w:tc>
          <w:tcPr/>
          <w:p>
            <w:pPr>
              <w:pStyle w:val="Compact"/>
            </w:pPr>
            <w:r>
              <w:t xml:space="preserve">Dichiarare l’incertezza</w:t>
            </w:r>
          </w:p>
        </w:tc>
      </w:tr>
      <w:tr>
        <w:tc>
          <w:tcPr/>
          <w:p>
            <w:pPr>
              <w:pStyle w:val="Compact"/>
            </w:pPr>
            <w:r>
              <w:t xml:space="preserve">Zhu,</w:t>
            </w:r>
            <w:r>
              <w:t xml:space="preserve"> </w:t>
            </w:r>
            <w:r>
              <w:rPr>
                <w:i/>
                <w:iCs/>
              </w:rPr>
              <w:t xml:space="preserve">J Pain</w:t>
            </w:r>
            <w:r>
              <w:t xml:space="preserve"> </w:t>
            </w:r>
            <w:r>
              <w:t xml:space="preserve">2025 (40373933)</w:t>
            </w:r>
          </w:p>
        </w:tc>
        <w:tc>
          <w:tcPr/>
          <w:p>
            <w:pPr>
              <w:pStyle w:val="Compact"/>
            </w:pPr>
            <w:r>
              <w:t xml:space="preserve">50 RCT, 4.920 pazienti, cronica</w:t>
            </w:r>
          </w:p>
        </w:tc>
        <w:tc>
          <w:tcPr/>
          <w:p>
            <w:pPr>
              <w:pStyle w:val="Compact"/>
            </w:pPr>
            <w:r>
              <w:t xml:space="preserve">Restare fra le opzioni reali</w:t>
            </w:r>
          </w:p>
        </w:tc>
      </w:tr>
      <w:tr>
        <w:tc>
          <w:tcPr/>
          <w:p>
            <w:pPr>
              <w:pStyle w:val="Compact"/>
            </w:pPr>
            <w:r>
              <w:t xml:space="preserve">Fritz,</w:t>
            </w:r>
            <w:r>
              <w:t xml:space="preserve"> </w:t>
            </w:r>
            <w:r>
              <w:rPr>
                <w:i/>
                <w:iCs/>
              </w:rPr>
              <w:t xml:space="preserve">Ann Intern Med</w:t>
            </w:r>
            <w:r>
              <w:t xml:space="preserve"> </w:t>
            </w:r>
            <w:r>
              <w:t xml:space="preserve">2021 (33017565)</w:t>
            </w:r>
          </w:p>
        </w:tc>
        <w:tc>
          <w:tcPr/>
          <w:p>
            <w:pPr>
              <w:pStyle w:val="Compact"/>
            </w:pPr>
            <w:r>
              <w:t xml:space="preserve">220 pazienti, sciatalgia acuta, 1 anno</w:t>
            </w:r>
          </w:p>
        </w:tc>
        <w:tc>
          <w:tcPr/>
          <w:p>
            <w:pPr>
              <w:pStyle w:val="Compact"/>
            </w:pPr>
            <w:r>
              <w:t xml:space="preserve">Aprire un ciclo nell’acuto con un dato</w:t>
            </w:r>
          </w:p>
        </w:tc>
      </w:tr>
      <w:tr>
        <w:tc>
          <w:tcPr/>
          <w:p>
            <w:pPr>
              <w:pStyle w:val="Compact"/>
            </w:pPr>
            <w:r>
              <w:t xml:space="preserve">Santilli,</w:t>
            </w:r>
            <w:r>
              <w:t xml:space="preserve"> </w:t>
            </w:r>
            <w:r>
              <w:rPr>
                <w:i/>
                <w:iCs/>
              </w:rPr>
              <w:t xml:space="preserve">Spine J</w:t>
            </w:r>
            <w:r>
              <w:t xml:space="preserve"> </w:t>
            </w:r>
            <w:r>
              <w:t xml:space="preserve">2006 (16517383)</w:t>
            </w:r>
          </w:p>
        </w:tc>
        <w:tc>
          <w:tcPr/>
          <w:p>
            <w:pPr>
              <w:pStyle w:val="Compact"/>
            </w:pPr>
            <w:r>
              <w:t xml:space="preserve">102 pazienti, doppio cieco</w:t>
            </w:r>
          </w:p>
        </w:tc>
        <w:tc>
          <w:tcPr/>
          <w:p>
            <w:pPr>
              <w:pStyle w:val="Compact"/>
            </w:pPr>
            <w:r>
              <w:t xml:space="preserve">Mani nell’acuto da protrusione, senza deficit</w:t>
            </w:r>
          </w:p>
        </w:tc>
      </w:tr>
      <w:tr>
        <w:tc>
          <w:tcPr/>
          <w:p>
            <w:pPr>
              <w:pStyle w:val="Compact"/>
            </w:pPr>
            <w:r>
              <w:t xml:space="preserve">Lin,</w:t>
            </w:r>
            <w:r>
              <w:t xml:space="preserve"> </w:t>
            </w:r>
            <w:r>
              <w:rPr>
                <w:i/>
                <w:iCs/>
              </w:rPr>
              <w:t xml:space="preserve">Life</w:t>
            </w:r>
            <w:r>
              <w:t xml:space="preserve"> </w:t>
            </w:r>
            <w:r>
              <w:t xml:space="preserve">2023 (38137856)</w:t>
            </w:r>
          </w:p>
        </w:tc>
        <w:tc>
          <w:tcPr/>
          <w:p>
            <w:pPr>
              <w:pStyle w:val="Compact"/>
            </w:pPr>
            <w:r>
              <w:t xml:space="preserve">20 RCT, 877 pazienti</w:t>
            </w:r>
          </w:p>
        </w:tc>
        <w:tc>
          <w:tcPr/>
          <w:p>
            <w:pPr>
              <w:pStyle w:val="Compact"/>
            </w:pPr>
            <w:r>
              <w:t xml:space="preserve">Mobilizzazione neurale, segno prima del dolore</w:t>
            </w:r>
          </w:p>
        </w:tc>
      </w:tr>
      <w:tr>
        <w:tc>
          <w:tcPr/>
          <w:p>
            <w:pPr>
              <w:pStyle w:val="Compact"/>
            </w:pPr>
            <w:r>
              <w:t xml:space="preserve">Konstantinou,</w:t>
            </w:r>
            <w:r>
              <w:t xml:space="preserve"> </w:t>
            </w:r>
            <w:r>
              <w:rPr>
                <w:i/>
                <w:iCs/>
              </w:rPr>
              <w:t xml:space="preserve">Spine J</w:t>
            </w:r>
            <w:r>
              <w:t xml:space="preserve"> </w:t>
            </w:r>
            <w:r>
              <w:t xml:space="preserve">2018 (29174459)</w:t>
            </w:r>
          </w:p>
        </w:tc>
        <w:tc>
          <w:tcPr/>
          <w:p>
            <w:pPr>
              <w:pStyle w:val="Compact"/>
            </w:pPr>
            <w:r>
              <w:t xml:space="preserve">609 pazienti, un anno</w:t>
            </w:r>
          </w:p>
        </w:tc>
        <w:tc>
          <w:tcPr/>
          <w:p>
            <w:pPr>
              <w:pStyle w:val="Compact"/>
            </w:pPr>
            <w:r>
              <w:t xml:space="preserve">Mettere in cartella le credenze</w:t>
            </w:r>
          </w:p>
        </w:tc>
      </w:tr>
      <w:tr>
        <w:tc>
          <w:tcPr/>
          <w:p>
            <w:pPr>
              <w:pStyle w:val="Compact"/>
            </w:pPr>
            <w:r>
              <w:t xml:space="preserve">Peul,</w:t>
            </w:r>
            <w:r>
              <w:t xml:space="preserve"> </w:t>
            </w:r>
            <w:r>
              <w:rPr>
                <w:i/>
                <w:iCs/>
              </w:rPr>
              <w:t xml:space="preserve">N Engl J Med</w:t>
            </w:r>
            <w:r>
              <w:t xml:space="preserve"> </w:t>
            </w:r>
            <w:r>
              <w:t xml:space="preserve">2007 (17538084)</w:t>
            </w:r>
          </w:p>
        </w:tc>
        <w:tc>
          <w:tcPr/>
          <w:p>
            <w:pPr>
              <w:pStyle w:val="Compact"/>
            </w:pPr>
            <w:r>
              <w:t xml:space="preserve">283 pazienti, chirurgia</w:t>
            </w:r>
          </w:p>
        </w:tc>
        <w:tc>
          <w:tcPr/>
          <w:p>
            <w:pPr>
              <w:pStyle w:val="Compact"/>
            </w:pPr>
            <w:r>
              <w:t xml:space="preserve">Dare un orizzonte temporale</w:t>
            </w:r>
          </w:p>
        </w:tc>
      </w:tr>
    </w:tbl>
    <w:bookmarkEnd w:id="58"/>
    <w:bookmarkStart w:id="59" w:name="i-tre-cerchi"/>
    <w:p>
      <w:pPr>
        <w:pStyle w:val="Heading3"/>
      </w:pPr>
      <w:r>
        <w:t xml:space="preserve">I tre cerchi</w:t>
      </w:r>
    </w:p>
    <w:p>
      <w:pPr>
        <w:pStyle w:val="FirstParagraph"/>
      </w:pPr>
      <w:r>
        <w:rPr>
          <w:b/>
          <w:bCs/>
        </w:rPr>
        <w:t xml:space="preserve">Cerchio 1 — l’evidenza specifica.</w:t>
      </w:r>
      <w:r>
        <w:t xml:space="preserve"> </w:t>
      </w:r>
      <w:r>
        <w:t xml:space="preserve">Esiste, è abbondante, e la sua conclusione è scomoda.</w:t>
      </w:r>
    </w:p>
    <w:p>
      <w:pPr>
        <w:pStyle w:val="BodyText"/>
      </w:pPr>
      <w:r>
        <w:t xml:space="preserve">Diciotto studi controllati e 2.699 pazienti con sciatalgia non mostrano differenza fra interventi di fisioterapia e controlli, a nessuna distanza di tempo.</w:t>
      </w:r>
      <w:r>
        <w:t xml:space="preserve"> </w:t>
      </w:r>
      <w:r>
        <w:rPr>
          <w:b/>
          <w:bCs/>
        </w:rPr>
        <w:t xml:space="preserve">Nell’analisi per sottogruppi la fisioterapia risulta superiore al solo intervento minimo sul dolore a lungo termine.</w:t>
      </w:r>
      <w:r>
        <w:t xml:space="preserve"> </w:t>
      </w:r>
      <w:r>
        <w:t xml:space="preserve">L’eterogeneità fra gli studi è fra l’80% e il 98%, e gli autori concludono che i dati non permettono una raccomandazione clinica: né a favore né contro (Dove e Schmid,</w:t>
      </w:r>
      <w:r>
        <w:t xml:space="preserve"> </w:t>
      </w:r>
      <w:r>
        <w:rPr>
          <w:i/>
          <w:iCs/>
        </w:rPr>
        <w:t xml:space="preserve">Eur Spine J</w:t>
      </w:r>
      <w:r>
        <w:t xml:space="preserve"> </w:t>
      </w:r>
      <w:r>
        <w:t xml:space="preserve">2023, PMID 36580149).</w:t>
      </w:r>
    </w:p>
    <w:p>
      <w:pPr>
        <w:pStyle w:val="BodyText"/>
      </w:pPr>
      <w:r>
        <w:rPr>
          <w:b/>
          <w:bCs/>
        </w:rPr>
        <w:t xml:space="preserve">Per te:</w:t>
      </w:r>
      <w:r>
        <w:t xml:space="preserve"> </w:t>
      </w:r>
      <w:r>
        <w:t xml:space="preserve">non ti toglie il lavoro.</w:t>
      </w:r>
      <w:r>
        <w:t xml:space="preserve"> </w:t>
      </w:r>
      <w:r>
        <w:rPr>
          <w:b/>
          <w:bCs/>
        </w:rPr>
        <w:t xml:space="preserve">Ti toglie il diritto di promettere un esito e ti obbliga a lavorare con un marker e una scadenza.</w:t>
      </w:r>
    </w:p>
    <w:p>
      <w:pPr>
        <w:pStyle w:val="BodyText"/>
      </w:pPr>
      <w:r>
        <w:t xml:space="preserve">Le due sintesi più recenti confermano. Sull’acuta, 40 studi su 5.381 pazienti,</w:t>
      </w:r>
      <w:r>
        <w:t xml:space="preserve"> </w:t>
      </w:r>
      <w:r>
        <w:rPr>
          <w:b/>
          <w:bCs/>
        </w:rPr>
        <w:t xml:space="preserve">tutti di confidenza molto bassa</w:t>
      </w:r>
      <w:r>
        <w:t xml:space="preserve"> </w:t>
      </w:r>
      <w:r>
        <w:t xml:space="preserve">(Zhu,</w:t>
      </w:r>
      <w:r>
        <w:t xml:space="preserve"> </w:t>
      </w:r>
      <w:r>
        <w:rPr>
          <w:i/>
          <w:iCs/>
        </w:rPr>
        <w:t xml:space="preserve">J Orthop Sports Phys Ther</w:t>
      </w:r>
      <w:r>
        <w:t xml:space="preserve"> </w:t>
      </w:r>
      <w:r>
        <w:t xml:space="preserve">2025, PMID 40434940). Sulla cronica, 50 studi e 4.920 pazienti: le riduzioni di dolore più grandi a breve termine appartengono a manipolazione spinale, esercizio con mobilizzazione neurale e iniezioni anestetiche nei tessuti molli, con la stessa confidenza (Zhu,</w:t>
      </w:r>
      <w:r>
        <w:t xml:space="preserve"> </w:t>
      </w:r>
      <w:r>
        <w:rPr>
          <w:i/>
          <w:iCs/>
        </w:rPr>
        <w:t xml:space="preserve">J Pain</w:t>
      </w:r>
      <w:r>
        <w:t xml:space="preserve"> </w:t>
      </w:r>
      <w:r>
        <w:t xml:space="preserve">2025, PMID 40373933).</w:t>
      </w:r>
    </w:p>
    <w:p>
      <w:pPr>
        <w:pStyle w:val="BodyText"/>
      </w:pPr>
      <w:r>
        <w:rPr>
          <w:b/>
          <w:bCs/>
        </w:rPr>
        <w:t xml:space="preserve">Per te:</w:t>
      </w:r>
      <w:r>
        <w:t xml:space="preserve"> </w:t>
      </w:r>
      <w:r>
        <w:rPr>
          <w:b/>
          <w:bCs/>
        </w:rPr>
        <w:t xml:space="preserve">due delle tre in cima sono le tue.</w:t>
      </w:r>
      <w:r>
        <w:t xml:space="preserve"> </w:t>
      </w:r>
      <w:r>
        <w:t xml:space="preserve">Il giudizio che le accompagna non riguarda la loro dimensione ma la loro incertezza, e la differenza fra le due cose è quello che dirai al paziente.</w:t>
      </w:r>
    </w:p>
    <w:p>
      <w:pPr>
        <w:pStyle w:val="BodyText"/>
      </w:pPr>
      <w:r>
        <w:rPr>
          <w:b/>
          <w:bCs/>
        </w:rPr>
        <w:t xml:space="preserve">L’RCT specifico favorevole va letto con la sua seconda metà.</w:t>
      </w:r>
      <w:r>
        <w:t xml:space="preserve"> </w:t>
      </w:r>
      <w:r>
        <w:t xml:space="preserve">Lo studio ha arruolato 220 adulti con sciatalgia da meno di novanta giorni, al primo accesso in medicina generale. Confronta l’invio precoce a quattro settimane di fisioterapia — esercizio</w:t>
      </w:r>
      <w:r>
        <w:t xml:space="preserve"> </w:t>
      </w:r>
      <w:r>
        <w:rPr>
          <w:b/>
          <w:bCs/>
        </w:rPr>
        <w:t xml:space="preserve">più</w:t>
      </w:r>
      <w:r>
        <w:t xml:space="preserve"> </w:t>
      </w:r>
      <w:r>
        <w:t xml:space="preserve">terapia manuale — contro le sole cure abituali. La differenza di disabilità è di</w:t>
      </w:r>
      <w:r>
        <w:t xml:space="preserve"> </w:t>
      </w:r>
      <w:r>
        <w:rPr>
          <w:b/>
          <w:bCs/>
        </w:rPr>
        <w:t xml:space="preserve">−5,4 punti Oswestry a sei mesi</w:t>
      </w:r>
      <w:r>
        <w:t xml:space="preserve"> </w:t>
      </w:r>
      <w:r>
        <w:t xml:space="preserve">e</w:t>
      </w:r>
      <w:r>
        <w:t xml:space="preserve"> </w:t>
      </w:r>
      <w:r>
        <w:rPr>
          <w:b/>
          <w:bCs/>
        </w:rPr>
        <w:t xml:space="preserve">−4,8 a un anno</w:t>
      </w:r>
      <w:r>
        <w:t xml:space="preserve">, con successo auto-riferito del</w:t>
      </w:r>
      <w:r>
        <w:t xml:space="preserve"> </w:t>
      </w:r>
      <w:r>
        <w:rPr>
          <w:b/>
          <w:bCs/>
        </w:rPr>
        <w:t xml:space="preserve">45,2% contro il 27,6%</w:t>
      </w:r>
      <w:r>
        <w:t xml:space="preserve">. Ma</w:t>
      </w:r>
      <w:r>
        <w:t xml:space="preserve"> </w:t>
      </w:r>
      <w:r>
        <w:rPr>
          <w:b/>
          <w:bCs/>
        </w:rPr>
        <w:t xml:space="preserve">non cambia il consumo sanitario né le giornate di lavoro perse</w:t>
      </w:r>
      <w:r>
        <w:t xml:space="preserve"> </w:t>
      </w:r>
      <w:r>
        <w:t xml:space="preserve">(Fritz,</w:t>
      </w:r>
      <w:r>
        <w:t xml:space="preserve"> </w:t>
      </w:r>
      <w:r>
        <w:rPr>
          <w:i/>
          <w:iCs/>
        </w:rPr>
        <w:t xml:space="preserve">Ann Intern Med</w:t>
      </w:r>
      <w:r>
        <w:t xml:space="preserve"> </w:t>
      </w:r>
      <w:r>
        <w:t xml:space="preserve">2021, PMID 33017565).</w:t>
      </w:r>
      <w:r>
        <w:t xml:space="preserve"> </w:t>
      </w:r>
      <w:r>
        <w:rPr>
          <w:b/>
          <w:bCs/>
        </w:rPr>
        <w:t xml:space="preserve">Misurato su un percorso di quattro settimane che comprendeva esercizio e terapia manuale insieme, in aperto: gli autori dichiarano di non poter attribuire l’effetto a nessuno dei due, e cinque punti di Oswestry stanno sotto la soglia che un paziente percepisce.</w:t>
      </w:r>
    </w:p>
    <w:p>
      <w:pPr>
        <w:pStyle w:val="BodyText"/>
      </w:pPr>
      <w:r>
        <w:t xml:space="preserve">Il dato che regge meglio di tutti è vecchio. In 102 pazienti con sciatalgia acuta da protrusione, la randomizzazione è avvenuta in doppio cieco fra manipolazione</w:t>
      </w:r>
      <w:r>
        <w:t xml:space="preserve"> </w:t>
      </w:r>
      <w:r>
        <w:rPr>
          <w:b/>
          <w:bCs/>
        </w:rPr>
        <w:t xml:space="preserve">chiropratica ad alta velocità</w:t>
      </w:r>
      <w:r>
        <w:t xml:space="preserve"> </w:t>
      </w:r>
      <w:r>
        <w:t xml:space="preserve">vera e simulata. A 180 giorni il 55% del gruppo trattato era senza dolore irradiato, contro il 20% del simulato (Santilli,</w:t>
      </w:r>
      <w:r>
        <w:t xml:space="preserve"> </w:t>
      </w:r>
      <w:r>
        <w:rPr>
          <w:i/>
          <w:iCs/>
        </w:rPr>
        <w:t xml:space="preserve">Spine J</w:t>
      </w:r>
      <w:r>
        <w:t xml:space="preserve"> </w:t>
      </w:r>
      <w:r>
        <w:t xml:space="preserve">2006, PMID 16517383).</w:t>
      </w:r>
    </w:p>
    <w:p>
      <w:pPr>
        <w:pStyle w:val="BlockText"/>
      </w:pPr>
      <w:r>
        <w:rPr>
          <w:b/>
          <w:bCs/>
        </w:rPr>
        <w:t xml:space="preserve">Attenzione.</w:t>
      </w:r>
      <w:r>
        <w:t xml:space="preserve"> </w:t>
      </w:r>
      <w:r>
        <w:t xml:space="preserve">Quel dato vale su</w:t>
      </w:r>
      <w:r>
        <w:t xml:space="preserve"> </w:t>
      </w:r>
      <w:r>
        <w:rPr>
          <w:b/>
          <w:bCs/>
        </w:rPr>
        <w:t xml:space="preserve">protrusione con anello integro e senza deficit</w:t>
      </w:r>
      <w:r>
        <w:t xml:space="preserve">, che è anche il confine di sicurezza e non solo quello di evidenza. Nella raccolta dei casi di evento avverso grave dopo manipolazione lombo-pelvica, cauda equina (38%) ed ernia peggiorata (30%) sono i due terzi delle segnalazioni (Hebert,</w:t>
      </w:r>
      <w:r>
        <w:t xml:space="preserve"> </w:t>
      </w:r>
      <w:r>
        <w:rPr>
          <w:i/>
          <w:iCs/>
        </w:rPr>
        <w:t xml:space="preserve">J Manipulative Physiol Ther</w:t>
      </w:r>
      <w:r>
        <w:t xml:space="preserve"> </w:t>
      </w:r>
      <w:r>
        <w:t xml:space="preserve">2015, PMID 23787298). Il meccanismo descritto è il</w:t>
      </w:r>
      <w:r>
        <w:t xml:space="preserve"> </w:t>
      </w:r>
      <w:r>
        <w:rPr>
          <w:b/>
          <w:bCs/>
        </w:rPr>
        <w:t xml:space="preserve">peggioramento acuto di un’ernia già presente</w:t>
      </w:r>
      <w:r>
        <w:t xml:space="preserve"> </w:t>
      </w:r>
      <w:r>
        <w:t xml:space="preserve">(Yang, PMID 28796647). Nel confronto epidemiologico più ampio la manipolazione</w:t>
      </w:r>
      <w:r>
        <w:t xml:space="preserve"> </w:t>
      </w:r>
      <w:r>
        <w:rPr>
          <w:b/>
          <w:bCs/>
        </w:rPr>
        <w:t xml:space="preserve">non</w:t>
      </w:r>
      <w:r>
        <w:t xml:space="preserve"> </w:t>
      </w:r>
      <w:r>
        <w:t xml:space="preserve">aumenta il rischio rispetto alla fisioterapia — 0,07% contro 0,11% su 67.220 pazienti per coorte (Trager,</w:t>
      </w:r>
      <w:r>
        <w:t xml:space="preserve"> </w:t>
      </w:r>
      <w:r>
        <w:rPr>
          <w:i/>
          <w:iCs/>
        </w:rPr>
        <w:t xml:space="preserve">PLoS One</w:t>
      </w:r>
      <w:r>
        <w:t xml:space="preserve"> </w:t>
      </w:r>
      <w:r>
        <w:t xml:space="preserve">2024, PMID 38466710): il rischio è raro e appartiene al quadro più che alla tecnica, ma è concentrato dove il contenuto discale è già oltre l’anello. È conoscenza, non un divieto.</w:t>
      </w:r>
    </w:p>
    <w:p>
      <w:pPr>
        <w:pStyle w:val="FirstParagraph"/>
      </w:pPr>
      <w:r>
        <w:t xml:space="preserve">Sulla mobilizzazione neurale la sintesi più ampia raccoglie 20 studi e 877 pazienti con radicolopatia lombare. Le riduzioni di dolore e disabilità sono grandi come dimensione (g -1,10 e -0,96), ma con</w:t>
      </w:r>
      <w:r>
        <w:t xml:space="preserve"> </w:t>
      </w:r>
      <w:r>
        <w:rPr>
          <w:b/>
          <w:bCs/>
        </w:rPr>
        <w:t xml:space="preserve">eterogeneità dell’85-88%</w:t>
      </w:r>
      <w:r>
        <w:t xml:space="preserve"> </w:t>
      </w:r>
      <w:r>
        <w:t xml:space="preserve">e sospetto di bias (Lin,</w:t>
      </w:r>
      <w:r>
        <w:t xml:space="preserve"> </w:t>
      </w:r>
      <w:r>
        <w:rPr>
          <w:i/>
          <w:iCs/>
        </w:rPr>
        <w:t xml:space="preserve">Life (Basel)</w:t>
      </w:r>
      <w:r>
        <w:t xml:space="preserve"> </w:t>
      </w:r>
      <w:r>
        <w:t xml:space="preserve">2023, PMID 38137856). Dove l’effetto è stato isolato si è visto sul segno e sui sintomi neuropatici, non sul dolore —</w:t>
      </w:r>
      <w:r>
        <w:t xml:space="preserve"> </w:t>
      </w:r>
      <w:r>
        <w:rPr>
          <w:b/>
          <w:bCs/>
        </w:rPr>
        <w:t xml:space="preserve">e va detto com’era fatto lo studio: 32 pazienti, 16 per braccio, con il braccio di confronto che faceva esercizio di controllo motorio; entrambi i gruppi sono migliorati molto, e gli autori dichiarano che la differenza fra i gruppi non raggiungeva rilevanza clinica</w:t>
      </w:r>
      <w:r>
        <w:t xml:space="preserve"> </w:t>
      </w:r>
      <w:r>
        <w:t xml:space="preserve">(Plaza-Manzano,</w:t>
      </w:r>
      <w:r>
        <w:t xml:space="preserve"> </w:t>
      </w:r>
      <w:r>
        <w:rPr>
          <w:i/>
          <w:iCs/>
        </w:rPr>
        <w:t xml:space="preserve">Am J Phys Med Rehabil</w:t>
      </w:r>
      <w:r>
        <w:t xml:space="preserve"> </w:t>
      </w:r>
      <w:r>
        <w:t xml:space="preserve">2020, PMID 31464753).</w:t>
      </w:r>
    </w:p>
    <w:p>
      <w:pPr>
        <w:pStyle w:val="BodyText"/>
      </w:pPr>
      <w:r>
        <w:rPr>
          <w:b/>
          <w:bCs/>
        </w:rPr>
        <w:t xml:space="preserve">Per te:</w:t>
      </w:r>
      <w:r>
        <w:t xml:space="preserve"> </w:t>
      </w:r>
      <w:r>
        <w:t xml:space="preserve">il grosso del guadagno, in quello studio, sta nell’esercizio che facevano entrambi i gruppi.</w:t>
      </w:r>
    </w:p>
    <w:p>
      <w:pPr>
        <w:pStyle w:val="BlockText"/>
      </w:pPr>
      <w:r>
        <w:rPr>
          <w:b/>
          <w:bCs/>
        </w:rPr>
        <w:t xml:space="preserve">Cosa cambia per te.</w:t>
      </w:r>
      <w:r>
        <w:t xml:space="preserve"> </w:t>
      </w:r>
      <w:r>
        <w:t xml:space="preserve">Questo è il metro che manca quasi sempre. La differenza che un paziente percepisce è di circa 10-15 punti su 100 per il dolore e 3-5 punti di Roland-Morris per la disabilità.</w:t>
      </w:r>
      <w:r>
        <w:t xml:space="preserve"> </w:t>
      </w:r>
      <w:r>
        <w:rPr>
          <w:b/>
          <w:bCs/>
        </w:rPr>
        <w:t xml:space="preserve">Sotto quella soglia, un risultato statisticamente significativo non è un risultato clinico.</w:t>
      </w:r>
    </w:p>
    <w:p>
      <w:pPr>
        <w:pStyle w:val="FirstParagraph"/>
      </w:pPr>
      <w:r>
        <w:rPr>
          <w:b/>
          <w:bCs/>
        </w:rPr>
        <w:t xml:space="preserve">Cerchio 2 — l’evidenza trasversale sul meccanismo.</w:t>
      </w:r>
      <w:r>
        <w:t xml:space="preserve"> </w:t>
      </w:r>
      <w:r>
        <w:t xml:space="preserve">Serve dove il primo cerchio non arriva: il contatto lento, il respiro, la spiegazione.</w:t>
      </w:r>
    </w:p>
    <w:p>
      <w:pPr>
        <w:pStyle w:val="BodyText"/>
      </w:pPr>
      <w:r>
        <w:t xml:space="preserve">Che il trattamento manuale modifichi la sensibilità al dolore è misurato. Una revisione sistematica con meta-analisi di</w:t>
      </w:r>
      <w:r>
        <w:t xml:space="preserve"> </w:t>
      </w:r>
      <w:r>
        <w:rPr>
          <w:b/>
          <w:bCs/>
        </w:rPr>
        <w:t xml:space="preserve">20 studi</w:t>
      </w:r>
      <w:r>
        <w:t xml:space="preserve"> </w:t>
      </w:r>
      <w:r>
        <w:t xml:space="preserve">trova un effetto favorevole della manipolazione spinale sulla</w:t>
      </w:r>
      <w:r>
        <w:t xml:space="preserve"> </w:t>
      </w:r>
      <w:r>
        <w:rPr>
          <w:b/>
          <w:bCs/>
        </w:rPr>
        <w:t xml:space="preserve">soglia di pressione dolorosa</w:t>
      </w:r>
      <w:r>
        <w:t xml:space="preserve">, significativo</w:t>
      </w:r>
      <w:r>
        <w:t xml:space="preserve"> </w:t>
      </w:r>
      <w:r>
        <w:rPr>
          <w:b/>
          <w:bCs/>
        </w:rPr>
        <w:t xml:space="preserve">anche nei siti lontani</w:t>
      </w:r>
      <w:r>
        <w:t xml:space="preserve"> </w:t>
      </w:r>
      <w:r>
        <w:t xml:space="preserve">dal punto di applicazione. Gli autori leggono quel risultato come sostegno a un meccanismo del sistema nervoso centrale (Coronado,</w:t>
      </w:r>
      <w:r>
        <w:t xml:space="preserve"> </w:t>
      </w:r>
      <w:r>
        <w:rPr>
          <w:i/>
          <w:iCs/>
        </w:rPr>
        <w:t xml:space="preserve">J Electromyogr Kinesiol</w:t>
      </w:r>
      <w:r>
        <w:t xml:space="preserve"> </w:t>
      </w:r>
      <w:r>
        <w:t xml:space="preserve">2012, PMID 22296867).</w:t>
      </w:r>
      <w:r>
        <w:t xml:space="preserve"> </w:t>
      </w:r>
      <w:r>
        <w:rPr>
          <w:b/>
          <w:bCs/>
        </w:rPr>
        <w:t xml:space="preserve">Misurato su popolazioni con dolore muscolo-scheletrico e su volontari con stimoli sperimentali, non su pazienti con dolore radicolare — e misura una soglia sperimentale subito dopo il trattamento, non un esito clinico.</w:t>
      </w:r>
    </w:p>
    <w:p>
      <w:pPr>
        <w:pStyle w:val="BodyText"/>
      </w:pPr>
      <w:r>
        <w:rPr>
          <w:b/>
          <w:bCs/>
        </w:rPr>
        <w:t xml:space="preserve">Per te, e ha due conseguenze opposte.</w:t>
      </w:r>
      <w:r>
        <w:t xml:space="preserve"> </w:t>
      </w:r>
      <w:r>
        <w:t xml:space="preserve">La prima: quando scrivi che la leva manuale su soglia e attivazione è IPOTESI</w:t>
      </w:r>
      <w:r>
        <w:t xml:space="preserve"> </w:t>
      </w:r>
      <w:r>
        <w:rPr>
          <w:i/>
          <w:iCs/>
        </w:rPr>
        <w:t xml:space="preserve">(meccanismo coerente, nessuno studio)</w:t>
      </w:r>
      <w:r>
        <w:t xml:space="preserve">,</w:t>
      </w:r>
      <w:r>
        <w:t xml:space="preserve"> </w:t>
      </w:r>
      <w:r>
        <w:rPr>
          <w:b/>
          <w:bCs/>
        </w:rPr>
        <w:t xml:space="preserve">il meccanismo su cui poggia non è nudo</w:t>
      </w:r>
      <w:r>
        <w:t xml:space="preserve">, ed è la distinzione che questa Bibbia ti insegna a tenere. La seconda sta in «Come ragiono davanti a questo paziente»: se hai manipolato, la soglia di pressione remota smette di essere un piano non trattato.</w:t>
      </w:r>
    </w:p>
    <w:p>
      <w:pPr>
        <w:pStyle w:val="BodyText"/>
      </w:pPr>
      <w:r>
        <w:t xml:space="preserve">La respirazione lenta volontaria aumenta gli indici di attività vagale sul cuore: durante la pratica, subito dopo una sessione, e anche dopo un intervento su più sessioni (Laborde,</w:t>
      </w:r>
      <w:r>
        <w:t xml:space="preserve"> </w:t>
      </w:r>
      <w:r>
        <w:rPr>
          <w:i/>
          <w:iCs/>
        </w:rPr>
        <w:t xml:space="preserve">Neurosci Biobehav Rev</w:t>
      </w:r>
      <w:r>
        <w:t xml:space="preserve"> </w:t>
      </w:r>
      <w:r>
        <w:t xml:space="preserve">2022, PMID 35623448).</w:t>
      </w:r>
      <w:r>
        <w:t xml:space="preserve"> </w:t>
      </w:r>
      <w:r>
        <w:rPr>
          <w:b/>
          <w:bCs/>
        </w:rPr>
        <w:t xml:space="preserve">Misurato in gran parte su volontari sani, senza alcun esito clinico e senza un paziente con dolore radicolare.</w:t>
      </w:r>
    </w:p>
    <w:p>
      <w:pPr>
        <w:pStyle w:val="BodyText"/>
      </w:pPr>
      <w:r>
        <w:t xml:space="preserve">Sul tocco, il quadro per intero. In 20 studi controllati sugli effetti psicofisiologici del trattamento manuale osteopatico</w:t>
      </w:r>
      <w:r>
        <w:t xml:space="preserve"> </w:t>
      </w:r>
      <w:r>
        <w:rPr>
          <w:b/>
          <w:bCs/>
        </w:rPr>
        <w:t xml:space="preserve">non si trova effetto su ansia e stress</w:t>
      </w:r>
      <w:r>
        <w:t xml:space="preserve">. Si trova una</w:t>
      </w:r>
      <w:r>
        <w:t xml:space="preserve"> </w:t>
      </w:r>
      <w:r>
        <w:rPr>
          <w:b/>
          <w:bCs/>
        </w:rPr>
        <w:t xml:space="preserve">riduzione della depressione</w:t>
      </w:r>
      <w:r>
        <w:t xml:space="preserve"> </w:t>
      </w:r>
      <w:r>
        <w:t xml:space="preserve">(g -0,47, IC -0,86/-0,09),</w:t>
      </w:r>
      <w:r>
        <w:t xml:space="preserve"> </w:t>
      </w:r>
      <w:r>
        <w:rPr>
          <w:b/>
          <w:bCs/>
        </w:rPr>
        <w:t xml:space="preserve">più marcata nelle popolazioni con dolore</w:t>
      </w:r>
      <w:r>
        <w:t xml:space="preserve"> </w:t>
      </w:r>
      <w:r>
        <w:t xml:space="preserve">(g -0,61). La conduttanza cutanea aumenta (g 0,67)</w:t>
      </w:r>
      <w:r>
        <w:t xml:space="preserve"> </w:t>
      </w:r>
      <w:r>
        <w:rPr>
          <w:b/>
          <w:bCs/>
        </w:rPr>
        <w:t xml:space="preserve">ma con un intervallo di confidenza che tocca lo zero (0,00-1,34, p = 0,05)</w:t>
      </w:r>
      <w:r>
        <w:t xml:space="preserve"> </w:t>
      </w:r>
      <w:r>
        <w:t xml:space="preserve">(Gordon,</w:t>
      </w:r>
      <w:r>
        <w:t xml:space="preserve"> </w:t>
      </w:r>
      <w:r>
        <w:rPr>
          <w:i/>
          <w:iCs/>
        </w:rPr>
        <w:t xml:space="preserve">BMJ Open</w:t>
      </w:r>
      <w:r>
        <w:t xml:space="preserve"> </w:t>
      </w:r>
      <w:r>
        <w:t xml:space="preserve">2025, PMID 39920074).</w:t>
      </w:r>
      <w:r>
        <w:t xml:space="preserve"> </w:t>
      </w:r>
      <w:r>
        <w:rPr>
          <w:b/>
          <w:bCs/>
        </w:rPr>
        <w:t xml:space="preserve">Misurato su popolazioni miste, non su pazienti con sciatalgia.</w:t>
      </w:r>
    </w:p>
    <w:p>
      <w:pPr>
        <w:pStyle w:val="BodyText"/>
      </w:pPr>
      <w:r>
        <w:rPr>
          <w:b/>
          <w:bCs/>
        </w:rPr>
        <w:t xml:space="preserve">Per te.</w:t>
      </w:r>
      <w:r>
        <w:t xml:space="preserve"> </w:t>
      </w:r>
      <w:r>
        <w:t xml:space="preserve">La conduttanza cutanea misura</w:t>
      </w:r>
      <w:r>
        <w:t xml:space="preserve"> </w:t>
      </w:r>
      <w:r>
        <w:rPr>
          <w:b/>
          <w:bCs/>
        </w:rPr>
        <w:t xml:space="preserve">un solo ramo</w:t>
      </w:r>
      <w:r>
        <w:t xml:space="preserve">, la sudorazione simpatica, ed è il canale più reattivo alla semplice novità del contatto. Il ramo vagale si misura altrove, e lì non c’è effetto dimostrato. Quel dato non autorizza a dire che il tocco attiva né che rilassa.</w:t>
      </w:r>
      <w:r>
        <w:t xml:space="preserve"> </w:t>
      </w:r>
      <w:r>
        <w:rPr>
          <w:b/>
          <w:bCs/>
        </w:rPr>
        <w:t xml:space="preserve">Una conduttanza che sale non è un danno e non è una controindicazione:</w:t>
      </w:r>
      <w:r>
        <w:t xml:space="preserve"> </w:t>
      </w:r>
      <w:r>
        <w:t xml:space="preserve">è la ragione per cui non si usa la parola</w:t>
      </w:r>
      <w:r>
        <w:t xml:space="preserve"> </w:t>
      </w:r>
      <w:r>
        <w:rPr>
          <w:i/>
          <w:iCs/>
        </w:rPr>
        <w:t xml:space="preserve">rilassamento</w:t>
      </w:r>
      <w:r>
        <w:t xml:space="preserve">, non la ragione per non toccare il paziente in allarme.</w:t>
      </w:r>
    </w:p>
    <w:p>
      <w:pPr>
        <w:pStyle w:val="BodyText"/>
      </w:pPr>
      <w:r>
        <w:t xml:space="preserve">Sulla leva di spiegazione ed esposizione la prova migliore viene da 492 adulti con lombalgia cronica disabilitante: un intervento su credenze, emozioni e comportamenti di movimento dà 4,6 punti di Roland-Morris su 24 rispetto alle cure abituali, mantenuti a un anno (Kent,</w:t>
      </w:r>
      <w:r>
        <w:t xml:space="preserve"> </w:t>
      </w:r>
      <w:r>
        <w:rPr>
          <w:i/>
          <w:iCs/>
        </w:rPr>
        <w:t xml:space="preserve">Lancet</w:t>
      </w:r>
      <w:r>
        <w:t xml:space="preserve"> </w:t>
      </w:r>
      <w:r>
        <w:t xml:space="preserve">2023, PMID 37146623).</w:t>
      </w:r>
      <w:r>
        <w:t xml:space="preserve"> </w:t>
      </w:r>
      <w:r>
        <w:rPr>
          <w:b/>
          <w:bCs/>
        </w:rPr>
        <w:t xml:space="preserve">Non misurato su pazienti con sciatalgia.</w:t>
      </w:r>
    </w:p>
    <w:p>
      <w:pPr>
        <w:pStyle w:val="BlockText"/>
      </w:pPr>
      <w:r>
        <w:rPr>
          <w:b/>
          <w:bCs/>
        </w:rPr>
        <w:t xml:space="preserve">Attenzione.</w:t>
      </w:r>
      <w:r>
        <w:t xml:space="preserve"> </w:t>
      </w:r>
      <w:r>
        <w:t xml:space="preserve">Vale la regola del ponte. Ogni dato di questo cerchio alza l’etichetta del</w:t>
      </w:r>
      <w:r>
        <w:t xml:space="preserve"> </w:t>
      </w:r>
      <w:r>
        <w:rPr>
          <w:b/>
          <w:bCs/>
        </w:rPr>
        <w:t xml:space="preserve">meccanismo</w:t>
      </w:r>
      <w:r>
        <w:t xml:space="preserve">, mai quella della leva sulla sciatalgia — con la sola eccezione dichiarata in «La lettura osteopatica» per un intervento a esito clinico su popolazione contigua. Nessuno di questi studi ha arruolato un paziente con dolore radicolare.</w:t>
      </w:r>
    </w:p>
    <w:p>
      <w:pPr>
        <w:pStyle w:val="FirstParagraph"/>
      </w:pPr>
      <w:r>
        <w:rPr>
          <w:b/>
          <w:bCs/>
        </w:rPr>
        <w:t xml:space="preserve">Cerchio 3 — la fisiologia di base.</w:t>
      </w:r>
      <w:r>
        <w:t xml:space="preserve"> </w:t>
      </w:r>
      <w:r>
        <w:t xml:space="preserve">È il cerchio più solido, ed è già speso per intero dentro «Le strutture in gioco», «Cosa si rompe» e «Non è una condizione sola»: pressione e flusso intraneurale, infiammazione che arriva al ganglio, fisiopatologia umana dell’intrappolamento e della scarica ectopica, scorrimento contro allungamento, escursione dello sciatico misurata in vivo, pressione discale da seduti, variante sciatico-piriforme, sindrome glutea profonda come entità per criteri. I PMID stanno nell’Appendice B. Reggono il</w:t>
      </w:r>
      <w:r>
        <w:t xml:space="preserve"> </w:t>
      </w:r>
      <w:r>
        <w:rPr>
          <w:b/>
          <w:bCs/>
        </w:rPr>
        <w:t xml:space="preserve">perché</w:t>
      </w:r>
      <w:r>
        <w:t xml:space="preserve"> </w:t>
      </w:r>
      <w:r>
        <w:t xml:space="preserve">del nostro lavoro, non la sua efficacia.</w:t>
      </w:r>
    </w:p>
    <w:bookmarkEnd w:id="59"/>
    <w:bookmarkStart w:id="60" w:name="cosa-possiamo-dire-e-cosa-no"/>
    <w:p>
      <w:pPr>
        <w:pStyle w:val="Heading3"/>
      </w:pPr>
      <w:r>
        <w:t xml:space="preserve">Cosa possiamo dire e cosa no</w:t>
      </w:r>
    </w:p>
    <w:p>
      <w:pPr>
        <w:pStyle w:val="FirstParagraph"/>
      </w:pPr>
      <w:r>
        <w:rPr>
          <w:b/>
          <w:bCs/>
        </w:rPr>
        <w:t xml:space="preserve">Possiamo dire:</w:t>
      </w:r>
      <w:r>
        <w:t xml:space="preserve"> </w:t>
      </w:r>
      <w:r>
        <w:t xml:space="preserve">che il dolore radicolare nasce da compressione più infiammazione, e che la scarica parte dalla radice; che la maggior parte delle ernie si riassorbe; che le protrusioni sono comuni in chi non ha dolore; che il riposo a letto non aggiunge niente; che la manipolazione ha un dato positivo in doppio cieco su un sottogruppo acuto preciso; che la mobilizzazione neurale migliora il segno; che le convinzioni sulla durata del recupero predicono l’esito.</w:t>
      </w:r>
    </w:p>
    <w:p>
      <w:pPr>
        <w:pStyle w:val="BodyText"/>
      </w:pPr>
      <w:r>
        <w:rPr>
          <w:b/>
          <w:bCs/>
        </w:rPr>
        <w:t xml:space="preserve">Non possiamo dire:</w:t>
      </w:r>
      <w:r>
        <w:t xml:space="preserve"> </w:t>
      </w:r>
      <w:r>
        <w:t xml:space="preserve">che il trattamento manuale sia efficace sulla sciatalgia, perché la sintesi più ampia non trova differenza sui totali; che una tecnica sia superiore a un’altra; che il nostro lavoro riduca l’ernia;</w:t>
      </w:r>
      <w:r>
        <w:t xml:space="preserve"> </w:t>
      </w:r>
      <w:r>
        <w:rPr>
          <w:b/>
          <w:bCs/>
        </w:rPr>
        <w:t xml:space="preserve">che il tocco rilassi il sistema nervoso, perché la misura autonomica disponibile non lo mostra</w:t>
      </w:r>
      <w:r>
        <w:t xml:space="preserve">; che evitiamo un intervento; che cambiamo la storia naturale.</w:t>
      </w:r>
    </w:p>
    <w:p>
      <w:pPr>
        <w:pStyle w:val="BodyText"/>
      </w:pPr>
      <w:r>
        <w:t xml:space="preserve">Due voci vanno oltre l’assenza di prove, perché qui la prova contraria esiste.</w:t>
      </w:r>
    </w:p>
    <w:p>
      <w:pPr>
        <w:pStyle w:val="BodyText"/>
      </w:pPr>
      <w:r>
        <w:rPr>
          <w:b/>
          <w:bCs/>
        </w:rPr>
        <w:t xml:space="preserve">Non possiamo dire che una trazione, nemmeno manuale, decomprima qualcosa.</w:t>
      </w:r>
      <w:r>
        <w:t xml:space="preserve"> </w:t>
      </w:r>
      <w:r>
        <w:t xml:space="preserve">Trentadue studi controllati e 2.762 partecipanti dicono che nella lombalgia con sciatalgia la trazione</w:t>
      </w:r>
      <w:r>
        <w:t xml:space="preserve"> </w:t>
      </w:r>
      <w:r>
        <w:rPr>
          <w:b/>
          <w:bCs/>
        </w:rPr>
        <w:t xml:space="preserve">probabilmente non cambia</w:t>
      </w:r>
      <w:r>
        <w:t xml:space="preserve"> </w:t>
      </w:r>
      <w:r>
        <w:t xml:space="preserve">dolore, funzione né miglioramento globale, con prove da bassa a moderata qualità. Fra gli eventi avversi segnalati in 7 studi su 32 ci sono</w:t>
      </w:r>
      <w:r>
        <w:t xml:space="preserve"> </w:t>
      </w:r>
      <w:r>
        <w:rPr>
          <w:b/>
          <w:bCs/>
        </w:rPr>
        <w:t xml:space="preserve">aumento del dolore, aggravamento dei segni neurologici e chirurgia successiva</w:t>
      </w:r>
      <w:r>
        <w:t xml:space="preserve"> </w:t>
      </w:r>
      <w:r>
        <w:t xml:space="preserve">(Wegner,</w:t>
      </w:r>
      <w:r>
        <w:t xml:space="preserve"> </w:t>
      </w:r>
      <w:r>
        <w:rPr>
          <w:i/>
          <w:iCs/>
        </w:rPr>
        <w:t xml:space="preserve">Cochrane Database Syst Rev</w:t>
      </w:r>
      <w:r>
        <w:t xml:space="preserve"> </w:t>
      </w:r>
      <w:r>
        <w:t xml:space="preserve">2013, PMID 23959683).</w:t>
      </w:r>
      <w:r>
        <w:t xml:space="preserve"> </w:t>
      </w:r>
      <w:r>
        <w:rPr>
          <w:b/>
          <w:bCs/>
        </w:rPr>
        <w:t xml:space="preserve">La revisione mette insieme trazione manuale e meccanica e non le separa: dice che questa famiglia di gesti non ha mostrato effetto, non che la tua presa specifica sia stata testata.</w:t>
      </w:r>
    </w:p>
    <w:p>
      <w:pPr>
        <w:pStyle w:val="BodyText"/>
      </w:pPr>
      <w:r>
        <w:rPr>
          <w:b/>
          <w:bCs/>
        </w:rPr>
        <w:t xml:space="preserve">Non possiamo dire che il quadro gluteo che troviamo sotto le mani sia una sofferenza del nervo:</w:t>
      </w:r>
      <w:r>
        <w:t xml:space="preserve"> </w:t>
      </w:r>
      <w:r>
        <w:t xml:space="preserve">nella maggior parte dei casi pubblicati è descritto come miofasciale, e nessun test li separa (PMID 38697742).</w:t>
      </w:r>
    </w:p>
    <w:bookmarkEnd w:id="60"/>
    <w:bookmarkStart w:id="61" w:name="dove-la-letteratura-è-sottile"/>
    <w:p>
      <w:pPr>
        <w:pStyle w:val="Heading3"/>
      </w:pPr>
      <w:r>
        <w:t xml:space="preserve">Dove la letteratura è sottile</w:t>
      </w:r>
    </w:p>
    <w:p>
      <w:pPr>
        <w:pStyle w:val="FirstParagraph"/>
      </w:pPr>
      <w:r>
        <w:rPr>
          <w:b/>
          <w:bCs/>
        </w:rPr>
        <w:t xml:space="preserve">Gli studi propriamente osteopatici sulla sciatalgia sono pochissimi</w:t>
      </w:r>
      <w:r>
        <w:t xml:space="preserve">, e quello che regge meglio è chiropratico.</w:t>
      </w:r>
      <w:r>
        <w:t xml:space="preserve"> </w:t>
      </w:r>
      <w:r>
        <w:rPr>
          <w:b/>
          <w:bCs/>
        </w:rPr>
        <w:t xml:space="preserve">Quasi tutto misura il breve termine</w:t>
      </w:r>
      <w:r>
        <w:t xml:space="preserve">, mentre il problema si misura in mesi. E</w:t>
      </w:r>
      <w:r>
        <w:t xml:space="preserve"> </w:t>
      </w:r>
      <w:r>
        <w:rPr>
          <w:b/>
          <w:bCs/>
        </w:rPr>
        <w:t xml:space="preserve">nessuno ha studiato la combinazione che usiamo davvero.</w:t>
      </w:r>
    </w:p>
    <w:bookmarkEnd w:id="61"/>
    <w:bookmarkStart w:id="62"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l’effetto di un lavoro manuale sullo spazio gluteo profondo nella sciatalgia non dice niente sulla sua efficacia: dice che nessuno l’ha misurata. Confonderle è un errore di logica, non prudenza.</w:t>
      </w:r>
    </w:p>
    <w:p>
      <w:pPr>
        <w:pStyle w:val="BodyText"/>
      </w:pPr>
      <w:r>
        <w:rPr>
          <w:b/>
          <w:bCs/>
        </w:rPr>
        <w:t xml:space="preserve">2. Perché quella letteratura non esiste.</w:t>
      </w:r>
      <w:r>
        <w:t xml:space="preserve"> </w:t>
      </w:r>
      <w:r>
        <w:t xml:space="preserve">Non perché sia stata fatta e sia risultata negativa: quello sarebbe un dato, e starebbe in «cosa non possiamo dire». Perché non è stata fatta. Manca il finanziamento, manca un placebo credibile per il tocco, mancano esiti standardizzati, e sotto il nome sciatalgia si arruolano quadri diversi.</w:t>
      </w:r>
    </w:p>
    <w:p>
      <w:pPr>
        <w:pStyle w:val="BodyText"/>
      </w:pPr>
      <w:r>
        <w:rPr>
          <w:b/>
          <w:bCs/>
        </w:rPr>
        <w:t xml:space="preserve">3. Su cosa ti basi allora</w:t>
      </w:r>
      <w:r>
        <w:t xml:space="preserve">, in ordine di forza. Sul</w:t>
      </w:r>
      <w:r>
        <w:t xml:space="preserve"> </w:t>
      </w:r>
      <w:r>
        <w:rPr>
          <w:b/>
          <w:bCs/>
        </w:rPr>
        <w:t xml:space="preserve">meccanismo fisiologico</w:t>
      </w:r>
      <w:r>
        <w:t xml:space="preserve"> </w:t>
      </w:r>
      <w:r>
        <w:t xml:space="preserve">documentato dai cerchi 2 e 3. Sul</w:t>
      </w:r>
      <w:r>
        <w:t xml:space="preserve"> </w:t>
      </w:r>
      <w:r>
        <w:rPr>
          <w:b/>
          <w:bCs/>
        </w:rPr>
        <w:t xml:space="preserve">ragionamento clinico</w:t>
      </w:r>
      <w:r>
        <w:t xml:space="preserve">, dichiarato come tale. Sulla</w:t>
      </w:r>
      <w:r>
        <w:t xml:space="preserve"> </w:t>
      </w:r>
      <w:r>
        <w:rPr>
          <w:b/>
          <w:bCs/>
        </w:rPr>
        <w:t xml:space="preserve">verifica sul singolo paziente</w:t>
      </w:r>
      <w:r>
        <w:t xml:space="preserve">: un marker scelto</w:t>
      </w:r>
      <w:r>
        <w:t xml:space="preserve"> </w:t>
      </w:r>
      <w:r>
        <w:rPr>
          <w:b/>
          <w:bCs/>
        </w:rPr>
        <w:t xml:space="preserve">prima</w:t>
      </w:r>
      <w:r>
        <w:t xml:space="preserve">, misurato prima e dopo, con una soglia sopra l’errore dello strumento.</w:t>
      </w:r>
    </w:p>
    <w:p>
      <w:pPr>
        <w:pStyle w:val="BodyText"/>
      </w:pPr>
      <w:r>
        <w:rPr>
          <w:b/>
          <w:bCs/>
        </w:rPr>
        <w:t xml:space="preserve">4. Cosa separa tutto questo dal pensiero magico, e cosa no.</w:t>
      </w:r>
      <w:r>
        <w:t xml:space="preserve"> </w:t>
      </w:r>
      <w:r>
        <w:t xml:space="preserve">La verifica — che però fa meno di quanto sembri.</w:t>
      </w:r>
      <w:r>
        <w:t xml:space="preserve"> </w:t>
      </w:r>
      <w:r>
        <w:rPr>
          <w:b/>
          <w:bCs/>
        </w:rPr>
        <w:t xml:space="preserve">Un pre-post non controllato non distingue l’effetto del trattamento dalla fluttuazione spontanea, dalla regressione alla media, dall’effetto di ripetere la misura o dall’aspettativa.</w:t>
      </w:r>
      <w:r>
        <w:t xml:space="preserve"> </w:t>
      </w:r>
      <w:r>
        <w:t xml:space="preserve">E in questa condizione circa sette pazienti su dieci migliorano in due settimane comunque, a letto o no — 70% contro 65% (PMID 9971865). Quello che la verifica dà è asimmetrico:</w:t>
      </w:r>
      <w:r>
        <w:t xml:space="preserve"> </w:t>
      </w:r>
      <w:r>
        <w:rPr>
          <w:b/>
          <w:bCs/>
        </w:rPr>
        <w:t xml:space="preserve">un marker che non si muove falsifica l’ipotesi, un marker che si muove non la conferma.</w:t>
      </w:r>
      <w:r>
        <w:t xml:space="preserve"> </w:t>
      </w:r>
      <w:r>
        <w:t xml:space="preserve">Scegliere prima i gradi, dichiarare la soglia e accettare il verdetto negativo è scienza su un caso singolo. Scegliere il marker dopo aver visto migliorare il paziente, no.</w:t>
      </w:r>
    </w:p>
    <w:p>
      <w:pPr>
        <w:pStyle w:val="BodyText"/>
      </w:pPr>
      <w:r>
        <w:rPr>
          <w:b/>
          <w:bCs/>
        </w:rPr>
        <w:t xml:space="preserve">5. Cosa non autorizza.</w:t>
      </w:r>
      <w:r>
        <w:t xml:space="preserve"> </w:t>
      </w:r>
      <w:r>
        <w:t xml:space="preserve">Non autorizza a promettere un esito. Non autorizza a scrivere DIMOSTRATO dove c’è IPOTESI. Non autorizza a dire al paziente che</w:t>
      </w:r>
      <w:r>
        <w:t xml:space="preserve"> </w:t>
      </w:r>
      <w:r>
        <w:t xml:space="preserve">“gli studi lo confermano”</w:t>
      </w:r>
      <w:r>
        <w:t xml:space="preserve">: qui la sintesi più ampia dice il contrario.</w:t>
      </w:r>
    </w:p>
    <w:p>
      <w:pPr>
        <w:pStyle w:val="BodyText"/>
      </w:pPr>
      <w:r>
        <w:rPr>
          <w:b/>
          <w:bCs/>
        </w:rPr>
        <w:t xml:space="preserve">Le tre cose da ricordare, più una</w:t>
      </w:r>
    </w:p>
    <w:p>
      <w:pPr>
        <w:pStyle w:val="Compact"/>
        <w:numPr>
          <w:ilvl w:val="0"/>
          <w:numId w:val="1024"/>
        </w:numPr>
      </w:pPr>
      <w:r>
        <w:t xml:space="preserve">Il primo cerchio qui è ricco e dice che non sappiamo: la conseguenza è il marker, non il silenzio.</w:t>
      </w:r>
    </w:p>
    <w:p>
      <w:pPr>
        <w:pStyle w:val="Compact"/>
        <w:numPr>
          <w:ilvl w:val="0"/>
          <w:numId w:val="1024"/>
        </w:numPr>
      </w:pPr>
      <w:r>
        <w:t xml:space="preserve">La verifica falsifica, non conferma: è tutta la differenza fra un metodo e una convinzione.</w:t>
      </w:r>
    </w:p>
    <w:p>
      <w:pPr>
        <w:pStyle w:val="Compact"/>
        <w:numPr>
          <w:ilvl w:val="0"/>
          <w:numId w:val="1024"/>
        </w:numPr>
      </w:pPr>
      <w:r>
        <w:t xml:space="preserve">La fisiologia di questa condizione è più solida della sua terapia, e dichiararlo ti rende più credibile davanti a chiunque.</w:t>
      </w:r>
    </w:p>
    <w:p>
      <w:pPr>
        <w:pStyle w:val="Compact"/>
        <w:numPr>
          <w:ilvl w:val="0"/>
          <w:numId w:val="1024"/>
        </w:numPr>
      </w:pPr>
      <w:r>
        <w:rPr>
          <w:b/>
          <w:bCs/>
        </w:rPr>
        <w:t xml:space="preserve">Perché ci sei tu.</w:t>
      </w:r>
      <w:r>
        <w:t xml:space="preserve"> </w:t>
      </w:r>
      <w:r>
        <w:t xml:space="preserve">Quaranta studi controllati su 5.381 pazienti con sciatalgia acuta producono, per ogni intervento non chirurgico, prove di</w:t>
      </w:r>
      <w:r>
        <w:t xml:space="preserve"> </w:t>
      </w:r>
      <w:r>
        <w:rPr>
          <w:b/>
          <w:bCs/>
        </w:rPr>
        <w:t xml:space="preserve">confidenza molto bassa</w:t>
      </w:r>
      <w:r>
        <w:t xml:space="preserve"> </w:t>
      </w:r>
      <w:r>
        <w:t xml:space="preserve">(Zhu,</w:t>
      </w:r>
      <w:r>
        <w:t xml:space="preserve"> </w:t>
      </w:r>
      <w:r>
        <w:rPr>
          <w:i/>
          <w:iCs/>
        </w:rPr>
        <w:t xml:space="preserve">J Orthop Sports Phys Ther</w:t>
      </w:r>
      <w:r>
        <w:t xml:space="preserve"> </w:t>
      </w:r>
      <w:r>
        <w:t xml:space="preserve">2025, PMID 40434940). Questo ti autorizza a stare fra le opzioni con la stessa dignità delle altre, e a dirlo al paziente. Non ti autorizza a dire che l’osteopatia è provata qui: in quella lista non c’è niente di provato.</w:t>
      </w:r>
    </w:p>
    <w:p>
      <w:r>
        <w:pict>
          <v:rect style="width:0;height:1.5pt" o:hralign="center" o:hrstd="t" o:hr="t"/>
        </w:pict>
      </w:r>
    </w:p>
    <w:bookmarkEnd w:id="62"/>
    <w:bookmarkEnd w:id="63"/>
    <w:bookmarkStart w:id="65"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una leva su tutti e cinque i meccanismi, con etichette molto diverse — e nessuna di quelle etichette arriva a DIMOSTRATO.</w:t>
      </w:r>
    </w:p>
    <w:p>
      <w:pPr>
        <w:pStyle w:val="FirstParagraph"/>
      </w:pPr>
      <w:r>
        <w:rPr>
          <w:b/>
          <w:bCs/>
        </w:rPr>
        <w:t xml:space="preserve">Cosa non possono fare le mani, detto per primo.</w:t>
      </w:r>
      <w:r>
        <w:t xml:space="preserve"> </w:t>
      </w:r>
      <w:r>
        <w:t xml:space="preserve">Non riducono un’ernia. Non decomprimono una radice, e nessuna trazione — manuale o meccanica — lo ha mostrato: 32 studi controllati dicono che probabilmente non cambia né dolore né funzione (PMID 23959683). Non spengono l’infiammazione attorno al ganglio. Non allargano un recesso ristretto per motivi ossei. Non recuperano una forza che sta calando. E non</w:t>
      </w:r>
      <w:r>
        <w:t xml:space="preserve"> </w:t>
      </w:r>
      <w:r>
        <w:t xml:space="preserve">“rilassano il sistema nervoso”</w:t>
      </w:r>
      <w:r>
        <w:t xml:space="preserve">: la misura autonomica disponibile non lo mostra (PMID 39920074).</w:t>
      </w:r>
      <w:r>
        <w:t xml:space="preserve"> </w:t>
      </w:r>
      <w:r>
        <w:rPr>
          <w:b/>
          <w:bCs/>
        </w:rPr>
        <w:t xml:space="preserve">E non drenano il plesso venoso attorno alla radice: nessuno ha misurato quella pressione prima e dopo un lavoro manuale.</w:t>
      </w:r>
    </w:p>
    <w:p>
      <w:pPr>
        <w:pStyle w:val="BodyText"/>
      </w:pPr>
      <w:r>
        <w:t xml:space="preserve">Le cinque leve, una per meccanismo.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 → dove agisci</w:t>
            </w:r>
          </w:p>
        </w:tc>
        <w:tc>
          <w:tcPr/>
          <w:p>
            <w:pPr>
              <w:pStyle w:val="Compact"/>
            </w:pPr>
            <w:r>
              <w:t xml:space="preserve">Effetto atteso</w:t>
            </w:r>
          </w:p>
        </w:tc>
        <w:tc>
          <w:tcPr/>
          <w:p>
            <w:pPr>
              <w:pStyle w:val="Compact"/>
            </w:pPr>
            <w:r>
              <w:t xml:space="preserve">Quando si vede</w:t>
            </w:r>
          </w:p>
        </w:tc>
      </w:tr>
      <w:tr>
        <w:tc>
          <w:tcPr/>
          <w:p>
            <w:pPr>
              <w:pStyle w:val="Compact"/>
            </w:pPr>
            <w:r>
              <w:t xml:space="preserve">Radice schiacciata → manipolazione e tessuti attorno</w:t>
            </w:r>
          </w:p>
        </w:tc>
        <w:tc>
          <w:tcPr/>
          <w:p>
            <w:pPr>
              <w:pStyle w:val="Compact"/>
            </w:pPr>
            <w:r>
              <w:t xml:space="preserve">Più posizioni a parità di ingombro</w:t>
            </w:r>
          </w:p>
        </w:tc>
        <w:tc>
          <w:tcPr/>
          <w:p>
            <w:pPr>
              <w:pStyle w:val="Compact"/>
            </w:pPr>
            <w:r>
              <w:t xml:space="preserve">Settimane, alla seduta dopo</w:t>
            </w:r>
          </w:p>
        </w:tc>
      </w:tr>
      <w:tr>
        <w:tc>
          <w:tcPr/>
          <w:p>
            <w:pPr>
              <w:pStyle w:val="Compact"/>
            </w:pPr>
            <w:r>
              <w:t xml:space="preserve">Scorrimento perso → tessuti attorno al tronco nervoso</w:t>
            </w:r>
          </w:p>
        </w:tc>
        <w:tc>
          <w:tcPr/>
          <w:p>
            <w:pPr>
              <w:pStyle w:val="Compact"/>
            </w:pPr>
            <w:r>
              <w:t xml:space="preserve">Meno sintomo per lo stesso movimento</w:t>
            </w:r>
          </w:p>
        </w:tc>
        <w:tc>
          <w:tcPr/>
          <w:p>
            <w:pPr>
              <w:pStyle w:val="Compact"/>
            </w:pPr>
            <w:r>
              <w:t xml:space="preserve">Settimane; in seduta si muove la tolleranza</w:t>
            </w:r>
          </w:p>
        </w:tc>
      </w:tr>
      <w:tr>
        <w:tc>
          <w:tcPr/>
          <w:p>
            <w:pPr>
              <w:pStyle w:val="Compact"/>
            </w:pPr>
            <w:r>
              <w:t xml:space="preserve">Nervo lungo la strada → gluteo profondo, anca</w:t>
            </w:r>
          </w:p>
        </w:tc>
        <w:tc>
          <w:tcPr/>
          <w:p>
            <w:pPr>
              <w:pStyle w:val="Compact"/>
            </w:pPr>
            <w:r>
              <w:t xml:space="preserve">Meno punto dolente, più rotazione d’anca</w:t>
            </w:r>
          </w:p>
        </w:tc>
        <w:tc>
          <w:tcPr/>
          <w:p>
            <w:pPr>
              <w:pStyle w:val="Compact"/>
            </w:pPr>
            <w:r>
              <w:t xml:space="preserve">Minuti, in seduta</w:t>
            </w:r>
          </w:p>
        </w:tc>
      </w:tr>
      <w:tr>
        <w:tc>
          <w:tcPr/>
          <w:p>
            <w:pPr>
              <w:pStyle w:val="Compact"/>
            </w:pPr>
            <w:r>
              <w:t xml:space="preserve">Carico fermo → redistribuzione fra anca, bacino, lombare</w:t>
            </w:r>
          </w:p>
        </w:tc>
        <w:tc>
          <w:tcPr/>
          <w:p>
            <w:pPr>
              <w:pStyle w:val="Compact"/>
            </w:pPr>
            <w:r>
              <w:t xml:space="preserve">Meno carico ripetuto sullo stesso segmento</w:t>
            </w:r>
          </w:p>
        </w:tc>
        <w:tc>
          <w:tcPr/>
          <w:p>
            <w:pPr>
              <w:pStyle w:val="Compact"/>
            </w:pPr>
            <w:r>
              <w:t xml:space="preserve">Flessione lombare in seduta, tolleranza no</w:t>
            </w:r>
          </w:p>
        </w:tc>
      </w:tr>
      <w:tr>
        <w:tc>
          <w:tcPr/>
          <w:p>
            <w:pPr>
              <w:pStyle w:val="Compact"/>
            </w:pPr>
            <w:r>
              <w:t xml:space="preserve">Soglia e paura → contatto, respiro, esposizione graduata</w:t>
            </w:r>
          </w:p>
        </w:tc>
        <w:tc>
          <w:tcPr/>
          <w:p>
            <w:pPr>
              <w:pStyle w:val="Compact"/>
            </w:pPr>
            <w:r>
              <w:t xml:space="preserve">Più movimento a parità di dolore</w:t>
            </w:r>
          </w:p>
        </w:tc>
        <w:tc>
          <w:tcPr/>
          <w:p>
            <w:pPr>
              <w:pStyle w:val="Compact"/>
            </w:pPr>
            <w:r>
              <w:t xml:space="preserve">Settimane, per via dell’esposizione</w:t>
            </w:r>
          </w:p>
        </w:tc>
      </w:tr>
    </w:tbl>
    <w:p>
      <w:pPr>
        <w:pStyle w:val="BodyText"/>
      </w:pPr>
      <w:r>
        <w:rPr>
          <w:b/>
          <w:bCs/>
        </w:rPr>
        <w:t xml:space="preserve">Sulla radice schiacciata e infiammata.</w:t>
      </w:r>
      <w:r>
        <w:t xml:space="preserve"> </w:t>
      </w:r>
      <w:r>
        <w:t xml:space="preserve">Ci sono due cose diverse. La</w:t>
      </w:r>
      <w:r>
        <w:t xml:space="preserve"> </w:t>
      </w:r>
      <w:r>
        <w:rPr>
          <w:b/>
          <w:bCs/>
        </w:rPr>
        <w:t xml:space="preserve">manipolazione ad alta velocità</w:t>
      </w:r>
      <w:r>
        <w:t xml:space="preserve"> </w:t>
      </w:r>
      <w:r>
        <w:t xml:space="preserve">è ciò che è stato testato. Il lavoro</w:t>
      </w:r>
      <w:r>
        <w:t xml:space="preserve"> </w:t>
      </w:r>
      <w:r>
        <w:rPr>
          <w:b/>
          <w:bCs/>
        </w:rPr>
        <w:t xml:space="preserve">sui tessuti attorno</w:t>
      </w:r>
      <w:r>
        <w:t xml:space="preserve"> </w:t>
      </w:r>
      <w:r>
        <w:t xml:space="preserve">— cerniera dorso-lombare, bacino, catena posteriore, parete addominale — non lo è mai stato.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la sciatalgia in generale, e per il lavoro sui tessuti attorno in particolare.</w:t>
      </w:r>
      <w:r>
        <w:t xml:space="preserve"> </w:t>
      </w:r>
      <w:r>
        <w:rPr>
          <w:b/>
          <w:bCs/>
        </w:rPr>
        <w:t xml:space="preserve">PROBABILE</w:t>
      </w:r>
      <w:r>
        <w:rPr>
          <w:b/>
          <w:bCs/>
        </w:rPr>
        <w:t xml:space="preserve"> </w:t>
      </w:r>
      <w:r>
        <w:rPr>
          <w:b/>
          <w:bCs/>
          <w:i/>
          <w:iCs/>
        </w:rPr>
        <w:t xml:space="preserve">(razionale forte, prove parziali)</w:t>
      </w:r>
      <w:r>
        <w:t xml:space="preserve"> </w:t>
      </w:r>
      <w:r>
        <w:t xml:space="preserve">limitato al solo sottogruppo testato: manipolazione ad alta velocità, sciatalgia acuta da protrusione senza deficit, un solo RCT in doppio cieco</w:t>
      </w:r>
      <w:r>
        <w:t xml:space="preserve"> </w:t>
      </w:r>
      <w:r>
        <w:rPr>
          <w:b/>
          <w:bCs/>
        </w:rPr>
        <w:t xml:space="preserve">mai replicato in vent’anni</w:t>
      </w:r>
      <w:r>
        <w:t xml:space="preserve"> </w:t>
      </w:r>
      <w:r>
        <w:t xml:space="preserve">(Santilli, PMID 16517383), contro la revisione più ampia, che non trova differenza (Dove e Schmid, PMID 36580149). Quando le prove puntano in direzioni opposte e la più grande punta verso l’assenza di effetto, l’etichetta generale scende.</w:t>
      </w:r>
    </w:p>
    <w:p>
      <w:pPr>
        <w:pStyle w:val="BlockText"/>
      </w:pPr>
      <w:r>
        <w:rPr>
          <w:b/>
          <w:bCs/>
        </w:rPr>
        <w:t xml:space="preserve">Attenzione.</w:t>
      </w:r>
      <w:r>
        <w:t xml:space="preserve"> </w:t>
      </w:r>
      <w:r>
        <w:t xml:space="preserve">Prima di qualunque contatto addominale profondo in un paziente sopra i sessant’anni con dolore che non risponde alla posizione,</w:t>
      </w:r>
      <w:r>
        <w:t xml:space="preserve"> </w:t>
      </w:r>
      <w:r>
        <w:rPr>
          <w:b/>
          <w:bCs/>
        </w:rPr>
        <w:t xml:space="preserve">l’aneurisma dell’aorta addominale va escluso</w:t>
      </w:r>
      <w:r>
        <w:t xml:space="preserve">. Può esordire proprio come sciatalgia (PMID 39438778), e nel dolore lombare in urgenza la patologia grave non spinale è più frequente di quella spinale (PMID 32495276).</w:t>
      </w:r>
    </w:p>
    <w:p>
      <w:pPr>
        <w:pStyle w:val="FirstParagraph"/>
      </w:pPr>
      <w:r>
        <w:rPr>
          <w:b/>
          <w:bCs/>
        </w:rPr>
        <w:t xml:space="preserve">Sul nervo che ha perso lo scorrimento.</w:t>
      </w:r>
      <w:r>
        <w:t xml:space="preserve"> </w:t>
      </w:r>
      <w:r>
        <w:t xml:space="preserve">Si restituisce scorrimento invece di lunghezza, e il guadagno è misurabile sul segno prima che sul dolore. I bersagli sono due: i tessuti attorno al tronco nervoso e le articolazioni lungo il percorso del nervo.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sintesi più ampia mostra riduzioni di dolore e disabilità con la mobilizzazione neurale, ma con eterogeneità alta e sospetto di bias (Lin, PMID 38137856); dove l’effetto è stato isolato si è visto sul segno e sui sintomi neuropatici,</w:t>
      </w:r>
      <w:r>
        <w:t xml:space="preserve"> </w:t>
      </w:r>
      <w:r>
        <w:rPr>
          <w:b/>
          <w:bCs/>
        </w:rPr>
        <w:t xml:space="preserve">senza raggiungere rilevanza clinica</w:t>
      </w:r>
      <w:r>
        <w:t xml:space="preserve"> </w:t>
      </w:r>
      <w:r>
        <w:t xml:space="preserve">(Plaza-Manzano, PMID 31464753). Disegno e cifre stanno in «Cosa dice la scienza».</w:t>
      </w:r>
    </w:p>
    <w:p>
      <w:pPr>
        <w:pStyle w:val="FirstParagraph"/>
      </w:pPr>
      <w:r>
        <w:rPr>
          <w:b/>
          <w:bCs/>
        </w:rPr>
        <w:t xml:space="preserve">Quanto nervo stai spostando davvero.</w:t>
      </w:r>
      <w:r>
        <w:t xml:space="preserve"> </w:t>
      </w:r>
      <w:r>
        <w:rPr>
          <w:b/>
          <w:bCs/>
        </w:rPr>
        <w:t xml:space="preserve">Dodici millimetri sono il nervo mediano, al polso, in un cadavere; sullo sciatico, in persone vive, sono tre</w:t>
      </w:r>
      <w:r>
        <w:t xml:space="preserve"> </w:t>
      </w:r>
      <w:r>
        <w:t xml:space="preserve">(Ellis, PMID 22711174; Alshami, PMID 34036554, misure riportate in «Le strutture in gioco»). Chi porta il numero del polso sullo sciatico sovrastima di quattro volte quello che sta facendo.</w:t>
      </w:r>
    </w:p>
    <w:p>
      <w:pPr>
        <w:pStyle w:val="BodyText"/>
      </w:pPr>
      <w:r>
        <w:rPr>
          <w:b/>
          <w:bCs/>
        </w:rPr>
        <w:t xml:space="preserve">Quello che si muove in seduta non è lo scorrimento: è la tolleranza al movimento.</w:t>
      </w:r>
      <w:r>
        <w:t xml:space="preserve"> </w:t>
      </w:r>
      <w:r>
        <w:t xml:space="preserve">Dopo una singola sessione di scorrimento neurodinamico il test guadagna circa cinque gradi</w:t>
      </w:r>
      <w:r>
        <w:t xml:space="preserve"> </w:t>
      </w:r>
      <w:r>
        <w:rPr>
          <w:b/>
          <w:bCs/>
        </w:rPr>
        <w:t xml:space="preserve">senza alcuna variazione della lunghezza dei fascicoli</w:t>
      </w:r>
      <w:r>
        <w:t xml:space="preserve"> </w:t>
      </w:r>
      <w:r>
        <w:t xml:space="preserve">(Muanjai e Namsawang,</w:t>
      </w:r>
      <w:r>
        <w:t xml:space="preserve"> </w:t>
      </w:r>
      <w:r>
        <w:rPr>
          <w:i/>
          <w:iCs/>
        </w:rPr>
        <w:t xml:space="preserve">J Bodyw Mov Ther</w:t>
      </w:r>
      <w:r>
        <w:t xml:space="preserve"> </w:t>
      </w:r>
      <w:r>
        <w:t xml:space="preserve">2023, PMID 37330810).</w:t>
      </w:r>
      <w:r>
        <w:t xml:space="preserve"> </w:t>
      </w:r>
      <w:r>
        <w:rPr>
          <w:b/>
          <w:bCs/>
        </w:rPr>
        <w:t xml:space="preserve">Cinque gradi stanno sotto la soglia di venti che questa Bibbia si è data, e sotto il suo errore dichiarato di 13-20.</w:t>
      </w:r>
      <w:r>
        <w:t xml:space="preserve"> </w:t>
      </w:r>
      <w:r>
        <w:t xml:space="preserve">Il tessuto di scorrimento, se cambia, cambia in settimane di ripetizione: si misura alla seduta dopo, non a fine seduta.</w:t>
      </w:r>
    </w:p>
    <w:p>
      <w:pPr>
        <w:pStyle w:val="BodyText"/>
      </w:pPr>
      <w:r>
        <w:rPr>
          <w:b/>
          <w:bCs/>
        </w:rPr>
        <w:t xml:space="preserve">Sul nervo disturbato lungo la strada.</w:t>
      </w:r>
      <w:r>
        <w:t xml:space="preserve"> </w:t>
      </w:r>
      <w:r>
        <w:t xml:space="preserve">È l’unico punto del percorso che la tua mano raggiunge, e il guadagno di rotazione d’anca conta sopra la soglia dei dieci gradi.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isolato l’effetto di un lavoro manuale sullo spazio gluteo profondo nella sciatalgia. Il razionale è anatomico. La variante sciatico-piriforme è comune,</w:t>
      </w:r>
      <w:r>
        <w:t xml:space="preserve"> </w:t>
      </w:r>
      <w:r>
        <w:rPr>
          <w:b/>
          <w:bCs/>
        </w:rPr>
        <w:t xml:space="preserve">ma è ugualmente comune in chi non ha sintomi, e probabilmente meno patogena di quanto si credesse</w:t>
      </w:r>
      <w:r>
        <w:t xml:space="preserve"> </w:t>
      </w:r>
      <w:r>
        <w:t xml:space="preserve">(Smoll, PMID 19998490). E</w:t>
      </w:r>
      <w:r>
        <w:t xml:space="preserve"> </w:t>
      </w:r>
      <w:r>
        <w:rPr>
          <w:b/>
          <w:bCs/>
        </w:rPr>
        <w:t xml:space="preserve">non esiste un test clinico che confermi la diagnosi</w:t>
      </w:r>
      <w:r>
        <w:t xml:space="preserve">: nella maggior parte dei casi pubblicati il quadro è attribuito a una condizione miofasciale più che a una neuropatia focale (Lo e Robinson, PMID 38697742). Non è un sostegno alla leva: è una ragione in più per verificarla sul singolo paziente, e per non chiamare</w:t>
      </w:r>
      <w:r>
        <w:t xml:space="preserve"> </w:t>
      </w:r>
      <w:r>
        <w:rPr>
          <w:i/>
          <w:iCs/>
        </w:rPr>
        <w:t xml:space="preserve">nervo</w:t>
      </w:r>
      <w:r>
        <w:t xml:space="preserve"> </w:t>
      </w:r>
      <w:r>
        <w:t xml:space="preserve">quello che stai trattando.</w:t>
      </w:r>
    </w:p>
    <w:p>
      <w:pPr>
        <w:pStyle w:val="FirstParagraph"/>
      </w:pPr>
      <w:r>
        <w:rPr>
          <w:b/>
          <w:bCs/>
        </w:rPr>
        <w:t xml:space="preserve">Come si verifica, e attenzione a non darsi ragione da soli.</w:t>
      </w:r>
      <w:r>
        <w:t xml:space="preserve"> </w:t>
      </w:r>
      <w:r>
        <w:t xml:space="preserve">La rotazione d’anca è la misura di</w:t>
      </w:r>
      <w:r>
        <w:t xml:space="preserve"> </w:t>
      </w:r>
      <w:r>
        <w:rPr>
          <w:b/>
          <w:bCs/>
        </w:rPr>
        <w:t xml:space="preserve">ciò che hai mosso</w:t>
      </w:r>
      <w:r>
        <w:t xml:space="preserve">, non la prova che il gluteo comandava: appartiene al piano che hai appena trattato, e una sua variazione dimostra un rilasciamento muscolare.</w:t>
      </w:r>
      <w:r>
        <w:t xml:space="preserve"> </w:t>
      </w:r>
      <w:r>
        <w:rPr>
          <w:b/>
          <w:bCs/>
        </w:rPr>
        <w:t xml:space="preserve">Se il nervo era disturbato lì, si muove il segno neurale</w:t>
      </w:r>
      <w:r>
        <w:t xml:space="preserve">: angolo di comparsa del sintomo distale, differenziazione strutturale che passa da positiva a negativa. E la prova del piano non trattato è la</w:t>
      </w:r>
      <w:r>
        <w:t xml:space="preserve"> </w:t>
      </w:r>
      <w:r>
        <w:rPr>
          <w:b/>
          <w:bCs/>
        </w:rPr>
        <w:t xml:space="preserve">flessione lombare</w:t>
      </w:r>
      <w:r>
        <w:t xml:space="preserve">. Se la rotazione guadagna dieci gradi e la flessione lombare non si muove, hai mobilizzato un compenso, non il dominante.</w:t>
      </w:r>
    </w:p>
    <w:p>
      <w:pPr>
        <w:pStyle w:val="BodyText"/>
      </w:pPr>
      <w:r>
        <w:t xml:space="preserve">E se la rotazione d’anca non si muove,</w:t>
      </w:r>
      <w:r>
        <w:t xml:space="preserve"> </w:t>
      </w:r>
      <w:r>
        <w:rPr>
          <w:b/>
          <w:bCs/>
        </w:rPr>
        <w:t xml:space="preserve">non hai una conferma dell’ipotesi contraria: hai solo l’assenza di conferma, ed è quanto puoi sapere in dieci minuti.</w:t>
      </w:r>
    </w:p>
    <w:p>
      <w:pPr>
        <w:pStyle w:val="BodyText"/>
      </w:pPr>
      <w:r>
        <w:rPr>
          <w:b/>
          <w:bCs/>
        </w:rPr>
        <w:t xml:space="preserve">Sul carico che non cambia mai posizione.</w:t>
      </w:r>
      <w:r>
        <w:t xml:space="preserve"> </w:t>
      </w:r>
      <w:r>
        <w:t xml:space="preserve">L’effetto passa dalla</w:t>
      </w:r>
      <w:r>
        <w:t xml:space="preserve"> </w:t>
      </w:r>
      <w:r>
        <w:rPr>
          <w:b/>
          <w:bCs/>
        </w:rPr>
        <w:t xml:space="preserve">riduzione del carico ripetuto</w:t>
      </w:r>
      <w:r>
        <w:t xml:space="preserve">, non dal tessuto trattato. Il carico si redistribuisce fra anca, bacino, lombare e cerniera dorso-lombare. La flessione lombare cambia in seduta; la tolleranza ai quaranta minuti in macchina solo se cambia l’organizzazione della giornata.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di una redistribuzione del carico sugli esiti della sciatalgia. Le associazioni esistono, l’intervento no.</w:t>
      </w:r>
    </w:p>
    <w:p>
      <w:pPr>
        <w:pStyle w:val="FirstParagraph"/>
      </w:pPr>
      <w:r>
        <w:rPr>
          <w:b/>
          <w:bCs/>
        </w:rPr>
        <w:t xml:space="preserve">Sulla soglia abbassata e sulla paura.</w:t>
      </w:r>
      <w:r>
        <w:t xml:space="preserve"> </w:t>
      </w:r>
      <w:r>
        <w:t xml:space="preserve">Si agisce sul livello di attivazione, con il contatto manuale e con il respiro, e sull’esposizione graduata al movimento che il paziente ha smesso di fare.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la parte manuale</w:t>
      </w:r>
      <w:r>
        <w:t xml:space="preserve"> </w:t>
      </w:r>
      <w:r>
        <w:rPr>
          <w:b/>
          <w:bCs/>
        </w:rPr>
        <w:t xml:space="preserve">come leva su questa condizione</w:t>
      </w:r>
      <w:r>
        <w:t xml:space="preserve"> </w:t>
      </w:r>
      <w:r>
        <w:t xml:space="preserve">— e la precisazione è tutto il punto, perché il meccanismo su cui poggia è invece misurato: dopo una manipolazione spinale la soglia di pressione dolorosa sale, anche in siti lontani (Coronado, PMID 22296867),</w:t>
      </w:r>
      <w:r>
        <w:t xml:space="preserve"> </w:t>
      </w:r>
      <w:r>
        <w:rPr>
          <w:i/>
          <w:iCs/>
        </w:rPr>
        <w:t xml:space="preserve">misurato però su popolazioni con dolore muscolo-scheletrico e su volontari, non su pazienti con dolore radicolare, e come soglia sperimentale subito dopo il trattamento, non come esito clinico.</w:t>
      </w:r>
      <w:r>
        <w:t xml:space="preserve"> </w:t>
      </w:r>
      <w:r>
        <w:rPr>
          <w:b/>
          <w:bCs/>
        </w:rPr>
        <w:t xml:space="preserve">IPOTESI</w:t>
      </w:r>
      <w:r>
        <w:t xml:space="preserve"> </w:t>
      </w:r>
      <w:r>
        <w:t xml:space="preserve">anche per il respiro lento come leva su questa condizione: Laborde 2022 misura un indice autonomico in volontari sani, ed è un dato di cerchio 2 — che questo cambi il dolore radicolare non è stato misurato.</w:t>
      </w:r>
      <w:r>
        <w:t xml:space="preserve"> </w:t>
      </w:r>
      <w:r>
        <w:rPr>
          <w:b/>
          <w:bCs/>
        </w:rPr>
        <w:t xml:space="preserve">PROBABILE</w:t>
      </w:r>
      <w:r>
        <w:rPr>
          <w:b/>
          <w:bCs/>
        </w:rPr>
        <w:t xml:space="preserve"> </w:t>
      </w:r>
      <w:r>
        <w:rPr>
          <w:b/>
          <w:bCs/>
          <w:i/>
          <w:iCs/>
        </w:rPr>
        <w:t xml:space="preserve">(razionale forte, prove parziali)</w:t>
      </w:r>
      <w:r>
        <w:t xml:space="preserve"> </w:t>
      </w:r>
      <w:r>
        <w:t xml:space="preserve">per spiegazione ed esposizione, per l’eccezione dichiarata alla regola del ponte: intervento con esito clinico, provato su 492 adulti con lombalgia cronica disabilitante (Kent, PMID 37146623).</w:t>
      </w:r>
    </w:p>
    <w:p>
      <w:pPr>
        <w:pStyle w:val="FirstParagraph"/>
      </w:pPr>
      <w:r>
        <w:t xml:space="preserve">Il contatto agisce sullo stato dentro la seduta e non lascia traccia. È l’aria condizionata in macchina: sposta la temperatura finché resta accesa.</w:t>
      </w:r>
      <w:r>
        <w:t xml:space="preserve"> </w:t>
      </w:r>
      <w:r>
        <w:rPr>
          <w:b/>
          <w:bCs/>
        </w:rPr>
        <w:t xml:space="preserve">Il respiro lento, ripetuto, sposta anche il livello di partenza</w:t>
      </w:r>
      <w:r>
        <w:t xml:space="preserve">, misurato dopo interventi su più sessioni — in volontari sani, non in pazienti con dolore radicolare (PMID 35623448). E</w:t>
      </w:r>
      <w:r>
        <w:t xml:space="preserve"> </w:t>
      </w:r>
      <w:r>
        <w:rPr>
          <w:b/>
          <w:bCs/>
        </w:rPr>
        <w:t xml:space="preserve">come pratica ripetuta del paziente qui non esiste</w:t>
      </w:r>
      <w:r>
        <w:t xml:space="preserve">: vedi «Cosa può fare il paziente da solo».</w:t>
      </w:r>
    </w:p>
    <w:bookmarkStart w:id="64" w:name="X313a9305afc17cefd332a43187892ca69ddea55"/>
    <w:p>
      <w:pPr>
        <w:pStyle w:val="Heading3"/>
      </w:pPr>
      <w:r>
        <w:t xml:space="preserve">Cosa fa l’osteopata che il resto del percorso non fa</w:t>
      </w:r>
    </w:p>
    <w:p>
      <w:pPr>
        <w:pStyle w:val="Compact"/>
        <w:numPr>
          <w:ilvl w:val="0"/>
          <w:numId w:val="1025"/>
        </w:numPr>
      </w:pPr>
      <w:r>
        <w:rPr>
          <w:b/>
          <w:bCs/>
        </w:rPr>
        <w:t xml:space="preserve">Misura il nervo che si muove, non il contenitore fermo.</w:t>
      </w:r>
      <w:r>
        <w:t xml:space="preserve"> </w:t>
      </w:r>
      <w:r>
        <w:t xml:space="preserve">Gradi di comparsa del sintomo, differenziazione strutturale e scorrimento non compaiono in nessun referto.</w:t>
      </w:r>
    </w:p>
    <w:p>
      <w:pPr>
        <w:pStyle w:val="Compact"/>
        <w:numPr>
          <w:ilvl w:val="0"/>
          <w:numId w:val="1025"/>
        </w:numPr>
      </w:pPr>
      <w:r>
        <w:rPr>
          <w:b/>
          <w:bCs/>
        </w:rPr>
        <w:t xml:space="preserve">Esamina lo spazio gluteo profondo</w:t>
      </w:r>
      <w:r>
        <w:t xml:space="preserve">, dove una quota reale di questi pazienti ha il problema e nessun esame strumentale guarda di routine.</w:t>
      </w:r>
    </w:p>
    <w:p>
      <w:pPr>
        <w:pStyle w:val="Compact"/>
        <w:numPr>
          <w:ilvl w:val="0"/>
          <w:numId w:val="1025"/>
        </w:numPr>
      </w:pPr>
      <w:r>
        <w:rPr>
          <w:b/>
          <w:bCs/>
        </w:rPr>
        <w:t xml:space="preserve">Toglie al referto il potere che ha preso.</w:t>
      </w:r>
      <w:r>
        <w:t xml:space="preserve"> </w:t>
      </w:r>
      <w:r>
        <w:t xml:space="preserve">I dati sulle protrusioni negli asintomatici e sul riassorbimento non stanno nel referto e non entrano nei dieci minuti di un ambulatorio: qui c’è il tempo per dirli.</w:t>
      </w:r>
      <w:r>
        <w:t xml:space="preserve"> </w:t>
      </w:r>
      <w:r>
        <w:rPr>
          <w:b/>
          <w:bCs/>
        </w:rPr>
        <w:t xml:space="preserve">Che la parola del referto cambi quello che il paziente crede di dover fare non è un’impressione clinica: è stato randomizzato.</w:t>
      </w:r>
      <w:r>
        <w:t xml:space="preserve"> </w:t>
      </w:r>
      <w:r>
        <w:t xml:space="preserve">L’esperimento aveva sei bracci, 1.375 persone e i partecipanti in cieco. Sentirsi dire</w:t>
      </w:r>
      <w:r>
        <w:t xml:space="preserve"> </w:t>
      </w:r>
      <w:r>
        <w:rPr>
          <w:i/>
          <w:iCs/>
        </w:rPr>
        <w:t xml:space="preserve">«protrusione discale»</w:t>
      </w:r>
      <w:r>
        <w:t xml:space="preserve"> </w:t>
      </w:r>
      <w:r>
        <w:t xml:space="preserve">invece di</w:t>
      </w:r>
      <w:r>
        <w:t xml:space="preserve"> </w:t>
      </w:r>
      <w:r>
        <w:rPr>
          <w:i/>
          <w:iCs/>
        </w:rPr>
        <w:t xml:space="preserve">«episodio di mal di schiena»</w:t>
      </w:r>
      <w:r>
        <w:t xml:space="preserve"> </w:t>
      </w:r>
      <w:r>
        <w:t xml:space="preserve">alza il bisogno percepito di risonanza, di secondo parere e di chirurgia, e abbassa l’aspettativa di guarire.</w:t>
      </w:r>
      <w:r>
        <w:t xml:space="preserve"> </w:t>
      </w:r>
      <w:r>
        <w:rPr>
          <w:b/>
          <w:bCs/>
        </w:rPr>
        <w:t xml:space="preserve">E l’effetto è più grande proprio in chi ha dolore in corso</w:t>
      </w:r>
      <w:r>
        <w:t xml:space="preserve"> </w:t>
      </w:r>
      <w:r>
        <w:t xml:space="preserve">(O’Keeffe,</w:t>
      </w:r>
      <w:r>
        <w:t xml:space="preserve"> </w:t>
      </w:r>
      <w:r>
        <w:rPr>
          <w:i/>
          <w:iCs/>
        </w:rPr>
        <w:t xml:space="preserve">Eur J Pain</w:t>
      </w:r>
      <w:r>
        <w:t xml:space="preserve"> </w:t>
      </w:r>
      <w:r>
        <w:t xml:space="preserve">2022, PMID 35616226).</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w:t>
      </w:r>
      <w:r>
        <w:t xml:space="preserve"> </w:t>
      </w:r>
      <w:r>
        <w:rPr>
          <w:b/>
          <w:bCs/>
        </w:rPr>
        <w:t xml:space="preserve">meccanismo</w:t>
      </w:r>
      <w:r>
        <w:t xml:space="preserve">: l’etichetta diagnostica cambia intenzioni e aspettative.</w:t>
      </w:r>
      <w:r>
        <w:t xml:space="preserve"> </w:t>
      </w:r>
      <w:r>
        <w:rPr>
          <w:i/>
          <w:iCs/>
        </w:rPr>
        <w:t xml:space="preserve">Misurato su intenzioni e credenze in uno scenario sperimentale, in persone con e senza lombalgia — non su pazienti con dolore radicolare, e nessun esito clinico è stato misurato: cambia quello che il paziente pensa, non è dimostrato che cambi come sta.</w:t>
      </w:r>
      <w:r>
        <w:t xml:space="preserve"> </w:t>
      </w:r>
      <w:r>
        <w:t xml:space="preserve">La leva resta</w:t>
      </w:r>
      <w:r>
        <w:t xml:space="preserve"> </w:t>
      </w:r>
      <w:r>
        <w:rPr>
          <w:b/>
          <w:bCs/>
        </w:rPr>
        <w:t xml:space="preserve">PROBABILE</w:t>
      </w:r>
      <w:r>
        <w:rPr>
          <w:b/>
          <w:bCs/>
        </w:rPr>
        <w:t xml:space="preserve"> </w:t>
      </w:r>
      <w:r>
        <w:rPr>
          <w:b/>
          <w:bCs/>
          <w:i/>
          <w:iCs/>
        </w:rPr>
        <w:t xml:space="preserve">(razionale forte, prove parziali)</w:t>
      </w:r>
      <w:r>
        <w:t xml:space="preserve">, e per Kent, non per questo studio.</w:t>
      </w:r>
    </w:p>
    <w:p>
      <w:pPr>
        <w:pStyle w:val="FirstParagraph"/>
      </w:pPr>
      <w:r>
        <w:rPr>
          <w:b/>
          <w:bCs/>
        </w:rPr>
        <w:t xml:space="preserve">Il come si fa non è qui: sta nella Procedura di Sciatalgia — due pagine, tecniche, dosi, piano delle sedute.</w:t>
      </w:r>
    </w:p>
    <w:p>
      <w:pPr>
        <w:pStyle w:val="BodyText"/>
      </w:pPr>
      <w:r>
        <w:rPr>
          <w:b/>
          <w:bCs/>
        </w:rPr>
        <w:t xml:space="preserve">Le tre cose da ricordare, più una</w:t>
      </w:r>
    </w:p>
    <w:p>
      <w:pPr>
        <w:pStyle w:val="Compact"/>
        <w:numPr>
          <w:ilvl w:val="0"/>
          <w:numId w:val="1026"/>
        </w:numPr>
      </w:pPr>
      <w:r>
        <w:t xml:space="preserve">Le mani agiscono sulle posizioni disponibili e sullo scorrimento, non sull’ingombro e non sull’infiammazione.</w:t>
      </w:r>
    </w:p>
    <w:p>
      <w:pPr>
        <w:pStyle w:val="Compact"/>
        <w:numPr>
          <w:ilvl w:val="0"/>
          <w:numId w:val="1026"/>
        </w:numPr>
      </w:pPr>
      <w:r>
        <w:t xml:space="preserve">Quello che si muove in seduta è la tolleranza, non la meccanica — e cinque gradi sono meno del rumore del tuo strumento.</w:t>
      </w:r>
    </w:p>
    <w:p>
      <w:pPr>
        <w:pStyle w:val="Compact"/>
        <w:numPr>
          <w:ilvl w:val="0"/>
          <w:numId w:val="1026"/>
        </w:numPr>
      </w:pPr>
      <w:r>
        <w:t xml:space="preserve">Sullo spazio gluteo profondo hai la leva più diretta e l’etichetta più debole: verificala sul segno neurale, non sulla rotazione che hai appena trattato.</w:t>
      </w:r>
    </w:p>
    <w:p>
      <w:pPr>
        <w:pStyle w:val="Compact"/>
        <w:numPr>
          <w:ilvl w:val="0"/>
          <w:numId w:val="1026"/>
        </w:numPr>
      </w:pPr>
      <w:r>
        <w:rPr>
          <w:b/>
          <w:bCs/>
        </w:rPr>
        <w:t xml:space="preserve">Perché ci sei tu.</w:t>
      </w:r>
      <w:r>
        <w:t xml:space="preserve"> </w:t>
      </w:r>
      <w:r>
        <w:t xml:space="preserve">In 102 pazienti con sciatalgia acuta da protrusione discale, in doppio cieco, il 55% del gruppo manipolato era senza dolore irradiato a 180 giorni contro il 20% del gruppo simulato (Santilli,</w:t>
      </w:r>
      <w:r>
        <w:t xml:space="preserve"> </w:t>
      </w:r>
      <w:r>
        <w:rPr>
          <w:i/>
          <w:iCs/>
        </w:rPr>
        <w:t xml:space="preserve">Spine J</w:t>
      </w:r>
      <w:r>
        <w:t xml:space="preserve"> </w:t>
      </w:r>
      <w:r>
        <w:t xml:space="preserve">2006, PMID 16517383). Questo ti autorizza a mettere le mani su un paziente acuto senza deficit, con un dato vero in tasca. Non ti autorizza a estenderlo a tutte le sciatalgie: erano protrusioni, non estrusioni — e quello è anche il confine di sicurezza.</w:t>
      </w:r>
    </w:p>
    <w:p>
      <w:r>
        <w:pict>
          <v:rect style="width:0;height:1.5pt" o:hralign="center" o:hrstd="t" o:hr="t"/>
        </w:pict>
      </w:r>
    </w:p>
    <w:bookmarkEnd w:id="64"/>
    <w:bookmarkEnd w:id="65"/>
    <w:bookmarkStart w:id="69"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qui la parte attiva non è un accessorio, ed è l’unica dove esistono studi controllati con conclusioni chiare.</w:t>
      </w:r>
    </w:p>
    <w:p>
      <w:pPr>
        <w:pStyle w:val="FirstParagraph"/>
      </w:pPr>
      <w:r>
        <w:rPr>
          <w:b/>
          <w:bCs/>
        </w:rPr>
        <w:t xml:space="preserve">Prima di tutto: in quali pazienti non si imposta.</w:t>
      </w:r>
      <w:r>
        <w:t xml:space="preserve"> </w:t>
      </w:r>
      <w:r>
        <w:t xml:space="preserve">Il lavoro attivo si imposta solo dopo che il triage di «Dove finisce il nostro campo» è passato. Con deficit progressivo, sospetto di cauda equina o quadro non ancora inquadrato, l’unica cosa che rimane è restare in movimento nelle attività tollerate: il resto aspetta l’inquadramento.</w:t>
      </w:r>
    </w:p>
    <w:p>
      <w:pPr>
        <w:pStyle w:val="BodyText"/>
      </w:pPr>
      <w:r>
        <w:rPr>
          <w:b/>
          <w:bCs/>
        </w:rPr>
        <w:t xml:space="preserve">E una cosa che non c’è.</w:t>
      </w:r>
      <w:r>
        <w:t xml:space="preserve"> </w:t>
      </w:r>
      <w:r>
        <w:t xml:space="preserve">La</w:t>
      </w:r>
      <w:r>
        <w:t xml:space="preserve"> </w:t>
      </w:r>
      <w:r>
        <w:rPr>
          <w:b/>
          <w:bCs/>
        </w:rPr>
        <w:t xml:space="preserve">respirazione</w:t>
      </w:r>
      <w:r>
        <w:t xml:space="preserve"> </w:t>
      </w:r>
      <w:r>
        <w:t xml:space="preserve">non è uno strumento attivo di questa condizione: su PubMed non esiste nessuno studio controllato di esercizio respiratorio in sciatalgia o radicolopatia lombare. Dichiararlo vale più che ometterlo in silenzio.</w:t>
      </w:r>
    </w:p>
    <w:bookmarkStart w:id="66" w:name="X5b0454662562096c37a6300ee7d346ea0d99bae"/>
    <w:p>
      <w:pPr>
        <w:pStyle w:val="Heading3"/>
      </w:pPr>
      <w:r>
        <w:t xml:space="preserve">Strumento 1 — Restare in movimento invece di stare a letto</w:t>
      </w:r>
    </w:p>
    <w:p>
      <w:pPr>
        <w:pStyle w:val="FirstParagraph"/>
      </w:pPr>
      <w:r>
        <w:rPr>
          <w:b/>
          <w:bCs/>
        </w:rPr>
        <w:t xml:space="preserve">Cos’è.</w:t>
      </w:r>
      <w:r>
        <w:t xml:space="preserve"> </w:t>
      </w:r>
      <w:r>
        <w:t xml:space="preserve">Continuare le attività quotidiane tollerate, invece di mettersi a riposo aspettando.</w:t>
      </w:r>
    </w:p>
    <w:p>
      <w:pPr>
        <w:pStyle w:val="BodyText"/>
      </w:pPr>
      <w:r>
        <w:rPr>
          <w:b/>
          <w:bCs/>
        </w:rPr>
        <w:t xml:space="preserve">Su quale meccanismo agisce.</w:t>
      </w:r>
      <w:r>
        <w:t xml:space="preserve"> </w:t>
      </w:r>
      <w:r>
        <w:t xml:space="preserve">Sul quinto meccanismo di «Cosa si rompe»,</w:t>
      </w:r>
      <w:r>
        <w:t xml:space="preserve"> </w:t>
      </w:r>
      <w:r>
        <w:rPr>
          <w:i/>
          <w:iCs/>
        </w:rPr>
        <w:t xml:space="preserve">la soglia che si abbassa e la paura</w:t>
      </w:r>
      <w:r>
        <w:t xml:space="preserve">, e in seconda battuta sul quarto,</w:t>
      </w:r>
      <w:r>
        <w:t xml:space="preserve"> </w:t>
      </w:r>
      <w:r>
        <w:rPr>
          <w:i/>
          <w:iCs/>
        </w:rPr>
        <w:t xml:space="preserve">il carico che non cambia mai posizione</w:t>
      </w:r>
      <w:r>
        <w:t xml:space="preserve">.</w:t>
      </w:r>
    </w:p>
    <w:p>
      <w:pPr>
        <w:pStyle w:val="BodyText"/>
      </w:pPr>
      <w:r>
        <w:rPr>
          <w:b/>
          <w:bCs/>
        </w:rPr>
        <w:t xml:space="preserve">Cosa hanno misurato gli studi.</w:t>
      </w:r>
      <w:r>
        <w:t xml:space="preserve"> </w:t>
      </w:r>
      <w:r>
        <w:t xml:space="preserve">In 183 pazienti con sindrome radicolare lombosacrale, due settimane di riposo a letto hanno migliorato il 70% dei casi contro il 65% di chi non aveva ricevuto indicazione di riposo; a dodici settimane era migliorato l’87% in entrambi i gruppi (Vroomen,</w:t>
      </w:r>
      <w:r>
        <w:t xml:space="preserve"> </w:t>
      </w:r>
      <w:r>
        <w:rPr>
          <w:i/>
          <w:iCs/>
        </w:rPr>
        <w:t xml:space="preserve">N Engl J Med</w:t>
      </w:r>
      <w:r>
        <w:t xml:space="preserve"> </w:t>
      </w:r>
      <w:r>
        <w:t xml:space="preserve">1999, PMID 9971865). La sintesi Cochrane conferma. Nella lombalgia acuta chi resta attivo ha un piccolo vantaggio su dolore e funzione.</w:t>
      </w:r>
      <w:r>
        <w:t xml:space="preserve"> </w:t>
      </w:r>
      <w:r>
        <w:rPr>
          <w:b/>
          <w:bCs/>
        </w:rPr>
        <w:t xml:space="preserve">Nella sciatalgia le due strade danno lo stesso risultato</w:t>
      </w:r>
      <w:r>
        <w:t xml:space="preserve">, ed entrambe le conclusioni poggiano su prove di</w:t>
      </w:r>
      <w:r>
        <w:t xml:space="preserve"> </w:t>
      </w:r>
      <w:r>
        <w:rPr>
          <w:b/>
          <w:bCs/>
        </w:rPr>
        <w:t xml:space="preserve">qualità moderata</w:t>
      </w:r>
      <w:r>
        <w:t xml:space="preserve"> </w:t>
      </w:r>
      <w:r>
        <w:t xml:space="preserve">(Dahm,</w:t>
      </w:r>
      <w:r>
        <w:t xml:space="preserve"> </w:t>
      </w:r>
      <w:r>
        <w:rPr>
          <w:i/>
          <w:iCs/>
        </w:rPr>
        <w:t xml:space="preserve">Cochrane Database Syst Rev</w:t>
      </w:r>
      <w:r>
        <w:t xml:space="preserve"> </w:t>
      </w:r>
      <w:r>
        <w:t xml:space="preserve">2010, PMID 20556780).</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conclusione che il riposo a letto non aggiunge niente nella sciatalgia, con la qualità dichiarata dalla fonte: moderata.</w:t>
      </w:r>
    </w:p>
    <w:p>
      <w:pPr>
        <w:pStyle w:val="FirstParagraph"/>
      </w:pPr>
      <w:r>
        <w:rPr>
          <w:b/>
          <w:bCs/>
        </w:rPr>
        <w:t xml:space="preserve">Cosa NON fa.</w:t>
      </w:r>
      <w:r>
        <w:t xml:space="preserve"> </w:t>
      </w:r>
      <w:r>
        <w:t xml:space="preserve">Non accelera il recupero, e dire il contrario è l’errore da non fare quando lo racconti: qui restare attivi</w:t>
      </w:r>
      <w:r>
        <w:t xml:space="preserve"> </w:t>
      </w:r>
      <w:r>
        <w:rPr>
          <w:b/>
          <w:bCs/>
        </w:rPr>
        <w:t xml:space="preserve">non è meglio</w:t>
      </w:r>
      <w:r>
        <w:t xml:space="preserve"> </w:t>
      </w:r>
      <w:r>
        <w:t xml:space="preserve">del riposo sul dolore, è</w:t>
      </w:r>
      <w:r>
        <w:t xml:space="preserve"> </w:t>
      </w:r>
      <w:r>
        <w:rPr>
          <w:b/>
          <w:bCs/>
        </w:rPr>
        <w:t xml:space="preserve">uguale</w:t>
      </w:r>
      <w:r>
        <w:t xml:space="preserve">. Il guadagno sta altrove: non si decondiziona, non perde il lavoro, e non impara che il movimento è pericoloso.</w:t>
      </w:r>
    </w:p>
    <w:bookmarkEnd w:id="66"/>
    <w:bookmarkStart w:id="67" w:name="strumento-2-lesercizio-strutturato"/>
    <w:p>
      <w:pPr>
        <w:pStyle w:val="Heading3"/>
      </w:pPr>
      <w:r>
        <w:t xml:space="preserve">Strumento 2 — L’esercizio strutturato</w:t>
      </w:r>
    </w:p>
    <w:p>
      <w:pPr>
        <w:pStyle w:val="FirstParagraph"/>
      </w:pPr>
      <w:r>
        <w:rPr>
          <w:b/>
          <w:bCs/>
        </w:rPr>
        <w:t xml:space="preserve">Cos’è.</w:t>
      </w:r>
      <w:r>
        <w:t xml:space="preserve"> </w:t>
      </w:r>
      <w:r>
        <w:t xml:space="preserve">Un programma di movimento graduato, con carico e ampiezza crescenti. Comprende il controllo motorio e, nella parte che il paziente può ripetere da solo, il movimento che restituisce scorrimento al nervo.</w:t>
      </w:r>
    </w:p>
    <w:p>
      <w:pPr>
        <w:pStyle w:val="BodyText"/>
      </w:pPr>
      <w:r>
        <w:rPr>
          <w:b/>
          <w:bCs/>
        </w:rPr>
        <w:t xml:space="preserve">Su quale meccanismo agisce.</w:t>
      </w:r>
      <w:r>
        <w:t xml:space="preserve"> </w:t>
      </w:r>
      <w:r>
        <w:t xml:space="preserve">Sul secondo meccanismo di «Cosa si rompe»,</w:t>
      </w:r>
      <w:r>
        <w:t xml:space="preserve"> </w:t>
      </w:r>
      <w:r>
        <w:rPr>
          <w:i/>
          <w:iCs/>
        </w:rPr>
        <w:t xml:space="preserve">il nervo che ha perso lo scorrimento</w:t>
      </w:r>
      <w:r>
        <w:t xml:space="preserve">, e sul quarto,</w:t>
      </w:r>
      <w:r>
        <w:t xml:space="preserve"> </w:t>
      </w:r>
      <w:r>
        <w:rPr>
          <w:i/>
          <w:iCs/>
        </w:rPr>
        <w:t xml:space="preserve">il carico che non cambia mai posizione</w:t>
      </w:r>
      <w:r>
        <w:t xml:space="preserve">.</w:t>
      </w:r>
    </w:p>
    <w:p>
      <w:pPr>
        <w:pStyle w:val="BodyText"/>
      </w:pPr>
      <w:r>
        <w:rPr>
          <w:b/>
          <w:bCs/>
        </w:rPr>
        <w:t xml:space="preserve">Cosa hanno misurato gli studi.</w:t>
      </w:r>
      <w:r>
        <w:t xml:space="preserve"> </w:t>
      </w:r>
      <w:r>
        <w:t xml:space="preserve">In cinque studi controllati che confrontano esercizio strutturato e semplice consiglio di restare attivi, l’esercizio dà un vantaggio piccolo sul dolore alla gamba a breve termine, con prove di qualità bassa; a lungo termine le due strade non differiscono, con prove di qualità moderata (Fernandez,</w:t>
      </w:r>
      <w:r>
        <w:t xml:space="preserve"> </w:t>
      </w:r>
      <w:r>
        <w:rPr>
          <w:i/>
          <w:iCs/>
        </w:rPr>
        <w:t xml:space="preserve">Spine</w:t>
      </w:r>
      <w:r>
        <w:t xml:space="preserve"> </w:t>
      </w:r>
      <w:r>
        <w:t xml:space="preserve">2015, PMID 26165218). Nelle sintesi recenti sull’ernia discale l’esercizio migliora dolore e disabilità rispetto ai controlli, su 8 studi controllati e 611 pazienti (Du,</w:t>
      </w:r>
      <w:r>
        <w:t xml:space="preserve"> </w:t>
      </w:r>
      <w:r>
        <w:rPr>
          <w:i/>
          <w:iCs/>
        </w:rPr>
        <w:t xml:space="preserve">Front Med</w:t>
      </w:r>
      <w:r>
        <w:t xml:space="preserve"> </w:t>
      </w:r>
      <w:r>
        <w:t xml:space="preserve">2025, PMID 40224631). E nella sintesi sulla cronica esercizio e mobilizzazione neurale stanno fra le riduzioni di dolore più grandi, con confidenza molto bassa (Zhu, PMID 40373933, vedi «Cosa dice la scienza»).</w:t>
      </w:r>
    </w:p>
    <w:p>
      <w:pPr>
        <w:pStyle w:val="BodyText"/>
      </w:pPr>
      <w:r>
        <w:rPr>
          <w:b/>
          <w:bCs/>
        </w:rPr>
        <w:t xml:space="preserve">La sola prova a lungo termine su questa condizione dice un’altra cosa.</w:t>
      </w:r>
      <w:r>
        <w:t xml:space="preserve"> </w:t>
      </w:r>
      <w:r>
        <w:t xml:space="preserve">In 66 pazienti con sciatalgia ed ernia confermata in risonanza si sono confrontati esercizi McKenzie in sette sedute più un libro educativo, contro una singola sessione di consiglio secondo linea guida. A ventiquattro mesi non c’era nessuna differenza fra i gruppi su dolore, disabilità e qualità di vita, e</w:t>
      </w:r>
      <w:r>
        <w:t xml:space="preserve"> </w:t>
      </w:r>
      <w:r>
        <w:rPr>
          <w:b/>
          <w:bCs/>
        </w:rPr>
        <w:t xml:space="preserve">nessuna differenza sul numero di operati</w:t>
      </w:r>
      <w:r>
        <w:t xml:space="preserve">, 29% complessivo (Kilpikoski,</w:t>
      </w:r>
      <w:r>
        <w:t xml:space="preserve"> </w:t>
      </w:r>
      <w:r>
        <w:rPr>
          <w:i/>
          <w:iCs/>
        </w:rPr>
        <w:t xml:space="preserve">Clin Rehabil</w:t>
      </w:r>
      <w:r>
        <w:t xml:space="preserve"> </w:t>
      </w:r>
      <w:r>
        <w:t xml:space="preserve">2024, PMID 37605454).</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più studi controllati, risultati positivi ma piccoli e a breve termine, e due sintesi che a lungo termine non trovano differenza. La disparità fra le sintesi va dichiarata, non nascosta.</w:t>
      </w:r>
    </w:p>
    <w:p>
      <w:pPr>
        <w:pStyle w:val="FirstParagraph"/>
      </w:pPr>
      <w:r>
        <w:rPr>
          <w:b/>
          <w:bCs/>
        </w:rPr>
        <w:t xml:space="preserve">Cosa NON fa, e cosa succede quando smette.</w:t>
      </w:r>
      <w:r>
        <w:t xml:space="preserve"> </w:t>
      </w:r>
      <w:r>
        <w:t xml:space="preserve">Non cambia l’esito a lungo termine rispetto al semplice consiglio di restare attivi, ed è il dato di qualità migliore che abbiamo. Il guadagno appartiene alla ripetizione:</w:t>
      </w:r>
      <w:r>
        <w:t xml:space="preserve"> </w:t>
      </w:r>
      <w:r>
        <w:rPr>
          <w:b/>
          <w:bCs/>
        </w:rPr>
        <w:t xml:space="preserve">quando l’esercizio finisce, non resta.</w:t>
      </w:r>
      <w:r>
        <w:t xml:space="preserve"> </w:t>
      </w:r>
      <w:r>
        <w:t xml:space="preserve">È come un abbonamento: hai il servizio finché lo paghi, e quando smetti finisce. E l’aderenza pesa meno di quanto si creda: su 46 studi di esercizio nella lombalgia cronica un’aderenza alta si associa a risultati migliori, ma la differenza rispetto a un’aderenza bassa è per lo più trascurabile, con certezza bassa (Jones,</w:t>
      </w:r>
      <w:r>
        <w:t xml:space="preserve"> </w:t>
      </w:r>
      <w:r>
        <w:rPr>
          <w:i/>
          <w:iCs/>
        </w:rPr>
        <w:t xml:space="preserve">J Physiother</w:t>
      </w:r>
      <w:r>
        <w:t xml:space="preserve"> </w:t>
      </w:r>
      <w:r>
        <w:t xml:space="preserve">2025, PMID 40175237).</w:t>
      </w:r>
    </w:p>
    <w:bookmarkEnd w:id="67"/>
    <w:bookmarkStart w:id="68" w:name="X9df8cab898b528adaf9df059ce0480d192c4c7e"/>
    <w:p>
      <w:pPr>
        <w:pStyle w:val="Heading3"/>
      </w:pPr>
      <w:r>
        <w:t xml:space="preserve">Strumento 3 — L’educazione e l’esposizione al movimento evitato</w:t>
      </w:r>
    </w:p>
    <w:p>
      <w:pPr>
        <w:pStyle w:val="FirstParagraph"/>
      </w:pPr>
      <w:r>
        <w:rPr>
          <w:b/>
          <w:bCs/>
        </w:rPr>
        <w:t xml:space="preserve">Cos’è.</w:t>
      </w:r>
      <w:r>
        <w:t xml:space="preserve"> </w:t>
      </w:r>
      <w:r>
        <w:t xml:space="preserve">Due cose insieme, e la seconda è quella che quasi tutti dimenticano. La prima: dire cosa significa e cosa non significa quello che ha letto, e quale decorso aspettarsi. La seconda: riportarlo gradualmente al movimento che ha smesso di fare.</w:t>
      </w:r>
    </w:p>
    <w:p>
      <w:pPr>
        <w:pStyle w:val="BodyText"/>
      </w:pPr>
      <w:r>
        <w:rPr>
          <w:b/>
          <w:bCs/>
        </w:rPr>
        <w:t xml:space="preserve">Su quale meccanismo agisce.</w:t>
      </w:r>
      <w:r>
        <w:t xml:space="preserve"> </w:t>
      </w:r>
      <w:r>
        <w:t xml:space="preserve">Sul quinto meccanismo di «Cosa si rompe», per la via della credenza e dell’evitamento.</w:t>
      </w:r>
    </w:p>
    <w:p>
      <w:pPr>
        <w:pStyle w:val="BodyText"/>
      </w:pPr>
      <w:r>
        <w:rPr>
          <w:b/>
          <w:bCs/>
        </w:rPr>
        <w:t xml:space="preserve">Cosa hanno misurato gli studi.</w:t>
      </w:r>
      <w:r>
        <w:t xml:space="preserve"> </w:t>
      </w:r>
      <w:r>
        <w:t xml:space="preserve">In 609 pazienti seguiti per un anno, la convinzione che il recupero sarà lungo predice un esito peggiore (Konstantinou,</w:t>
      </w:r>
      <w:r>
        <w:t xml:space="preserve"> </w:t>
      </w:r>
      <w:r>
        <w:rPr>
          <w:i/>
          <w:iCs/>
        </w:rPr>
        <w:t xml:space="preserve">Spine J</w:t>
      </w:r>
      <w:r>
        <w:t xml:space="preserve"> </w:t>
      </w:r>
      <w:r>
        <w:t xml:space="preserve">2018, PMID 29174459). L’intervento più forte non è una spiegazione consegnata una volta: nello studio RESTORE era la</w:t>
      </w:r>
      <w:r>
        <w:t xml:space="preserve"> </w:t>
      </w:r>
      <w:r>
        <w:rPr>
          <w:i/>
          <w:iCs/>
        </w:rPr>
        <w:t xml:space="preserve">Cognitive Functional Therapy</w:t>
      </w:r>
      <w:r>
        <w:t xml:space="preserve">, erogata da fisioterapisti, che agisce su credenze, emozioni</w:t>
      </w:r>
      <w:r>
        <w:t xml:space="preserve"> </w:t>
      </w:r>
      <w:r>
        <w:rPr>
          <w:b/>
          <w:bCs/>
        </w:rPr>
        <w:t xml:space="preserve">e comportamenti di movimento</w:t>
      </w:r>
      <w:r>
        <w:t xml:space="preserve"> </w:t>
      </w:r>
      <w:r>
        <w:t xml:space="preserve">— cioè spiegazione più esposizione graduata guidata; la parte fatta da soli è la pratica fra una seduta e l’altra (Kent, PMID 37146623, disegno in «Cosa dice la scienza»).</w:t>
      </w:r>
      <w:r>
        <w:t xml:space="preserve"> </w:t>
      </w:r>
      <w:r>
        <w:rPr>
          <w:b/>
          <w:bCs/>
        </w:rPr>
        <w:t xml:space="preserve">Misurato su lombalgia cronica disabilitante, non su pazienti con sciatalgia.</w:t>
      </w:r>
      <w:r>
        <w:t xml:space="preserve"> </w:t>
      </w:r>
      <w:r>
        <w:t xml:space="preserve">Sui soli materiali educativi in lombalgia e sciatalgia, 27 studi controllati mostrano effetti piccoli ma coerenti su dolore, disabilità e autoefficacia, con qualità da moderata a molto bassa. E i materiali educativi da soli sono</w:t>
      </w:r>
      <w:r>
        <w:t xml:space="preserve"> </w:t>
      </w:r>
      <w:r>
        <w:rPr>
          <w:b/>
          <w:bCs/>
        </w:rPr>
        <w:t xml:space="preserve">meno efficaci di altri interventi attivi</w:t>
      </w:r>
      <w:r>
        <w:t xml:space="preserve"> </w:t>
      </w:r>
      <w:r>
        <w:t xml:space="preserve">(</w:t>
      </w:r>
      <w:r>
        <w:rPr>
          <w:i/>
          <w:iCs/>
        </w:rPr>
        <w:t xml:space="preserve">PLoS One</w:t>
      </w:r>
      <w:r>
        <w:t xml:space="preserve"> </w:t>
      </w:r>
      <w:r>
        <w:t xml:space="preserve">2022, PMID 36223377).</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l’associazione fra credenze ed esito è misurata proprio su questa condizione; l’effetto dell’intervento completo viene da un’altra popolazione, e la parte solo educativa, misurata anche su pazienti con sciatalgia, dà effetti piccoli.</w:t>
      </w:r>
    </w:p>
    <w:p>
      <w:pPr>
        <w:pStyle w:val="FirstParagraph"/>
      </w:pPr>
      <w:r>
        <w:rPr>
          <w:b/>
          <w:bCs/>
        </w:rPr>
        <w:t xml:space="preserve">Cosa NON fa.</w:t>
      </w:r>
      <w:r>
        <w:t xml:space="preserve"> </w:t>
      </w:r>
      <w:r>
        <w:t xml:space="preserve">Non funziona come rassicurazione generica: un</w:t>
      </w:r>
      <w:r>
        <w:t xml:space="preserve"> </w:t>
      </w:r>
      <w:r>
        <w:t xml:space="preserve">“non preoccuparti”</w:t>
      </w:r>
      <w:r>
        <w:t xml:space="preserve"> </w:t>
      </w:r>
      <w:r>
        <w:t xml:space="preserve">senza il dato accanto è indistinguibile da una minimizzazione, e questo paziente ne ha già ricevuta una. E non funziona come sola spiegazione: senza la parte di movimento, hai riprodotto metà dell’intervento che ha dato quei risultati.</w:t>
      </w:r>
    </w:p>
    <w:p>
      <w:pPr>
        <w:pStyle w:val="BodyText"/>
      </w:pPr>
      <w:r>
        <w:rPr>
          <w:i/>
          <w:iCs/>
        </w:rPr>
        <w:t xml:space="preserve">Come e quando consegnare questi tre strumenti al tuo paziente sta nella Procedura.</w:t>
      </w:r>
    </w:p>
    <w:p>
      <w:pPr>
        <w:pStyle w:val="BodyText"/>
      </w:pPr>
      <w:r>
        <w:rPr>
          <w:b/>
          <w:bCs/>
        </w:rPr>
        <w:t xml:space="preserve">Le tre cose da ricordare, più una</w:t>
      </w:r>
    </w:p>
    <w:p>
      <w:pPr>
        <w:pStyle w:val="Compact"/>
        <w:numPr>
          <w:ilvl w:val="0"/>
          <w:numId w:val="1027"/>
        </w:numPr>
      </w:pPr>
      <w:r>
        <w:t xml:space="preserve">Nella sciatalgia restare attivi non batte il riposo sul dolore: lo pareggia. Il guadagno è altrove, e va spiegato così.</w:t>
      </w:r>
    </w:p>
    <w:p>
      <w:pPr>
        <w:pStyle w:val="Compact"/>
        <w:numPr>
          <w:ilvl w:val="0"/>
          <w:numId w:val="1027"/>
        </w:numPr>
      </w:pPr>
      <w:r>
        <w:t xml:space="preserve">L’esercizio ha un vantaggio piccolo e a breve termine, e a ventiquattro mesi non cambia nemmeno la quota di operati.</w:t>
      </w:r>
    </w:p>
    <w:p>
      <w:pPr>
        <w:pStyle w:val="Compact"/>
        <w:numPr>
          <w:ilvl w:val="0"/>
          <w:numId w:val="1027"/>
        </w:numPr>
      </w:pPr>
      <w:r>
        <w:t xml:space="preserve">L’educazione che ha funzionato negli studi era educazione</w:t>
      </w:r>
      <w:r>
        <w:t xml:space="preserve"> </w:t>
      </w:r>
      <w:r>
        <w:rPr>
          <w:b/>
          <w:bCs/>
        </w:rPr>
        <w:t xml:space="preserve">più</w:t>
      </w:r>
      <w:r>
        <w:t xml:space="preserve"> </w:t>
      </w:r>
      <w:r>
        <w:t xml:space="preserve">esposizione al movimento evitato: la metà da sola dà effetti piccoli.</w:t>
      </w:r>
    </w:p>
    <w:p>
      <w:pPr>
        <w:pStyle w:val="Compact"/>
        <w:numPr>
          <w:ilvl w:val="0"/>
          <w:numId w:val="1027"/>
        </w:numPr>
      </w:pPr>
      <w:r>
        <w:rPr>
          <w:b/>
          <w:bCs/>
        </w:rPr>
        <w:t xml:space="preserve">Perché ci sei tu.</w:t>
      </w:r>
      <w:r>
        <w:t xml:space="preserve"> </w:t>
      </w:r>
      <w:r>
        <w:t xml:space="preserve">Due settimane di riposo a letto hanno migliorato 7 pazienti su 10 con sindrome radicolare, contro 6,5 su 10 di chi non aveva ricevuto indicazione di riposo: nessuna differenza reale, su 183 persone (PMID 9971865). Questo ti autorizza a togliere il letto dalla lista e a rimettere in moto un paziente fermo da settimane. Non ti autorizza a dire che muoversi accelera il recupero: le due strade arrivano insieme.</w:t>
      </w:r>
    </w:p>
    <w:p>
      <w:r>
        <w:pict>
          <v:rect style="width:0;height:1.5pt" o:hralign="center" o:hrstd="t" o:hr="t"/>
        </w:pict>
      </w:r>
    </w:p>
    <w:bookmarkEnd w:id="68"/>
    <w:bookmarkEnd w:id="69"/>
    <w:bookmarkStart w:id="75"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cambia questo colloquio non riguarda il tuo trattamento, riguarda la sua risonanza.</w:t>
      </w:r>
    </w:p>
    <w:bookmarkStart w:id="70" w:name="lo-script-di-spiegazione"/>
    <w:p>
      <w:pPr>
        <w:pStyle w:val="Heading3"/>
      </w:pPr>
      <w:r>
        <w:t xml:space="preserve">Lo script di spiegazione</w:t>
      </w:r>
    </w:p>
    <w:p>
      <w:pPr>
        <w:pStyle w:val="FirstParagraph"/>
      </w:pPr>
      <w:r>
        <w:rPr>
          <w:i/>
          <w:iCs/>
        </w:rPr>
        <w:t xml:space="preserve">“Il nervo che ti fa male parte dalla schiena e prima di arrivare alla gamba passa dietro il bacino. Lungo quella strada ci sono tre o quattro punti stretti, e a te il dolore dice dove il nervo soffre, non dove viene disturbato. Un nervo sano scorre dentro la sua strada. Quando smette di scorrere, tira anche da fermo. Io lavoro sui punti stretti, tu lavori sul movimento, e misuriamo insieme se cambia qualcosa.”</w:t>
      </w:r>
    </w:p>
    <w:bookmarkEnd w:id="70"/>
    <w:bookmarkStart w:id="71" w:name="le-obiezioni-e-le-risposte-oneste"/>
    <w:p>
      <w:pPr>
        <w:pStyle w:val="Heading3"/>
      </w:pPr>
      <w:r>
        <w:t xml:space="preserve">Le obiezioni, e le risposte oneste</w:t>
      </w:r>
    </w:p>
    <w:p>
      <w:pPr>
        <w:pStyle w:val="FirstParagraph"/>
      </w:pPr>
      <w:r>
        <w:rPr>
          <w:b/>
          <w:bCs/>
        </w:rPr>
        <w:t xml:space="preserve">“Ho paura che toccandomi peggiori.”</w:t>
      </w:r>
    </w:p>
    <w:p>
      <w:pPr>
        <w:pStyle w:val="BodyText"/>
      </w:pPr>
      <w:r>
        <w:rPr>
          <w:i/>
          <w:iCs/>
        </w:rPr>
        <w:t xml:space="preserve">“Nella fase in cui sei si lavora lontano dal punto irritato. Prendiamo una misura adesso, prima che io ti tocchi: se dopo peggiora lo vediamo subito e ci fermiamo.”</w:t>
      </w:r>
    </w:p>
    <w:p>
      <w:pPr>
        <w:pStyle w:val="BodyText"/>
      </w:pPr>
      <w:r>
        <w:rPr>
          <w:b/>
          <w:bCs/>
        </w:rPr>
        <w:t xml:space="preserve">“La risonanza dice ernia: serve l’operazione.”</w:t>
      </w:r>
    </w:p>
    <w:p>
      <w:pPr>
        <w:pStyle w:val="BodyText"/>
      </w:pPr>
      <w:r>
        <w:rPr>
          <w:i/>
          <w:iCs/>
        </w:rPr>
        <w:t xml:space="preserve">“L’operazione ha indicazioni precise, e le decide il medico. Nello studio più solido, a un anno, chi si era operato subito e chi aveva aspettato stavano allo stesso punto — ma fra chi aveva aspettato, quattro su dieci si sono operati comunque. Aspettare non vuol dire evitare l’intervento: vuol dire prendere tempo, e il tempo è quello che stiamo misurando insieme.”</w:t>
      </w:r>
    </w:p>
    <w:p>
      <w:pPr>
        <w:pStyle w:val="BodyText"/>
      </w:pPr>
      <w:r>
        <w:rPr>
          <w:b/>
          <w:bCs/>
        </w:rPr>
        <w:t xml:space="preserve">“Il cortisone mi ha aiutato, poi è tornato.”</w:t>
      </w:r>
    </w:p>
    <w:p>
      <w:pPr>
        <w:pStyle w:val="BodyText"/>
      </w:pPr>
      <w:r>
        <w:rPr>
          <w:i/>
          <w:iCs/>
        </w:rPr>
        <w:t xml:space="preserve">“È quello che ci si aspetta, ed è un’informazione utile: il cortisone spegne l’infiammazione attorno al nervo, e ha fatto il suo lavoro. Io lavoro su un’altra cosa, lo spazio che il nervo ha lungo la strada, e non so ancora se nel tuo caso cambierà: per questo misuriamo. Sul cortisone decide il tuo medico.”</w:t>
      </w:r>
    </w:p>
    <w:p>
      <w:pPr>
        <w:pStyle w:val="BodyText"/>
      </w:pPr>
      <w:r>
        <w:rPr>
          <w:b/>
          <w:bCs/>
        </w:rPr>
        <w:t xml:space="preserve">“Perché mi fa male anche se non mi muovo?”</w:t>
      </w:r>
    </w:p>
    <w:p>
      <w:pPr>
        <w:pStyle w:val="BodyText"/>
      </w:pPr>
      <w:r>
        <w:rPr>
          <w:i/>
          <w:iCs/>
        </w:rPr>
        <w:t xml:space="preserve">“Perché il nervo irritato manda segnali di suo, senza che tu faccia niente: per questo di notte, da fermo, brucia lo stesso. Non vuol dire che stai peggiorando, e non vuol dire che il lavoro non serve: quella parte del dolore non dipende da come ti metti.”</w:t>
      </w:r>
    </w:p>
    <w:p>
      <w:pPr>
        <w:pStyle w:val="BodyText"/>
      </w:pPr>
      <w:r>
        <w:rPr>
          <w:b/>
          <w:bCs/>
        </w:rPr>
        <w:t xml:space="preserve">“Funzionerà nel mio caso?”</w:t>
      </w:r>
    </w:p>
    <w:p>
      <w:pPr>
        <w:pStyle w:val="BodyText"/>
      </w:pPr>
      <w:r>
        <w:rPr>
          <w:i/>
          <w:iCs/>
        </w:rPr>
        <w:t xml:space="preserve">“Non te lo prometto, e ti dico perché: su questo problema gli studi sui trattamenti come il mio non danno una risposta chiara. Quello che facciamo è scegliere oggi una misura, con la soglia che deve superare e in quante sedute. Se non si muove, te lo dico io.”</w:t>
      </w:r>
    </w:p>
    <w:bookmarkEnd w:id="71"/>
    <w:bookmarkStart w:id="72" w:name="la-convivenza-con-le-stesse-parole"/>
    <w:p>
      <w:pPr>
        <w:pStyle w:val="Heading3"/>
      </w:pPr>
      <w:r>
        <w:t xml:space="preserve">La convivenza, con le stesse parole</w:t>
      </w:r>
    </w:p>
    <w:p>
      <w:pPr>
        <w:pStyle w:val="FirstParagraph"/>
      </w:pPr>
      <w:r>
        <w:t xml:space="preserve">Una frase il paziente deve sentirla per intero:</w:t>
      </w:r>
      <w:r>
        <w:t xml:space="preserve"> </w:t>
      </w:r>
      <w:r>
        <w:rPr>
          <w:b/>
          <w:bCs/>
        </w:rPr>
        <w:t xml:space="preserve">un reperto positivo giustifica il mio lavoro, non sostituisce l’inquadramento medico.</w:t>
      </w:r>
      <w:r>
        <w:t xml:space="preserve"> </w:t>
      </w:r>
      <w:r>
        <w:t xml:space="preserve">In stanza suona così.</w:t>
      </w:r>
    </w:p>
    <w:p>
      <w:pPr>
        <w:pStyle w:val="BodyText"/>
      </w:pPr>
      <w:r>
        <w:rPr>
          <w:i/>
          <w:iCs/>
        </w:rPr>
        <w:t xml:space="preserve">“Io ho trovato qualcosa da trattare, e quello lo tratto. Non ho scoperto cos’hai: sono due cose diverse e vanno insieme. Il tuo medico deve comunque inquadrare il formicolio al piede, e intanto io non aspetto.”</w:t>
      </w:r>
    </w:p>
    <w:bookmarkEnd w:id="72"/>
    <w:bookmarkStart w:id="73" w:name="lelenco-che-gli-lasci-in-mano"/>
    <w:p>
      <w:pPr>
        <w:pStyle w:val="Heading3"/>
      </w:pPr>
      <w:r>
        <w:t xml:space="preserve">L’elenco che gli lasci in mano</w:t>
      </w:r>
    </w:p>
    <w:p>
      <w:pPr>
        <w:pStyle w:val="FirstParagraph"/>
      </w:pPr>
      <w:r>
        <w:t xml:space="preserve">Le bandiere rosse di «Dove finisce il nostro campo» arrivano al paziente così.</w:t>
      </w:r>
    </w:p>
    <w:p>
      <w:pPr>
        <w:pStyle w:val="BodyText"/>
      </w:pPr>
      <w:r>
        <w:rPr>
          <w:i/>
          <w:iCs/>
        </w:rPr>
        <w:t xml:space="preserve">“Ti lascio scritto un elenco corto. Se compare una di quelle cose — pipì, sensibilità fra le gambe, feci, forza che crolla, dolore su tutte e due le gambe — non mi chiami: vai al pronto soccorso, anche di notte, anche se ti sembra poco.”</w:t>
      </w:r>
    </w:p>
    <w:p>
      <w:pPr>
        <w:pStyle w:val="BodyText"/>
      </w:pPr>
      <w:r>
        <w:t xml:space="preserve">Vale doppio nelle 48 ore dopo una seduta, e glielo dici mentre gliela consegni.</w:t>
      </w:r>
    </w:p>
    <w:bookmarkEnd w:id="73"/>
    <w:bookmarkStart w:id="74" w:name="cosa-non-promettere-mai"/>
    <w:p>
      <w:pPr>
        <w:pStyle w:val="Heading3"/>
      </w:pPr>
      <w:r>
        <w:t xml:space="preserve">Cosa non promettere mai</w:t>
      </w:r>
    </w:p>
    <w:p>
      <w:pPr>
        <w:pStyle w:val="Compact"/>
        <w:numPr>
          <w:ilvl w:val="0"/>
          <w:numId w:val="1028"/>
        </w:numPr>
      </w:pPr>
      <w:r>
        <w:t xml:space="preserve">Che eviterà l’intervento: quella decisione non è nostra e non dipende da noi.</w:t>
      </w:r>
    </w:p>
    <w:p>
      <w:pPr>
        <w:pStyle w:val="Compact"/>
        <w:numPr>
          <w:ilvl w:val="0"/>
          <w:numId w:val="1028"/>
        </w:numPr>
      </w:pPr>
      <w:r>
        <w:t xml:space="preserve">Che l’ernia si riduce con le mani: si riduce da sola, e non per merito nostro.</w:t>
      </w:r>
    </w:p>
    <w:p>
      <w:pPr>
        <w:pStyle w:val="Compact"/>
        <w:numPr>
          <w:ilvl w:val="0"/>
          <w:numId w:val="1028"/>
        </w:numPr>
      </w:pPr>
      <w:r>
        <w:t xml:space="preserve">Che il trattamento sostituisce o riduce un farmaco: non lo decidi tu.</w:t>
      </w:r>
    </w:p>
    <w:p>
      <w:pPr>
        <w:pStyle w:val="Compact"/>
        <w:numPr>
          <w:ilvl w:val="0"/>
          <w:numId w:val="1028"/>
        </w:numPr>
      </w:pPr>
      <w:r>
        <w:rPr>
          <w:b/>
          <w:bCs/>
        </w:rPr>
        <w:t xml:space="preserve">E non commentare in modo svalutativo il percorso già fatto:</w:t>
      </w:r>
      <w:r>
        <w:t xml:space="preserve"> </w:t>
      </w:r>
      <w:r>
        <w:t xml:space="preserve">si dice cosa non è stato guardato, non chi non l’ha guardato.</w:t>
      </w:r>
    </w:p>
    <w:p>
      <w:pPr>
        <w:pStyle w:val="FirstParagraph"/>
      </w:pPr>
      <w:r>
        <w:rPr>
          <w:b/>
          <w:bCs/>
        </w:rPr>
        <w:t xml:space="preserve">Le tre cose da ricordare, più una</w:t>
      </w:r>
    </w:p>
    <w:p>
      <w:pPr>
        <w:pStyle w:val="Compact"/>
        <w:numPr>
          <w:ilvl w:val="0"/>
          <w:numId w:val="1029"/>
        </w:numPr>
      </w:pPr>
      <w:r>
        <w:t xml:space="preserve">La frase che cambia il colloquio è quella sul referto, non quella sul tuo metodo.</w:t>
      </w:r>
    </w:p>
    <w:p>
      <w:pPr>
        <w:pStyle w:val="Compact"/>
        <w:numPr>
          <w:ilvl w:val="0"/>
          <w:numId w:val="1029"/>
        </w:numPr>
      </w:pPr>
      <w:r>
        <w:t xml:space="preserve">Dire che le prove sono incerte non ti indebolisce: è ciò che rende credibile la misura che proponi subito dopo.</w:t>
      </w:r>
    </w:p>
    <w:p>
      <w:pPr>
        <w:pStyle w:val="Compact"/>
        <w:numPr>
          <w:ilvl w:val="0"/>
          <w:numId w:val="1029"/>
        </w:numPr>
      </w:pPr>
      <w:r>
        <w:t xml:space="preserve">Aspettare non è evitare l’intervento, e va detto con il numero accanto.</w:t>
      </w:r>
    </w:p>
    <w:p>
      <w:pPr>
        <w:pStyle w:val="Compact"/>
        <w:numPr>
          <w:ilvl w:val="0"/>
          <w:numId w:val="1029"/>
        </w:numPr>
      </w:pPr>
      <w:r>
        <w:rPr>
          <w:b/>
          <w:bCs/>
        </w:rPr>
        <w:t xml:space="preserve">Perché ci sei tu.</w:t>
      </w:r>
      <w:r>
        <w:t xml:space="preserve"> </w:t>
      </w:r>
      <w:r>
        <w:t xml:space="preserve">Su 283 pazienti con sciatalgia grave, la probabilità di sentirsi guariti a un anno è stata del 95% sia operando subito sia aspettando; la differenza è stata la velocità, e il 39% di chi aspettava si è operato lo stesso (Peul,</w:t>
      </w:r>
      <w:r>
        <w:t xml:space="preserve"> </w:t>
      </w:r>
      <w:r>
        <w:rPr>
          <w:i/>
          <w:iCs/>
        </w:rPr>
        <w:t xml:space="preserve">N Engl J Med</w:t>
      </w:r>
      <w:r>
        <w:t xml:space="preserve"> </w:t>
      </w:r>
      <w:r>
        <w:t xml:space="preserve">2007, PMID 17538084). Questo ti autorizza a dare un orizzonte vero invece di una rassicurazione vuota. Non ti autorizza a dire che eviterà l’intervento: nessuno ha confrontato la nostra strada con quella.</w:t>
      </w:r>
    </w:p>
    <w:p>
      <w:r>
        <w:pict>
          <v:rect style="width:0;height:1.5pt" o:hralign="center" o:hrstd="t" o:hr="t"/>
        </w:pict>
      </w:r>
    </w:p>
    <w:bookmarkEnd w:id="74"/>
    <w:bookmarkEnd w:id="75"/>
    <w:bookmarkStart w:id="76" w:name="capitolo-14-cosa-fare-adesso"/>
    <w:p>
      <w:pPr>
        <w:pStyle w:val="Heading2"/>
      </w:pPr>
      <w:r>
        <w:t xml:space="preserve">Capitolo 14 — Cosa fare adesso</w:t>
      </w:r>
    </w:p>
    <w:p>
      <w:pPr>
        <w:pStyle w:val="BlockText"/>
      </w:pPr>
      <w:r>
        <w:rPr>
          <w:b/>
          <w:bCs/>
        </w:rPr>
        <w:t xml:space="preserve">In una riga:</w:t>
      </w:r>
      <w:r>
        <w:t xml:space="preserve"> </w:t>
      </w:r>
      <w:r>
        <w:t xml:space="preserve">qui la tua credibilità non viene da quello che prometti, viene dalla misura che scegli prima di toccare.</w:t>
      </w:r>
    </w:p>
    <w:p>
      <w:pPr>
        <w:pStyle w:val="FirstParagraph"/>
      </w:pPr>
      <w:r>
        <w:t xml:space="preserve">Ti arriva una persona che non trova una posizione e che si alza alle tre di notte. Il nervo che le fa male è schiacciato e infiammato in un punto, e da lì comincia a mandare segnali di suo: per questo brucia anche da ferma. Prima di arrivare alla gamba quel nervo attraversa tre strettoie, e in una parte di questi pazienti quella che conta non è nel canale. Quello che si rompe per primo non è la lunghezza del nervo, è il suo scorrimento, e lo scorrimento non compare in nessun referto. Hai una leva su tutti e cinque i meccanismi, con etichette che vanno da PROBABILE a IPOTESI e mai oltre. Intanto la sintesi più ampia al mondo non trova differenza fra i trattamenti come il tuo e i controlli. Il campo finisce dove il dolore smette di comportarsi come dolore meccanico, e lì il tuo valore è la velocità.</w:t>
      </w:r>
    </w:p>
    <w:p>
      <w:pPr>
        <w:pStyle w:val="BodyText"/>
      </w:pPr>
      <w:r>
        <w:rPr>
          <w:b/>
          <w:bCs/>
        </w:rPr>
        <w:t xml:space="preserve">Le tre cose che cambi da lunedì</w:t>
      </w:r>
    </w:p>
    <w:p>
      <w:pPr>
        <w:pStyle w:val="Compact"/>
        <w:numPr>
          <w:ilvl w:val="0"/>
          <w:numId w:val="1030"/>
        </w:numPr>
      </w:pPr>
      <w:r>
        <w:rPr>
          <w:b/>
          <w:bCs/>
        </w:rPr>
        <w:t xml:space="preserve">Guarda dove compare il sintomo, non fin dove arriva la gamba.</w:t>
      </w:r>
      <w:r>
        <w:t xml:space="preserve"> </w:t>
      </w:r>
      <w:r>
        <w:t xml:space="preserve">Segna i gradi in cartella prima di toccare, insieme a forza e sensibilità del territorio, in ogni paziente con dolore che scende.</w:t>
      </w:r>
    </w:p>
    <w:p>
      <w:pPr>
        <w:pStyle w:val="Compact"/>
        <w:numPr>
          <w:ilvl w:val="0"/>
          <w:numId w:val="1030"/>
        </w:numPr>
      </w:pPr>
      <w:r>
        <w:rPr>
          <w:b/>
          <w:bCs/>
        </w:rPr>
        <w:t xml:space="preserve">Di’ che sette ernie grosse su dieci si riassorbono da sole</w:t>
      </w:r>
      <w:r>
        <w:t xml:space="preserve"> </w:t>
      </w:r>
      <w:r>
        <w:t xml:space="preserve">— e nella stessa frase perché la risonanza serve lo stesso.</w:t>
      </w:r>
    </w:p>
    <w:p>
      <w:pPr>
        <w:pStyle w:val="Compact"/>
        <w:numPr>
          <w:ilvl w:val="0"/>
          <w:numId w:val="1030"/>
        </w:numPr>
      </w:pPr>
      <w:r>
        <w:rPr>
          <w:b/>
          <w:bCs/>
        </w:rPr>
        <w:t xml:space="preserve">Smetti di promettere che eviterà l’intervento.</w:t>
      </w:r>
      <w:r>
        <w:t xml:space="preserve"> </w:t>
      </w:r>
      <w:r>
        <w:t xml:space="preserve">Prometti una misura e una data in cui la riguarderete insieme.</w:t>
      </w:r>
    </w:p>
    <w:p>
      <w:pPr>
        <w:pStyle w:val="FirstParagraph"/>
      </w:pPr>
      <w:r>
        <w:rPr>
          <w:b/>
          <w:bCs/>
        </w:rPr>
        <w:t xml:space="preserve">Quando sei autonomo</w:t>
      </w:r>
    </w:p>
    <w:p>
      <w:pPr>
        <w:pStyle w:val="BodyText"/>
      </w:pPr>
      <w:r>
        <w:t xml:space="preserve">Tre prove, e nessuna si supera a memoria.</w:t>
      </w:r>
    </w:p>
    <w:p>
      <w:pPr>
        <w:pStyle w:val="Compact"/>
        <w:numPr>
          <w:ilvl w:val="0"/>
          <w:numId w:val="1031"/>
        </w:numPr>
      </w:pPr>
      <w:r>
        <w:t xml:space="preserve">Distingui senza esitare il gluteo dal radicolare discale e dall’anca: limitata in tutti i piani e dolorosa in inguine è anca, punto profondo con SLR positivo è il percorso del nervo.</w:t>
      </w:r>
    </w:p>
    <w:p>
      <w:pPr>
        <w:pStyle w:val="Compact"/>
        <w:numPr>
          <w:ilvl w:val="0"/>
          <w:numId w:val="1031"/>
        </w:numPr>
      </w:pPr>
      <w:r>
        <w:t xml:space="preserve">Riconosci</w:t>
      </w:r>
      <w:r>
        <w:t xml:space="preserve"> </w:t>
      </w:r>
      <w:r>
        <w:rPr>
          <w:b/>
          <w:bCs/>
        </w:rPr>
        <w:t xml:space="preserve">prima di iniziare</w:t>
      </w:r>
      <w:r>
        <w:t xml:space="preserve"> </w:t>
      </w:r>
      <w:r>
        <w:t xml:space="preserve">il paziente su cui puoi poco — stenosi del recesso, deficit che progredisce, quadro con segni centrali — e glielo dici.</w:t>
      </w:r>
    </w:p>
    <w:p>
      <w:pPr>
        <w:pStyle w:val="Compact"/>
        <w:numPr>
          <w:ilvl w:val="0"/>
          <w:numId w:val="1031"/>
        </w:numPr>
      </w:pPr>
      <w:r>
        <w:t xml:space="preserve">Sai dire a un medico cosa possiamo e cosa non possiamo affermare su questa condizione, senza riaprire il documento.</w:t>
      </w:r>
    </w:p>
    <w:p>
      <w:pPr>
        <w:pStyle w:val="FirstParagraph"/>
      </w:pPr>
      <w:r>
        <w:rPr>
          <w:i/>
          <w:iCs/>
        </w:rPr>
        <w:t xml:space="preserve">Nessuno può dirti che il tuo lavoro funziona su questa condizione. Puoi dirti che su questo paziente la tua ipotesi non è stata falsificata, se hai scelto prima cosa avresti guardato e hai accettato il verdetto. È un mestiere più stretto di quello che ti hanno raccontato, e più difendibile.</w:t>
      </w:r>
    </w:p>
    <w:p>
      <w:pPr>
        <w:pStyle w:val="BodyText"/>
      </w:pPr>
      <w:r>
        <w:rPr>
          <w:b/>
          <w:bCs/>
        </w:rPr>
        <w:t xml:space="preserve">Le tre cose da ricordare, più una</w:t>
      </w:r>
    </w:p>
    <w:p>
      <w:pPr>
        <w:pStyle w:val="Compact"/>
        <w:numPr>
          <w:ilvl w:val="0"/>
          <w:numId w:val="1032"/>
        </w:numPr>
      </w:pPr>
      <w:r>
        <w:t xml:space="preserve">Misura i gradi di comparsa del sintomo, e la forza del muscolo indicatore, prima di trattare.</w:t>
      </w:r>
    </w:p>
    <w:p>
      <w:pPr>
        <w:pStyle w:val="Compact"/>
        <w:numPr>
          <w:ilvl w:val="0"/>
          <w:numId w:val="1032"/>
        </w:numPr>
      </w:pPr>
      <w:r>
        <w:t xml:space="preserve">Di’ al paziente cosa non spiega il suo referto, e perché serve lo stesso.</w:t>
      </w:r>
    </w:p>
    <w:p>
      <w:pPr>
        <w:pStyle w:val="Compact"/>
        <w:numPr>
          <w:ilvl w:val="0"/>
          <w:numId w:val="1032"/>
        </w:numPr>
      </w:pPr>
      <w:r>
        <w:t xml:space="preserve">Smetti di promettere un intervento evitato: prometti una misura e una data.</w:t>
      </w:r>
    </w:p>
    <w:p>
      <w:pPr>
        <w:pStyle w:val="Compact"/>
        <w:numPr>
          <w:ilvl w:val="0"/>
          <w:numId w:val="1032"/>
        </w:numPr>
      </w:pPr>
      <w:r>
        <w:rPr>
          <w:b/>
          <w:bCs/>
        </w:rPr>
        <w:t xml:space="preserve">Perché ci sei tu.</w:t>
      </w:r>
      <w:r>
        <w:t xml:space="preserve"> </w:t>
      </w:r>
      <w:r>
        <w:t xml:space="preserve">Su 609 pazienti seguiti per un anno dal medico di base, poco più della metà è migliorata, e fra i fattori che predicono un esito peggiore c’è la convinzione che il recupero sarà lungo (Konstantinou,</w:t>
      </w:r>
      <w:r>
        <w:t xml:space="preserve"> </w:t>
      </w:r>
      <w:r>
        <w:rPr>
          <w:i/>
          <w:iCs/>
        </w:rPr>
        <w:t xml:space="preserve">Spine J</w:t>
      </w:r>
      <w:r>
        <w:t xml:space="preserve"> </w:t>
      </w:r>
      <w:r>
        <w:t xml:space="preserve">2018, PMID 29174459). Questo ti autorizza a trattare quella convinzione come parte del quadro clinico. Non ti autorizza a chiamarla componente psicologica: è un fattore prognostico misurato.</w:t>
      </w:r>
    </w:p>
    <w:p>
      <w:r>
        <w:pict>
          <v:rect style="width:0;height:1.5pt" o:hralign="center" o:hrstd="t" o:hr="t"/>
        </w:pict>
      </w:r>
    </w:p>
    <w:bookmarkEnd w:id="76"/>
    <w:bookmarkStart w:id="77" w:name="appendice-a-glossario"/>
    <w:p>
      <w:pPr>
        <w:pStyle w:val="Heading2"/>
      </w:pPr>
      <w:r>
        <w:t xml:space="preserve">Appendice A — Glossario</w:t>
      </w:r>
    </w:p>
    <w:p>
      <w:pPr>
        <w:pStyle w:val="Compact"/>
        <w:numPr>
          <w:ilvl w:val="0"/>
          <w:numId w:val="1033"/>
        </w:numPr>
      </w:pPr>
      <w:r>
        <w:rPr>
          <w:b/>
          <w:bCs/>
        </w:rPr>
        <w:t xml:space="preserve">Algometro</w:t>
      </w:r>
      <w:r>
        <w:t xml:space="preserve"> </w:t>
      </w:r>
      <w:r>
        <w:t xml:space="preserve">— Strumento che misura la pressione alla quale un tocco diventa doloroso.</w:t>
      </w:r>
    </w:p>
    <w:p>
      <w:pPr>
        <w:pStyle w:val="Compact"/>
        <w:numPr>
          <w:ilvl w:val="0"/>
          <w:numId w:val="1033"/>
        </w:numPr>
      </w:pPr>
      <w:r>
        <w:rPr>
          <w:b/>
          <w:bCs/>
        </w:rPr>
        <w:t xml:space="preserve">Anello fibroso</w:t>
      </w:r>
      <w:r>
        <w:t xml:space="preserve"> </w:t>
      </w:r>
      <w:r>
        <w:t xml:space="preserve">— La corona di fibre che circonda il nucleo del disco e lo tiene dentro.</w:t>
      </w:r>
    </w:p>
    <w:p>
      <w:pPr>
        <w:pStyle w:val="Compact"/>
        <w:numPr>
          <w:ilvl w:val="0"/>
          <w:numId w:val="1033"/>
        </w:numPr>
      </w:pPr>
      <w:r>
        <w:rPr>
          <w:b/>
          <w:bCs/>
        </w:rPr>
        <w:t xml:space="preserve">Bulging</w:t>
      </w:r>
      <w:r>
        <w:t xml:space="preserve"> </w:t>
      </w:r>
      <w:r>
        <w:t xml:space="preserve">— Il disco sporge in modo largo e uniforme oltre il bordo della vertebra, senza una vera ernia.</w:t>
      </w:r>
    </w:p>
    <w:p>
      <w:pPr>
        <w:pStyle w:val="Compact"/>
        <w:numPr>
          <w:ilvl w:val="0"/>
          <w:numId w:val="1033"/>
        </w:numPr>
      </w:pPr>
      <w:r>
        <w:rPr>
          <w:b/>
          <w:bCs/>
        </w:rPr>
        <w:t xml:space="preserve">Capacità di adattamento</w:t>
      </w:r>
      <w:r>
        <w:t xml:space="preserve"> </w:t>
      </w:r>
      <w:r>
        <w:t xml:space="preserve">— Il margine di aggiustamento che un sistema ha prima che compaia il sintomo.</w:t>
      </w:r>
    </w:p>
    <w:p>
      <w:pPr>
        <w:pStyle w:val="Compact"/>
        <w:numPr>
          <w:ilvl w:val="0"/>
          <w:numId w:val="1033"/>
        </w:numPr>
      </w:pPr>
      <w:r>
        <w:rPr>
          <w:b/>
          <w:bCs/>
        </w:rPr>
        <w:t xml:space="preserve">Catena</w:t>
      </w:r>
      <w:r>
        <w:t xml:space="preserve"> </w:t>
      </w:r>
      <w:r>
        <w:t xml:space="preserve">— Un insieme di strutture collegate che si influenzano a distanza, per continuità meccanica o per via nervosa.</w:t>
      </w:r>
    </w:p>
    <w:p>
      <w:pPr>
        <w:pStyle w:val="Compact"/>
        <w:numPr>
          <w:ilvl w:val="0"/>
          <w:numId w:val="1033"/>
        </w:numPr>
      </w:pPr>
      <w:r>
        <w:rPr>
          <w:b/>
          <w:bCs/>
        </w:rPr>
        <w:t xml:space="preserve">Cauda equina</w:t>
      </w:r>
      <w:r>
        <w:t xml:space="preserve"> </w:t>
      </w:r>
      <w:r>
        <w:t xml:space="preserve">— Il fascio di radici nervose sotto la fine del midollo. La sua compressione è un’emergenza chirurgica.</w:t>
      </w:r>
    </w:p>
    <w:p>
      <w:pPr>
        <w:pStyle w:val="Compact"/>
        <w:numPr>
          <w:ilvl w:val="0"/>
          <w:numId w:val="1033"/>
        </w:numPr>
      </w:pPr>
      <w:r>
        <w:rPr>
          <w:b/>
          <w:bCs/>
        </w:rPr>
        <w:t xml:space="preserve">Centro di Coordinazione (CC)</w:t>
      </w:r>
      <w:r>
        <w:t xml:space="preserve"> </w:t>
      </w:r>
      <w:r>
        <w:t xml:space="preserve">— Il punto che governa un segmento di movimento e che, nella ricostruzione clinica, ha innescato il resto: è quello che si tratta.</w:t>
      </w:r>
    </w:p>
    <w:p>
      <w:pPr>
        <w:pStyle w:val="Compact"/>
        <w:numPr>
          <w:ilvl w:val="0"/>
          <w:numId w:val="1033"/>
        </w:numPr>
      </w:pPr>
      <w:r>
        <w:rPr>
          <w:b/>
          <w:bCs/>
        </w:rPr>
        <w:t xml:space="preserve">Centro di Percezione (CP)</w:t>
      </w:r>
      <w:r>
        <w:t xml:space="preserve"> </w:t>
      </w:r>
      <w:r>
        <w:t xml:space="preserve">— Il punto in cui il paziente sente il dolore. Non è il bersaglio del trattamento.</w:t>
      </w:r>
    </w:p>
    <w:p>
      <w:pPr>
        <w:pStyle w:val="Compact"/>
        <w:numPr>
          <w:ilvl w:val="0"/>
          <w:numId w:val="1033"/>
        </w:numPr>
      </w:pPr>
      <w:r>
        <w:rPr>
          <w:b/>
          <w:bCs/>
        </w:rPr>
        <w:t xml:space="preserve">Cerniera dorso-lombare</w:t>
      </w:r>
      <w:r>
        <w:t xml:space="preserve"> </w:t>
      </w:r>
      <w:r>
        <w:t xml:space="preserve">— Il passaggio fra le ultime vertebre dorsali e le prime lombari, dove la colonna cambia mestiere.</w:t>
      </w:r>
    </w:p>
    <w:p>
      <w:pPr>
        <w:pStyle w:val="Compact"/>
        <w:numPr>
          <w:ilvl w:val="0"/>
          <w:numId w:val="1033"/>
        </w:numPr>
      </w:pPr>
      <w:r>
        <w:rPr>
          <w:b/>
          <w:bCs/>
        </w:rPr>
        <w:t xml:space="preserve">Claudicatio</w:t>
      </w:r>
      <w:r>
        <w:t xml:space="preserve"> </w:t>
      </w:r>
      <w:r>
        <w:t xml:space="preserve">— Dolore o pesantezza alla gamba che compare camminando e passa fermandosi.</w:t>
      </w:r>
    </w:p>
    <w:p>
      <w:pPr>
        <w:pStyle w:val="Compact"/>
        <w:numPr>
          <w:ilvl w:val="0"/>
          <w:numId w:val="1033"/>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33"/>
        </w:numPr>
      </w:pPr>
      <w:r>
        <w:rPr>
          <w:b/>
          <w:bCs/>
        </w:rPr>
        <w:t xml:space="preserve">Conduttanza cutanea</w:t>
      </w:r>
      <w:r>
        <w:t xml:space="preserve"> </w:t>
      </w:r>
      <w:r>
        <w:t xml:space="preserve">— Misura della sudorazione della pelle, indice di attivazione del solo ramo simpatico sudomotorio.</w:t>
      </w:r>
    </w:p>
    <w:p>
      <w:pPr>
        <w:pStyle w:val="Compact"/>
        <w:numPr>
          <w:ilvl w:val="0"/>
          <w:numId w:val="1033"/>
        </w:numPr>
      </w:pPr>
      <w:r>
        <w:rPr>
          <w:b/>
          <w:bCs/>
        </w:rPr>
        <w:t xml:space="preserve">Confidenza molto bassa</w:t>
      </w:r>
      <w:r>
        <w:t xml:space="preserve"> </w:t>
      </w:r>
      <w:r>
        <w:t xml:space="preserve">— Gli autori della sintesi dichiarano che il risultato potrebbe cambiare con il prossimo studio.</w:t>
      </w:r>
    </w:p>
    <w:p>
      <w:pPr>
        <w:pStyle w:val="Compact"/>
        <w:numPr>
          <w:ilvl w:val="0"/>
          <w:numId w:val="1033"/>
        </w:numPr>
      </w:pPr>
      <w:r>
        <w:rPr>
          <w:b/>
          <w:bCs/>
        </w:rPr>
        <w:t xml:space="preserve">Differenziazione strutturale</w:t>
      </w:r>
      <w:r>
        <w:t xml:space="preserve"> </w:t>
      </w:r>
      <w:r>
        <w:t xml:space="preserve">— Manovra che muove un’articolazione lontana tenendo ferma la posizione di prova, per capire se il sintomo viene dal nervo o dai tessuti locali.</w:t>
      </w:r>
    </w:p>
    <w:p>
      <w:pPr>
        <w:pStyle w:val="Compact"/>
        <w:numPr>
          <w:ilvl w:val="0"/>
          <w:numId w:val="1033"/>
        </w:numPr>
      </w:pPr>
      <w:r>
        <w:rPr>
          <w:b/>
          <w:bCs/>
        </w:rPr>
        <w:t xml:space="preserve">DIMOSTRATO</w:t>
      </w:r>
      <w:r>
        <w:t xml:space="preserve"> </w:t>
      </w:r>
      <w:r>
        <w:t xml:space="preserve">— Etichetta di solidità: studi sull’uomo, solidi.</w:t>
      </w:r>
    </w:p>
    <w:p>
      <w:pPr>
        <w:pStyle w:val="Compact"/>
        <w:numPr>
          <w:ilvl w:val="0"/>
          <w:numId w:val="1033"/>
        </w:numPr>
      </w:pPr>
      <w:r>
        <w:rPr>
          <w:b/>
          <w:bCs/>
        </w:rPr>
        <w:t xml:space="preserve">Disfunzione somatica</w:t>
      </w:r>
      <w:r>
        <w:t xml:space="preserve"> </w:t>
      </w:r>
      <w:r>
        <w:t xml:space="preserve">— Un’alterazione della funzione di una parte del sistema muscolo-scheletrico e delle strutture collegate, riconoscibile all’esame manuale. Non è una diagnosi di malattia.</w:t>
      </w:r>
    </w:p>
    <w:p>
      <w:pPr>
        <w:pStyle w:val="Compact"/>
        <w:numPr>
          <w:ilvl w:val="0"/>
          <w:numId w:val="1033"/>
        </w:numPr>
      </w:pPr>
      <w:r>
        <w:rPr>
          <w:b/>
          <w:bCs/>
        </w:rPr>
        <w:t xml:space="preserve">Dolore neuropatico</w:t>
      </w:r>
      <w:r>
        <w:t xml:space="preserve"> </w:t>
      </w:r>
      <w:r>
        <w:t xml:space="preserve">— Dolore generato da una lesione o malattia del sistema nervoso.</w:t>
      </w:r>
    </w:p>
    <w:p>
      <w:pPr>
        <w:pStyle w:val="Compact"/>
        <w:numPr>
          <w:ilvl w:val="0"/>
          <w:numId w:val="1033"/>
        </w:numPr>
      </w:pPr>
      <w:r>
        <w:rPr>
          <w:b/>
          <w:bCs/>
        </w:rPr>
        <w:t xml:space="preserve">Dolore nocicettivo</w:t>
      </w:r>
      <w:r>
        <w:t xml:space="preserve"> </w:t>
      </w:r>
      <w:r>
        <w:t xml:space="preserve">— Dolore generato da un tessuto sofferente, con il sistema che funziona.</w:t>
      </w:r>
    </w:p>
    <w:p>
      <w:pPr>
        <w:pStyle w:val="Compact"/>
        <w:numPr>
          <w:ilvl w:val="0"/>
          <w:numId w:val="1033"/>
        </w:numPr>
      </w:pPr>
      <w:r>
        <w:rPr>
          <w:b/>
          <w:bCs/>
        </w:rPr>
        <w:t xml:space="preserve">Dolore radicolare</w:t>
      </w:r>
      <w:r>
        <w:t xml:space="preserve"> </w:t>
      </w:r>
      <w:r>
        <w:t xml:space="preserve">— Dolore generato da una radice irritata o dal suo ganglio, che segue una linea stretta.</w:t>
      </w:r>
    </w:p>
    <w:p>
      <w:pPr>
        <w:pStyle w:val="Compact"/>
        <w:numPr>
          <w:ilvl w:val="0"/>
          <w:numId w:val="1033"/>
        </w:numPr>
      </w:pPr>
      <w:r>
        <w:rPr>
          <w:b/>
          <w:bCs/>
        </w:rPr>
        <w:t xml:space="preserve">Dolore riferito somatico</w:t>
      </w:r>
      <w:r>
        <w:t xml:space="preserve"> </w:t>
      </w:r>
      <w:r>
        <w:t xml:space="preserve">— Dolore percepito lontano dalla struttura che lo genera, senza che nessun nervo sia sofferente.</w:t>
      </w:r>
    </w:p>
    <w:p>
      <w:pPr>
        <w:pStyle w:val="Compact"/>
        <w:numPr>
          <w:ilvl w:val="0"/>
          <w:numId w:val="1033"/>
        </w:numPr>
      </w:pPr>
      <w:r>
        <w:rPr>
          <w:b/>
          <w:bCs/>
        </w:rPr>
        <w:t xml:space="preserve">Elettromiografia</w:t>
      </w:r>
      <w:r>
        <w:t xml:space="preserve"> </w:t>
      </w:r>
      <w:r>
        <w:t xml:space="preserve">— Esame che misura come il muscolo e il nervo conducono il segnale elettrico.</w:t>
      </w:r>
    </w:p>
    <w:p>
      <w:pPr>
        <w:pStyle w:val="Compact"/>
        <w:numPr>
          <w:ilvl w:val="0"/>
          <w:numId w:val="1033"/>
        </w:numPr>
      </w:pPr>
      <w:r>
        <w:rPr>
          <w:b/>
          <w:bCs/>
        </w:rPr>
        <w:t xml:space="preserve">Estrusione</w:t>
      </w:r>
      <w:r>
        <w:t xml:space="preserve"> </w:t>
      </w:r>
      <w:r>
        <w:t xml:space="preserve">— Il materiale del nucleo esce oltre l’anello fibroso.</w:t>
      </w:r>
    </w:p>
    <w:p>
      <w:pPr>
        <w:pStyle w:val="Compact"/>
        <w:numPr>
          <w:ilvl w:val="0"/>
          <w:numId w:val="1033"/>
        </w:numPr>
      </w:pPr>
      <w:r>
        <w:rPr>
          <w:b/>
          <w:bCs/>
        </w:rPr>
        <w:t xml:space="preserve">Eterogeneità</w:t>
      </w:r>
      <w:r>
        <w:t xml:space="preserve"> </w:t>
      </w:r>
      <w:r>
        <w:t xml:space="preserve">— Quanto i risultati degli studi messi insieme in una sintesi differiscono fra loro. Alta eterogeneità vuol dire che la media rappresenta poco.</w:t>
      </w:r>
    </w:p>
    <w:p>
      <w:pPr>
        <w:pStyle w:val="Compact"/>
        <w:numPr>
          <w:ilvl w:val="0"/>
          <w:numId w:val="1033"/>
        </w:numPr>
      </w:pPr>
      <w:r>
        <w:rPr>
          <w:b/>
          <w:bCs/>
        </w:rPr>
        <w:t xml:space="preserve">Forame di coniugazione</w:t>
      </w:r>
      <w:r>
        <w:t xml:space="preserve"> </w:t>
      </w:r>
      <w:r>
        <w:t xml:space="preserve">— La finestra ossea da cui la radice nervosa esce dalla colonna.</w:t>
      </w:r>
    </w:p>
    <w:p>
      <w:pPr>
        <w:pStyle w:val="Compact"/>
        <w:numPr>
          <w:ilvl w:val="0"/>
          <w:numId w:val="1033"/>
        </w:numPr>
      </w:pPr>
      <w:r>
        <w:rPr>
          <w:b/>
          <w:bCs/>
        </w:rPr>
        <w:t xml:space="preserve">g (dimensione dell’effetto)</w:t>
      </w:r>
      <w:r>
        <w:t xml:space="preserve"> </w:t>
      </w:r>
      <w:r>
        <w:t xml:space="preserve">— Numero che dice quanto è grande una differenza fra due gruppi, indipendentemente dall’unità di misura. Attorno a 0,2 è piccola, a 0,5 media, sopra 0,8 grande.</w:t>
      </w:r>
    </w:p>
    <w:p>
      <w:pPr>
        <w:pStyle w:val="Compact"/>
        <w:numPr>
          <w:ilvl w:val="0"/>
          <w:numId w:val="1033"/>
        </w:numPr>
      </w:pPr>
      <w:r>
        <w:rPr>
          <w:b/>
          <w:bCs/>
        </w:rPr>
        <w:t xml:space="preserve">Gabapentinoide</w:t>
      </w:r>
      <w:r>
        <w:t xml:space="preserve"> </w:t>
      </w:r>
      <w:r>
        <w:t xml:space="preserve">— Farmaco per il dolore da nervo, come pregabalin o gabapentin.</w:t>
      </w:r>
    </w:p>
    <w:p>
      <w:pPr>
        <w:pStyle w:val="Compact"/>
        <w:numPr>
          <w:ilvl w:val="0"/>
          <w:numId w:val="1033"/>
        </w:numPr>
      </w:pPr>
      <w:r>
        <w:rPr>
          <w:b/>
          <w:bCs/>
        </w:rPr>
        <w:t xml:space="preserve">Ganglio della radice dorsale</w:t>
      </w:r>
      <w:r>
        <w:t xml:space="preserve"> </w:t>
      </w:r>
      <w:r>
        <w:t xml:space="preserve">— Il gruppo di corpi cellulari dei neuroni sensitivi, alloggiato dentro il forame.</w:t>
      </w:r>
    </w:p>
    <w:p>
      <w:pPr>
        <w:pStyle w:val="Compact"/>
        <w:numPr>
          <w:ilvl w:val="0"/>
          <w:numId w:val="1033"/>
        </w:numPr>
      </w:pPr>
      <w:r>
        <w:rPr>
          <w:b/>
          <w:bCs/>
        </w:rPr>
        <w:t xml:space="preserve">Ipoalgesia</w:t>
      </w:r>
      <w:r>
        <w:t xml:space="preserve"> </w:t>
      </w:r>
      <w:r>
        <w:t xml:space="preserve">— Riduzione della sensibilità al dolore: la stessa pressione fa meno male di prima.</w:t>
      </w:r>
    </w:p>
    <w:p>
      <w:pPr>
        <w:pStyle w:val="Compact"/>
        <w:numPr>
          <w:ilvl w:val="0"/>
          <w:numId w:val="1033"/>
        </w:numPr>
      </w:pPr>
      <w:r>
        <w:rPr>
          <w:b/>
          <w:bCs/>
        </w:rPr>
        <w:t xml:space="preserve">Ipoestesia</w:t>
      </w:r>
      <w:r>
        <w:t xml:space="preserve"> </w:t>
      </w:r>
      <w:r>
        <w:t xml:space="preserve">— Riduzione della sensibilità in una zona di pelle.</w:t>
      </w:r>
    </w:p>
    <w:p>
      <w:pPr>
        <w:pStyle w:val="Compact"/>
        <w:numPr>
          <w:ilvl w:val="0"/>
          <w:numId w:val="1033"/>
        </w:numPr>
      </w:pPr>
      <w:r>
        <w:rPr>
          <w:b/>
          <w:bCs/>
        </w:rPr>
        <w:t xml:space="preserve">IPOTESI</w:t>
      </w:r>
      <w:r>
        <w:t xml:space="preserve"> </w:t>
      </w:r>
      <w:r>
        <w:t xml:space="preserve">— Etichetta di solidità: meccanismo coerente, nessuno studio.</w:t>
      </w:r>
    </w:p>
    <w:p>
      <w:pPr>
        <w:pStyle w:val="Compact"/>
        <w:numPr>
          <w:ilvl w:val="0"/>
          <w:numId w:val="1033"/>
        </w:numPr>
      </w:pPr>
      <w:r>
        <w:rPr>
          <w:b/>
          <w:bCs/>
        </w:rPr>
        <w:t xml:space="preserve">Livello di attivazione</w:t>
      </w:r>
      <w:r>
        <w:t xml:space="preserve"> </w:t>
      </w:r>
      <w:r>
        <w:t xml:space="preserve">— Quanto il sistema nervoso di questo paziente sta segnalando pericolo in generale, indipendentemente dal reperto.</w:t>
      </w:r>
    </w:p>
    <w:p>
      <w:pPr>
        <w:pStyle w:val="Compact"/>
        <w:numPr>
          <w:ilvl w:val="0"/>
          <w:numId w:val="1033"/>
        </w:numPr>
      </w:pPr>
      <w:r>
        <w:rPr>
          <w:b/>
          <w:bCs/>
        </w:rPr>
        <w:t xml:space="preserve">LR+ (rapporto di verosimiglianza positivo)</w:t>
      </w:r>
      <w:r>
        <w:t xml:space="preserve"> </w:t>
      </w:r>
      <w:r>
        <w:t xml:space="preserve">— Di quante volte un segno positivo rende più probabile la condizione. Sopra 10 è un segno che cambia la decisione.</w:t>
      </w:r>
    </w:p>
    <w:p>
      <w:pPr>
        <w:pStyle w:val="Compact"/>
        <w:numPr>
          <w:ilvl w:val="0"/>
          <w:numId w:val="1033"/>
        </w:numPr>
      </w:pPr>
      <w:r>
        <w:rPr>
          <w:b/>
          <w:bCs/>
        </w:rPr>
        <w:t xml:space="preserve">Manicotto durale</w:t>
      </w:r>
      <w:r>
        <w:t xml:space="preserve"> </w:t>
      </w:r>
      <w:r>
        <w:t xml:space="preserve">— Il prolungamento della dura madre che avvolge la radice nervosa per un tratto.</w:t>
      </w:r>
    </w:p>
    <w:p>
      <w:pPr>
        <w:pStyle w:val="Compact"/>
        <w:numPr>
          <w:ilvl w:val="0"/>
          <w:numId w:val="1033"/>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3"/>
        </w:numPr>
      </w:pPr>
      <w:r>
        <w:rPr>
          <w:b/>
          <w:bCs/>
        </w:rPr>
        <w:t xml:space="preserve">Meccanismi centrali</w:t>
      </w:r>
      <w:r>
        <w:t xml:space="preserve"> </w:t>
      </w:r>
      <w:r>
        <w:t xml:space="preserve">— Amplificazione del segnale nel sistema nervoso centrale, riconoscibile da ipersensibilità diffusa e modulazione del dolore compromessa.</w:t>
      </w:r>
    </w:p>
    <w:p>
      <w:pPr>
        <w:pStyle w:val="Compact"/>
        <w:numPr>
          <w:ilvl w:val="0"/>
          <w:numId w:val="1033"/>
        </w:numPr>
      </w:pPr>
      <w:r>
        <w:rPr>
          <w:b/>
          <w:bCs/>
        </w:rPr>
        <w:t xml:space="preserve">Meccanosensibilità neurale accresciuta</w:t>
      </w:r>
      <w:r>
        <w:t xml:space="preserve"> </w:t>
      </w:r>
      <w:r>
        <w:t xml:space="preserve">— Condizione in cui il tronco nervoso risponde con dolore a una trazione o a una pressione che prima non contava.</w:t>
      </w:r>
    </w:p>
    <w:p>
      <w:pPr>
        <w:pStyle w:val="Compact"/>
        <w:numPr>
          <w:ilvl w:val="0"/>
          <w:numId w:val="1033"/>
        </w:numPr>
      </w:pPr>
      <w:r>
        <w:rPr>
          <w:b/>
          <w:bCs/>
        </w:rPr>
        <w:t xml:space="preserve">Mobilizzazione neurale</w:t>
      </w:r>
      <w:r>
        <w:t xml:space="preserve"> </w:t>
      </w:r>
      <w:r>
        <w:t xml:space="preserve">— Insieme di manovre che muovono il nervo lungo il suo percorso, per scorrimento o per tensione.</w:t>
      </w:r>
    </w:p>
    <w:p>
      <w:pPr>
        <w:pStyle w:val="Compact"/>
        <w:numPr>
          <w:ilvl w:val="0"/>
          <w:numId w:val="1033"/>
        </w:numPr>
      </w:pPr>
      <w:r>
        <w:rPr>
          <w:b/>
          <w:bCs/>
        </w:rPr>
        <w:t xml:space="preserve">MPa (megapascal)</w:t>
      </w:r>
      <w:r>
        <w:t xml:space="preserve"> </w:t>
      </w:r>
      <w:r>
        <w:t xml:space="preserve">— Unità di pressione usata per misurare quanto carico c’è dentro un disco.</w:t>
      </w:r>
    </w:p>
    <w:p>
      <w:pPr>
        <w:pStyle w:val="Compact"/>
        <w:numPr>
          <w:ilvl w:val="0"/>
          <w:numId w:val="1033"/>
        </w:numPr>
      </w:pPr>
      <w:r>
        <w:rPr>
          <w:b/>
          <w:bCs/>
        </w:rPr>
        <w:t xml:space="preserve">MRC</w:t>
      </w:r>
      <w:r>
        <w:t xml:space="preserve"> </w:t>
      </w:r>
      <w:r>
        <w:t xml:space="preserve">— Scala a sei gradi (0-5) con cui si gradua la forza di un muscolo.</w:t>
      </w:r>
    </w:p>
    <w:p>
      <w:pPr>
        <w:pStyle w:val="Compact"/>
        <w:numPr>
          <w:ilvl w:val="0"/>
          <w:numId w:val="1033"/>
        </w:numPr>
      </w:pPr>
      <w:r>
        <w:rPr>
          <w:b/>
          <w:bCs/>
        </w:rPr>
        <w:t xml:space="preserve">OR (odds ratio)</w:t>
      </w:r>
      <w:r>
        <w:t xml:space="preserve"> </w:t>
      </w:r>
      <w:r>
        <w:t xml:space="preserve">— Di quanto è più probabile un evento in chi ha un fattore rispetto a chi non ce l’ha. 1,0 vuol dire nessuna differenza.</w:t>
      </w:r>
    </w:p>
    <w:p>
      <w:pPr>
        <w:pStyle w:val="Compact"/>
        <w:numPr>
          <w:ilvl w:val="0"/>
          <w:numId w:val="1033"/>
        </w:numPr>
      </w:pPr>
      <w:r>
        <w:rPr>
          <w:b/>
          <w:bCs/>
        </w:rPr>
        <w:t xml:space="preserve">Oswestry</w:t>
      </w:r>
      <w:r>
        <w:t xml:space="preserve"> </w:t>
      </w:r>
      <w:r>
        <w:t xml:space="preserve">— Questionario che misura quanto il mal di schiena limita le attività, da 0 a 100.</w:t>
      </w:r>
    </w:p>
    <w:p>
      <w:pPr>
        <w:pStyle w:val="Compact"/>
        <w:numPr>
          <w:ilvl w:val="0"/>
          <w:numId w:val="1033"/>
        </w:numPr>
      </w:pPr>
      <w:r>
        <w:rPr>
          <w:b/>
          <w:bCs/>
        </w:rPr>
        <w:t xml:space="preserve">Piano</w:t>
      </w:r>
      <w:r>
        <w:t xml:space="preserve"> </w:t>
      </w:r>
      <w:r>
        <w:t xml:space="preserve">— Uno dei livelli su cui puoi lavorare: livello di attivazione, contenitore lombo-pelvico, percorso del nervo.</w:t>
      </w:r>
    </w:p>
    <w:p>
      <w:pPr>
        <w:pStyle w:val="Compact"/>
        <w:numPr>
          <w:ilvl w:val="0"/>
          <w:numId w:val="1033"/>
        </w:numPr>
      </w:pPr>
      <w:r>
        <w:rPr>
          <w:b/>
          <w:bCs/>
        </w:rPr>
        <w:t xml:space="preserve">PROBABILE</w:t>
      </w:r>
      <w:r>
        <w:t xml:space="preserve"> </w:t>
      </w:r>
      <w:r>
        <w:t xml:space="preserve">— Etichetta di solidità: razionale forte, prove parziali.</w:t>
      </w:r>
    </w:p>
    <w:p>
      <w:pPr>
        <w:pStyle w:val="Compact"/>
        <w:numPr>
          <w:ilvl w:val="0"/>
          <w:numId w:val="1033"/>
        </w:numPr>
      </w:pPr>
      <w:r>
        <w:rPr>
          <w:b/>
          <w:bCs/>
        </w:rPr>
        <w:t xml:space="preserve">Profilo</w:t>
      </w:r>
      <w:r>
        <w:t xml:space="preserve"> </w:t>
      </w:r>
      <w:r>
        <w:t xml:space="preserve">— La cornice professionale dell’osteopata definita dal DPR 131/2021.</w:t>
      </w:r>
    </w:p>
    <w:p>
      <w:pPr>
        <w:pStyle w:val="Compact"/>
        <w:numPr>
          <w:ilvl w:val="0"/>
          <w:numId w:val="1033"/>
        </w:numPr>
      </w:pPr>
      <w:r>
        <w:rPr>
          <w:b/>
          <w:bCs/>
        </w:rPr>
        <w:t xml:space="preserve">Protrusione discale</w:t>
      </w:r>
      <w:r>
        <w:t xml:space="preserve"> </w:t>
      </w:r>
      <w:r>
        <w:t xml:space="preserve">— Il disco sporge oltre il bordo della vertebra, con l’anello fibroso integro.</w:t>
      </w:r>
    </w:p>
    <w:p>
      <w:pPr>
        <w:pStyle w:val="Compact"/>
        <w:numPr>
          <w:ilvl w:val="0"/>
          <w:numId w:val="1033"/>
        </w:numPr>
      </w:pPr>
      <w:r>
        <w:rPr>
          <w:b/>
          <w:bCs/>
        </w:rPr>
        <w:t xml:space="preserve">Radicolopatia</w:t>
      </w:r>
      <w:r>
        <w:t xml:space="preserve"> </w:t>
      </w:r>
      <w:r>
        <w:t xml:space="preserve">— Perdita oggettiva di funzione di una radice: ipoestesia, riduzione di forza, riflesso ridotto o assente.</w:t>
      </w:r>
    </w:p>
    <w:p>
      <w:pPr>
        <w:pStyle w:val="Compact"/>
        <w:numPr>
          <w:ilvl w:val="0"/>
          <w:numId w:val="1033"/>
        </w:numPr>
      </w:pPr>
      <w:r>
        <w:rPr>
          <w:b/>
          <w:bCs/>
        </w:rPr>
        <w:t xml:space="preserve">RAGIONAMENTO</w:t>
      </w:r>
      <w:r>
        <w:t xml:space="preserve"> </w:t>
      </w:r>
      <w:r>
        <w:t xml:space="preserve">— Etichetta di solidità: cornice clinica, non una prova.</w:t>
      </w:r>
    </w:p>
    <w:p>
      <w:pPr>
        <w:pStyle w:val="Compact"/>
        <w:numPr>
          <w:ilvl w:val="0"/>
          <w:numId w:val="1033"/>
        </w:numPr>
      </w:pPr>
      <w:r>
        <w:rPr>
          <w:b/>
          <w:bCs/>
        </w:rPr>
        <w:t xml:space="preserve">Recesso laterale</w:t>
      </w:r>
      <w:r>
        <w:t xml:space="preserve"> </w:t>
      </w:r>
      <w:r>
        <w:t xml:space="preserve">— Lo spazio nel canale vertebrale dove la radice scende prima di entrare nel forame.</w:t>
      </w:r>
    </w:p>
    <w:p>
      <w:pPr>
        <w:pStyle w:val="Compact"/>
        <w:numPr>
          <w:ilvl w:val="0"/>
          <w:numId w:val="1033"/>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33"/>
        </w:numPr>
      </w:pPr>
      <w:r>
        <w:rPr>
          <w:b/>
          <w:bCs/>
        </w:rPr>
        <w:t xml:space="preserve">Roland-Morris</w:t>
      </w:r>
      <w:r>
        <w:t xml:space="preserve"> </w:t>
      </w:r>
      <w:r>
        <w:t xml:space="preserve">— Questionario di 24 domande che misura quanto il mal di schiena limita le attività quotidiane.</w:t>
      </w:r>
    </w:p>
    <w:p>
      <w:pPr>
        <w:pStyle w:val="Compact"/>
        <w:numPr>
          <w:ilvl w:val="0"/>
          <w:numId w:val="1033"/>
        </w:numPr>
      </w:pPr>
      <w:r>
        <w:rPr>
          <w:b/>
          <w:bCs/>
        </w:rPr>
        <w:t xml:space="preserve">Scarica ectopica</w:t>
      </w:r>
      <w:r>
        <w:t xml:space="preserve"> </w:t>
      </w:r>
      <w:r>
        <w:t xml:space="preserve">— Segnale generato dalla radice o dal ganglio senza che nessuno stimolo arrivi dalla periferia.</w:t>
      </w:r>
    </w:p>
    <w:p>
      <w:pPr>
        <w:pStyle w:val="Compact"/>
        <w:numPr>
          <w:ilvl w:val="0"/>
          <w:numId w:val="1033"/>
        </w:numPr>
      </w:pPr>
      <w:r>
        <w:rPr>
          <w:b/>
          <w:bCs/>
        </w:rPr>
        <w:t xml:space="preserve">Sequestro</w:t>
      </w:r>
      <w:r>
        <w:t xml:space="preserve"> </w:t>
      </w:r>
      <w:r>
        <w:t xml:space="preserve">— Un frammento di nucleo si stacca e migra dentro il canale.</w:t>
      </w:r>
    </w:p>
    <w:p>
      <w:pPr>
        <w:pStyle w:val="Compact"/>
        <w:numPr>
          <w:ilvl w:val="0"/>
          <w:numId w:val="1033"/>
        </w:numPr>
      </w:pPr>
      <w:r>
        <w:rPr>
          <w:b/>
          <w:bCs/>
        </w:rPr>
        <w:t xml:space="preserve">Sindrome glutea profonda</w:t>
      </w:r>
      <w:r>
        <w:t xml:space="preserve"> </w:t>
      </w:r>
      <w:r>
        <w:t xml:space="preserve">— Quadro clinico definito</w:t>
      </w:r>
      <w:r>
        <w:t xml:space="preserve"> </w:t>
      </w:r>
      <w:r>
        <w:rPr>
          <w:b/>
          <w:bCs/>
        </w:rPr>
        <w:t xml:space="preserve">per criteri</w:t>
      </w:r>
      <w:r>
        <w:t xml:space="preserve">, di dolore gluteo e di gamba attribuito allo spazio fra grande gluteo e rotatori profondi, fuori dalla colonna. Nella maggior parte dei casi pubblicati è descritto come miofasciale, e nessun test lo conferma.</w:t>
      </w:r>
    </w:p>
    <w:p>
      <w:pPr>
        <w:pStyle w:val="Compact"/>
        <w:numPr>
          <w:ilvl w:val="0"/>
          <w:numId w:val="1033"/>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33"/>
        </w:numPr>
      </w:pPr>
      <w:r>
        <w:rPr>
          <w:b/>
          <w:bCs/>
        </w:rPr>
        <w:t xml:space="preserve">SLR (test di elevazione della gamba tesa)</w:t>
      </w:r>
      <w:r>
        <w:t xml:space="preserve"> </w:t>
      </w:r>
      <w:r>
        <w:t xml:space="preserve">— Sollevamento passivo dell’arto a ginocchio esteso, per mettere in tensione le radici lombosacrali.</w:t>
      </w:r>
    </w:p>
    <w:p>
      <w:pPr>
        <w:pStyle w:val="Compact"/>
        <w:numPr>
          <w:ilvl w:val="0"/>
          <w:numId w:val="1033"/>
        </w:numPr>
      </w:pPr>
      <w:r>
        <w:rPr>
          <w:b/>
          <w:bCs/>
        </w:rPr>
        <w:t xml:space="preserve">Stenosi</w:t>
      </w:r>
      <w:r>
        <w:t xml:space="preserve"> </w:t>
      </w:r>
      <w:r>
        <w:t xml:space="preserve">— Restringimento del canale vertebrale o del forame.</w:t>
      </w:r>
    </w:p>
    <w:p>
      <w:pPr>
        <w:pStyle w:val="Compact"/>
        <w:numPr>
          <w:ilvl w:val="0"/>
          <w:numId w:val="1033"/>
        </w:numPr>
      </w:pPr>
      <w:r>
        <w:rPr>
          <w:b/>
          <w:bCs/>
        </w:rPr>
        <w:t xml:space="preserve">Valsalva</w:t>
      </w:r>
      <w:r>
        <w:t xml:space="preserve"> </w:t>
      </w:r>
      <w:r>
        <w:t xml:space="preserve">— Spinta a glottide chiusa, come nel tossire o nello sforzarsi: alza la pressione dentro torace e addome.</w:t>
      </w:r>
    </w:p>
    <w:p>
      <w:r>
        <w:pict>
          <v:rect style="width:0;height:1.5pt" o:hralign="center" o:hrstd="t" o:hr="t"/>
        </w:pict>
      </w:r>
    </w:p>
    <w:bookmarkEnd w:id="77"/>
    <w:bookmarkStart w:id="142" w:name="appendice-b-le-fonti"/>
    <w:p>
      <w:pPr>
        <w:pStyle w:val="Heading2"/>
      </w:pPr>
      <w:r>
        <w:t xml:space="preserve">Appendice B — Le fonti</w:t>
      </w:r>
    </w:p>
    <w:p>
      <w:pPr>
        <w:pStyle w:val="FirstParagraph"/>
      </w:pPr>
      <w:r>
        <w:t xml:space="preserve">Nell’ordine in cui compaiono nel testo.</w:t>
      </w:r>
    </w:p>
    <w:p>
      <w:pPr>
        <w:pStyle w:val="Compact"/>
        <w:numPr>
          <w:ilvl w:val="0"/>
          <w:numId w:val="1034"/>
        </w:numPr>
      </w:pPr>
      <w:r>
        <w:t xml:space="preserve">Dove L, Jones G, Kelsey LA, Cairns MC, Schmid AB.</w:t>
      </w:r>
      <w:r>
        <w:t xml:space="preserve"> </w:t>
      </w:r>
      <w:r>
        <w:rPr>
          <w:i/>
          <w:iCs/>
        </w:rPr>
        <w:t xml:space="preserve">How effective are physiotherapy interventions in treating people with sciatica? A systematic review and meta-analysis.</w:t>
      </w:r>
      <w:r>
        <w:t xml:space="preserve"> </w:t>
      </w:r>
      <w:r>
        <w:t xml:space="preserve">Eur Spine J, 2023. —</w:t>
      </w:r>
      <w:r>
        <w:t xml:space="preserve"> </w:t>
      </w:r>
      <w:hyperlink r:id="rId78">
        <w:r>
          <w:rPr>
            <w:rStyle w:val="Hyperlink"/>
          </w:rPr>
          <w:t xml:space="preserve">PMID 36580149</w:t>
        </w:r>
      </w:hyperlink>
    </w:p>
    <w:p>
      <w:pPr>
        <w:pStyle w:val="Compact"/>
        <w:numPr>
          <w:ilvl w:val="0"/>
          <w:numId w:val="1034"/>
        </w:numPr>
      </w:pPr>
      <w:r>
        <w:t xml:space="preserve">Oliveira CB, Maher CG, Ferreira ML, et al. </w:t>
      </w:r>
      <w:r>
        <w:rPr>
          <w:i/>
          <w:iCs/>
        </w:rPr>
        <w:t xml:space="preserve">Epidural corticosteroid injections for lumbosacral radicular pain.</w:t>
      </w:r>
      <w:r>
        <w:t xml:space="preserve"> </w:t>
      </w:r>
      <w:r>
        <w:t xml:space="preserve">Cochrane Database Syst Rev, 2020. —</w:t>
      </w:r>
      <w:r>
        <w:t xml:space="preserve"> </w:t>
      </w:r>
      <w:hyperlink r:id="rId79">
        <w:r>
          <w:rPr>
            <w:rStyle w:val="Hyperlink"/>
          </w:rPr>
          <w:t xml:space="preserve">PMID 32271952</w:t>
        </w:r>
      </w:hyperlink>
    </w:p>
    <w:p>
      <w:pPr>
        <w:pStyle w:val="Compact"/>
        <w:numPr>
          <w:ilvl w:val="0"/>
          <w:numId w:val="1034"/>
        </w:numPr>
      </w:pPr>
      <w:r>
        <w:t xml:space="preserve">Bogduk N.</w:t>
      </w:r>
      <w:r>
        <w:t xml:space="preserve"> </w:t>
      </w:r>
      <w:r>
        <w:rPr>
          <w:i/>
          <w:iCs/>
        </w:rPr>
        <w:t xml:space="preserve">On the definitions and physiology of back pain, referred pain, and radicular pain.</w:t>
      </w:r>
      <w:r>
        <w:t xml:space="preserve"> </w:t>
      </w:r>
      <w:r>
        <w:t xml:space="preserve">Pain, 2009. —</w:t>
      </w:r>
      <w:r>
        <w:t xml:space="preserve"> </w:t>
      </w:r>
      <w:hyperlink r:id="rId80">
        <w:r>
          <w:rPr>
            <w:rStyle w:val="Hyperlink"/>
          </w:rPr>
          <w:t xml:space="preserve">PMID 19762151</w:t>
        </w:r>
      </w:hyperlink>
    </w:p>
    <w:p>
      <w:pPr>
        <w:pStyle w:val="Compact"/>
        <w:numPr>
          <w:ilvl w:val="0"/>
          <w:numId w:val="1034"/>
        </w:numPr>
      </w:pPr>
      <w:r>
        <w:t xml:space="preserve">Tampin B, Slater H, Jacques A, Lind CRP.</w:t>
      </w:r>
      <w:r>
        <w:t xml:space="preserve"> </w:t>
      </w:r>
      <w:r>
        <w:rPr>
          <w:i/>
          <w:iCs/>
        </w:rPr>
        <w:t xml:space="preserve">Association of quantitative sensory testing parameters with clinical outcome in patients with lumbar radiculopathy.</w:t>
      </w:r>
      <w:r>
        <w:t xml:space="preserve"> </w:t>
      </w:r>
      <w:r>
        <w:t xml:space="preserve">Scand J Pain, 2021. —</w:t>
      </w:r>
      <w:r>
        <w:t xml:space="preserve"> </w:t>
      </w:r>
      <w:hyperlink r:id="rId81">
        <w:r>
          <w:rPr>
            <w:rStyle w:val="Hyperlink"/>
          </w:rPr>
          <w:t xml:space="preserve">PMID 34333881</w:t>
        </w:r>
      </w:hyperlink>
    </w:p>
    <w:p>
      <w:pPr>
        <w:pStyle w:val="Compact"/>
        <w:numPr>
          <w:ilvl w:val="0"/>
          <w:numId w:val="1034"/>
        </w:numPr>
      </w:pPr>
      <w:r>
        <w:t xml:space="preserve">Schmid AB, Fundaun J, Tampin B.</w:t>
      </w:r>
      <w:r>
        <w:t xml:space="preserve"> </w:t>
      </w:r>
      <w:r>
        <w:rPr>
          <w:i/>
          <w:iCs/>
        </w:rPr>
        <w:t xml:space="preserve">Entrapment neuropathies: a contemporary approach to pathophysiology, clinical assessment, and management.</w:t>
      </w:r>
      <w:r>
        <w:t xml:space="preserve"> </w:t>
      </w:r>
      <w:r>
        <w:t xml:space="preserve">Pain Rep, 2020. —</w:t>
      </w:r>
      <w:r>
        <w:t xml:space="preserve"> </w:t>
      </w:r>
      <w:hyperlink r:id="rId82">
        <w:r>
          <w:rPr>
            <w:rStyle w:val="Hyperlink"/>
          </w:rPr>
          <w:t xml:space="preserve">PMID 32766466</w:t>
        </w:r>
      </w:hyperlink>
    </w:p>
    <w:p>
      <w:pPr>
        <w:pStyle w:val="Compact"/>
        <w:numPr>
          <w:ilvl w:val="0"/>
          <w:numId w:val="1034"/>
        </w:numPr>
      </w:pPr>
      <w:r>
        <w:t xml:space="preserve">Knezevic NN, et al. </w:t>
      </w:r>
      <w:r>
        <w:rPr>
          <w:i/>
          <w:iCs/>
        </w:rPr>
        <w:t xml:space="preserve">Conditioned pain modulation and pressure pain thresholds in lumbosacral radiculopathy.</w:t>
      </w:r>
      <w:r>
        <w:t xml:space="preserve"> </w:t>
      </w:r>
      <w:r>
        <w:t xml:space="preserve">Neurophysiol Clin, 2023. —</w:t>
      </w:r>
      <w:r>
        <w:t xml:space="preserve"> </w:t>
      </w:r>
      <w:hyperlink r:id="rId83">
        <w:r>
          <w:rPr>
            <w:rStyle w:val="Hyperlink"/>
          </w:rPr>
          <w:t xml:space="preserve">PMID 36716611</w:t>
        </w:r>
      </w:hyperlink>
    </w:p>
    <w:p>
      <w:pPr>
        <w:pStyle w:val="Compact"/>
        <w:numPr>
          <w:ilvl w:val="0"/>
          <w:numId w:val="1034"/>
        </w:numPr>
      </w:pPr>
      <w:r>
        <w:t xml:space="preserve">Konstantinou K, Dunn KM.</w:t>
      </w:r>
      <w:r>
        <w:t xml:space="preserve"> </w:t>
      </w:r>
      <w:r>
        <w:rPr>
          <w:i/>
          <w:iCs/>
        </w:rPr>
        <w:t xml:space="preserve">Sciatica: review of epidemiological studies and prevalence estimates.</w:t>
      </w:r>
      <w:r>
        <w:t xml:space="preserve"> </w:t>
      </w:r>
      <w:r>
        <w:t xml:space="preserve">Spine, 2008. —</w:t>
      </w:r>
      <w:r>
        <w:t xml:space="preserve"> </w:t>
      </w:r>
      <w:hyperlink r:id="rId84">
        <w:r>
          <w:rPr>
            <w:rStyle w:val="Hyperlink"/>
          </w:rPr>
          <w:t xml:space="preserve">PMID 18923325</w:t>
        </w:r>
      </w:hyperlink>
    </w:p>
    <w:p>
      <w:pPr>
        <w:pStyle w:val="Compact"/>
        <w:numPr>
          <w:ilvl w:val="0"/>
          <w:numId w:val="1034"/>
        </w:numPr>
      </w:pPr>
      <w:r>
        <w:t xml:space="preserve">Konstantinou K, Dunn KM, Ogollah R, et al. </w:t>
      </w:r>
      <w:r>
        <w:rPr>
          <w:i/>
          <w:iCs/>
        </w:rPr>
        <w:t xml:space="preserve">Prognosis of sciatica and back-related leg pain in primary care: the ATLAS cohort.</w:t>
      </w:r>
      <w:r>
        <w:t xml:space="preserve"> </w:t>
      </w:r>
      <w:r>
        <w:t xml:space="preserve">Spine J, 2018. —</w:t>
      </w:r>
      <w:r>
        <w:t xml:space="preserve"> </w:t>
      </w:r>
      <w:hyperlink r:id="rId85">
        <w:r>
          <w:rPr>
            <w:rStyle w:val="Hyperlink"/>
          </w:rPr>
          <w:t xml:space="preserve">PMID 29174459</w:t>
        </w:r>
      </w:hyperlink>
    </w:p>
    <w:p>
      <w:pPr>
        <w:pStyle w:val="Compact"/>
        <w:numPr>
          <w:ilvl w:val="0"/>
          <w:numId w:val="1034"/>
        </w:numPr>
      </w:pPr>
      <w:r>
        <w:t xml:space="preserve">Peul WC, van Houwelingen HC, van den Hout WB, et al. </w:t>
      </w:r>
      <w:r>
        <w:rPr>
          <w:i/>
          <w:iCs/>
        </w:rPr>
        <w:t xml:space="preserve">Surgery versus prolonged conservative treatment for sciatica.</w:t>
      </w:r>
      <w:r>
        <w:t xml:space="preserve"> </w:t>
      </w:r>
      <w:r>
        <w:t xml:space="preserve">N Engl J Med, 2007. —</w:t>
      </w:r>
      <w:r>
        <w:t xml:space="preserve"> </w:t>
      </w:r>
      <w:hyperlink r:id="rId86">
        <w:r>
          <w:rPr>
            <w:rStyle w:val="Hyperlink"/>
          </w:rPr>
          <w:t xml:space="preserve">PMID 17538084</w:t>
        </w:r>
      </w:hyperlink>
    </w:p>
    <w:p>
      <w:pPr>
        <w:pStyle w:val="Compact"/>
        <w:numPr>
          <w:ilvl w:val="0"/>
          <w:numId w:val="1034"/>
        </w:numPr>
      </w:pPr>
      <w:r>
        <w:t xml:space="preserve">Chiu CC, Chuang TY, Chang KH, et al. </w:t>
      </w:r>
      <w:r>
        <w:rPr>
          <w:i/>
          <w:iCs/>
        </w:rPr>
        <w:t xml:space="preserve">The probability of spontaneous regression of lumbar herniated disc: a systematic review.</w:t>
      </w:r>
      <w:r>
        <w:t xml:space="preserve"> </w:t>
      </w:r>
      <w:r>
        <w:t xml:space="preserve">Clin Rehabil, 2015. —</w:t>
      </w:r>
      <w:r>
        <w:t xml:space="preserve"> </w:t>
      </w:r>
      <w:hyperlink r:id="rId87">
        <w:r>
          <w:rPr>
            <w:rStyle w:val="Hyperlink"/>
          </w:rPr>
          <w:t xml:space="preserve">PMID 25009200</w:t>
        </w:r>
      </w:hyperlink>
    </w:p>
    <w:p>
      <w:pPr>
        <w:pStyle w:val="Compact"/>
        <w:numPr>
          <w:ilvl w:val="0"/>
          <w:numId w:val="1034"/>
        </w:numPr>
      </w:pPr>
      <w:r>
        <w:t xml:space="preserve">Brinjikji W, Luetmer PH, Comstock B, et al. </w:t>
      </w:r>
      <w:r>
        <w:rPr>
          <w:i/>
          <w:iCs/>
        </w:rPr>
        <w:t xml:space="preserve">Systematic literature review of imaging features of spinal degeneration in asymptomatic populations.</w:t>
      </w:r>
      <w:r>
        <w:t xml:space="preserve"> </w:t>
      </w:r>
      <w:r>
        <w:t xml:space="preserve">AJNR Am J Neuroradiol, 2015. —</w:t>
      </w:r>
      <w:r>
        <w:t xml:space="preserve"> </w:t>
      </w:r>
      <w:hyperlink r:id="rId88">
        <w:r>
          <w:rPr>
            <w:rStyle w:val="Hyperlink"/>
          </w:rPr>
          <w:t xml:space="preserve">PMID 25430861</w:t>
        </w:r>
      </w:hyperlink>
    </w:p>
    <w:p>
      <w:pPr>
        <w:pStyle w:val="Compact"/>
        <w:numPr>
          <w:ilvl w:val="0"/>
          <w:numId w:val="1034"/>
        </w:numPr>
      </w:pPr>
      <w:r>
        <w:t xml:space="preserve">Bateman EA, Fortin CD, Guo M.</w:t>
      </w:r>
      <w:r>
        <w:t xml:space="preserve"> </w:t>
      </w:r>
      <w:r>
        <w:rPr>
          <w:i/>
          <w:iCs/>
        </w:rPr>
        <w:t xml:space="preserve">Musculoskeletal mimics of lumbosacral radiculopathy.</w:t>
      </w:r>
      <w:r>
        <w:t xml:space="preserve"> </w:t>
      </w:r>
      <w:r>
        <w:t xml:space="preserve">Muscle Nerve, 2025. —</w:t>
      </w:r>
      <w:r>
        <w:t xml:space="preserve"> </w:t>
      </w:r>
      <w:hyperlink r:id="rId89">
        <w:r>
          <w:rPr>
            <w:rStyle w:val="Hyperlink"/>
          </w:rPr>
          <w:t xml:space="preserve">PMID 38726566</w:t>
        </w:r>
      </w:hyperlink>
    </w:p>
    <w:p>
      <w:pPr>
        <w:pStyle w:val="Compact"/>
        <w:numPr>
          <w:ilvl w:val="0"/>
          <w:numId w:val="1034"/>
        </w:numPr>
      </w:pPr>
      <w:r>
        <w:t xml:space="preserve">Llewelyn D, Llewelyn JG.</w:t>
      </w:r>
      <w:r>
        <w:t xml:space="preserve"> </w:t>
      </w:r>
      <w:r>
        <w:rPr>
          <w:i/>
          <w:iCs/>
        </w:rPr>
        <w:t xml:space="preserve">Diabetic amyotrophy: a painful radiculoplexus neuropathy.</w:t>
      </w:r>
      <w:r>
        <w:t xml:space="preserve"> </w:t>
      </w:r>
      <w:r>
        <w:t xml:space="preserve">Pract Neurol, 2019. —</w:t>
      </w:r>
      <w:r>
        <w:t xml:space="preserve"> </w:t>
      </w:r>
      <w:hyperlink r:id="rId90">
        <w:r>
          <w:rPr>
            <w:rStyle w:val="Hyperlink"/>
          </w:rPr>
          <w:t xml:space="preserve">PMID 30530723</w:t>
        </w:r>
      </w:hyperlink>
    </w:p>
    <w:p>
      <w:pPr>
        <w:pStyle w:val="Compact"/>
        <w:numPr>
          <w:ilvl w:val="0"/>
          <w:numId w:val="1034"/>
        </w:numPr>
      </w:pPr>
      <w:r>
        <w:t xml:space="preserve">Guo YL, Xu R.</w:t>
      </w:r>
      <w:r>
        <w:t xml:space="preserve"> </w:t>
      </w:r>
      <w:r>
        <w:rPr>
          <w:i/>
          <w:iCs/>
        </w:rPr>
        <w:t xml:space="preserve">Pregnancy-related pelvic girdle pain: prevalence and associated factors.</w:t>
      </w:r>
      <w:r>
        <w:t xml:space="preserve"> </w:t>
      </w:r>
      <w:r>
        <w:t xml:space="preserve">J Matern Fetal Neonatal Med, 2026. —</w:t>
      </w:r>
      <w:r>
        <w:t xml:space="preserve"> </w:t>
      </w:r>
      <w:hyperlink r:id="rId91">
        <w:r>
          <w:rPr>
            <w:rStyle w:val="Hyperlink"/>
          </w:rPr>
          <w:t xml:space="preserve">PMID 42481240</w:t>
        </w:r>
      </w:hyperlink>
    </w:p>
    <w:p>
      <w:pPr>
        <w:pStyle w:val="Compact"/>
        <w:numPr>
          <w:ilvl w:val="0"/>
          <w:numId w:val="1034"/>
        </w:numPr>
      </w:pPr>
      <w:r>
        <w:t xml:space="preserve">Schmid AB, Coppieters MW, Ruitenberg MJ, McLachlan EM.</w:t>
      </w:r>
      <w:r>
        <w:t xml:space="preserve"> </w:t>
      </w:r>
      <w:r>
        <w:rPr>
          <w:i/>
          <w:iCs/>
        </w:rPr>
        <w:t xml:space="preserve">Local and remote immune-mediated inflammation after mild peripheral nerve compression in rats.</w:t>
      </w:r>
      <w:r>
        <w:t xml:space="preserve"> </w:t>
      </w:r>
      <w:r>
        <w:t xml:space="preserve">J Neuropathol Exp Neurol, 2013. —</w:t>
      </w:r>
      <w:r>
        <w:t xml:space="preserve"> </w:t>
      </w:r>
      <w:hyperlink r:id="rId92">
        <w:r>
          <w:rPr>
            <w:rStyle w:val="Hyperlink"/>
          </w:rPr>
          <w:t xml:space="preserve">PMID 23771220</w:t>
        </w:r>
      </w:hyperlink>
    </w:p>
    <w:p>
      <w:pPr>
        <w:pStyle w:val="Compact"/>
        <w:numPr>
          <w:ilvl w:val="0"/>
          <w:numId w:val="1034"/>
        </w:numPr>
      </w:pPr>
      <w:r>
        <w:t xml:space="preserve">Rydevik B, Lundborg G, Bagge U.</w:t>
      </w:r>
      <w:r>
        <w:t xml:space="preserve"> </w:t>
      </w:r>
      <w:r>
        <w:rPr>
          <w:i/>
          <w:iCs/>
        </w:rPr>
        <w:t xml:space="preserve">Effects of graded compression on intraneural blood flow. An in vivo study on rabbit tibial nerve.</w:t>
      </w:r>
      <w:r>
        <w:t xml:space="preserve"> </w:t>
      </w:r>
      <w:r>
        <w:t xml:space="preserve">J Hand Surg Am, 1981. —</w:t>
      </w:r>
      <w:r>
        <w:t xml:space="preserve"> </w:t>
      </w:r>
      <w:hyperlink r:id="rId93">
        <w:r>
          <w:rPr>
            <w:rStyle w:val="Hyperlink"/>
          </w:rPr>
          <w:t xml:space="preserve">PMID 7204915</w:t>
        </w:r>
      </w:hyperlink>
    </w:p>
    <w:p>
      <w:pPr>
        <w:pStyle w:val="Compact"/>
        <w:numPr>
          <w:ilvl w:val="0"/>
          <w:numId w:val="1034"/>
        </w:numPr>
      </w:pPr>
      <w:r>
        <w:t xml:space="preserve">Coppieters MW, Butler DS.</w:t>
      </w:r>
      <w:r>
        <w:t xml:space="preserve"> </w:t>
      </w:r>
      <w:r>
        <w:rPr>
          <w:i/>
          <w:iCs/>
        </w:rPr>
        <w:t xml:space="preserve">Do</w:t>
      </w:r>
      <w:r>
        <w:rPr>
          <w:i/>
          <w:iCs/>
        </w:rPr>
        <w:t xml:space="preserve"> </w:t>
      </w:r>
      <w:r>
        <w:rPr>
          <w:i/>
          <w:iCs/>
        </w:rPr>
        <w:t xml:space="preserve">‘sliders’</w:t>
      </w:r>
      <w:r>
        <w:rPr>
          <w:i/>
          <w:iCs/>
        </w:rPr>
        <w:t xml:space="preserve"> </w:t>
      </w:r>
      <w:r>
        <w:rPr>
          <w:i/>
          <w:iCs/>
        </w:rPr>
        <w:t xml:space="preserve">slide and</w:t>
      </w:r>
      <w:r>
        <w:rPr>
          <w:i/>
          <w:iCs/>
        </w:rPr>
        <w:t xml:space="preserve"> </w:t>
      </w:r>
      <w:r>
        <w:rPr>
          <w:i/>
          <w:iCs/>
        </w:rPr>
        <w:t xml:space="preserve">‘tensioners’</w:t>
      </w:r>
      <w:r>
        <w:rPr>
          <w:i/>
          <w:iCs/>
        </w:rPr>
        <w:t xml:space="preserve"> </w:t>
      </w:r>
      <w:r>
        <w:rPr>
          <w:i/>
          <w:iCs/>
        </w:rPr>
        <w:t xml:space="preserve">tension?</w:t>
      </w:r>
      <w:r>
        <w:t xml:space="preserve"> </w:t>
      </w:r>
      <w:r>
        <w:t xml:space="preserve">Man Ther, 2008. —</w:t>
      </w:r>
      <w:r>
        <w:t xml:space="preserve"> </w:t>
      </w:r>
      <w:hyperlink r:id="rId94">
        <w:r>
          <w:rPr>
            <w:rStyle w:val="Hyperlink"/>
          </w:rPr>
          <w:t xml:space="preserve">PMID 17398140</w:t>
        </w:r>
      </w:hyperlink>
    </w:p>
    <w:p>
      <w:pPr>
        <w:pStyle w:val="Compact"/>
        <w:numPr>
          <w:ilvl w:val="0"/>
          <w:numId w:val="1034"/>
        </w:numPr>
      </w:pPr>
      <w:r>
        <w:t xml:space="preserve">Coppieters MW, Alshami AM, Babri AS, et al. </w:t>
      </w:r>
      <w:r>
        <w:rPr>
          <w:i/>
          <w:iCs/>
        </w:rPr>
        <w:t xml:space="preserve">Strain and excursion of the sciatic, tibial, and plantar nerves during a modified straight leg raising test.</w:t>
      </w:r>
      <w:r>
        <w:t xml:space="preserve"> </w:t>
      </w:r>
      <w:r>
        <w:t xml:space="preserve">J Orthop Res, 2006. —</w:t>
      </w:r>
      <w:r>
        <w:t xml:space="preserve"> </w:t>
      </w:r>
      <w:hyperlink r:id="rId95">
        <w:r>
          <w:rPr>
            <w:rStyle w:val="Hyperlink"/>
          </w:rPr>
          <w:t xml:space="preserve">PMID 16838375</w:t>
        </w:r>
      </w:hyperlink>
    </w:p>
    <w:p>
      <w:pPr>
        <w:pStyle w:val="Compact"/>
        <w:numPr>
          <w:ilvl w:val="0"/>
          <w:numId w:val="1034"/>
        </w:numPr>
      </w:pPr>
      <w:r>
        <w:t xml:space="preserve">Ellis RF, Hing WA, McNair PJ.</w:t>
      </w:r>
      <w:r>
        <w:t xml:space="preserve"> </w:t>
      </w:r>
      <w:r>
        <w:rPr>
          <w:i/>
          <w:iCs/>
        </w:rPr>
        <w:t xml:space="preserve">Comparison of longitudinal sciatic nerve movement with different mobilization exercises: an in vivo study utilizing ultrasound imaging.</w:t>
      </w:r>
      <w:r>
        <w:t xml:space="preserve"> </w:t>
      </w:r>
      <w:r>
        <w:t xml:space="preserve">J Orthop Sports Phys Ther, 2012. —</w:t>
      </w:r>
      <w:r>
        <w:t xml:space="preserve"> </w:t>
      </w:r>
      <w:hyperlink r:id="rId96">
        <w:r>
          <w:rPr>
            <w:rStyle w:val="Hyperlink"/>
          </w:rPr>
          <w:t xml:space="preserve">PMID 22711174</w:t>
        </w:r>
      </w:hyperlink>
    </w:p>
    <w:p>
      <w:pPr>
        <w:pStyle w:val="Compact"/>
        <w:numPr>
          <w:ilvl w:val="0"/>
          <w:numId w:val="1034"/>
        </w:numPr>
      </w:pPr>
      <w:r>
        <w:t xml:space="preserve">Alshami AM, Alghamdi MA, Abdelrahman RM.</w:t>
      </w:r>
      <w:r>
        <w:t xml:space="preserve"> </w:t>
      </w:r>
      <w:r>
        <w:rPr>
          <w:i/>
          <w:iCs/>
        </w:rPr>
        <w:t xml:space="preserve">Sciatic nerve excursion during neural mobilization with ankle movement using dynamic ultrasound imaging.</w:t>
      </w:r>
      <w:r>
        <w:t xml:space="preserve"> </w:t>
      </w:r>
      <w:r>
        <w:t xml:space="preserve">J Ultrasound, 2022. —</w:t>
      </w:r>
      <w:r>
        <w:t xml:space="preserve"> </w:t>
      </w:r>
      <w:hyperlink r:id="rId97">
        <w:r>
          <w:rPr>
            <w:rStyle w:val="Hyperlink"/>
          </w:rPr>
          <w:t xml:space="preserve">PMID 34036554</w:t>
        </w:r>
      </w:hyperlink>
    </w:p>
    <w:p>
      <w:pPr>
        <w:pStyle w:val="Compact"/>
        <w:numPr>
          <w:ilvl w:val="0"/>
          <w:numId w:val="1034"/>
        </w:numPr>
      </w:pPr>
      <w:r>
        <w:t xml:space="preserve">Hahne AJ, Ford JJ, McMeeken JM.</w:t>
      </w:r>
      <w:r>
        <w:t xml:space="preserve"> </w:t>
      </w:r>
      <w:r>
        <w:rPr>
          <w:i/>
          <w:iCs/>
        </w:rPr>
        <w:t xml:space="preserve">Conservative management of lumbar disc herniation with associated radiculopathy.</w:t>
      </w:r>
      <w:r>
        <w:t xml:space="preserve"> </w:t>
      </w:r>
      <w:r>
        <w:t xml:space="preserve">Spine, 2010. —</w:t>
      </w:r>
      <w:r>
        <w:t xml:space="preserve"> </w:t>
      </w:r>
      <w:hyperlink r:id="rId98">
        <w:r>
          <w:rPr>
            <w:rStyle w:val="Hyperlink"/>
          </w:rPr>
          <w:t xml:space="preserve">PMID 20421859</w:t>
        </w:r>
      </w:hyperlink>
    </w:p>
    <w:p>
      <w:pPr>
        <w:pStyle w:val="Compact"/>
        <w:numPr>
          <w:ilvl w:val="0"/>
          <w:numId w:val="1034"/>
        </w:numPr>
      </w:pPr>
      <w:r>
        <w:t xml:space="preserve">Smoll NR.</w:t>
      </w:r>
      <w:r>
        <w:t xml:space="preserve"> </w:t>
      </w:r>
      <w:r>
        <w:rPr>
          <w:i/>
          <w:iCs/>
        </w:rPr>
        <w:t xml:space="preserve">Variations of the piriformis and sciatic nerve with clinical consequence: a review.</w:t>
      </w:r>
      <w:r>
        <w:t xml:space="preserve"> </w:t>
      </w:r>
      <w:r>
        <w:t xml:space="preserve">Clin Anat, 2010. —</w:t>
      </w:r>
      <w:r>
        <w:t xml:space="preserve"> </w:t>
      </w:r>
      <w:hyperlink r:id="rId99">
        <w:r>
          <w:rPr>
            <w:rStyle w:val="Hyperlink"/>
          </w:rPr>
          <w:t xml:space="preserve">PMID 19998490</w:t>
        </w:r>
      </w:hyperlink>
    </w:p>
    <w:p>
      <w:pPr>
        <w:pStyle w:val="Compact"/>
        <w:numPr>
          <w:ilvl w:val="0"/>
          <w:numId w:val="1034"/>
        </w:numPr>
      </w:pPr>
      <w:r>
        <w:t xml:space="preserve">Hopayian K, Heathcote J.</w:t>
      </w:r>
      <w:r>
        <w:t xml:space="preserve"> </w:t>
      </w:r>
      <w:r>
        <w:rPr>
          <w:i/>
          <w:iCs/>
        </w:rPr>
        <w:t xml:space="preserve">Deep gluteal syndrome: an overlooked cause of sciatica.</w:t>
      </w:r>
      <w:r>
        <w:t xml:space="preserve"> </w:t>
      </w:r>
      <w:r>
        <w:t xml:space="preserve">Br J Gen Pract, 2019 (editoriale). —</w:t>
      </w:r>
      <w:r>
        <w:t xml:space="preserve"> </w:t>
      </w:r>
      <w:hyperlink r:id="rId100">
        <w:r>
          <w:rPr>
            <w:rStyle w:val="Hyperlink"/>
          </w:rPr>
          <w:t xml:space="preserve">PMID 31558515</w:t>
        </w:r>
      </w:hyperlink>
    </w:p>
    <w:p>
      <w:pPr>
        <w:pStyle w:val="Compact"/>
        <w:numPr>
          <w:ilvl w:val="0"/>
          <w:numId w:val="1034"/>
        </w:numPr>
      </w:pPr>
      <w:r>
        <w:t xml:space="preserve">Lo JK, Robinson LR.</w:t>
      </w:r>
      <w:r>
        <w:t xml:space="preserve"> </w:t>
      </w:r>
      <w:r>
        <w:rPr>
          <w:i/>
          <w:iCs/>
        </w:rPr>
        <w:t xml:space="preserve">Deep gluteal syndrome.</w:t>
      </w:r>
      <w:r>
        <w:t xml:space="preserve"> </w:t>
      </w:r>
      <w:r>
        <w:t xml:space="preserve">Handb Clin Neurol, 2024. —</w:t>
      </w:r>
      <w:r>
        <w:t xml:space="preserve"> </w:t>
      </w:r>
      <w:hyperlink r:id="rId101">
        <w:r>
          <w:rPr>
            <w:rStyle w:val="Hyperlink"/>
          </w:rPr>
          <w:t xml:space="preserve">PMID 38697742</w:t>
        </w:r>
      </w:hyperlink>
    </w:p>
    <w:p>
      <w:pPr>
        <w:pStyle w:val="Compact"/>
        <w:numPr>
          <w:ilvl w:val="0"/>
          <w:numId w:val="1034"/>
        </w:numPr>
      </w:pPr>
      <w:r>
        <w:t xml:space="preserve">Wilke HJ, Neef P, Caimi M, Hoogland T, Claes LE.</w:t>
      </w:r>
      <w:r>
        <w:t xml:space="preserve"> </w:t>
      </w:r>
      <w:r>
        <w:rPr>
          <w:i/>
          <w:iCs/>
        </w:rPr>
        <w:t xml:space="preserve">New in vivo measurements of pressures in the intervertebral disc in daily life.</w:t>
      </w:r>
      <w:r>
        <w:t xml:space="preserve"> </w:t>
      </w:r>
      <w:r>
        <w:t xml:space="preserve">Spine, 1999. —</w:t>
      </w:r>
      <w:r>
        <w:t xml:space="preserve"> </w:t>
      </w:r>
      <w:hyperlink r:id="rId102">
        <w:r>
          <w:rPr>
            <w:rStyle w:val="Hyperlink"/>
          </w:rPr>
          <w:t xml:space="preserve">PMID 10222525</w:t>
        </w:r>
      </w:hyperlink>
    </w:p>
    <w:p>
      <w:pPr>
        <w:pStyle w:val="Compact"/>
        <w:numPr>
          <w:ilvl w:val="0"/>
          <w:numId w:val="1034"/>
        </w:numPr>
      </w:pPr>
      <w:r>
        <w:t xml:space="preserve">Shiri R, Lallukka T, Karppinen J, Viikari-Juntura E.</w:t>
      </w:r>
      <w:r>
        <w:t xml:space="preserve"> </w:t>
      </w:r>
      <w:r>
        <w:rPr>
          <w:i/>
          <w:iCs/>
        </w:rPr>
        <w:t xml:space="preserve">Obesity as a risk factor for sciatica: a meta-analysis.</w:t>
      </w:r>
      <w:r>
        <w:t xml:space="preserve"> </w:t>
      </w:r>
      <w:r>
        <w:t xml:space="preserve">Am J Epidemiol, 2014. —</w:t>
      </w:r>
      <w:r>
        <w:t xml:space="preserve"> </w:t>
      </w:r>
      <w:hyperlink r:id="rId103">
        <w:r>
          <w:rPr>
            <w:rStyle w:val="Hyperlink"/>
          </w:rPr>
          <w:t xml:space="preserve">PMID 24569641</w:t>
        </w:r>
      </w:hyperlink>
    </w:p>
    <w:p>
      <w:pPr>
        <w:pStyle w:val="Compact"/>
        <w:numPr>
          <w:ilvl w:val="0"/>
          <w:numId w:val="1034"/>
        </w:numPr>
      </w:pPr>
      <w:r>
        <w:t xml:space="preserve">Shiri R, Falah-Hassani K.</w:t>
      </w:r>
      <w:r>
        <w:t xml:space="preserve"> </w:t>
      </w:r>
      <w:r>
        <w:rPr>
          <w:i/>
          <w:iCs/>
        </w:rPr>
        <w:t xml:space="preserve">The effect of smoking on the risk of sciatica: a meta-analysis.</w:t>
      </w:r>
      <w:r>
        <w:t xml:space="preserve"> </w:t>
      </w:r>
      <w:r>
        <w:t xml:space="preserve">Am J Med, 2016. —</w:t>
      </w:r>
      <w:r>
        <w:t xml:space="preserve"> </w:t>
      </w:r>
      <w:hyperlink r:id="rId104">
        <w:r>
          <w:rPr>
            <w:rStyle w:val="Hyperlink"/>
          </w:rPr>
          <w:t xml:space="preserve">PMID 26403480</w:t>
        </w:r>
      </w:hyperlink>
    </w:p>
    <w:p>
      <w:pPr>
        <w:pStyle w:val="Compact"/>
        <w:numPr>
          <w:ilvl w:val="0"/>
          <w:numId w:val="1034"/>
        </w:numPr>
      </w:pPr>
      <w:r>
        <w:t xml:space="preserve">Verwoerd AJH, Luijsterburg PAJ, Lin CWC, et al. </w:t>
      </w:r>
      <w:r>
        <w:rPr>
          <w:i/>
          <w:iCs/>
        </w:rPr>
        <w:t xml:space="preserve">Systematic review of prognostic factors predicting outcome in non-surgically treated patients with sciatica.</w:t>
      </w:r>
      <w:r>
        <w:t xml:space="preserve"> </w:t>
      </w:r>
      <w:r>
        <w:t xml:space="preserve">Eur J Pain, 2013. —</w:t>
      </w:r>
      <w:r>
        <w:t xml:space="preserve"> </w:t>
      </w:r>
      <w:hyperlink r:id="rId105">
        <w:r>
          <w:rPr>
            <w:rStyle w:val="Hyperlink"/>
          </w:rPr>
          <w:t xml:space="preserve">PMID 23494852</w:t>
        </w:r>
      </w:hyperlink>
    </w:p>
    <w:p>
      <w:pPr>
        <w:pStyle w:val="Compact"/>
        <w:numPr>
          <w:ilvl w:val="0"/>
          <w:numId w:val="1034"/>
        </w:numPr>
      </w:pPr>
      <w:r>
        <w:t xml:space="preserve">Kent P, Haines T, O’Sullivan P, et al. </w:t>
      </w:r>
      <w:r>
        <w:rPr>
          <w:i/>
          <w:iCs/>
        </w:rPr>
        <w:t xml:space="preserve">Cognitive functional therapy with or without movement sensor biofeedback versus usual care for chronic, disabling low back pain (RESTORE).</w:t>
      </w:r>
      <w:r>
        <w:t xml:space="preserve"> </w:t>
      </w:r>
      <w:r>
        <w:t xml:space="preserve">Lancet, 2023. —</w:t>
      </w:r>
      <w:r>
        <w:t xml:space="preserve"> </w:t>
      </w:r>
      <w:hyperlink r:id="rId106">
        <w:r>
          <w:rPr>
            <w:rStyle w:val="Hyperlink"/>
          </w:rPr>
          <w:t xml:space="preserve">PMID 37146623</w:t>
        </w:r>
      </w:hyperlink>
    </w:p>
    <w:p>
      <w:pPr>
        <w:pStyle w:val="Compact"/>
        <w:numPr>
          <w:ilvl w:val="0"/>
          <w:numId w:val="1034"/>
        </w:numPr>
      </w:pPr>
      <w:r>
        <w:t xml:space="preserve">Vroomen PC, de Krom MC, Wilmink JT, Kester AD, Knottnerus JA.</w:t>
      </w:r>
      <w:r>
        <w:t xml:space="preserve"> </w:t>
      </w:r>
      <w:r>
        <w:rPr>
          <w:i/>
          <w:iCs/>
        </w:rPr>
        <w:t xml:space="preserve">Lack of effectiveness of bed rest for sciatica.</w:t>
      </w:r>
      <w:r>
        <w:t xml:space="preserve"> </w:t>
      </w:r>
      <w:r>
        <w:t xml:space="preserve">N Engl J Med, 1999. —</w:t>
      </w:r>
      <w:r>
        <w:t xml:space="preserve"> </w:t>
      </w:r>
      <w:hyperlink r:id="rId107">
        <w:r>
          <w:rPr>
            <w:rStyle w:val="Hyperlink"/>
          </w:rPr>
          <w:t xml:space="preserve">PMID 9971865</w:t>
        </w:r>
      </w:hyperlink>
    </w:p>
    <w:p>
      <w:pPr>
        <w:pStyle w:val="Compact"/>
        <w:numPr>
          <w:ilvl w:val="0"/>
          <w:numId w:val="1034"/>
        </w:numPr>
      </w:pPr>
      <w:r>
        <w:t xml:space="preserve">van der Windt DA, Simons E, Riphagen II, et al. </w:t>
      </w:r>
      <w:r>
        <w:rPr>
          <w:i/>
          <w:iCs/>
        </w:rPr>
        <w:t xml:space="preserve">Physical examination for lumbar radiculopathy due to disc herniation in patients with low-back pain.</w:t>
      </w:r>
      <w:r>
        <w:t xml:space="preserve"> </w:t>
      </w:r>
      <w:r>
        <w:t xml:space="preserve">Cochrane Database Syst Rev, 2010. —</w:t>
      </w:r>
      <w:r>
        <w:t xml:space="preserve"> </w:t>
      </w:r>
      <w:hyperlink r:id="rId108">
        <w:r>
          <w:rPr>
            <w:rStyle w:val="Hyperlink"/>
          </w:rPr>
          <w:t xml:space="preserve">PMID 20166095</w:t>
        </w:r>
      </w:hyperlink>
    </w:p>
    <w:p>
      <w:pPr>
        <w:pStyle w:val="Compact"/>
        <w:numPr>
          <w:ilvl w:val="0"/>
          <w:numId w:val="1034"/>
        </w:numPr>
      </w:pPr>
      <w:r>
        <w:t xml:space="preserve">Nee RJ, Coppieters MW, Boyd BS.</w:t>
      </w:r>
      <w:r>
        <w:t xml:space="preserve"> </w:t>
      </w:r>
      <w:r>
        <w:rPr>
          <w:i/>
          <w:iCs/>
        </w:rPr>
        <w:t xml:space="preserve">Reliability of the straight leg raise test for suspected lumbar radicular pain: a systematic review with meta-analysis.</w:t>
      </w:r>
      <w:r>
        <w:t xml:space="preserve"> </w:t>
      </w:r>
      <w:r>
        <w:t xml:space="preserve">Musculoskelet Sci Pract, 2022. —</w:t>
      </w:r>
      <w:r>
        <w:t xml:space="preserve"> </w:t>
      </w:r>
      <w:hyperlink r:id="rId109">
        <w:r>
          <w:rPr>
            <w:rStyle w:val="Hyperlink"/>
          </w:rPr>
          <w:t xml:space="preserve">PMID 35245880</w:t>
        </w:r>
      </w:hyperlink>
    </w:p>
    <w:p>
      <w:pPr>
        <w:pStyle w:val="Compact"/>
        <w:numPr>
          <w:ilvl w:val="0"/>
          <w:numId w:val="1034"/>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 —</w:t>
      </w:r>
      <w:r>
        <w:t xml:space="preserve"> </w:t>
      </w:r>
      <w:hyperlink r:id="rId110">
        <w:r>
          <w:rPr>
            <w:rStyle w:val="Hyperlink"/>
          </w:rPr>
          <w:t xml:space="preserve">PMID 22296867</w:t>
        </w:r>
      </w:hyperlink>
    </w:p>
    <w:p>
      <w:pPr>
        <w:pStyle w:val="Compact"/>
        <w:numPr>
          <w:ilvl w:val="0"/>
          <w:numId w:val="1034"/>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 —</w:t>
      </w:r>
      <w:r>
        <w:t xml:space="preserve"> </w:t>
      </w:r>
      <w:hyperlink r:id="rId111">
        <w:r>
          <w:rPr>
            <w:rStyle w:val="Hyperlink"/>
          </w:rPr>
          <w:t xml:space="preserve">PMID 23139428</w:t>
        </w:r>
      </w:hyperlink>
    </w:p>
    <w:p>
      <w:pPr>
        <w:pStyle w:val="Compact"/>
        <w:numPr>
          <w:ilvl w:val="0"/>
          <w:numId w:val="1034"/>
        </w:numPr>
      </w:pPr>
      <w:r>
        <w:t xml:space="preserve">National Institute for Health and Care Excellence.</w:t>
      </w:r>
      <w:r>
        <w:t xml:space="preserve"> </w:t>
      </w:r>
      <w:r>
        <w:rPr>
          <w:i/>
          <w:iCs/>
        </w:rPr>
        <w:t xml:space="preserve">Low back pain and sciatica in over 16s: assessment and management.</w:t>
      </w:r>
      <w:r>
        <w:t xml:space="preserve"> </w:t>
      </w:r>
      <w:r>
        <w:t xml:space="preserve">NICE guideline NG59, 2016, aggiornata 2020.</w:t>
      </w:r>
    </w:p>
    <w:p>
      <w:pPr>
        <w:pStyle w:val="Compact"/>
        <w:numPr>
          <w:ilvl w:val="0"/>
          <w:numId w:val="1034"/>
        </w:numPr>
      </w:pPr>
      <w:r>
        <w:t xml:space="preserve">Finucane LM, Downie A, Mercer C, et al. </w:t>
      </w:r>
      <w:r>
        <w:rPr>
          <w:i/>
          <w:iCs/>
        </w:rPr>
        <w:t xml:space="preserve">International Framework for Red Flags for Potential Serious Spinal Pathologies.</w:t>
      </w:r>
      <w:r>
        <w:t xml:space="preserve"> </w:t>
      </w:r>
      <w:r>
        <w:t xml:space="preserve">J Orthop Sports Phys Ther, 2020. —</w:t>
      </w:r>
      <w:r>
        <w:t xml:space="preserve"> </w:t>
      </w:r>
      <w:hyperlink r:id="rId112">
        <w:r>
          <w:rPr>
            <w:rStyle w:val="Hyperlink"/>
          </w:rPr>
          <w:t xml:space="preserve">PMID 32438853</w:t>
        </w:r>
      </w:hyperlink>
    </w:p>
    <w:p>
      <w:pPr>
        <w:pStyle w:val="Compact"/>
        <w:numPr>
          <w:ilvl w:val="0"/>
          <w:numId w:val="1034"/>
        </w:numPr>
      </w:pPr>
      <w:r>
        <w:t xml:space="preserve">Durant EJ, Copos S, Folck BF, et al. </w:t>
      </w:r>
      <w:r>
        <w:rPr>
          <w:i/>
          <w:iCs/>
        </w:rPr>
        <w:t xml:space="preserve">Diagnostic delays are common, and classic presentations are rare in spinal epidural abscess.</w:t>
      </w:r>
      <w:r>
        <w:t xml:space="preserve"> </w:t>
      </w:r>
      <w:r>
        <w:t xml:space="preserve">West J Emerg Med, 2025. —</w:t>
      </w:r>
      <w:r>
        <w:t xml:space="preserve"> </w:t>
      </w:r>
      <w:hyperlink r:id="rId113">
        <w:r>
          <w:rPr>
            <w:rStyle w:val="Hyperlink"/>
          </w:rPr>
          <w:t xml:space="preserve">PMID 40562008</w:t>
        </w:r>
      </w:hyperlink>
    </w:p>
    <w:p>
      <w:pPr>
        <w:pStyle w:val="Compact"/>
        <w:numPr>
          <w:ilvl w:val="0"/>
          <w:numId w:val="1034"/>
        </w:numPr>
      </w:pPr>
      <w:r>
        <w:t xml:space="preserve">Baig Mirza A, et al. </w:t>
      </w:r>
      <w:r>
        <w:rPr>
          <w:i/>
          <w:iCs/>
        </w:rPr>
        <w:t xml:space="preserve">Surgical outcomes of unilateral painful foot drop secondary to lumbar disc herniation.</w:t>
      </w:r>
      <w:r>
        <w:t xml:space="preserve"> </w:t>
      </w:r>
      <w:r>
        <w:t xml:space="preserve">J Neurosurg Spine, 2025. —</w:t>
      </w:r>
      <w:r>
        <w:t xml:space="preserve"> </w:t>
      </w:r>
      <w:hyperlink r:id="rId114">
        <w:r>
          <w:rPr>
            <w:rStyle w:val="Hyperlink"/>
          </w:rPr>
          <w:t xml:space="preserve">PMID 40184689</w:t>
        </w:r>
      </w:hyperlink>
    </w:p>
    <w:p>
      <w:pPr>
        <w:pStyle w:val="Compact"/>
        <w:numPr>
          <w:ilvl w:val="0"/>
          <w:numId w:val="1034"/>
        </w:numPr>
      </w:pPr>
      <w:r>
        <w:t xml:space="preserve">Thavarajasingam SG, et al. </w:t>
      </w:r>
      <w:r>
        <w:rPr>
          <w:i/>
          <w:iCs/>
        </w:rPr>
        <w:t xml:space="preserve">Indications for surgery versus conservative treatment in the management of lumbar disc herniations.</w:t>
      </w:r>
      <w:r>
        <w:t xml:space="preserve"> </w:t>
      </w:r>
      <w:r>
        <w:t xml:space="preserve">Brain Spine, 2025. —</w:t>
      </w:r>
      <w:r>
        <w:t xml:space="preserve"> </w:t>
      </w:r>
      <w:hyperlink r:id="rId115">
        <w:r>
          <w:rPr>
            <w:rStyle w:val="Hyperlink"/>
          </w:rPr>
          <w:t xml:space="preserve">PMID 41078967</w:t>
        </w:r>
      </w:hyperlink>
    </w:p>
    <w:p>
      <w:pPr>
        <w:pStyle w:val="Compact"/>
        <w:numPr>
          <w:ilvl w:val="0"/>
          <w:numId w:val="1034"/>
        </w:numPr>
      </w:pPr>
      <w:r>
        <w:t xml:space="preserve">Shaw B, Kinsella R, Henschke N, et al. </w:t>
      </w:r>
      <w:r>
        <w:rPr>
          <w:i/>
          <w:iCs/>
        </w:rPr>
        <w:t xml:space="preserve">Back pain</w:t>
      </w:r>
      <w:r>
        <w:rPr>
          <w:i/>
          <w:iCs/>
        </w:rPr>
        <w:t xml:space="preserve"> </w:t>
      </w:r>
      <w:r>
        <w:rPr>
          <w:i/>
          <w:iCs/>
        </w:rPr>
        <w:t xml:space="preserve">“red flags”</w:t>
      </w:r>
      <w:r>
        <w:rPr>
          <w:i/>
          <w:iCs/>
        </w:rPr>
        <w:t xml:space="preserve">: which are most predictive of serious pathology in the Emergency Department?</w:t>
      </w:r>
      <w:r>
        <w:t xml:space="preserve"> </w:t>
      </w:r>
      <w:r>
        <w:t xml:space="preserve">Eur Spine J, 2020. —</w:t>
      </w:r>
      <w:r>
        <w:t xml:space="preserve"> </w:t>
      </w:r>
      <w:hyperlink r:id="rId116">
        <w:r>
          <w:rPr>
            <w:rStyle w:val="Hyperlink"/>
          </w:rPr>
          <w:t xml:space="preserve">PMID 32495276</w:t>
        </w:r>
      </w:hyperlink>
    </w:p>
    <w:p>
      <w:pPr>
        <w:pStyle w:val="Compact"/>
        <w:numPr>
          <w:ilvl w:val="0"/>
          <w:numId w:val="1034"/>
        </w:numPr>
      </w:pPr>
      <w:r>
        <w:t xml:space="preserve">Kostiuk V, et al. </w:t>
      </w:r>
      <w:r>
        <w:rPr>
          <w:i/>
          <w:iCs/>
        </w:rPr>
        <w:t xml:space="preserve">Ruptured complex aortoiliac aneurysm in an elderly patient presenting with sciatica.</w:t>
      </w:r>
      <w:r>
        <w:t xml:space="preserve"> </w:t>
      </w:r>
      <w:r>
        <w:t xml:space="preserve">Vasc Endovascular Surg, 2025. —</w:t>
      </w:r>
      <w:r>
        <w:t xml:space="preserve"> </w:t>
      </w:r>
      <w:hyperlink r:id="rId117">
        <w:r>
          <w:rPr>
            <w:rStyle w:val="Hyperlink"/>
          </w:rPr>
          <w:t xml:space="preserve">PMID 39438778</w:t>
        </w:r>
      </w:hyperlink>
    </w:p>
    <w:p>
      <w:pPr>
        <w:pStyle w:val="Compact"/>
        <w:numPr>
          <w:ilvl w:val="0"/>
          <w:numId w:val="1034"/>
        </w:numPr>
      </w:pPr>
      <w:r>
        <w:t xml:space="preserve">Taylor WR, et al. </w:t>
      </w:r>
      <w:r>
        <w:rPr>
          <w:i/>
          <w:iCs/>
        </w:rPr>
        <w:t xml:space="preserve">Spontaneous spinal epidural hematoma: diagnosis and management.</w:t>
      </w:r>
      <w:r>
        <w:t xml:space="preserve"> </w:t>
      </w:r>
      <w:r>
        <w:t xml:space="preserve">J Spine Surg, 2026. —</w:t>
      </w:r>
      <w:r>
        <w:t xml:space="preserve"> </w:t>
      </w:r>
      <w:hyperlink r:id="rId118">
        <w:r>
          <w:rPr>
            <w:rStyle w:val="Hyperlink"/>
          </w:rPr>
          <w:t xml:space="preserve">PMID 42294381</w:t>
        </w:r>
      </w:hyperlink>
    </w:p>
    <w:p>
      <w:pPr>
        <w:pStyle w:val="Compact"/>
        <w:numPr>
          <w:ilvl w:val="0"/>
          <w:numId w:val="1034"/>
        </w:numPr>
      </w:pPr>
      <w:r>
        <w:t xml:space="preserve">Woodfield J, Hoeritzauer I, Jamjoom AAB, et al. </w:t>
      </w:r>
      <w:r>
        <w:rPr>
          <w:i/>
          <w:iCs/>
        </w:rPr>
        <w:t xml:space="preserve">Demographics of cauda equina syndrome: a population-based incidence study.</w:t>
      </w:r>
      <w:r>
        <w:t xml:space="preserve"> </w:t>
      </w:r>
      <w:r>
        <w:t xml:space="preserve">Neuroepidemiology, 2022. —</w:t>
      </w:r>
      <w:r>
        <w:t xml:space="preserve"> </w:t>
      </w:r>
      <w:hyperlink r:id="rId119">
        <w:r>
          <w:rPr>
            <w:rStyle w:val="Hyperlink"/>
          </w:rPr>
          <w:t xml:space="preserve">PMID 36315989</w:t>
        </w:r>
      </w:hyperlink>
    </w:p>
    <w:p>
      <w:pPr>
        <w:pStyle w:val="Compact"/>
        <w:numPr>
          <w:ilvl w:val="0"/>
          <w:numId w:val="1034"/>
        </w:numPr>
      </w:pPr>
      <w:r>
        <w:t xml:space="preserve">Haldeman S, Rubinstein SM.</w:t>
      </w:r>
      <w:r>
        <w:t xml:space="preserve"> </w:t>
      </w:r>
      <w:r>
        <w:rPr>
          <w:i/>
          <w:iCs/>
        </w:rPr>
        <w:t xml:space="preserve">Cauda equina syndrome in patients undergoing manipulation of the lumbar spine.</w:t>
      </w:r>
      <w:r>
        <w:t xml:space="preserve"> </w:t>
      </w:r>
      <w:r>
        <w:t xml:space="preserve">Spine, 1992. —</w:t>
      </w:r>
      <w:r>
        <w:t xml:space="preserve"> </w:t>
      </w:r>
      <w:hyperlink r:id="rId120">
        <w:r>
          <w:rPr>
            <w:rStyle w:val="Hyperlink"/>
          </w:rPr>
          <w:t xml:space="preserve">PMID 1471004</w:t>
        </w:r>
      </w:hyperlink>
    </w:p>
    <w:p>
      <w:pPr>
        <w:pStyle w:val="Compact"/>
        <w:numPr>
          <w:ilvl w:val="0"/>
          <w:numId w:val="1034"/>
        </w:numPr>
      </w:pPr>
      <w:r>
        <w:t xml:space="preserve">Mathieson S, Maher CG, McLachlan AJ, et al. </w:t>
      </w:r>
      <w:r>
        <w:rPr>
          <w:i/>
          <w:iCs/>
        </w:rPr>
        <w:t xml:space="preserve">Trial of pregabalin for acute and chronic sciatica.</w:t>
      </w:r>
      <w:r>
        <w:t xml:space="preserve"> </w:t>
      </w:r>
      <w:r>
        <w:t xml:space="preserve">N Engl J Med, 2017. —</w:t>
      </w:r>
      <w:r>
        <w:t xml:space="preserve"> </w:t>
      </w:r>
      <w:hyperlink r:id="rId121">
        <w:r>
          <w:rPr>
            <w:rStyle w:val="Hyperlink"/>
          </w:rPr>
          <w:t xml:space="preserve">PMID 28328324</w:t>
        </w:r>
      </w:hyperlink>
    </w:p>
    <w:p>
      <w:pPr>
        <w:pStyle w:val="Compact"/>
        <w:numPr>
          <w:ilvl w:val="0"/>
          <w:numId w:val="1034"/>
        </w:numPr>
      </w:pPr>
      <w:r>
        <w:t xml:space="preserve">Zhu Z, Schouten T, Strijkers R, Koes B, Chiarotto A, Gerger H.</w:t>
      </w:r>
      <w:r>
        <w:t xml:space="preserve"> </w:t>
      </w:r>
      <w:r>
        <w:rPr>
          <w:i/>
          <w:iCs/>
        </w:rPr>
        <w:t xml:space="preserve">Effectiveness of nonsurgical interventions for patients with acute and subacute sciatica.</w:t>
      </w:r>
      <w:r>
        <w:t xml:space="preserve"> </w:t>
      </w:r>
      <w:r>
        <w:t xml:space="preserve">J Orthop Sports Phys Ther, 2025. —</w:t>
      </w:r>
      <w:r>
        <w:t xml:space="preserve"> </w:t>
      </w:r>
      <w:hyperlink r:id="rId122">
        <w:r>
          <w:rPr>
            <w:rStyle w:val="Hyperlink"/>
          </w:rPr>
          <w:t xml:space="preserve">PMID 40434940</w:t>
        </w:r>
      </w:hyperlink>
    </w:p>
    <w:p>
      <w:pPr>
        <w:pStyle w:val="Compact"/>
        <w:numPr>
          <w:ilvl w:val="0"/>
          <w:numId w:val="1034"/>
        </w:numPr>
      </w:pPr>
      <w:r>
        <w:t xml:space="preserve">Zhu Z, Schouten T, Strijkers R, Koes B, Gerger H, Chiarotto A.</w:t>
      </w:r>
      <w:r>
        <w:t xml:space="preserve"> </w:t>
      </w:r>
      <w:r>
        <w:rPr>
          <w:i/>
          <w:iCs/>
        </w:rPr>
        <w:t xml:space="preserve">Effectiveness of non-surgical interventions for patients with chronic sciatica.</w:t>
      </w:r>
      <w:r>
        <w:t xml:space="preserve"> </w:t>
      </w:r>
      <w:r>
        <w:t xml:space="preserve">J Pain, 2025. —</w:t>
      </w:r>
      <w:r>
        <w:t xml:space="preserve"> </w:t>
      </w:r>
      <w:hyperlink r:id="rId123">
        <w:r>
          <w:rPr>
            <w:rStyle w:val="Hyperlink"/>
          </w:rPr>
          <w:t xml:space="preserve">PMID 40373933</w:t>
        </w:r>
      </w:hyperlink>
    </w:p>
    <w:p>
      <w:pPr>
        <w:pStyle w:val="Compact"/>
        <w:numPr>
          <w:ilvl w:val="0"/>
          <w:numId w:val="1034"/>
        </w:numPr>
      </w:pPr>
      <w:r>
        <w:t xml:space="preserve">Fritz JM, Lane E, McFadden M, et al. </w:t>
      </w:r>
      <w:r>
        <w:rPr>
          <w:i/>
          <w:iCs/>
        </w:rPr>
        <w:t xml:space="preserve">Physical therapy referral from primary care for acute back pain with sciatica: a randomized controlled trial.</w:t>
      </w:r>
      <w:r>
        <w:t xml:space="preserve"> </w:t>
      </w:r>
      <w:r>
        <w:t xml:space="preserve">Ann Intern Med, 2021. —</w:t>
      </w:r>
      <w:r>
        <w:t xml:space="preserve"> </w:t>
      </w:r>
      <w:hyperlink r:id="rId124">
        <w:r>
          <w:rPr>
            <w:rStyle w:val="Hyperlink"/>
          </w:rPr>
          <w:t xml:space="preserve">PMID 33017565</w:t>
        </w:r>
      </w:hyperlink>
    </w:p>
    <w:p>
      <w:pPr>
        <w:pStyle w:val="Compact"/>
        <w:numPr>
          <w:ilvl w:val="0"/>
          <w:numId w:val="1034"/>
        </w:numPr>
      </w:pPr>
      <w:r>
        <w:t xml:space="preserve">Santilli V, Beghi E, Finucci S.</w:t>
      </w:r>
      <w:r>
        <w:t xml:space="preserve"> </w:t>
      </w:r>
      <w:r>
        <w:rPr>
          <w:i/>
          <w:iCs/>
        </w:rPr>
        <w:t xml:space="preserve">Chiropractic manipulation in the treatment of acute back pain and sciatica with disc protrusion.</w:t>
      </w:r>
      <w:r>
        <w:t xml:space="preserve"> </w:t>
      </w:r>
      <w:r>
        <w:t xml:space="preserve">Spine J, 2006. —</w:t>
      </w:r>
      <w:r>
        <w:t xml:space="preserve"> </w:t>
      </w:r>
      <w:hyperlink r:id="rId125">
        <w:r>
          <w:rPr>
            <w:rStyle w:val="Hyperlink"/>
          </w:rPr>
          <w:t xml:space="preserve">PMID 16517383</w:t>
        </w:r>
      </w:hyperlink>
    </w:p>
    <w:p>
      <w:pPr>
        <w:pStyle w:val="Compact"/>
        <w:numPr>
          <w:ilvl w:val="0"/>
          <w:numId w:val="1034"/>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 Manipulative Physiol Ther, 2015. —</w:t>
      </w:r>
      <w:r>
        <w:t xml:space="preserve"> </w:t>
      </w:r>
      <w:hyperlink r:id="rId126">
        <w:r>
          <w:rPr>
            <w:rStyle w:val="Hyperlink"/>
          </w:rPr>
          <w:t xml:space="preserve">PMID 23787298</w:t>
        </w:r>
      </w:hyperlink>
    </w:p>
    <w:p>
      <w:pPr>
        <w:pStyle w:val="Compact"/>
        <w:numPr>
          <w:ilvl w:val="0"/>
          <w:numId w:val="1034"/>
        </w:numPr>
      </w:pPr>
      <w:r>
        <w:t xml:space="preserve">Yang SD, Chen Q, Ding WY.</w:t>
      </w:r>
      <w:r>
        <w:t xml:space="preserve"> </w:t>
      </w:r>
      <w:r>
        <w:rPr>
          <w:i/>
          <w:iCs/>
        </w:rPr>
        <w:t xml:space="preserve">Cauda equina syndrome due to vigorous back massage with spinal manipulation in a patient with pre-existing lumbar disc herniation.</w:t>
      </w:r>
      <w:r>
        <w:t xml:space="preserve"> </w:t>
      </w:r>
      <w:r>
        <w:t xml:space="preserve">Am J Phys Med Rehabil, 2018. —</w:t>
      </w:r>
      <w:r>
        <w:t xml:space="preserve"> </w:t>
      </w:r>
      <w:hyperlink r:id="rId127">
        <w:r>
          <w:rPr>
            <w:rStyle w:val="Hyperlink"/>
          </w:rPr>
          <w:t xml:space="preserve">PMID 28796647</w:t>
        </w:r>
      </w:hyperlink>
    </w:p>
    <w:p>
      <w:pPr>
        <w:pStyle w:val="Compact"/>
        <w:numPr>
          <w:ilvl w:val="0"/>
          <w:numId w:val="1034"/>
        </w:numPr>
      </w:pPr>
      <w:r>
        <w:t xml:space="preserve">Trager RJ, et al. </w:t>
      </w:r>
      <w:r>
        <w:rPr>
          <w:i/>
          <w:iCs/>
        </w:rPr>
        <w:t xml:space="preserve">Association between chiropractic spinal manipulation and cauda equina syndrome in adults with low back pain.</w:t>
      </w:r>
      <w:r>
        <w:t xml:space="preserve"> </w:t>
      </w:r>
      <w:r>
        <w:t xml:space="preserve">PLoS One, 2024. —</w:t>
      </w:r>
      <w:r>
        <w:t xml:space="preserve"> </w:t>
      </w:r>
      <w:hyperlink r:id="rId128">
        <w:r>
          <w:rPr>
            <w:rStyle w:val="Hyperlink"/>
          </w:rPr>
          <w:t xml:space="preserve">PMID 38466710</w:t>
        </w:r>
      </w:hyperlink>
    </w:p>
    <w:p>
      <w:pPr>
        <w:pStyle w:val="Compact"/>
        <w:numPr>
          <w:ilvl w:val="0"/>
          <w:numId w:val="1034"/>
        </w:numPr>
      </w:pPr>
      <w:r>
        <w:t xml:space="preserve">Lin LH, Lin TY, Chang KV, Wu WT, Özçakar L.</w:t>
      </w:r>
      <w:r>
        <w:t xml:space="preserve"> </w:t>
      </w:r>
      <w:r>
        <w:rPr>
          <w:i/>
          <w:iCs/>
        </w:rPr>
        <w:t xml:space="preserve">Neural mobilization for reducing pain and disability in patients with lumbar radiculopathy.</w:t>
      </w:r>
      <w:r>
        <w:t xml:space="preserve"> </w:t>
      </w:r>
      <w:r>
        <w:t xml:space="preserve">Life (Basel), 2023. —</w:t>
      </w:r>
      <w:r>
        <w:t xml:space="preserve"> </w:t>
      </w:r>
      <w:hyperlink r:id="rId129">
        <w:r>
          <w:rPr>
            <w:rStyle w:val="Hyperlink"/>
          </w:rPr>
          <w:t xml:space="preserve">PMID 38137856</w:t>
        </w:r>
      </w:hyperlink>
    </w:p>
    <w:p>
      <w:pPr>
        <w:pStyle w:val="Compact"/>
        <w:numPr>
          <w:ilvl w:val="0"/>
          <w:numId w:val="1034"/>
        </w:numPr>
      </w:pPr>
      <w:r>
        <w:t xml:space="preserve">Plaza-Manzano G, Cancela-Cilleruelo I, Fernández-de-las-Peñas C, et al. </w:t>
      </w:r>
      <w:r>
        <w:rPr>
          <w:i/>
          <w:iCs/>
        </w:rPr>
        <w:t xml:space="preserve">Effects of adding a neurodynamic mobilization to motor control training in patients with lumbar radiculopathy due to disc herniation.</w:t>
      </w:r>
      <w:r>
        <w:t xml:space="preserve"> </w:t>
      </w:r>
      <w:r>
        <w:t xml:space="preserve">Am J Phys Med Rehabil, 2020. —</w:t>
      </w:r>
      <w:r>
        <w:t xml:space="preserve"> </w:t>
      </w:r>
      <w:hyperlink r:id="rId130">
        <w:r>
          <w:rPr>
            <w:rStyle w:val="Hyperlink"/>
          </w:rPr>
          <w:t xml:space="preserve">PMID 31464753</w:t>
        </w:r>
      </w:hyperlink>
    </w:p>
    <w:p>
      <w:pPr>
        <w:pStyle w:val="Compact"/>
        <w:numPr>
          <w:ilvl w:val="0"/>
          <w:numId w:val="1034"/>
        </w:numPr>
      </w:pPr>
      <w:r>
        <w:t xml:space="preserve">Laborde S, Allen MS, Borges U, et al. </w:t>
      </w:r>
      <w:r>
        <w:rPr>
          <w:i/>
          <w:iCs/>
        </w:rPr>
        <w:t xml:space="preserve">Effects of voluntary slow breathing on heart rate and heart rate variability.</w:t>
      </w:r>
      <w:r>
        <w:t xml:space="preserve"> </w:t>
      </w:r>
      <w:r>
        <w:t xml:space="preserve">Neurosci Biobehav Rev, 2022. —</w:t>
      </w:r>
      <w:r>
        <w:t xml:space="preserve"> </w:t>
      </w:r>
      <w:hyperlink r:id="rId131">
        <w:r>
          <w:rPr>
            <w:rStyle w:val="Hyperlink"/>
          </w:rPr>
          <w:t xml:space="preserve">PMID 35623448</w:t>
        </w:r>
      </w:hyperlink>
    </w:p>
    <w:p>
      <w:pPr>
        <w:pStyle w:val="Compact"/>
        <w:numPr>
          <w:ilvl w:val="0"/>
          <w:numId w:val="1034"/>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 —</w:t>
      </w:r>
      <w:r>
        <w:t xml:space="preserve"> </w:t>
      </w:r>
      <w:hyperlink r:id="rId132">
        <w:r>
          <w:rPr>
            <w:rStyle w:val="Hyperlink"/>
          </w:rPr>
          <w:t xml:space="preserve">PMID 39920074</w:t>
        </w:r>
      </w:hyperlink>
    </w:p>
    <w:p>
      <w:pPr>
        <w:pStyle w:val="Compact"/>
        <w:numPr>
          <w:ilvl w:val="0"/>
          <w:numId w:val="1034"/>
        </w:numPr>
      </w:pPr>
      <w:r>
        <w:t xml:space="preserve">Wegner I, Widyahening IS, van Tulder MW, et al. </w:t>
      </w:r>
      <w:r>
        <w:rPr>
          <w:i/>
          <w:iCs/>
        </w:rPr>
        <w:t xml:space="preserve">Traction for low-back pain with or without sciatica.</w:t>
      </w:r>
      <w:r>
        <w:t xml:space="preserve"> </w:t>
      </w:r>
      <w:r>
        <w:t xml:space="preserve">Cochrane Database Syst Rev, 2013. —</w:t>
      </w:r>
      <w:r>
        <w:t xml:space="preserve"> </w:t>
      </w:r>
      <w:hyperlink r:id="rId133">
        <w:r>
          <w:rPr>
            <w:rStyle w:val="Hyperlink"/>
          </w:rPr>
          <w:t xml:space="preserve">PMID 23959683</w:t>
        </w:r>
      </w:hyperlink>
    </w:p>
    <w:p>
      <w:pPr>
        <w:pStyle w:val="Compact"/>
        <w:numPr>
          <w:ilvl w:val="0"/>
          <w:numId w:val="1034"/>
        </w:numPr>
      </w:pPr>
      <w:r>
        <w:t xml:space="preserve">Muanjai P, Namsawang J.</w:t>
      </w:r>
      <w:r>
        <w:t xml:space="preserve"> </w:t>
      </w:r>
      <w:r>
        <w:rPr>
          <w:i/>
          <w:iCs/>
        </w:rPr>
        <w:t xml:space="preserve">Effects of neurodynamic sliding on hamstring flexibility and fascicle length.</w:t>
      </w:r>
      <w:r>
        <w:t xml:space="preserve"> </w:t>
      </w:r>
      <w:r>
        <w:t xml:space="preserve">J Bodyw Mov Ther, 2023. —</w:t>
      </w:r>
      <w:r>
        <w:t xml:space="preserve"> </w:t>
      </w:r>
      <w:hyperlink r:id="rId134">
        <w:r>
          <w:rPr>
            <w:rStyle w:val="Hyperlink"/>
          </w:rPr>
          <w:t xml:space="preserve">PMID 37330810</w:t>
        </w:r>
      </w:hyperlink>
    </w:p>
    <w:p>
      <w:pPr>
        <w:pStyle w:val="Compact"/>
        <w:numPr>
          <w:ilvl w:val="0"/>
          <w:numId w:val="1034"/>
        </w:numPr>
      </w:pPr>
      <w:r>
        <w:t xml:space="preserve">O’Keeffe M, Ferreira GE, Harris IA, et al. </w:t>
      </w:r>
      <w:r>
        <w:rPr>
          <w:i/>
          <w:iCs/>
        </w:rPr>
        <w:t xml:space="preserve">Effect of diagnostic labelling on management intentions for non-specific low back pain: a randomized scenario-based experiment.</w:t>
      </w:r>
      <w:r>
        <w:t xml:space="preserve"> </w:t>
      </w:r>
      <w:r>
        <w:t xml:space="preserve">Eur J Pain, 2022. —</w:t>
      </w:r>
      <w:r>
        <w:t xml:space="preserve"> </w:t>
      </w:r>
      <w:hyperlink r:id="rId135">
        <w:r>
          <w:rPr>
            <w:rStyle w:val="Hyperlink"/>
          </w:rPr>
          <w:t xml:space="preserve">PMID 35616226</w:t>
        </w:r>
      </w:hyperlink>
    </w:p>
    <w:p>
      <w:pPr>
        <w:pStyle w:val="Compact"/>
        <w:numPr>
          <w:ilvl w:val="0"/>
          <w:numId w:val="1034"/>
        </w:numPr>
      </w:pPr>
      <w:r>
        <w:t xml:space="preserve">Dahm KT, Brurberg KG, Jamtvedt G, Hagen KB.</w:t>
      </w:r>
      <w:r>
        <w:t xml:space="preserve"> </w:t>
      </w:r>
      <w:r>
        <w:rPr>
          <w:i/>
          <w:iCs/>
        </w:rPr>
        <w:t xml:space="preserve">Advice to rest in bed versus advice to stay active for acute low-back pain and sciatica.</w:t>
      </w:r>
      <w:r>
        <w:t xml:space="preserve"> </w:t>
      </w:r>
      <w:r>
        <w:t xml:space="preserve">Cochrane Database Syst Rev, 2010. —</w:t>
      </w:r>
      <w:r>
        <w:t xml:space="preserve"> </w:t>
      </w:r>
      <w:hyperlink r:id="rId136">
        <w:r>
          <w:rPr>
            <w:rStyle w:val="Hyperlink"/>
          </w:rPr>
          <w:t xml:space="preserve">PMID 20556780</w:t>
        </w:r>
      </w:hyperlink>
    </w:p>
    <w:p>
      <w:pPr>
        <w:pStyle w:val="Compact"/>
        <w:numPr>
          <w:ilvl w:val="0"/>
          <w:numId w:val="1034"/>
        </w:numPr>
      </w:pPr>
      <w:r>
        <w:t xml:space="preserve">Fernandez M, Hartvigsen J, Ferreira ML, et al. </w:t>
      </w:r>
      <w:r>
        <w:rPr>
          <w:i/>
          <w:iCs/>
        </w:rPr>
        <w:t xml:space="preserve">Advice to stay active or structured exercise in the management of sciatica.</w:t>
      </w:r>
      <w:r>
        <w:t xml:space="preserve"> </w:t>
      </w:r>
      <w:r>
        <w:t xml:space="preserve">Spine, 2015. —</w:t>
      </w:r>
      <w:r>
        <w:t xml:space="preserve"> </w:t>
      </w:r>
      <w:hyperlink r:id="rId137">
        <w:r>
          <w:rPr>
            <w:rStyle w:val="Hyperlink"/>
          </w:rPr>
          <w:t xml:space="preserve">PMID 26165218</w:t>
        </w:r>
      </w:hyperlink>
    </w:p>
    <w:p>
      <w:pPr>
        <w:pStyle w:val="Compact"/>
        <w:numPr>
          <w:ilvl w:val="0"/>
          <w:numId w:val="1034"/>
        </w:numPr>
      </w:pPr>
      <w:r>
        <w:t xml:space="preserve">Du S, Cui Z, Peng S, et al. </w:t>
      </w:r>
      <w:r>
        <w:rPr>
          <w:i/>
          <w:iCs/>
        </w:rPr>
        <w:t xml:space="preserve">Clinical efficacy of exercise therapy for lumbar disc herniation.</w:t>
      </w:r>
      <w:r>
        <w:t xml:space="preserve"> </w:t>
      </w:r>
      <w:r>
        <w:t xml:space="preserve">Front Med, 2025. —</w:t>
      </w:r>
      <w:r>
        <w:t xml:space="preserve"> </w:t>
      </w:r>
      <w:hyperlink r:id="rId138">
        <w:r>
          <w:rPr>
            <w:rStyle w:val="Hyperlink"/>
          </w:rPr>
          <w:t xml:space="preserve">PMID 40224631</w:t>
        </w:r>
      </w:hyperlink>
    </w:p>
    <w:p>
      <w:pPr>
        <w:pStyle w:val="Compact"/>
        <w:numPr>
          <w:ilvl w:val="0"/>
          <w:numId w:val="1034"/>
        </w:numPr>
      </w:pPr>
      <w:r>
        <w:t xml:space="preserve">Kilpikoski S, Kääriäinen M, Paananen M, et al. </w:t>
      </w:r>
      <w:r>
        <w:rPr>
          <w:i/>
          <w:iCs/>
        </w:rPr>
        <w:t xml:space="preserve">McKenzie method compared with guideline-based advice for patients with sciatica: 24-month results.</w:t>
      </w:r>
      <w:r>
        <w:t xml:space="preserve"> </w:t>
      </w:r>
      <w:r>
        <w:t xml:space="preserve">Clin Rehabil, 2024. —</w:t>
      </w:r>
      <w:r>
        <w:t xml:space="preserve"> </w:t>
      </w:r>
      <w:hyperlink r:id="rId139">
        <w:r>
          <w:rPr>
            <w:rStyle w:val="Hyperlink"/>
          </w:rPr>
          <w:t xml:space="preserve">PMID 37605454</w:t>
        </w:r>
      </w:hyperlink>
    </w:p>
    <w:p>
      <w:pPr>
        <w:pStyle w:val="Compact"/>
        <w:numPr>
          <w:ilvl w:val="0"/>
          <w:numId w:val="1034"/>
        </w:numPr>
      </w:pPr>
      <w:r>
        <w:t xml:space="preserve">Jones LD, et al. </w:t>
      </w:r>
      <w:r>
        <w:rPr>
          <w:i/>
          <w:iCs/>
        </w:rPr>
        <w:t xml:space="preserve">Adherence to exercise and outcomes in chronic low back pain: a systematic review with meta-analysis.</w:t>
      </w:r>
      <w:r>
        <w:t xml:space="preserve"> </w:t>
      </w:r>
      <w:r>
        <w:t xml:space="preserve">J Physiother, 2025. —</w:t>
      </w:r>
      <w:r>
        <w:t xml:space="preserve"> </w:t>
      </w:r>
      <w:hyperlink r:id="rId140">
        <w:r>
          <w:rPr>
            <w:rStyle w:val="Hyperlink"/>
          </w:rPr>
          <w:t xml:space="preserve">PMID 40175237</w:t>
        </w:r>
      </w:hyperlink>
    </w:p>
    <w:p>
      <w:pPr>
        <w:pStyle w:val="Compact"/>
        <w:numPr>
          <w:ilvl w:val="0"/>
          <w:numId w:val="1034"/>
        </w:numPr>
      </w:pPr>
      <w:r>
        <w:t xml:space="preserve">Furlong B, Etchegary H, Aubrey-Bassler K, et al. </w:t>
      </w:r>
      <w:r>
        <w:rPr>
          <w:i/>
          <w:iCs/>
        </w:rPr>
        <w:t xml:space="preserve">Patient education materials for non-specific low back pain and sciatica: a systematic review and meta-analysis.</w:t>
      </w:r>
      <w:r>
        <w:t xml:space="preserve"> </w:t>
      </w:r>
      <w:r>
        <w:t xml:space="preserve">PLoS One, 2022. —</w:t>
      </w:r>
      <w:r>
        <w:t xml:space="preserve"> </w:t>
      </w:r>
      <w:hyperlink r:id="rId141">
        <w:r>
          <w:rPr>
            <w:rStyle w:val="Hyperlink"/>
          </w:rPr>
          <w:t xml:space="preserve">PMID 36223377</w:t>
        </w:r>
      </w:hyperlink>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2" Target="https://pubmed.ncbi.nlm.nih.gov/10222525/" TargetMode="External" /><Relationship Type="http://schemas.openxmlformats.org/officeDocument/2006/relationships/hyperlink" Id="rId120" Target="https://pubmed.ncbi.nlm.nih.gov/1471004/" TargetMode="External" /><Relationship Type="http://schemas.openxmlformats.org/officeDocument/2006/relationships/hyperlink" Id="rId125" Target="https://pubmed.ncbi.nlm.nih.gov/16517383/" TargetMode="External" /><Relationship Type="http://schemas.openxmlformats.org/officeDocument/2006/relationships/hyperlink" Id="rId95" Target="https://pubmed.ncbi.nlm.nih.gov/16838375/" TargetMode="External" /><Relationship Type="http://schemas.openxmlformats.org/officeDocument/2006/relationships/hyperlink" Id="rId94" Target="https://pubmed.ncbi.nlm.nih.gov/17398140/" TargetMode="External" /><Relationship Type="http://schemas.openxmlformats.org/officeDocument/2006/relationships/hyperlink" Id="rId86" Target="https://pubmed.ncbi.nlm.nih.gov/17538084/" TargetMode="External" /><Relationship Type="http://schemas.openxmlformats.org/officeDocument/2006/relationships/hyperlink" Id="rId84" Target="https://pubmed.ncbi.nlm.nih.gov/18923325/" TargetMode="External" /><Relationship Type="http://schemas.openxmlformats.org/officeDocument/2006/relationships/hyperlink" Id="rId80" Target="https://pubmed.ncbi.nlm.nih.gov/19762151/" TargetMode="External" /><Relationship Type="http://schemas.openxmlformats.org/officeDocument/2006/relationships/hyperlink" Id="rId99" Target="https://pubmed.ncbi.nlm.nih.gov/19998490/" TargetMode="External" /><Relationship Type="http://schemas.openxmlformats.org/officeDocument/2006/relationships/hyperlink" Id="rId108" Target="https://pubmed.ncbi.nlm.nih.gov/20166095/" TargetMode="External" /><Relationship Type="http://schemas.openxmlformats.org/officeDocument/2006/relationships/hyperlink" Id="rId98" Target="https://pubmed.ncbi.nlm.nih.gov/20421859/" TargetMode="External" /><Relationship Type="http://schemas.openxmlformats.org/officeDocument/2006/relationships/hyperlink" Id="rId136" Target="https://pubmed.ncbi.nlm.nih.gov/20556780/" TargetMode="External" /><Relationship Type="http://schemas.openxmlformats.org/officeDocument/2006/relationships/hyperlink" Id="rId110" Target="https://pubmed.ncbi.nlm.nih.gov/22296867/" TargetMode="External" /><Relationship Type="http://schemas.openxmlformats.org/officeDocument/2006/relationships/hyperlink" Id="rId96" Target="https://pubmed.ncbi.nlm.nih.gov/22711174/" TargetMode="External" /><Relationship Type="http://schemas.openxmlformats.org/officeDocument/2006/relationships/hyperlink" Id="rId111" Target="https://pubmed.ncbi.nlm.nih.gov/23139428/" TargetMode="External" /><Relationship Type="http://schemas.openxmlformats.org/officeDocument/2006/relationships/hyperlink" Id="rId105" Target="https://pubmed.ncbi.nlm.nih.gov/23494852/" TargetMode="External" /><Relationship Type="http://schemas.openxmlformats.org/officeDocument/2006/relationships/hyperlink" Id="rId92" Target="https://pubmed.ncbi.nlm.nih.gov/23771220/" TargetMode="External" /><Relationship Type="http://schemas.openxmlformats.org/officeDocument/2006/relationships/hyperlink" Id="rId126" Target="https://pubmed.ncbi.nlm.nih.gov/23787298/" TargetMode="External" /><Relationship Type="http://schemas.openxmlformats.org/officeDocument/2006/relationships/hyperlink" Id="rId133" Target="https://pubmed.ncbi.nlm.nih.gov/23959683/" TargetMode="External" /><Relationship Type="http://schemas.openxmlformats.org/officeDocument/2006/relationships/hyperlink" Id="rId103" Target="https://pubmed.ncbi.nlm.nih.gov/24569641/" TargetMode="External" /><Relationship Type="http://schemas.openxmlformats.org/officeDocument/2006/relationships/hyperlink" Id="rId87" Target="https://pubmed.ncbi.nlm.nih.gov/25009200/" TargetMode="External" /><Relationship Type="http://schemas.openxmlformats.org/officeDocument/2006/relationships/hyperlink" Id="rId88" Target="https://pubmed.ncbi.nlm.nih.gov/25430861/" TargetMode="External" /><Relationship Type="http://schemas.openxmlformats.org/officeDocument/2006/relationships/hyperlink" Id="rId137" Target="https://pubmed.ncbi.nlm.nih.gov/26165218/" TargetMode="External" /><Relationship Type="http://schemas.openxmlformats.org/officeDocument/2006/relationships/hyperlink" Id="rId104" Target="https://pubmed.ncbi.nlm.nih.gov/26403480/" TargetMode="External" /><Relationship Type="http://schemas.openxmlformats.org/officeDocument/2006/relationships/hyperlink" Id="rId121" Target="https://pubmed.ncbi.nlm.nih.gov/28328324/" TargetMode="External" /><Relationship Type="http://schemas.openxmlformats.org/officeDocument/2006/relationships/hyperlink" Id="rId127" Target="https://pubmed.ncbi.nlm.nih.gov/28796647/" TargetMode="External" /><Relationship Type="http://schemas.openxmlformats.org/officeDocument/2006/relationships/hyperlink" Id="rId85" Target="https://pubmed.ncbi.nlm.nih.gov/29174459/" TargetMode="External" /><Relationship Type="http://schemas.openxmlformats.org/officeDocument/2006/relationships/hyperlink" Id="rId90" Target="https://pubmed.ncbi.nlm.nih.gov/30530723/" TargetMode="External" /><Relationship Type="http://schemas.openxmlformats.org/officeDocument/2006/relationships/hyperlink" Id="rId130" Target="https://pubmed.ncbi.nlm.nih.gov/31464753/" TargetMode="External" /><Relationship Type="http://schemas.openxmlformats.org/officeDocument/2006/relationships/hyperlink" Id="rId100" Target="https://pubmed.ncbi.nlm.nih.gov/31558515/" TargetMode="External" /><Relationship Type="http://schemas.openxmlformats.org/officeDocument/2006/relationships/hyperlink" Id="rId79" Target="https://pubmed.ncbi.nlm.nih.gov/32271952/" TargetMode="External" /><Relationship Type="http://schemas.openxmlformats.org/officeDocument/2006/relationships/hyperlink" Id="rId112" Target="https://pubmed.ncbi.nlm.nih.gov/32438853/" TargetMode="External" /><Relationship Type="http://schemas.openxmlformats.org/officeDocument/2006/relationships/hyperlink" Id="rId116" Target="https://pubmed.ncbi.nlm.nih.gov/32495276/" TargetMode="External" /><Relationship Type="http://schemas.openxmlformats.org/officeDocument/2006/relationships/hyperlink" Id="rId82" Target="https://pubmed.ncbi.nlm.nih.gov/32766466/" TargetMode="External" /><Relationship Type="http://schemas.openxmlformats.org/officeDocument/2006/relationships/hyperlink" Id="rId124" Target="https://pubmed.ncbi.nlm.nih.gov/33017565/" TargetMode="External" /><Relationship Type="http://schemas.openxmlformats.org/officeDocument/2006/relationships/hyperlink" Id="rId97" Target="https://pubmed.ncbi.nlm.nih.gov/34036554/" TargetMode="External" /><Relationship Type="http://schemas.openxmlformats.org/officeDocument/2006/relationships/hyperlink" Id="rId81" Target="https://pubmed.ncbi.nlm.nih.gov/34333881/" TargetMode="External" /><Relationship Type="http://schemas.openxmlformats.org/officeDocument/2006/relationships/hyperlink" Id="rId109" Target="https://pubmed.ncbi.nlm.nih.gov/35245880/" TargetMode="External" /><Relationship Type="http://schemas.openxmlformats.org/officeDocument/2006/relationships/hyperlink" Id="rId135" Target="https://pubmed.ncbi.nlm.nih.gov/35616226/" TargetMode="External" /><Relationship Type="http://schemas.openxmlformats.org/officeDocument/2006/relationships/hyperlink" Id="rId131" Target="https://pubmed.ncbi.nlm.nih.gov/35623448/" TargetMode="External" /><Relationship Type="http://schemas.openxmlformats.org/officeDocument/2006/relationships/hyperlink" Id="rId141" Target="https://pubmed.ncbi.nlm.nih.gov/36223377/" TargetMode="External" /><Relationship Type="http://schemas.openxmlformats.org/officeDocument/2006/relationships/hyperlink" Id="rId119" Target="https://pubmed.ncbi.nlm.nih.gov/36315989/" TargetMode="External" /><Relationship Type="http://schemas.openxmlformats.org/officeDocument/2006/relationships/hyperlink" Id="rId78" Target="https://pubmed.ncbi.nlm.nih.gov/36580149/" TargetMode="External" /><Relationship Type="http://schemas.openxmlformats.org/officeDocument/2006/relationships/hyperlink" Id="rId83" Target="https://pubmed.ncbi.nlm.nih.gov/36716611/" TargetMode="External" /><Relationship Type="http://schemas.openxmlformats.org/officeDocument/2006/relationships/hyperlink" Id="rId106" Target="https://pubmed.ncbi.nlm.nih.gov/37146623/" TargetMode="External" /><Relationship Type="http://schemas.openxmlformats.org/officeDocument/2006/relationships/hyperlink" Id="rId134" Target="https://pubmed.ncbi.nlm.nih.gov/37330810/" TargetMode="External" /><Relationship Type="http://schemas.openxmlformats.org/officeDocument/2006/relationships/hyperlink" Id="rId139" Target="https://pubmed.ncbi.nlm.nih.gov/37605454/" TargetMode="External" /><Relationship Type="http://schemas.openxmlformats.org/officeDocument/2006/relationships/hyperlink" Id="rId129" Target="https://pubmed.ncbi.nlm.nih.gov/38137856/" TargetMode="External" /><Relationship Type="http://schemas.openxmlformats.org/officeDocument/2006/relationships/hyperlink" Id="rId128" Target="https://pubmed.ncbi.nlm.nih.gov/38466710/" TargetMode="External" /><Relationship Type="http://schemas.openxmlformats.org/officeDocument/2006/relationships/hyperlink" Id="rId101" Target="https://pubmed.ncbi.nlm.nih.gov/38697742/" TargetMode="External" /><Relationship Type="http://schemas.openxmlformats.org/officeDocument/2006/relationships/hyperlink" Id="rId89" Target="https://pubmed.ncbi.nlm.nih.gov/38726566/" TargetMode="External" /><Relationship Type="http://schemas.openxmlformats.org/officeDocument/2006/relationships/hyperlink" Id="rId117" Target="https://pubmed.ncbi.nlm.nih.gov/39438778/" TargetMode="External" /><Relationship Type="http://schemas.openxmlformats.org/officeDocument/2006/relationships/hyperlink" Id="rId132" Target="https://pubmed.ncbi.nlm.nih.gov/39920074/" TargetMode="External" /><Relationship Type="http://schemas.openxmlformats.org/officeDocument/2006/relationships/hyperlink" Id="rId140" Target="https://pubmed.ncbi.nlm.nih.gov/40175237/" TargetMode="External" /><Relationship Type="http://schemas.openxmlformats.org/officeDocument/2006/relationships/hyperlink" Id="rId114" Target="https://pubmed.ncbi.nlm.nih.gov/40184689/" TargetMode="External" /><Relationship Type="http://schemas.openxmlformats.org/officeDocument/2006/relationships/hyperlink" Id="rId138" Target="https://pubmed.ncbi.nlm.nih.gov/40224631/" TargetMode="External" /><Relationship Type="http://schemas.openxmlformats.org/officeDocument/2006/relationships/hyperlink" Id="rId123" Target="https://pubmed.ncbi.nlm.nih.gov/40373933/" TargetMode="External" /><Relationship Type="http://schemas.openxmlformats.org/officeDocument/2006/relationships/hyperlink" Id="rId122" Target="https://pubmed.ncbi.nlm.nih.gov/40434940/" TargetMode="External" /><Relationship Type="http://schemas.openxmlformats.org/officeDocument/2006/relationships/hyperlink" Id="rId113" Target="https://pubmed.ncbi.nlm.nih.gov/40562008/" TargetMode="External" /><Relationship Type="http://schemas.openxmlformats.org/officeDocument/2006/relationships/hyperlink" Id="rId115" Target="https://pubmed.ncbi.nlm.nih.gov/41078967/" TargetMode="External" /><Relationship Type="http://schemas.openxmlformats.org/officeDocument/2006/relationships/hyperlink" Id="rId118" Target="https://pubmed.ncbi.nlm.nih.gov/42294381/" TargetMode="External" /><Relationship Type="http://schemas.openxmlformats.org/officeDocument/2006/relationships/hyperlink" Id="rId91" Target="https://pubmed.ncbi.nlm.nih.gov/42481240/" TargetMode="External" /><Relationship Type="http://schemas.openxmlformats.org/officeDocument/2006/relationships/hyperlink" Id="rId93" Target="https://pubmed.ncbi.nlm.nih.gov/7204915/" TargetMode="External" /><Relationship Type="http://schemas.openxmlformats.org/officeDocument/2006/relationships/hyperlink" Id="rId107" Target="https://pubmed.ncbi.nlm.nih.gov/9971865/" TargetMode="External" /></Relationships>
</file>

<file path=word/_rels/footnotes.xml.rels><?xml version="1.0" encoding="UTF-8"?><Relationships xmlns="http://schemas.openxmlformats.org/package/2006/relationships"><Relationship Type="http://schemas.openxmlformats.org/officeDocument/2006/relationships/hyperlink" Id="rId102" Target="https://pubmed.ncbi.nlm.nih.gov/10222525/" TargetMode="External" /><Relationship Type="http://schemas.openxmlformats.org/officeDocument/2006/relationships/hyperlink" Id="rId120" Target="https://pubmed.ncbi.nlm.nih.gov/1471004/" TargetMode="External" /><Relationship Type="http://schemas.openxmlformats.org/officeDocument/2006/relationships/hyperlink" Id="rId125" Target="https://pubmed.ncbi.nlm.nih.gov/16517383/" TargetMode="External" /><Relationship Type="http://schemas.openxmlformats.org/officeDocument/2006/relationships/hyperlink" Id="rId95" Target="https://pubmed.ncbi.nlm.nih.gov/16838375/" TargetMode="External" /><Relationship Type="http://schemas.openxmlformats.org/officeDocument/2006/relationships/hyperlink" Id="rId94" Target="https://pubmed.ncbi.nlm.nih.gov/17398140/" TargetMode="External" /><Relationship Type="http://schemas.openxmlformats.org/officeDocument/2006/relationships/hyperlink" Id="rId86" Target="https://pubmed.ncbi.nlm.nih.gov/17538084/" TargetMode="External" /><Relationship Type="http://schemas.openxmlformats.org/officeDocument/2006/relationships/hyperlink" Id="rId84" Target="https://pubmed.ncbi.nlm.nih.gov/18923325/" TargetMode="External" /><Relationship Type="http://schemas.openxmlformats.org/officeDocument/2006/relationships/hyperlink" Id="rId80" Target="https://pubmed.ncbi.nlm.nih.gov/19762151/" TargetMode="External" /><Relationship Type="http://schemas.openxmlformats.org/officeDocument/2006/relationships/hyperlink" Id="rId99" Target="https://pubmed.ncbi.nlm.nih.gov/19998490/" TargetMode="External" /><Relationship Type="http://schemas.openxmlformats.org/officeDocument/2006/relationships/hyperlink" Id="rId108" Target="https://pubmed.ncbi.nlm.nih.gov/20166095/" TargetMode="External" /><Relationship Type="http://schemas.openxmlformats.org/officeDocument/2006/relationships/hyperlink" Id="rId98" Target="https://pubmed.ncbi.nlm.nih.gov/20421859/" TargetMode="External" /><Relationship Type="http://schemas.openxmlformats.org/officeDocument/2006/relationships/hyperlink" Id="rId136" Target="https://pubmed.ncbi.nlm.nih.gov/20556780/" TargetMode="External" /><Relationship Type="http://schemas.openxmlformats.org/officeDocument/2006/relationships/hyperlink" Id="rId110" Target="https://pubmed.ncbi.nlm.nih.gov/22296867/" TargetMode="External" /><Relationship Type="http://schemas.openxmlformats.org/officeDocument/2006/relationships/hyperlink" Id="rId96" Target="https://pubmed.ncbi.nlm.nih.gov/22711174/" TargetMode="External" /><Relationship Type="http://schemas.openxmlformats.org/officeDocument/2006/relationships/hyperlink" Id="rId111" Target="https://pubmed.ncbi.nlm.nih.gov/23139428/" TargetMode="External" /><Relationship Type="http://schemas.openxmlformats.org/officeDocument/2006/relationships/hyperlink" Id="rId105" Target="https://pubmed.ncbi.nlm.nih.gov/23494852/" TargetMode="External" /><Relationship Type="http://schemas.openxmlformats.org/officeDocument/2006/relationships/hyperlink" Id="rId92" Target="https://pubmed.ncbi.nlm.nih.gov/23771220/" TargetMode="External" /><Relationship Type="http://schemas.openxmlformats.org/officeDocument/2006/relationships/hyperlink" Id="rId126" Target="https://pubmed.ncbi.nlm.nih.gov/23787298/" TargetMode="External" /><Relationship Type="http://schemas.openxmlformats.org/officeDocument/2006/relationships/hyperlink" Id="rId133" Target="https://pubmed.ncbi.nlm.nih.gov/23959683/" TargetMode="External" /><Relationship Type="http://schemas.openxmlformats.org/officeDocument/2006/relationships/hyperlink" Id="rId103" Target="https://pubmed.ncbi.nlm.nih.gov/24569641/" TargetMode="External" /><Relationship Type="http://schemas.openxmlformats.org/officeDocument/2006/relationships/hyperlink" Id="rId87" Target="https://pubmed.ncbi.nlm.nih.gov/25009200/" TargetMode="External" /><Relationship Type="http://schemas.openxmlformats.org/officeDocument/2006/relationships/hyperlink" Id="rId88" Target="https://pubmed.ncbi.nlm.nih.gov/25430861/" TargetMode="External" /><Relationship Type="http://schemas.openxmlformats.org/officeDocument/2006/relationships/hyperlink" Id="rId137" Target="https://pubmed.ncbi.nlm.nih.gov/26165218/" TargetMode="External" /><Relationship Type="http://schemas.openxmlformats.org/officeDocument/2006/relationships/hyperlink" Id="rId104" Target="https://pubmed.ncbi.nlm.nih.gov/26403480/" TargetMode="External" /><Relationship Type="http://schemas.openxmlformats.org/officeDocument/2006/relationships/hyperlink" Id="rId121" Target="https://pubmed.ncbi.nlm.nih.gov/28328324/" TargetMode="External" /><Relationship Type="http://schemas.openxmlformats.org/officeDocument/2006/relationships/hyperlink" Id="rId127" Target="https://pubmed.ncbi.nlm.nih.gov/28796647/" TargetMode="External" /><Relationship Type="http://schemas.openxmlformats.org/officeDocument/2006/relationships/hyperlink" Id="rId85" Target="https://pubmed.ncbi.nlm.nih.gov/29174459/" TargetMode="External" /><Relationship Type="http://schemas.openxmlformats.org/officeDocument/2006/relationships/hyperlink" Id="rId90" Target="https://pubmed.ncbi.nlm.nih.gov/30530723/" TargetMode="External" /><Relationship Type="http://schemas.openxmlformats.org/officeDocument/2006/relationships/hyperlink" Id="rId130" Target="https://pubmed.ncbi.nlm.nih.gov/31464753/" TargetMode="External" /><Relationship Type="http://schemas.openxmlformats.org/officeDocument/2006/relationships/hyperlink" Id="rId100" Target="https://pubmed.ncbi.nlm.nih.gov/31558515/" TargetMode="External" /><Relationship Type="http://schemas.openxmlformats.org/officeDocument/2006/relationships/hyperlink" Id="rId79" Target="https://pubmed.ncbi.nlm.nih.gov/32271952/" TargetMode="External" /><Relationship Type="http://schemas.openxmlformats.org/officeDocument/2006/relationships/hyperlink" Id="rId112" Target="https://pubmed.ncbi.nlm.nih.gov/32438853/" TargetMode="External" /><Relationship Type="http://schemas.openxmlformats.org/officeDocument/2006/relationships/hyperlink" Id="rId116" Target="https://pubmed.ncbi.nlm.nih.gov/32495276/" TargetMode="External" /><Relationship Type="http://schemas.openxmlformats.org/officeDocument/2006/relationships/hyperlink" Id="rId82" Target="https://pubmed.ncbi.nlm.nih.gov/32766466/" TargetMode="External" /><Relationship Type="http://schemas.openxmlformats.org/officeDocument/2006/relationships/hyperlink" Id="rId124" Target="https://pubmed.ncbi.nlm.nih.gov/33017565/" TargetMode="External" /><Relationship Type="http://schemas.openxmlformats.org/officeDocument/2006/relationships/hyperlink" Id="rId97" Target="https://pubmed.ncbi.nlm.nih.gov/34036554/" TargetMode="External" /><Relationship Type="http://schemas.openxmlformats.org/officeDocument/2006/relationships/hyperlink" Id="rId81" Target="https://pubmed.ncbi.nlm.nih.gov/34333881/" TargetMode="External" /><Relationship Type="http://schemas.openxmlformats.org/officeDocument/2006/relationships/hyperlink" Id="rId109" Target="https://pubmed.ncbi.nlm.nih.gov/35245880/" TargetMode="External" /><Relationship Type="http://schemas.openxmlformats.org/officeDocument/2006/relationships/hyperlink" Id="rId135" Target="https://pubmed.ncbi.nlm.nih.gov/35616226/" TargetMode="External" /><Relationship Type="http://schemas.openxmlformats.org/officeDocument/2006/relationships/hyperlink" Id="rId131" Target="https://pubmed.ncbi.nlm.nih.gov/35623448/" TargetMode="External" /><Relationship Type="http://schemas.openxmlformats.org/officeDocument/2006/relationships/hyperlink" Id="rId141" Target="https://pubmed.ncbi.nlm.nih.gov/36223377/" TargetMode="External" /><Relationship Type="http://schemas.openxmlformats.org/officeDocument/2006/relationships/hyperlink" Id="rId119" Target="https://pubmed.ncbi.nlm.nih.gov/36315989/" TargetMode="External" /><Relationship Type="http://schemas.openxmlformats.org/officeDocument/2006/relationships/hyperlink" Id="rId78" Target="https://pubmed.ncbi.nlm.nih.gov/36580149/" TargetMode="External" /><Relationship Type="http://schemas.openxmlformats.org/officeDocument/2006/relationships/hyperlink" Id="rId83" Target="https://pubmed.ncbi.nlm.nih.gov/36716611/" TargetMode="External" /><Relationship Type="http://schemas.openxmlformats.org/officeDocument/2006/relationships/hyperlink" Id="rId106" Target="https://pubmed.ncbi.nlm.nih.gov/37146623/" TargetMode="External" /><Relationship Type="http://schemas.openxmlformats.org/officeDocument/2006/relationships/hyperlink" Id="rId134" Target="https://pubmed.ncbi.nlm.nih.gov/37330810/" TargetMode="External" /><Relationship Type="http://schemas.openxmlformats.org/officeDocument/2006/relationships/hyperlink" Id="rId139" Target="https://pubmed.ncbi.nlm.nih.gov/37605454/" TargetMode="External" /><Relationship Type="http://schemas.openxmlformats.org/officeDocument/2006/relationships/hyperlink" Id="rId129" Target="https://pubmed.ncbi.nlm.nih.gov/38137856/" TargetMode="External" /><Relationship Type="http://schemas.openxmlformats.org/officeDocument/2006/relationships/hyperlink" Id="rId128" Target="https://pubmed.ncbi.nlm.nih.gov/38466710/" TargetMode="External" /><Relationship Type="http://schemas.openxmlformats.org/officeDocument/2006/relationships/hyperlink" Id="rId101" Target="https://pubmed.ncbi.nlm.nih.gov/38697742/" TargetMode="External" /><Relationship Type="http://schemas.openxmlformats.org/officeDocument/2006/relationships/hyperlink" Id="rId89" Target="https://pubmed.ncbi.nlm.nih.gov/38726566/" TargetMode="External" /><Relationship Type="http://schemas.openxmlformats.org/officeDocument/2006/relationships/hyperlink" Id="rId117" Target="https://pubmed.ncbi.nlm.nih.gov/39438778/" TargetMode="External" /><Relationship Type="http://schemas.openxmlformats.org/officeDocument/2006/relationships/hyperlink" Id="rId132" Target="https://pubmed.ncbi.nlm.nih.gov/39920074/" TargetMode="External" /><Relationship Type="http://schemas.openxmlformats.org/officeDocument/2006/relationships/hyperlink" Id="rId140" Target="https://pubmed.ncbi.nlm.nih.gov/40175237/" TargetMode="External" /><Relationship Type="http://schemas.openxmlformats.org/officeDocument/2006/relationships/hyperlink" Id="rId114" Target="https://pubmed.ncbi.nlm.nih.gov/40184689/" TargetMode="External" /><Relationship Type="http://schemas.openxmlformats.org/officeDocument/2006/relationships/hyperlink" Id="rId138" Target="https://pubmed.ncbi.nlm.nih.gov/40224631/" TargetMode="External" /><Relationship Type="http://schemas.openxmlformats.org/officeDocument/2006/relationships/hyperlink" Id="rId123" Target="https://pubmed.ncbi.nlm.nih.gov/40373933/" TargetMode="External" /><Relationship Type="http://schemas.openxmlformats.org/officeDocument/2006/relationships/hyperlink" Id="rId122" Target="https://pubmed.ncbi.nlm.nih.gov/40434940/" TargetMode="External" /><Relationship Type="http://schemas.openxmlformats.org/officeDocument/2006/relationships/hyperlink" Id="rId113" Target="https://pubmed.ncbi.nlm.nih.gov/40562008/" TargetMode="External" /><Relationship Type="http://schemas.openxmlformats.org/officeDocument/2006/relationships/hyperlink" Id="rId115" Target="https://pubmed.ncbi.nlm.nih.gov/41078967/" TargetMode="External" /><Relationship Type="http://schemas.openxmlformats.org/officeDocument/2006/relationships/hyperlink" Id="rId118" Target="https://pubmed.ncbi.nlm.nih.gov/42294381/" TargetMode="External" /><Relationship Type="http://schemas.openxmlformats.org/officeDocument/2006/relationships/hyperlink" Id="rId91" Target="https://pubmed.ncbi.nlm.nih.gov/42481240/" TargetMode="External" /><Relationship Type="http://schemas.openxmlformats.org/officeDocument/2006/relationships/hyperlink" Id="rId93" Target="https://pubmed.ncbi.nlm.nih.gov/7204915/" TargetMode="External" /><Relationship Type="http://schemas.openxmlformats.org/officeDocument/2006/relationships/hyperlink" Id="rId107" Target="https://pubmed.ncbi.nlm.nih.gov/99718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Sciatalgia</dc:title>
  <dc:creator>Mobilitas — Direzione Osteopatica</dc:creator>
  <dc:language>it-IT</dc:language>
  <cp:keywords/>
  <dcterms:created xsi:type="dcterms:W3CDTF">2026-08-19T19:14:42Z</dcterms:created>
  <dcterms:modified xsi:type="dcterms:W3CDTF">2026-08-19T19:14:42Z</dcterms:modified>
</cp:coreProperties>
</file>

<file path=docProps/custom.xml><?xml version="1.0" encoding="utf-8"?>
<Properties xmlns="http://schemas.openxmlformats.org/officeDocument/2006/custom-properties" xmlns:vt="http://schemas.openxmlformats.org/officeDocument/2006/docPropsVTypes"/>
</file>