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Author"/>
      </w:pPr>
      <w:r>
        <w:t xml:space="preserve">Mobilitas — Direzione Osteopatica</w:t>
      </w:r>
    </w:p>
    <w:bookmarkStart w:id="18" w:name="mappa-concettuale-iperlordosi-lombare"/>
    <w:p>
      <w:pPr>
        <w:pStyle w:val="Heading1"/>
      </w:pPr>
      <w:r>
        <w:t xml:space="preserve">Mappa concettuale — Iperlordosi lombare</w:t>
      </w:r>
    </w:p>
    <w:p>
      <w:pPr>
        <w:pStyle w:val="FirstParagraph"/>
      </w:pPr>
      <w:r>
        <w:rPr>
          <w:b/>
          <w:bCs/>
        </w:rPr>
        <w:t xml:space="preserve">Mobilitas · OsteoTouch</w:t>
      </w:r>
      <w:r>
        <w:t xml:space="preserve"> </w:t>
      </w:r>
      <w:r>
        <w:t xml:space="preserve">—</w:t>
      </w:r>
      <w:r>
        <w:t xml:space="preserve"> </w:t>
      </w:r>
      <w:r>
        <w:rPr>
          <w:b/>
          <w:bCs/>
        </w:rPr>
        <w:t xml:space="preserve">Ancora clinica:</w:t>
      </w:r>
      <w:r>
        <w:t xml:space="preserve"> </w:t>
      </w:r>
      <w:r>
        <w:t xml:space="preserve">Erika Nelson-Wong (Regis University) ·</w:t>
      </w:r>
      <w:r>
        <w:t xml:space="preserve"> </w:t>
      </w:r>
      <w:r>
        <w:rPr>
          <w:b/>
          <w:bCs/>
        </w:rPr>
        <w:t xml:space="preserve">Ancora morfologica:</w:t>
      </w:r>
      <w:r>
        <w:t xml:space="preserve"> </w:t>
      </w:r>
      <w:r>
        <w:t xml:space="preserve">Legaye, Duval-Beaupère, Roussouly —</w:t>
      </w:r>
      <w:r>
        <w:t xml:space="preserve"> </w:t>
      </w:r>
      <w:r>
        <w:rPr>
          <w:b/>
          <w:bCs/>
        </w:rPr>
        <w:t xml:space="preserve">v7.0 (revisione di lingua)</w:t>
      </w:r>
      <w:r>
        <w:t xml:space="preserve">, agosto 2026</w:t>
      </w:r>
    </w:p>
    <w:p>
      <w:r>
        <w:pict>
          <v:rect style="width:0;height:1.5pt" o:hralign="center" o:hrstd="t" o:hr="t"/>
        </w:pict>
      </w:r>
    </w:p>
    <w:bookmarkStart w:id="9" w:name="la-condizione-in-tre-righe"/>
    <w:p>
      <w:pPr>
        <w:pStyle w:val="Heading2"/>
      </w:pPr>
      <w:r>
        <w:t xml:space="preserve">1 — La condizione in tre righe</w:t>
      </w:r>
    </w:p>
    <w:p>
      <w:pPr>
        <w:pStyle w:val="FirstParagraph"/>
      </w:pPr>
      <w:r>
        <w:t xml:space="preserve">Curva lombare più ampia dei valori attesi per quella persona. Non esiste una soglia assoluta di gradi. Esiste quella</w:t>
      </w:r>
      <w:r>
        <w:t xml:space="preserve"> </w:t>
      </w:r>
      <w:r>
        <w:rPr>
          <w:b/>
          <w:bCs/>
        </w:rPr>
        <w:t xml:space="preserve">relativa</w:t>
      </w:r>
      <w:r>
        <w:t xml:space="preserve">: lo scarto fra incidenza pelvica e lordosi (PI − LL: sotto 10° allineato, 10-20° moderato, oltre 20° marcato).</w:t>
      </w:r>
      <w:r>
        <w:t xml:space="preserve"> </w:t>
      </w:r>
      <w:r>
        <w:t xml:space="preserve">Il bacino inclinato in avanti è presente in 8 uomini e 7-8 donne su dieci</w:t>
      </w:r>
      <w:r>
        <w:t xml:space="preserve"> </w:t>
      </w:r>
      <w:r>
        <w:rPr>
          <w:b/>
          <w:bCs/>
        </w:rPr>
        <w:t xml:space="preserve">senza sintomi</w:t>
      </w:r>
      <w:r>
        <w:t xml:space="preserve">: è la configurazione della maggioranza.</w:t>
      </w:r>
      <w:r>
        <w:t xml:space="preserve"> </w:t>
      </w:r>
      <w:r>
        <w:t xml:space="preserve">Sulla curva non si sa come evolva. Sul</w:t>
      </w:r>
      <w:r>
        <w:t xml:space="preserve"> </w:t>
      </w:r>
      <w:r>
        <w:rPr>
          <w:b/>
          <w:bCs/>
        </w:rPr>
        <w:t xml:space="preserve">dolore</w:t>
      </w:r>
      <w:r>
        <w:t xml:space="preserve"> </w:t>
      </w:r>
      <w:r>
        <w:t xml:space="preserve">sì, e va conosciuto prima di intestarsi un miglioramento: nelle coorti persistenti scende da 51 a 33 su 100 in sei settimane, con lo stesso andamento anche in lista d’attesa.</w:t>
      </w:r>
    </w:p>
    <w:p>
      <w:r>
        <w:pict>
          <v:rect style="width:0;height:1.5pt" o:hralign="center" o:hrstd="t" o:hr="t"/>
        </w:pict>
      </w:r>
    </w:p>
    <w:bookmarkEnd w:id="9"/>
    <w:bookmarkStart w:id="10" w:name="X72c2ac6fe47592b2d6d221fcd0adaf7863eae28"/>
    <w:p>
      <w:pPr>
        <w:pStyle w:val="Heading2"/>
      </w:pPr>
      <w:r>
        <w:t xml:space="preserve">2 — La catena causale, con l’anello che non regge</w:t>
      </w:r>
    </w:p>
    <w:p>
      <w:pPr>
        <w:pStyle w:val="FirstParagraph"/>
      </w:pPr>
      <w:r>
        <w:rPr>
          <w:rStyle w:val="VerbatimChar"/>
        </w:rPr>
        <w:t xml:space="preserve">incidenza pelvica alta o anca che perde corsa in estensione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il bacino ruota in avanti</w:t>
      </w:r>
      <w:r>
        <w:t xml:space="preserve"> </w:t>
      </w:r>
      <w:r>
        <w:t xml:space="preserve">→ ⚠</w:t>
      </w:r>
      <w:r>
        <w:t xml:space="preserve"> </w:t>
      </w:r>
      <w:r>
        <w:rPr>
          <w:b/>
          <w:bCs/>
        </w:rPr>
        <w:t xml:space="preserve">anello non dimostrato, misure contrarie</w:t>
      </w:r>
      <w:r>
        <w:t xml:space="preserve"> </w:t>
      </w:r>
      <w:r>
        <w:t xml:space="preserve">⚠ →</w:t>
      </w:r>
      <w:r>
        <w:t xml:space="preserve"> </w:t>
      </w:r>
      <w:r>
        <w:rPr>
          <w:rStyle w:val="VerbatimChar"/>
        </w:rPr>
        <w:t xml:space="preserve">la lombare aumenta la curva</w:t>
      </w:r>
    </w:p>
    <w:p>
      <w:pPr>
        <w:pStyle w:val="BodyText"/>
      </w:pPr>
      <w:r>
        <w:rPr>
          <w:b/>
          <w:bCs/>
        </w:rPr>
        <w:t xml:space="preserve">Sulla curva lombare la misura dice zero</w:t>
      </w:r>
      <w:r>
        <w:t xml:space="preserve"> </w:t>
      </w:r>
      <w:r>
        <w:t xml:space="preserve">(Preece 2021): lo stretching dei flessori sposta l’anca di 2,6°, il bacino di 1,2° e la lordosi di 0.</w:t>
      </w:r>
    </w:p>
    <w:p>
      <w:pPr>
        <w:pStyle w:val="BodyText"/>
      </w:pPr>
      <w:r>
        <w:t xml:space="preserve">La catena che entra in stanza è un’altra, ed è tutta misurata:</w:t>
      </w:r>
    </w:p>
    <w:p>
      <w:pPr>
        <w:pStyle w:val="BodyText"/>
      </w:pPr>
      <w:r>
        <w:rPr>
          <w:rStyle w:val="VerbatimChar"/>
        </w:rPr>
        <w:t xml:space="preserve">in piedi fermi il sistema non alterna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l'ingresso nocicettivo resta aperto sugli stessi tessuti dal primo minuto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a ~42 minuti supera la soglia di quella persona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dolore lombare, sollievo piegando un ginocchio</w:t>
      </w:r>
    </w:p>
    <w:p>
      <w:r>
        <w:pict>
          <v:rect style="width:0;height:1.5pt" o:hralign="center" o:hrstd="t" o:hr="t"/>
        </w:pict>
      </w:r>
    </w:p>
    <w:bookmarkEnd w:id="10"/>
    <w:bookmarkStart w:id="11" w:name="i-meccanismi-e-quanto-sono-solidi"/>
    <w:p>
      <w:pPr>
        <w:pStyle w:val="Heading2"/>
      </w:pPr>
      <w:r>
        <w:t xml:space="preserve">3 — I meccanismi e quanto sono solidi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Meccanismo</w:t>
            </w:r>
          </w:p>
        </w:tc>
        <w:tc>
          <w:tcPr/>
          <w:p>
            <w:pPr>
              <w:pStyle w:val="Compact"/>
            </w:pPr>
            <w:r>
              <w:t xml:space="preserve">Come lo riconosci</w:t>
            </w:r>
          </w:p>
        </w:tc>
        <w:tc>
          <w:tcPr/>
          <w:p>
            <w:pPr>
              <w:pStyle w:val="Compact"/>
            </w:pPr>
            <w:r>
              <w:t xml:space="preserve">Quanto è solido</w:t>
            </w:r>
          </w:p>
        </w:tc>
      </w:tr>
      <w:tr>
        <w:tc>
          <w:tcPr/>
          <w:p>
            <w:pPr>
              <w:pStyle w:val="Compact"/>
            </w:pPr>
            <w:r>
              <w:t xml:space="preserve">Forma scritta nell’osso</w:t>
            </w:r>
            <w:r>
              <w:t xml:space="preserve"> </w:t>
            </w:r>
            <w:r>
              <w:rPr>
                <w:i/>
                <w:iCs/>
              </w:rPr>
              <w:t xml:space="preserve">(biomecc.)</w:t>
            </w:r>
          </w:p>
        </w:tc>
        <w:tc>
          <w:tcPr/>
          <w:p>
            <w:pPr>
              <w:pStyle w:val="Compact"/>
            </w:pPr>
            <w:r>
              <w:t xml:space="preserve">Curva da sempre, familiare</w:t>
            </w:r>
          </w:p>
        </w:tc>
        <w:tc>
          <w:tcPr/>
          <w:p>
            <w:pPr>
              <w:pStyle w:val="Compact"/>
            </w:pPr>
            <w:r>
              <w:t xml:space="preserve">DIMOSTRATO la geometria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Frizione tenuta a metà</w:t>
            </w:r>
            <w:r>
              <w:t xml:space="preserve"> </w:t>
            </w:r>
            <w:r>
              <w:rPr>
                <w:i/>
                <w:iCs/>
              </w:rPr>
              <w:t xml:space="preserve">(biomecc. + neuro.)</w:t>
            </w:r>
          </w:p>
        </w:tc>
        <w:tc>
          <w:tcPr/>
          <w:p>
            <w:pPr>
              <w:pStyle w:val="Compact"/>
            </w:pPr>
            <w:r>
              <w:t xml:space="preserve">Dolore a orologio, in piedi</w:t>
            </w:r>
          </w:p>
        </w:tc>
        <w:tc>
          <w:tcPr/>
          <w:p>
            <w:pPr>
              <w:pStyle w:val="Compact"/>
            </w:pPr>
            <w:r>
              <w:t xml:space="preserve">PROBABILE il legame con la curva</w:t>
            </w:r>
          </w:p>
        </w:tc>
      </w:tr>
      <w:tr>
        <w:tc>
          <w:tcPr/>
          <w:p>
            <w:pPr>
              <w:pStyle w:val="Compact"/>
            </w:pPr>
            <w:r>
              <w:t xml:space="preserve">Due mattonelle senza fuga</w:t>
            </w:r>
            <w:r>
              <w:t xml:space="preserve"> </w:t>
            </w:r>
            <w:r>
              <w:rPr>
                <w:i/>
                <w:iCs/>
              </w:rPr>
              <w:t xml:space="preserve">(biomecc.)</w:t>
            </w:r>
          </w:p>
        </w:tc>
        <w:tc>
          <w:tcPr/>
          <w:p>
            <w:pPr>
              <w:pStyle w:val="Compact"/>
            </w:pPr>
            <w:r>
              <w:t xml:space="preserve">Dolore mediano in estensione</w:t>
            </w:r>
          </w:p>
        </w:tc>
        <w:tc>
          <w:tcPr/>
          <w:p>
            <w:pPr>
              <w:pStyle w:val="Compact"/>
            </w:pPr>
            <w:r>
              <w:t xml:space="preserve">DIMOSTRATO la meccanica in vitro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Cassetto che non esce tutto</w:t>
            </w:r>
            <w:r>
              <w:t xml:space="preserve"> </w:t>
            </w:r>
            <w:r>
              <w:rPr>
                <w:i/>
                <w:iCs/>
              </w:rPr>
              <w:t xml:space="preserve">(biomecc.)</w:t>
            </w:r>
          </w:p>
        </w:tc>
        <w:tc>
          <w:tcPr/>
          <w:p>
            <w:pPr>
              <w:pStyle w:val="Compact"/>
            </w:pPr>
            <w:r>
              <w:t xml:space="preserve">Estensione d’anca limitata</w:t>
            </w:r>
          </w:p>
        </w:tc>
        <w:tc>
          <w:tcPr/>
          <w:p>
            <w:pPr>
              <w:pStyle w:val="Compact"/>
            </w:pPr>
            <w:r>
              <w:t xml:space="preserve">PROBABILE fino al bacino</w:t>
            </w:r>
          </w:p>
        </w:tc>
      </w:tr>
      <w:tr>
        <w:tc>
          <w:tcPr/>
          <w:p>
            <w:pPr>
              <w:pStyle w:val="Compact"/>
            </w:pPr>
            <w:r>
              <w:t xml:space="preserve">Valigia riempita male</w:t>
            </w:r>
            <w:r>
              <w:t xml:space="preserve"> </w:t>
            </w:r>
            <w:r>
              <w:rPr>
                <w:i/>
                <w:iCs/>
              </w:rPr>
              <w:t xml:space="preserve">(comport. + neuro.)</w:t>
            </w:r>
          </w:p>
        </w:tc>
        <w:tc>
          <w:tcPr/>
          <w:p>
            <w:pPr>
              <w:pStyle w:val="Compact"/>
            </w:pPr>
            <w:r>
              <w:t xml:space="preserve">Motivo estetico, evitamento</w:t>
            </w:r>
          </w:p>
        </w:tc>
        <w:tc>
          <w:tcPr/>
          <w:p>
            <w:pPr>
              <w:pStyle w:val="Compact"/>
            </w:pPr>
            <w:r>
              <w:t xml:space="preserve">IPOTESI il profilo, DIMOSTRATO la diastasi</w:t>
            </w:r>
          </w:p>
        </w:tc>
      </w:tr>
    </w:tbl>
    <w:p>
      <w:pPr>
        <w:pStyle w:val="BodyText"/>
      </w:pPr>
      <w:r>
        <w:rPr>
          <w:b/>
          <w:bCs/>
        </w:rPr>
        <w:t xml:space="preserve">Il dolore in piedi non è fatica accumulata.</w:t>
      </w:r>
      <w:r>
        <w:t xml:space="preserve"> </w:t>
      </w:r>
      <w:r>
        <w:t xml:space="preserve">Su 37 variabili misurate in due ore ne cambiano tre, e i primi quindici minuti spiegano il 78% del fastidio finale. Conta l’</w:t>
      </w:r>
      <w:r>
        <w:rPr>
          <w:b/>
          <w:bCs/>
        </w:rPr>
        <w:t xml:space="preserve">alternanza</w:t>
      </w:r>
      <w:r>
        <w:t xml:space="preserve">, non la resistenza.</w:t>
      </w:r>
    </w:p>
    <w:p>
      <w:r>
        <w:pict>
          <v:rect style="width:0;height:1.5pt" o:hralign="center" o:hrstd="t" o:hr="t"/>
        </w:pict>
      </w:r>
    </w:p>
    <w:bookmarkEnd w:id="11"/>
    <w:bookmarkStart w:id="12" w:name="X464fca150869905b6d7aeb456c20d45e4d6b257"/>
    <w:p>
      <w:pPr>
        <w:pStyle w:val="Heading2"/>
      </w:pPr>
      <w:r>
        <w:t xml:space="preserve">4 — I sottotipi, chi comanda e la direzione del test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Sottotipo</w:t>
            </w:r>
          </w:p>
        </w:tc>
        <w:tc>
          <w:tcPr/>
          <w:p>
            <w:pPr>
              <w:pStyle w:val="Compact"/>
            </w:pPr>
            <w:r>
              <w:t xml:space="preserve">Segnale</w:t>
            </w:r>
          </w:p>
        </w:tc>
        <w:tc>
          <w:tcPr/>
          <w:p>
            <w:pPr>
              <w:pStyle w:val="Compact"/>
            </w:pPr>
            <w:r>
              <w:t xml:space="preserve">Chi comanda</w:t>
            </w:r>
          </w:p>
        </w:tc>
        <w:tc>
          <w:tcPr/>
          <w:p>
            <w:pPr>
              <w:pStyle w:val="Compact"/>
            </w:pPr>
            <w:r>
              <w:t xml:space="preserve">Quanto puoi fare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 carico statico</w:t>
            </w:r>
          </w:p>
        </w:tc>
        <w:tc>
          <w:tcPr/>
          <w:p>
            <w:pPr>
              <w:pStyle w:val="Compact"/>
            </w:pPr>
            <w:r>
              <w:t xml:space="preserve">Dolore dopo minuti in piedi</w:t>
            </w:r>
          </w:p>
        </w:tc>
        <w:tc>
          <w:tcPr/>
          <w:p>
            <w:pPr>
              <w:pStyle w:val="Compact"/>
            </w:pPr>
            <w:r>
              <w:t xml:space="preserve">Frizione tenuta a metà</w:t>
            </w:r>
          </w:p>
        </w:tc>
        <w:tc>
          <w:tcPr/>
          <w:p>
            <w:pPr>
              <w:pStyle w:val="Compact"/>
            </w:pPr>
            <w:r>
              <w:t xml:space="preserve">Molto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 corsa persa dall’anca</w:t>
            </w:r>
          </w:p>
        </w:tc>
        <w:tc>
          <w:tcPr/>
          <w:p>
            <w:pPr>
              <w:pStyle w:val="Compact"/>
            </w:pPr>
            <w:r>
              <w:t xml:space="preserve">Estensione limitata, arresto elastico</w:t>
            </w:r>
          </w:p>
        </w:tc>
        <w:tc>
          <w:tcPr/>
          <w:p>
            <w:pPr>
              <w:pStyle w:val="Compact"/>
            </w:pPr>
            <w:r>
              <w:t xml:space="preserve">Cassetto che non esce</w:t>
            </w:r>
          </w:p>
        </w:tc>
        <w:tc>
          <w:tcPr/>
          <w:p>
            <w:pPr>
              <w:pStyle w:val="Compact"/>
            </w:pPr>
            <w:r>
              <w:t xml:space="preserve">Abbastanza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 estensione ripetuta</w:t>
            </w:r>
          </w:p>
        </w:tc>
        <w:tc>
          <w:tcPr/>
          <w:p>
            <w:pPr>
              <w:pStyle w:val="Compact"/>
            </w:pPr>
            <w:r>
              <w:t xml:space="preserve">Dolore mediano in estensione,</w:t>
            </w:r>
            <w:r>
              <w:t xml:space="preserve"> </w:t>
            </w:r>
            <w:r>
              <w:rPr>
                <w:b/>
                <w:bCs/>
              </w:rPr>
              <w:t xml:space="preserve">dopo inquadramento negativo</w:t>
            </w:r>
          </w:p>
        </w:tc>
        <w:tc>
          <w:tcPr/>
          <w:p>
            <w:pPr>
              <w:pStyle w:val="Compact"/>
            </w:pPr>
            <w:r>
              <w:t xml:space="preserve">Arco posteriore</w:t>
            </w:r>
          </w:p>
        </w:tc>
        <w:tc>
          <w:tcPr/>
          <w:p>
            <w:pPr>
              <w:pStyle w:val="Compact"/>
            </w:pPr>
            <w:r>
              <w:t xml:space="preserve">Con cautela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Apparente da traslazione</w:t>
            </w:r>
          </w:p>
        </w:tc>
        <w:tc>
          <w:tcPr/>
          <w:p>
            <w:pPr>
              <w:pStyle w:val="Compact"/>
            </w:pPr>
            <w:r>
              <w:t xml:space="preserve">Bacino avanti e</w:t>
            </w:r>
            <w:r>
              <w:t xml:space="preserve"> </w:t>
            </w:r>
            <w:r>
              <w:rPr>
                <w:b/>
                <w:bCs/>
              </w:rPr>
              <w:t xml:space="preserve">retroverso</w:t>
            </w:r>
            <w:r>
              <w:t xml:space="preserve">, anca con estensione</w:t>
            </w:r>
            <w:r>
              <w:t xml:space="preserve"> </w:t>
            </w:r>
            <w:r>
              <w:rPr>
                <w:b/>
                <w:bCs/>
              </w:rPr>
              <w:t xml:space="preserve">eccessiva</w:t>
            </w:r>
          </w:p>
        </w:tc>
        <w:tc>
          <w:tcPr/>
          <w:p>
            <w:pPr>
              <w:pStyle w:val="Compact"/>
            </w:pPr>
            <w:r>
              <w:t xml:space="preserve">Non è la corsa persa</w:t>
            </w:r>
          </w:p>
        </w:tc>
        <w:tc>
          <w:tcPr/>
          <w:p>
            <w:pPr>
              <w:pStyle w:val="Compact"/>
            </w:pPr>
            <w:r>
              <w:t xml:space="preserve">Abbastanza, al contrario</w:t>
            </w:r>
          </w:p>
        </w:tc>
      </w:tr>
      <w:tr>
        <w:tc>
          <w:tcPr/>
          <w:p>
            <w:pPr>
              <w:pStyle w:val="Compact"/>
            </w:pPr>
            <w:r>
              <w:t xml:space="preserve">Morfologico indolore</w:t>
            </w:r>
          </w:p>
        </w:tc>
        <w:tc>
          <w:tcPr/>
          <w:p>
            <w:pPr>
              <w:pStyle w:val="Compact"/>
            </w:pPr>
            <w:r>
              <w:t xml:space="preserve">Curva da sempre, consulto estetico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Valigia riempita male</w:t>
            </w:r>
          </w:p>
        </w:tc>
        <w:tc>
          <w:tcPr/>
          <w:p>
            <w:pPr>
              <w:pStyle w:val="Compact"/>
            </w:pPr>
            <w:r>
              <w:t xml:space="preserve">Poco sulla forma, molto su ciò che ne crede</w:t>
            </w:r>
          </w:p>
        </w:tc>
      </w:tr>
      <w:tr>
        <w:tc>
          <w:tcPr/>
          <w:p>
            <w:pPr>
              <w:pStyle w:val="Compact"/>
            </w:pPr>
            <w:r>
              <w:t xml:space="preserve">Sospetta lesione dell’arco</w:t>
            </w:r>
          </w:p>
        </w:tc>
        <w:tc>
          <w:tcPr/>
          <w:p>
            <w:pPr>
              <w:pStyle w:val="Compact"/>
            </w:pPr>
            <w:r>
              <w:t xml:space="preserve">Dolore mediano in estensione,</w:t>
            </w:r>
            <w:r>
              <w:t xml:space="preserve"> </w:t>
            </w:r>
            <w:r>
              <w:rPr>
                <w:b/>
                <w:bCs/>
              </w:rPr>
              <w:t xml:space="preserve">a qualunque età</w:t>
            </w:r>
          </w:p>
        </w:tc>
        <w:tc>
          <w:tcPr/>
          <w:p>
            <w:pPr>
              <w:pStyle w:val="Compact"/>
            </w:pPr>
            <w:r>
              <w:t xml:space="preserve">Arco posteriore</w:t>
            </w:r>
          </w:p>
        </w:tc>
        <w:tc>
          <w:tcPr/>
          <w:p>
            <w:pPr>
              <w:pStyle w:val="Compact"/>
            </w:pPr>
            <w:r>
              <w:t xml:space="preserve">È un cancello</w:t>
            </w:r>
          </w:p>
        </w:tc>
      </w:tr>
      <w:tr>
        <w:tc>
          <w:tcPr/>
          <w:p>
            <w:pPr>
              <w:pStyle w:val="Compact"/>
            </w:pPr>
            <w:r>
              <w:t xml:space="preserve">Claudicatio o rigidità infiammatoria</w:t>
            </w:r>
          </w:p>
        </w:tc>
        <w:tc>
          <w:tcPr/>
          <w:p>
            <w:pPr>
              <w:pStyle w:val="Compact"/>
            </w:pPr>
            <w:r>
              <w:t xml:space="preserve">Sintomo alle gambe, rigidità mattutina</w:t>
            </w:r>
          </w:p>
        </w:tc>
        <w:tc>
          <w:tcPr/>
          <w:p>
            <w:pPr>
              <w:pStyle w:val="Compact"/>
            </w:pPr>
            <w:r>
              <w:t xml:space="preserve">Non è tuo</w:t>
            </w:r>
          </w:p>
        </w:tc>
        <w:tc>
          <w:tcPr/>
          <w:p>
            <w:pPr>
              <w:pStyle w:val="Compact"/>
            </w:pPr>
            <w:r>
              <w:t xml:space="preserve">È un cancello</w:t>
            </w:r>
          </w:p>
        </w:tc>
      </w:tr>
    </w:tbl>
    <w:p>
      <w:pPr>
        <w:pStyle w:val="BodyText"/>
      </w:pPr>
      <w:r>
        <w:rPr>
          <w:b/>
          <w:bCs/>
        </w:rPr>
        <w:t xml:space="preserve">I sessanta secondi di profilo.</w:t>
      </w:r>
      <w:r>
        <w:t xml:space="preserve"> </w:t>
      </w:r>
      <w:r>
        <w:t xml:space="preserve">Guardi quattro cose: il trocantere rispetto al malleolo; la spina iliaca anteriore davanti o dietro alla sinfisi; la curva lunga e uniforme oppure corta e spezzata sopra il sacro; l’estensione d’anca</w:t>
      </w:r>
      <w:r>
        <w:t xml:space="preserve"> </w:t>
      </w:r>
      <w:r>
        <w:rPr>
          <w:b/>
          <w:bCs/>
        </w:rPr>
        <w:t xml:space="preserve">limitata o eccessiva</w:t>
      </w:r>
      <w:r>
        <w:t xml:space="preserve">.</w:t>
      </w:r>
      <w:r>
        <w:t xml:space="preserve"> </w:t>
      </w:r>
      <w:r>
        <w:t xml:space="preserve">Il quadro</w:t>
      </w:r>
      <w:r>
        <w:t xml:space="preserve"> </w:t>
      </w:r>
      <w:r>
        <w:rPr>
          <w:b/>
          <w:bCs/>
        </w:rPr>
        <w:t xml:space="preserve">da estensione ripetuta</w:t>
      </w:r>
      <w:r>
        <w:t xml:space="preserve"> </w:t>
      </w:r>
      <w:r>
        <w:t xml:space="preserve">si apre solo dopo che il cancello dell’arco si è chiuso.</w:t>
      </w:r>
      <w:r>
        <w:t xml:space="preserve"> </w:t>
      </w:r>
      <w:r>
        <w:rPr>
          <w:b/>
          <w:bCs/>
        </w:rPr>
        <w:t xml:space="preserve">Il test di Thomas ha tre esiti.</w:t>
      </w:r>
      <w:r>
        <w:t xml:space="preserve"> </w:t>
      </w:r>
      <w:r>
        <w:t xml:space="preserve">Elastico e indolore è tuo. Duro, doloroso, con rotazione interna ridotta è articolare e si inquadra. Eccessivo è il quadro da traslazione.</w:t>
      </w:r>
    </w:p>
    <w:p>
      <w:r>
        <w:pict>
          <v:rect style="width:0;height:1.5pt" o:hralign="center" o:hrstd="t" o:hr="t"/>
        </w:pict>
      </w:r>
    </w:p>
    <w:bookmarkEnd w:id="12"/>
    <w:bookmarkStart w:id="13" w:name="X50e318bfd0dedaed46c90ed6b5b328eaa0ba5d4"/>
    <w:p>
      <w:pPr>
        <w:pStyle w:val="Heading2"/>
      </w:pPr>
      <w:r>
        <w:t xml:space="preserve">5 — Cosa fa il paziente da solo — tre strumenti</w:t>
      </w:r>
    </w:p>
    <w:p>
      <w:pPr>
        <w:pStyle w:val="FirstParagraph"/>
      </w:pPr>
      <w:r>
        <w:rPr>
          <w:b/>
          <w:bCs/>
        </w:rPr>
        <w:t xml:space="preserve">1. Esercizio progressivo del cingolo lombo-pelvico. PROBABILE.</w:t>
      </w:r>
      <w:r>
        <w:t xml:space="preserve"> </w:t>
      </w:r>
      <w:r>
        <w:t xml:space="preserve">Nello studio: quattro settimane con supervisione settimanale → dolore in piedi 8,93 mm contro 16,5 su 100 (Nelson-Wong 2010).</w:t>
      </w:r>
      <w:r>
        <w:t xml:space="preserve"> </w:t>
      </w:r>
      <w:r>
        <w:rPr>
          <w:b/>
          <w:bCs/>
        </w:rPr>
        <w:t xml:space="preserve">2. Cambiare l’assetto del carico in piedi. PROBABILE.</w:t>
      </w:r>
      <w:r>
        <w:t xml:space="preserve"> </w:t>
      </w:r>
      <w:r>
        <w:t xml:space="preserve">Su superficie in pendenza il dolore massimo è stato inferiore del 58%; la pausa seduta non dà sollievo duraturo (Gallagher 2016 e 2014).</w:t>
      </w:r>
      <w:r>
        <w:t xml:space="preserve"> </w:t>
      </w:r>
      <w:r>
        <w:rPr>
          <w:b/>
          <w:bCs/>
        </w:rPr>
        <w:t xml:space="preserve">3. Allenamento dei muscoli inspiratori. PROBABILE.</w:t>
      </w:r>
      <w:r>
        <w:t xml:space="preserve"> </w:t>
      </w:r>
      <w:r>
        <w:t xml:space="preserve">17 studi randomizzati, dolore SMD −1,11, certezza GRADE bassa (Chen 2026); la disabilità non è cambiata (Janssens 2015).</w:t>
      </w:r>
    </w:p>
    <w:p>
      <w:pPr>
        <w:pStyle w:val="BodyText"/>
      </w:pPr>
      <w:r>
        <w:rPr>
          <w:b/>
          <w:bCs/>
        </w:rPr>
        <w:t xml:space="preserve">Sulla prevenzione.</w:t>
      </w:r>
      <w:r>
        <w:t xml:space="preserve"> </w:t>
      </w:r>
      <w:r>
        <w:t xml:space="preserve">Esercizio più educazione quasi dimezza il rischio di episodi futuri di lombalgia (RR 0,55) nella popolazione generale.</w:t>
      </w:r>
      <w:r>
        <w:t xml:space="preserve"> </w:t>
      </w:r>
      <w:r>
        <w:rPr>
          <w:b/>
          <w:bCs/>
        </w:rPr>
        <w:t xml:space="preserve">Educazione da sola, cinture e solette non prevengono niente</w:t>
      </w:r>
      <w:r>
        <w:t xml:space="preserve"> </w:t>
      </w:r>
      <w:r>
        <w:t xml:space="preserve">(Steffens 2016). Non è misurato su chi ha una curva ampia e si stanca in piedi.</w:t>
      </w:r>
      <w:r>
        <w:t xml:space="preserve"> </w:t>
      </w:r>
      <w:r>
        <w:rPr>
          <w:b/>
          <w:bCs/>
        </w:rPr>
        <w:t xml:space="preserve">In piedi non batte seduto.</w:t>
      </w:r>
      <w:r>
        <w:t xml:space="preserve"> </w:t>
      </w:r>
      <w:r>
        <w:t xml:space="preserve">Sostituire la seduta con la stazione eretta prolungata non riduce il dolore (De Carvalho 2020). Conta</w:t>
      </w:r>
      <w:r>
        <w:t xml:space="preserve"> </w:t>
      </w:r>
      <w:r>
        <w:rPr>
          <w:b/>
          <w:bCs/>
        </w:rPr>
        <w:t xml:space="preserve">alternare</w:t>
      </w:r>
      <w:r>
        <w:t xml:space="preserve">.</w:t>
      </w:r>
    </w:p>
    <w:p>
      <w:pPr>
        <w:pStyle w:val="BodyText"/>
      </w:pPr>
      <w:r>
        <w:t xml:space="preserve">Non sono gli addominali:</w:t>
      </w:r>
      <w:r>
        <w:t xml:space="preserve"> </w:t>
      </w:r>
      <w:r>
        <w:rPr>
          <w:b/>
          <w:bCs/>
        </w:rPr>
        <w:t xml:space="preserve">nessuno studio ha somministrato un programma di rinforzo e misurato il bacino</w:t>
      </w:r>
      <w:r>
        <w:t xml:space="preserve">. In trasversale l’associazione è assente negli uomini e debole nelle donne (Youdas 1996).</w:t>
      </w:r>
      <w:r>
        <w:t xml:space="preserve"> </w:t>
      </w:r>
      <w:r>
        <w:rPr>
          <w:b/>
          <w:bCs/>
        </w:rPr>
        <w:t xml:space="preserve">Fino al 70% non esegue l’esercizio a casa</w:t>
      </w:r>
      <w:r>
        <w:t xml:space="preserve">, e il numero dello studio è stato ottenuto con supervisione settimanale (Beinart 2013).</w:t>
      </w:r>
    </w:p>
    <w:p>
      <w:r>
        <w:pict>
          <v:rect style="width:0;height:1.5pt" o:hralign="center" o:hrstd="t" o:hr="t"/>
        </w:pict>
      </w:r>
    </w:p>
    <w:bookmarkEnd w:id="13"/>
    <w:bookmarkStart w:id="14" w:name="le-bandiere-rosse-con-la-finestra"/>
    <w:p>
      <w:pPr>
        <w:pStyle w:val="Heading2"/>
      </w:pPr>
      <w:r>
        <w:t xml:space="preserve">6 — Le bandiere rosse, con la finestra</w:t>
      </w:r>
    </w:p>
    <w:p>
      <w:pPr>
        <w:pStyle w:val="Compact"/>
        <w:numPr>
          <w:ilvl w:val="0"/>
          <w:numId w:val="1001"/>
        </w:numPr>
      </w:pPr>
      <w:r>
        <w:t xml:space="preserve">Perdita di controllo sfinterico o anestesia a sella → PS →</w:t>
      </w:r>
      <w:r>
        <w:t xml:space="preserve"> </w:t>
      </w:r>
      <w:r>
        <w:rPr>
          <w:b/>
          <w:bCs/>
        </w:rPr>
        <w:t xml:space="preserve">112</w:t>
      </w:r>
    </w:p>
    <w:p>
      <w:pPr>
        <w:pStyle w:val="Compact"/>
        <w:numPr>
          <w:ilvl w:val="0"/>
          <w:numId w:val="1001"/>
        </w:numPr>
      </w:pPr>
      <w:r>
        <w:t xml:space="preserve">Deficit di forza a una gamba che progredisce → PS → oggi</w:t>
      </w:r>
    </w:p>
    <w:p>
      <w:pPr>
        <w:pStyle w:val="Compact"/>
        <w:numPr>
          <w:ilvl w:val="0"/>
          <w:numId w:val="1001"/>
        </w:numPr>
      </w:pPr>
      <w:r>
        <w:t xml:space="preserve">Massa addominale pulsante o aneurisma noto → PS o curante → oggi</w:t>
      </w:r>
    </w:p>
    <w:p>
      <w:pPr>
        <w:pStyle w:val="Compact"/>
        <w:numPr>
          <w:ilvl w:val="0"/>
          <w:numId w:val="1001"/>
        </w:numPr>
      </w:pPr>
      <w:r>
        <w:t xml:space="preserve">Gravida con dolore ritmico, perdite, febbre o dolore al fianco → ostetrico o PS → oggi</w:t>
      </w:r>
    </w:p>
    <w:p>
      <w:pPr>
        <w:pStyle w:val="Compact"/>
        <w:numPr>
          <w:ilvl w:val="0"/>
          <w:numId w:val="1001"/>
        </w:numPr>
      </w:pPr>
      <w:r>
        <w:t xml:space="preserve">Dolore non meccanico in over 60 con rischio vascolare → curante → 48 ore</w:t>
      </w:r>
    </w:p>
    <w:p>
      <w:pPr>
        <w:pStyle w:val="Compact"/>
        <w:numPr>
          <w:ilvl w:val="0"/>
          <w:numId w:val="1001"/>
        </w:numPr>
      </w:pPr>
      <w:r>
        <w:t xml:space="preserve">Febbre con dolore lombare, o infezione recente → curante o PS → 48 ore</w:t>
      </w:r>
    </w:p>
    <w:p>
      <w:pPr>
        <w:pStyle w:val="Compact"/>
        <w:numPr>
          <w:ilvl w:val="0"/>
          <w:numId w:val="1001"/>
        </w:numPr>
      </w:pPr>
      <w:r>
        <w:t xml:space="preserve">Dolore notturno crescente, calo di peso, tumore noto → curante per iscritto → 48 ore</w:t>
      </w:r>
    </w:p>
    <w:p>
      <w:pPr>
        <w:pStyle w:val="Compact"/>
        <w:numPr>
          <w:ilvl w:val="0"/>
          <w:numId w:val="1001"/>
        </w:numPr>
      </w:pPr>
      <w:r>
        <w:t xml:space="preserve">Trauma, o osteoporosi nota con dolore acuto → curante per radiografia → 7 giorni</w:t>
      </w:r>
    </w:p>
    <w:p>
      <w:pPr>
        <w:pStyle w:val="Compact"/>
        <w:numPr>
          <w:ilvl w:val="0"/>
          <w:numId w:val="1001"/>
        </w:numPr>
      </w:pPr>
      <w:r>
        <w:t xml:space="preserve">Cortisone prolungato più dolore nuovo → curante per radiografia → 7 giorni</w:t>
      </w:r>
    </w:p>
    <w:p>
      <w:pPr>
        <w:pStyle w:val="Compact"/>
        <w:numPr>
          <w:ilvl w:val="0"/>
          <w:numId w:val="1001"/>
        </w:numPr>
      </w:pPr>
      <w:r>
        <w:t xml:space="preserve">Dolore mediano in estensione su lordosi ampia,</w:t>
      </w:r>
      <w:r>
        <w:t xml:space="preserve"> </w:t>
      </w:r>
      <w:r>
        <w:rPr>
          <w:b/>
          <w:bCs/>
        </w:rPr>
        <w:t xml:space="preserve">a qualunque età</w:t>
      </w:r>
      <w:r>
        <w:t xml:space="preserve"> </w:t>
      </w:r>
      <w:r>
        <w:t xml:space="preserve">→ specialista,</w:t>
      </w:r>
      <w:r>
        <w:t xml:space="preserve"> </w:t>
      </w:r>
      <w:r>
        <w:rPr>
          <w:b/>
          <w:bCs/>
        </w:rPr>
        <w:t xml:space="preserve">RM con STIR</w:t>
      </w:r>
      <w:r>
        <w:t xml:space="preserve"> </w:t>
      </w:r>
      <w:r>
        <w:t xml:space="preserve">→ 7 giorni</w:t>
      </w:r>
    </w:p>
    <w:p>
      <w:pPr>
        <w:pStyle w:val="Compact"/>
        <w:numPr>
          <w:ilvl w:val="0"/>
          <w:numId w:val="1001"/>
        </w:numPr>
      </w:pPr>
      <w:r>
        <w:t xml:space="preserve">Dolore inguinale con rotazione interna limitata e dolorosa → curante → 7 giorni</w:t>
      </w:r>
    </w:p>
    <w:p>
      <w:pPr>
        <w:pStyle w:val="Compact"/>
        <w:numPr>
          <w:ilvl w:val="0"/>
          <w:numId w:val="1001"/>
        </w:numPr>
      </w:pPr>
      <w:r>
        <w:t xml:space="preserve">Sotto i 40 anni, quattro criteri infiammatori su cinque → curante per reumatologo → 7 giorni</w:t>
      </w:r>
    </w:p>
    <w:p>
      <w:pPr>
        <w:pStyle w:val="Compact"/>
        <w:numPr>
          <w:ilvl w:val="0"/>
          <w:numId w:val="1001"/>
        </w:numPr>
      </w:pPr>
      <w:r>
        <w:t xml:space="preserve">Dolore alle gambe in piedi, sollievo flettendosi → curante per imaging → 7 giorni</w:t>
      </w:r>
    </w:p>
    <w:p>
      <w:pPr>
        <w:pStyle w:val="Compact"/>
        <w:numPr>
          <w:ilvl w:val="0"/>
          <w:numId w:val="1001"/>
        </w:numPr>
      </w:pPr>
      <w:r>
        <w:t xml:space="preserve">Preoccupazione per la forma del corpo che occupa la giornata, restrizione alimentare → curante per valutazione psicologica → 7 giorni</w:t>
      </w:r>
    </w:p>
    <w:p>
      <w:pPr>
        <w:pStyle w:val="FirstParagraph"/>
      </w:pPr>
      <w:r>
        <w:t xml:space="preserve">Le prime tre righe non ammettono trattamento in nessun distretto. Per ogni riga si annota invio, destinatario e finestra, e si verifica che il paziente ci sia andato.</w:t>
      </w:r>
      <w:r>
        <w:t xml:space="preserve"> </w:t>
      </w:r>
      <w:r>
        <w:rPr>
          <w:b/>
          <w:bCs/>
        </w:rPr>
        <w:t xml:space="preserve">Rete, non filtro.</w:t>
      </w:r>
      <w:r>
        <w:t xml:space="preserve"> </w:t>
      </w:r>
      <w:r>
        <w:t xml:space="preserve">Su 16 linee guida sono state contate 46 bandiere rosse distinte, senza consenso (Verhagen 2016). Tutte assenti non autorizzano a escludere niente.</w:t>
      </w:r>
    </w:p>
    <w:p>
      <w:r>
        <w:pict>
          <v:rect style="width:0;height:1.5pt" o:hralign="center" o:hrstd="t" o:hr="t"/>
        </w:pict>
      </w:r>
    </w:p>
    <w:bookmarkEnd w:id="14"/>
    <w:bookmarkStart w:id="15" w:name="la-sicurezza-del-gesto-in-quattro-righe"/>
    <w:p>
      <w:pPr>
        <w:pStyle w:val="Heading2"/>
      </w:pPr>
      <w:r>
        <w:t xml:space="preserve">7 — La sicurezza del gesto, in quattro righe</w:t>
      </w:r>
    </w:p>
    <w:p>
      <w:pPr>
        <w:pStyle w:val="FirstParagraph"/>
      </w:pPr>
      <w:r>
        <w:rPr>
          <w:b/>
          <w:bCs/>
        </w:rPr>
        <w:t xml:space="preserve">Prima di toccare l’addome, la lista dei farmaci.</w:t>
      </w:r>
      <w:r>
        <w:t xml:space="preserve"> </w:t>
      </w:r>
      <w:r>
        <w:t xml:space="preserve">Anticoagulanti e antiaggreganti, cortisone prolungato, bisfosfonati. Nel paziente scoagulato la via anteriore all’ileopsoas ha un evento avverso documentato: l’ematoma con paralisi del femorale (54% dei casi da anticoagulazione).</w:t>
      </w:r>
      <w:r>
        <w:t xml:space="preserve"> </w:t>
      </w:r>
      <w:r>
        <w:t xml:space="preserve">Sul distretto lombopelvico la letteratura registra 77 casi: cauda equina 38%, ernia discale 30%, frattura 9%, ematoma 8% (Hebert 2015).</w:t>
      </w:r>
      <w:r>
        <w:t xml:space="preserve"> </w:t>
      </w:r>
      <w:r>
        <w:rPr>
          <w:b/>
          <w:bCs/>
        </w:rPr>
        <w:t xml:space="preserve">Nessun lavoro identifica un fattore predittivo:</w:t>
      </w:r>
      <w:r>
        <w:t xml:space="preserve"> </w:t>
      </w:r>
      <w:r>
        <w:t xml:space="preserve">non sappiamo cosa separi la seduta che va bene da quella che finisce male.</w:t>
      </w:r>
      <w:r>
        <w:t xml:space="preserve"> </w:t>
      </w:r>
      <w:r>
        <w:t xml:space="preserve">Un</w:t>
      </w:r>
      <w:r>
        <w:t xml:space="preserve"> </w:t>
      </w:r>
      <w:r>
        <w:rPr>
          <w:b/>
          <w:bCs/>
        </w:rPr>
        <w:t xml:space="preserve">difetto istmico non si esclude con l’esame manuale</w:t>
      </w:r>
      <w:r>
        <w:t xml:space="preserve">, ed è presente nell’11,5% degli adulti. Finché non è inquadrato, estensione e alta velocità sul segmento lombare restano fuori discussione.</w:t>
      </w:r>
      <w:r>
        <w:t xml:space="preserve"> </w:t>
      </w:r>
      <w:r>
        <w:t xml:space="preserve">L’accesso anteriore passa sopra i grandi vasi, l’intestino, il nervo femorale e il genitofemorale.</w:t>
      </w:r>
      <w:r>
        <w:t xml:space="preserve"> </w:t>
      </w:r>
      <w:r>
        <w:rPr>
          <w:b/>
          <w:bCs/>
        </w:rPr>
        <w:t xml:space="preserve">Parestesia o intorpidimento all’inguine o alla coscia anteriore: si smette e si rivaluta.</w:t>
      </w:r>
    </w:p>
    <w:p>
      <w:r>
        <w:pict>
          <v:rect style="width:0;height:1.5pt" o:hralign="center" o:hrstd="t" o:hr="t"/>
        </w:pict>
      </w:r>
    </w:p>
    <w:bookmarkEnd w:id="15"/>
    <w:bookmarkStart w:id="16" w:name="come-decidi-e-su-cosa-verifichi"/>
    <w:p>
      <w:pPr>
        <w:pStyle w:val="Heading2"/>
      </w:pPr>
      <w:r>
        <w:t xml:space="preserve">8 — Come decidi, e su cosa verifichi</w:t>
      </w:r>
    </w:p>
    <w:p>
      <w:pPr>
        <w:pStyle w:val="FirstParagraph"/>
      </w:pPr>
      <w:r>
        <w:t xml:space="preserve">Road map:</w:t>
      </w:r>
      <w:r>
        <w:t xml:space="preserve"> </w:t>
      </w:r>
      <w:r>
        <w:rPr>
          <w:b/>
          <w:bCs/>
        </w:rPr>
        <w:t xml:space="preserve">bandiera rossa e farmaci? → dolore in flessione ed estensione? → che tolleranza in piedi, con che orologio? → tollera il contatto e cosa si aspetta? → quanta corsa ha l’anca, e in che direzione? → chi mantiene il guadagno? → quale piano comanda?</w:t>
      </w:r>
      <w:r>
        <w:t xml:space="preserve"> </w:t>
      </w:r>
      <w:r>
        <w:rPr>
          <w:b/>
          <w:bCs/>
        </w:rPr>
        <w:t xml:space="preserve">Se il marker fuori piano non si muove, il piano che avevi scelto non comandava.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Misura</w:t>
            </w:r>
          </w:p>
        </w:tc>
        <w:tc>
          <w:tcPr/>
          <w:p>
            <w:pPr>
              <w:pStyle w:val="Compact"/>
            </w:pPr>
            <w:r>
              <w:t xml:space="preserve">Ruolo</w:t>
            </w:r>
          </w:p>
        </w:tc>
        <w:tc>
          <w:tcPr/>
          <w:p>
            <w:pPr>
              <w:pStyle w:val="Compact"/>
            </w:pPr>
            <w:r>
              <w:t xml:space="preserve">Soglia e provenienza</w:t>
            </w:r>
          </w:p>
        </w:tc>
      </w:tr>
      <w:tr>
        <w:tc>
          <w:tcPr/>
          <w:p>
            <w:pPr>
              <w:pStyle w:val="Compact"/>
            </w:pPr>
            <w:r>
              <w:t xml:space="preserve">Estensione d’anca, Thomas</w:t>
            </w:r>
          </w:p>
        </w:tc>
        <w:tc>
          <w:tcPr/>
          <w:p>
            <w:pPr>
              <w:pStyle w:val="Compact"/>
            </w:pPr>
            <w:r>
              <w:t xml:space="preserve">Effetto immediato</w:t>
            </w:r>
          </w:p>
        </w:tc>
        <w:tc>
          <w:tcPr/>
          <w:p>
            <w:pPr>
              <w:pStyle w:val="Compact"/>
            </w:pPr>
            <w:r>
              <w:t xml:space="preserve">≥ 8° — sopra l’errore standard della misura (7°),</w:t>
            </w:r>
            <w:r>
              <w:t xml:space="preserve"> </w:t>
            </w:r>
            <w:r>
              <w:rPr>
                <w:b/>
                <w:bCs/>
              </w:rPr>
              <w:t xml:space="preserve">stesso operatore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Inclinazione pelvica, in piedi</w:t>
            </w:r>
          </w:p>
        </w:tc>
        <w:tc>
          <w:tcPr/>
          <w:p>
            <w:pPr>
              <w:pStyle w:val="Compact"/>
            </w:pPr>
            <w:r>
              <w:t xml:space="preserve">Effetto immediato</w:t>
            </w:r>
          </w:p>
        </w:tc>
        <w:tc>
          <w:tcPr/>
          <w:p>
            <w:pPr>
              <w:pStyle w:val="Compact"/>
            </w:pPr>
            <w:r>
              <w:t xml:space="preserve">≥ 4° — massimo cambiamento minimo rilevabile (MDC)</w:t>
            </w:r>
          </w:p>
        </w:tc>
      </w:tr>
      <w:tr>
        <w:tc>
          <w:tcPr/>
          <w:p>
            <w:pPr>
              <w:pStyle w:val="Compact"/>
            </w:pPr>
            <w:r>
              <w:t xml:space="preserve">Spostamenti di carico, primi 15 min</w:t>
            </w:r>
          </w:p>
        </w:tc>
        <w:tc>
          <w:tcPr/>
          <w:p>
            <w:pPr>
              <w:pStyle w:val="Compact"/>
            </w:pPr>
            <w:r>
              <w:t xml:space="preserve">Effetto immediato</w:t>
            </w:r>
          </w:p>
        </w:tc>
        <w:tc>
          <w:tcPr/>
          <w:p>
            <w:pPr>
              <w:pStyle w:val="Compact"/>
            </w:pPr>
            <w:r>
              <w:t xml:space="preserve">Aumento del conteggio — IPOTESI, prove contrarie</w:t>
            </w:r>
          </w:p>
        </w:tc>
      </w:tr>
      <w:tr>
        <w:tc>
          <w:tcPr/>
          <w:p>
            <w:pPr>
              <w:pStyle w:val="Compact"/>
            </w:pPr>
            <w:r>
              <w:t xml:space="preserve">Soglia di pressione dolorosa, sito remoto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Fuori piano</w:t>
            </w:r>
            <w:r>
              <w:t xml:space="preserve">, se hai trattato anca/torace</w:t>
            </w:r>
          </w:p>
        </w:tc>
        <w:tc>
          <w:tcPr/>
          <w:p>
            <w:pPr>
              <w:pStyle w:val="Compact"/>
            </w:pPr>
            <w:r>
              <w:t xml:space="preserve">Può non muoversi: è un dato</w:t>
            </w:r>
          </w:p>
        </w:tc>
      </w:tr>
      <w:tr>
        <w:tc>
          <w:tcPr/>
          <w:p>
            <w:pPr>
              <w:pStyle w:val="Compact"/>
            </w:pPr>
            <w:r>
              <w:t xml:space="preserve">Rotazione tronco da seduto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Fuori piano</w:t>
            </w:r>
            <w:r>
              <w:t xml:space="preserve">, solo se il torace non è stato trattato</w:t>
            </w:r>
          </w:p>
        </w:tc>
        <w:tc>
          <w:tcPr/>
          <w:p>
            <w:pPr>
              <w:pStyle w:val="Compact"/>
            </w:pPr>
            <w:r>
              <w:t xml:space="preserve">Ripetibilità del tuo strumento</w:t>
            </w:r>
          </w:p>
        </w:tc>
      </w:tr>
    </w:tbl>
    <w:p>
      <w:pPr>
        <w:pStyle w:val="BodyText"/>
      </w:pPr>
      <w:r>
        <w:rPr>
          <w:b/>
          <w:bCs/>
        </w:rPr>
        <w:t xml:space="preserve">L’esito cambia con il quadro.</w:t>
      </w:r>
      <w:r>
        <w:t xml:space="preserve"> </w:t>
      </w:r>
      <w:r>
        <w:t xml:space="preserve">Tempo in piedi nel carico statico. Provocazione in estensione e flessione nell’arco posteriore. Gradi al Thomas più un compito quotidiano nella corsa persa. E</w:t>
      </w:r>
      <w:r>
        <w:t xml:space="preserve"> </w:t>
      </w:r>
      <w:r>
        <w:rPr>
          <w:b/>
          <w:bCs/>
        </w:rPr>
        <w:t xml:space="preserve">nel morfologico indolore un esito misurabile non c’è</w:t>
      </w:r>
      <w:r>
        <w:t xml:space="preserve">: dirlo rende credibili gli altri tre.</w:t>
      </w:r>
      <w:r>
        <w:t xml:space="preserve"> </w:t>
      </w:r>
      <w:r>
        <w:t xml:space="preserve">Il tempo in piedi è una misura che</w:t>
      </w:r>
      <w:r>
        <w:t xml:space="preserve"> </w:t>
      </w:r>
      <w:r>
        <w:rPr>
          <w:b/>
          <w:bCs/>
        </w:rPr>
        <w:t xml:space="preserve">il paziente raccoglie</w:t>
      </w:r>
      <w:r>
        <w:t xml:space="preserve">, perché negli studi il compito dura due ore: 42 minuti è la media in chi sviluppa dolore, 71 nella popolazione generale.</w:t>
      </w:r>
    </w:p>
    <w:p>
      <w:r>
        <w:pict>
          <v:rect style="width:0;height:1.5pt" o:hralign="center" o:hrstd="t" o:hr="t"/>
        </w:pict>
      </w:r>
    </w:p>
    <w:bookmarkEnd w:id="16"/>
    <w:bookmarkStart w:id="17" w:name="la-frase-per-il-paziente"/>
    <w:p>
      <w:pPr>
        <w:pStyle w:val="Heading2"/>
      </w:pPr>
      <w:r>
        <w:t xml:space="preserve">9 — La frase per il paziente</w:t>
      </w:r>
    </w:p>
    <w:p>
      <w:pPr>
        <w:pStyle w:val="FirstParagraph"/>
      </w:pPr>
      <w:r>
        <w:rPr>
          <w:i/>
          <w:iCs/>
        </w:rPr>
        <w:t xml:space="preserve">“Una parte di quella curva è la forma con cui è fatta, e non si cambia. Quello che ho misurato oggi è che l’anca non esce più fino in fondo, e quello si può cambiare. Perché poi la schiena faccia male dopo venti minuti in piedi non lo so con certezza, e non voglio raccontarglielo come se lo sapessi: misuro quanto regge in piedi e lo rimisuro. Quanto della curva sia forma lo inquadra il suo medico, e gli scrivo io. Nel frattempo non aspetto.”</w:t>
      </w:r>
    </w:p>
    <w:p>
      <w:pPr>
        <w:pStyle w:val="BodyText"/>
      </w:pPr>
      <w:r>
        <w:t xml:space="preserve">Non si spiega al paziente l’anello che il documento etichetta</w:t>
      </w:r>
      <w:r>
        <w:t xml:space="preserve"> </w:t>
      </w:r>
      <w:r>
        <w:rPr>
          <w:b/>
          <w:bCs/>
        </w:rPr>
        <w:t xml:space="preserve">prove contrarie</w:t>
      </w:r>
      <w:r>
        <w:t xml:space="preserve">, nemmeno in metafora.</w:t>
      </w:r>
    </w:p>
    <w:p>
      <w:pPr>
        <w:pStyle w:val="BodyText"/>
      </w:pPr>
      <w:r>
        <w:rPr>
          <w:b/>
          <w:bCs/>
        </w:rPr>
        <w:t xml:space="preserve">Cosa non si promette, e perché.</w:t>
      </w:r>
      <w:r>
        <w:t xml:space="preserve"> </w:t>
      </w:r>
      <w:r>
        <w:t xml:space="preserve">I due trial contro finto trattamento non concordano. Uno sposta il</w:t>
      </w:r>
      <w:r>
        <w:t xml:space="preserve"> </w:t>
      </w:r>
      <w:r>
        <w:rPr>
          <w:b/>
          <w:bCs/>
        </w:rPr>
        <w:t xml:space="preserve">dolore</w:t>
      </w:r>
      <w:r>
        <w:t xml:space="preserve"> </w:t>
      </w:r>
      <w:r>
        <w:t xml:space="preserve">e non la funzione (Licciardone 2013, 455 pazienti). L’altro — il più grande, 400 pazienti — sposta un po’ la</w:t>
      </w:r>
      <w:r>
        <w:t xml:space="preserve"> </w:t>
      </w:r>
      <w:r>
        <w:rPr>
          <w:b/>
          <w:bCs/>
        </w:rPr>
        <w:t xml:space="preserve">limitazione di attività</w:t>
      </w:r>
      <w:r>
        <w:t xml:space="preserve">, con rilevanza clinica che gli autori dichiarano discutibile, e il dolore non si muove (Nguyen 2021). Si dice che le mani fanno qualcosa; non che riducono il dolore.</w:t>
      </w:r>
      <w:r>
        <w:t xml:space="preserve"> </w:t>
      </w:r>
      <w:r>
        <w:rPr>
          <w:b/>
          <w:bCs/>
        </w:rPr>
        <w:t xml:space="preserve">Spiegare è un intervento.</w:t>
      </w:r>
      <w:r>
        <w:t xml:space="preserve"> </w:t>
      </w:r>
      <w:r>
        <w:t xml:space="preserve">L’educazione rassicura più delle cure abituali su 14 trial e 4.872 pazienti (Traeger 2015), e le parole del primo giorno restano addosso per anni (Darlow 2013). Misurato in cure primarie, non su iperlordosi, e con l’effetto maggiore quando a parlare era un medico.</w:t>
      </w:r>
    </w:p>
    <w:p>
      <w:r>
        <w:pict>
          <v:rect style="width:0;height:1.5pt" o:hralign="center" o:hrstd="t" o:hr="t"/>
        </w:pict>
      </w:r>
    </w:p>
    <w:p>
      <w:pPr>
        <w:pStyle w:val="BlockText"/>
      </w:pPr>
      <w:r>
        <w:rPr>
          <w:b/>
          <w:bCs/>
        </w:rPr>
        <w:t xml:space="preserve">Perché ci sei tu.</w:t>
      </w:r>
      <w:r>
        <w:t xml:space="preserve"> </w:t>
      </w:r>
      <w:r>
        <w:t xml:space="preserve">Su persone sane messe in piedi due ore, chi sviluppava dolore aveva in partenza una lordosi maggiore di</w:t>
      </w:r>
      <w:r>
        <w:t xml:space="preserve"> </w:t>
      </w:r>
      <w:r>
        <w:rPr>
          <w:b/>
          <w:bCs/>
        </w:rPr>
        <w:t xml:space="preserve">4,4 gradi</w:t>
      </w:r>
      <w:r>
        <w:t xml:space="preserve">. È un solo studio trasversale, 57 persone, intervallo di confidenza da 0,9 a 7,8, lordosi da marker cutanei (Sorensen 2015, PMID 25637464). Ti autorizza a trattare la curva come un fattore di rischio su un sintomo preciso: il dolore che compare stando fermi in piedi. Non ti autorizza a estenderlo alla lombalgia in generale, dove il dato va nella direzione opposta.</w:t>
      </w:r>
    </w:p>
    <w:p>
      <w:pPr>
        <w:pStyle w:val="BlockText"/>
      </w:pPr>
      <w:r>
        <w:rPr>
          <w:b/>
          <w:bCs/>
        </w:rPr>
        <w:t xml:space="preserve">DIMOSTRATO</w:t>
      </w:r>
      <w:r>
        <w:t xml:space="preserve"> </w:t>
      </w:r>
      <w:r>
        <w:t xml:space="preserve">studi sull’uomo, solidi ·</w:t>
      </w:r>
      <w:r>
        <w:t xml:space="preserve"> </w:t>
      </w:r>
      <w:r>
        <w:rPr>
          <w:b/>
          <w:bCs/>
        </w:rPr>
        <w:t xml:space="preserve">PROBABILE</w:t>
      </w:r>
      <w:r>
        <w:t xml:space="preserve"> </w:t>
      </w:r>
      <w:r>
        <w:t xml:space="preserve">razionale forte, prove parziali ·</w:t>
      </w:r>
      <w:r>
        <w:t xml:space="preserve"> </w:t>
      </w:r>
      <w:r>
        <w:rPr>
          <w:b/>
          <w:bCs/>
        </w:rPr>
        <w:t xml:space="preserve">IPOTESI</w:t>
      </w:r>
      <w:r>
        <w:t xml:space="preserve"> </w:t>
      </w:r>
      <w:r>
        <w:t xml:space="preserve">meccanismo coerente, nessuno studio (variante:</w:t>
      </w:r>
      <w:r>
        <w:t xml:space="preserve"> </w:t>
      </w:r>
      <w:r>
        <w:rPr>
          <w:i/>
          <w:iCs/>
        </w:rPr>
        <w:t xml:space="preserve">prove contrarie</w:t>
      </w:r>
      <w:r>
        <w:t xml:space="preserve">, quando gli studi diretti esistono e vanno nell’altra direzione) ·</w:t>
      </w:r>
      <w:r>
        <w:t xml:space="preserve"> </w:t>
      </w:r>
      <w:r>
        <w:rPr>
          <w:b/>
          <w:bCs/>
        </w:rPr>
        <w:t xml:space="preserve">RAGIONAMENTO</w:t>
      </w:r>
      <w:r>
        <w:t xml:space="preserve"> </w:t>
      </w:r>
      <w:r>
        <w:t xml:space="preserve">cornice clinica, non una prova</w:t>
      </w:r>
    </w:p>
    <w:bookmarkEnd w:id="17"/>
    <w:bookmarkEnd w:id="1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it-IT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Mobilitas — Direzione Osteopatica</dc:creator>
  <dc:language>it-IT</dc:language>
  <cp:keywords/>
  <dcterms:created xsi:type="dcterms:W3CDTF">2026-08-24T15:09:28Z</dcterms:created>
  <dcterms:modified xsi:type="dcterms:W3CDTF">2026-08-24T15:09:28Z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