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Cefalea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3" w:name="la-bibbia-della-cefalea"/>
    <w:p>
      <w:pPr>
        <w:pStyle w:val="Heading1"/>
      </w:pPr>
      <w:r>
        <w:t xml:space="preserve">La Bibbia della Cefalea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Kerstin Luedtke (Universität zu Lübeck) —</w:t>
      </w:r>
      <w:r>
        <w:t xml:space="preserve"> </w:t>
      </w:r>
      <w:r>
        <w:rPr>
          <w:b/>
          <w:bCs/>
        </w:rPr>
        <w:t xml:space="preserve">Ancora fisiologica:</w:t>
      </w:r>
      <w:r>
        <w:t xml:space="preserve"> </w:t>
      </w:r>
      <w:r>
        <w:t xml:space="preserve">Peter J. Goadsby (King’s College London), con Thorsten Bartsch (Universitätsklinikum Schleswig-Holstein, Kiel)</w:t>
      </w:r>
      <w:r>
        <w:t xml:space="preserve"> </w:t>
      </w:r>
      <w:r>
        <w:rPr>
          <w:b/>
          <w:bCs/>
        </w:rPr>
        <w:t xml:space="preserve">Versione:</w:t>
      </w:r>
      <w:r>
        <w:t xml:space="preserve"> </w:t>
      </w:r>
      <w:r>
        <w:t xml:space="preserve">v6.0 —</w:t>
      </w:r>
      <w:r>
        <w:t xml:space="preserve"> </w:t>
      </w:r>
      <w:r>
        <w:rPr>
          <w:b/>
          <w:bCs/>
        </w:rPr>
        <w:t xml:space="preserve">Data:</w:t>
      </w:r>
      <w:r>
        <w:t xml:space="preserve"> </w:t>
      </w:r>
      <w:r>
        <w:t xml:space="preserve">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«cefalea» non è una diagnosi, è un motivo di consulto — e il tuo primo lavoro su questo paziente non è trattare, è smistare.</w:t>
      </w:r>
    </w:p>
    <w:p>
      <w:pPr>
        <w:pStyle w:val="FirstParagraph"/>
      </w:pPr>
      <w:r>
        <w:rPr>
          <w:b/>
          <w:bCs/>
        </w:rPr>
        <w:t xml:space="preserve">A chi parla.</w:t>
      </w:r>
      <w:r>
        <w:t xml:space="preserve"> </w:t>
      </w:r>
      <w:r>
        <w:t xml:space="preserve">All’osteopata del team. Il paziente che dice</w:t>
      </w:r>
      <w:r>
        <w:t xml:space="preserve"> </w:t>
      </w:r>
      <w:r>
        <w:rPr>
          <w:i/>
          <w:iCs/>
        </w:rPr>
        <w:t xml:space="preserve">“ho mal di testa”</w:t>
      </w:r>
      <w:r>
        <w:t xml:space="preserve"> </w:t>
      </w:r>
      <w:r>
        <w:t xml:space="preserve">non ti ha ancora detto quasi niente. Dentro quella frase ci sono almeno quattro quadri, e ognuno ha leve, prognosi e destinatari diversi. Questa Bibbia insegna a distinguerli. Ti insegna anche quanto vale la tua mano su ciascuno. Chiarito il quadro, si passa alle due Bibbie di dettaglio:</w:t>
      </w:r>
      <w:r>
        <w:t xml:space="preserve"> </w:t>
      </w:r>
      <w:r>
        <w:rPr>
          <w:b/>
          <w:bCs/>
        </w:rPr>
        <w:t xml:space="preserve">il Mal di Testa Tensivo</w:t>
      </w:r>
      <w:r>
        <w:t xml:space="preserve"> </w:t>
      </w:r>
      <w:r>
        <w:t xml:space="preserve">e</w:t>
      </w:r>
      <w:r>
        <w:t xml:space="preserve"> </w:t>
      </w:r>
      <w:r>
        <w:rPr>
          <w:b/>
          <w:bCs/>
        </w:rPr>
        <w:t xml:space="preserve">l’Emicrania</w:t>
      </w:r>
      <w:r>
        <w:t xml:space="preserve">.</w:t>
      </w:r>
    </w:p>
    <w:p>
      <w:pPr>
        <w:pStyle w:val="BodyText"/>
      </w:pPr>
      <w:r>
        <w:rPr>
          <w:b/>
          <w:bCs/>
        </w:rPr>
        <w:t xml:space="preserve">Cosa c’è qui e cosa 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ogni modello e ogni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La prosa</w:t>
      </w:r>
      <w:r>
        <w:t xml:space="preserve"> </w:t>
      </w:r>
      <w:r>
        <w:rPr>
          <w:b/>
          <w:bCs/>
        </w:rPr>
        <w:t xml:space="preserve">afferma</w:t>
      </w:r>
      <w:r>
        <w:t xml:space="preserve">: l’onestà sta nell’etichetta, non nelle virgole. Un’affermazione può essere fatta di pezzi con forza diversa. Allora l’etichetta</w:t>
      </w:r>
      <w:r>
        <w:t xml:space="preserve"> </w:t>
      </w:r>
      <w:r>
        <w:rPr>
          <w:b/>
          <w:bCs/>
        </w:rPr>
        <w:t xml:space="preserve">si spezza</w:t>
      </w:r>
      <w:r>
        <w:t xml:space="preserve">, e ogni pezzo porta la sua: come in un preventivo dove una voce è a prezzo fisso e l’altra è ancora una stima. Quando un dato viene da una specie diversa dalla nostra, la specie si scrive dentro il box.</w:t>
      </w:r>
    </w:p>
    <w:p>
      <w:pPr>
        <w:pStyle w:val="BodyText"/>
      </w:pPr>
      <w:r>
        <w:rPr>
          <w:b/>
          <w:bCs/>
        </w:rPr>
        <w:t xml:space="preserve">Le parole del metodo</w:t>
      </w:r>
      <w:r>
        <w:t xml:space="preserve"> </w:t>
      </w:r>
      <w:r>
        <w:t xml:space="preserv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piano</w:t>
      </w:r>
      <w:r>
        <w:t xml:space="preserve">,</w:t>
      </w:r>
      <w:r>
        <w:t xml:space="preserve"> </w:t>
      </w:r>
      <w:r>
        <w:rPr>
          <w:i/>
          <w:iCs/>
        </w:rPr>
        <w:t xml:space="preserve">sistema dominante</w:t>
      </w:r>
      <w:r>
        <w:t xml:space="preserve">,</w:t>
      </w:r>
      <w:r>
        <w:t xml:space="preserve"> </w:t>
      </w:r>
      <w:r>
        <w:rPr>
          <w:i/>
          <w:iCs/>
        </w:rPr>
        <w:t xml:space="preserve">lesione primaria</w:t>
      </w:r>
      <w:r>
        <w:t xml:space="preserve"> </w:t>
      </w:r>
      <w:r>
        <w:t xml:space="preserve">— hanno una definizione fissa. La trovi in un box alla prima comparsa</w:t>
      </w:r>
      <w:r>
        <w:t xml:space="preserve"> </w:t>
      </w:r>
      <w:r>
        <w:rPr>
          <w:b/>
          <w:bCs/>
        </w:rPr>
        <w:t xml:space="preserve">operativa</w:t>
      </w:r>
      <w:r>
        <w:t xml:space="preserve">, e per intero nel Glossario.</w:t>
      </w:r>
    </w:p>
    <w:bookmarkStart w:id="9" w:name="come-si-studia-questa-bibbia"/>
    <w:p>
      <w:pPr>
        <w:pStyle w:val="Heading3"/>
      </w:pPr>
      <w:r>
        <w:t xml:space="preserve">Come si studia questa Bibbia</w:t>
      </w:r>
    </w:p>
    <w:p>
      <w:pPr>
        <w:pStyle w:val="FirstParagraph"/>
      </w:pPr>
      <w:r>
        <w:t xml:space="preserve">Prima lettura tutta di fila, senza appunti. Seconda passata con un paziente vero in testa, su «Cosa si rompe» e «Come ragiono davanti a questo paziente». Poi la prova che conta: chiudi il documento e di’ ad alta voce i cinque meccanismi e i quattro quadri, e per ognuno il segno che lo riconosce —</w:t>
      </w:r>
      <w:r>
        <w:t xml:space="preserve"> </w:t>
      </w:r>
      <w:r>
        <w:rPr>
          <w:b/>
          <w:bCs/>
        </w:rPr>
        <w:t xml:space="preserve">quello che non sai dire, non l’hai imparato</w:t>
      </w:r>
      <w:r>
        <w:t xml:space="preserve">. Prima del paziente leggi la Mappa, due minuti, non la Bibbia. Dopo i primi tre pazienti rileggi «Dove finisce il nostro campo» e «Cosa dice la scienza»: dicono un’altra cosa quando hai avuto qualcuno davanti. A sei mesi ti basta la Mappa. Il blocco della Mappa che non ti riaccende il capitolo ti dice quale capitolo rileggere.</w:t>
      </w:r>
    </w:p>
    <w:p>
      <w:pPr>
        <w:pStyle w:val="BodyText"/>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1"/>
        </w:numPr>
      </w:pPr>
      <w:r>
        <w:t xml:space="preserve">La Bibbia arriva fino al razionale della leva. Le tecniche stanno nella Procedura.</w:t>
      </w:r>
    </w:p>
    <w:p>
      <w:pPr>
        <w:pStyle w:val="Compact"/>
        <w:numPr>
          <w:ilvl w:val="0"/>
          <w:numId w:val="1001"/>
        </w:numPr>
      </w:pPr>
      <w:r>
        <w:t xml:space="preserve">Qui lo smistamento viene prima del trattamento, ed è un atto tecnico con dei numeri.</w:t>
      </w:r>
    </w:p>
    <w:p>
      <w:pPr>
        <w:pStyle w:val="Compact"/>
        <w:numPr>
          <w:ilvl w:val="0"/>
          <w:numId w:val="1001"/>
        </w:numPr>
      </w:pPr>
      <w:r>
        <w:t xml:space="preserve">Ogni affermazione importante porta la sua etichetta. Se manca, è un’affermazione gonfiata.</w:t>
      </w:r>
    </w:p>
    <w:p>
      <w:pPr>
        <w:pStyle w:val="Compact"/>
        <w:numPr>
          <w:ilvl w:val="0"/>
          <w:numId w:val="1001"/>
        </w:numPr>
      </w:pPr>
      <w:r>
        <w:rPr>
          <w:b/>
          <w:bCs/>
        </w:rPr>
        <w:t xml:space="preserve">Perché ci sei tu.</w:t>
      </w:r>
      <w:r>
        <w:t xml:space="preserve"> </w:t>
      </w:r>
      <w:r>
        <w:t xml:space="preserve">Su 1.876 persone mandate a fare TAC o risonanza per un mal di testa non acuto, una lesione importante è comparsa in poco più di una su cento. Fra quelle con esame neurologico normale è comparsa in nove su mille (Sempere,</w:t>
      </w:r>
      <w:r>
        <w:t xml:space="preserve"> </w:t>
      </w:r>
      <w:r>
        <w:rPr>
          <w:i/>
          <w:iCs/>
        </w:rPr>
        <w:t xml:space="preserve">Cephalalgia</w:t>
      </w:r>
      <w:r>
        <w:t xml:space="preserve"> </w:t>
      </w:r>
      <w:r>
        <w:t xml:space="preserve">2005, PMID 15606567). Ti autorizza a prendere sul serio chi arriva con gli esami perfetti: erano attesi normali. Non ti autorizza a considerare inutile l’inquadramento medico — quelle nove su mille esistono, e non le riconosci con le mani.</w:t>
      </w:r>
    </w:p>
    <w:p>
      <w:pPr>
        <w:pStyle w:val="FirstParagraph"/>
      </w:pPr>
      <w:r>
        <w:t xml:space="preserve">Buon nutrimento!</w:t>
      </w:r>
    </w:p>
    <w:p>
      <w:r>
        <w:pict>
          <v:rect style="width:0;height:1.5pt" o:hralign="center" o:hrstd="t" o:hr="t"/>
        </w:pict>
      </w:r>
    </w:p>
    <w:bookmarkEnd w:id="9"/>
    <w:bookmarkEnd w:id="10"/>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arriva una persona con una diagnosi debole, una scatola di pastiglie e vent’anni di frasi che non spiegano niente.</w:t>
      </w:r>
    </w:p>
    <w:bookmarkStart w:id="11" w:name="come-lo-racconta-lui"/>
    <w:p>
      <w:pPr>
        <w:pStyle w:val="Heading3"/>
      </w:pPr>
      <w:r>
        <w:t xml:space="preserve">Come lo racconta lui</w:t>
      </w:r>
    </w:p>
    <w:p>
      <w:pPr>
        <w:pStyle w:val="FirstParagraph"/>
      </w:pPr>
      <w:r>
        <w:t xml:space="preserve">Le parole sono quasi sempre le stesse, e ognuna è un dato.</w:t>
      </w:r>
    </w:p>
    <w:p>
      <w:pPr>
        <w:pStyle w:val="BodyText"/>
      </w:pPr>
      <w:r>
        <w:rPr>
          <w:i/>
          <w:iCs/>
        </w:rPr>
        <w:t xml:space="preserve">“Come se avessi un elastico stretto intorno alla testa.”</w:t>
      </w:r>
      <w:r>
        <w:t xml:space="preserve"> </w:t>
      </w:r>
      <w:r>
        <w:rPr>
          <w:i/>
          <w:iCs/>
        </w:rPr>
        <w:t xml:space="preserve">“Un casco troppo piccolo.”</w:t>
      </w:r>
      <w:r>
        <w:t xml:space="preserve"> </w:t>
      </w:r>
      <w:r>
        <w:t xml:space="preserve">Non dice mai</w:t>
      </w:r>
      <w:r>
        <w:t xml:space="preserve"> </w:t>
      </w:r>
      <w:r>
        <w:rPr>
          <w:i/>
          <w:iCs/>
        </w:rPr>
        <w:t xml:space="preserve">pulsante</w:t>
      </w:r>
      <w:r>
        <w:t xml:space="preserve">: dice</w:t>
      </w:r>
      <w:r>
        <w:t xml:space="preserve"> </w:t>
      </w:r>
      <w:r>
        <w:rPr>
          <w:b/>
          <w:bCs/>
        </w:rPr>
        <w:t xml:space="preserve">pressione</w:t>
      </w:r>
      <w:r>
        <w:t xml:space="preserve">,</w:t>
      </w:r>
      <w:r>
        <w:t xml:space="preserve"> </w:t>
      </w:r>
      <w:r>
        <w:rPr>
          <w:b/>
          <w:bCs/>
        </w:rPr>
        <w:t xml:space="preserve">morsa</w:t>
      </w:r>
      <w:r>
        <w:t xml:space="preserve">,</w:t>
      </w:r>
      <w:r>
        <w:t xml:space="preserve"> </w:t>
      </w:r>
      <w:r>
        <w:rPr>
          <w:b/>
          <w:bCs/>
        </w:rPr>
        <w:t xml:space="preserve">continuo</w:t>
      </w:r>
      <w:r>
        <w:t xml:space="preserve">. Poi arriva l’orario —</w:t>
      </w:r>
      <w:r>
        <w:t xml:space="preserve"> </w:t>
      </w:r>
      <w:r>
        <w:rPr>
          <w:i/>
          <w:iCs/>
        </w:rPr>
        <w:t xml:space="preserve">“verso le cinque, dopo ore al computer, comincia a salire”</w:t>
      </w:r>
      <w:r>
        <w:t xml:space="preserve">. È l’informazione più preziosa del racconto, e quasi nessuno gliel’ha chiesta. Poi la sera perduta:</w:t>
      </w:r>
      <w:r>
        <w:t xml:space="preserve"> </w:t>
      </w:r>
      <w:r>
        <w:rPr>
          <w:i/>
          <w:iCs/>
        </w:rPr>
        <w:t xml:space="preserve">“torno a casa e voglio solo buio e silenzio”</w:t>
      </w:r>
      <w:r>
        <w:t xml:space="preserve">. E infine la frase che lo fa arrabbiare,</w:t>
      </w:r>
      <w:r>
        <w:t xml:space="preserve"> </w:t>
      </w:r>
      <w:r>
        <w:rPr>
          <w:i/>
          <w:iCs/>
        </w:rPr>
        <w:t xml:space="preserve">“sarà stress”</w:t>
      </w:r>
      <w:r>
        <w:t xml:space="preserve">. L’ha sentita da tre medici, e la legge come un modo educato per dirgli che non ha niente.</w:t>
      </w:r>
    </w:p>
    <w:bookmarkEnd w:id="11"/>
    <w:bookmarkStart w:id="12" w:name="cosa-ha-già-fatto"/>
    <w:p>
      <w:pPr>
        <w:pStyle w:val="Heading3"/>
      </w:pPr>
      <w:r>
        <w:t xml:space="preserve">Cosa ha già fatto</w:t>
      </w:r>
    </w:p>
    <w:p>
      <w:pPr>
        <w:pStyle w:val="FirstParagraph"/>
      </w:pPr>
      <w:r>
        <w:t xml:space="preserve">Ha fatto</w:t>
      </w:r>
      <w:r>
        <w:t xml:space="preserve"> </w:t>
      </w:r>
      <w:r>
        <w:rPr>
          <w:b/>
          <w:bCs/>
        </w:rPr>
        <w:t xml:space="preserve">TAC o risonanza dell’encefalo</w:t>
      </w:r>
      <w:r>
        <w:t xml:space="preserve">, normali; la</w:t>
      </w:r>
      <w:r>
        <w:t xml:space="preserve"> </w:t>
      </w:r>
      <w:r>
        <w:rPr>
          <w:b/>
          <w:bCs/>
        </w:rPr>
        <w:t xml:space="preserve">visita oculistica</w:t>
      </w:r>
      <w:r>
        <w:t xml:space="preserve">; un giro dall’</w:t>
      </w:r>
      <w:r>
        <w:rPr>
          <w:b/>
          <w:bCs/>
        </w:rPr>
        <w:t xml:space="preserve">otorino</w:t>
      </w:r>
      <w:r>
        <w:t xml:space="preserve"> </w:t>
      </w:r>
      <w:r>
        <w:t xml:space="preserve">per i seni paranasali. Qualcuno ha guardato la</w:t>
      </w:r>
      <w:r>
        <w:t xml:space="preserve"> </w:t>
      </w:r>
      <w:r>
        <w:rPr>
          <w:b/>
          <w:bCs/>
        </w:rPr>
        <w:t xml:space="preserve">cervicale</w:t>
      </w:r>
      <w:r>
        <w:t xml:space="preserve"> </w:t>
      </w:r>
      <w:r>
        <w:t xml:space="preserve">con una radiografia.</w:t>
      </w:r>
    </w:p>
    <w:p>
      <w:pPr>
        <w:pStyle w:val="BodyText"/>
      </w:pPr>
      <w:r>
        <w:t xml:space="preserve">Prende</w:t>
      </w:r>
      <w:r>
        <w:t xml:space="preserve"> </w:t>
      </w:r>
      <w:r>
        <w:rPr>
          <w:b/>
          <w:bCs/>
        </w:rPr>
        <w:t xml:space="preserve">analgesici in autogestione</w:t>
      </w:r>
      <w:r>
        <w:t xml:space="preserve">. Se la forma è frequente può avere anche una</w:t>
      </w:r>
      <w:r>
        <w:t xml:space="preserve"> </w:t>
      </w:r>
      <w:r>
        <w:rPr>
          <w:b/>
          <w:bCs/>
        </w:rPr>
        <w:t xml:space="preserve">profilassi</w:t>
      </w:r>
      <w:r>
        <w:t xml:space="preserve">. Se fra i suoi farmaci c’è un</w:t>
      </w:r>
      <w:r>
        <w:t xml:space="preserve"> </w:t>
      </w:r>
      <w:r>
        <w:rPr>
          <w:b/>
          <w:bCs/>
        </w:rPr>
        <w:t xml:space="preserve">triptano</w:t>
      </w:r>
      <w:r>
        <w:t xml:space="preserve">, quel nome ti dice che qualcuno ha già pensato all’emicrania. Le molecole una per una stanno in «Cosa fanno i farmaci che prende».</w:t>
      </w:r>
    </w:p>
    <w:p>
      <w:pPr>
        <w:pStyle w:val="BodyText"/>
      </w:pPr>
      <w:r>
        <w:t xml:space="preserve">Ha provato i</w:t>
      </w:r>
      <w:r>
        <w:t xml:space="preserve"> </w:t>
      </w:r>
      <w:r>
        <w:rPr>
          <w:b/>
          <w:bCs/>
        </w:rPr>
        <w:t xml:space="preserve">massaggi</w:t>
      </w:r>
      <w:r>
        <w:t xml:space="preserve">, che funzionano per qualche giorno. E ha provato le</w:t>
      </w:r>
      <w:r>
        <w:t xml:space="preserve"> </w:t>
      </w:r>
      <w:r>
        <w:rPr>
          <w:b/>
          <w:bCs/>
        </w:rPr>
        <w:t xml:space="preserve">tecniche di rilassamento</w:t>
      </w:r>
      <w:r>
        <w:t xml:space="preserve"> </w:t>
      </w:r>
      <w:r>
        <w:t xml:space="preserve">— e qui la frase corrente è sbagliata. Il rilassamento non è un consiglio generico. Addestrato, con feedback e pratica a casa, regge numeri che la nostra mano non raggiunge («Cosa può fare il paziente da solo»). Quello che gli è mancato non è la tecnica, è</w:t>
      </w:r>
      <w:r>
        <w:t xml:space="preserve"> </w:t>
      </w:r>
      <w:r>
        <w:rPr>
          <w:b/>
          <w:bCs/>
        </w:rPr>
        <w:t xml:space="preserve">l’addestramento</w:t>
      </w:r>
      <w:r>
        <w:t xml:space="preserve">. Ha un</w:t>
      </w:r>
      <w:r>
        <w:t xml:space="preserve"> </w:t>
      </w:r>
      <w:r>
        <w:rPr>
          <w:b/>
          <w:bCs/>
        </w:rPr>
        <w:t xml:space="preserve">bite</w:t>
      </w:r>
      <w:r>
        <w:t xml:space="preserve">, che protegge i denti e non tocca il motivo per cui la mandibola stringe.</w:t>
      </w:r>
    </w:p>
    <w:bookmarkEnd w:id="12"/>
    <w:bookmarkStart w:id="13" w:name="cosa-nessuno-ha-guardato"/>
    <w:p>
      <w:pPr>
        <w:pStyle w:val="Heading3"/>
      </w:pPr>
      <w:r>
        <w:t xml:space="preserve">Cosa nessuno ha guardato</w:t>
      </w:r>
    </w:p>
    <w:p>
      <w:pPr>
        <w:pStyle w:val="FirstParagraph"/>
      </w:pPr>
      <w:r>
        <w:t xml:space="preserve">Quattro cose, in ordine di importanza.</w:t>
      </w:r>
    </w:p>
    <w:p>
      <w:pPr>
        <w:pStyle w:val="BodyText"/>
      </w:pPr>
      <w:r>
        <w:rPr>
          <w:b/>
          <w:bCs/>
        </w:rPr>
        <w:t xml:space="preserve">Quante pastiglie prende davvero in un mese, e per che cosa.</w:t>
      </w:r>
      <w:r>
        <w:t xml:space="preserve"> </w:t>
      </w:r>
      <w:r>
        <w:t xml:space="preserve">Non</w:t>
      </w:r>
      <w:r>
        <w:t xml:space="preserve"> </w:t>
      </w:r>
      <w:r>
        <w:t xml:space="preserve">“ogni tanto”</w:t>
      </w:r>
      <w:r>
        <w:t xml:space="preserve">: il numero, con la molecola accanto. E poi la domanda che ne cambia il significato:</w:t>
      </w:r>
      <w:r>
        <w:t xml:space="preserve"> </w:t>
      </w:r>
      <w:r>
        <w:rPr>
          <w:i/>
          <w:iCs/>
        </w:rPr>
        <w:t xml:space="preserve">le prende per il mal di testa, o a orario fisso per un’altra cosa?</w:t>
      </w:r>
      <w:r>
        <w:t xml:space="preserve"> </w:t>
      </w:r>
      <w:r>
        <w:t xml:space="preserve">Un farmaco assunto per l’artrosi, per il cuore o per il dolore oncologico</w:t>
      </w:r>
      <w:r>
        <w:t xml:space="preserve"> </w:t>
      </w:r>
      <w:r>
        <w:rPr>
          <w:b/>
          <w:bCs/>
        </w:rPr>
        <w:t xml:space="preserve">non entra nel conteggio della cefalea</w:t>
      </w:r>
      <w:r>
        <w:t xml:space="preserve">. Chiedi anche</w:t>
      </w:r>
      <w:r>
        <w:t xml:space="preserve"> </w:t>
      </w:r>
      <w:r>
        <w:rPr>
          <w:i/>
          <w:iCs/>
        </w:rPr>
        <w:t xml:space="preserve">“prende qualcosa per il sangue?”</w:t>
      </w:r>
      <w:r>
        <w:t xml:space="preserve">: un anticoagulante o un antiaggregante cambiano il peso di ogni FANS che conterai.</w:t>
      </w:r>
    </w:p>
    <w:p>
      <w:pPr>
        <w:pStyle w:val="BodyText"/>
      </w:pPr>
      <w:r>
        <w:rPr>
          <w:b/>
          <w:bCs/>
        </w:rPr>
        <w:t xml:space="preserve">Se il tipo di cefalea che porta scritto è quello giusto.</w:t>
      </w:r>
      <w:r>
        <w:t xml:space="preserve"> </w:t>
      </w:r>
      <w:r>
        <w:t xml:space="preserve">Uno studio ha seguito 1.203 pazienti in 128 ambulatori di 15 Paesi. Fra chi va dal medico per un mal di testa ricorrente ed episodico, il 94 per cento risulta avere emicrania o emicrania probabile, se si guardano i diari di tre mesi. Fra quelli etichettati diversamente, l’82 per cento aveva comunque emicrania o forma emicranica. E una persona su quattro con emicrania non aveva ricevuto quella diagnosi (Tepper,</w:t>
      </w:r>
      <w:r>
        <w:t xml:space="preserve"> </w:t>
      </w:r>
      <w:r>
        <w:rPr>
          <w:i/>
          <w:iCs/>
        </w:rPr>
        <w:t xml:space="preserve">Headache</w:t>
      </w:r>
      <w:r>
        <w:t xml:space="preserve"> </w:t>
      </w:r>
      <w:r>
        <w:t xml:space="preserve">2004, PMID 15447694).</w:t>
      </w:r>
    </w:p>
    <w:p>
      <w:pPr>
        <w:pStyle w:val="BodyText"/>
      </w:pPr>
      <w:r>
        <w:rPr>
          <w:b/>
          <w:bCs/>
        </w:rPr>
        <w:t xml:space="preserve">Per te:</w:t>
      </w:r>
      <w:r>
        <w:t xml:space="preserve"> </w:t>
      </w:r>
      <w:r>
        <w:t xml:space="preserve">l’etichetta che il paziente porta è un’ipotesi da verificare, non un dato di partenza. Prima di costruire il ragionamento sulla parola</w:t>
      </w:r>
      <w:r>
        <w:t xml:space="preserve"> </w:t>
      </w:r>
      <w:r>
        <w:rPr>
          <w:i/>
          <w:iCs/>
        </w:rPr>
        <w:t xml:space="preserve">tensiva</w:t>
      </w:r>
      <w:r>
        <w:t xml:space="preserve">, chiedi tre cose: se il dolore peggiora salendo le scale, se dà nausea, se lo costringe a fermarsi. Sono tre domande e cambiano il quadro.</w:t>
      </w:r>
    </w:p>
    <w:p>
      <w:pPr>
        <w:pStyle w:val="BodyText"/>
      </w:pPr>
      <w:r>
        <w:rPr>
          <w:b/>
          <w:bCs/>
        </w:rPr>
        <w:t xml:space="preserve">Se è una donna in età fertile, come stanno gli attacchi rispetto al ciclo.</w:t>
      </w:r>
      <w:r>
        <w:t xml:space="preserve"> </w:t>
      </w:r>
      <w:r>
        <w:t xml:space="preserve">Serve per una ragione tecnica. La finestra di misura del marker («La prova della chiave di volta») è di quattro settimane, quanto un ciclo. Se il conteggio prima e quello dopo cadono in fasi diverse, il numero si muove per un motivo che non sei tu.</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conseguenza sul marker.</w:t>
      </w:r>
    </w:p>
    <w:p>
      <w:pPr>
        <w:pStyle w:val="FirstParagraph"/>
      </w:pPr>
      <w:r>
        <w:rPr>
          <w:b/>
          <w:bCs/>
        </w:rPr>
        <w:t xml:space="preserve">Come tiene le spalle, se digrigna, come respira quando gli parli.</w:t>
      </w:r>
      <w:r>
        <w:t xml:space="preserve"> </w:t>
      </w:r>
      <w:r>
        <w:t xml:space="preserve">È l’unica parte del percorso in cui qualcuno lo tocca per capire, e non per farlo stare meglio venti minuti.</w:t>
      </w:r>
    </w:p>
    <w:bookmarkEnd w:id="13"/>
    <w:bookmarkStart w:id="14" w:name="e-chi-non-assomiglia-a-questo"/>
    <w:p>
      <w:pPr>
        <w:pStyle w:val="Heading3"/>
      </w:pPr>
      <w:r>
        <w:t xml:space="preserve">E chi non assomiglia a questo</w:t>
      </w:r>
    </w:p>
    <w:p>
      <w:pPr>
        <w:pStyle w:val="FirstParagraph"/>
      </w:pPr>
      <w:r>
        <w:t xml:space="preserve">Il paziente qui sopra è l’adulto fra i trenta e i cinquanta davanti a uno schermo. Tre persone entrano dalla stessa porta e non gli assomigliano.</w:t>
      </w:r>
    </w:p>
    <w:p>
      <w:pPr>
        <w:pStyle w:val="BodyText"/>
      </w:pPr>
      <w:r>
        <w:rPr>
          <w:b/>
          <w:bCs/>
        </w:rPr>
        <w:t xml:space="preserve">L’ultrasessantacinquenne con una cefalea nuova.</w:t>
      </w:r>
      <w:r>
        <w:t xml:space="preserve"> </w:t>
      </w:r>
      <w:r>
        <w:t xml:space="preserve">A quell’età la proporzione fra primaria e secondaria si sposta. E l’età è essa stessa una voce della lista di bandiere rosse che adottiamo (Do,</w:t>
      </w:r>
      <w:r>
        <w:t xml:space="preserve"> </w:t>
      </w:r>
      <w:r>
        <w:rPr>
          <w:i/>
          <w:iCs/>
        </w:rPr>
        <w:t xml:space="preserve">Neurology</w:t>
      </w:r>
      <w:r>
        <w:t xml:space="preserve"> </w:t>
      </w:r>
      <w:r>
        <w:t xml:space="preserve">2019, PMID 30587518). Non è un pattern da inquadrare: è un invio.</w:t>
      </w:r>
    </w:p>
    <w:p>
      <w:pPr>
        <w:pStyle w:val="BodyText"/>
      </w:pPr>
      <w:r>
        <w:rPr>
          <w:b/>
          <w:bCs/>
        </w:rPr>
        <w:t xml:space="preserve">Il paziente in terapia antitrombotica o in politerapia.</w:t>
      </w:r>
      <w:r>
        <w:t xml:space="preserve"> </w:t>
      </w:r>
      <w:r>
        <w:t xml:space="preserve">L’ematoma subdurale cronico può esordire settimane dopo un trauma banale e</w:t>
      </w:r>
      <w:r>
        <w:t xml:space="preserve"> </w:t>
      </w:r>
      <w:r>
        <w:rPr>
          <w:b/>
          <w:bCs/>
        </w:rPr>
        <w:t xml:space="preserve">non ricordato</w:t>
      </w:r>
      <w:r>
        <w:t xml:space="preserve">. Si riconosce da cefalea, rallentamento e cammino incerto. E l’uso frequente di FANS in chi è già anticoagulato è un rischio emorragico documentato (Zheng,</w:t>
      </w:r>
      <w:r>
        <w:t xml:space="preserve"> </w:t>
      </w:r>
      <w:r>
        <w:rPr>
          <w:i/>
          <w:iCs/>
        </w:rPr>
        <w:t xml:space="preserve">Thromb Res</w:t>
      </w:r>
      <w:r>
        <w:t xml:space="preserve"> </w:t>
      </w:r>
      <w:r>
        <w:t xml:space="preserve">2023, PMID 39492109).</w:t>
      </w:r>
    </w:p>
    <w:p>
      <w:pPr>
        <w:pStyle w:val="BodyText"/>
      </w:pPr>
      <w:r>
        <w:rPr>
          <w:b/>
          <w:bCs/>
        </w:rPr>
        <w:t xml:space="preserve">La gravida.</w:t>
      </w:r>
      <w:r>
        <w:t xml:space="preserve"> </w:t>
      </w:r>
      <w:r>
        <w:t xml:space="preserve">Arriva perché il ventaglio farmacologico si è ristretto. Con un’avvertenza che viene prima di tutto: oltre la ventesima settimana, cefalea e pressione alta insieme fanno pensare alla preeclampsia, e quella non aspetta l’appuntamento.</w:t>
      </w:r>
    </w:p>
    <w:p>
      <w:pPr>
        <w:pStyle w:val="BodyText"/>
      </w:pPr>
      <w:r>
        <w:rPr>
          <w:b/>
          <w:bCs/>
        </w:rPr>
        <w:t xml:space="preserve">Le tre cose da ricordare, più una</w:t>
      </w:r>
    </w:p>
    <w:p>
      <w:pPr>
        <w:pStyle w:val="Compact"/>
        <w:numPr>
          <w:ilvl w:val="0"/>
          <w:numId w:val="1002"/>
        </w:numPr>
      </w:pPr>
      <w:r>
        <w:t xml:space="preserve">Le sue parole sono dati:</w:t>
      </w:r>
      <w:r>
        <w:t xml:space="preserve"> </w:t>
      </w:r>
      <w:r>
        <w:rPr>
          <w:i/>
          <w:iCs/>
        </w:rPr>
        <w:t xml:space="preserve">morsa</w:t>
      </w:r>
      <w:r>
        <w:t xml:space="preserve">,</w:t>
      </w:r>
      <w:r>
        <w:t xml:space="preserve"> </w:t>
      </w:r>
      <w:r>
        <w:rPr>
          <w:i/>
          <w:iCs/>
        </w:rPr>
        <w:t xml:space="preserve">bilaterale</w:t>
      </w:r>
      <w:r>
        <w:t xml:space="preserve">,</w:t>
      </w:r>
      <w:r>
        <w:t xml:space="preserve"> </w:t>
      </w:r>
      <w:r>
        <w:rPr>
          <w:i/>
          <w:iCs/>
        </w:rPr>
        <w:t xml:space="preserve">verso sera</w:t>
      </w:r>
      <w:r>
        <w:t xml:space="preserve">,</w:t>
      </w:r>
      <w:r>
        <w:t xml:space="preserve"> </w:t>
      </w:r>
      <w:r>
        <w:rPr>
          <w:i/>
          <w:iCs/>
        </w:rPr>
        <w:t xml:space="preserve">non pulsante</w:t>
      </w:r>
      <w:r>
        <w:t xml:space="preserve">. Scrivile come le dice.</w:t>
      </w:r>
    </w:p>
    <w:p>
      <w:pPr>
        <w:pStyle w:val="Compact"/>
        <w:numPr>
          <w:ilvl w:val="0"/>
          <w:numId w:val="1002"/>
        </w:numPr>
      </w:pPr>
      <w:r>
        <w:t xml:space="preserve">La prima domanda che nessuno gli ha fatto è quante pastiglie prende in un mese,</w:t>
      </w:r>
      <w:r>
        <w:t xml:space="preserve"> </w:t>
      </w:r>
      <w:r>
        <w:rPr>
          <w:b/>
          <w:bCs/>
        </w:rPr>
        <w:t xml:space="preserve">e per che cosa</w:t>
      </w:r>
      <w:r>
        <w:t xml:space="preserve">. Falla con un calendario davanti.</w:t>
      </w:r>
    </w:p>
    <w:p>
      <w:pPr>
        <w:pStyle w:val="Compact"/>
        <w:numPr>
          <w:ilvl w:val="0"/>
          <w:numId w:val="1002"/>
        </w:numPr>
      </w:pPr>
      <w:r>
        <w:t xml:space="preserve">L’etichetta che porta è un’ipotesi, non un punto di partenza. E se ha più di 65 anni, è in anticoagulante o è incinta, il ragionamento di questo capitolo non basta.</w:t>
      </w:r>
    </w:p>
    <w:p>
      <w:pPr>
        <w:pStyle w:val="Compact"/>
        <w:numPr>
          <w:ilvl w:val="0"/>
          <w:numId w:val="1002"/>
        </w:numPr>
      </w:pPr>
      <w:r>
        <w:rPr>
          <w:b/>
          <w:bCs/>
        </w:rPr>
        <w:t xml:space="preserve">Perché ci sei tu.</w:t>
      </w:r>
      <w:r>
        <w:t xml:space="preserve"> </w:t>
      </w:r>
      <w:r>
        <w:t xml:space="preserve">Su 2.991 persone convinte di avere un</w:t>
      </w:r>
      <w:r>
        <w:t xml:space="preserve"> </w:t>
      </w:r>
      <w:r>
        <w:t xml:space="preserve">“mal di testa da sinusite”</w:t>
      </w:r>
      <w:r>
        <w:t xml:space="preserve">, l’88 per cento soddisfaceva i criteri dell’emicrania o della forma emicranica (Schreiber,</w:t>
      </w:r>
      <w:r>
        <w:t xml:space="preserve"> </w:t>
      </w:r>
      <w:r>
        <w:rPr>
          <w:i/>
          <w:iCs/>
        </w:rPr>
        <w:t xml:space="preserve">Arch Intern Med</w:t>
      </w:r>
      <w:r>
        <w:t xml:space="preserve"> </w:t>
      </w:r>
      <w:r>
        <w:t xml:space="preserve">2004, PMID 15364670). Ti autorizza a dubitare della parola che il paziente porta e a rifare l’anamnesi. Non ti autorizza a sostituirla con una tua: assegnare il tipo di cefalea è atto medico anche quando hai ragione.</w:t>
      </w:r>
    </w:p>
    <w:p>
      <w:r>
        <w:pict>
          <v:rect style="width:0;height:1.5pt" o:hralign="center" o:hrstd="t" o:hr="t"/>
        </w:pict>
      </w:r>
    </w:p>
    <w:bookmarkEnd w:id="14"/>
    <w:bookmarkEnd w:id="15"/>
    <w:bookmarkStart w:id="20" w:name="capitolo-2-che-cosè-davvero"/>
    <w:p>
      <w:pPr>
        <w:pStyle w:val="Heading2"/>
      </w:pPr>
      <w:r>
        <w:t xml:space="preserve">Capitolo 2 — Che cos’è davvero</w:t>
      </w:r>
    </w:p>
    <w:p>
      <w:pPr>
        <w:pStyle w:val="BlockText"/>
      </w:pPr>
      <w:r>
        <w:rPr>
          <w:b/>
          <w:bCs/>
        </w:rPr>
        <w:t xml:space="preserve">In una riga:</w:t>
      </w:r>
      <w:r>
        <w:t xml:space="preserve"> </w:t>
      </w:r>
      <w:r>
        <w:t xml:space="preserve">la cefalea non è una malattia ma una famiglia, e la divisione che conta prima di tutte è fra primaria e secondaria.</w:t>
      </w:r>
    </w:p>
    <w:bookmarkStart w:id="16" w:name="la-definizione"/>
    <w:p>
      <w:pPr>
        <w:pStyle w:val="Heading3"/>
      </w:pPr>
      <w:r>
        <w:t xml:space="preserve">La definizione</w:t>
      </w:r>
    </w:p>
    <w:p>
      <w:pPr>
        <w:pStyle w:val="FirstParagraph"/>
      </w:pPr>
      <w:r>
        <w:t xml:space="preserve">La classificazione di riferimento nel mondo è la</w:t>
      </w:r>
      <w:r>
        <w:t xml:space="preserve"> </w:t>
      </w:r>
      <w:r>
        <w:rPr>
          <w:b/>
          <w:bCs/>
        </w:rPr>
        <w:t xml:space="preserve">ICHD-3</w:t>
      </w:r>
      <w:r>
        <w:t xml:space="preserve">, la terza edizione della</w:t>
      </w:r>
      <w:r>
        <w:t xml:space="preserve"> </w:t>
      </w:r>
      <w:r>
        <w:rPr>
          <w:i/>
          <w:iCs/>
        </w:rPr>
        <w:t xml:space="preserve">International Classification of Headache Disorders</w:t>
      </w:r>
      <w:r>
        <w:t xml:space="preserve">. L’ha pubblicata la International Headache Society (</w:t>
      </w:r>
      <w:r>
        <w:rPr>
          <w:i/>
          <w:iCs/>
        </w:rPr>
        <w:t xml:space="preserve">Cephalalgia</w:t>
      </w:r>
      <w:r>
        <w:t xml:space="preserve"> </w:t>
      </w:r>
      <w:r>
        <w:t xml:space="preserve">2018, PMID 29368949). Divide le cefalee in due gruppi, e quella divisione governa il tuo comportamento.</w:t>
      </w:r>
    </w:p>
    <w:p>
      <w:pPr>
        <w:pStyle w:val="BodyText"/>
      </w:pPr>
      <w:r>
        <w:rPr>
          <w:b/>
          <w:bCs/>
        </w:rPr>
        <w:t xml:space="preserve">Cefalea primaria:</w:t>
      </w:r>
      <w:r>
        <w:t xml:space="preserve"> </w:t>
      </w:r>
      <w:r>
        <w:t xml:space="preserve">il mal di testa è la malattia, e non c’è una lesione sotto. Ci rientrano emicrania, cefalea di tipo tensivo, cefalea a grappolo e le altre cefalalgie autonomico-trigeminali.</w:t>
      </w:r>
    </w:p>
    <w:p>
      <w:pPr>
        <w:pStyle w:val="BodyText"/>
      </w:pPr>
      <w:r>
        <w:rPr>
          <w:b/>
          <w:bCs/>
        </w:rPr>
        <w:t xml:space="preserve">Cefalea secondaria:</w:t>
      </w:r>
      <w:r>
        <w:t xml:space="preserve"> </w:t>
      </w:r>
      <w:r>
        <w:t xml:space="preserve">il mal di testa è il sintomo di qualcos’altro — una lesione, un’infezione, un farmaco, un trauma, un vaso. Qui il bersaglio non è mai il dolore.</w:t>
      </w:r>
    </w:p>
    <w:p>
      <w:pPr>
        <w:pStyle w:val="BodyText"/>
      </w:pPr>
      <w:r>
        <w:t xml:space="preserve">Fra i due gruppi sta la</w:t>
      </w:r>
      <w:r>
        <w:t xml:space="preserve"> </w:t>
      </w:r>
      <w:r>
        <w:rPr>
          <w:b/>
          <w:bCs/>
        </w:rPr>
        <w:t xml:space="preserve">cefalea da uso eccessivo di farmaci</w:t>
      </w:r>
      <w:r>
        <w:t xml:space="preserve">: formalmente secondaria, e nasce dentro una cefalea primaria. La ICHD-3 la definisce con tre requisiti, e servono tutti e tre insieme.</w:t>
      </w:r>
    </w:p>
    <w:p>
      <w:pPr>
        <w:pStyle w:val="Compact"/>
        <w:numPr>
          <w:ilvl w:val="0"/>
          <w:numId w:val="1003"/>
        </w:numPr>
      </w:pPr>
      <w:r>
        <w:t xml:space="preserve">Mal di testa</w:t>
      </w:r>
      <w:r>
        <w:t xml:space="preserve"> </w:t>
      </w:r>
      <w:r>
        <w:rPr>
          <w:b/>
          <w:bCs/>
        </w:rPr>
        <w:t xml:space="preserve">quindici giorni al mese o più</w:t>
      </w:r>
      <w:r>
        <w:t xml:space="preserve">.</w:t>
      </w:r>
    </w:p>
    <w:p>
      <w:pPr>
        <w:pStyle w:val="Compact"/>
        <w:numPr>
          <w:ilvl w:val="0"/>
          <w:numId w:val="1003"/>
        </w:numPr>
      </w:pPr>
      <w:r>
        <w:t xml:space="preserve">Assunzione regolare da</w:t>
      </w:r>
      <w:r>
        <w:t xml:space="preserve"> </w:t>
      </w:r>
      <w:r>
        <w:rPr>
          <w:b/>
          <w:bCs/>
        </w:rPr>
        <w:t xml:space="preserve">oltre tre mesi</w:t>
      </w:r>
      <w:r>
        <w:t xml:space="preserve">.</w:t>
      </w:r>
    </w:p>
    <w:p>
      <w:pPr>
        <w:pStyle w:val="Compact"/>
        <w:numPr>
          <w:ilvl w:val="0"/>
          <w:numId w:val="1003"/>
        </w:numPr>
      </w:pPr>
      <w:r>
        <w:t xml:space="preserve">Farmaci presi</w:t>
      </w:r>
      <w:r>
        <w:t xml:space="preserve"> </w:t>
      </w:r>
      <w:r>
        <w:rPr>
          <w:b/>
          <w:bCs/>
        </w:rPr>
        <w:t xml:space="preserve">per il trattamento acuto della cefalea</w:t>
      </w:r>
      <w:r>
        <w:t xml:space="preserve">: dieci giorni al mese o più per triptani, oppioidi, ergotaminici e associazioni analgesiche; quindici o più per paracetamolo e FANS semplici.</w:t>
      </w:r>
    </w:p>
    <w:bookmarkEnd w:id="16"/>
    <w:bookmarkStart w:id="17" w:name="quanto-è-diffusa"/>
    <w:p>
      <w:pPr>
        <w:pStyle w:val="Heading3"/>
      </w:pPr>
      <w:r>
        <w:t xml:space="preserve">Quanto è diffusa</w:t>
      </w:r>
    </w:p>
    <w:p>
      <w:pPr>
        <w:pStyle w:val="FirstParagraph"/>
      </w:pPr>
      <w:r>
        <w:t xml:space="preserve">Poco più di una persona su due al mondo ha un disturbo di cefalea attivo: il 52 per cento. Dentro quel numero, l’emicrania riguarda il 14 per cento e la cefalea di tipo tensivo il 26. Il 4,6 per cento ha mal di testa</w:t>
      </w:r>
      <w:r>
        <w:t xml:space="preserve"> </w:t>
      </w:r>
      <w:r>
        <w:rPr>
          <w:b/>
          <w:bCs/>
        </w:rPr>
        <w:t xml:space="preserve">quindici giorni al mese o più</w:t>
      </w:r>
      <w:r>
        <w:t xml:space="preserve"> </w:t>
      </w:r>
      <w:r>
        <w:t xml:space="preserve">(Stovner,</w:t>
      </w:r>
      <w:r>
        <w:t xml:space="preserve"> </w:t>
      </w:r>
      <w:r>
        <w:rPr>
          <w:i/>
          <w:iCs/>
        </w:rPr>
        <w:t xml:space="preserve">J Headache Pain</w:t>
      </w:r>
      <w:r>
        <w:t xml:space="preserve"> </w:t>
      </w:r>
      <w:r>
        <w:t xml:space="preserve">2022, PMID 35410119).</w:t>
      </w:r>
    </w:p>
    <w:p>
      <w:pPr>
        <w:pStyle w:val="BodyText"/>
      </w:pPr>
      <w:r>
        <w:rPr>
          <w:b/>
          <w:bCs/>
        </w:rPr>
        <w:t xml:space="preserve">Per te:</w:t>
      </w:r>
      <w:r>
        <w:t xml:space="preserve"> </w:t>
      </w:r>
      <w:r>
        <w:t xml:space="preserve">il numero che cambia la tua agenda è l’ultimo. Chi ha mal di testa quindici giorni al mese o più è meno di uno su venti nella popolazione, e sarà la maggioranza di quelli che ti chiamano: gli altri non cercano nessuno. Chi si prenota è già selezionato verso la forma frequente, quella in cui l’uso di analgesici va contato prima di tutto.</w:t>
      </w:r>
    </w:p>
    <w:bookmarkEnd w:id="17"/>
    <w:bookmarkStart w:id="18" w:name="come-evolve-se-non-fai-nulla"/>
    <w:p>
      <w:pPr>
        <w:pStyle w:val="Heading3"/>
      </w:pPr>
      <w:r>
        <w:t xml:space="preserve">Come evolve se non fai nulla</w:t>
      </w:r>
    </w:p>
    <w:p>
      <w:pPr>
        <w:pStyle w:val="FirstParagraph"/>
      </w:pPr>
      <w:r>
        <w:t xml:space="preserve">È il dato che ti impedisce di prenderti meriti che non sono tuoi. In Italia, su 16.577 rispondenti, il 41,5 per cento aveva cefalea episodica, il 3,8 cronica e l’1,4 assumeva analgesici in eccesso. Poi gli autori hanno rivalutato a tre anni</w:t>
      </w:r>
      <w:r>
        <w:t xml:space="preserve"> </w:t>
      </w:r>
      <w:r>
        <w:rPr>
          <w:b/>
          <w:bCs/>
        </w:rPr>
        <w:t xml:space="preserve">98 pazienti con uso eccessivo di farmaci</w:t>
      </w:r>
      <w:r>
        <w:t xml:space="preserve">: il 54,1 per cento era tornato a una forma episodica, e di questi circa la metà — cioè</w:t>
      </w:r>
      <w:r>
        <w:t xml:space="preserve"> </w:t>
      </w:r>
      <w:r>
        <w:rPr>
          <w:b/>
          <w:bCs/>
        </w:rPr>
        <w:t xml:space="preserve">circa uno su quattro dei rivalutati</w:t>
      </w:r>
      <w:r>
        <w:t xml:space="preserve"> </w:t>
      </w:r>
      <w:r>
        <w:t xml:space="preserve">— senza nessun trattamento specifico (Favoni,</w:t>
      </w:r>
      <w:r>
        <w:t xml:space="preserve"> </w:t>
      </w:r>
      <w:r>
        <w:rPr>
          <w:i/>
          <w:iCs/>
        </w:rPr>
        <w:t xml:space="preserve">Cephalalgia</w:t>
      </w:r>
      <w:r>
        <w:t xml:space="preserve"> </w:t>
      </w:r>
      <w:r>
        <w:t xml:space="preserve">2023, PMID 36950942).</w:t>
      </w:r>
    </w:p>
    <w:p>
      <w:pPr>
        <w:pStyle w:val="BodyText"/>
      </w:pPr>
      <w:r>
        <w:rPr>
          <w:b/>
          <w:bCs/>
        </w:rPr>
        <w:t xml:space="preserve">Per te:</w:t>
      </w:r>
      <w:r>
        <w:t xml:space="preserve"> </w:t>
      </w:r>
      <w:r>
        <w:t xml:space="preserve">senza un marker misurato</w:t>
      </w:r>
      <w:r>
        <w:t xml:space="preserve"> </w:t>
      </w:r>
      <w:r>
        <w:rPr>
          <w:b/>
          <w:bCs/>
        </w:rPr>
        <w:t xml:space="preserve">prima</w:t>
      </w:r>
      <w:r>
        <w:t xml:space="preserve"> </w:t>
      </w:r>
      <w:r>
        <w:t xml:space="preserve">di iniziare non hai modo di distinguere il tuo effetto dalla storia naturale. E quando il paziente migliora la frase corretta non è</w:t>
      </w:r>
      <w:r>
        <w:t xml:space="preserve"> </w:t>
      </w:r>
      <w:r>
        <w:rPr>
          <w:i/>
          <w:iCs/>
        </w:rPr>
        <w:t xml:space="preserve">“funziona”</w:t>
      </w:r>
      <w:r>
        <w:t xml:space="preserve">: è</w:t>
      </w:r>
      <w:r>
        <w:t xml:space="preserve"> </w:t>
      </w:r>
      <w:r>
        <w:rPr>
          <w:i/>
          <w:iCs/>
        </w:rPr>
        <w:t xml:space="preserve">“il numero che avevamo scelto si è mosso”</w:t>
      </w:r>
      <w:r>
        <w:t xml:space="preserve">.</w:t>
      </w:r>
    </w:p>
    <w:bookmarkEnd w:id="18"/>
    <w:bookmarkStart w:id="19" w:name="X6820c7f04c7379b5930bec9ad9aa3ee0e127e21"/>
    <w:p>
      <w:pPr>
        <w:pStyle w:val="Heading3"/>
      </w:pPr>
      <w:r>
        <w:t xml:space="preserve">Cosa dicono le etichette che porta, e cosa non dicono</w:t>
      </w:r>
    </w:p>
    <w:p>
      <w:pPr>
        <w:pStyle w:val="FirstParagraph"/>
      </w:pPr>
      <w:r>
        <w:rPr>
          <w:b/>
          <w:bCs/>
        </w:rPr>
        <w:t xml:space="preserve">“Cefalea muscolo-tensiva”</w:t>
      </w:r>
      <w:r>
        <w:t xml:space="preserve"> </w:t>
      </w:r>
      <w:r>
        <w:t xml:space="preserve">sul referto significa quasi sempre</w:t>
      </w:r>
      <w:r>
        <w:t xml:space="preserve"> </w:t>
      </w:r>
      <w:r>
        <w:rPr>
          <w:i/>
          <w:iCs/>
        </w:rPr>
        <w:t xml:space="preserve">nessuna causa secondaria trovata, e non sembra emicrania</w:t>
      </w:r>
      <w:r>
        <w:t xml:space="preserve">. Quanto spesso quel «non sembra» sbagli sta in «Chi ti trova davanti».</w:t>
      </w:r>
      <w:r>
        <w:t xml:space="preserve"> </w:t>
      </w:r>
      <w:r>
        <w:rPr>
          <w:b/>
          <w:bCs/>
        </w:rPr>
        <w:t xml:space="preserve">“RM encefalo nella norma”</w:t>
      </w:r>
      <w:r>
        <w:t xml:space="preserve"> </w:t>
      </w:r>
      <w:r>
        <w:t xml:space="preserve">significa che non c’è una massa, un sanguinamento o un’idrocefalia. Non significa che il mal di testa non abbia una causa: significa che non ha</w:t>
      </w:r>
      <w:r>
        <w:t xml:space="preserve"> </w:t>
      </w:r>
      <w:r>
        <w:rPr>
          <w:i/>
          <w:iCs/>
        </w:rPr>
        <w:t xml:space="preserve">quella</w:t>
      </w:r>
      <w:r>
        <w:t xml:space="preserve"> </w:t>
      </w:r>
      <w:r>
        <w:t xml:space="preserve">causa, come il controllo dell’impianto elettrico, che esclude il corto e non dice perché la lampadina resta spenta.</w:t>
      </w:r>
    </w:p>
    <w:p>
      <w:pPr>
        <w:pStyle w:val="BodyText"/>
      </w:pPr>
      <w:r>
        <w:rPr>
          <w:b/>
          <w:bCs/>
        </w:rPr>
        <w:t xml:space="preserve">E cosa non è.</w:t>
      </w:r>
      <w:r>
        <w:t xml:space="preserve"> </w:t>
      </w:r>
      <w:r>
        <w:t xml:space="preserve">Quasi mai la sinusite (Schreiber, PMID 15364670). E non è il difetto visivo, se la correzione è stata fatta e il dolore è rimasto uguale. E non è una cefalea primaria finché non hai passato le bandiere rosse.</w:t>
      </w:r>
    </w:p>
    <w:p>
      <w:pPr>
        <w:pStyle w:val="BodyText"/>
      </w:pPr>
      <w:r>
        <w:rPr>
          <w:b/>
          <w:bCs/>
        </w:rPr>
        <w:t xml:space="preserve">Le tre cose da ricordare, più una</w:t>
      </w:r>
    </w:p>
    <w:p>
      <w:pPr>
        <w:pStyle w:val="Compact"/>
        <w:numPr>
          <w:ilvl w:val="0"/>
          <w:numId w:val="1004"/>
        </w:numPr>
      </w:pPr>
      <w:r>
        <w:t xml:space="preserve">La prima divisione è primaria contro secondaria, e la fai con le domande, non con le mani.</w:t>
      </w:r>
    </w:p>
    <w:p>
      <w:pPr>
        <w:pStyle w:val="Compact"/>
        <w:numPr>
          <w:ilvl w:val="0"/>
          <w:numId w:val="1004"/>
        </w:numPr>
      </w:pPr>
      <w:r>
        <w:t xml:space="preserve">Circa un paziente su quattro, fra quelli con uso eccessivo di farmaci rivalutati a tre anni, torna alla forma episodica senza nessun trattamento. Scegli il marker prima di toccare.</w:t>
      </w:r>
    </w:p>
    <w:p>
      <w:pPr>
        <w:pStyle w:val="Compact"/>
        <w:numPr>
          <w:ilvl w:val="0"/>
          <w:numId w:val="1004"/>
        </w:numPr>
      </w:pPr>
      <w:r>
        <w:t xml:space="preserve">Un esame normale esclude alcune cause, non spiega il dolore.</w:t>
      </w:r>
    </w:p>
    <w:p>
      <w:pPr>
        <w:pStyle w:val="Compact"/>
        <w:numPr>
          <w:ilvl w:val="0"/>
          <w:numId w:val="1004"/>
        </w:numPr>
      </w:pPr>
      <w:r>
        <w:rPr>
          <w:b/>
          <w:bCs/>
        </w:rPr>
        <w:t xml:space="preserve">Perché ci sei tu.</w:t>
      </w:r>
      <w:r>
        <w:t xml:space="preserve"> </w:t>
      </w:r>
      <w:r>
        <w:t xml:space="preserve">Il 4,6 per cento delle persone ha mal di testa quindici giorni al mese o più (Stovner,</w:t>
      </w:r>
      <w:r>
        <w:t xml:space="preserve"> </w:t>
      </w:r>
      <w:r>
        <w:rPr>
          <w:i/>
          <w:iCs/>
        </w:rPr>
        <w:t xml:space="preserve">J Headache Pain</w:t>
      </w:r>
      <w:r>
        <w:t xml:space="preserve"> </w:t>
      </w:r>
      <w:r>
        <w:t xml:space="preserve">2022, PMID 35410119). Ti autorizza a occuparti della fascia più disabilitante, che è anche quella che ti cerca. Non ti autorizza a proporti come alternativa alla profilassi: lì il farmaco resta il pilastro, e il tuo lavoro ci sta accanto.</w:t>
      </w:r>
    </w:p>
    <w:p>
      <w:r>
        <w:pict>
          <v:rect style="width:0;height:1.5pt" o:hralign="center" o:hrstd="t" o:hr="t"/>
        </w:pict>
      </w:r>
    </w:p>
    <w:bookmarkEnd w:id="19"/>
    <w:bookmarkEnd w:id="20"/>
    <w:bookmarkStart w:id="27" w:name="capitolo-3-le-strutture-in-gioco"/>
    <w:p>
      <w:pPr>
        <w:pStyle w:val="Heading2"/>
      </w:pPr>
      <w:r>
        <w:t xml:space="preserve">Capitolo 3 — Le strutture in gioco</w:t>
      </w:r>
    </w:p>
    <w:p>
      <w:pPr>
        <w:pStyle w:val="BlockText"/>
      </w:pPr>
      <w:r>
        <w:rPr>
          <w:b/>
          <w:bCs/>
        </w:rPr>
        <w:t xml:space="preserve">In una riga:</w:t>
      </w:r>
      <w:r>
        <w:t xml:space="preserve"> </w:t>
      </w:r>
      <w:r>
        <w:t xml:space="preserve">collo, mandibola e testa hanno un solo centralino, e tutto quello che puoi fare passa da lì.</w:t>
      </w:r>
    </w:p>
    <w:bookmarkStart w:id="21" w:name="X5844a67a856d3fd554f67d04187c5397f46362c"/>
    <w:p>
      <w:pPr>
        <w:pStyle w:val="Heading3"/>
      </w:pPr>
      <w:r>
        <w:t xml:space="preserve">1. Il nucleo trigemino-cervicale, e le afferenze che ci entrano</w:t>
      </w:r>
    </w:p>
    <w:p>
      <w:pPr>
        <w:pStyle w:val="FirstParagraph"/>
      </w:pPr>
      <w:r>
        <w:rPr>
          <w:b/>
          <w:bCs/>
        </w:rPr>
        <w:t xml:space="preserve">Cos’è.</w:t>
      </w:r>
      <w:r>
        <w:t xml:space="preserve"> </w:t>
      </w:r>
      <w:r>
        <w:t xml:space="preserve">La colonna di neuroni che va dal nucleo caudale del</w:t>
      </w:r>
      <w:r>
        <w:t xml:space="preserve"> </w:t>
      </w:r>
      <w:r>
        <w:rPr>
          <w:b/>
          <w:bCs/>
        </w:rPr>
        <w:t xml:space="preserve">trigemino</w:t>
      </w:r>
      <w:r>
        <w:t xml:space="preserve"> </w:t>
      </w:r>
      <w:r>
        <w:t xml:space="preserve">ai primi tre segmenti cervicali. Dal collo ci entrano le radici di C1, C2 e C3. Quelle radici raccolgono le prime tre articolazioni cervicali, i legamenti alto-cervicali e i sub-occipitali, e da C2 nasce il</w:t>
      </w:r>
      <w:r>
        <w:t xml:space="preserve"> </w:t>
      </w:r>
      <w:r>
        <w:rPr>
          <w:b/>
          <w:bCs/>
        </w:rPr>
        <w:t xml:space="preserve">grande nervo occipitale</w:t>
      </w:r>
      <w:r>
        <w:t xml:space="preserve">. Dalla faccia ci entrano tutte e tre le branche del trigemino,</w:t>
      </w:r>
      <w:r>
        <w:t xml:space="preserve"> </w:t>
      </w:r>
      <w:r>
        <w:rPr>
          <w:b/>
          <w:bCs/>
        </w:rPr>
        <w:t xml:space="preserve">compresa la terza (V3)</w:t>
      </w:r>
      <w:r>
        <w:t xml:space="preserve">, che raccoglie massetere, temporale e articolazione temporo-mandibolare.</w:t>
      </w:r>
    </w:p>
    <w:p>
      <w:pPr>
        <w:pStyle w:val="BodyText"/>
      </w:pPr>
      <w:r>
        <w:rPr>
          <w:b/>
          <w:bCs/>
        </w:rPr>
        <w:t xml:space="preserve">Cosa fa.</w:t>
      </w:r>
      <w:r>
        <w:t xml:space="preserve"> </w:t>
      </w:r>
      <w:r>
        <w:t xml:space="preserve">Riceve il dolore della faccia, della dura madre e dei vasi cranici. Riceve anche quello del collo alto e della mandibola. E porta tutto agli</w:t>
      </w:r>
      <w:r>
        <w:t xml:space="preserve"> </w:t>
      </w:r>
      <w:r>
        <w:rPr>
          <w:b/>
          <w:bCs/>
        </w:rPr>
        <w:t xml:space="preserve">stessi neuroni di secondo ordine</w:t>
      </w:r>
      <w:r>
        <w:t xml:space="preserve">.</w:t>
      </w:r>
    </w:p>
    <w:p>
      <w:pPr>
        <w:pStyle w:val="BodyText"/>
      </w:pPr>
      <w:r>
        <w:rPr>
          <w:b/>
          <w:bCs/>
        </w:rPr>
        <w:t xml:space="preserve">Perché conta qui.</w:t>
      </w:r>
      <w:r>
        <w:t xml:space="preserve"> </w:t>
      </w:r>
      <w:r>
        <w:t xml:space="preserve">Collo e mandibola possono produrre dolore in testa, e un attacco che nasce in testa può far male al collo. Ed è l’unica porta d’ingresso al dolore cranico che una mano raggiunge dall’esterno.</w:t>
      </w:r>
    </w:p>
    <w:bookmarkEnd w:id="21"/>
    <w:bookmarkStart w:id="22" w:name="i-sub-occipitali-e-il-ponte-miodurale"/>
    <w:p>
      <w:pPr>
        <w:pStyle w:val="Heading3"/>
      </w:pPr>
      <w:r>
        <w:t xml:space="preserve">2. I sub-occipitali, e il ponte miodurale</w:t>
      </w:r>
    </w:p>
    <w:p>
      <w:pPr>
        <w:pStyle w:val="FirstParagraph"/>
      </w:pPr>
      <w:r>
        <w:rPr>
          <w:b/>
          <w:bCs/>
        </w:rPr>
        <w:t xml:space="preserve">Cosa sono.</w:t>
      </w:r>
      <w:r>
        <w:t xml:space="preserve"> </w:t>
      </w:r>
      <w:r>
        <w:t xml:space="preserve">I quattro muscoli corti fra occipite, atlante ed epistrofeo, con una densa innervazione</w:t>
      </w:r>
      <w:r>
        <w:t xml:space="preserve"> </w:t>
      </w:r>
      <w:r>
        <w:rPr>
          <w:b/>
          <w:bCs/>
        </w:rPr>
        <w:t xml:space="preserve">nocicettiva profonda</w:t>
      </w:r>
      <w:r>
        <w:t xml:space="preserve">, cioè fatta di fibre che segnalano il dolore. È l’ingresso muscolare nocicettivo, non quello dei fusi, ad alzare la risposta del neurone all’ingresso durale nel modello animale. E lo fa più a lungo dell’ingresso cutaneo (Bartsch &amp; Goadsby,</w:t>
      </w:r>
      <w:r>
        <w:t xml:space="preserve"> </w:t>
      </w:r>
      <w:r>
        <w:rPr>
          <w:i/>
          <w:iCs/>
        </w:rPr>
        <w:t xml:space="preserve">Brain</w:t>
      </w:r>
      <w:r>
        <w:t xml:space="preserve"> </w:t>
      </w:r>
      <w:r>
        <w:t xml:space="preserve">2002, PMID 12077000).</w:t>
      </w:r>
    </w:p>
    <w:p>
      <w:pPr>
        <w:pStyle w:val="BodyText"/>
      </w:pPr>
      <w:r>
        <w:rPr>
          <w:b/>
          <w:bCs/>
        </w:rPr>
        <w:t xml:space="preserve">Perché conta qui.</w:t>
      </w:r>
      <w:r>
        <w:t xml:space="preserve"> </w:t>
      </w:r>
      <w:r>
        <w:t xml:space="preserve">Il bersaglio è il tessuto profondo dolente, e un lavoro di superficie non è la stessa leva.</w:t>
      </w:r>
    </w:p>
    <w:p>
      <w:pPr>
        <w:pStyle w:val="BodyText"/>
      </w:pPr>
      <w:r>
        <w:rPr>
          <w:b/>
          <w:bCs/>
        </w:rPr>
        <w:t xml:space="preserve">Il ponte miodurale, in tre righe.</w:t>
      </w:r>
      <w:r>
        <w:t xml:space="preserve"> </w:t>
      </w:r>
      <w:r>
        <w:t xml:space="preserve">Fra il</w:t>
      </w:r>
      <w:r>
        <w:t xml:space="preserve"> </w:t>
      </w:r>
      <w:r>
        <w:rPr>
          <w:b/>
          <w:bCs/>
        </w:rPr>
        <w:t xml:space="preserve">piccolo retto posteriore della testa</w:t>
      </w:r>
      <w:r>
        <w:t xml:space="preserve"> </w:t>
      </w:r>
      <w:r>
        <w:t xml:space="preserve">e la dura madre spinale esiste un ponte di tessuto connettivo. Era presente in tutti e undici i preparati della dissezione originale (Hack,</w:t>
      </w:r>
      <w:r>
        <w:t xml:space="preserve"> </w:t>
      </w:r>
      <w:r>
        <w:rPr>
          <w:i/>
          <w:iCs/>
        </w:rPr>
        <w:t xml:space="preserve">Spine</w:t>
      </w:r>
      <w:r>
        <w:t xml:space="preserve"> </w:t>
      </w:r>
      <w:r>
        <w:t xml:space="preserve">1995, PMID 8610241). È la struttura più citata al mondo per giustificare il lavoro cranico su questa condizione, ed è misurata</w:t>
      </w:r>
      <w:r>
        <w:t xml:space="preserve"> </w:t>
      </w:r>
      <w:r>
        <w:rPr>
          <w:b/>
          <w:bCs/>
        </w:rPr>
        <w:t xml:space="preserve">solo su cadavere</w:t>
      </w:r>
      <w:r>
        <w:t xml:space="preserve">: esiste, e non autorizza niente.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per l’esistenza del ponte, misurato su cadavere.</w:t>
      </w:r>
      <w:r>
        <w:t xml:space="preserve"> </w:t>
      </w:r>
      <w:r>
        <w:rPr>
          <w:b/>
          <w:bCs/>
        </w:rPr>
        <w:t xml:space="preserve">IPOTESI</w:t>
      </w:r>
      <w:r>
        <w:t xml:space="preserve"> </w:t>
      </w:r>
      <w:r>
        <w:rPr>
          <w:i/>
          <w:iCs/>
        </w:rPr>
        <w:t xml:space="preserve">(meccanismo coerente, nessuno studio)</w:t>
      </w:r>
      <w:r>
        <w:t xml:space="preserve"> </w:t>
      </w:r>
      <w:r>
        <w:t xml:space="preserve">per la sua rilevanza clinica.</w:t>
      </w:r>
    </w:p>
    <w:bookmarkEnd w:id="22"/>
    <w:bookmarkStart w:id="23" w:name="i-muscoli-pericranici"/>
    <w:p>
      <w:pPr>
        <w:pStyle w:val="Heading3"/>
      </w:pPr>
      <w:r>
        <w:t xml:space="preserve">3. I muscoli pericranici</w:t>
      </w:r>
    </w:p>
    <w:p>
      <w:pPr>
        <w:pStyle w:val="FirstParagraph"/>
      </w:pPr>
      <w:r>
        <w:rPr>
          <w:b/>
          <w:bCs/>
        </w:rPr>
        <w:t xml:space="preserve">Cosa sono.</w:t>
      </w:r>
      <w:r>
        <w:t xml:space="preserve"> </w:t>
      </w:r>
      <w:r>
        <w:t xml:space="preserve">Temporale, massetere, sternocleidomastoideo, splenio, trapezio superiore.</w:t>
      </w:r>
      <w:r>
        <w:t xml:space="preserve"> </w:t>
      </w:r>
      <w:r>
        <w:rPr>
          <w:b/>
          <w:bCs/>
        </w:rPr>
        <w:t xml:space="preserve">Cosa fanno.</w:t>
      </w:r>
      <w:r>
        <w:t xml:space="preserve"> </w:t>
      </w:r>
      <w:r>
        <w:t xml:space="preserve">Reggono la testa contro la gravità e chiudono la bocca.</w:t>
      </w:r>
      <w:r>
        <w:t xml:space="preserve"> </w:t>
      </w:r>
      <w:r>
        <w:rPr>
          <w:b/>
          <w:bCs/>
        </w:rPr>
        <w:t xml:space="preserve">Perché conta qui.</w:t>
      </w:r>
      <w:r>
        <w:t xml:space="preserve"> </w:t>
      </w:r>
      <w:r>
        <w:t xml:space="preserve">La loro dolorabilità descrive bene la popolazione. Il punteggio totale su una scala fino a 48 era 15,1 in chi aveva dolore al collo e 8,4 in chi non ne aveva. E il dolore al collo è molto più frequente in chi ha una cefalea primaria: 85,7 contro 56,7 per cento (Ashina S,</w:t>
      </w:r>
      <w:r>
        <w:t xml:space="preserve"> </w:t>
      </w:r>
      <w:r>
        <w:rPr>
          <w:i/>
          <w:iCs/>
        </w:rPr>
        <w:t xml:space="preserve">Cephalalgia</w:t>
      </w:r>
      <w:r>
        <w:t xml:space="preserve"> </w:t>
      </w:r>
      <w:r>
        <w:t xml:space="preserve">2015, PMID 24853166).</w:t>
      </w:r>
    </w:p>
    <w:p>
      <w:pPr>
        <w:pStyle w:val="BodyText"/>
      </w:pPr>
      <w:r>
        <w:rPr>
          <w:b/>
          <w:bCs/>
        </w:rPr>
        <w:t xml:space="preserve">Per te:</w:t>
      </w:r>
      <w:r>
        <w:t xml:space="preserve"> </w:t>
      </w:r>
      <w:r>
        <w:t xml:space="preserve">quel numero</w:t>
      </w:r>
      <w:r>
        <w:t xml:space="preserve"> </w:t>
      </w:r>
      <w:r>
        <w:rPr>
          <w:b/>
          <w:bCs/>
        </w:rPr>
        <w:t xml:space="preserve">descrive la popolazione, non misura il tuo paziente</w:t>
      </w:r>
      <w:r>
        <w:t xml:space="preserve">. La dolorabilità si osserva e si scrive, non si usa come marker: c’è in quasi tutte le cefalee primarie, e per la prova servono gradi, algometro o giorni.</w:t>
      </w:r>
    </w:p>
    <w:bookmarkEnd w:id="23"/>
    <w:bookmarkStart w:id="24" w:name="lunità-masticatoria"/>
    <w:p>
      <w:pPr>
        <w:pStyle w:val="Heading3"/>
      </w:pPr>
      <w:r>
        <w:t xml:space="preserve">4. L’unità masticatoria</w:t>
      </w:r>
    </w:p>
    <w:p>
      <w:pPr>
        <w:pStyle w:val="FirstParagraph"/>
      </w:pPr>
      <w:r>
        <w:rPr>
          <w:b/>
          <w:bCs/>
        </w:rPr>
        <w:t xml:space="preserve">Cos’è.</w:t>
      </w:r>
      <w:r>
        <w:t xml:space="preserve"> </w:t>
      </w:r>
      <w:r>
        <w:t xml:space="preserve">Massetere, temporale, pterigoidei e l’articolazione temporo-mandibolare.</w:t>
      </w:r>
      <w:r>
        <w:t xml:space="preserve"> </w:t>
      </w:r>
      <w:r>
        <w:rPr>
          <w:b/>
          <w:bCs/>
        </w:rPr>
        <w:t xml:space="preserve">Cosa fa.</w:t>
      </w:r>
      <w:r>
        <w:t xml:space="preserve"> </w:t>
      </w:r>
      <w:r>
        <w:t xml:space="preserve">Chiude e muove la mandibola, di giorno per masticare e di notte, in molti, senza ragione utile.</w:t>
      </w:r>
      <w:r>
        <w:t xml:space="preserve"> </w:t>
      </w:r>
      <w:r>
        <w:rPr>
          <w:b/>
          <w:bCs/>
        </w:rPr>
        <w:t xml:space="preserve">Perché conta qui.</w:t>
      </w:r>
      <w:r>
        <w:t xml:space="preserve"> </w:t>
      </w:r>
      <w:r>
        <w:t xml:space="preserve">La sua afferenza è trigeminale (V3) e arriva agli stessi neuroni di secondo ordine dell’ingresso cervicale. È una seconda sorgente sul medesimo centralino, e nessuno la guarda. È anche la struttura</w:t>
      </w:r>
      <w:r>
        <w:t xml:space="preserve"> </w:t>
      </w:r>
      <w:r>
        <w:rPr>
          <w:b/>
          <w:bCs/>
        </w:rPr>
        <w:t xml:space="preserve">più lontana dal punto in cui il paziente sente male</w:t>
      </w:r>
      <w:r>
        <w:t xml:space="preserve">.</w:t>
      </w:r>
    </w:p>
    <w:bookmarkEnd w:id="24"/>
    <w:bookmarkStart w:id="25" w:name="larticolazione-atlanto-epistrofea-c1-c2"/>
    <w:p>
      <w:pPr>
        <w:pStyle w:val="Heading3"/>
      </w:pPr>
      <w:r>
        <w:t xml:space="preserve">5. L’articolazione atlanto-epistrofea, C1-C2</w:t>
      </w:r>
    </w:p>
    <w:p>
      <w:pPr>
        <w:pStyle w:val="FirstParagraph"/>
      </w:pPr>
      <w:r>
        <w:rPr>
          <w:b/>
          <w:bCs/>
        </w:rPr>
        <w:t xml:space="preserve">Cos’è.</w:t>
      </w:r>
      <w:r>
        <w:t xml:space="preserve"> </w:t>
      </w:r>
      <w:r>
        <w:t xml:space="preserve">L’articolazione che fornisce circa metà della rotazione dell’intero collo.</w:t>
      </w:r>
      <w:r>
        <w:t xml:space="preserve"> </w:t>
      </w:r>
      <w:r>
        <w:rPr>
          <w:b/>
          <w:bCs/>
        </w:rPr>
        <w:t xml:space="preserve">Perché conta qui.</w:t>
      </w:r>
      <w:r>
        <w:t xml:space="preserve"> </w:t>
      </w:r>
      <w:r>
        <w:t xml:space="preserve">È il segmento che il</w:t>
      </w:r>
      <w:r>
        <w:t xml:space="preserve"> </w:t>
      </w:r>
      <w:r>
        <w:rPr>
          <w:b/>
          <w:bCs/>
        </w:rPr>
        <w:t xml:space="preserve">test di flessione-rotazione</w:t>
      </w:r>
      <w:r>
        <w:t xml:space="preserve"> </w:t>
      </w:r>
      <w:r>
        <w:t xml:space="preserve">interroga quasi isolato. La sua restrizione è uno dei tre elementi che orientano verso la cefalea cervicogenica.</w:t>
      </w:r>
    </w:p>
    <w:p>
      <w:pPr>
        <w:pStyle w:val="BlockText"/>
      </w:pPr>
      <w:r>
        <w:rPr>
          <w:b/>
          <w:bCs/>
        </w:rPr>
        <w:t xml:space="preserve">Attenzione.</w:t>
      </w:r>
      <w:r>
        <w:t xml:space="preserve"> </w:t>
      </w:r>
      <w:r>
        <w:t xml:space="preserve">La stabilità di questo livello è</w:t>
      </w:r>
      <w:r>
        <w:t xml:space="preserve"> </w:t>
      </w:r>
      <w:r>
        <w:rPr>
          <w:b/>
          <w:bCs/>
        </w:rPr>
        <w:t xml:space="preserve">legamentosa, non ossea</w:t>
      </w:r>
      <w:r>
        <w:t xml:space="preserve">: è l’unico livello del rachide senza incastro fra le superfici. Quattro condizioni la rendono insufficiente — artrite reumatoide e artropatie infiammatorie, sindrome di Down, trauma cervicale recente, disturbi ereditari del tessuto connettivo. In quei pazienti C1-C2 non è una leva: è una domanda per il medico. E si pone in</w:t>
      </w:r>
      <w:r>
        <w:t xml:space="preserve"> </w:t>
      </w:r>
      <w:r>
        <w:rPr>
          <w:b/>
          <w:bCs/>
        </w:rPr>
        <w:t xml:space="preserve">anamnesi</w:t>
      </w:r>
      <w:r>
        <w:t xml:space="preserve">, prima della Procedura, perché i test manuali di instabilità non hanno sensibilità sufficiente per escluderla (Hutting,</w:t>
      </w:r>
      <w:r>
        <w:t xml:space="preserve"> </w:t>
      </w:r>
      <w:r>
        <w:rPr>
          <w:i/>
          <w:iCs/>
        </w:rPr>
        <w:t xml:space="preserve">Phys Ther</w:t>
      </w:r>
      <w:r>
        <w:t xml:space="preserve"> </w:t>
      </w:r>
      <w:r>
        <w:t xml:space="preserve">2013, PMID 23886844; IFOMPT Cervical Framework, Rushton,</w:t>
      </w:r>
      <w:r>
        <w:t xml:space="preserve"> </w:t>
      </w:r>
      <w:r>
        <w:rPr>
          <w:i/>
          <w:iCs/>
        </w:rPr>
        <w:t xml:space="preserve">JOSPT</w:t>
      </w:r>
      <w:r>
        <w:t xml:space="preserve"> </w:t>
      </w:r>
      <w:r>
        <w:t xml:space="preserve">2023, PMID 36099171).</w:t>
      </w:r>
    </w:p>
    <w:bookmarkEnd w:id="25"/>
    <w:bookmarkStart w:id="26" w:name="i-flessori-profondi-del-collo"/>
    <w:p>
      <w:pPr>
        <w:pStyle w:val="Heading3"/>
      </w:pPr>
      <w:r>
        <w:t xml:space="preserve">6. I flessori profondi del collo</w:t>
      </w:r>
    </w:p>
    <w:p>
      <w:pPr>
        <w:pStyle w:val="FirstParagraph"/>
      </w:pPr>
      <w:r>
        <w:rPr>
          <w:b/>
          <w:bCs/>
        </w:rPr>
        <w:t xml:space="preserve">Cosa sono.</w:t>
      </w:r>
      <w:r>
        <w:t xml:space="preserve"> </w:t>
      </w:r>
      <w:r>
        <w:t xml:space="preserve">Lungo del collo e lungo della testa.</w:t>
      </w:r>
      <w:r>
        <w:t xml:space="preserve"> </w:t>
      </w:r>
      <w:r>
        <w:rPr>
          <w:b/>
          <w:bCs/>
        </w:rPr>
        <w:t xml:space="preserve">Cosa fanno.</w:t>
      </w:r>
      <w:r>
        <w:t xml:space="preserve"> </w:t>
      </w:r>
      <w:r>
        <w:t xml:space="preserve">Non sollevano il capo: lo</w:t>
      </w:r>
      <w:r>
        <w:t xml:space="preserve"> </w:t>
      </w:r>
      <w:r>
        <w:rPr>
          <w:b/>
          <w:bCs/>
        </w:rPr>
        <w:t xml:space="preserve">tengono</w:t>
      </w:r>
      <w:r>
        <w:t xml:space="preserve">, controllando il segmento durante ogni movimento.</w:t>
      </w:r>
      <w:r>
        <w:t xml:space="preserve"> </w:t>
      </w:r>
      <w:r>
        <w:rPr>
          <w:b/>
          <w:bCs/>
        </w:rPr>
        <w:t xml:space="preserve">Perché conta qui.</w:t>
      </w:r>
      <w:r>
        <w:t xml:space="preserve"> </w:t>
      </w:r>
      <w:r>
        <w:t xml:space="preserve">Si misurano con il</w:t>
      </w:r>
      <w:r>
        <w:t xml:space="preserve"> </w:t>
      </w:r>
      <w:r>
        <w:rPr>
          <w:b/>
          <w:bCs/>
        </w:rPr>
        <w:t xml:space="preserve">test di flessione cranio-cervicale</w:t>
      </w:r>
      <w:r>
        <w:t xml:space="preserve">, terza gamba del cluster. E sono allenabili: una delle poche cose che il paziente può cambiare da solo.</w:t>
      </w:r>
    </w:p>
    <w:p>
      <w:pPr>
        <w:pStyle w:val="BodyText"/>
      </w:pPr>
      <w:r>
        <w:rPr>
          <w:b/>
          <w:bCs/>
        </w:rPr>
        <w:t xml:space="preserve">Le tre cose da ricordare, più una</w:t>
      </w:r>
    </w:p>
    <w:p>
      <w:pPr>
        <w:pStyle w:val="Compact"/>
        <w:numPr>
          <w:ilvl w:val="0"/>
          <w:numId w:val="1005"/>
        </w:numPr>
      </w:pPr>
      <w:r>
        <w:t xml:space="preserve">Un centralino solo per faccia, mandibola, dura madre e collo alto: è l’anatomia che regge il documento.</w:t>
      </w:r>
    </w:p>
    <w:p>
      <w:pPr>
        <w:pStyle w:val="Compact"/>
        <w:numPr>
          <w:ilvl w:val="0"/>
          <w:numId w:val="1005"/>
        </w:numPr>
      </w:pPr>
      <w:r>
        <w:t xml:space="preserve">La zona sub-occipitale conta per il suo ingresso nocicettivo profondo, non per i fusi; il ponte miodurale esiste e non autorizza niente.</w:t>
      </w:r>
    </w:p>
    <w:p>
      <w:pPr>
        <w:pStyle w:val="Compact"/>
        <w:numPr>
          <w:ilvl w:val="0"/>
          <w:numId w:val="1005"/>
        </w:numPr>
      </w:pPr>
      <w:r>
        <w:t xml:space="preserve">C1-C2 e i flessori profondi sono due terzi del cluster che distingue la cervicogenica, e C1-C2 ha una domanda anamnestica che viene prima.</w:t>
      </w:r>
    </w:p>
    <w:p>
      <w:pPr>
        <w:pStyle w:val="Compact"/>
        <w:numPr>
          <w:ilvl w:val="0"/>
          <w:numId w:val="1005"/>
        </w:numPr>
      </w:pPr>
      <w:r>
        <w:rPr>
          <w:b/>
          <w:bCs/>
        </w:rPr>
        <w:t xml:space="preserve">Perché ci sei tu.</w:t>
      </w:r>
      <w:r>
        <w:t xml:space="preserve"> </w:t>
      </w:r>
      <w:r>
        <w:t xml:space="preserve">Con la stimolazione dell’afferenza muscolare cervicale, la risposta del neurone all’ingresso durale aumentava in nove neuroni su dieci (Bartsch &amp; Goadsby,</w:t>
      </w:r>
      <w:r>
        <w:t xml:space="preserve"> </w:t>
      </w:r>
      <w:r>
        <w:rPr>
          <w:i/>
          <w:iCs/>
        </w:rPr>
        <w:t xml:space="preserve">Brain</w:t>
      </w:r>
      <w:r>
        <w:t xml:space="preserve"> </w:t>
      </w:r>
      <w:r>
        <w:t xml:space="preserve">2002, PMID 12077000). Ti autorizza a dire che il collo entra nella via del dolore di testa. Non ti autorizza a dire che lo causa: la misura è nel ratto, e dice che quel segnale</w:t>
      </w:r>
      <w:r>
        <w:t xml:space="preserve"> </w:t>
      </w:r>
      <w:r>
        <w:rPr>
          <w:b/>
          <w:bCs/>
        </w:rPr>
        <w:t xml:space="preserve">modula</w:t>
      </w:r>
      <w:r>
        <w:t xml:space="preserve">, non che genera.</w:t>
      </w:r>
    </w:p>
    <w:p>
      <w:r>
        <w:pict>
          <v:rect style="width:0;height:1.5pt" o:hralign="center" o:hrstd="t" o:hr="t"/>
        </w:pict>
      </w:r>
    </w:p>
    <w:bookmarkEnd w:id="26"/>
    <w:bookmarkEnd w:id="27"/>
    <w:bookmarkStart w:id="28"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 testa che non fa male non è una testa senza segnali, è una testa che li tiene sotto la soglia.</w:t>
      </w:r>
    </w:p>
    <w:p>
      <w:pPr>
        <w:pStyle w:val="FirstParagraph"/>
      </w:pPr>
      <w:r>
        <w:t xml:space="preserve">La sequenza, in ordine.</w:t>
      </w:r>
    </w:p>
    <w:p>
      <w:pPr>
        <w:pStyle w:val="Compact"/>
        <w:numPr>
          <w:ilvl w:val="0"/>
          <w:numId w:val="1006"/>
        </w:numPr>
      </w:pPr>
      <w:r>
        <w:rPr>
          <w:b/>
          <w:bCs/>
        </w:rPr>
        <w:t xml:space="preserve">I recettori raccolgono.</w:t>
      </w:r>
      <w:r>
        <w:t xml:space="preserve"> </w:t>
      </w:r>
      <w:r>
        <w:t xml:space="preserve">Le terminazioni nocicettive stanno nella</w:t>
      </w:r>
      <w:r>
        <w:t xml:space="preserve"> </w:t>
      </w:r>
      <w:r>
        <w:rPr>
          <w:b/>
          <w:bCs/>
        </w:rPr>
        <w:t xml:space="preserve">dura madre</w:t>
      </w:r>
      <w:r>
        <w:t xml:space="preserve">, attorno ai grandi vasi cranici, nei muscoli pericranici e masticatori, nelle articolazioni e nei legamenti del collo alto. Nel tessuto nervoso non ce ne sono: il cervello non fa male, fanno male le sue coperture.</w:t>
      </w:r>
    </w:p>
    <w:p>
      <w:pPr>
        <w:pStyle w:val="Compact"/>
        <w:numPr>
          <w:ilvl w:val="0"/>
          <w:numId w:val="1006"/>
        </w:numPr>
      </w:pPr>
      <w:r>
        <w:rPr>
          <w:b/>
          <w:bCs/>
        </w:rPr>
        <w:t xml:space="preserve">Due strade portano allo stesso posto.</w:t>
      </w:r>
      <w:r>
        <w:t xml:space="preserve"> </w:t>
      </w:r>
      <w:r>
        <w:t xml:space="preserve">Il segnale della faccia, della mandibola e della dura sale con il trigemino. Il segnale del collo alto entra con le radici di C1, C2 e C3. Le due strade finiscono sui medesimi neuroni di secondo ordine, nel nucleo trigemino-cervicale.</w:t>
      </w:r>
    </w:p>
    <w:p>
      <w:pPr>
        <w:pStyle w:val="Compact"/>
        <w:numPr>
          <w:ilvl w:val="0"/>
          <w:numId w:val="1006"/>
        </w:numPr>
      </w:pPr>
      <w:r>
        <w:rPr>
          <w:b/>
          <w:bCs/>
        </w:rPr>
        <w:t xml:space="preserve">Il neurone somma.</w:t>
      </w:r>
      <w:r>
        <w:t xml:space="preserve"> </w:t>
      </w:r>
      <w:r>
        <w:t xml:space="preserve">Ogni neurone di quella colonna riceve da un territorio ampio, e mette insieme quello che arriva</w:t>
      </w:r>
      <w:r>
        <w:t xml:space="preserve"> </w:t>
      </w:r>
      <w:r>
        <w:rPr>
          <w:b/>
          <w:bCs/>
        </w:rPr>
        <w:t xml:space="preserve">istante per istante</w:t>
      </w:r>
      <w:r>
        <w:t xml:space="preserve">. È efficiente, e ha un prezzo:</w:t>
      </w:r>
      <w:r>
        <w:t xml:space="preserve"> </w:t>
      </w:r>
      <w:r>
        <w:rPr>
          <w:b/>
          <w:bCs/>
        </w:rPr>
        <w:t xml:space="preserve">non sa da dove viene ciò che riceve</w:t>
      </w:r>
      <w:r>
        <w:t xml:space="preserve">.</w:t>
      </w:r>
    </w:p>
    <w:p>
      <w:pPr>
        <w:pStyle w:val="Compact"/>
        <w:numPr>
          <w:ilvl w:val="0"/>
          <w:numId w:val="1006"/>
        </w:numPr>
      </w:pPr>
      <w:r>
        <w:rPr>
          <w:b/>
          <w:bCs/>
        </w:rPr>
        <w:t xml:space="preserve">Il sistema decide se vale la pena.</w:t>
      </w:r>
      <w:r>
        <w:t xml:space="preserve"> </w:t>
      </w:r>
      <w:r>
        <w:t xml:space="preserve">I controlli discendenti dal tronco alzano o abbassano il guadagno del relè. Con guadagno basso, un ingresso continuo di media intensità resta un’informazione e non diventa dolore. È il fuoco sotto la pentola: con la stessa acqua, alto fa bollire e basso no.</w:t>
      </w:r>
    </w:p>
    <w:p>
      <w:pPr>
        <w:pStyle w:val="Compact"/>
        <w:numPr>
          <w:ilvl w:val="0"/>
          <w:numId w:val="1006"/>
        </w:numPr>
      </w:pPr>
      <w:r>
        <w:rPr>
          <w:b/>
          <w:bCs/>
        </w:rPr>
        <w:t xml:space="preserve">La corteccia dà un nome e un posto.</w:t>
      </w:r>
      <w:r>
        <w:t xml:space="preserve"> </w:t>
      </w:r>
      <w:r>
        <w:t xml:space="preserve">Solo qui il segnale diventa</w:t>
      </w:r>
      <w:r>
        <w:t xml:space="preserve"> </w:t>
      </w:r>
      <w:r>
        <w:rPr>
          <w:i/>
          <w:iCs/>
        </w:rPr>
        <w:t xml:space="preserve">“mi fa male la testa”</w:t>
      </w:r>
      <w:r>
        <w:t xml:space="preserve">. Il posto assegnato dipende dal territorio del neurone, non dalla struttura che ha mandato il segnale. Fra un episodio e l’altro il sistema torna al basale, ma solo</w:t>
      </w:r>
      <w:r>
        <w:t xml:space="preserve"> </w:t>
      </w:r>
      <w:r>
        <w:rPr>
          <w:b/>
          <w:bCs/>
        </w:rPr>
        <w:t xml:space="preserve">fuori dal cranio</w:t>
      </w:r>
      <w:r>
        <w:t xml:space="preserve">: nella forma episodica la soglia lontana è quella di chi non ha mal di testa, mentre in area trigeminale e cervicale è già ridotta rispetto ai controlli (Fernández-de-las-Peñas,</w:t>
      </w:r>
      <w:r>
        <w:t xml:space="preserve"> </w:t>
      </w:r>
      <w:r>
        <w:rPr>
          <w:i/>
          <w:iCs/>
        </w:rPr>
        <w:t xml:space="preserve">Cephalalgia</w:t>
      </w:r>
      <w:r>
        <w:t xml:space="preserve"> </w:t>
      </w:r>
      <w:r>
        <w:t xml:space="preserve">2021, PMID 32957796).</w:t>
      </w:r>
    </w:p>
    <w:p>
      <w:pPr>
        <w:pStyle w:val="FirstParagraph"/>
      </w:pPr>
      <w:r>
        <w:rPr>
          <w:b/>
          <w:bCs/>
        </w:rPr>
        <w:t xml:space="preserve">E in questi pazienti quel guadagno è regolato al contrario.</w:t>
      </w:r>
      <w:r>
        <w:t xml:space="preserve"> </w:t>
      </w:r>
      <w:r>
        <w:t xml:space="preserve">Un secondo dolore altrove, in una persona sana, attenua il primo del 30 per cento. In emicrania e tensiva cronica lo</w:t>
      </w:r>
      <w:r>
        <w:t xml:space="preserve"> </w:t>
      </w:r>
      <w:r>
        <w:rPr>
          <w:b/>
          <w:bCs/>
        </w:rPr>
        <w:t xml:space="preserve">amplifica</w:t>
      </w:r>
      <w:r>
        <w:t xml:space="preserve"> </w:t>
      </w:r>
      <w:r>
        <w:t xml:space="preserve">del 31 e del 40 per cento (Sandrini,</w:t>
      </w:r>
      <w:r>
        <w:t xml:space="preserve"> </w:t>
      </w:r>
      <w:r>
        <w:rPr>
          <w:i/>
          <w:iCs/>
        </w:rPr>
        <w:t xml:space="preserve">Cephalalgia</w:t>
      </w:r>
      <w:r>
        <w:t xml:space="preserve"> </w:t>
      </w:r>
      <w:r>
        <w:t xml:space="preserve">2006, PMID 16776692). L’idea che un contatto sgradevole</w:t>
      </w:r>
      <w:r>
        <w:t xml:space="preserve"> </w:t>
      </w:r>
      <w:r>
        <w:t xml:space="preserve">“distragga”</w:t>
      </w:r>
      <w:r>
        <w:t xml:space="preserve"> </w:t>
      </w:r>
      <w:r>
        <w:t xml:space="preserve">dal sintomo è, qui, rovesciata.</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07"/>
        </w:numPr>
      </w:pPr>
      <w:r>
        <w:t xml:space="preserve">Il cervello non fa male: fanno male le sue coperture, i vasi, i muscoli e le articolazioni che lo reggono.</w:t>
      </w:r>
    </w:p>
    <w:p>
      <w:pPr>
        <w:pStyle w:val="Compact"/>
        <w:numPr>
          <w:ilvl w:val="0"/>
          <w:numId w:val="1007"/>
        </w:numPr>
      </w:pPr>
      <w:r>
        <w:t xml:space="preserve">Il neurone di secondo ordine somma e non sa distinguere la provenienza. È il difetto che spiega quasi tutto il resto.</w:t>
      </w:r>
    </w:p>
    <w:p>
      <w:pPr>
        <w:pStyle w:val="Compact"/>
        <w:numPr>
          <w:ilvl w:val="0"/>
          <w:numId w:val="1007"/>
        </w:numPr>
      </w:pPr>
      <w:r>
        <w:t xml:space="preserve">La differenza fra un segnale e un sintomo la fa il guadagno, non l’intensità dell’ingresso — e qui il guadagno è regolato al contrario.</w:t>
      </w:r>
    </w:p>
    <w:p>
      <w:pPr>
        <w:pStyle w:val="Compact"/>
        <w:numPr>
          <w:ilvl w:val="0"/>
          <w:numId w:val="1007"/>
        </w:numPr>
      </w:pPr>
      <w:r>
        <w:rPr>
          <w:b/>
          <w:bCs/>
        </w:rPr>
        <w:t xml:space="preserve">Perché ci sei tu.</w:t>
      </w:r>
      <w:r>
        <w:t xml:space="preserve"> </w:t>
      </w:r>
      <w:r>
        <w:t xml:space="preserve">Nel muscolo cronicamente dolente la risposta alla pressione non è solo spostata: è</w:t>
      </w:r>
      <w:r>
        <w:t xml:space="preserve"> </w:t>
      </w:r>
      <w:r>
        <w:rPr>
          <w:b/>
          <w:bCs/>
        </w:rPr>
        <w:t xml:space="preserve">cambiata di forma</w:t>
      </w:r>
      <w:r>
        <w:t xml:space="preserve">, su 40 pazienti contro 40 controlli (Bendtsen,</w:t>
      </w:r>
      <w:r>
        <w:t xml:space="preserve"> </w:t>
      </w:r>
      <w:r>
        <w:rPr>
          <w:i/>
          <w:iCs/>
        </w:rPr>
        <w:t xml:space="preserve">Pain</w:t>
      </w:r>
      <w:r>
        <w:t xml:space="preserve"> </w:t>
      </w:r>
      <w:r>
        <w:t xml:space="preserve">1996, PMID 8826515). Ti autorizza a spiegare perché lo stesso stimolo che prima non faceva niente adesso fa male. Non ti autorizza a dire che il tuo lavoro la riporta alla forma di prima: nessuno l’ha misurato.</w:t>
      </w:r>
    </w:p>
    <w:p>
      <w:r>
        <w:pict>
          <v:rect style="width:0;height:1.5pt" o:hralign="center" o:hrstd="t" o:hr="t"/>
        </w:pict>
      </w:r>
    </w:p>
    <w:bookmarkEnd w:id="28"/>
    <w:bookmarkStart w:id="34"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guasti, e il primo spiega perché il collo e la testa non sono due argomenti separati.</w:t>
      </w:r>
    </w:p>
    <w:p>
      <w:pPr>
        <w:pStyle w:val="BlockText"/>
      </w:pPr>
      <w:r>
        <w:rPr>
          <w:b/>
          <w:bCs/>
        </w:rPr>
        <w:t xml:space="preserve">Definizione.</w:t>
      </w:r>
      <w:r>
        <w:t xml:space="preserve"> </w:t>
      </w:r>
      <w:r>
        <w:t xml:space="preserve">Un</w:t>
      </w:r>
      <w:r>
        <w:t xml:space="preserve"> </w:t>
      </w:r>
      <w:r>
        <w:rPr>
          <w:b/>
          <w:bCs/>
        </w:rPr>
        <w:t xml:space="preserve">piano</w:t>
      </w:r>
      <w:r>
        <w:t xml:space="preserve"> </w:t>
      </w:r>
      <w:r>
        <w:t xml:space="preserve">è un livello funzionale del sistema su cui stai ragionando: il farmaco, l’attivazione, il sonno, la meccanica cervicale alta, il carico miofasciale e masticatorio. Non è un piano anatomico. Tutto il ragionamento consiste nel decidere quale piano comanda, e nel verificarlo su un piano che non hai toccato.</w:t>
      </w:r>
    </w:p>
    <w:bookmarkStart w:id="29" w:name="il-centralino-con-un-pulsante-solo"/>
    <w:p>
      <w:pPr>
        <w:pStyle w:val="Heading3"/>
      </w:pPr>
      <w:r>
        <w:t xml:space="preserve">1. Il centralino con un pulsante solo</w:t>
      </w:r>
    </w:p>
    <w:p>
      <w:pPr>
        <w:pStyle w:val="FirstParagraph"/>
      </w:pPr>
      <w:r>
        <w:rPr>
          <w:b/>
          <w:bCs/>
        </w:rPr>
        <w:t xml:space="preserve">La sequenza.</w:t>
      </w:r>
    </w:p>
    <w:p>
      <w:pPr>
        <w:pStyle w:val="Compact"/>
        <w:numPr>
          <w:ilvl w:val="0"/>
          <w:numId w:val="1008"/>
        </w:numPr>
      </w:pPr>
      <w:r>
        <w:t xml:space="preserve">Dura, vasi cranici, mandibola e prime tre articolazioni cervicali arrivano agli stessi neuroni di secondo ordine.</w:t>
      </w:r>
    </w:p>
    <w:p>
      <w:pPr>
        <w:pStyle w:val="Compact"/>
        <w:numPr>
          <w:ilvl w:val="0"/>
          <w:numId w:val="1008"/>
        </w:numPr>
      </w:pPr>
      <w:r>
        <w:t xml:space="preserve">Un ingresso persistente da una delle strade</w:t>
      </w:r>
      <w:r>
        <w:t xml:space="preserve"> </w:t>
      </w:r>
      <w:r>
        <w:rPr>
          <w:b/>
          <w:bCs/>
        </w:rPr>
        <w:t xml:space="preserve">alza l’eccitabilità</w:t>
      </w:r>
      <w:r>
        <w:t xml:space="preserve"> </w:t>
      </w:r>
      <w:r>
        <w:t xml:space="preserve">di quei neuroni.</w:t>
      </w:r>
    </w:p>
    <w:p>
      <w:pPr>
        <w:pStyle w:val="Compact"/>
        <w:numPr>
          <w:ilvl w:val="0"/>
          <w:numId w:val="1008"/>
        </w:numPr>
      </w:pPr>
      <w:r>
        <w:t xml:space="preserve">Il neurone risponde di più anche alle altre strade. Allarga il territorio da cui accetta segnali, e il dolore compare dove il segnale non è partito.</w:t>
      </w:r>
    </w:p>
    <w:p>
      <w:pPr>
        <w:pStyle w:val="BlockText"/>
      </w:pPr>
      <w:r>
        <w:rPr>
          <w:b/>
          <w:bCs/>
        </w:rPr>
        <w:t xml:space="preserve">Quanto è solido:</w:t>
      </w:r>
      <w:r>
        <w:t xml:space="preserve"> </w:t>
      </w:r>
      <w:r>
        <w:t xml:space="preserve">l’etichetta si spezza.</w:t>
      </w:r>
      <w:r>
        <w:t xml:space="preserve"> </w:t>
      </w:r>
      <w:r>
        <w:rPr>
          <w:b/>
          <w:bCs/>
        </w:rPr>
        <w:t xml:space="preserve">DIMOSTRATO nell’animale</w:t>
      </w:r>
      <w:r>
        <w:t xml:space="preserve"> </w:t>
      </w:r>
      <w:r>
        <w:rPr>
          <w:i/>
          <w:iCs/>
        </w:rPr>
        <w:t xml:space="preserve">(studi solidi, ma su ratto anestetizzato)</w:t>
      </w:r>
      <w:r>
        <w:t xml:space="preserve"> </w:t>
      </w:r>
      <w:r>
        <w:t xml:space="preserve">la convergenza e la facilitazione crociata, misurate nei due versi: con la stimolazione del grande nervo occipitale la risposta all’ingresso durale aumentava in 8 neuroni su 20, e con la stimolazione dell’afferenza muscolare cervicale in 9 su 10 (Bartsch &amp; Goadsby,</w:t>
      </w:r>
      <w:r>
        <w:t xml:space="preserve"> </w:t>
      </w:r>
      <w:r>
        <w:rPr>
          <w:i/>
          <w:iCs/>
        </w:rPr>
        <w:t xml:space="preserve">Brain</w:t>
      </w:r>
      <w:r>
        <w:t xml:space="preserve"> </w:t>
      </w:r>
      <w:r>
        <w:t xml:space="preserve">2002, PMID 12077000); nel verso opposto, la stimolazione della dura allargava il campo recettivo nel 71 per cento dei neuroni (Bartsch &amp; Goadsby,</w:t>
      </w:r>
      <w:r>
        <w:t xml:space="preserve"> </w:t>
      </w:r>
      <w:r>
        <w:rPr>
          <w:i/>
          <w:iCs/>
        </w:rPr>
        <w:t xml:space="preserve">Brain</w:t>
      </w:r>
      <w:r>
        <w:t xml:space="preserve"> </w:t>
      </w:r>
      <w:r>
        <w:t xml:space="preserve">2003, PMID 12821523).</w:t>
      </w:r>
      <w:r>
        <w:t xml:space="preserve"> </w:t>
      </w:r>
      <w:r>
        <w:rPr>
          <w:b/>
          <w:bCs/>
        </w:rPr>
        <w:t xml:space="preserve">PROBABILE</w:t>
      </w:r>
      <w:r>
        <w:t xml:space="preserve"> </w:t>
      </w:r>
      <w:r>
        <w:rPr>
          <w:i/>
          <w:iCs/>
        </w:rPr>
        <w:t xml:space="preserve">(razionale forte, prove parziali)</w:t>
      </w:r>
      <w:r>
        <w:t xml:space="preserve"> </w:t>
      </w:r>
      <w:r>
        <w:t xml:space="preserve">che sia questo meccanismo a produrre il dolore riferito che palpi nel tuo paziente: nell’uomo lo sostiene il reperto clinico di provocazione, non una registrazione.</w:t>
      </w:r>
    </w:p>
    <w:p>
      <w:pPr>
        <w:pStyle w:val="FirstParagraph"/>
      </w:pPr>
      <w:r>
        <w:rPr>
          <w:b/>
          <w:bCs/>
        </w:rPr>
        <w:t xml:space="preserve">La freccia va nei due sensi.</w:t>
      </w:r>
      <w:r>
        <w:t xml:space="preserve"> </w:t>
      </w:r>
      <w:r>
        <w:t xml:space="preserve">Dal basso verso l’alto nella cervicogenica e nella tensiva. Dall’alto verso il basso nell’emicrania: lì l’accoppiamento fra ipotalamo e nucleo trigeminale spinale aumenta nelle</w:t>
      </w:r>
      <w:r>
        <w:t xml:space="preserve"> </w:t>
      </w:r>
      <w:r>
        <w:rPr>
          <w:b/>
          <w:bCs/>
        </w:rPr>
        <w:t xml:space="preserve">24 ore che precedono</w:t>
      </w:r>
      <w:r>
        <w:t xml:space="preserve"> </w:t>
      </w:r>
      <w:r>
        <w:t xml:space="preserve">il dolore (Schulte &amp; May,</w:t>
      </w:r>
      <w:r>
        <w:t xml:space="preserve"> </w:t>
      </w:r>
      <w:r>
        <w:rPr>
          <w:i/>
          <w:iCs/>
        </w:rPr>
        <w:t xml:space="preserve">Brain</w:t>
      </w:r>
      <w:r>
        <w:t xml:space="preserve"> </w:t>
      </w:r>
      <w:r>
        <w:t xml:space="preserve">2016, PMID 27190019). In quel caso il collo che fa male è il primo sintomo dell’attacco, non l’innesco.</w:t>
      </w:r>
    </w:p>
    <w:p>
      <w:pPr>
        <w:pStyle w:val="BodyText"/>
      </w:pPr>
      <w:r>
        <w:rPr>
          <w:b/>
          <w:bCs/>
        </w:rPr>
        <w:t xml:space="preserve">Come si vede addosso al paziente.</w:t>
      </w:r>
      <w:r>
        <w:t xml:space="preserve"> </w:t>
      </w:r>
      <w:r>
        <w:t xml:space="preserve">Tieni una pressione sostenuta sui segmenti cervicali alti e chiedi dove la sente. Stessa presa, stessa forza,</w:t>
      </w:r>
      <w:r>
        <w:t xml:space="preserve"> </w:t>
      </w:r>
      <w:r>
        <w:rPr>
          <w:b/>
          <w:bCs/>
        </w:rPr>
        <w:t xml:space="preserve">contata per quattro secondi</w:t>
      </w:r>
      <w:r>
        <w:t xml:space="preserve"> </w:t>
      </w:r>
      <w:r>
        <w:t xml:space="preserve">— e la durata si scrive, perché la rimisurazione deve essere identica. Se il dolore</w:t>
      </w:r>
      <w:r>
        <w:t xml:space="preserve"> </w:t>
      </w:r>
      <w:r>
        <w:rPr>
          <w:b/>
          <w:bCs/>
        </w:rPr>
        <w:t xml:space="preserve">sale in testa</w:t>
      </w:r>
      <w:r>
        <w:t xml:space="preserve"> </w:t>
      </w:r>
      <w:r>
        <w:t xml:space="preserve">e lui lo riconosce come il proprio, hai visto il meccanismo funzionare. Fra 179 emicranici la pressione sostenuta non dava dolore nell’11 per cento, dolore solo locale nel 42 e dolore riferito in testa nel 47 (Luedtke &amp; May,</w:t>
      </w:r>
      <w:r>
        <w:t xml:space="preserve"> </w:t>
      </w:r>
      <w:r>
        <w:rPr>
          <w:i/>
          <w:iCs/>
        </w:rPr>
        <w:t xml:space="preserve">J Headache Pain</w:t>
      </w:r>
      <w:r>
        <w:t xml:space="preserve"> </w:t>
      </w:r>
      <w:r>
        <w:t xml:space="preserve">2017, PMID 28952052).</w:t>
      </w:r>
    </w:p>
    <w:p>
      <w:pPr>
        <w:pStyle w:val="BodyText"/>
      </w:pPr>
      <w:r>
        <w:rPr>
          <w:b/>
          <w:bCs/>
        </w:rPr>
        <w:t xml:space="preserve">E cosa cambia nei tre gruppi.</w:t>
      </w:r>
      <w:r>
        <w:t xml:space="preserve"> </w:t>
      </w:r>
      <w:r>
        <w:rPr>
          <w:i/>
          <w:iCs/>
        </w:rPr>
        <w:t xml:space="preserve">Riferimento in testa:</w:t>
      </w:r>
      <w:r>
        <w:t xml:space="preserve"> </w:t>
      </w:r>
      <w:r>
        <w:t xml:space="preserve">il collo è bersaglio legittimo, e il marker è il cambio di categoria.</w:t>
      </w:r>
      <w:r>
        <w:t xml:space="preserve"> </w:t>
      </w:r>
      <w:r>
        <w:rPr>
          <w:i/>
          <w:iCs/>
        </w:rPr>
        <w:t xml:space="preserve">Dolore solo locale:</w:t>
      </w:r>
      <w:r>
        <w:t xml:space="preserve"> </w:t>
      </w:r>
      <w:r>
        <w:t xml:space="preserve">il collo partecipa e lo tratti, ma la prova la porta un marker fuori piano.</w:t>
      </w:r>
      <w:r>
        <w:t xml:space="preserve"> </w:t>
      </w:r>
      <w:r>
        <w:rPr>
          <w:i/>
          <w:iCs/>
        </w:rPr>
        <w:t xml:space="preserve">Nessun dolore:</w:t>
      </w:r>
      <w:r>
        <w:t xml:space="preserve"> </w:t>
      </w:r>
      <w:r>
        <w:t xml:space="preserve">il collo non è il tuo bersaglio. Restano conteggio dei farmaci, attivazione ed esercizio, e il marker si sposta.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le tre conseguenze.</w:t>
      </w:r>
    </w:p>
    <w:p>
      <w:pPr>
        <w:pStyle w:val="FirstParagraph"/>
      </w:pPr>
      <w:r>
        <w:rPr>
          <w:b/>
          <w:bCs/>
        </w:rPr>
        <w:t xml:space="preserve">È il citofono di un condominio con un pulsante solo per due appartamenti: suona, e chi risponde non sa chi dei due sta chiamando.</w:t>
      </w:r>
    </w:p>
    <w:bookmarkEnd w:id="29"/>
    <w:bookmarkStart w:id="30" w:name="il-rubinetto-che-gocciola-nel-secchio"/>
    <w:p>
      <w:pPr>
        <w:pStyle w:val="Heading3"/>
      </w:pPr>
      <w:r>
        <w:t xml:space="preserve">2. Il rubinetto che gocciola nel secchio</w:t>
      </w:r>
    </w:p>
    <w:p>
      <w:pPr>
        <w:pStyle w:val="FirstParagraph"/>
      </w:pPr>
      <w:r>
        <w:rPr>
          <w:b/>
          <w:bCs/>
        </w:rPr>
        <w:t xml:space="preserve">La sequenza.</w:t>
      </w:r>
    </w:p>
    <w:p>
      <w:pPr>
        <w:pStyle w:val="Compact"/>
        <w:numPr>
          <w:ilvl w:val="0"/>
          <w:numId w:val="1009"/>
        </w:numPr>
      </w:pPr>
      <w:r>
        <w:t xml:space="preserve">Muscoli pericranici, masticatori e cervicali restano attivi per ore, a bassa intensità, dentro una postura mantenuta.</w:t>
      </w:r>
    </w:p>
    <w:p>
      <w:pPr>
        <w:pStyle w:val="Compact"/>
        <w:numPr>
          <w:ilvl w:val="0"/>
          <w:numId w:val="1009"/>
        </w:numPr>
      </w:pPr>
      <w:r>
        <w:t xml:space="preserve">L’ingresso protratto</w:t>
      </w:r>
      <w:r>
        <w:t xml:space="preserve"> </w:t>
      </w:r>
      <w:r>
        <w:rPr>
          <w:b/>
          <w:bCs/>
        </w:rPr>
        <w:t xml:space="preserve">non si somma</w:t>
      </w:r>
      <w:r>
        <w:t xml:space="preserve">: la sommazione al relè agisce su secondi, non su otto ore. Quello che si accumula lungo la giornata è la</w:t>
      </w:r>
      <w:r>
        <w:t xml:space="preserve"> </w:t>
      </w:r>
      <w:r>
        <w:rPr>
          <w:b/>
          <w:bCs/>
        </w:rPr>
        <w:t xml:space="preserve">sensibilizzazione</w:t>
      </w:r>
      <w:r>
        <w:t xml:space="preserve">, cioè la soglia del neurone di secondo ordine che scende.</w:t>
      </w:r>
    </w:p>
    <w:p>
      <w:pPr>
        <w:pStyle w:val="Compact"/>
        <w:numPr>
          <w:ilvl w:val="0"/>
          <w:numId w:val="1009"/>
        </w:numPr>
      </w:pPr>
      <w:r>
        <w:t xml:space="preserve">Da lì in poi anche le afferenze a bassa soglia, quelle che normalmente non fanno male, arrivano su un neurone sensibilizzato e vengono lette come dolore (Bendtsen,</w:t>
      </w:r>
      <w:r>
        <w:t xml:space="preserve"> </w:t>
      </w:r>
      <w:r>
        <w:rPr>
          <w:i/>
          <w:iCs/>
        </w:rPr>
        <w:t xml:space="preserve">Pain</w:t>
      </w:r>
      <w:r>
        <w:t xml:space="preserve"> </w:t>
      </w:r>
      <w:r>
        <w:t xml:space="preserve">1996, PMID 8826515). La testa stringe, e continua anche dopo che il paziente si è alzato dallo schermo.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dolorabilità miofasciale è nettamente più alta in chi ha dolore al collo: 15,1 contro 8,4 su una scala fino a 48. E il dolore al collo è molto più frequente in chi ha una cefalea primaria, 85,7 contro 56,7 per cento (Ashina S,</w:t>
      </w:r>
      <w:r>
        <w:t xml:space="preserve"> </w:t>
      </w:r>
      <w:r>
        <w:rPr>
          <w:i/>
          <w:iCs/>
        </w:rPr>
        <w:t xml:space="preserve">Cephalalgia</w:t>
      </w:r>
      <w:r>
        <w:t xml:space="preserve"> </w:t>
      </w:r>
      <w:r>
        <w:t xml:space="preserve">2015, PMID 24853166). Che sia l’ingresso miofasciale a generare la crisi, e non l’inverso, non è stabilito in questo verso.</w:t>
      </w:r>
    </w:p>
    <w:p>
      <w:pPr>
        <w:pStyle w:val="FirstParagraph"/>
      </w:pPr>
      <w:r>
        <w:rPr>
          <w:b/>
          <w:bCs/>
        </w:rPr>
        <w:t xml:space="preserve">Il braccio mandibolare, che nessuno guarda.</w:t>
      </w:r>
      <w:r>
        <w:t xml:space="preserve"> </w:t>
      </w:r>
      <w:r>
        <w:t xml:space="preserve">La stessa sequenza gira su massetere e temporale, con afferenza V3 sullo stesso centralino. Si riconosce da quattro segni: dolore temporale o davanti all’orecchio riprodotto dal</w:t>
      </w:r>
      <w:r>
        <w:t xml:space="preserve"> </w:t>
      </w:r>
      <w:r>
        <w:rPr>
          <w:b/>
          <w:bCs/>
        </w:rPr>
        <w:t xml:space="preserve">serramento sostenuto</w:t>
      </w:r>
      <w:r>
        <w:t xml:space="preserve"> </w:t>
      </w:r>
      <w:r>
        <w:t xml:space="preserve">e dalla palpazione dei due muscoli; apertura limitata o deviata; usura dentale; esordio</w:t>
      </w:r>
      <w:r>
        <w:t xml:space="preserve"> </w:t>
      </w:r>
      <w:r>
        <w:rPr>
          <w:b/>
          <w:bCs/>
        </w:rPr>
        <w:t xml:space="preserve">al risveglio</w:t>
      </w:r>
      <w:r>
        <w:t xml:space="preserv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per il carico mandibolare come piano che comanda in questo paziente. La convergenza anatomica è già dichiarata in «Le strutture in gioco».</w:t>
      </w:r>
    </w:p>
    <w:p>
      <w:pPr>
        <w:pStyle w:val="FirstParagraph"/>
      </w:pPr>
      <w:r>
        <w:rPr>
          <w:b/>
          <w:bCs/>
        </w:rPr>
        <w:t xml:space="preserve">Il mal di testa già presente al risveglio non ha una causa sola.</w:t>
      </w:r>
      <w:r>
        <w:t xml:space="preserve"> </w:t>
      </w:r>
      <w:r>
        <w:t xml:space="preserve">Le cause possibili sono quattro: serramento notturno, respirazione notturna disturbata (russamento, apnee, sonnolenza diurna), pressione arteriosa non controllata, uso eccessivo di farmaci. I primi tre sono domande per il medico; l’ultimo è il tuo conteggio.</w:t>
      </w:r>
    </w:p>
    <w:p>
      <w:pPr>
        <w:pStyle w:val="BodyText"/>
      </w:pPr>
      <w:r>
        <w:rPr>
          <w:b/>
          <w:bCs/>
        </w:rPr>
        <w:t xml:space="preserve">Come si vede addosso al paziente.</w:t>
      </w:r>
      <w:r>
        <w:t xml:space="preserve"> </w:t>
      </w:r>
      <w:r>
        <w:t xml:space="preserve">L’orario fisso è il segno migliore, e te lo regala senza che tu lo chieda:</w:t>
      </w:r>
      <w:r>
        <w:t xml:space="preserve"> </w:t>
      </w:r>
      <w:r>
        <w:rPr>
          <w:i/>
          <w:iCs/>
        </w:rPr>
        <w:t xml:space="preserve">“parte verso le cinque”</w:t>
      </w:r>
      <w:r>
        <w:t xml:space="preserve">. Alla palpazione la dolorabilità è diffusa e bilaterale, non concentrata su un segmento.</w:t>
      </w:r>
    </w:p>
    <w:p>
      <w:pPr>
        <w:pStyle w:val="BodyText"/>
      </w:pPr>
      <w:r>
        <w:rPr>
          <w:b/>
          <w:bCs/>
        </w:rPr>
        <w:t xml:space="preserve">È un rubinetto che gocciola in un secchio: una goccia non è niente, e alle sei di sera il secchio è pieno.</w:t>
      </w:r>
      <w:r>
        <w:t xml:space="preserve"> </w:t>
      </w:r>
      <w:r>
        <w:t xml:space="preserve">Quello che si accumula non è il segnale: è la sensibilità con cui viene letto.</w:t>
      </w:r>
    </w:p>
    <w:bookmarkEnd w:id="30"/>
    <w:bookmarkStart w:id="31" w:name="la-porta-che-si-apre-con-un-dito"/>
    <w:p>
      <w:pPr>
        <w:pStyle w:val="Heading3"/>
      </w:pPr>
      <w:r>
        <w:t xml:space="preserve">3. La porta che si apre con un dito</w:t>
      </w:r>
    </w:p>
    <w:p>
      <w:pPr>
        <w:pStyle w:val="FirstParagraph"/>
      </w:pPr>
      <w:r>
        <w:rPr>
          <w:b/>
          <w:bCs/>
        </w:rPr>
        <w:t xml:space="preserve">La sequenza.</w:t>
      </w:r>
    </w:p>
    <w:p>
      <w:pPr>
        <w:pStyle w:val="Compact"/>
        <w:numPr>
          <w:ilvl w:val="0"/>
          <w:numId w:val="1010"/>
        </w:numPr>
      </w:pPr>
      <w:r>
        <w:t xml:space="preserve">L’ingresso resta aperto per mesi.</w:t>
      </w:r>
    </w:p>
    <w:p>
      <w:pPr>
        <w:pStyle w:val="Compact"/>
        <w:numPr>
          <w:ilvl w:val="0"/>
          <w:numId w:val="1010"/>
        </w:numPr>
      </w:pPr>
      <w:r>
        <w:t xml:space="preserve">I neuroni di secondo ordine cambiano il modo di rispondere: nel muscolo dolente la relazione fra pressione applicata e dolore percepito passa da una curva a una</w:t>
      </w:r>
      <w:r>
        <w:t xml:space="preserve"> </w:t>
      </w:r>
      <w:r>
        <w:rPr>
          <w:b/>
          <w:bCs/>
        </w:rPr>
        <w:t xml:space="preserve">retta</w:t>
      </w:r>
      <w:r>
        <w:t xml:space="preserve"> </w:t>
      </w:r>
      <w:r>
        <w:t xml:space="preserve">(Bendtsen,</w:t>
      </w:r>
      <w:r>
        <w:t xml:space="preserve"> </w:t>
      </w:r>
      <w:r>
        <w:rPr>
          <w:i/>
          <w:iCs/>
        </w:rPr>
        <w:t xml:space="preserve">Pain</w:t>
      </w:r>
      <w:r>
        <w:t xml:space="preserve"> </w:t>
      </w:r>
      <w:r>
        <w:t xml:space="preserve">1996, PMID 8826515).</w:t>
      </w:r>
    </w:p>
    <w:p>
      <w:pPr>
        <w:pStyle w:val="Compact"/>
        <w:numPr>
          <w:ilvl w:val="0"/>
          <w:numId w:val="1010"/>
        </w:numPr>
      </w:pPr>
      <w:r>
        <w:t xml:space="preserve">Le soglie scendono anche</w:t>
      </w:r>
      <w:r>
        <w:t xml:space="preserve"> </w:t>
      </w:r>
      <w:r>
        <w:rPr>
          <w:b/>
          <w:bCs/>
        </w:rPr>
        <w:t xml:space="preserve">lontano dalla testa</w:t>
      </w:r>
      <w:r>
        <w:t xml:space="preserve">, al dito e alla tibia. Ma questo succede</w:t>
      </w:r>
      <w:r>
        <w:t xml:space="preserve"> </w:t>
      </w:r>
      <w:r>
        <w:rPr>
          <w:b/>
          <w:bCs/>
        </w:rPr>
        <w:t xml:space="preserve">solo nella forma cronica</w:t>
      </w:r>
      <w:r>
        <w:t xml:space="preserve">, non nell’episodica (Bendtsen,</w:t>
      </w:r>
      <w:r>
        <w:t xml:space="preserve"> </w:t>
      </w:r>
      <w:r>
        <w:rPr>
          <w:i/>
          <w:iCs/>
        </w:rPr>
        <w:t xml:space="preserve">Arch Neurol</w:t>
      </w:r>
      <w:r>
        <w:t xml:space="preserve"> </w:t>
      </w:r>
      <w:r>
        <w:t xml:space="preserve">1996, PMID 8929161; Ashina S,</w:t>
      </w:r>
      <w:r>
        <w:t xml:space="preserve"> </w:t>
      </w:r>
      <w:r>
        <w:rPr>
          <w:i/>
          <w:iCs/>
        </w:rPr>
        <w:t xml:space="preserve">Cephalalgia</w:t>
      </w:r>
      <w:r>
        <w:t xml:space="preserve"> </w:t>
      </w:r>
      <w:r>
        <w:t xml:space="preserve">2006, PMID 16886930; Fernández-de-las-Peñas,</w:t>
      </w:r>
      <w:r>
        <w:t xml:space="preserve"> </w:t>
      </w:r>
      <w:r>
        <w:rPr>
          <w:i/>
          <w:iCs/>
        </w:rPr>
        <w:t xml:space="preserve">Cephalalgia</w:t>
      </w:r>
      <w:r>
        <w:t xml:space="preserve"> </w:t>
      </w:r>
      <w:r>
        <w:t xml:space="preserve">2021, PMID 32957796). Da lì in poi conta più il guadagno del sistema che l’intensità dell’ingresso.</w:t>
      </w:r>
    </w:p>
    <w:p>
      <w:pPr>
        <w:pStyle w:val="FirstParagraph"/>
      </w:pPr>
      <w:r>
        <w:t xml:space="preserve">Questo è l’</w:t>
      </w:r>
      <w:r>
        <w:rPr>
          <w:b/>
          <w:bCs/>
        </w:rPr>
        <w:t xml:space="preserve">asse nociplastico</w:t>
      </w:r>
      <w:r>
        <w:t xml:space="preserve">: il dolore è mantenuto da una modifica del modo in cui il sistema legge i segnali, non dal danno del tessuto. Sopra ci sta un secondo strato, che il paziente descrive per primo:</w:t>
      </w:r>
      <w:r>
        <w:t xml:space="preserve"> </w:t>
      </w:r>
      <w:r>
        <w:rPr>
          <w:b/>
          <w:bCs/>
        </w:rPr>
        <w:t xml:space="preserve">il livello di attivazione</w:t>
      </w:r>
      <w:r>
        <w:t xml:space="preserve">. Ipervigilanza, sonno rotto, un evento di vita, il ciclo</w:t>
      </w:r>
      <w:r>
        <w:t xml:space="preserve"> </w:t>
      </w:r>
      <w:r>
        <w:rPr>
          <w:i/>
          <w:iCs/>
        </w:rPr>
        <w:t xml:space="preserve">più fa male, più mi tendo</w:t>
      </w:r>
      <w:r>
        <w:t xml:space="preserve">. Non è una spiegazione psicologica del dolore: è la variabile che alza il guadagno del relè.</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l’alterazione qualitativa della nocicezione nel dolore miofasciale cronico, misurata su 40 pazienti contro 40 controlli (Bendtsen, PMID 8826515), e la riduzione delle soglie in sede lontana nella sola forma cronica (PMID 32957796).</w:t>
      </w:r>
      <w:r>
        <w:t xml:space="preserve"> </w:t>
      </w:r>
      <w:r>
        <w:rPr>
          <w:b/>
          <w:bCs/>
        </w:rPr>
        <w:t xml:space="preserve">IPOTESI</w:t>
      </w:r>
      <w:r>
        <w:t xml:space="preserve"> </w:t>
      </w:r>
      <w:r>
        <w:rPr>
          <w:i/>
          <w:iCs/>
        </w:rPr>
        <w:t xml:space="preserve">(meccanismo coerente, nessuno studio)</w:t>
      </w:r>
      <w:r>
        <w:t xml:space="preserve"> </w:t>
      </w:r>
      <w:r>
        <w:t xml:space="preserve">che il livello di attivazione sia ciò che tiene bassa la soglia in questo paziente.</w:t>
      </w:r>
    </w:p>
    <w:p>
      <w:pPr>
        <w:pStyle w:val="FirstParagraph"/>
      </w:pPr>
      <w:r>
        <w:rPr>
          <w:b/>
          <w:bCs/>
        </w:rPr>
        <w:t xml:space="preserve">Come si vede addosso al paziente.</w:t>
      </w:r>
      <w:r>
        <w:t xml:space="preserve"> </w:t>
      </w:r>
      <w:r>
        <w:t xml:space="preserve">Il dolore c’è la maggior parte dei giorni, e fa male anche fuori dalla testa: spalla, avambraccio, polpaccio. Il tessuto reagisce prima che tu abbia premuto.</w:t>
      </w:r>
    </w:p>
    <w:p>
      <w:pPr>
        <w:pStyle w:val="BodyText"/>
      </w:pPr>
      <w:r>
        <w:rPr>
          <w:b/>
          <w:bCs/>
        </w:rPr>
        <w:t xml:space="preserve">Non è un capolinea.</w:t>
      </w:r>
      <w:r>
        <w:t xml:space="preserve"> </w:t>
      </w:r>
      <w:r>
        <w:t xml:space="preserve">È il quadro in cui la leva sull’attivazione è più indicata che altrove. L’etichetta sta in «Perché le mani possono cambiare qualcosa», ed è IPOTESI sulla direzione, non più alta di così.</w:t>
      </w:r>
    </w:p>
    <w:p>
      <w:pPr>
        <w:pStyle w:val="BodyText"/>
      </w:pPr>
      <w:r>
        <w:rPr>
          <w:b/>
          <w:bCs/>
        </w:rPr>
        <w:t xml:space="preserve">È la porta blindata a cui è saltata la serratura: prima serviva una spallata, adesso si apre appoggiandosi.</w:t>
      </w:r>
    </w:p>
    <w:bookmarkEnd w:id="31"/>
    <w:bookmarkStart w:id="32" w:name="la-ruota-che-sfrega-sul-parafango"/>
    <w:p>
      <w:pPr>
        <w:pStyle w:val="Heading3"/>
      </w:pPr>
      <w:r>
        <w:t xml:space="preserve">4. La ruota che sfrega sul parafango</w:t>
      </w:r>
    </w:p>
    <w:p>
      <w:pPr>
        <w:pStyle w:val="FirstParagraph"/>
      </w:pPr>
      <w:r>
        <w:rPr>
          <w:b/>
          <w:bCs/>
        </w:rPr>
        <w:t xml:space="preserve">La sequenza.</w:t>
      </w:r>
    </w:p>
    <w:p>
      <w:pPr>
        <w:pStyle w:val="Compact"/>
        <w:numPr>
          <w:ilvl w:val="0"/>
          <w:numId w:val="1011"/>
        </w:numPr>
      </w:pPr>
      <w:r>
        <w:t xml:space="preserve">Un segmento cervicale alto perde escursione, di solito C1-C2, di solito da un lato.</w:t>
      </w:r>
    </w:p>
    <w:p>
      <w:pPr>
        <w:pStyle w:val="Compact"/>
        <w:numPr>
          <w:ilvl w:val="0"/>
          <w:numId w:val="1011"/>
        </w:numPr>
      </w:pPr>
      <w:r>
        <w:t xml:space="preserve">I flessori profondi smettono di controllarlo e i superficiali prendono il loro posto: è un compenso.</w:t>
      </w:r>
    </w:p>
    <w:p>
      <w:pPr>
        <w:pStyle w:val="Compact"/>
        <w:numPr>
          <w:ilvl w:val="0"/>
          <w:numId w:val="1011"/>
        </w:numPr>
      </w:pPr>
      <w:r>
        <w:t xml:space="preserve">L’articolazione e i tessuti attorno mandano un ingresso</w:t>
      </w:r>
      <w:r>
        <w:t xml:space="preserve"> </w:t>
      </w:r>
      <w:r>
        <w:rPr>
          <w:b/>
          <w:bCs/>
        </w:rPr>
        <w:t xml:space="preserve">direzionale</w:t>
      </w:r>
      <w:r>
        <w:t xml:space="preserve"> </w:t>
      </w:r>
      <w:r>
        <w:t xml:space="preserve">dentro il centralino. Il dolore compare sempre dallo stesso lato, parte dalla nuca e sale.</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comfort, efficienza o escursione, e regge finché può. Il sintomo compare spesso dove il compenso ha ceduto, non dove il problema è nato.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Uno studio ha confrontato 73 persone con una cefalea sola e 57 controlli. Tre reperti insieme —</w:t>
      </w:r>
      <w:r>
        <w:t xml:space="preserve"> </w:t>
      </w:r>
      <w:r>
        <w:rPr>
          <w:b/>
          <w:bCs/>
        </w:rPr>
        <w:t xml:space="preserve">movimento ridotto</w:t>
      </w:r>
      <w:r>
        <w:t xml:space="preserve">,</w:t>
      </w:r>
      <w:r>
        <w:t xml:space="preserve"> </w:t>
      </w:r>
      <w:r>
        <w:rPr>
          <w:b/>
          <w:bCs/>
        </w:rPr>
        <w:t xml:space="preserve">disfunzione articolare cervicale alta alla palpazione</w:t>
      </w:r>
      <w:r>
        <w:t xml:space="preserve">,</w:t>
      </w:r>
      <w:r>
        <w:t xml:space="preserve"> </w:t>
      </w:r>
      <w:r>
        <w:rPr>
          <w:b/>
          <w:bCs/>
        </w:rPr>
        <w:t xml:space="preserve">alterazione del test di flessione cranio-cervicale</w:t>
      </w:r>
      <w:r>
        <w:t xml:space="preserve"> </w:t>
      </w:r>
      <w:r>
        <w:t xml:space="preserve">— hanno identificato la cefalea cervicogenica con sensibilità del 100 per cento e specificità del 94. E nei gruppi emicrania e cefalea di tipo tensivo non c’era alcun segno di alterazione muscolo-scheletrica cervicale (Jull,</w:t>
      </w:r>
      <w:r>
        <w:t xml:space="preserve"> </w:t>
      </w:r>
      <w:r>
        <w:rPr>
          <w:i/>
          <w:iCs/>
        </w:rPr>
        <w:t xml:space="preserve">Cephalalgia</w:t>
      </w:r>
      <w:r>
        <w:t xml:space="preserve"> </w:t>
      </w:r>
      <w:r>
        <w:t xml:space="preserve">2007, PMID 17598761). L’etichetta non sale a DIMOSTRATO per una ragione dichiarata dagli autori stessi: i cervicogenici erano</w:t>
      </w:r>
      <w:r>
        <w:t xml:space="preserve"> </w:t>
      </w:r>
      <w:r>
        <w:rPr>
          <w:b/>
          <w:bCs/>
        </w:rPr>
        <w:t xml:space="preserve">18</w:t>
      </w:r>
      <w:r>
        <w:t xml:space="preserve"> </w:t>
      </w:r>
      <w:r>
        <w:t xml:space="preserve">su 73, i due valori escono da un’analisi calcolata sullo stesso campione che l’ha generata, e</w:t>
      </w:r>
      <w:r>
        <w:t xml:space="preserve"> </w:t>
      </w:r>
      <w:r>
        <w:rPr>
          <w:b/>
          <w:bCs/>
        </w:rPr>
        <w:t xml:space="preserve">non sono mai stati riprodotti su una coorte indipendente</w:t>
      </w:r>
      <w:r>
        <w:t xml:space="preserve">.</w:t>
      </w:r>
    </w:p>
    <w:p>
      <w:pPr>
        <w:pStyle w:val="FirstParagraph"/>
      </w:pPr>
      <w:r>
        <w:rPr>
          <w:b/>
          <w:bCs/>
        </w:rPr>
        <w:t xml:space="preserve">Come si vede addosso al paziente.</w:t>
      </w:r>
      <w:r>
        <w:t xml:space="preserve"> </w:t>
      </w:r>
      <w:r>
        <w:t xml:space="preserve">Sempre lo stesso lato, mai a specchio. Flessione-rotazione ridotta da quel lato. Il dolore si riproduce muovendo il collo o tenendo una posizione, non con un caffè o un pasto saltato.</w:t>
      </w:r>
    </w:p>
    <w:p>
      <w:pPr>
        <w:pStyle w:val="BodyText"/>
      </w:pPr>
      <w:r>
        <w:rPr>
          <w:b/>
          <w:bCs/>
        </w:rPr>
        <w:t xml:space="preserve">È la ruota che sfrega sul parafango: la macchina cammina, e a ogni curva senti lo stesso rumore, sempre nello stesso punto.</w:t>
      </w:r>
    </w:p>
    <w:bookmarkEnd w:id="32"/>
    <w:bookmarkStart w:id="33" w:name="Xb9085cc0f35df3ad4eed2563360e1bcbcf73966"/>
    <w:p>
      <w:pPr>
        <w:pStyle w:val="Heading3"/>
      </w:pPr>
      <w:r>
        <w:t xml:space="preserve">5. La carta di credito che paga la carta di credito</w:t>
      </w:r>
    </w:p>
    <w:p>
      <w:pPr>
        <w:pStyle w:val="FirstParagraph"/>
      </w:pPr>
      <w:r>
        <w:rPr>
          <w:b/>
          <w:bCs/>
        </w:rPr>
        <w:t xml:space="preserve">La sequenza.</w:t>
      </w:r>
    </w:p>
    <w:p>
      <w:pPr>
        <w:pStyle w:val="Compact"/>
        <w:numPr>
          <w:ilvl w:val="0"/>
          <w:numId w:val="1012"/>
        </w:numPr>
      </w:pPr>
      <w:r>
        <w:t xml:space="preserve">Il paziente prende un analgesico</w:t>
      </w:r>
      <w:r>
        <w:t xml:space="preserve"> </w:t>
      </w:r>
      <w:r>
        <w:rPr>
          <w:b/>
          <w:bCs/>
        </w:rPr>
        <w:t xml:space="preserve">per far passare l’attacco di mal di testa</w:t>
      </w:r>
      <w:r>
        <w:t xml:space="preserve">, e funziona. I giorni con farmaco crescono, perché gli attacchi crescono.</w:t>
      </w:r>
    </w:p>
    <w:p>
      <w:pPr>
        <w:pStyle w:val="Compact"/>
        <w:numPr>
          <w:ilvl w:val="0"/>
          <w:numId w:val="1012"/>
        </w:numPr>
      </w:pPr>
      <w:r>
        <w:t xml:space="preserve">L’esposizione ripetuta al farmaco d’attacco sensibilizza il sistema. La soglia pressoria è ridotta</w:t>
      </w:r>
      <w:r>
        <w:t xml:space="preserve"> </w:t>
      </w:r>
      <w:r>
        <w:rPr>
          <w:b/>
          <w:bCs/>
        </w:rPr>
        <w:t xml:space="preserve">dentro e fuori dal cranio</w:t>
      </w:r>
      <w:r>
        <w:t xml:space="preserve">, e la normale sommazione temporale scompare. Il quadro diventa quotidiano, e ogni pastiglia funziona un po’ meno.</w:t>
      </w:r>
    </w:p>
    <w:p>
      <w:pPr>
        <w:pStyle w:val="Compact"/>
        <w:numPr>
          <w:ilvl w:val="0"/>
          <w:numId w:val="1012"/>
        </w:numPr>
      </w:pPr>
      <w:r>
        <w:t xml:space="preserve">Dopo la sospensione decisa dal prescrittore quelle misure si normalizzano, ma lentamente: il recupero prosegue</w:t>
      </w:r>
      <w:r>
        <w:t xml:space="preserve"> </w:t>
      </w:r>
      <w:r>
        <w:rPr>
          <w:b/>
          <w:bCs/>
        </w:rPr>
        <w:t xml:space="preserve">fino a dodici mesi</w:t>
      </w:r>
      <w:r>
        <w:t xml:space="preserve"> </w:t>
      </w:r>
      <w:r>
        <w:t xml:space="preserve">(Munksgaard,</w:t>
      </w:r>
      <w:r>
        <w:t xml:space="preserve"> </w:t>
      </w:r>
      <w:r>
        <w:rPr>
          <w:i/>
          <w:iCs/>
        </w:rPr>
        <w:t xml:space="preserve">Cephalalgia</w:t>
      </w:r>
      <w:r>
        <w:t xml:space="preserve"> </w:t>
      </w:r>
      <w:r>
        <w:t xml:space="preserve">2013, PMID 23431023).</w:t>
      </w:r>
    </w:p>
    <w:p>
      <w:pPr>
        <w:pStyle w:val="BlockText"/>
      </w:pPr>
      <w:r>
        <w:rPr>
          <w:b/>
          <w:bCs/>
        </w:rPr>
        <w:t xml:space="preserve">Attenzione — il qualificatore che cambia tutto.</w:t>
      </w:r>
      <w:r>
        <w:t xml:space="preserve"> </w:t>
      </w:r>
      <w:r>
        <w:t xml:space="preserve">Si contano</w:t>
      </w:r>
      <w:r>
        <w:t xml:space="preserve"> </w:t>
      </w:r>
      <w:r>
        <w:rPr>
          <w:b/>
          <w:bCs/>
        </w:rPr>
        <w:t xml:space="preserve">solo</w:t>
      </w:r>
      <w:r>
        <w:t xml:space="preserve"> </w:t>
      </w:r>
      <w:r>
        <w:t xml:space="preserve">i farmaci assunti per il mal di testa. La cardioaspirina, il FANS quotidiano per l’artrosi, l’oppioide a orario del paziente oncologico</w:t>
      </w:r>
      <w:r>
        <w:t xml:space="preserve"> </w:t>
      </w:r>
      <w:r>
        <w:rPr>
          <w:b/>
          <w:bCs/>
        </w:rPr>
        <w:t xml:space="preserve">non entrano nel conteggio</w:t>
      </w:r>
      <w:r>
        <w:t xml:space="preserve">: si registrano a parte. Contarli dentro produce un falso positivo. E produce soprattutto una spiegazione —</w:t>
      </w:r>
      <w:r>
        <w:t xml:space="preserve"> </w:t>
      </w:r>
      <w:r>
        <w:rPr>
          <w:i/>
          <w:iCs/>
        </w:rPr>
        <w:t xml:space="preserve">“il farmaco è parte del problema”</w:t>
      </w:r>
      <w:r>
        <w:t xml:space="preserve"> </w:t>
      </w:r>
      <w:r>
        <w:t xml:space="preserve">— che quel paziente applicherà al farmaco sbagliato.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come entità clinica reversibile. Un intervento breve di informazione condotto dai medici di medicina generale ha ridotto i giorni di cefalea e i giorni con farmaco, e ha risolto la cronicità (Kristoffersen,</w:t>
      </w:r>
      <w:r>
        <w:t xml:space="preserve"> </w:t>
      </w:r>
      <w:r>
        <w:rPr>
          <w:i/>
          <w:iCs/>
        </w:rPr>
        <w:t xml:space="preserve">J Neurol Neurosurg Psychiatry</w:t>
      </w:r>
      <w:r>
        <w:t xml:space="preserve"> </w:t>
      </w:r>
      <w:r>
        <w:t xml:space="preserve">2015, PMID 25112307). I numeri per esteso e i due follow-up stanno in «Cosa può fare il paziente da solo». L’etichetta non sale a DIMOSTRATO perché il risultato poggia su</w:t>
      </w:r>
      <w:r>
        <w:t xml:space="preserve"> </w:t>
      </w:r>
      <w:r>
        <w:rPr>
          <w:b/>
          <w:bCs/>
        </w:rPr>
        <w:t xml:space="preserve">un solo trial con una trentina di pazienti per braccio</w:t>
      </w:r>
      <w:r>
        <w:t xml:space="preserve">.</w:t>
      </w:r>
    </w:p>
    <w:p>
      <w:pPr>
        <w:pStyle w:val="FirstParagraph"/>
      </w:pPr>
      <w:r>
        <w:rPr>
          <w:b/>
          <w:bCs/>
        </w:rPr>
        <w:t xml:space="preserve">Per te:</w:t>
      </w:r>
      <w:r>
        <w:t xml:space="preserve"> </w:t>
      </w:r>
      <w:r>
        <w:t xml:space="preserve">il numero che ti riguarda è il 50 contro 6. È l’effetto più grande di questo documento, e non lo produce una mano: lo produce</w:t>
      </w:r>
      <w:r>
        <w:t xml:space="preserve"> </w:t>
      </w:r>
      <w:r>
        <w:rPr>
          <w:b/>
          <w:bCs/>
        </w:rPr>
        <w:t xml:space="preserve">il fatto di dire il numero al paziente e al suo medico</w:t>
      </w:r>
      <w:r>
        <w:t xml:space="preserve">. In stanza significa che il conteggio dei giorni con farmaco entra nella valutazione iniziale come un test, non come una curiosità anamnestica.</w:t>
      </w:r>
    </w:p>
    <w:p>
      <w:pPr>
        <w:pStyle w:val="BodyText"/>
      </w:pPr>
      <w:r>
        <w:rPr>
          <w:b/>
          <w:bCs/>
        </w:rPr>
        <w:t xml:space="preserve">Come si vede addosso al paziente.</w:t>
      </w:r>
      <w:r>
        <w:t xml:space="preserve"> </w:t>
      </w:r>
      <w:r>
        <w:t xml:space="preserve">Prende qualcosa per il mal di testa dieci giorni al mese o più, ha la scatola in borsa, al risveglio il dolore c’è già. Dice che</w:t>
      </w:r>
      <w:r>
        <w:t xml:space="preserve"> </w:t>
      </w:r>
      <w:r>
        <w:rPr>
          <w:i/>
          <w:iCs/>
        </w:rPr>
        <w:t xml:space="preserve">“la pastiglia funziona sempre meno”</w:t>
      </w:r>
      <w:r>
        <w:t xml:space="preserve">, e nello stesso mese l’ha presa più volte del solito.</w:t>
      </w:r>
    </w:p>
    <w:p>
      <w:pPr>
        <w:pStyle w:val="BodyText"/>
      </w:pPr>
      <w:r>
        <w:rPr>
          <w:b/>
          <w:bCs/>
        </w:rPr>
        <w:t xml:space="preserve">È pagare la rata della carta di credito con la carta di credito: ogni mese funziona, e ogni mese il debito è più grande.</w:t>
      </w:r>
    </w:p>
    <w:p>
      <w:pPr>
        <w:pStyle w:val="BodyText"/>
      </w:pPr>
      <w:r>
        <w:rPr>
          <w:b/>
          <w:bCs/>
        </w:rPr>
        <w:t xml:space="preserve">Le tre cose da ricordare, più una</w:t>
      </w:r>
    </w:p>
    <w:p>
      <w:pPr>
        <w:pStyle w:val="Compact"/>
        <w:numPr>
          <w:ilvl w:val="0"/>
          <w:numId w:val="1013"/>
        </w:numPr>
      </w:pPr>
      <w:r>
        <w:t xml:space="preserve">Il centralino unico regge tutti gli altri, e la freccia gira nei due sensi. Se ricordi una cosa sola, ricorda quello.</w:t>
      </w:r>
    </w:p>
    <w:p>
      <w:pPr>
        <w:pStyle w:val="Compact"/>
        <w:numPr>
          <w:ilvl w:val="0"/>
          <w:numId w:val="1013"/>
        </w:numPr>
      </w:pPr>
      <w:r>
        <w:t xml:space="preserve">Quello che si accumula durante la giornata non è il segnale: è la sensibilità con cui viene letto.</w:t>
      </w:r>
    </w:p>
    <w:p>
      <w:pPr>
        <w:pStyle w:val="Compact"/>
        <w:numPr>
          <w:ilvl w:val="0"/>
          <w:numId w:val="1013"/>
        </w:numPr>
      </w:pPr>
      <w:r>
        <w:t xml:space="preserve">Il quinto meccanismo si cerca con un calendario prima che con le mani, e si conta solo quello che il paziente prende</w:t>
      </w:r>
      <w:r>
        <w:t xml:space="preserve"> </w:t>
      </w:r>
      <w:r>
        <w:rPr>
          <w:b/>
          <w:bCs/>
        </w:rPr>
        <w:t xml:space="preserve">per la testa</w:t>
      </w:r>
      <w:r>
        <w:t xml:space="preserve">.</w:t>
      </w:r>
    </w:p>
    <w:p>
      <w:pPr>
        <w:pStyle w:val="Compact"/>
        <w:numPr>
          <w:ilvl w:val="0"/>
          <w:numId w:val="1013"/>
        </w:numPr>
      </w:pPr>
      <w:r>
        <w:rPr>
          <w:b/>
          <w:bCs/>
        </w:rPr>
        <w:t xml:space="preserve">Perché ci sei tu.</w:t>
      </w:r>
      <w:r>
        <w:t xml:space="preserve"> </w:t>
      </w:r>
      <w:r>
        <w:t xml:space="preserve">La pressione sostenuta sul collo alto riproduce il dolore di testa nel 47 per cento di 179 emicranici (Luedtke &amp; May,</w:t>
      </w:r>
      <w:r>
        <w:t xml:space="preserve"> </w:t>
      </w:r>
      <w:r>
        <w:rPr>
          <w:i/>
          <w:iCs/>
        </w:rPr>
        <w:t xml:space="preserve">J Headache Pain</w:t>
      </w:r>
      <w:r>
        <w:t xml:space="preserve"> </w:t>
      </w:r>
      <w:r>
        <w:t xml:space="preserve">2017, PMID 28952052). Ti autorizza a dividere i tuoi pazienti in tre gruppi con un gesto che quasi nessun altro esegue. Non ti autorizza a chiamarlo diagnosi: divide dentro una diagnosi già posta, non ne pone una.</w:t>
      </w:r>
    </w:p>
    <w:p>
      <w:r>
        <w:pict>
          <v:rect style="width:0;height:1.5pt" o:hralign="center" o:hrstd="t" o:hr="t"/>
        </w:pict>
      </w:r>
    </w:p>
    <w:bookmarkEnd w:id="33"/>
    <w:bookmarkEnd w:id="34"/>
    <w:bookmarkStart w:id="35"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quattro pattern e cinque cancelli — e i cancelli non cambiano quanto puoi fare, cambiano cosa devi fare prima.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tipico del pattern</w:t>
            </w:r>
          </w:p>
        </w:tc>
        <w:tc>
          <w:tcPr/>
          <w:p>
            <w:pPr>
              <w:pStyle w:val="Compact"/>
            </w:pPr>
            <w:r>
              <w:t xml:space="preserve">Quanto puoi fare</w:t>
            </w:r>
          </w:p>
        </w:tc>
      </w:tr>
      <w:tr>
        <w:tc>
          <w:tcPr/>
          <w:p>
            <w:pPr>
              <w:pStyle w:val="Compact"/>
            </w:pPr>
            <w:r>
              <w:t xml:space="preserve">Tensiva</w:t>
            </w:r>
          </w:p>
        </w:tc>
        <w:tc>
          <w:tcPr/>
          <w:p>
            <w:pPr>
              <w:pStyle w:val="Compact"/>
            </w:pPr>
            <w:r>
              <w:t xml:space="preserve">Morsa bilaterale, non pulsante</w:t>
            </w:r>
          </w:p>
        </w:tc>
        <w:tc>
          <w:tcPr/>
          <w:p>
            <w:pPr>
              <w:pStyle w:val="Compact"/>
            </w:pPr>
            <w:r>
              <w:t xml:space="preserve">Rubinetto miofasciale</w:t>
            </w:r>
          </w:p>
        </w:tc>
        <w:tc>
          <w:tcPr/>
          <w:p>
            <w:pPr>
              <w:pStyle w:val="Compact"/>
            </w:pPr>
            <w:r>
              <w:t xml:space="preserve">Effetti misurati piccoli, prove di qualità bassa</w:t>
            </w:r>
          </w:p>
        </w:tc>
      </w:tr>
      <w:tr>
        <w:tc>
          <w:tcPr/>
          <w:p>
            <w:pPr>
              <w:pStyle w:val="Compact"/>
            </w:pPr>
            <w:r>
              <w:t xml:space="preserve">Emicrania</w:t>
            </w:r>
          </w:p>
        </w:tc>
        <w:tc>
          <w:tcPr/>
          <w:p>
            <w:pPr>
              <w:pStyle w:val="Compact"/>
            </w:pPr>
            <w:r>
              <w:t xml:space="preserve">Pulsante, peggiora col movimento</w:t>
            </w:r>
          </w:p>
        </w:tc>
        <w:tc>
          <w:tcPr/>
          <w:p>
            <w:pPr>
              <w:pStyle w:val="Compact"/>
            </w:pPr>
            <w:r>
              <w:t xml:space="preserve">Centralino, soglia</w:t>
            </w:r>
          </w:p>
        </w:tc>
        <w:tc>
          <w:tcPr/>
          <w:p>
            <w:pPr>
              <w:pStyle w:val="Compact"/>
            </w:pPr>
            <w:r>
              <w:t xml:space="preserve">Poco sul terreno; la leva più debole</w:t>
            </w:r>
          </w:p>
        </w:tc>
      </w:tr>
      <w:tr>
        <w:tc>
          <w:tcPr/>
          <w:p>
            <w:pPr>
              <w:pStyle w:val="Compact"/>
            </w:pPr>
            <w:r>
              <w:t xml:space="preserve">Cervicogenica</w:t>
            </w:r>
          </w:p>
        </w:tc>
        <w:tc>
          <w:tcPr/>
          <w:p>
            <w:pPr>
              <w:pStyle w:val="Compact"/>
            </w:pPr>
            <w:r>
              <w:t xml:space="preserve">Sempre lo stesso lato, dalla nuca</w:t>
            </w:r>
          </w:p>
        </w:tc>
        <w:tc>
          <w:tcPr/>
          <w:p>
            <w:pPr>
              <w:pStyle w:val="Compact"/>
            </w:pPr>
            <w:r>
              <w:t xml:space="preserve">Ruota sul parafango</w:t>
            </w:r>
          </w:p>
        </w:tc>
        <w:tc>
          <w:tcPr/>
          <w:p>
            <w:pPr>
              <w:pStyle w:val="Compact"/>
            </w:pPr>
            <w:r>
              <w:t xml:space="preserve">È il sottotipo con le prove migliori</w:t>
            </w:r>
          </w:p>
        </w:tc>
      </w:tr>
      <w:tr>
        <w:tc>
          <w:tcPr/>
          <w:p>
            <w:pPr>
              <w:pStyle w:val="Compact"/>
            </w:pPr>
            <w:r>
              <w:t xml:space="preserve">Mista tensiva più emicrania</w:t>
            </w:r>
          </w:p>
        </w:tc>
        <w:tc>
          <w:tcPr/>
          <w:p>
            <w:pPr>
              <w:pStyle w:val="Compact"/>
            </w:pPr>
            <w:r>
              <w:t xml:space="preserve">Due mal di testa diversi</w:t>
            </w:r>
          </w:p>
        </w:tc>
        <w:tc>
          <w:tcPr/>
          <w:p>
            <w:pPr>
              <w:pStyle w:val="Compact"/>
            </w:pPr>
            <w:r>
              <w:t xml:space="preserve">Centralino, soglia</w:t>
            </w:r>
          </w:p>
        </w:tc>
        <w:tc>
          <w:tcPr/>
          <w:p>
            <w:pPr>
              <w:pStyle w:val="Compact"/>
            </w:pPr>
            <w:r>
              <w:t xml:space="preserve">Come sopra, ma su due diari</w:t>
            </w:r>
          </w:p>
        </w:tc>
      </w:tr>
    </w:tbl>
    <w:p>
      <w:pPr>
        <w:pStyle w:val="BodyText"/>
      </w:pPr>
      <w:r>
        <w:rPr>
          <w:b/>
          <w:bCs/>
        </w:rPr>
        <w:t xml:space="preserve">La colonna del meccanismo dà l’ipotesi di partenza del pattern, non il verdetto sul paziente.</w:t>
      </w:r>
      <w:r>
        <w:t xml:space="preserve"> </w:t>
      </w:r>
      <w:r>
        <w:t xml:space="preserve">È la taglia media di una giacca: dice da dove partire, non se ti sta. Il</w:t>
      </w:r>
      <w:r>
        <w:t xml:space="preserve"> </w:t>
      </w:r>
      <w:r>
        <w:rPr>
          <w:b/>
          <w:bCs/>
        </w:rPr>
        <w:t xml:space="preserve">sistema dominante</w:t>
      </w:r>
      <w:r>
        <w:t xml:space="preserve"> </w:t>
      </w:r>
      <w:r>
        <w:t xml:space="preserve">si decide in «Come ragiono davanti a questo paziente», sul singolo paziente. Quando le due determinazioni divergono</w:t>
      </w:r>
      <w:r>
        <w:t xml:space="preserve"> </w:t>
      </w:r>
      <w:r>
        <w:rPr>
          <w:b/>
          <w:bCs/>
        </w:rPr>
        <w:t xml:space="preserve">vince il singolo paziente</w:t>
      </w:r>
      <w:r>
        <w:t xml:space="preserve">: una tensiva da manuale con dodici giorni di farmaco al mese è comandata dal calendario, non dal rubinetto.</w:t>
      </w:r>
    </w:p>
    <w:p>
      <w:pPr>
        <w:pStyle w:val="BodyText"/>
      </w:pPr>
      <w:r>
        <w:rPr>
          <w:b/>
          <w:bCs/>
        </w:rPr>
        <w:t xml:space="preserve">L’asse che taglia la tabella di traverso.</w:t>
      </w:r>
      <w:r>
        <w:t xml:space="preserve"> </w:t>
      </w:r>
      <w:r>
        <w:t xml:space="preserve">Nessuna delle quattro righe dice se quel paziente ha una</w:t>
      </w:r>
      <w:r>
        <w:t xml:space="preserve"> </w:t>
      </w:r>
      <w:r>
        <w:rPr>
          <w:b/>
          <w:bCs/>
        </w:rPr>
        <w:t xml:space="preserve">quota nociplastica</w:t>
      </w:r>
      <w:r>
        <w:t xml:space="preserve">, cioè soglia ridotta e dolorabilità anche in sede lontana dalla testa. Compare nelle forme croniche e non nelle episodiche (PMID 32957796), ed è la regola nella cefalea da uso eccessivo di farmaci (PMID 23431023). Quando c’è, l’aspettativa scende finché quell’asse non si muove, e il bersaglio non è il carico locale. Separa il tensivo episodico dal tensivo cronico meglio di qualunque riga della tabella.</w:t>
      </w:r>
    </w:p>
    <w:p>
      <w:pPr>
        <w:pStyle w:val="BodyText"/>
      </w:pPr>
      <w:r>
        <w:rPr>
          <w:b/>
          <w:bCs/>
        </w:rPr>
        <w:t xml:space="preserve">I cancelli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Cancello</w:t>
            </w:r>
          </w:p>
        </w:tc>
        <w:tc>
          <w:tcPr/>
          <w:p>
            <w:pPr>
              <w:pStyle w:val="Compact"/>
            </w:pPr>
            <w:r>
              <w:t xml:space="preserve">Segnale che lo riconosce</w:t>
            </w:r>
          </w:p>
        </w:tc>
        <w:tc>
          <w:tcPr/>
          <w:p>
            <w:pPr>
              <w:pStyle w:val="Compact"/>
            </w:pPr>
            <w:r>
              <w:t xml:space="preserve">Cosa cambia</w:t>
            </w:r>
          </w:p>
        </w:tc>
      </w:tr>
      <w:tr>
        <w:tc>
          <w:tcPr/>
          <w:p>
            <w:pPr>
              <w:pStyle w:val="Compact"/>
            </w:pPr>
            <w:r>
              <w:t xml:space="preserve">Grappolo e forme autonomiche</w:t>
            </w:r>
          </w:p>
        </w:tc>
        <w:tc>
          <w:tcPr/>
          <w:p>
            <w:pPr>
              <w:pStyle w:val="Compact"/>
            </w:pPr>
            <w:r>
              <w:t xml:space="preserve">Un lato, occhio rosso, crisi brevi</w:t>
            </w:r>
          </w:p>
        </w:tc>
        <w:tc>
          <w:tcPr/>
          <w:p>
            <w:pPr>
              <w:pStyle w:val="Compact"/>
            </w:pPr>
            <w:r>
              <w:t xml:space="preserve">Non tuo, invio</w:t>
            </w:r>
          </w:p>
        </w:tc>
      </w:tr>
      <w:tr>
        <w:tc>
          <w:tcPr/>
          <w:p>
            <w:pPr>
              <w:pStyle w:val="Compact"/>
            </w:pPr>
            <w:r>
              <w:t xml:space="preserve">Uso eccessivo di farmaci</w:t>
            </w:r>
          </w:p>
        </w:tc>
        <w:tc>
          <w:tcPr/>
          <w:p>
            <w:pPr>
              <w:pStyle w:val="Compact"/>
            </w:pPr>
            <w:r>
              <w:t xml:space="preserve">Soglie ICHD-3, «Che cos’è davvero»</w:t>
            </w:r>
          </w:p>
        </w:tc>
        <w:tc>
          <w:tcPr/>
          <w:p>
            <w:pPr>
              <w:pStyle w:val="Compact"/>
            </w:pPr>
            <w:r>
              <w:t xml:space="preserve">Cambia l’uscita</w:t>
            </w:r>
          </w:p>
        </w:tc>
      </w:tr>
      <w:tr>
        <w:tc>
          <w:tcPr/>
          <w:p>
            <w:pPr>
              <w:pStyle w:val="Compact"/>
            </w:pPr>
            <w:r>
              <w:t xml:space="preserve">Esordio dopo i 65 anni</w:t>
            </w:r>
          </w:p>
        </w:tc>
        <w:tc>
          <w:tcPr/>
          <w:p>
            <w:pPr>
              <w:pStyle w:val="Compact"/>
            </w:pPr>
            <w:r>
              <w:t xml:space="preserve">L’età, da sola</w:t>
            </w:r>
          </w:p>
        </w:tc>
        <w:tc>
          <w:tcPr/>
          <w:p>
            <w:pPr>
              <w:pStyle w:val="Compact"/>
            </w:pPr>
            <w:r>
              <w:t xml:space="preserve">Non tuo, invio</w:t>
            </w:r>
          </w:p>
        </w:tc>
      </w:tr>
      <w:tr>
        <w:tc>
          <w:tcPr/>
          <w:p>
            <w:pPr>
              <w:pStyle w:val="Compact"/>
            </w:pPr>
            <w:r>
              <w:t xml:space="preserve">Cefalea secondaria</w:t>
            </w:r>
          </w:p>
        </w:tc>
        <w:tc>
          <w:tcPr/>
          <w:p>
            <w:pPr>
              <w:pStyle w:val="Compact"/>
            </w:pPr>
            <w:r>
              <w:t xml:space="preserve">Bandiere rosse</w:t>
            </w:r>
          </w:p>
        </w:tc>
        <w:tc>
          <w:tcPr/>
          <w:p>
            <w:pPr>
              <w:pStyle w:val="Compact"/>
            </w:pPr>
            <w:r>
              <w:t xml:space="preserve">Niente, stop</w:t>
            </w:r>
          </w:p>
        </w:tc>
      </w:tr>
      <w:tr>
        <w:tc>
          <w:tcPr/>
          <w:p>
            <w:pPr>
              <w:pStyle w:val="Compact"/>
            </w:pPr>
            <w:r>
              <w:t xml:space="preserve">Post-traumatica recente</w:t>
            </w:r>
          </w:p>
        </w:tc>
        <w:tc>
          <w:tcPr/>
          <w:p>
            <w:pPr>
              <w:pStyle w:val="Compact"/>
            </w:pPr>
            <w:r>
              <w:t xml:space="preserve">Trauma cranico o cervicale in atto</w:t>
            </w:r>
          </w:p>
        </w:tc>
        <w:tc>
          <w:tcPr/>
          <w:p>
            <w:pPr>
              <w:pStyle w:val="Compact"/>
            </w:pPr>
            <w:r>
              <w:t xml:space="preserve">Niente, stop</w:t>
            </w:r>
          </w:p>
        </w:tc>
      </w:tr>
    </w:tbl>
    <w:p>
      <w:pPr>
        <w:pStyle w:val="BodyText"/>
      </w:pPr>
      <w:r>
        <w:rPr>
          <w:b/>
          <w:bCs/>
        </w:rPr>
        <w:t xml:space="preserve">Tensiva.</w:t>
      </w:r>
      <w:r>
        <w:t xml:space="preserve"> </w:t>
      </w:r>
      <w:r>
        <w:t xml:space="preserve">Il dettaglio sta nella</w:t>
      </w:r>
      <w:r>
        <w:t xml:space="preserve"> </w:t>
      </w:r>
      <w:r>
        <w:rPr>
          <w:b/>
          <w:bCs/>
        </w:rPr>
        <w:t xml:space="preserve">Bibbia del Mal di Testa Tensivo</w:t>
      </w:r>
      <w:r>
        <w:t xml:space="preserve">.</w:t>
      </w:r>
    </w:p>
    <w:p>
      <w:pPr>
        <w:pStyle w:val="BodyText"/>
      </w:pPr>
      <w:r>
        <w:rPr>
          <w:b/>
          <w:bCs/>
        </w:rPr>
        <w:t xml:space="preserve">Emicrania.</w:t>
      </w:r>
      <w:r>
        <w:t xml:space="preserve"> </w:t>
      </w:r>
      <w:r>
        <w:t xml:space="preserve">Il collo partecipa quasi sempre, e in due casi su tre come sintomo dell’attacco, non come causa. La leva manuale qui è la più debole del documento: vedi «Non possiamo dire», in «Cosa dice la scienza». Il dettaglio sta nella</w:t>
      </w:r>
      <w:r>
        <w:t xml:space="preserve"> </w:t>
      </w:r>
      <w:r>
        <w:rPr>
          <w:b/>
          <w:bCs/>
        </w:rPr>
        <w:t xml:space="preserve">Bibbia dell’Emicrania</w:t>
      </w:r>
      <w:r>
        <w:t xml:space="preserve">.</w:t>
      </w:r>
    </w:p>
    <w:p>
      <w:pPr>
        <w:pStyle w:val="BodyText"/>
      </w:pPr>
      <w:r>
        <w:rPr>
          <w:b/>
          <w:bCs/>
        </w:rPr>
        <w:t xml:space="preserve">Cervicogenica.</w:t>
      </w:r>
      <w:r>
        <w:t xml:space="preserve"> </w:t>
      </w:r>
      <w:r>
        <w:t xml:space="preserve">È il sottotipo meno frequente: 4,1 per cento nella popolazione generale (Sjaastad &amp; Bakketeig,</w:t>
      </w:r>
      <w:r>
        <w:t xml:space="preserve"> </w:t>
      </w:r>
      <w:r>
        <w:rPr>
          <w:i/>
          <w:iCs/>
        </w:rPr>
        <w:t xml:space="preserve">Acta Neurol Scand</w:t>
      </w:r>
      <w:r>
        <w:t xml:space="preserve"> </w:t>
      </w:r>
      <w:r>
        <w:t xml:space="preserve">2008, PMID 18031563). Si riconosce con il cluster di tre test, non con la dolorabilità.</w:t>
      </w:r>
    </w:p>
    <w:p>
      <w:pPr>
        <w:pStyle w:val="BodyText"/>
      </w:pPr>
      <w:r>
        <w:rPr>
          <w:b/>
          <w:bCs/>
        </w:rPr>
        <w:t xml:space="preserve">Mista.</w:t>
      </w:r>
      <w:r>
        <w:t xml:space="preserve"> </w:t>
      </w:r>
      <w:r>
        <w:t xml:space="preserve">Quando due mal di testa convivono nella stessa persona, i singoli segni fisici non discriminano più. Su 108 persone con cefalee concomitanti l’escursione cervicale da sola non serviva a distinguerle (Amiri,</w:t>
      </w:r>
      <w:r>
        <w:t xml:space="preserve"> </w:t>
      </w:r>
      <w:r>
        <w:rPr>
          <w:i/>
          <w:iCs/>
        </w:rPr>
        <w:t xml:space="preserve">Cephalalgia</w:t>
      </w:r>
      <w:r>
        <w:t xml:space="preserve"> </w:t>
      </w:r>
      <w:r>
        <w:t xml:space="preserve">2007, PMID 17608813).</w:t>
      </w:r>
      <w:r>
        <w:t xml:space="preserve"> </w:t>
      </w:r>
      <w:r>
        <w:rPr>
          <w:b/>
          <w:bCs/>
        </w:rPr>
        <w:t xml:space="preserve">Cambia il metodo di misura:</w:t>
      </w:r>
      <w:r>
        <w:t xml:space="preserve"> </w:t>
      </w:r>
      <w:r>
        <w:t xml:space="preserve">i giorni al mese si contano</w:t>
      </w:r>
      <w:r>
        <w:t xml:space="preserve"> </w:t>
      </w:r>
      <w:r>
        <w:rPr>
          <w:b/>
          <w:bCs/>
        </w:rPr>
        <w:t xml:space="preserve">separati per tipo</w:t>
      </w:r>
      <w:r>
        <w:t xml:space="preserve">, altrimenti non sai quale dei due si è mosso.</w:t>
      </w:r>
    </w:p>
    <w:p>
      <w:pPr>
        <w:pStyle w:val="BodyText"/>
      </w:pPr>
      <w:r>
        <w:rPr>
          <w:b/>
          <w:bCs/>
        </w:rPr>
        <w:t xml:space="preserve">I primi tre cancelli</w:t>
      </w:r>
      <w:r>
        <w:t xml:space="preserve"> </w:t>
      </w:r>
      <w:r>
        <w:t xml:space="preserve">hanno la loro riga, con destinatario e tempo, nelle tabelle di «Dove finisce il nostro campo». Le soglie dell’uso eccessivo di farmaci stanno in «Che cos’è davvero». Sul</w:t>
      </w:r>
      <w:r>
        <w:t xml:space="preserve"> </w:t>
      </w:r>
      <w:r>
        <w:rPr>
          <w:b/>
          <w:bCs/>
        </w:rPr>
        <w:t xml:space="preserve">grappolo</w:t>
      </w:r>
      <w:r>
        <w:t xml:space="preserve">, una nota: alla prima crisi in assoluto il tempo sale a urgente. Una prima cefalalgia autonomica va distinta da una forma secondaria — lesione ipofisaria, dissezione carotidea — e quella distinzione non la fa il curante.</w:t>
      </w:r>
    </w:p>
    <w:p>
      <w:pPr>
        <w:pStyle w:val="BodyText"/>
      </w:pPr>
      <w:r>
        <w:rPr>
          <w:b/>
          <w:bCs/>
        </w:rPr>
        <w:t xml:space="preserve">Cancello — post-traumatica, con una distinzione che vale un paziente.</w:t>
      </w:r>
      <w:r>
        <w:t xml:space="preserve"> </w:t>
      </w:r>
      <w:r>
        <w:t xml:space="preserve">La cefalea</w:t>
      </w:r>
      <w:r>
        <w:t xml:space="preserve"> </w:t>
      </w:r>
      <w:r>
        <w:rPr>
          <w:b/>
          <w:bCs/>
        </w:rPr>
        <w:t xml:space="preserve">nuova</w:t>
      </w:r>
      <w:r>
        <w:t xml:space="preserve"> </w:t>
      </w:r>
      <w:r>
        <w:t xml:space="preserve">dopo un trauma cranico è bandiera rossa acuta e resta cancello. Quella che dura</w:t>
      </w:r>
      <w:r>
        <w:t xml:space="preserve"> </w:t>
      </w:r>
      <w:r>
        <w:rPr>
          <w:b/>
          <w:bCs/>
        </w:rPr>
        <w:t xml:space="preserve">da oltre tre mesi</w:t>
      </w:r>
      <w:r>
        <w:t xml:space="preserve"> </w:t>
      </w:r>
      <w:r>
        <w:t xml:space="preserve">dopo un colpo di frusta o un trauma</w:t>
      </w:r>
      <w:r>
        <w:t xml:space="preserve"> </w:t>
      </w:r>
      <w:r>
        <w:rPr>
          <w:b/>
          <w:bCs/>
        </w:rPr>
        <w:t xml:space="preserve">rientra nel triage come qualunque altra</w:t>
      </w:r>
      <w:r>
        <w:t xml:space="preserve">, se l’inquadramento è già fatto e non ci sono bandiere rosse. E lì il reperto cervicale è più difendibile che altrove.</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tutti e cinque i cancelli.</w:t>
      </w:r>
    </w:p>
    <w:p>
      <w:pPr>
        <w:pStyle w:val="FirstParagraph"/>
      </w:pPr>
      <w:r>
        <w:rPr>
          <w:b/>
          <w:bCs/>
        </w:rPr>
        <w:t xml:space="preserve">Condizioni spesso associate.</w:t>
      </w:r>
      <w:r>
        <w:t xml:space="preserve"> </w:t>
      </w:r>
      <w:r>
        <w:t xml:space="preserve">Dolore cervicale →</w:t>
      </w:r>
      <w:r>
        <w:t xml:space="preserve"> </w:t>
      </w:r>
      <w:r>
        <w:rPr>
          <w:b/>
          <w:bCs/>
        </w:rPr>
        <w:t xml:space="preserve">Bibbia della Cervicalgia</w:t>
      </w:r>
      <w:r>
        <w:t xml:space="preserve">; serramento o digrignamento →</w:t>
      </w:r>
      <w:r>
        <w:t xml:space="preserve"> </w:t>
      </w:r>
      <w:r>
        <w:rPr>
          <w:b/>
          <w:bCs/>
        </w:rPr>
        <w:t xml:space="preserve">Bibbia del Bruxismo</w:t>
      </w:r>
      <w:r>
        <w:t xml:space="preserve">; vertigini o instabilità →</w:t>
      </w:r>
      <w:r>
        <w:t xml:space="preserve"> </w:t>
      </w:r>
      <w:r>
        <w:rPr>
          <w:b/>
          <w:bCs/>
        </w:rPr>
        <w:t xml:space="preserve">Bibbia delle Vertigini</w:t>
      </w:r>
      <w:r>
        <w:t xml:space="preserve">. Condividono la cerniera cranio-cervicale e il nucleo trigemino-cervicale.</w:t>
      </w:r>
    </w:p>
    <w:p>
      <w:pPr>
        <w:pStyle w:val="BodyText"/>
      </w:pPr>
      <w:r>
        <w:rPr>
          <w:b/>
          <w:bCs/>
        </w:rPr>
        <w:t xml:space="preserve">Le tre cose da ricordare, più una</w:t>
      </w:r>
    </w:p>
    <w:p>
      <w:pPr>
        <w:pStyle w:val="Compact"/>
        <w:numPr>
          <w:ilvl w:val="0"/>
          <w:numId w:val="1014"/>
        </w:numPr>
      </w:pPr>
      <w:r>
        <w:t xml:space="preserve">Quattro pattern e cinque cancelli. I cancelli si controllano prima, sempre.</w:t>
      </w:r>
    </w:p>
    <w:p>
      <w:pPr>
        <w:pStyle w:val="Compact"/>
        <w:numPr>
          <w:ilvl w:val="0"/>
          <w:numId w:val="1014"/>
        </w:numPr>
      </w:pPr>
      <w:r>
        <w:t xml:space="preserve">Il pattern dà il meccanismo di partenza; il paziente dà il dominante, e il paziente vince.</w:t>
      </w:r>
    </w:p>
    <w:p>
      <w:pPr>
        <w:pStyle w:val="Compact"/>
        <w:numPr>
          <w:ilvl w:val="0"/>
          <w:numId w:val="1014"/>
        </w:numPr>
      </w:pPr>
      <w:r>
        <w:t xml:space="preserve">La quota nociplastica taglia la tabella di traverso e cambia la prognosi più del sottotipo.</w:t>
      </w:r>
    </w:p>
    <w:p>
      <w:pPr>
        <w:pStyle w:val="Compact"/>
        <w:numPr>
          <w:ilvl w:val="0"/>
          <w:numId w:val="1014"/>
        </w:numPr>
      </w:pPr>
      <w:r>
        <w:rPr>
          <w:b/>
          <w:bCs/>
        </w:rPr>
        <w:t xml:space="preserve">Perché ci sei tu.</w:t>
      </w:r>
      <w:r>
        <w:t xml:space="preserve"> </w:t>
      </w:r>
      <w:r>
        <w:t xml:space="preserve">Su questo sottotipo non ci sei: nella cefalea a grappolo la diagnosi arriva in media 6,6 anni dopo l’esordio e dopo 4,3 medici (Klapper,</w:t>
      </w:r>
      <w:r>
        <w:t xml:space="preserve"> </w:t>
      </w:r>
      <w:r>
        <w:rPr>
          <w:i/>
          <w:iCs/>
        </w:rPr>
        <w:t xml:space="preserve">Headache</w:t>
      </w:r>
      <w:r>
        <w:t xml:space="preserve"> </w:t>
      </w:r>
      <w:r>
        <w:t xml:space="preserve">2000, PMID 11091291). Il ritardo è confermato su quindici studi e 4.661 pazienti (Buture,</w:t>
      </w:r>
      <w:r>
        <w:t xml:space="preserve"> </w:t>
      </w:r>
      <w:r>
        <w:rPr>
          <w:i/>
          <w:iCs/>
        </w:rPr>
        <w:t xml:space="preserve">Neurol Sci</w:t>
      </w:r>
      <w:r>
        <w:t xml:space="preserve"> </w:t>
      </w:r>
      <w:r>
        <w:t xml:space="preserve">2019, PMID 30306398). Ti autorizza a riconoscerlo e a mandarlo, accorciando quei sei anni. Non ti autorizza a trattarlo.</w:t>
      </w:r>
    </w:p>
    <w:p>
      <w:r>
        <w:pict>
          <v:rect style="width:0;height:1.5pt" o:hralign="center" o:hrstd="t" o:hr="t"/>
        </w:pict>
      </w:r>
    </w:p>
    <w:bookmarkEnd w:id="35"/>
    <w:bookmarkStart w:id="41"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comandano il Neurologico e il Comportamentale, il Biomeccanico è secondario e vale su un sottotipo solo, e gli altri due si nominano e si rinviano.</w:t>
      </w:r>
    </w:p>
    <w:bookmarkStart w:id="36" w:name="neurologico"/>
    <w:p>
      <w:pPr>
        <w:pStyle w:val="Heading3"/>
      </w:pPr>
      <w:r>
        <w:t xml:space="preserve">Neurologico</w:t>
      </w:r>
    </w:p>
    <w:p>
      <w:pPr>
        <w:pStyle w:val="FirstParagraph"/>
      </w:pPr>
      <w:r>
        <w:rPr>
          <w:b/>
          <w:bCs/>
        </w:rPr>
        <w:t xml:space="preserve">Cosa governa qui.</w:t>
      </w:r>
      <w:r>
        <w:t xml:space="preserve"> </w:t>
      </w:r>
      <w:r>
        <w:t xml:space="preserve">La convergenza trigemino-cervicale, il guadagno del relè, la soglia dolorosa dentro e fuori dalla testa, l’asse nociplastico.</w:t>
      </w:r>
    </w:p>
    <w:p>
      <w:pPr>
        <w:pStyle w:val="BodyText"/>
      </w:pPr>
      <w:r>
        <w:rPr>
          <w:b/>
          <w:bCs/>
        </w:rPr>
        <w:t xml:space="preserve">Quali meccanismi governa.</w:t>
      </w:r>
      <w:r>
        <w:t xml:space="preserve"> </w:t>
      </w:r>
      <w:r>
        <w:t xml:space="preserve">«Il centralino», «la porta che si apre con un dito» e «la carta di credito». Tre su cinque: è il modello che regge il documento.</w:t>
      </w:r>
    </w:p>
    <w:p>
      <w:pPr>
        <w:pStyle w:val="BodyText"/>
      </w:pPr>
      <w:r>
        <w:rPr>
          <w:b/>
          <w:bCs/>
        </w:rPr>
        <w:t xml:space="preserve">Gli attori.</w:t>
      </w:r>
      <w:r>
        <w:t xml:space="preserve"> </w:t>
      </w:r>
      <w:r>
        <w:t xml:space="preserve">Nucleo trigemino-cervicale, radici C1-C3, grande nervo occipitale, branca V3, controlli discendenti. E i</w:t>
      </w:r>
      <w:r>
        <w:t xml:space="preserve"> </w:t>
      </w:r>
      <w:r>
        <w:rPr>
          <w:b/>
          <w:bCs/>
        </w:rPr>
        <w:t xml:space="preserve">modificatori esogeni di soglia</w:t>
      </w:r>
      <w:r>
        <w:t xml:space="preserve"> </w:t>
      </w:r>
      <w:r>
        <w:t xml:space="preserve">— caffeina, alcol, gli analgesici stessi: non si lavorano con le mani, e vanno esclusi prima di attribuirsi un peggioramento.</w:t>
      </w:r>
    </w:p>
    <w:p>
      <w:pPr>
        <w:pStyle w:val="BodyText"/>
      </w:pPr>
      <w:r>
        <w:rPr>
          <w:b/>
          <w:bCs/>
        </w:rPr>
        <w:t xml:space="preserve">I segnali che pesa.</w:t>
      </w:r>
      <w:r>
        <w:t xml:space="preserve"> </w:t>
      </w:r>
      <w:r>
        <w:t xml:space="preserve">Dolore riferito in testa alla pressione sostenuta su C1-C3. Dolorabilità fuori dal cranio. Il quadro cambia col caffè e col farmaco più che con la posizione.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l’alterazione qualitativa della nocicezione nella forma cronica (Bendtsen, PMID 8826515) e l’inversione della modulazione discendente (Sandrini, PMID 16776692).</w:t>
      </w:r>
      <w:r>
        <w:t xml:space="preserve"> </w:t>
      </w:r>
      <w:r>
        <w:rPr>
          <w:b/>
          <w:bCs/>
        </w:rPr>
        <w:t xml:space="preserve">PROBABILE</w:t>
      </w:r>
      <w:r>
        <w:t xml:space="preserve"> </w:t>
      </w:r>
      <w:r>
        <w:rPr>
          <w:i/>
          <w:iCs/>
        </w:rPr>
        <w:t xml:space="preserve">(razionale forte, prove parziali)</w:t>
      </w:r>
      <w:r>
        <w:t xml:space="preserve"> </w:t>
      </w:r>
      <w:r>
        <w:t xml:space="preserve">che il respiro lento a frequenza di risonanza aumenti la variabilità cardiaca mediata dal vago —</w:t>
      </w:r>
      <w:r>
        <w:t xml:space="preserve"> </w:t>
      </w:r>
      <w:r>
        <w:rPr>
          <w:b/>
          <w:bCs/>
        </w:rPr>
        <w:t xml:space="preserve">sintesi narrativa di meccanismo, non una misura su questi pazienti</w:t>
      </w:r>
      <w:r>
        <w:t xml:space="preserve"> </w:t>
      </w:r>
      <w:r>
        <w:t xml:space="preserve">(Sevoz-Couche &amp; Laborde, PMID 35167847).</w:t>
      </w:r>
      <w:r>
        <w:t xml:space="preserve"> </w:t>
      </w:r>
      <w:r>
        <w:rPr>
          <w:b/>
          <w:bCs/>
        </w:rPr>
        <w:t xml:space="preserve">IPOTESI</w:t>
      </w:r>
      <w:r>
        <w:t xml:space="preserve"> </w:t>
      </w:r>
      <w:r>
        <w:rPr>
          <w:i/>
          <w:iCs/>
        </w:rPr>
        <w:t xml:space="preserve">(meccanismo coerente, nessuno studio)</w:t>
      </w:r>
      <w:r>
        <w:t xml:space="preserve"> </w:t>
      </w:r>
      <w:r>
        <w:t xml:space="preserve">che il trattamento manuale inverta la sensibilizzazione.</w:t>
      </w:r>
    </w:p>
    <w:bookmarkEnd w:id="36"/>
    <w:bookmarkStart w:id="3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Il livello di attivazione, l’aspettativa, quello che il paziente crede di avere, l’aderenza, e</w:t>
      </w:r>
      <w:r>
        <w:t xml:space="preserve"> </w:t>
      </w:r>
      <w:r>
        <w:rPr>
          <w:b/>
          <w:bCs/>
        </w:rPr>
        <w:t xml:space="preserve">quante volte al mese si apre la scatola</w:t>
      </w:r>
      <w:r>
        <w:t xml:space="preserve">.</w:t>
      </w:r>
    </w:p>
    <w:p>
      <w:pPr>
        <w:pStyle w:val="BodyText"/>
      </w:pPr>
      <w:r>
        <w:rPr>
          <w:b/>
          <w:bCs/>
        </w:rPr>
        <w:t xml:space="preserve">Quali meccanismi governa.</w:t>
      </w:r>
      <w:r>
        <w:t xml:space="preserve"> </w:t>
      </w:r>
      <w:r>
        <w:t xml:space="preserve">«La porta che si apre con un dito», per il piano dell’attivazione. E «la carta di credito»: il meccanismo è neuroadattativo, ma la variabile che lo guida è un comportamento, e la leva verificata è</w:t>
      </w:r>
      <w:r>
        <w:t xml:space="preserve"> </w:t>
      </w:r>
      <w:r>
        <w:rPr>
          <w:b/>
          <w:bCs/>
        </w:rPr>
        <w:t xml:space="preserve">informazione</w:t>
      </w:r>
      <w:r>
        <w:t xml:space="preserve">. È il modello che possiede la leva più efficace del documento.</w:t>
      </w:r>
    </w:p>
    <w:p>
      <w:pPr>
        <w:pStyle w:val="BodyText"/>
      </w:pPr>
      <w:r>
        <w:rPr>
          <w:b/>
          <w:bCs/>
        </w:rPr>
        <w:t xml:space="preserve">Gli attori.</w:t>
      </w:r>
      <w:r>
        <w:t xml:space="preserve"> </w:t>
      </w:r>
      <w:r>
        <w:t xml:space="preserve">Il modo in cui spieghi, il tempo che dedichi, il ritmo del contatto, e l’addestramento strutturato, che non è nostro.</w:t>
      </w:r>
    </w:p>
    <w:p>
      <w:pPr>
        <w:pStyle w:val="BodyText"/>
      </w:pPr>
      <w:r>
        <w:rPr>
          <w:b/>
          <w:bCs/>
        </w:rPr>
        <w:t xml:space="preserve">I segnali che pesa.</w:t>
      </w:r>
      <w:r>
        <w:t xml:space="preserve"> </w:t>
      </w:r>
      <w:r>
        <w:t xml:space="preserve">Tessuto che reagisce prima della pressione.</w:t>
      </w:r>
      <w:r>
        <w:t xml:space="preserve"> </w:t>
      </w:r>
      <w:r>
        <w:rPr>
          <w:b/>
          <w:bCs/>
        </w:rPr>
        <w:t xml:space="preserve">Un umore depresso</w:t>
      </w:r>
      <w:r>
        <w:t xml:space="preserve">, che è il solo fattore psicosociale con un dato longitudinale. Il ciclo tensione-dolore-tensione raccontato spontaneamente. La catastrofizzazione esce dalla lista, e il motivo è un dato: su quel costrutto come predittore di cronicizzazione non esiste</w:t>
      </w:r>
      <w:r>
        <w:t xml:space="preserve"> </w:t>
      </w:r>
      <w:r>
        <w:rPr>
          <w:b/>
          <w:bCs/>
        </w:rPr>
        <w:t xml:space="preserve">nessuno</w:t>
      </w:r>
      <w:r>
        <w:t xml:space="preserve"> </w:t>
      </w:r>
      <w:r>
        <w:t xml:space="preserve">studio longitudinale.</w:t>
      </w:r>
    </w:p>
    <w:p>
      <w:pPr>
        <w:pStyle w:val="BodyText"/>
      </w:pPr>
      <w:r>
        <w:rPr>
          <w:b/>
          <w:bCs/>
        </w:rPr>
        <w:t xml:space="preserve">Il corpo di prove più grande del capitolo sta qui, e non è nostro.</w:t>
      </w:r>
      <w:r>
        <w:t xml:space="preserve"> </w:t>
      </w:r>
      <w:r>
        <w:t xml:space="preserve">Il training comportamentale addestrato con pratica a casa ha su questa condizione l’effetto misurato più alto di qualunque leva del documento (PMID 18540732; 17084028). Si nomina e si rinvia, come si fa con la profilassi; i numeri stanno in «Cosa può fare il paziente da solo».</w:t>
      </w:r>
    </w:p>
    <w:p>
      <w:pPr>
        <w:pStyle w:val="BodyText"/>
      </w:pPr>
      <w:r>
        <w:rPr>
          <w:b/>
          <w:bCs/>
        </w:rPr>
        <w:t xml:space="preserve">Due fonti che questo modello non aveva.</w:t>
      </w:r>
      <w:r>
        <w:t xml:space="preserve"> </w:t>
      </w:r>
      <w:r>
        <w:t xml:space="preserve">La prima dice</w:t>
      </w:r>
      <w:r>
        <w:t xml:space="preserve"> </w:t>
      </w:r>
      <w:r>
        <w:rPr>
          <w:b/>
          <w:bCs/>
        </w:rPr>
        <w:t xml:space="preserve">chi guardare più da vicino</w:t>
      </w:r>
      <w:r>
        <w:t xml:space="preserve">. Su otto studi longitudinali la depressione predice il passaggio dell’emicrania alla forma cronica: rischio relativo non aggiustato 2,26 (IC 1,69–3,02) su cinque studi, certezza moderata. Su ansia e stress i dati non bastano, e</w:t>
      </w:r>
      <w:r>
        <w:t xml:space="preserve"> </w:t>
      </w:r>
      <w:r>
        <w:rPr>
          <w:b/>
          <w:bCs/>
        </w:rPr>
        <w:t xml:space="preserve">sulla cronicizzazione della tensiva non si possono trarre conclusioni</w:t>
      </w:r>
      <w:r>
        <w:t xml:space="preserve"> </w:t>
      </w:r>
      <w:r>
        <w:t xml:space="preserve">(Tol,</w:t>
      </w:r>
      <w:r>
        <w:t xml:space="preserve"> </w:t>
      </w:r>
      <w:r>
        <w:rPr>
          <w:i/>
          <w:iCs/>
        </w:rPr>
        <w:t xml:space="preserve">Headache</w:t>
      </w:r>
      <w:r>
        <w:t xml:space="preserve"> </w:t>
      </w:r>
      <w:r>
        <w:t xml:space="preserve">2026, PMID 41236090).</w:t>
      </w:r>
      <w:r>
        <w:t xml:space="preserve"> </w:t>
      </w:r>
      <w:r>
        <w:rPr>
          <w:b/>
          <w:bCs/>
        </w:rPr>
        <w:t xml:space="preserve">È un predittore misurato sull’emicrania, non un bersaglio del nostro trattamento: dice chi nominare al curante, non cosa fare con le mani.</w:t>
      </w:r>
      <w:r>
        <w:t xml:space="preserve"> </w:t>
      </w:r>
      <w:r>
        <w:t xml:space="preserve">La seconda dice</w:t>
      </w:r>
      <w:r>
        <w:t xml:space="preserve"> </w:t>
      </w:r>
      <w:r>
        <w:rPr>
          <w:b/>
          <w:bCs/>
        </w:rPr>
        <w:t xml:space="preserve">quanto pesa quello che gli dici</w:t>
      </w:r>
      <w:r>
        <w:t xml:space="preserve">. Su 66 emicranici e 459 attacchi documentati, la stessa compressa cambiava effetto secondo l’etichetta che portava: rizatriptan etichettato come placebo e placebo etichettato come rizatriptan hanno reso in modo simile, e il placebo, in ogni condizione informativa, ha reso più del 50 per cento dell’effetto del farmaco (Kam-Hansen,</w:t>
      </w:r>
      <w:r>
        <w:t xml:space="preserve"> </w:t>
      </w:r>
      <w:r>
        <w:rPr>
          <w:i/>
          <w:iCs/>
        </w:rPr>
        <w:t xml:space="preserve">Sci Transl Med</w:t>
      </w:r>
      <w:r>
        <w:t xml:space="preserve"> </w:t>
      </w:r>
      <w:r>
        <w:t xml:space="preserve">2014, PMID 24401940).</w:t>
      </w:r>
      <w:r>
        <w:t xml:space="preserve"> </w:t>
      </w:r>
      <w:r>
        <w:rPr>
          <w:b/>
          <w:bCs/>
        </w:rPr>
        <w:t xml:space="preserve">Qui il salto è di intervento, non di popolazione: misurato su un farmaco d’attacco in questi stessi pazienti, non su un trattamento manuale.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il training comportamentale addestrato, in ambito specialistico.</w:t>
      </w:r>
      <w:r>
        <w:t xml:space="preserve"> </w:t>
      </w:r>
      <w:r>
        <w:rPr>
          <w:b/>
          <w:bCs/>
        </w:rPr>
        <w:t xml:space="preserve">DIMOSTRATO</w:t>
      </w:r>
      <w:r>
        <w:t xml:space="preserve"> </w:t>
      </w:r>
      <w:r>
        <w:rPr>
          <w:i/>
          <w:iCs/>
        </w:rPr>
        <w:t xml:space="preserve">(studi sull’uomo, solidi)</w:t>
      </w:r>
      <w:r>
        <w:t xml:space="preserve"> </w:t>
      </w:r>
      <w:r>
        <w:t xml:space="preserve">anche che la quota di effetto non attribuibile alla tecnica specifica sia grande (Ezzatvar,</w:t>
      </w:r>
      <w:r>
        <w:t xml:space="preserve"> </w:t>
      </w:r>
      <w:r>
        <w:rPr>
          <w:i/>
          <w:iCs/>
        </w:rPr>
        <w:t xml:space="preserve">JOSPT</w:t>
      </w:r>
      <w:r>
        <w:t xml:space="preserve"> </w:t>
      </w:r>
      <w:r>
        <w:t xml:space="preserve">2024, PMID 38602164) —</w:t>
      </w:r>
      <w:r>
        <w:t xml:space="preserve"> </w:t>
      </w:r>
      <w:r>
        <w:rPr>
          <w:b/>
          <w:bCs/>
        </w:rPr>
        <w:t xml:space="preserve">misurato su dolore muscolo-scheletrico in generale, non su questi pazienti</w:t>
      </w:r>
      <w:r>
        <w:t xml:space="preserve">; i numeri stanno in «Cosa dice la scienza».</w:t>
      </w:r>
      <w:r>
        <w:t xml:space="preserve"> </w:t>
      </w:r>
      <w:r>
        <w:rPr>
          <w:b/>
          <w:bCs/>
        </w:rPr>
        <w:t xml:space="preserve">RAGIONAMENTO</w:t>
      </w:r>
      <w:r>
        <w:t xml:space="preserve"> </w:t>
      </w:r>
      <w:r>
        <w:rPr>
          <w:i/>
          <w:iCs/>
        </w:rPr>
        <w:t xml:space="preserve">(cornice clinica, non una prova)</w:t>
      </w:r>
      <w:r>
        <w:t xml:space="preserve"> </w:t>
      </w:r>
      <w:r>
        <w:t xml:space="preserve">attribuire quella quota al contesto (vedi «Cosa dice la scienza»).</w:t>
      </w:r>
      <w:r>
        <w:t xml:space="preserve"> </w:t>
      </w:r>
      <w:r>
        <w:rPr>
          <w:b/>
          <w:bCs/>
        </w:rPr>
        <w:t xml:space="preserve">DIMOSTRATO</w:t>
      </w:r>
      <w:r>
        <w:t xml:space="preserve"> </w:t>
      </w:r>
      <w:r>
        <w:rPr>
          <w:i/>
          <w:iCs/>
        </w:rPr>
        <w:t xml:space="preserve">(studi sull’uomo, solidi)</w:t>
      </w:r>
      <w:r>
        <w:t xml:space="preserve"> </w:t>
      </w:r>
      <w:r>
        <w:t xml:space="preserve">che l’informazione che accompagna un atto ne cambi l’esito in questa popolazione (Kam-Hansen, PMID 24401940) — su un farmaco d’attacco, non su un trattamento manuale.</w:t>
      </w:r>
      <w:r>
        <w:t xml:space="preserve"> </w:t>
      </w:r>
      <w:r>
        <w:rPr>
          <w:b/>
          <w:bCs/>
        </w:rPr>
        <w:t xml:space="preserve">PROBABILE</w:t>
      </w:r>
      <w:r>
        <w:t xml:space="preserve"> </w:t>
      </w:r>
      <w:r>
        <w:rPr>
          <w:i/>
          <w:iCs/>
        </w:rPr>
        <w:t xml:space="preserve">(razionale forte, prove parziali)</w:t>
      </w:r>
      <w:r>
        <w:t xml:space="preserve"> </w:t>
      </w:r>
      <w:r>
        <w:t xml:space="preserve">che la depressione predica la cronicizzazione dell’emicrania (Tol, PMID 41236090).</w:t>
      </w:r>
      <w:r>
        <w:t xml:space="preserve"> </w:t>
      </w:r>
      <w:r>
        <w:rPr>
          <w:b/>
          <w:bCs/>
        </w:rPr>
        <w:t xml:space="preserve">IPOTESI</w:t>
      </w:r>
      <w:r>
        <w:t xml:space="preserve"> </w:t>
      </w:r>
      <w:r>
        <w:rPr>
          <w:i/>
          <w:iCs/>
        </w:rPr>
        <w:t xml:space="preserve">(meccanismo coerente, nessuno studio)</w:t>
      </w:r>
      <w:r>
        <w:t xml:space="preserve"> </w:t>
      </w:r>
      <w:r>
        <w:t xml:space="preserve">che il tocco riporti verso la calma.</w:t>
      </w:r>
    </w:p>
    <w:bookmarkEnd w:id="37"/>
    <w:bookmarkStart w:id="38" w:name="biomeccanico-strutturale"/>
    <w:p>
      <w:pPr>
        <w:pStyle w:val="Heading3"/>
      </w:pPr>
      <w:r>
        <w:t xml:space="preserve">Biomeccanico-Strutturale</w:t>
      </w:r>
    </w:p>
    <w:p>
      <w:pPr>
        <w:pStyle w:val="FirstParagraph"/>
      </w:pPr>
      <w:r>
        <w:rPr>
          <w:b/>
          <w:bCs/>
        </w:rPr>
        <w:t xml:space="preserve">Cosa governa qui.</w:t>
      </w:r>
      <w:r>
        <w:t xml:space="preserve"> </w:t>
      </w:r>
      <w:r>
        <w:t xml:space="preserve">L’escursione della cerniera cranio-cervicale, il controllo dei flessori profondi, il carico di pericranici e masticatori, la postura mantenuta. E il carico che scaleni e sternocleidomastoideo assorbono quando lavorano per respirare.</w:t>
      </w:r>
    </w:p>
    <w:p>
      <w:pPr>
        <w:pStyle w:val="BodyText"/>
      </w:pPr>
      <w:r>
        <w:rPr>
          <w:b/>
          <w:bCs/>
        </w:rPr>
        <w:t xml:space="preserve">Quali meccanismi governa.</w:t>
      </w:r>
      <w:r>
        <w:t xml:space="preserve"> </w:t>
      </w:r>
      <w:r>
        <w:t xml:space="preserve">«La ruota che sfrega sul parafango» e «il rubinetto», col suo braccio mandibolare.</w:t>
      </w:r>
      <w:r>
        <w:t xml:space="preserve"> </w:t>
      </w:r>
      <w:r>
        <w:rPr>
          <w:b/>
          <w:bCs/>
        </w:rPr>
        <w:t xml:space="preserve">Gli attori:</w:t>
      </w:r>
      <w:r>
        <w:t xml:space="preserve"> </w:t>
      </w:r>
      <w:r>
        <w:t xml:space="preserve">C1-C2, sub-occipitali, flessori profondi, trapezio superiore, temporale, massetere, scaleni, sternocleidomastoideo.</w:t>
      </w:r>
    </w:p>
    <w:p>
      <w:pPr>
        <w:pStyle w:val="BodyText"/>
      </w:pPr>
      <w:r>
        <w:rPr>
          <w:b/>
          <w:bCs/>
        </w:rPr>
        <w:t xml:space="preserve">I segnali che pesa.</w:t>
      </w:r>
      <w:r>
        <w:t xml:space="preserve"> </w:t>
      </w:r>
      <w:r>
        <w:t xml:space="preserve">Lateralità fissa. Flessione-rotazione ridotta. Dolore riprodotto dal movimento, dalla posizione mantenuta e dal serramento, non dai pasti o dal sonno.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il cluster dei tre reperti, con il limite di validazione dichiarato in «Cosa si rompe» (Jull, PMID 17598761).</w:t>
      </w:r>
      <w:r>
        <w:t xml:space="preserve"> </w:t>
      </w:r>
      <w:r>
        <w:rPr>
          <w:b/>
          <w:bCs/>
        </w:rPr>
        <w:t xml:space="preserve">PROBABILE</w:t>
      </w:r>
      <w:r>
        <w:t xml:space="preserve"> </w:t>
      </w:r>
      <w:r>
        <w:rPr>
          <w:i/>
          <w:iCs/>
        </w:rPr>
        <w:t xml:space="preserve">(razionale forte, prove parziali)</w:t>
      </w:r>
      <w:r>
        <w:t xml:space="preserve">,</w:t>
      </w:r>
      <w:r>
        <w:t xml:space="preserve"> </w:t>
      </w:r>
      <w:r>
        <w:rPr>
          <w:b/>
          <w:bCs/>
        </w:rPr>
        <w:t xml:space="preserve">e solo sul sottotipo cervicogenico</w:t>
      </w:r>
      <w:r>
        <w:t xml:space="preserve">, che agire su quei reperti riduca la cefalea: 200 randomizzati</w:t>
      </w:r>
      <w:r>
        <w:t xml:space="preserve"> </w:t>
      </w:r>
      <w:r>
        <w:rPr>
          <w:b/>
          <w:bCs/>
        </w:rPr>
        <w:t xml:space="preserve">arruolati per criteri cervicogenici</w:t>
      </w:r>
      <w:r>
        <w:t xml:space="preserve">, effetti a 12 mesi (Jull, PMID 12221344). Sulla popolazione generale l’effetto medio non raggiunge rilevanza clinica: vedi «Cosa dice la scienza».</w:t>
      </w:r>
    </w:p>
    <w:bookmarkEnd w:id="38"/>
    <w:bookmarkStart w:id="39" w:name="metabolico-energetico"/>
    <w:p>
      <w:pPr>
        <w:pStyle w:val="Heading3"/>
      </w:pPr>
      <w:r>
        <w:t xml:space="preserve">Metabolico-Energetico</w:t>
      </w:r>
    </w:p>
    <w:p>
      <w:pPr>
        <w:pStyle w:val="FirstParagraph"/>
      </w:pPr>
      <w:r>
        <w:rPr>
          <w:b/>
          <w:bCs/>
        </w:rPr>
        <w:t xml:space="preserve">Cosa governa qui.</w:t>
      </w:r>
      <w:r>
        <w:t xml:space="preserve"> </w:t>
      </w:r>
      <w:r>
        <w:t xml:space="preserve">Sonno, ritmo dei pasti, idratazione, carico allostatico.</w:t>
      </w:r>
      <w:r>
        <w:t xml:space="preserve"> </w:t>
      </w:r>
      <w:r>
        <w:rPr>
          <w:b/>
          <w:bCs/>
        </w:rPr>
        <w:t xml:space="preserve">Quali meccanismi governa:</w:t>
      </w:r>
      <w:r>
        <w:t xml:space="preserve"> </w:t>
      </w:r>
      <w:r>
        <w:t xml:space="preserve">nessuno in proprio. Concorre al piano dell’attivazione e alla soglia, senza una leva manuale.</w:t>
      </w:r>
      <w:r>
        <w:t xml:space="preserve"> </w:t>
      </w:r>
      <w:r>
        <w:rPr>
          <w:b/>
          <w:bCs/>
        </w:rPr>
        <w:t xml:space="preserve">Gli attori:</w:t>
      </w:r>
      <w:r>
        <w:t xml:space="preserve"> </w:t>
      </w:r>
      <w:r>
        <w:t xml:space="preserve">nessuno che tu possa toccare, ma il sonno si segnala, si rinvia, e ha un dato.</w:t>
      </w:r>
    </w:p>
    <w:p>
      <w:pPr>
        <w:pStyle w:val="BodyText"/>
      </w:pPr>
      <w:r>
        <w:rPr>
          <w:b/>
          <w:bCs/>
        </w:rPr>
        <w:t xml:space="preserve">I segnali che pesa.</w:t>
      </w:r>
      <w:r>
        <w:t xml:space="preserve"> </w:t>
      </w:r>
      <w:r>
        <w:t xml:space="preserve">Il mal di testa segue il sonno e i pasti saltati più della posizione. Il weekend cambia il quadro. Russa o ha apnee.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per la leva</w:t>
      </w:r>
      <w:r>
        <w:t xml:space="preserve"> </w:t>
      </w:r>
      <w:r>
        <w:rPr>
          <w:b/>
          <w:bCs/>
        </w:rPr>
        <w:t xml:space="preserve">sonno</w:t>
      </w:r>
      <w:r>
        <w:t xml:space="preserve"> </w:t>
      </w:r>
      <w:r>
        <w:t xml:space="preserve">sui giorni di cefalea: 43 donne con emicrania trasformata sono state randomizzate a istruzioni di modifica del sonno contro istruzioni placebo. Frequenza e intensità sono calate in modo significativo (p = 0,001), e il ritorno alla forma episodica è stato maggiore: il 48,5 per cento contro nessuno dei controlli alla prima visita (Calhoun &amp; Ford,</w:t>
      </w:r>
      <w:r>
        <w:t xml:space="preserve"> </w:t>
      </w:r>
      <w:r>
        <w:rPr>
          <w:i/>
          <w:iCs/>
        </w:rPr>
        <w:t xml:space="preserve">Headache</w:t>
      </w:r>
      <w:r>
        <w:t xml:space="preserve"> </w:t>
      </w:r>
      <w:r>
        <w:t xml:space="preserve">2007, PMID 17883522).</w:t>
      </w:r>
      <w:r>
        <w:t xml:space="preserve"> </w:t>
      </w:r>
      <w:r>
        <w:rPr>
          <w:b/>
          <w:bCs/>
        </w:rPr>
        <w:t xml:space="preserve">Studio pilota, campione piccolo, sole donne.</w:t>
      </w:r>
      <w:r>
        <w:t xml:space="preserve"> </w:t>
      </w:r>
      <w:r>
        <w:rPr>
          <w:b/>
          <w:bCs/>
        </w:rPr>
        <w:t xml:space="preserve">IPOTESI</w:t>
      </w:r>
      <w:r>
        <w:t xml:space="preserve"> </w:t>
      </w:r>
      <w:r>
        <w:rPr>
          <w:i/>
          <w:iCs/>
        </w:rPr>
        <w:t xml:space="preserve">(meccanismo coerente, nessuno studio)</w:t>
      </w:r>
      <w:r>
        <w:t xml:space="preserve"> </w:t>
      </w:r>
      <w:r>
        <w:t xml:space="preserve">per le altre leve metaboliche.</w:t>
      </w:r>
    </w:p>
    <w:bookmarkEnd w:id="39"/>
    <w:bookmarkStart w:id="40" w:name="respiratorio-circolatorio"/>
    <w:p>
      <w:pPr>
        <w:pStyle w:val="Heading3"/>
      </w:pPr>
      <w:r>
        <w:t xml:space="preserve">Respiratorio-Circolatorio</w:t>
      </w:r>
    </w:p>
    <w:p>
      <w:pPr>
        <w:pStyle w:val="FirstParagraph"/>
      </w:pPr>
      <w:r>
        <w:rPr>
          <w:b/>
          <w:bCs/>
        </w:rPr>
        <w:t xml:space="preserve">Cosa governa qui.</w:t>
      </w:r>
      <w:r>
        <w:t xml:space="preserve"> </w:t>
      </w:r>
      <w:r>
        <w:t xml:space="preserve">La sola meccanica ventilatoria: assetto costale, escursione diaframmatica, muscoli accessori del collo. La metà circolatoria — ritorno venoso del capo, drenaggio cranico — non si invoca. Nessuno ha misurato quei parametri prima e dopo un trattamento manuale, e senza misura non c’è né dato né marker.</w:t>
      </w:r>
      <w:r>
        <w:t xml:space="preserve"> </w:t>
      </w:r>
      <w:r>
        <w:rPr>
          <w:b/>
          <w:bCs/>
        </w:rPr>
        <w:t xml:space="preserve">Quali meccanismi governa:</w:t>
      </w:r>
      <w:r>
        <w:t xml:space="preserve"> </w:t>
      </w:r>
      <w:r>
        <w:t xml:space="preserve">nessuno in proprio. Il carico degli accessori del collo appartiene al rubinetto, governato dal Biomeccanico. Questo modello è</w:t>
      </w:r>
      <w:r>
        <w:t xml:space="preserve"> </w:t>
      </w:r>
      <w:r>
        <w:rPr>
          <w:b/>
          <w:bCs/>
        </w:rPr>
        <w:t xml:space="preserve">accessorio</w:t>
      </w:r>
      <w:r>
        <w:t xml:space="preserve">: si osserva e si nomina.</w:t>
      </w:r>
    </w:p>
    <w:p>
      <w:pPr>
        <w:pStyle w:val="BodyText"/>
      </w:pPr>
      <w:r>
        <w:rPr>
          <w:b/>
          <w:bCs/>
        </w:rPr>
        <w:t xml:space="preserve">I segnali che pesa.</w:t>
      </w:r>
      <w:r>
        <w:t xml:space="preserve"> </w:t>
      </w:r>
      <w:r>
        <w:t xml:space="preserve">Respiro alto e corto a riposo. Spalle alte. Trattiene il fiato mentre racconta.</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w:t>
      </w:r>
      <w:r>
        <w:t xml:space="preserve">che l’uso accessorio di scaleni e sternocleidomastoideo per respirare alimenti il rubinetto. Sull’unica leva respiratoria testata su questa condizione il dato esiste ed è</w:t>
      </w:r>
      <w:r>
        <w:t xml:space="preserve"> </w:t>
      </w:r>
      <w:r>
        <w:rPr>
          <w:b/>
          <w:bCs/>
        </w:rPr>
        <w:t xml:space="preserve">negativo</w:t>
      </w:r>
      <w:r>
        <w:t xml:space="preserve">: biofeedback della variabilità cardiaca per otto settimane, 52 randomizzati, nessuna differenza sull’esito primario (Minen,</w:t>
      </w:r>
      <w:r>
        <w:t xml:space="preserve"> </w:t>
      </w:r>
      <w:r>
        <w:rPr>
          <w:i/>
          <w:iCs/>
        </w:rPr>
        <w:t xml:space="preserve">Gen Hosp Psychiatry</w:t>
      </w:r>
      <w:r>
        <w:t xml:space="preserve"> </w:t>
      </w:r>
      <w:r>
        <w:t xml:space="preserve">2021, PMID 33516964). È il motivo per cui «Cosa può fare il paziente da solo» non apre uno strumento respiratorio.</w:t>
      </w:r>
    </w:p>
    <w:p>
      <w:pPr>
        <w:pStyle w:val="FirstParagraph"/>
      </w:pPr>
      <w:r>
        <w:rPr>
          <w:b/>
          <w:bCs/>
        </w:rPr>
        <w:t xml:space="preserve">Le tre cose da ricordare, più una</w:t>
      </w:r>
    </w:p>
    <w:p>
      <w:pPr>
        <w:pStyle w:val="Compact"/>
        <w:numPr>
          <w:ilvl w:val="0"/>
          <w:numId w:val="1015"/>
        </w:numPr>
      </w:pPr>
      <w:r>
        <w:t xml:space="preserve">Comandano il Neurologico e il Comportamentale. Il Biomeccanico è secondario e vale su un sottotipo che è il 4,1 per cento.</w:t>
      </w:r>
    </w:p>
    <w:p>
      <w:pPr>
        <w:pStyle w:val="Compact"/>
        <w:numPr>
          <w:ilvl w:val="0"/>
          <w:numId w:val="1015"/>
        </w:numPr>
      </w:pPr>
      <w:r>
        <w:t xml:space="preserve">La leva con l’effetto misurato più alto su questa condizione è comportamentale, e non è nostra: si nomina e si rinvia.</w:t>
      </w:r>
    </w:p>
    <w:p>
      <w:pPr>
        <w:pStyle w:val="Compact"/>
        <w:numPr>
          <w:ilvl w:val="0"/>
          <w:numId w:val="1015"/>
        </w:numPr>
      </w:pPr>
      <w:r>
        <w:t xml:space="preserve">Il Respiratorio-Circolatorio si osserva e non governa niente: dove è stato testato, il dato è negativo.</w:t>
      </w:r>
    </w:p>
    <w:p>
      <w:pPr>
        <w:pStyle w:val="Compact"/>
        <w:numPr>
          <w:ilvl w:val="0"/>
          <w:numId w:val="1015"/>
        </w:numPr>
      </w:pPr>
      <w:r>
        <w:rPr>
          <w:b/>
          <w:bCs/>
        </w:rPr>
        <w:t xml:space="preserve">Perché ci sei tu.</w:t>
      </w:r>
      <w:r>
        <w:t xml:space="preserve"> </w:t>
      </w:r>
      <w:r>
        <w:t xml:space="preserve">Su venti studi randomizzati, dopo trattamento manuale osteopatico la depressione scende, ansia e stress non si muovono, e la conduttanza cutanea sale, con stime imprecise (Gordon,</w:t>
      </w:r>
      <w:r>
        <w:t xml:space="preserve"> </w:t>
      </w:r>
      <w:r>
        <w:rPr>
          <w:i/>
          <w:iCs/>
        </w:rPr>
        <w:t xml:space="preserve">BMJ Open</w:t>
      </w:r>
      <w:r>
        <w:t xml:space="preserve"> </w:t>
      </w:r>
      <w:r>
        <w:t xml:space="preserve">2025, PMID 39920074). Ti autorizza a curare il contesto — tempo, ritmo, spiegazione — come parte del trattamento. Non ti autorizza a dire che gli rilassi il sistema nervoso: il segno misurato descrive un’altra via.</w:t>
      </w:r>
    </w:p>
    <w:p>
      <w:r>
        <w:pict>
          <v:rect style="width:0;height:1.5pt" o:hralign="center" o:hrstd="t" o:hr="t"/>
        </w:pict>
      </w:r>
    </w:p>
    <w:bookmarkEnd w:id="40"/>
    <w:bookmarkEnd w:id="41"/>
    <w:bookmarkStart w:id="4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cerchi quale piano sta consumando più capacità di adattamento, e su questa condizione il primo candidato non è un muscolo: è un calendario.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il capitolo è cornice clinica interna: metodo di indagine, mai prova.</w:t>
      </w:r>
    </w:p>
    <w:bookmarkStart w:id="42" w:name="la-punta-e-il-sommerso"/>
    <w:p>
      <w:pPr>
        <w:pStyle w:val="Heading3"/>
      </w:pPr>
      <w:r>
        <w:t xml:space="preserve">La punta e il sommerso</w:t>
      </w:r>
    </w:p>
    <w:p>
      <w:pPr>
        <w:pStyle w:val="FirstParagraph"/>
      </w:pPr>
      <w:r>
        <w:t xml:space="preserve">Il paziente porta la punta:</w:t>
      </w:r>
      <w:r>
        <w:t xml:space="preserve"> </w:t>
      </w:r>
      <w:r>
        <w:rPr>
          <w:i/>
          <w:iCs/>
        </w:rPr>
        <w:t xml:space="preserve">“mi fa male la testa”</w:t>
      </w:r>
      <w:r>
        <w:t xml:space="preserve">. La punta è quasi sempre la stessa. Il sommerso cambia da persona a persona, e cambia cosa fai.</w:t>
      </w:r>
    </w:p>
    <w:p>
      <w:pPr>
        <w:pStyle w:val="BodyText"/>
      </w:pPr>
      <w:r>
        <w:rPr>
          <w:b/>
          <w:bCs/>
        </w:rPr>
        <w:t xml:space="preserve">Paziente A — la commerciale di 46 anni.</w:t>
      </w:r>
      <w:r>
        <w:t xml:space="preserve"> </w:t>
      </w:r>
      <w:r>
        <w:t xml:space="preserve">Morsa bilaterale quasi tutti i giorni, comincia alle cinque. Prende qualcosa</w:t>
      </w:r>
      <w:r>
        <w:t xml:space="preserve"> </w:t>
      </w:r>
      <w:r>
        <w:rPr>
          <w:b/>
          <w:bCs/>
        </w:rPr>
        <w:t xml:space="preserve">per la testa</w:t>
      </w:r>
      <w:r>
        <w:t xml:space="preserve"> </w:t>
      </w:r>
      <w:r>
        <w:t xml:space="preserve">— associazioni con caffeina — dodici giorni al mese. Palpazione diffusamente dolente, nessuna lateralità, flessione-rotazione simmetrica,</w:t>
      </w:r>
      <w:r>
        <w:t xml:space="preserve"> </w:t>
      </w:r>
      <w:r>
        <w:rPr>
          <w:b/>
          <w:bCs/>
        </w:rPr>
        <w:t xml:space="preserve">e dolorabilità anche all’avambraccio, come in C</w:t>
      </w:r>
      <w:r>
        <w:t xml:space="preserve">.</w:t>
      </w:r>
      <w:r>
        <w:t xml:space="preserve"> </w:t>
      </w:r>
      <w:r>
        <w:rPr>
          <w:b/>
          <w:bCs/>
        </w:rPr>
        <w:t xml:space="preserve">Dominante: il farmaco.</w:t>
      </w:r>
      <w:r>
        <w:t xml:space="preserve"> </w:t>
      </w:r>
      <w:r>
        <w:t xml:space="preserve">Conti i giorni con lei su un calendario, lo scrivi in cartella, mandi quel numero al curante. Nel frattempo</w:t>
      </w:r>
      <w:r>
        <w:t xml:space="preserve"> </w:t>
      </w:r>
      <w:r>
        <w:rPr>
          <w:b/>
          <w:bCs/>
        </w:rPr>
        <w:t xml:space="preserve">lavori</w:t>
      </w:r>
      <w:r>
        <w:t xml:space="preserve">, sul carico miofasciale pericranico e cervicale, con marker i</w:t>
      </w:r>
      <w:r>
        <w:t xml:space="preserve"> </w:t>
      </w:r>
      <w:r>
        <w:rPr>
          <w:b/>
          <w:bCs/>
        </w:rPr>
        <w:t xml:space="preserve">giorni con farmaco a quattro settimane</w:t>
      </w:r>
      <w:r>
        <w:t xml:space="preserve">. Non è una paziente che mandi via: è una in cui il primo atto tecnico è un conteggio. Il pattern le assegnerebbe il rubinetto; il suo dominante è il calendario, e vince il dominante.</w:t>
      </w:r>
      <w:r>
        <w:t xml:space="preserve"> </w:t>
      </w:r>
      <w:r>
        <w:rPr>
          <w:b/>
          <w:bCs/>
        </w:rPr>
        <w:t xml:space="preserve">Perché non è C.</w:t>
      </w:r>
      <w:r>
        <w:t xml:space="preserve"> </w:t>
      </w:r>
      <w:r>
        <w:t xml:space="preserve">La soglia lontana c’è, ma qui la tiene bassa il farmaco, e si normalizza in mesi. Con il calendario pieno il marker resta il conteggio. Se il calendario fosse vuoto, A sarebbe C.</w:t>
      </w:r>
    </w:p>
    <w:p>
      <w:pPr>
        <w:pStyle w:val="BodyText"/>
      </w:pPr>
      <w:r>
        <w:rPr>
          <w:b/>
          <w:bCs/>
        </w:rPr>
        <w:t xml:space="preserve">Paziente B — l’impiegato di 34 anni.</w:t>
      </w:r>
      <w:r>
        <w:t xml:space="preserve"> </w:t>
      </w:r>
      <w:r>
        <w:t xml:space="preserve">Dolore sempre a destra, dalla nuca alla tempia, peggiora con la testa girata a destra in riunione. Flessione-rotazione 28 gradi a destra e 42 a sinistra, disfunzione articolare su C1-C2 a destra, flessori profondi che cedono. Prende un antidolorifico tre giorni al mese, nessuna dolorabilità fuori dalla testa.</w:t>
      </w:r>
      <w:r>
        <w:t xml:space="preserve"> </w:t>
      </w:r>
      <w:r>
        <w:rPr>
          <w:b/>
          <w:bCs/>
        </w:rPr>
        <w:t xml:space="preserve">Dominante: la meccanica cervicale alta.</w:t>
      </w:r>
      <w:r>
        <w:t xml:space="preserve"> </w:t>
      </w:r>
      <w:r>
        <w:t xml:space="preserve">È il quadro in cui la tua mano vale di più. Ed è anche quello in cui l’esercizio dei flessori profondi vale quanto la mano. Marker: i gradi per l’effetto immediato;</w:t>
      </w:r>
      <w:r>
        <w:t xml:space="preserve"> </w:t>
      </w:r>
      <w:r>
        <w:rPr>
          <w:b/>
          <w:bCs/>
        </w:rPr>
        <w:t xml:space="preserve">i giorni di cefalea a quattro settimane</w:t>
      </w:r>
      <w:r>
        <w:t xml:space="preserve"> </w:t>
      </w:r>
      <w:r>
        <w:t xml:space="preserve">per il risultato, perché il piano del farmaco e quello della soglia lontana sono entrambi vuoti e non hanno margine.</w:t>
      </w:r>
    </w:p>
    <w:p>
      <w:pPr>
        <w:pStyle w:val="BodyText"/>
      </w:pPr>
      <w:r>
        <w:rPr>
          <w:b/>
          <w:bCs/>
        </w:rPr>
        <w:t xml:space="preserve">Paziente C — la donna di 39 anni, sei mesi dopo un lutto.</w:t>
      </w:r>
      <w:r>
        <w:t xml:space="preserve"> </w:t>
      </w:r>
      <w:r>
        <w:t xml:space="preserve">Mal di testa quasi quotidiano comparso in quel periodo. Dolorabilità anche all’avambraccio e al polpaccio. I tessuti si contraggono prima che tu abbia premuto, e respira alto mentre parla.</w:t>
      </w:r>
      <w:r>
        <w:t xml:space="preserve"> </w:t>
      </w:r>
      <w:r>
        <w:rPr>
          <w:b/>
          <w:bCs/>
        </w:rPr>
        <w:t xml:space="preserve">Dominante: il livello di attivazione.</w:t>
      </w:r>
      <w:r>
        <w:t xml:space="preserve"> </w:t>
      </w:r>
      <w:r>
        <w:t xml:space="preserve">Su un sistema in allarme il lavoro</w:t>
      </w:r>
      <w:r>
        <w:t xml:space="preserve"> </w:t>
      </w:r>
      <w:r>
        <w:rPr>
          <w:b/>
          <w:bCs/>
        </w:rPr>
        <w:t xml:space="preserve">locale</w:t>
      </w:r>
      <w:r>
        <w:t xml:space="preserve"> </w:t>
      </w:r>
      <w:r>
        <w:t xml:space="preserve">rende meno, e la leva è l’attivazione: contatto lento, ritmo del respiro, tempo dedicato. È lavoro manuale a tutti gli effetti, mirato altrove, con l’etichetta che porta in «Perché le mani possono cambiare qualcosa» — IPOTESI sulla direzione. È la paziente in cui hai</w:t>
      </w:r>
      <w:r>
        <w:t xml:space="preserve"> </w:t>
      </w:r>
      <w:r>
        <w:rPr>
          <w:b/>
          <w:bCs/>
        </w:rPr>
        <w:t xml:space="preserve">più</w:t>
      </w:r>
      <w:r>
        <w:t xml:space="preserve"> </w:t>
      </w:r>
      <w:r>
        <w:t xml:space="preserve">da fare, non meno. Il marker non è il tessuto: è la soglia dolorosa lontana dalla testa, e solo se il piano del farmaco è chiuso.</w:t>
      </w:r>
    </w:p>
    <w:bookmarkEnd w:id="42"/>
    <w:bookmarkStart w:id="43" w:name="perché-si-indaga-da-monte"/>
    <w:p>
      <w:pPr>
        <w:pStyle w:val="Heading3"/>
      </w:pPr>
      <w:r>
        <w:t xml:space="preserve">Perché si indaga da monte</w:t>
      </w:r>
    </w:p>
    <w:p>
      <w:pPr>
        <w:pStyle w:val="FirstParagraph"/>
      </w:pPr>
      <w:r>
        <w:t xml:space="preserve">«A monte» non è una coordinata anatomica. Vuol dire più a monte</w:t>
      </w:r>
      <w:r>
        <w:t xml:space="preserve"> </w:t>
      </w:r>
      <w:r>
        <w:rPr>
          <w:b/>
          <w:bCs/>
        </w:rPr>
        <w:t xml:space="preserve">sul piano funzionale</w:t>
      </w:r>
      <w:r>
        <w:t xml:space="preserve">, cioè il piano che, se resta com’è, rende instabile qualunque guadagno ottenuto sotto di lui: ridipingi la parete, e l’infiltrazione dal tetto continua.</w:t>
      </w:r>
    </w:p>
    <w:p>
      <w:pPr>
        <w:pStyle w:val="BodyText"/>
      </w:pPr>
      <w:r>
        <w:rPr>
          <w:b/>
          <w:bCs/>
        </w:rPr>
        <w:t xml:space="preserve">Ogni gradino ha la sua ragione, ed è di questa condizione.</w:t>
      </w:r>
    </w:p>
    <w:p>
      <w:pPr>
        <w:pStyle w:val="Compact"/>
        <w:numPr>
          <w:ilvl w:val="0"/>
          <w:numId w:val="1016"/>
        </w:numPr>
      </w:pPr>
      <w:r>
        <w:rPr>
          <w:b/>
          <w:bCs/>
        </w:rPr>
        <w:t xml:space="preserve">L’uso di analgesici</w:t>
      </w:r>
      <w:r>
        <w:t xml:space="preserve">, e il primo posto sorprende: finché quel piano resta aperto, il quadro si ricostruisce da solo in pochi giorni, qualunque cosa tu abbia fatto con le mani.</w:t>
      </w:r>
    </w:p>
    <w:p>
      <w:pPr>
        <w:pStyle w:val="Compact"/>
        <w:numPr>
          <w:ilvl w:val="0"/>
          <w:numId w:val="1016"/>
        </w:numPr>
      </w:pPr>
      <w:r>
        <w:rPr>
          <w:b/>
          <w:bCs/>
        </w:rPr>
        <w:t xml:space="preserve">L’attivazione</w:t>
      </w:r>
      <w:r>
        <w:t xml:space="preserve">, perché regola il guadagno del relè, cioè decide quanto di tutto il resto diventa dolore.</w:t>
      </w:r>
    </w:p>
    <w:p>
      <w:pPr>
        <w:pStyle w:val="Compact"/>
        <w:numPr>
          <w:ilvl w:val="0"/>
          <w:numId w:val="1016"/>
        </w:numPr>
      </w:pPr>
      <w:r>
        <w:rPr>
          <w:b/>
          <w:bCs/>
        </w:rPr>
        <w:t xml:space="preserve">La cerniera cranio-cervicale</w:t>
      </w:r>
      <w:r>
        <w:t xml:space="preserve">, perché è il solo piano con un cluster di test e un randomizzato a dodici mesi.</w:t>
      </w:r>
    </w:p>
    <w:p>
      <w:pPr>
        <w:pStyle w:val="Compact"/>
        <w:numPr>
          <w:ilvl w:val="0"/>
          <w:numId w:val="1016"/>
        </w:numPr>
      </w:pPr>
      <w:r>
        <w:rPr>
          <w:b/>
          <w:bCs/>
        </w:rPr>
        <w:t xml:space="preserve">Il carico pericranico e mandibolare</w:t>
      </w:r>
      <w:r>
        <w:t xml:space="preserve">, perché alimenta il centralino ma non lo regola.</w:t>
      </w:r>
    </w:p>
    <w:p>
      <w:pPr>
        <w:pStyle w:val="Compact"/>
        <w:numPr>
          <w:ilvl w:val="0"/>
          <w:numId w:val="1016"/>
        </w:numPr>
      </w:pPr>
      <w:r>
        <w:rPr>
          <w:b/>
          <w:bCs/>
        </w:rPr>
        <w:t xml:space="preserve">Respiro, sonno e giornata</w:t>
      </w:r>
      <w:r>
        <w:t xml:space="preserve">, ultimi perché nessuno di loro ha una leva manuale qui: sono modificatori, si valutano, si nominano, si rinviano.</w:t>
      </w:r>
    </w:p>
    <w:p>
      <w:pPr>
        <w:pStyle w:val="FirstParagraph"/>
      </w:pPr>
      <w:r>
        <w:rPr>
          <w:b/>
          <w:bCs/>
        </w:rPr>
        <w:t xml:space="preserve">La gerarchia ordina l’indagine, non la forza delle leve.</w:t>
      </w:r>
      <w:r>
        <w:t xml:space="preserve"> </w:t>
      </w:r>
      <w:r>
        <w:t xml:space="preserve">L’intervento con le prove migliori — l’informazione sull’uso di farmaci, l’esercizio, il training comportamentale — non è il tuo gesto manuale.</w:t>
      </w:r>
    </w:p>
    <w:p>
      <w:pPr>
        <w:pStyle w:val="BodyText"/>
      </w:pPr>
      <w:r>
        <w:rPr>
          <w:b/>
          <w:bCs/>
        </w:rPr>
        <w:t xml:space="preserve">Una regola del metodo qui si toglie, e va detto chiaramente.</w:t>
      </w:r>
      <w:r>
        <w:t xml:space="preserve"> </w:t>
      </w:r>
      <w:r>
        <w:rPr>
          <w:i/>
          <w:iCs/>
        </w:rPr>
        <w:t xml:space="preserve">Non trattare il punto in cui il paziente sente male</w:t>
      </w:r>
      <w:r>
        <w:t xml:space="preserve"> </w:t>
      </w:r>
      <w:r>
        <w:rPr>
          <w:b/>
          <w:bCs/>
        </w:rPr>
        <w:t xml:space="preserve">non si applica su questa condizione</w:t>
      </w:r>
      <w:r>
        <w:t xml:space="preserve">, e non si attenua: si rimuove. Il motivo è un fatto misurato. Gli interventi con le prove migliori — il cluster cervicale alto, l’esercizio dei flessori profondi, il lavoro sui tessuti pericranici — si applicano</w:t>
      </w:r>
      <w:r>
        <w:t xml:space="preserve"> </w:t>
      </w:r>
      <w:r>
        <w:rPr>
          <w:b/>
          <w:bCs/>
        </w:rPr>
        <w:t xml:space="preserve">proprio dove il paziente sente</w:t>
      </w:r>
      <w:r>
        <w:t xml:space="preserve">. Una regola che vietasse quella regione vieterebbe proprio gli interventi che hanno le prove migliori. Quello che sopravvive non è una versione più morbida della stessa regola: è un principio diverso, si chiama</w:t>
      </w:r>
      <w:r>
        <w:t xml:space="preserve"> </w:t>
      </w:r>
      <w:r>
        <w:rPr>
          <w:b/>
          <w:bCs/>
        </w:rPr>
        <w:t xml:space="preserve">verifica su un piano che non hai trattato</w:t>
      </w:r>
      <w:r>
        <w:t xml:space="preserve">, ed è descritto qui sotto.</w:t>
      </w:r>
    </w:p>
    <w:bookmarkEnd w:id="43"/>
    <w:bookmarkStart w:id="44" w:name="la-prova-della-chiave-di-volta"/>
    <w:p>
      <w:pPr>
        <w:pStyle w:val="Heading3"/>
      </w:pPr>
      <w:r>
        <w:t xml:space="preserve">La prova della chiave di volta</w:t>
      </w:r>
    </w:p>
    <w:p>
      <w:pPr>
        <w:pStyle w:val="BlockText"/>
      </w:pPr>
      <w:r>
        <w:rPr>
          <w:b/>
          <w:bCs/>
        </w:rPr>
        <w:t xml:space="preserve">Definizione.</w:t>
      </w:r>
      <w:r>
        <w:t xml:space="preserve"> </w:t>
      </w:r>
      <w:r>
        <w:t xml:space="preserve">La</w:t>
      </w:r>
      <w:r>
        <w:t xml:space="preserve"> </w:t>
      </w:r>
      <w:r>
        <w:rPr>
          <w:b/>
          <w:bCs/>
        </w:rPr>
        <w:t xml:space="preserve">prova della chiave di volta</w:t>
      </w:r>
      <w:r>
        <w:t xml:space="preserve"> </w:t>
      </w:r>
      <w:r>
        <w:t xml:space="preserve">è il controllo che ti dice se il piano che hai trattato era davvero quello che comandava. Si misura</w:t>
      </w:r>
      <w:r>
        <w:t xml:space="preserve"> </w:t>
      </w:r>
      <w:r>
        <w:rPr>
          <w:b/>
          <w:bCs/>
        </w:rPr>
        <w:t xml:space="preserve">un altro piano</w:t>
      </w:r>
      <w:r>
        <w:t xml:space="preserve">, che tu non hai toccato, e si guarda se si è mosso. Il segno che misuri si chiama</w:t>
      </w:r>
      <w:r>
        <w:t xml:space="preserve"> </w:t>
      </w:r>
      <w:r>
        <w:rPr>
          <w:b/>
          <w:bCs/>
        </w:rPr>
        <w:t xml:space="preserve">marker</w:t>
      </w:r>
      <w:r>
        <w:t xml:space="preserv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Misurabile in meno di un minuto, con lo stesso metodo prima e dopo. Scelto prima di trattare.</w:t>
      </w:r>
      <w:r>
        <w:t xml:space="preserve"> </w:t>
      </w:r>
      <w:r>
        <w:rPr>
          <w:b/>
          <w:bCs/>
        </w:rPr>
        <w:t xml:space="preserve">Su un piano che non hai trattato.</w:t>
      </w:r>
      <w:r>
        <w:t xml:space="preserve"> </w:t>
      </w:r>
      <w:r>
        <w:t xml:space="preserve">Con una soglia dichiarata. Le misure si dividono in due famiglie, e confonderle è l’errore più comune.</w:t>
      </w:r>
    </w:p>
    <w:p>
      <w:pPr>
        <w:pStyle w:val="BodyText"/>
      </w:pPr>
      <w:r>
        <w:rPr>
          <w:b/>
          <w:bCs/>
        </w:rPr>
        <w:t xml:space="preserve">I marker di questa condizione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Misura</w:t>
            </w:r>
          </w:p>
        </w:tc>
        <w:tc>
          <w:tcPr/>
          <w:p>
            <w:pPr>
              <w:pStyle w:val="Compact"/>
            </w:pPr>
            <w:r>
              <w:t xml:space="preserve">Come si misura</w:t>
            </w:r>
          </w:p>
        </w:tc>
        <w:tc>
          <w:tcPr/>
          <w:p>
            <w:pPr>
              <w:pStyle w:val="Compact"/>
            </w:pPr>
            <w:r>
              <w:t xml:space="preserve">Soglia che conta</w:t>
            </w:r>
          </w:p>
        </w:tc>
      </w:tr>
      <w:tr>
        <w:tc>
          <w:tcPr/>
          <w:p>
            <w:pPr>
              <w:pStyle w:val="Compact"/>
            </w:pPr>
            <w:r>
              <w:t xml:space="preserve">Riferimento in testa a C1-C3</w:t>
            </w:r>
          </w:p>
        </w:tc>
        <w:tc>
          <w:tcPr/>
          <w:p>
            <w:pPr>
              <w:pStyle w:val="Compact"/>
            </w:pPr>
            <w:r>
              <w:t xml:space="preserve">Pressione sostenuta 4 secondi</w:t>
            </w:r>
          </w:p>
        </w:tc>
        <w:tc>
          <w:tcPr/>
          <w:p>
            <w:pPr>
              <w:pStyle w:val="Compact"/>
            </w:pPr>
            <w:r>
              <w:t xml:space="preserve">Cambio di categoria</w:t>
            </w:r>
          </w:p>
        </w:tc>
      </w:tr>
      <w:tr>
        <w:tc>
          <w:tcPr/>
          <w:p>
            <w:pPr>
              <w:pStyle w:val="Compact"/>
            </w:pPr>
            <w:r>
              <w:t xml:space="preserve">Flessione-rotazione</w:t>
            </w:r>
          </w:p>
        </w:tc>
        <w:tc>
          <w:tcPr/>
          <w:p>
            <w:pPr>
              <w:pStyle w:val="Compact"/>
            </w:pPr>
            <w:r>
              <w:t xml:space="preserve">Gradi, seduto, capo flesso</w:t>
            </w:r>
          </w:p>
        </w:tc>
        <w:tc>
          <w:tcPr/>
          <w:p>
            <w:pPr>
              <w:pStyle w:val="Compact"/>
            </w:pPr>
            <w:r>
              <w:t xml:space="preserve">Almeno 10 gradi</w:t>
            </w:r>
          </w:p>
        </w:tc>
      </w:tr>
      <w:tr>
        <w:tc>
          <w:tcPr/>
          <w:p>
            <w:pPr>
              <w:pStyle w:val="Compact"/>
            </w:pPr>
            <w:r>
              <w:t xml:space="preserve">Soglia dolorosa extra-cefalica</w:t>
            </w:r>
          </w:p>
        </w:tc>
        <w:tc>
          <w:tcPr/>
          <w:p>
            <w:pPr>
              <w:pStyle w:val="Compact"/>
            </w:pPr>
            <w:r>
              <w:t xml:space="preserve">Algometro, tibiale anteriore</w:t>
            </w:r>
          </w:p>
        </w:tc>
        <w:tc>
          <w:tcPr/>
          <w:p>
            <w:pPr>
              <w:pStyle w:val="Compact"/>
            </w:pPr>
            <w:r>
              <w:t xml:space="preserve">Più 20 per cento</w:t>
            </w:r>
          </w:p>
        </w:tc>
      </w:tr>
      <w:tr>
        <w:tc>
          <w:tcPr/>
          <w:p>
            <w:pPr>
              <w:pStyle w:val="Compact"/>
            </w:pPr>
            <w:r>
              <w:t xml:space="preserve">Giorni con farmaco per la testa</w:t>
            </w:r>
          </w:p>
        </w:tc>
        <w:tc>
          <w:tcPr/>
          <w:p>
            <w:pPr>
              <w:pStyle w:val="Compact"/>
            </w:pPr>
            <w:r>
              <w:t xml:space="preserve">Calendario, quattro settimane</w:t>
            </w:r>
          </w:p>
        </w:tc>
        <w:tc>
          <w:tcPr/>
          <w:p>
            <w:pPr>
              <w:pStyle w:val="Compact"/>
            </w:pPr>
            <w:r>
              <w:t xml:space="preserve">Almeno 2 in meno</w:t>
            </w:r>
          </w:p>
        </w:tc>
      </w:tr>
      <w:tr>
        <w:tc>
          <w:tcPr/>
          <w:p>
            <w:pPr>
              <w:pStyle w:val="Compact"/>
            </w:pPr>
            <w:r>
              <w:t xml:space="preserve">Giorni di cefalea</w:t>
            </w:r>
          </w:p>
        </w:tc>
        <w:tc>
          <w:tcPr/>
          <w:p>
            <w:pPr>
              <w:pStyle w:val="Compact"/>
            </w:pPr>
            <w:r>
              <w:t xml:space="preserve">Calendario, quattro settimane</w:t>
            </w:r>
          </w:p>
        </w:tc>
        <w:tc>
          <w:tcPr/>
          <w:p>
            <w:pPr>
              <w:pStyle w:val="Compact"/>
            </w:pPr>
            <w:r>
              <w:t xml:space="preserve">Almeno 2 in meno</w:t>
            </w:r>
          </w:p>
        </w:tc>
      </w:tr>
    </w:tbl>
    <w:p>
      <w:pPr>
        <w:pStyle w:val="BodyText"/>
      </w:pPr>
      <w:r>
        <w:t xml:space="preserve">Le prime due sono</w:t>
      </w:r>
      <w:r>
        <w:t xml:space="preserve"> </w:t>
      </w:r>
      <w:r>
        <w:rPr>
          <w:b/>
          <w:bCs/>
        </w:rPr>
        <w:t xml:space="preserve">misure di effetto immediato del gesto</w:t>
      </w:r>
      <w:r>
        <w:t xml:space="preserve">: stanno sul piano che tratti, e dicono che il tessuto si è mosso, non che quel piano comandava. Le ultime tre stanno su piani non trattati, e reggono la prova della chiave di volta.</w:t>
      </w:r>
    </w:p>
    <w:p>
      <w:pPr>
        <w:pStyle w:val="BodyText"/>
      </w:pPr>
      <w:r>
        <w:rPr>
          <w:b/>
          <w:bCs/>
        </w:rPr>
        <w:t xml:space="preserve">La regola di scelta, con la sua eccezione.</w:t>
      </w:r>
    </w:p>
    <w:p>
      <w:pPr>
        <w:pStyle w:val="Compact"/>
        <w:numPr>
          <w:ilvl w:val="0"/>
          <w:numId w:val="1017"/>
        </w:numPr>
      </w:pPr>
      <w:r>
        <w:rPr>
          <w:b/>
          <w:bCs/>
        </w:rPr>
        <w:t xml:space="preserve">Con il piano del farmaco positivo alla Road Map</w:t>
      </w:r>
      <w:r>
        <w:t xml:space="preserve">, il marker è il</w:t>
      </w:r>
      <w:r>
        <w:t xml:space="preserve"> </w:t>
      </w:r>
      <w:r>
        <w:rPr>
          <w:b/>
          <w:bCs/>
        </w:rPr>
        <w:t xml:space="preserve">conteggio dei giorni</w:t>
      </w:r>
      <w:r>
        <w:t xml:space="preserve">. Vale anche in presenza di dolorabilità diffusa fuori dalla testa: quella soglia lontana è tenuta bassa dal farmaco, non dal tuo piano, e si normalizza in mesi dopo la sospensione, non in settimane sotto le tue mani (PMID 23431023).</w:t>
      </w:r>
    </w:p>
    <w:p>
      <w:pPr>
        <w:pStyle w:val="Compact"/>
        <w:numPr>
          <w:ilvl w:val="0"/>
          <w:numId w:val="1017"/>
        </w:numPr>
      </w:pPr>
      <w:r>
        <w:rPr>
          <w:b/>
          <w:bCs/>
        </w:rPr>
        <w:t xml:space="preserve">Altrimenti, con dolorabilità diffusa fuori dalla testa</w:t>
      </w:r>
      <w:r>
        <w:t xml:space="preserve">, usi la</w:t>
      </w:r>
      <w:r>
        <w:t xml:space="preserve"> </w:t>
      </w:r>
      <w:r>
        <w:rPr>
          <w:b/>
          <w:bCs/>
        </w:rPr>
        <w:t xml:space="preserve">soglia extra-cefalica</w:t>
      </w:r>
      <w:r>
        <w:t xml:space="preserve">.</w:t>
      </w:r>
    </w:p>
    <w:p>
      <w:pPr>
        <w:pStyle w:val="Compact"/>
        <w:numPr>
          <w:ilvl w:val="0"/>
          <w:numId w:val="1017"/>
        </w:numPr>
      </w:pPr>
      <w:r>
        <w:rPr>
          <w:b/>
          <w:bCs/>
        </w:rPr>
        <w:t xml:space="preserve">Senza quella</w:t>
      </w:r>
      <w:r>
        <w:t xml:space="preserve">, usi il</w:t>
      </w:r>
      <w:r>
        <w:t xml:space="preserve"> </w:t>
      </w:r>
      <w:r>
        <w:rPr>
          <w:b/>
          <w:bCs/>
        </w:rPr>
        <w:t xml:space="preserve">conteggio dei giorni di cefalea</w:t>
      </w:r>
      <w:r>
        <w:t xml:space="preserve">. Nel paziente episodico la soglia lontana parte normale e non ha margine per salire: chiedergliela produce rumore.</w:t>
      </w:r>
    </w:p>
    <w:p>
      <w:pPr>
        <w:pStyle w:val="FirstParagraph"/>
      </w:pPr>
      <w:r>
        <w:rPr>
          <w:b/>
          <w:bCs/>
        </w:rPr>
        <w:t xml:space="preserve">Se l’algometro non è in stanza</w:t>
      </w:r>
      <w:r>
        <w:t xml:space="preserve">, il ripiego è la tolleranza alla pressione in un sito fisso lontano dalla testa, stessa presa e stessa forza, registrata da 0 a 10.</w:t>
      </w:r>
    </w:p>
    <w:p>
      <w:pPr>
        <w:pStyle w:val="BodyText"/>
      </w:pPr>
      <w:r>
        <w:rPr>
          <w:b/>
          <w:bCs/>
        </w:rPr>
        <w:t xml:space="preserve">E se vuoi una misura con una soglia vera al posto di quel ripiego</w:t>
      </w:r>
      <w:r>
        <w:t xml:space="preserve">, c’è il Central Sensitization Inventory. A</w:t>
      </w:r>
      <w:r>
        <w:t xml:space="preserve"> </w:t>
      </w:r>
      <w:r>
        <w:rPr>
          <w:b/>
          <w:bCs/>
        </w:rPr>
        <w:t xml:space="preserve">40 punti su 100</w:t>
      </w:r>
      <w:r>
        <w:t xml:space="preserve"> </w:t>
      </w:r>
      <w:r>
        <w:t xml:space="preserve">ha identificato le sindromi da sensibilità centrale con sensibilità dell’81 per cento e specificità del 75, area sotto la curva 0,86 (Neblett,</w:t>
      </w:r>
      <w:r>
        <w:t xml:space="preserve"> </w:t>
      </w:r>
      <w:r>
        <w:rPr>
          <w:i/>
          <w:iCs/>
        </w:rPr>
        <w:t xml:space="preserve">J Pain</w:t>
      </w:r>
      <w:r>
        <w:t xml:space="preserve"> </w:t>
      </w:r>
      <w:r>
        <w:t xml:space="preserve">2013, PMID 23490634).</w:t>
      </w:r>
      <w:r>
        <w:t xml:space="preserve"> </w:t>
      </w:r>
      <w:r>
        <w:rPr>
          <w:b/>
          <w:bCs/>
        </w:rPr>
        <w:t xml:space="preserve">Validato su dolore cronico ambulatoriale, non su pazienti con cefalea:</w:t>
      </w:r>
      <w:r>
        <w:t xml:space="preserve"> </w:t>
      </w:r>
      <w:r>
        <w:t xml:space="preserve">orienta sull’asse nociplastico, non lo misura in questa popolazione. Ed è una</w:t>
      </w:r>
      <w:r>
        <w:t xml:space="preserve"> </w:t>
      </w:r>
      <w:r>
        <w:rPr>
          <w:b/>
          <w:bCs/>
        </w:rPr>
        <w:t xml:space="preserve">misura di stato a settimane, non un marker di seduta</w:t>
      </w:r>
      <w:r>
        <w:t xml:space="preserve"> </w:t>
      </w:r>
      <w:r>
        <w:t xml:space="preserve">— per questo non entra nella tabella qui sopra e non sostituisce la soglia algometrica.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per la regola di scelta. Le soglie «almeno 10 gradi», «più 20 per cento» e «almeno 2 giorni in meno» sono</w:t>
      </w:r>
      <w:r>
        <w:t xml:space="preserve"> </w:t>
      </w:r>
      <w:r>
        <w:rPr>
          <w:b/>
          <w:bCs/>
        </w:rPr>
        <w:t xml:space="preserve">convenzioni interne di questo studio</w:t>
      </w:r>
      <w:r>
        <w:t xml:space="preserve">, non numeri di letteratura. Con un’eccezione: i dieci gradi hanno una fonte, e sono prudenti. La differenza minima rilevabile del test di flessione-rotazione è 4,7 gradi a destra e 7 a sinistra, con affidabilità intra-operatore da 0,95 a 0,97 (Hall,</w:t>
      </w:r>
      <w:r>
        <w:t xml:space="preserve"> </w:t>
      </w:r>
      <w:r>
        <w:rPr>
          <w:i/>
          <w:iCs/>
        </w:rPr>
        <w:t xml:space="preserve">JOSPT</w:t>
      </w:r>
      <w:r>
        <w:t xml:space="preserve"> </w:t>
      </w:r>
      <w:r>
        <w:t xml:space="preserve">2010, PMID 20357415).</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Quando il marker fuori piano si muove, il piano che hai trattato diventa la tua ipotesi di lesione primaria. È una ricostruzione a posteriori, e si scrive come ipotesi, mai come fatto.</w:t>
      </w:r>
    </w:p>
    <w:p>
      <w:pPr>
        <w:pStyle w:val="FirstParagraph"/>
      </w:pPr>
      <w:r>
        <w:rPr>
          <w:b/>
          <w:bCs/>
        </w:rPr>
        <w:t xml:space="preserve">E nel verso opposto.</w:t>
      </w:r>
      <w:r>
        <w:t xml:space="preserve"> </w:t>
      </w:r>
      <w:r>
        <w:t xml:space="preserve">Se il marker fuori piano non si muove, l’ipotesi era sbagliata: torni alla Road Map e prendi il piano successivo. Un marker che non si muove è un’informazione, non un fallimento.</w:t>
      </w:r>
    </w:p>
    <w:p>
      <w:pPr>
        <w:pStyle w:val="BodyText"/>
      </w:pPr>
      <w:r>
        <w:rPr>
          <w:b/>
          <w:bCs/>
        </w:rPr>
        <w:t xml:space="preserve">Due domande che sporcano tutti i marker, e vanno fatte prima.</w:t>
      </w:r>
      <w:r>
        <w:t xml:space="preserve"> </w:t>
      </w:r>
      <w:r>
        <w:rPr>
          <w:i/>
          <w:iCs/>
        </w:rPr>
        <w:t xml:space="preserve">È stata iniziata o cambiata una profilassi negli ultimi tre mesi?</w:t>
      </w:r>
      <w:r>
        <w:t xml:space="preserve"> </w:t>
      </w:r>
      <w:r>
        <w:t xml:space="preserve">Se sì, quel farmaco muove i giorni al posto tuo, ed è un confondente più grande della storia naturale.</w:t>
      </w:r>
      <w:r>
        <w:t xml:space="preserve"> </w:t>
      </w:r>
      <w:r>
        <w:rPr>
          <w:i/>
          <w:iCs/>
        </w:rPr>
        <w:t xml:space="preserve">In che fase del ciclo cade la misura?</w:t>
      </w:r>
      <w:r>
        <w:t xml:space="preserve"> </w:t>
      </w:r>
      <w:r>
        <w:t xml:space="preserve">Si annota, sempre.</w:t>
      </w:r>
    </w:p>
    <w:p>
      <w:pPr>
        <w:pStyle w:val="BodyText"/>
      </w:pPr>
      <w:r>
        <w:rPr>
          <w:b/>
          <w:bCs/>
        </w:rPr>
        <w:t xml:space="preserve">Il test di flessione-rotazione ha due soglie diverse, e vanno tenute separate.</w:t>
      </w:r>
      <w:r>
        <w:t xml:space="preserve"> </w:t>
      </w:r>
      <w:r>
        <w:t xml:space="preserve">Come test, una restrizione sotto i</w:t>
      </w:r>
      <w:r>
        <w:t xml:space="preserve"> </w:t>
      </w:r>
      <w:r>
        <w:rPr>
          <w:b/>
          <w:bCs/>
        </w:rPr>
        <w:t xml:space="preserve">32 gradi</w:t>
      </w:r>
      <w:r>
        <w:t xml:space="preserve"> </w:t>
      </w:r>
      <w:r>
        <w:t xml:space="preserve">orienta verso la disfunzione di C1-C2. Quella soglia in gradi viene dal filone Hall &amp; Robinson (</w:t>
      </w:r>
      <w:r>
        <w:rPr>
          <w:i/>
          <w:iCs/>
        </w:rPr>
        <w:t xml:space="preserve">JMPT</w:t>
      </w:r>
      <w:r>
        <w:t xml:space="preserve"> </w:t>
      </w:r>
      <w:r>
        <w:t xml:space="preserve">2008, PMID 18486750: sensibilità 90, specificità 88). Nello studio originale, invece, il giudizio era affidato all’interpretazione del terapista, con accuratezza del 91 per cento su 58 soggetti (Ogince,</w:t>
      </w:r>
      <w:r>
        <w:t xml:space="preserve"> </w:t>
      </w:r>
      <w:r>
        <w:rPr>
          <w:i/>
          <w:iCs/>
        </w:rPr>
        <w:t xml:space="preserve">Man Ther</w:t>
      </w:r>
      <w:r>
        <w:t xml:space="preserve"> </w:t>
      </w:r>
      <w:r>
        <w:t xml:space="preserve">2007, PMID 17112768). Come marker, conta un guadagno di almeno dieci gradi.</w:t>
      </w:r>
    </w:p>
    <w:p>
      <w:pPr>
        <w:pStyle w:val="BodyText"/>
      </w:pPr>
      <w:r>
        <w:rPr>
          <w:b/>
          <w:bCs/>
        </w:rPr>
        <w:t xml:space="preserve">Per te:</w:t>
      </w:r>
      <w:r>
        <w:t xml:space="preserve"> </w:t>
      </w:r>
      <w:r>
        <w:t xml:space="preserve">a cancello superato lo esegui su ogni cefalea e ne scrivi il numero. Con un limite: i gruppi di confronto erano asintomatici ed emicranici,</w:t>
      </w:r>
      <w:r>
        <w:t xml:space="preserve"> </w:t>
      </w:r>
      <w:r>
        <w:rPr>
          <w:b/>
          <w:bCs/>
        </w:rPr>
        <w:t xml:space="preserve">nessun gruppo tensiva</w:t>
      </w:r>
      <w:r>
        <w:t xml:space="preserve">. Fuori da quei gruppi il valore predittivo è ignoto, e un numero basso orienta, non conclude.</w:t>
      </w:r>
    </w:p>
    <w:bookmarkEnd w:id="44"/>
    <w:bookmarkStart w:id="45" w:name="la-road-map"/>
    <w:p>
      <w:pPr>
        <w:pStyle w:val="Heading3"/>
      </w:pPr>
      <w:r>
        <w:t xml:space="preserve">La Road Map</w:t>
      </w:r>
    </w:p>
    <w:p>
      <w:pPr>
        <w:pStyle w:val="FirstParagraph"/>
      </w:pPr>
      <w:r>
        <w:t xml:space="preserve">Le bandiere rosse stanno</w:t>
      </w:r>
      <w:r>
        <w:t xml:space="preserve"> </w:t>
      </w:r>
      <w:r>
        <w:rPr>
          <w:b/>
          <w:bCs/>
        </w:rPr>
        <w:t xml:space="preserve">fuori</w:t>
      </w:r>
      <w:r>
        <w:t xml:space="preserve"> </w:t>
      </w:r>
      <w:r>
        <w:t xml:space="preserve">da questa lista: sono il cancello che la precede. Dentro c’è un solo metro d’ordine — quanto un piano sta sequestrando la capacità di adattamento — e ogni passo ha una condizione che dice quando fermarsi lì. I test non li scegli da zero: un consenso internazionale ne ha stabiliti undici come standard minimo davanti a una cefalea, palpazione articolare e flessione cranio-cervicale comprese (Luedtke,</w:t>
      </w:r>
      <w:r>
        <w:t xml:space="preserve"> </w:t>
      </w:r>
      <w:r>
        <w:rPr>
          <w:i/>
          <w:iCs/>
        </w:rPr>
        <w:t xml:space="preserve">Man Ther</w:t>
      </w:r>
      <w:r>
        <w:t xml:space="preserve"> </w:t>
      </w:r>
      <w:r>
        <w:t xml:space="preserve">2016, PMID 27183831).</w:t>
      </w:r>
    </w:p>
    <w:p>
      <w:pPr>
        <w:pStyle w:val="Compact"/>
        <w:numPr>
          <w:ilvl w:val="0"/>
          <w:numId w:val="1018"/>
        </w:numPr>
      </w:pPr>
      <w:r>
        <w:rPr>
          <w:b/>
          <w:bCs/>
        </w:rPr>
        <w:t xml:space="preserve">Quanti giorni al mese prende qualcosa, e per che cosa?</w:t>
      </w:r>
      <w:r>
        <w:t xml:space="preserve"> </w:t>
      </w:r>
      <w:r>
        <w:rPr>
          <w:i/>
          <w:iCs/>
        </w:rPr>
        <w:t xml:space="preserve">Positivo se:</w:t>
      </w:r>
      <w:r>
        <w:t xml:space="preserve"> </w:t>
      </w:r>
      <w:r>
        <w:t xml:space="preserve">dieci giorni o più con triptani, oppioidi o associazioni, o quindici o più con paracetamolo e FANS semplici,</w:t>
      </w:r>
      <w:r>
        <w:t xml:space="preserve"> </w:t>
      </w:r>
      <w:r>
        <w:rPr>
          <w:b/>
          <w:bCs/>
        </w:rPr>
        <w:t xml:space="preserve">assunti per il mal di testa</w:t>
      </w:r>
      <w:r>
        <w:t xml:space="preserve">. Se è positivo, comanda quello.</w:t>
      </w:r>
    </w:p>
    <w:p>
      <w:pPr>
        <w:pStyle w:val="Compact"/>
        <w:numPr>
          <w:ilvl w:val="0"/>
          <w:numId w:val="1018"/>
        </w:numPr>
      </w:pPr>
      <w:r>
        <w:rPr>
          <w:b/>
          <w:bCs/>
        </w:rPr>
        <w:t xml:space="preserve">Com’è il livello di attivazione?</w:t>
      </w:r>
      <w:r>
        <w:t xml:space="preserve"> </w:t>
      </w:r>
      <w:r>
        <w:rPr>
          <w:i/>
          <w:iCs/>
        </w:rPr>
        <w:t xml:space="preserve">Positivo se:</w:t>
      </w:r>
      <w:r>
        <w:t xml:space="preserve"> </w:t>
      </w:r>
      <w:r>
        <w:t xml:space="preserve">dolorabilità anche fuori dalla testa</w:t>
      </w:r>
      <w:r>
        <w:t xml:space="preserve"> </w:t>
      </w:r>
      <w:r>
        <w:rPr>
          <w:b/>
          <w:bCs/>
        </w:rPr>
        <w:t xml:space="preserve">e</w:t>
      </w:r>
      <w:r>
        <w:t xml:space="preserve"> </w:t>
      </w:r>
      <w:r>
        <w:t xml:space="preserve">tessuto che reagisce prima della pressione.</w:t>
      </w:r>
    </w:p>
    <w:p>
      <w:pPr>
        <w:pStyle w:val="Compact"/>
        <w:numPr>
          <w:ilvl w:val="0"/>
          <w:numId w:val="1018"/>
        </w:numPr>
      </w:pPr>
      <w:r>
        <w:rPr>
          <w:b/>
          <w:bCs/>
        </w:rPr>
        <w:t xml:space="preserve">Cosa fa la cerniera cranio-cervicale?</w:t>
      </w:r>
      <w:r>
        <w:t xml:space="preserve"> </w:t>
      </w:r>
      <w:r>
        <w:rPr>
          <w:i/>
          <w:iCs/>
        </w:rPr>
        <w:t xml:space="preserve">Positivo se:</w:t>
      </w:r>
      <w:r>
        <w:t xml:space="preserve"> </w:t>
      </w:r>
      <w:r>
        <w:t xml:space="preserve">flessione-rotazione sotto i 32 gradi,</w:t>
      </w:r>
      <w:r>
        <w:t xml:space="preserve"> </w:t>
      </w:r>
      <w:r>
        <w:rPr>
          <w:b/>
          <w:bCs/>
        </w:rPr>
        <w:t xml:space="preserve">oppure</w:t>
      </w:r>
      <w:r>
        <w:t xml:space="preserve"> </w:t>
      </w:r>
      <w:r>
        <w:t xml:space="preserve">riferimento in testa alla pressione sostenuta,</w:t>
      </w:r>
      <w:r>
        <w:t xml:space="preserve"> </w:t>
      </w:r>
      <w:r>
        <w:rPr>
          <w:b/>
          <w:bCs/>
        </w:rPr>
        <w:t xml:space="preserve">oppure</w:t>
      </w:r>
      <w:r>
        <w:t xml:space="preserve"> </w:t>
      </w:r>
      <w:r>
        <w:t xml:space="preserve">flessione cranio-cervicale alterata.</w:t>
      </w:r>
    </w:p>
    <w:p>
      <w:pPr>
        <w:pStyle w:val="Compact"/>
        <w:numPr>
          <w:ilvl w:val="0"/>
          <w:numId w:val="1018"/>
        </w:numPr>
      </w:pPr>
      <w:r>
        <w:rPr>
          <w:b/>
          <w:bCs/>
        </w:rPr>
        <w:t xml:space="preserve">Quanto carico c’è sui pericranici e sulla mandibola?</w:t>
      </w:r>
      <w:r>
        <w:t xml:space="preserve"> </w:t>
      </w:r>
      <w:r>
        <w:rPr>
          <w:i/>
          <w:iCs/>
        </w:rPr>
        <w:t xml:space="preserve">Positivo se:</w:t>
      </w:r>
      <w:r>
        <w:t xml:space="preserve"> </w:t>
      </w:r>
      <w:r>
        <w:t xml:space="preserve">dolorabilità diffusa con orario fisso,</w:t>
      </w:r>
      <w:r>
        <w:t xml:space="preserve"> </w:t>
      </w:r>
      <w:r>
        <w:rPr>
          <w:b/>
          <w:bCs/>
        </w:rPr>
        <w:t xml:space="preserve">oppure</w:t>
      </w:r>
      <w:r>
        <w:t xml:space="preserve"> </w:t>
      </w:r>
      <w:r>
        <w:t xml:space="preserve">dolore temporale riprodotto dal serramento sostenuto.</w:t>
      </w:r>
    </w:p>
    <w:p>
      <w:pPr>
        <w:pStyle w:val="Compact"/>
        <w:numPr>
          <w:ilvl w:val="0"/>
          <w:numId w:val="1018"/>
        </w:numPr>
      </w:pPr>
      <w:r>
        <w:rPr>
          <w:b/>
          <w:bCs/>
        </w:rPr>
        <w:t xml:space="preserve">Come respira a riposo, come dorme, com’è l’umore, cosa gli chiede la giornata?</w:t>
      </w:r>
      <w:r>
        <w:t xml:space="preserve"> </w:t>
      </w:r>
      <w:r>
        <w:t xml:space="preserve">Sono modificatori, non piani di comando: si valutano, si nominano, si rinviano. Due hanno un dato — il</w:t>
      </w:r>
      <w:r>
        <w:t xml:space="preserve"> </w:t>
      </w:r>
      <w:r>
        <w:rPr>
          <w:b/>
          <w:bCs/>
        </w:rPr>
        <w:t xml:space="preserve">sonno</w:t>
      </w:r>
      <w:r>
        <w:t xml:space="preserve"> </w:t>
      </w:r>
      <w:r>
        <w:t xml:space="preserve">e l’</w:t>
      </w:r>
      <w:r>
        <w:rPr>
          <w:b/>
          <w:bCs/>
        </w:rPr>
        <w:t xml:space="preserve">umore depresso</w:t>
      </w:r>
      <w:r>
        <w:t xml:space="preserve">, che predice la cronicizzazione dell’emicrania: vedi «La lettura osteopatica». Nominarli al curante è un atto tuo; trattarli non lo è.</w:t>
      </w:r>
    </w:p>
    <w:p>
      <w:pPr>
        <w:pStyle w:val="FirstParagraph"/>
      </w:pPr>
      <w:r>
        <w:rPr>
          <w:b/>
          <w:bCs/>
        </w:rPr>
        <w:t xml:space="preserve">Cosa conta come positivo, nei due test senza un numero.</w:t>
      </w:r>
      <w:r>
        <w:t xml:space="preserve"> </w:t>
      </w:r>
      <w:r>
        <w:t xml:space="preserve">Il</w:t>
      </w:r>
      <w:r>
        <w:t xml:space="preserve"> </w:t>
      </w:r>
      <w:r>
        <w:rPr>
          <w:b/>
          <w:bCs/>
        </w:rPr>
        <w:t xml:space="preserve">test di flessione cranio-cervicale</w:t>
      </w:r>
      <w:r>
        <w:t xml:space="preserve"> </w:t>
      </w:r>
      <w:r>
        <w:t xml:space="preserve">è alterato quando il paziente non regge i livelli bassi senza sostituire con i superficiali: capo che si solleva, sternocleidomastoidei che si accendono, tremore. È un fallimento di controllo. La</w:t>
      </w:r>
      <w:r>
        <w:t xml:space="preserve"> </w:t>
      </w:r>
      <w:r>
        <w:rPr>
          <w:b/>
          <w:bCs/>
        </w:rPr>
        <w:t xml:space="preserve">disfunzione articolare cervicale alta</w:t>
      </w:r>
      <w:r>
        <w:t xml:space="preserve"> </w:t>
      </w:r>
      <w:r>
        <w:t xml:space="preserve">è la riproduzione del dolore abituale con una pressione</w:t>
      </w:r>
      <w:r>
        <w:t xml:space="preserve"> </w:t>
      </w:r>
      <w:r>
        <w:rPr>
          <w:b/>
          <w:bCs/>
        </w:rPr>
        <w:t xml:space="preserve">sulla colonna articolare</w:t>
      </w:r>
      <w:r>
        <w:t xml:space="preserve">, più la restrizione nello stesso punto. Non è dolorabilità del tessuto molle, e per questo non ricade nel divieto di «Dove finisce il nostro campo».</w:t>
      </w:r>
    </w:p>
    <w:bookmarkEnd w:id="45"/>
    <w:bookmarkStart w:id="46" w:name="X2ade5481257d0aa798ed03c4f8805a0dcdee156"/>
    <w:p>
      <w:pPr>
        <w:pStyle w:val="Heading3"/>
      </w:pPr>
      <w:r>
        <w:t xml:space="preserve">I tre stati, e cosa cambia nel modo di parlargli</w:t>
      </w:r>
    </w:p>
    <w:p>
      <w:pPr>
        <w:pStyle w:val="FirstParagraph"/>
      </w:pPr>
      <w:r>
        <w:rPr>
          <w:b/>
          <w:bCs/>
        </w:rPr>
        <w:t xml:space="preserve">In difesa.</w:t>
      </w:r>
      <w:r>
        <w:t xml:space="preserve"> </w:t>
      </w:r>
      <w:r>
        <w:t xml:space="preserve">Teso, monosillabi, diffidente perché ha già sentito troppe spiegazioni. Parli al bisogno di sicurezza: contatto lento, ritmo calmo, gli dici prima cosa farai.</w:t>
      </w:r>
      <w:r>
        <w:t xml:space="preserve"> </w:t>
      </w:r>
      <w:r>
        <w:rPr>
          <w:b/>
          <w:bCs/>
        </w:rPr>
        <w:t xml:space="preserve">È la Paziente A.</w:t>
      </w:r>
    </w:p>
    <w:p>
      <w:pPr>
        <w:pStyle w:val="BodyText"/>
      </w:pPr>
      <w:r>
        <w:rPr>
          <w:b/>
          <w:bCs/>
        </w:rPr>
        <w:t xml:space="preserve">Emotivo.</w:t>
      </w:r>
      <w:r>
        <w:t xml:space="preserve"> </w:t>
      </w:r>
      <w:r>
        <w:t xml:space="preserve">Racconta, associa il mal di testa a un periodo, vuole essere creduto. Parli al bisogno di essere capito: ascolti prima di misurare.</w:t>
      </w:r>
      <w:r>
        <w:t xml:space="preserve"> </w:t>
      </w:r>
      <w:r>
        <w:rPr>
          <w:b/>
          <w:bCs/>
        </w:rPr>
        <w:t xml:space="preserve">È la Paziente C.</w:t>
      </w:r>
    </w:p>
    <w:p>
      <w:pPr>
        <w:pStyle w:val="BodyText"/>
      </w:pPr>
      <w:r>
        <w:rPr>
          <w:b/>
          <w:bCs/>
        </w:rPr>
        <w:t xml:space="preserve">Razionale.</w:t>
      </w:r>
      <w:r>
        <w:t xml:space="preserve"> </w:t>
      </w:r>
      <w:r>
        <w:t xml:space="preserve">Chiede il perché e vuole numeri. Parli al bisogno di logica: gli mostri i gradi prima e dopo, e il calendario.</w:t>
      </w:r>
      <w:r>
        <w:t xml:space="preserve"> </w:t>
      </w:r>
      <w:r>
        <w:rPr>
          <w:b/>
          <w:bCs/>
        </w:rPr>
        <w:t xml:space="preserve">È il Paziente B.</w:t>
      </w:r>
    </w:p>
    <w:p>
      <w:pPr>
        <w:pStyle w:val="BodyText"/>
      </w:pPr>
      <w:r>
        <w:rPr>
          <w:b/>
          <w:bCs/>
        </w:rPr>
        <w:t xml:space="preserve">Le tre cose da ricordare, più una</w:t>
      </w:r>
    </w:p>
    <w:p>
      <w:pPr>
        <w:pStyle w:val="Compact"/>
        <w:numPr>
          <w:ilvl w:val="0"/>
          <w:numId w:val="1019"/>
        </w:numPr>
      </w:pPr>
      <w:r>
        <w:t xml:space="preserve">Il primo piano da indagare qui è un calendario, non un muscolo. E ogni passo della Road Map ha una condizione che dice quando fermarsi lì.</w:t>
      </w:r>
    </w:p>
    <w:p>
      <w:pPr>
        <w:pStyle w:val="Compact"/>
        <w:numPr>
          <w:ilvl w:val="0"/>
          <w:numId w:val="1019"/>
        </w:numPr>
      </w:pPr>
      <w:r>
        <w:t xml:space="preserve">Due misure dicono che il tessuto si è mosso, tre dicono se avevi ragione. Non confonderle. E con il piano del farmaco aperto, la soglia lontana non è una prova.</w:t>
      </w:r>
    </w:p>
    <w:p>
      <w:pPr>
        <w:pStyle w:val="Compact"/>
        <w:numPr>
          <w:ilvl w:val="0"/>
          <w:numId w:val="1019"/>
        </w:numPr>
      </w:pPr>
      <w:r>
        <w:t xml:space="preserve">Prima di leggere qualunque conteggio: profilassi iniziata o cambiata negli ultimi tre mesi? fase del ciclo?</w:t>
      </w:r>
    </w:p>
    <w:p>
      <w:pPr>
        <w:pStyle w:val="Compact"/>
        <w:numPr>
          <w:ilvl w:val="0"/>
          <w:numId w:val="1019"/>
        </w:numPr>
      </w:pPr>
      <w:r>
        <w:rPr>
          <w:b/>
          <w:bCs/>
        </w:rPr>
        <w:t xml:space="preserve">Perché ci sei tu.</w:t>
      </w:r>
      <w:r>
        <w:t xml:space="preserve"> </w:t>
      </w:r>
      <w:r>
        <w:t xml:space="preserve">La differenza minima rilevabile del test di flessione-rotazione è</w:t>
      </w:r>
      <w:r>
        <w:t xml:space="preserve"> </w:t>
      </w:r>
      <w:r>
        <w:rPr>
          <w:b/>
          <w:bCs/>
        </w:rPr>
        <w:t xml:space="preserve">4,7 gradi a destra e 7 a sinistra</w:t>
      </w:r>
      <w:r>
        <w:t xml:space="preserve">, con affidabilità intra-operatore fra 0,95 e 0,97 (Hall,</w:t>
      </w:r>
      <w:r>
        <w:t xml:space="preserve"> </w:t>
      </w:r>
      <w:r>
        <w:rPr>
          <w:i/>
          <w:iCs/>
        </w:rPr>
        <w:t xml:space="preserve">JOSPT</w:t>
      </w:r>
      <w:r>
        <w:t xml:space="preserve"> </w:t>
      </w:r>
      <w:r>
        <w:t xml:space="preserve">2010, PMID 20357415). Ti autorizza a fissare una soglia interna prudente — dieci gradi — e a difenderla con un numero invece che con un’abitudine. Non ti autorizza a leggere come guadagno un’oscillazione di cinque gradi: sotto la soglia stai misurando lo strumento, non il paziente.</w:t>
      </w:r>
    </w:p>
    <w:p>
      <w:r>
        <w:pict>
          <v:rect style="width:0;height:1.5pt" o:hralign="center" o:hrstd="t" o:hr="t"/>
        </w:pict>
      </w:r>
    </w:p>
    <w:bookmarkEnd w:id="46"/>
    <w:bookmarkEnd w:id="47"/>
    <w:bookmarkStart w:id="53"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la cosa più pericolosa che puoi fare non è una manovra: è dare un nome, o non riconoscere in tempo un vaso che si sta scollando.</w:t>
      </w:r>
    </w:p>
    <w:bookmarkStart w:id="48" w:name="le-bandiere-rosse"/>
    <w:p>
      <w:pPr>
        <w:pStyle w:val="Heading3"/>
      </w:pPr>
      <w:r>
        <w:t xml:space="preserve">Le bandiere rosse</w:t>
      </w:r>
    </w:p>
    <w:p>
      <w:pPr>
        <w:pStyle w:val="FirstParagraph"/>
      </w:pPr>
      <w:r>
        <w:t xml:space="preserve">La lista internazionale è la</w:t>
      </w:r>
      <w:r>
        <w:t xml:space="preserve"> </w:t>
      </w:r>
      <w:r>
        <w:rPr>
          <w:b/>
          <w:bCs/>
        </w:rPr>
        <w:t xml:space="preserve">SNNOOP10</w:t>
      </w:r>
      <w:r>
        <w:t xml:space="preserve"> </w:t>
      </w:r>
      <w:r>
        <w:t xml:space="preserve">(Do,</w:t>
      </w:r>
      <w:r>
        <w:t xml:space="preserve"> </w:t>
      </w:r>
      <w:r>
        <w:rPr>
          <w:i/>
          <w:iCs/>
        </w:rPr>
        <w:t xml:space="preserve">Neurology</w:t>
      </w:r>
      <w:r>
        <w:t xml:space="preserve"> </w:t>
      </w:r>
      <w:r>
        <w:t xml:space="preserve">2019, PMID 30587518). In pronto soccorso la sua sensibilità sulle cefalee secondarie ad alto rischio è risultata del 100 per cento, IC dal 90,2 al 100 (García-Azorín,</w:t>
      </w:r>
      <w:r>
        <w:t xml:space="preserve"> </w:t>
      </w:r>
      <w:r>
        <w:rPr>
          <w:i/>
          <w:iCs/>
        </w:rPr>
        <w:t xml:space="preserve">Cephalalgia</w:t>
      </w:r>
      <w:r>
        <w:t xml:space="preserve"> </w:t>
      </w:r>
      <w:r>
        <w:t xml:space="preserve">2022, PMID 36003002).</w:t>
      </w:r>
    </w:p>
    <w:p>
      <w:pPr>
        <w:pStyle w:val="BodyText"/>
      </w:pPr>
      <w:r>
        <w:rPr>
          <w:b/>
          <w:bCs/>
        </w:rPr>
        <w:t xml:space="preserve">Per te:</w:t>
      </w:r>
      <w:r>
        <w:t xml:space="preserve"> </w:t>
      </w:r>
      <w:r>
        <w:t xml:space="preserve">sensibilità del 100 per cento e specificità bassa non dicono chi ha qualcosa di grave. Garantiscono che nessuno ti sfugga, al prezzo di inviare più persone del necessario. È il compromesso che vuoi in studio, e ti autorizza a essere generoso con l’invio.</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esplosivo, massimo in un minuto</w:t>
            </w:r>
          </w:p>
        </w:tc>
        <w:tc>
          <w:tcPr/>
          <w:p>
            <w:pPr>
              <w:pStyle w:val="Compact"/>
            </w:pPr>
            <w:r>
              <w:t xml:space="preserve">Pronto soccorso</w:t>
            </w:r>
          </w:p>
        </w:tc>
        <w:tc>
          <w:tcPr/>
          <w:p>
            <w:pPr>
              <w:pStyle w:val="Compact"/>
            </w:pPr>
            <w:r>
              <w:t xml:space="preserve">112</w:t>
            </w:r>
          </w:p>
        </w:tc>
      </w:tr>
      <w:tr>
        <w:tc>
          <w:tcPr/>
          <w:p>
            <w:pPr>
              <w:pStyle w:val="Compact"/>
            </w:pPr>
            <w:r>
              <w:t xml:space="preserve">Febbre con rigidità nucale o coscienza alterata</w:t>
            </w:r>
          </w:p>
        </w:tc>
        <w:tc>
          <w:tcPr/>
          <w:p>
            <w:pPr>
              <w:pStyle w:val="Compact"/>
            </w:pPr>
            <w:r>
              <w:t xml:space="preserve">Pronto soccorso</w:t>
            </w:r>
          </w:p>
        </w:tc>
        <w:tc>
          <w:tcPr/>
          <w:p>
            <w:pPr>
              <w:pStyle w:val="Compact"/>
            </w:pPr>
            <w:r>
              <w:t xml:space="preserve">112</w:t>
            </w:r>
          </w:p>
        </w:tc>
      </w:tr>
      <w:tr>
        <w:tc>
          <w:tcPr/>
          <w:p>
            <w:pPr>
              <w:pStyle w:val="Compact"/>
            </w:pPr>
            <w:r>
              <w:t xml:space="preserve">Deficit di forza, parola o vista</w:t>
            </w:r>
          </w:p>
        </w:tc>
        <w:tc>
          <w:tcPr/>
          <w:p>
            <w:pPr>
              <w:pStyle w:val="Compact"/>
            </w:pPr>
            <w:r>
              <w:t xml:space="preserve">Pronto soccorso</w:t>
            </w:r>
          </w:p>
        </w:tc>
        <w:tc>
          <w:tcPr/>
          <w:p>
            <w:pPr>
              <w:pStyle w:val="Compact"/>
            </w:pPr>
            <w:r>
              <w:t xml:space="preserve">112</w:t>
            </w:r>
          </w:p>
        </w:tc>
      </w:tr>
      <w:tr>
        <w:tc>
          <w:tcPr/>
          <w:p>
            <w:pPr>
              <w:pStyle w:val="Compact"/>
            </w:pPr>
            <w:r>
              <w:t xml:space="preserve">Confusione, sonnolenza, crisi convulsiva</w:t>
            </w:r>
          </w:p>
        </w:tc>
        <w:tc>
          <w:tcPr/>
          <w:p>
            <w:pPr>
              <w:pStyle w:val="Compact"/>
            </w:pPr>
            <w:r>
              <w:t xml:space="preserve">Pronto soccorso</w:t>
            </w:r>
          </w:p>
        </w:tc>
        <w:tc>
          <w:tcPr/>
          <w:p>
            <w:pPr>
              <w:pStyle w:val="Compact"/>
            </w:pPr>
            <w:r>
              <w:t xml:space="preserve">112</w:t>
            </w:r>
          </w:p>
        </w:tc>
      </w:tr>
      <w:tr>
        <w:tc>
          <w:tcPr/>
          <w:p>
            <w:pPr>
              <w:pStyle w:val="Compact"/>
            </w:pPr>
            <w:r>
              <w:t xml:space="preserve">Cefalea nuova dopo trauma cranico</w:t>
            </w:r>
          </w:p>
        </w:tc>
        <w:tc>
          <w:tcPr/>
          <w:p>
            <w:pPr>
              <w:pStyle w:val="Compact"/>
            </w:pPr>
            <w:r>
              <w:t xml:space="preserve">Pronto soccorso</w:t>
            </w:r>
          </w:p>
        </w:tc>
        <w:tc>
          <w:tcPr/>
          <w:p>
            <w:pPr>
              <w:pStyle w:val="Compact"/>
            </w:pPr>
            <w:r>
              <w:t xml:space="preserve">Urgente</w:t>
            </w:r>
          </w:p>
        </w:tc>
      </w:tr>
      <w:tr>
        <w:tc>
          <w:tcPr/>
          <w:p>
            <w:pPr>
              <w:pStyle w:val="Compact"/>
            </w:pPr>
            <w:r>
              <w:t xml:space="preserve">Occhio rosso e dolente, pupilla larga</w:t>
            </w:r>
          </w:p>
        </w:tc>
        <w:tc>
          <w:tcPr/>
          <w:p>
            <w:pPr>
              <w:pStyle w:val="Compact"/>
            </w:pPr>
            <w:r>
              <w:t xml:space="preserve">Pronto soccorso oculistico</w:t>
            </w:r>
          </w:p>
        </w:tc>
        <w:tc>
          <w:tcPr/>
          <w:p>
            <w:pPr>
              <w:pStyle w:val="Compact"/>
            </w:pPr>
            <w:r>
              <w:t xml:space="preserve">Urgente</w:t>
            </w:r>
          </w:p>
        </w:tc>
      </w:tr>
      <w:tr>
        <w:tc>
          <w:tcPr/>
          <w:p>
            <w:pPr>
              <w:pStyle w:val="Compact"/>
            </w:pPr>
            <w:r>
              <w:t xml:space="preserve">Segni di dissezione arteriosa cervicale*</w:t>
            </w:r>
          </w:p>
        </w:tc>
        <w:tc>
          <w:tcPr/>
          <w:p>
            <w:pPr>
              <w:pStyle w:val="Compact"/>
            </w:pPr>
            <w:r>
              <w:t xml:space="preserve">Pronto soccorso</w:t>
            </w:r>
          </w:p>
        </w:tc>
        <w:tc>
          <w:tcPr/>
          <w:p>
            <w:pPr>
              <w:pStyle w:val="Compact"/>
            </w:pPr>
            <w:r>
              <w:t xml:space="preserve">112</w:t>
            </w:r>
          </w:p>
        </w:tc>
      </w:tr>
      <w:tr>
        <w:tc>
          <w:tcPr/>
          <w:p>
            <w:pPr>
              <w:pStyle w:val="Compact"/>
            </w:pPr>
            <w:r>
              <w:t xml:space="preserve">Tempia dolente dopo i 50, disturbo visivo**</w:t>
            </w:r>
          </w:p>
        </w:tc>
        <w:tc>
          <w:tcPr/>
          <w:p>
            <w:pPr>
              <w:pStyle w:val="Compact"/>
            </w:pPr>
            <w:r>
              <w:t xml:space="preserve">Pronto soccorso oculistico</w:t>
            </w:r>
          </w:p>
        </w:tc>
        <w:tc>
          <w:tcPr/>
          <w:p>
            <w:pPr>
              <w:pStyle w:val="Compact"/>
            </w:pPr>
            <w:r>
              <w:t xml:space="preserve">In giornata</w:t>
            </w:r>
          </w:p>
        </w:tc>
      </w:tr>
    </w:tbl>
    <w:p>
      <w:pPr>
        <w:pStyle w:val="BodyText"/>
      </w:pPr>
      <w:r>
        <w:rPr>
          <w:i/>
          <w:iCs/>
        </w:rPr>
        <w:t xml:space="preserve">*</w:t>
      </w:r>
      <w:r>
        <w:rPr>
          <w:i/>
          <w:iCs/>
        </w:rPr>
        <w:t xml:space="preserve"> </w:t>
      </w:r>
      <w:r>
        <w:rPr>
          <w:b/>
          <w:bCs/>
          <w:i/>
          <w:iCs/>
        </w:rPr>
        <w:t xml:space="preserve">Dissezione arteriosa cervicale.</w:t>
      </w:r>
      <w:r>
        <w:rPr>
          <w:i/>
          <w:iCs/>
        </w:rPr>
        <w:t xml:space="preserve"> </w:t>
      </w:r>
      <w:r>
        <w:rPr>
          <w:i/>
          <w:iCs/>
        </w:rPr>
        <w:t xml:space="preserve">Cefalea e dolore cervicale</w:t>
      </w:r>
      <w:r>
        <w:rPr>
          <w:i/>
          <w:iCs/>
        </w:rPr>
        <w:t xml:space="preserve"> </w:t>
      </w:r>
      <w:r>
        <w:rPr>
          <w:b/>
          <w:bCs/>
          <w:i/>
          <w:iCs/>
        </w:rPr>
        <w:t xml:space="preserve">nuovi e diversi</w:t>
      </w:r>
      <w:r>
        <w:rPr>
          <w:i/>
          <w:iCs/>
        </w:rPr>
        <w:t xml:space="preserve"> </w:t>
      </w:r>
      <w:r>
        <w:rPr>
          <w:i/>
          <w:iCs/>
        </w:rPr>
        <w:t xml:space="preserve">dai suoi, di solito da un lato, con almeno uno fra: palpebra cadente e pupilla piccola dallo stesso lato, acufene pulsante nuovo, annebbiamento visivo transitorio da un occhio, difficoltà a parlare o deglutire, sbandamento; oppure esordio dopo un trauma o un movimento brusco del collo. È rara: in 14 randomizzati su manipolazione cervicale ad alta velocità non si è verificato nessun evento avverso serio o moderato (Pankrath,</w:t>
      </w:r>
      <w:r>
        <w:rPr>
          <w:i/>
          <w:iCs/>
        </w:rPr>
        <w:t xml:space="preserve"> </w:t>
      </w:r>
      <w:r>
        <w:t xml:space="preserve">Pain Physician* 2024, PMID 38805524), con l’avvertenza che quel disegno non intercetta gli eventi rari. Ma la sede più frequente è il</w:t>
      </w:r>
      <w:r>
        <w:t xml:space="preserve"> </w:t>
      </w:r>
      <w:r>
        <w:rPr>
          <w:b/>
          <w:bCs/>
        </w:rPr>
        <w:t xml:space="preserve">cervicale alto</w:t>
      </w:r>
      <w:r>
        <w:t xml:space="preserve">, e il sintomo d’esordio è quello per cui il paziente è venuto (Biller,</w:t>
      </w:r>
      <w:r>
        <w:t xml:space="preserve"> </w:t>
      </w:r>
      <w:r>
        <w:rPr>
          <w:i/>
          <w:iCs/>
        </w:rPr>
        <w:t xml:space="preserve">Stroke</w:t>
      </w:r>
      <w:r>
        <w:t xml:space="preserve"> </w:t>
      </w:r>
      <w:r>
        <w:t xml:space="preserve">2014, PMID 25104849). **</w:t>
      </w:r>
      <w:r>
        <w:t xml:space="preserve"> </w:t>
      </w:r>
      <w:r>
        <w:rPr>
          <w:b/>
          <w:bCs/>
        </w:rPr>
        <w:t xml:space="preserve">Arterite a cellule giganti:</w:t>
      </w:r>
      <w:r>
        <w:t xml:space="preserve"> </w:t>
      </w:r>
      <w:r>
        <w:t xml:space="preserve">perdita di vista anche di pochi minuti, o visione doppia, sopra i 50 anni con dolore alla tempia. Il tempo utile si misura in ore.*</w:t>
      </w:r>
    </w:p>
    <w:p>
      <w:pPr>
        <w:pStyle w:val="BodyText"/>
      </w:pPr>
      <w:r>
        <w:rPr>
          <w:b/>
          <w:bCs/>
        </w:rPr>
        <w:t xml:space="preserve">Blocco B — invio non differibile. Si può trattare un altro distretto, non la cefalea.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Dolore alla tempia, masticare stanca, cuoio capelluto dolente</w:t>
            </w:r>
          </w:p>
        </w:tc>
        <w:tc>
          <w:tcPr/>
          <w:p>
            <w:pPr>
              <w:pStyle w:val="Compact"/>
            </w:pPr>
            <w:r>
              <w:t xml:space="preserve">Curante o reumatologo, quesito arterite</w:t>
            </w:r>
          </w:p>
        </w:tc>
        <w:tc>
          <w:tcPr/>
          <w:p>
            <w:pPr>
              <w:pStyle w:val="Compact"/>
            </w:pPr>
            <w:r>
              <w:t xml:space="preserve">Entro 3 giorni</w:t>
            </w:r>
          </w:p>
        </w:tc>
      </w:tr>
      <w:tr>
        <w:tc>
          <w:tcPr/>
          <w:p>
            <w:pPr>
              <w:pStyle w:val="Compact"/>
            </w:pPr>
            <w:r>
              <w:t xml:space="preserve">Cefalea nuova o peggiorata, con anticoagulanti o antiaggreganti</w:t>
            </w:r>
          </w:p>
        </w:tc>
        <w:tc>
          <w:tcPr/>
          <w:p>
            <w:pPr>
              <w:pStyle w:val="Compact"/>
            </w:pPr>
            <w:r>
              <w:t xml:space="preserve">Curante</w:t>
            </w:r>
          </w:p>
        </w:tc>
        <w:tc>
          <w:tcPr/>
          <w:p>
            <w:pPr>
              <w:pStyle w:val="Compact"/>
            </w:pPr>
            <w:r>
              <w:t xml:space="preserve">Entro 48 ore</w:t>
            </w:r>
          </w:p>
        </w:tc>
      </w:tr>
      <w:tr>
        <w:tc>
          <w:tcPr/>
          <w:p>
            <w:pPr>
              <w:pStyle w:val="Compact"/>
            </w:pPr>
            <w:r>
              <w:t xml:space="preserve">Cefalea nuova con febbre, calo di peso, sudorazioni</w:t>
            </w:r>
          </w:p>
        </w:tc>
        <w:tc>
          <w:tcPr/>
          <w:p>
            <w:pPr>
              <w:pStyle w:val="Compact"/>
            </w:pPr>
            <w:r>
              <w:t xml:space="preserve">Curante</w:t>
            </w:r>
          </w:p>
        </w:tc>
        <w:tc>
          <w:tcPr/>
          <w:p>
            <w:pPr>
              <w:pStyle w:val="Compact"/>
            </w:pPr>
            <w:r>
              <w:t xml:space="preserve">Entro 48 ore</w:t>
            </w:r>
          </w:p>
        </w:tc>
      </w:tr>
      <w:tr>
        <w:tc>
          <w:tcPr/>
          <w:p>
            <w:pPr>
              <w:pStyle w:val="Compact"/>
            </w:pPr>
            <w:r>
              <w:t xml:space="preserve">Cefalea in gravidanza o dopo il parto</w:t>
            </w:r>
          </w:p>
        </w:tc>
        <w:tc>
          <w:tcPr/>
          <w:p>
            <w:pPr>
              <w:pStyle w:val="Compact"/>
            </w:pPr>
            <w:r>
              <w:t xml:space="preserve">Ginecologo e curante</w:t>
            </w:r>
          </w:p>
        </w:tc>
        <w:tc>
          <w:tcPr/>
          <w:p>
            <w:pPr>
              <w:pStyle w:val="Compact"/>
            </w:pPr>
            <w:r>
              <w:t xml:space="preserve">Entro 24 ore</w:t>
            </w:r>
          </w:p>
        </w:tc>
      </w:tr>
      <w:tr>
        <w:tc>
          <w:tcPr/>
          <w:p>
            <w:pPr>
              <w:pStyle w:val="Compact"/>
            </w:pPr>
            <w:r>
              <w:t xml:space="preserve">Prima cefalea dopo i 50, esordio dopo 65</w:t>
            </w:r>
          </w:p>
        </w:tc>
        <w:tc>
          <w:tcPr/>
          <w:p>
            <w:pPr>
              <w:pStyle w:val="Compact"/>
            </w:pPr>
            <w:r>
              <w:t xml:space="preserve">Curante o neurologo</w:t>
            </w:r>
          </w:p>
        </w:tc>
        <w:tc>
          <w:tcPr/>
          <w:p>
            <w:pPr>
              <w:pStyle w:val="Compact"/>
            </w:pPr>
            <w:r>
              <w:t xml:space="preserve">Entro 7 giorni</w:t>
            </w:r>
          </w:p>
        </w:tc>
      </w:tr>
      <w:tr>
        <w:tc>
          <w:tcPr/>
          <w:p>
            <w:pPr>
              <w:pStyle w:val="Compact"/>
            </w:pPr>
            <w:r>
              <w:t xml:space="preserve">Peggiora sdraiato, o solo in piedi</w:t>
            </w:r>
          </w:p>
        </w:tc>
        <w:tc>
          <w:tcPr/>
          <w:p>
            <w:pPr>
              <w:pStyle w:val="Compact"/>
            </w:pPr>
            <w:r>
              <w:t xml:space="preserve">Neurologo</w:t>
            </w:r>
          </w:p>
        </w:tc>
        <w:tc>
          <w:tcPr/>
          <w:p>
            <w:pPr>
              <w:pStyle w:val="Compact"/>
            </w:pPr>
            <w:r>
              <w:t xml:space="preserve">Entro 7 giorni</w:t>
            </w:r>
          </w:p>
        </w:tc>
      </w:tr>
      <w:tr>
        <w:tc>
          <w:tcPr/>
          <w:p>
            <w:pPr>
              <w:pStyle w:val="Compact"/>
            </w:pPr>
            <w:r>
              <w:t xml:space="preserve">Scatenata da tosse, starnuto, sforzo</w:t>
            </w:r>
          </w:p>
        </w:tc>
        <w:tc>
          <w:tcPr/>
          <w:p>
            <w:pPr>
              <w:pStyle w:val="Compact"/>
            </w:pPr>
            <w:r>
              <w:t xml:space="preserve">Neurologo</w:t>
            </w:r>
          </w:p>
        </w:tc>
        <w:tc>
          <w:tcPr/>
          <w:p>
            <w:pPr>
              <w:pStyle w:val="Compact"/>
            </w:pPr>
            <w:r>
              <w:t xml:space="preserve">Entro 7 giorni</w:t>
            </w:r>
          </w:p>
        </w:tc>
      </w:tr>
      <w:tr>
        <w:tc>
          <w:tcPr/>
          <w:p>
            <w:pPr>
              <w:pStyle w:val="Compact"/>
            </w:pPr>
            <w:r>
              <w:t xml:space="preserve">Peggiora ogni settimana, peggio al risveglio, con vomito</w:t>
            </w:r>
          </w:p>
        </w:tc>
        <w:tc>
          <w:tcPr/>
          <w:p>
            <w:pPr>
              <w:pStyle w:val="Compact"/>
            </w:pPr>
            <w:r>
              <w:t xml:space="preserve">Neurologo</w:t>
            </w:r>
          </w:p>
        </w:tc>
        <w:tc>
          <w:tcPr/>
          <w:p>
            <w:pPr>
              <w:pStyle w:val="Compact"/>
            </w:pPr>
            <w:r>
              <w:t xml:space="preserve">Entro 7 giorni</w:t>
            </w:r>
          </w:p>
        </w:tc>
      </w:tr>
      <w:tr>
        <w:tc>
          <w:tcPr/>
          <w:p>
            <w:pPr>
              <w:pStyle w:val="Compact"/>
            </w:pPr>
            <w:r>
              <w:t xml:space="preserve">Cambia carattere settimana dopo settimana</w:t>
            </w:r>
          </w:p>
        </w:tc>
        <w:tc>
          <w:tcPr/>
          <w:p>
            <w:pPr>
              <w:pStyle w:val="Compact"/>
            </w:pPr>
            <w:r>
              <w:t xml:space="preserve">Curante</w:t>
            </w:r>
          </w:p>
        </w:tc>
        <w:tc>
          <w:tcPr/>
          <w:p>
            <w:pPr>
              <w:pStyle w:val="Compact"/>
            </w:pPr>
            <w:r>
              <w:t xml:space="preserve">Entro 7 giorni</w:t>
            </w:r>
          </w:p>
        </w:tc>
      </w:tr>
      <w:tr>
        <w:tc>
          <w:tcPr/>
          <w:p>
            <w:pPr>
              <w:pStyle w:val="Compact"/>
            </w:pPr>
            <w:r>
              <w:t xml:space="preserve">Storia di tumore o immunodepressione</w:t>
            </w:r>
          </w:p>
        </w:tc>
        <w:tc>
          <w:tcPr/>
          <w:p>
            <w:pPr>
              <w:pStyle w:val="Compact"/>
            </w:pPr>
            <w:r>
              <w:t xml:space="preserve">Curante</w:t>
            </w:r>
          </w:p>
        </w:tc>
        <w:tc>
          <w:tcPr/>
          <w:p>
            <w:pPr>
              <w:pStyle w:val="Compact"/>
            </w:pPr>
            <w:r>
              <w:t xml:space="preserve">Entro 7 giorni</w:t>
            </w:r>
          </w:p>
        </w:tc>
      </w:tr>
      <w:tr>
        <w:tc>
          <w:tcPr/>
          <w:p>
            <w:pPr>
              <w:pStyle w:val="Compact"/>
            </w:pPr>
            <w:r>
              <w:t xml:space="preserve">Crisi brevi unilaterali, occhio rosso o naso chiuso</w:t>
            </w:r>
          </w:p>
        </w:tc>
        <w:tc>
          <w:tcPr/>
          <w:p>
            <w:pPr>
              <w:pStyle w:val="Compact"/>
            </w:pPr>
            <w:r>
              <w:t xml:space="preserve">Neurologo o centro cefalee</w:t>
            </w:r>
          </w:p>
        </w:tc>
        <w:tc>
          <w:tcPr/>
          <w:p>
            <w:pPr>
              <w:pStyle w:val="Compact"/>
            </w:pPr>
            <w:r>
              <w:t xml:space="preserve">Entro 7 giorni</w:t>
            </w:r>
          </w:p>
        </w:tc>
      </w:tr>
      <w:tr>
        <w:tc>
          <w:tcPr/>
          <w:p>
            <w:pPr>
              <w:pStyle w:val="Compact"/>
            </w:pPr>
            <w:r>
              <w:t xml:space="preserve">Emicrania quattro o più giorni mensili, senza profilassi</w:t>
            </w:r>
          </w:p>
        </w:tc>
        <w:tc>
          <w:tcPr/>
          <w:p>
            <w:pPr>
              <w:pStyle w:val="Compact"/>
            </w:pPr>
            <w:r>
              <w:t xml:space="preserve">Curante o centro cefalee</w:t>
            </w:r>
          </w:p>
        </w:tc>
        <w:tc>
          <w:tcPr/>
          <w:p>
            <w:pPr>
              <w:pStyle w:val="Compact"/>
            </w:pPr>
            <w:r>
              <w:t xml:space="preserve">Invio programmato</w:t>
            </w:r>
          </w:p>
        </w:tc>
      </w:tr>
      <w:tr>
        <w:tc>
          <w:tcPr/>
          <w:p>
            <w:pPr>
              <w:pStyle w:val="Compact"/>
            </w:pPr>
            <w:r>
              <w:t xml:space="preserve">Farmaci per la testa, dieci o più giorni/mese</w:t>
            </w:r>
          </w:p>
        </w:tc>
        <w:tc>
          <w:tcPr/>
          <w:p>
            <w:pPr>
              <w:pStyle w:val="Compact"/>
            </w:pPr>
            <w:r>
              <w:t xml:space="preserve">Curante</w:t>
            </w:r>
          </w:p>
        </w:tc>
        <w:tc>
          <w:tcPr/>
          <w:p>
            <w:pPr>
              <w:pStyle w:val="Compact"/>
            </w:pPr>
            <w:r>
              <w:t xml:space="preserve">Invio programmato</w:t>
            </w:r>
          </w:p>
        </w:tc>
      </w:tr>
    </w:tbl>
    <w:p>
      <w:pPr>
        <w:pStyle w:val="BodyText"/>
      </w:pPr>
      <w:r>
        <w:t xml:space="preserve">La prima riga del Blocco A non ammette valutazione clinica. Sul dolore esplosivo la regola di riferimento ha sensibilità del 100 per cento per l’emorragia subaracnoidea proprio perché manda tutti (Perry,</w:t>
      </w:r>
      <w:r>
        <w:t xml:space="preserve"> </w:t>
      </w:r>
      <w:r>
        <w:rPr>
          <w:i/>
          <w:iCs/>
        </w:rPr>
        <w:t xml:space="preserve">CMAJ</w:t>
      </w:r>
      <w:r>
        <w:t xml:space="preserve"> </w:t>
      </w:r>
      <w:r>
        <w:t xml:space="preserve">2017, PMID 29133539). E due precisazioni che valgono più di una tabella:</w:t>
      </w:r>
    </w:p>
    <w:p>
      <w:pPr>
        <w:pStyle w:val="Compact"/>
        <w:numPr>
          <w:ilvl w:val="0"/>
          <w:numId w:val="1020"/>
        </w:numPr>
      </w:pPr>
      <w:r>
        <w:rPr>
          <w:b/>
          <w:bCs/>
        </w:rPr>
        <w:t xml:space="preserve">Con la riga dell’arterite aperta, la regione temporale non è «un altro distretto»:</w:t>
      </w:r>
      <w:r>
        <w:t xml:space="preserve"> </w:t>
      </w:r>
      <w:r>
        <w:t xml:space="preserve">non si palpa e non si carica finché il medico non ha risposto.</w:t>
      </w:r>
    </w:p>
    <w:p>
      <w:pPr>
        <w:pStyle w:val="Compact"/>
        <w:numPr>
          <w:ilvl w:val="0"/>
          <w:numId w:val="1020"/>
        </w:numPr>
      </w:pPr>
      <w:r>
        <w:rPr>
          <w:b/>
          <w:bCs/>
        </w:rPr>
        <w:t xml:space="preserve">Sulle righe del Blocco B la seduta successiva non si apre</w:t>
      </w:r>
      <w:r>
        <w:t xml:space="preserve"> </w:t>
      </w:r>
      <w:r>
        <w:t xml:space="preserve">senza conferma documentata che il contatto medico sia avvenuto o almeno sia stato prenotato. Se non c’è, si sospende e si chiama il curante.</w:t>
      </w:r>
    </w:p>
    <w:p>
      <w:pPr>
        <w:pStyle w:val="Compact"/>
        <w:numPr>
          <w:ilvl w:val="0"/>
          <w:numId w:val="1020"/>
        </w:numPr>
      </w:pPr>
      <w:r>
        <w:t xml:space="preserve">La riga dei quattro giorni di emicrania senza profilassi non segnala un pericolo: è la porta d’uscita contro il</w:t>
      </w:r>
      <w:r>
        <w:t xml:space="preserve"> </w:t>
      </w:r>
      <w:r>
        <w:rPr>
          <w:b/>
          <w:bCs/>
        </w:rPr>
        <w:t xml:space="preserve">ritardo di cura</w:t>
      </w:r>
      <w:r>
        <w:t xml:space="preserve">.</w:t>
      </w:r>
    </w:p>
    <w:p>
      <w:pPr>
        <w:pStyle w:val="Compact"/>
        <w:numPr>
          <w:ilvl w:val="0"/>
          <w:numId w:val="1020"/>
        </w:numPr>
      </w:pPr>
      <w:r>
        <w:t xml:space="preserve">La riga dei dieci giorni con farmaco è una</w:t>
      </w:r>
      <w:r>
        <w:t xml:space="preserve"> </w:t>
      </w:r>
      <w:r>
        <w:rPr>
          <w:b/>
          <w:bCs/>
        </w:rPr>
        <w:t xml:space="preserve">soglia d’invio più bassa</w:t>
      </w:r>
      <w:r>
        <w:t xml:space="preserve"> </w:t>
      </w:r>
      <w:r>
        <w:t xml:space="preserve">di quelle ICHD-3, ed è voluta.</w:t>
      </w:r>
    </w:p>
    <w:bookmarkEnd w:id="48"/>
    <w:bookmarkStart w:id="49" w:name="il-cancello-dingresso"/>
    <w:p>
      <w:pPr>
        <w:pStyle w:val="Heading3"/>
      </w:pPr>
      <w:r>
        <w:t xml:space="preserve">Il cancello d’ingresso</w:t>
      </w:r>
    </w:p>
    <w:p>
      <w:pPr>
        <w:pStyle w:val="FirstParagraph"/>
      </w:pPr>
      <w:r>
        <w:t xml:space="preserve">Serve a stabilire</w:t>
      </w:r>
      <w:r>
        <w:t xml:space="preserve"> </w:t>
      </w:r>
      <w:r>
        <w:rPr>
          <w:b/>
          <w:bCs/>
        </w:rPr>
        <w:t xml:space="preserve">quale delle tre situazioni hai davanti</w:t>
      </w:r>
      <w:r>
        <w:t xml:space="preserve">, perché in ciascuna il tuo comportamento è diverso.</w:t>
      </w:r>
    </w:p>
    <w:p>
      <w:pPr>
        <w:pStyle w:val="BodyText"/>
      </w:pPr>
      <w:r>
        <w:rPr>
          <w:b/>
          <w:bCs/>
        </w:rPr>
        <w:t xml:space="preserve">La ragione del cancello.</w:t>
      </w:r>
      <w:r>
        <w:t xml:space="preserve"> </w:t>
      </w:r>
      <w:r>
        <w:t xml:space="preserve">Il GIALLO non è una concessione: è uno standard più alto. E poggia su quattro cose verificabili —</w:t>
      </w:r>
      <w:r>
        <w:t xml:space="preserve"> </w:t>
      </w:r>
      <w:r>
        <w:rPr>
          <w:b/>
          <w:bCs/>
        </w:rPr>
        <w:t xml:space="preserve">il reperto tuo, il marker, i tre numeri al curante, la data di scadenza in cartella.</w:t>
      </w:r>
    </w:p>
    <w:p>
      <w:pPr>
        <w:pStyle w:val="BodyText"/>
      </w:pPr>
      <w:r>
        <w:rPr>
          <w:b/>
          <w:bCs/>
        </w:rPr>
        <w:t xml:space="preserve">Il mandato clinico nasce da un reperto disfunzionale tuo, documentato, e da un marker che si muove.</w:t>
      </w:r>
      <w:r>
        <w:t xml:space="preserve"> </w:t>
      </w:r>
      <w:r>
        <w:t xml:space="preserve">Non nasce dalla diagnosi medica, e senza quei due elementi non lavori nemmeno con la diagnosi in mano. Il reperto giustifica il tuo lavoro, non sostituisce l’inquadramento: quando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è il bersaglio del tuo lavoro. È una</w:t>
      </w:r>
      <w:r>
        <w:t xml:space="preserve"> </w:t>
      </w:r>
      <w:r>
        <w:rPr>
          <w:b/>
          <w:bCs/>
        </w:rPr>
        <w:t xml:space="preserve">disfunzione somatica</w:t>
      </w:r>
      <w:r>
        <w:t xml:space="preserve"> </w:t>
      </w:r>
      <w:r>
        <w:t xml:space="preserve">quando riguarda il sistema muscolo-scheletrico e le strutture collegate — descrizione di funzione, non diagnosi di malattia.</w:t>
      </w:r>
    </w:p>
    <w:p>
      <w:pPr>
        <w:pStyle w:val="FirstParagraph"/>
      </w:pPr>
      <w:r>
        <w:t xml:space="preserve">Qui il reperto che fonda il mandato ha un requisito in più, e viene dai dati:</w:t>
      </w:r>
      <w:r>
        <w:t xml:space="preserve"> </w:t>
      </w:r>
      <w:r>
        <w:rPr>
          <w:b/>
          <w:bCs/>
        </w:rPr>
        <w:t xml:space="preserve">la dolorabilità alla palpazione dei tessuti molli non fonda il mandato e non funziona da marker.</w:t>
      </w:r>
      <w:r>
        <w:t xml:space="preserve"> </w:t>
      </w:r>
      <w:r>
        <w:t xml:space="preserve">Reggono l’escursione in gradi, la provocazione del dolore con un carico definito, il test di flessione cranio-cervicale e la soglia algometrica.</w:t>
      </w:r>
    </w:p>
    <w:p>
      <w:pPr>
        <w:pStyle w:val="BodyText"/>
      </w:pPr>
      <w:r>
        <w:rPr>
          <w:b/>
          <w:bCs/>
        </w:rPr>
        <w:t xml:space="preserve">🔴 ROSSO — Stop.</w:t>
      </w:r>
      <w:r>
        <w:t xml:space="preserve"> </w:t>
      </w:r>
      <w:r>
        <w:t xml:space="preserve">Basta una sola bandiera rossa. Il paziente esce con un’indicazione medica</w:t>
      </w:r>
      <w:r>
        <w:t xml:space="preserve"> </w:t>
      </w:r>
      <w:r>
        <w:rPr>
          <w:b/>
          <w:bCs/>
        </w:rPr>
        <w:t xml:space="preserve">esplicita e scritta</w:t>
      </w:r>
      <w:r>
        <w:t xml:space="preserve"> </w:t>
      </w:r>
      <w:r>
        <w:t xml:space="preserve">e i tempi dichiarati. Se la riga viene dal Blocco B e coesiste una disfunzione somatica autonoma, la si può trattare. La cartella dichiara allora che la cefalea è in attesa di inquadramento e</w:t>
      </w:r>
      <w:r>
        <w:t xml:space="preserve"> </w:t>
      </w:r>
      <w:r>
        <w:rPr>
          <w:b/>
          <w:bCs/>
        </w:rPr>
        <w:t xml:space="preserve">non è il bersaglio</w:t>
      </w:r>
      <w:r>
        <w:t xml:space="preserve">. Sulle righe del Blocco A non si tratta niente, in nessun distretto.</w:t>
      </w:r>
      <w:r>
        <w:t xml:space="preserve"> </w:t>
      </w: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 È</w:t>
      </w:r>
      <w:r>
        <w:t xml:space="preserve"> </w:t>
      </w:r>
      <w:r>
        <w:rPr>
          <w:b/>
          <w:bCs/>
        </w:rPr>
        <w:t xml:space="preserve">la situazione più frequente</w:t>
      </w:r>
      <w:r>
        <w:t xml:space="preserve">, perché una TAC normale e un’etichetta generica non sono un inquadramento. Quattro condizioni, tutte verificabili.</w:t>
      </w:r>
    </w:p>
    <w:p>
      <w:pPr>
        <w:pStyle w:val="Compact"/>
        <w:numPr>
          <w:ilvl w:val="0"/>
          <w:numId w:val="1021"/>
        </w:numPr>
      </w:pPr>
      <w:r>
        <w:rPr>
          <w:b/>
          <w:bCs/>
        </w:rPr>
        <w:t xml:space="preserve">Un reperto tuo, positivo e scritto in cartella</w:t>
      </w:r>
      <w:r>
        <w:t xml:space="preserve">, e del tipo che regge: gradi al test di flessione-rotazione, esito della provocazione sostenuta su C1-C3, esito del test di flessione cranio-cervicale.</w:t>
      </w:r>
    </w:p>
    <w:p>
      <w:pPr>
        <w:pStyle w:val="Compact"/>
        <w:numPr>
          <w:ilvl w:val="0"/>
          <w:numId w:val="1021"/>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nel collo. Che tipo di mal di testa sia lo stabilisce il suo medico, e nel frattempo io non aspetto.»</w:t>
      </w:r>
    </w:p>
    <w:p>
      <w:pPr>
        <w:pStyle w:val="Compact"/>
        <w:numPr>
          <w:ilvl w:val="0"/>
          <w:numId w:val="1021"/>
        </w:numPr>
      </w:pPr>
      <w:r>
        <w:rPr>
          <w:b/>
          <w:bCs/>
        </w:rPr>
        <w:t xml:space="preserve">Canale medico attivato senza interrompere il lavoro</w:t>
      </w:r>
      <w:r>
        <w:t xml:space="preserve">, con una comunicazione scritta al curante. Su questa condizione quella comunicazione contiene sempre tre numeri: i</w:t>
      </w:r>
      <w:r>
        <w:t xml:space="preserve"> </w:t>
      </w:r>
      <w:r>
        <w:rPr>
          <w:b/>
          <w:bCs/>
        </w:rPr>
        <w:t xml:space="preserve">giorni di cefalea al mese</w:t>
      </w:r>
      <w:r>
        <w:t xml:space="preserve">, i</w:t>
      </w:r>
      <w:r>
        <w:t xml:space="preserve"> </w:t>
      </w:r>
      <w:r>
        <w:rPr>
          <w:b/>
          <w:bCs/>
        </w:rPr>
        <w:t xml:space="preserve">giorni con farmaco al mese</w:t>
      </w:r>
      <w:r>
        <w:t xml:space="preserve"> </w:t>
      </w:r>
      <w:r>
        <w:t xml:space="preserve">e, se è un’emicrania, i</w:t>
      </w:r>
      <w:r>
        <w:t xml:space="preserve"> </w:t>
      </w:r>
      <w:r>
        <w:rPr>
          <w:b/>
          <w:bCs/>
        </w:rPr>
        <w:t xml:space="preserve">giorni di emicrania</w:t>
      </w:r>
      <w:r>
        <w:t xml:space="preserve">. Con accanto la molecola assunta e l’indicazione per cui viene presa.</w:t>
      </w:r>
    </w:p>
    <w:p>
      <w:pPr>
        <w:pStyle w:val="Compact"/>
        <w:numPr>
          <w:ilvl w:val="0"/>
          <w:numId w:val="1021"/>
        </w:numPr>
      </w:pPr>
      <w:r>
        <w:rPr>
          <w:b/>
          <w:bCs/>
        </w:rPr>
        <w:t xml:space="preserve">Tempo definito.</w:t>
      </w:r>
      <w:r>
        <w:t xml:space="preserve"> </w:t>
      </w:r>
      <w:r>
        <w:t xml:space="preserve">Revisione alla rimisurazione del marker a quattro settimane, e</w:t>
      </w:r>
      <w:r>
        <w:t xml:space="preserve"> </w:t>
      </w:r>
      <w:r>
        <w:rPr>
          <w:b/>
          <w:bCs/>
        </w:rPr>
        <w:t xml:space="preserve">in nessun caso oltre otto settimane di calendario</w:t>
      </w:r>
      <w:r>
        <w:t xml:space="preserve"> </w:t>
      </w:r>
      <w:r>
        <w:t xml:space="preserve">dall’apertura del GIALLO. La data si scrive in cartella il giorno stesso: un tetto contato in sedute lo dilata da solo il paziente che viene una volta al mese. Alla scadenza si rimisura e si scrive l’esito; se il marker non si è mosso, il ciclo non si rinnova senza inquadramento.</w:t>
      </w:r>
    </w:p>
    <w:p>
      <w:pPr>
        <w:pStyle w:val="FirstParagraph"/>
      </w:pPr>
      <w:r>
        <w:rPr>
          <w:b/>
          <w:bCs/>
        </w:rPr>
        <w:t xml:space="preserve">Se il tempo scade e il marker non si è mosso</w:t>
      </w:r>
      <w:r>
        <w:t xml:space="preserve">, non è una rinuncia: è un’informazione. Il tuo reperto non era il piano che comandava, e la spinta sul canale medico diventa prioritaria.</w:t>
      </w:r>
    </w:p>
    <w:p>
      <w:pPr>
        <w:pStyle w:val="BodyText"/>
      </w:pPr>
      <w:r>
        <w:rPr>
          <w:b/>
          <w:bCs/>
        </w:rPr>
        <w:t xml:space="preserve">🟢 VERDE — Si procede.</w:t>
      </w:r>
      <w:r>
        <w:t xml:space="preserve"> </w:t>
      </w:r>
      <w:r>
        <w:t xml:space="preserve">Nessuna bandiera rossa, e una fra queste tre: un tipo di cefalea già assegnato da un medico secondo i criteri ICHD-3; una profilassi in corso o già fatta; accertamenti eseguiti e negativi o coerenti con una cefalea primaria.</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mal di testa cambia carattere, sede o intensità rispetto all’ultima valutazione medica: un quadro che cambia forma</w:t>
      </w:r>
      <w:r>
        <w:t xml:space="preserve"> </w:t>
      </w:r>
      <w:r>
        <w:rPr>
          <w:b/>
          <w:bCs/>
        </w:rPr>
        <w:t xml:space="preserve">torna al triage, dall’inizio</w:t>
      </w:r>
      <w:r>
        <w:t xml:space="preserve">. Si controlla a ogni seduta — è la migliore rete di sicurezza del documento contro una secondaria in evoluzione.</w:t>
      </w:r>
    </w:p>
    <w:p>
      <w:pPr>
        <w:pStyle w:val="BodyText"/>
      </w:pPr>
      <w:r>
        <w:t xml:space="preserve">Tutte e tre le uscite poggiano su qualcosa di</w:t>
      </w:r>
      <w:r>
        <w:t xml:space="preserve"> </w:t>
      </w:r>
      <w:r>
        <w:rPr>
          <w:b/>
          <w:bCs/>
        </w:rPr>
        <w:t xml:space="preserve">scritto: quello che non è scritto non esiste.</w:t>
      </w:r>
    </w:p>
    <w:bookmarkEnd w:id="49"/>
    <w:bookmarkStart w:id="50" w:name="X5ac40c5b49b381f25386d880c1ce462e8995bb5"/>
    <w:p>
      <w:pPr>
        <w:pStyle w:val="Heading3"/>
      </w:pPr>
      <w:r>
        <w:t xml:space="preserve">Cosa fanno i farmaci che prende, e perché non li commenti</w:t>
      </w:r>
    </w:p>
    <w:p>
      <w:pPr>
        <w:pStyle w:val="FirstParagraph"/>
      </w:pPr>
      <w:r>
        <w:t xml:space="preserve">Devi riconoscerli, non giudicarli. Cosa fanno, e cosa comportano nel paziente che hai davanti.</w:t>
      </w:r>
    </w:p>
    <w:p>
      <w:pPr>
        <w:pStyle w:val="Compact"/>
        <w:numPr>
          <w:ilvl w:val="0"/>
          <w:numId w:val="1022"/>
        </w:numPr>
      </w:pPr>
      <w:r>
        <w:rPr>
          <w:b/>
          <w:bCs/>
        </w:rPr>
        <w:t xml:space="preserve">Paracetamolo, FANS e associazioni con caffeina.</w:t>
      </w:r>
      <w:r>
        <w:t xml:space="preserve"> </w:t>
      </w:r>
      <w:r>
        <w:t xml:space="preserve">Spengono il dolore dell’episodio.</w:t>
      </w:r>
      <w:r>
        <w:t xml:space="preserve"> </w:t>
      </w:r>
      <w:r>
        <w:rPr>
          <w:i/>
          <w:iCs/>
        </w:rPr>
        <w:t xml:space="preserve">Comporta:</w:t>
      </w:r>
      <w:r>
        <w:t xml:space="preserve"> </w:t>
      </w:r>
      <w:r>
        <w:t xml:space="preserve">in chi prende anticoagulanti o antiaggreganti l’uso frequente è un rischio emorragico, e si comunica subito a prescindere dalle soglie (Zheng, PMID 39492109).</w:t>
      </w:r>
    </w:p>
    <w:p>
      <w:pPr>
        <w:pStyle w:val="Compact"/>
        <w:numPr>
          <w:ilvl w:val="0"/>
          <w:numId w:val="1022"/>
        </w:numPr>
      </w:pPr>
      <w:r>
        <w:rPr>
          <w:b/>
          <w:bCs/>
        </w:rPr>
        <w:t xml:space="preserve">Triptani.</w:t>
      </w:r>
      <w:r>
        <w:t xml:space="preserve"> </w:t>
      </w:r>
      <w:r>
        <w:t xml:space="preserve">Farmaci d’attacco specifici dell’emicrania: se li prende, qualcuno ha già pensato all’emicrania.</w:t>
      </w:r>
      <w:r>
        <w:t xml:space="preserve"> </w:t>
      </w:r>
      <w:r>
        <w:rPr>
          <w:i/>
          <w:iCs/>
        </w:rPr>
        <w:t xml:space="preserve">Comporta:</w:t>
      </w:r>
      <w:r>
        <w:t xml:space="preserve"> </w:t>
      </w:r>
      <w:r>
        <w:t xml:space="preserve">sono controindicati in cardiopatia ischemica, infarto o ictus pregressi, ipertensione non controllata — nei casi con evento gli odds erano 3,3 per l’infarto e 3,2 per l’ictus (Petersen,</w:t>
      </w:r>
      <w:r>
        <w:t xml:space="preserve"> </w:t>
      </w:r>
      <w:r>
        <w:rPr>
          <w:i/>
          <w:iCs/>
        </w:rPr>
        <w:t xml:space="preserve">JAMA Neurol</w:t>
      </w:r>
      <w:r>
        <w:t xml:space="preserve"> </w:t>
      </w:r>
      <w:r>
        <w:t xml:space="preserve">2024, PMID 38315477).</w:t>
      </w:r>
    </w:p>
    <w:p>
      <w:pPr>
        <w:pStyle w:val="Compact"/>
        <w:numPr>
          <w:ilvl w:val="0"/>
          <w:numId w:val="1022"/>
        </w:numPr>
      </w:pPr>
      <w:r>
        <w:rPr>
          <w:b/>
          <w:bCs/>
        </w:rPr>
        <w:t xml:space="preserve">Profilassi classiche</w:t>
      </w:r>
      <w:r>
        <w:t xml:space="preserve"> </w:t>
      </w:r>
      <w:r>
        <w:t xml:space="preserve">— amitriptilina, propranololo, topiramato, candesartan, flunarizina: agiscono sulla frequenza, non sull’attacco.</w:t>
      </w:r>
      <w:r>
        <w:t xml:space="preserve"> </w:t>
      </w:r>
      <w:r>
        <w:rPr>
          <w:i/>
          <w:iCs/>
        </w:rPr>
        <w:t xml:space="preserve">Comporta:</w:t>
      </w:r>
      <w:r>
        <w:t xml:space="preserve"> </w:t>
      </w:r>
      <w:r>
        <w:t xml:space="preserve">l’amitriptilina è nei criteri Beers per l’anziano. Non la commenti, ma sai che l’instabilità di quella signora può venire dal farmaco e non dal collo, e questa possibilità cambia cosa scrivi.</w:t>
      </w:r>
    </w:p>
    <w:p>
      <w:pPr>
        <w:pStyle w:val="Compact"/>
        <w:numPr>
          <w:ilvl w:val="0"/>
          <w:numId w:val="1022"/>
        </w:numPr>
      </w:pPr>
      <w:r>
        <w:rPr>
          <w:b/>
          <w:bCs/>
        </w:rPr>
        <w:t xml:space="preserve">Anticorpi anti-CGRP e gepanti.</w:t>
      </w:r>
      <w:r>
        <w:t xml:space="preserve"> </w:t>
      </w:r>
      <w:r>
        <w:t xml:space="preserve">La profilassi moderna, rimborsata su criteri AIFA.</w:t>
      </w:r>
      <w:r>
        <w:t xml:space="preserve"> </w:t>
      </w:r>
      <w:r>
        <w:rPr>
          <w:i/>
          <w:iCs/>
        </w:rPr>
        <w:t xml:space="preserve">Comporta:</w:t>
      </w:r>
      <w:r>
        <w:t xml:space="preserve"> </w:t>
      </w:r>
      <w:r>
        <w:t xml:space="preserve">se una profilassi è stata iniziata o cambiata negli ultimi tre mesi, il tuo conteggio non è un marker pulito.</w:t>
      </w:r>
    </w:p>
    <w:p>
      <w:pPr>
        <w:pStyle w:val="FirstParagraph"/>
      </w:pPr>
      <w:r>
        <w:t xml:space="preserve">Nessuna valutazione e nessun suggerimento di modifica, nemmeno in forma dubitativa: decide il prescrittore. Tu</w:t>
      </w:r>
      <w:r>
        <w:t xml:space="preserve"> </w:t>
      </w:r>
      <w:r>
        <w:rPr>
          <w:b/>
          <w:bCs/>
        </w:rPr>
        <w:t xml:space="preserve">conti i giorni, registri molecola e indicazione, e riferisci</w:t>
      </w:r>
      <w:r>
        <w:t xml:space="preserve"> </w:t>
      </w:r>
      <w:r>
        <w:t xml:space="preserve">— e contare non è prescrivere.</w:t>
      </w:r>
    </w:p>
    <w:bookmarkEnd w:id="50"/>
    <w:bookmarkStart w:id="51" w:name="X1ac5a1b3cdf7e22e51df529af64ae60c55cc369"/>
    <w:p>
      <w:pPr>
        <w:pStyle w:val="Heading3"/>
      </w:pPr>
      <w:r>
        <w:t xml:space="preserve">Cosa dichiari nel consenso su questa condizione</w:t>
      </w:r>
    </w:p>
    <w:p>
      <w:pPr>
        <w:pStyle w:val="FirstParagraph"/>
      </w:pPr>
      <w:r>
        <w:t xml:space="preserve">Quattro righe che qui aggiungi e in un’altra Bibbia non scriveresti.</w:t>
      </w:r>
    </w:p>
    <w:p>
      <w:pPr>
        <w:pStyle w:val="Compact"/>
        <w:numPr>
          <w:ilvl w:val="0"/>
          <w:numId w:val="1023"/>
        </w:numPr>
      </w:pPr>
      <w:r>
        <w:t xml:space="preserve">L’oggetto del trattamento è la</w:t>
      </w:r>
      <w:r>
        <w:t xml:space="preserve"> </w:t>
      </w:r>
      <w:r>
        <w:rPr>
          <w:b/>
          <w:bCs/>
        </w:rPr>
        <w:t xml:space="preserve">disfunzione cervicale e miofasciale trovata e documentata</w:t>
      </w:r>
      <w:r>
        <w:t xml:space="preserve">, non la cefalea né il tipo di cefalea.</w:t>
      </w:r>
    </w:p>
    <w:p>
      <w:pPr>
        <w:pStyle w:val="Compact"/>
        <w:numPr>
          <w:ilvl w:val="0"/>
          <w:numId w:val="1023"/>
        </w:numPr>
      </w:pPr>
      <w:r>
        <w:t xml:space="preserve">Sulla media dei pazienti gli effetti misurati del trattamento manuale sono piccoli e di qualità bassa. Le prove migliori stanno sull’esercizio, l’informazione e il training comportamentale.</w:t>
      </w:r>
    </w:p>
    <w:p>
      <w:pPr>
        <w:pStyle w:val="Compact"/>
        <w:numPr>
          <w:ilvl w:val="0"/>
          <w:numId w:val="1023"/>
        </w:numPr>
      </w:pPr>
      <w:r>
        <w:t xml:space="preserve">Il</w:t>
      </w:r>
      <w:r>
        <w:t xml:space="preserve"> </w:t>
      </w:r>
      <w:r>
        <w:rPr>
          <w:b/>
          <w:bCs/>
        </w:rPr>
        <w:t xml:space="preserve">numero di giorni con farmaco</w:t>
      </w:r>
      <w:r>
        <w:t xml:space="preserve"> </w:t>
      </w:r>
      <w:r>
        <w:t xml:space="preserve">viene comunicato per iscritto al curante.</w:t>
      </w:r>
    </w:p>
    <w:p>
      <w:pPr>
        <w:pStyle w:val="Compact"/>
        <w:numPr>
          <w:ilvl w:val="0"/>
          <w:numId w:val="1023"/>
        </w:numPr>
      </w:pPr>
      <w:r>
        <w:t xml:space="preserve">Se il ciclo prevede tecniche ad alta velocità sul rachide cervicale, si dichiara che sono associate in casi rari alla dissezione di un’arteria cervicale. E si dichiara che</w:t>
      </w:r>
      <w:r>
        <w:t xml:space="preserve"> </w:t>
      </w:r>
      <w:r>
        <w:rPr>
          <w:b/>
          <w:bCs/>
        </w:rPr>
        <w:t xml:space="preserve">il sintomo d’esordio di quella complicanza è lo stesso per cui il paziente è venuto</w:t>
      </w:r>
      <w:r>
        <w:t xml:space="preserve">. E il paziente esce sapendo una cosa: una cefalea o un dolore al collo nuovi e diversi dai suoi, o qualunque disturbo di vista, parola, forza o equilibrio nei giorni successivi,</w:t>
      </w:r>
      <w:r>
        <w:t xml:space="preserve"> </w:t>
      </w:r>
      <w:r>
        <w:rPr>
          <w:b/>
          <w:bCs/>
        </w:rPr>
        <w:t xml:space="preserve">si portano in pronto soccorso e non allo studio</w:t>
      </w:r>
      <w:r>
        <w:t xml:space="preserve">.</w:t>
      </w:r>
    </w:p>
    <w:bookmarkEnd w:id="51"/>
    <w:bookmarkStart w:id="52" w:name="X981d4ada8bad081246fe7079d0331a602675b7a"/>
    <w:p>
      <w:pPr>
        <w:pStyle w:val="Heading3"/>
      </w:pPr>
      <w:r>
        <w:t xml:space="preserve">Il confine di atto, dove questa condizione lo mette alla prova</w:t>
      </w:r>
    </w:p>
    <w:p>
      <w:pPr>
        <w:pStyle w:val="FirstParagraph"/>
      </w:pPr>
      <w:r>
        <w:rPr>
          <w:b/>
          <w:bCs/>
        </w:rPr>
        <w:t xml:space="preserve">Non si assegna il tipo di cefalea.</w:t>
      </w:r>
      <w:r>
        <w:t xml:space="preserve"> </w:t>
      </w:r>
      <w:r>
        <w:t xml:space="preserve">Dire</w:t>
      </w:r>
      <w:r>
        <w:t xml:space="preserve"> </w:t>
      </w:r>
      <w:r>
        <w:rPr>
          <w:i/>
          <w:iCs/>
        </w:rPr>
        <w:t xml:space="preserve">“è emicrania”</w:t>
      </w:r>
      <w:r>
        <w:t xml:space="preserve">,</w:t>
      </w:r>
      <w:r>
        <w:t xml:space="preserve"> </w:t>
      </w:r>
      <w:r>
        <w:rPr>
          <w:i/>
          <w:iCs/>
        </w:rPr>
        <w:t xml:space="preserve">“è tensiva”</w:t>
      </w:r>
      <w:r>
        <w:t xml:space="preserve">,</w:t>
      </w:r>
      <w:r>
        <w:t xml:space="preserve"> </w:t>
      </w:r>
      <w:r>
        <w:rPr>
          <w:i/>
          <w:iCs/>
        </w:rPr>
        <w:t xml:space="preserve">“è cervicogenica”</w:t>
      </w:r>
      <w:r>
        <w:t xml:space="preserve"> </w:t>
      </w:r>
      <w:r>
        <w:t xml:space="preserve">è formulare una diagnosi secondo una classificazione medica internazionale. Si scrive il reperto e il pattern osservato, non l’etichetta.</w:t>
      </w:r>
      <w:r>
        <w:t xml:space="preserve"> </w:t>
      </w:r>
      <w:r>
        <w:rPr>
          <w:b/>
          <w:bCs/>
        </w:rPr>
        <w:t xml:space="preserve">Non si dichiara cervicogenica una cefalea sulla base della dolorabilità</w:t>
      </w:r>
      <w:r>
        <w:t xml:space="preserve">, che c’è in quasi tutte le primarie: discrimina il cluster dei tre reperti, e anche quello orienta senza fare diagnosi.</w:t>
      </w:r>
      <w:r>
        <w:t xml:space="preserve"> </w:t>
      </w:r>
      <w:r>
        <w:rPr>
          <w:b/>
          <w:bCs/>
        </w:rPr>
        <w:t xml:space="preserve">Non si dice al paziente che il suo mal di testa viene dalla cervicale</w:t>
      </w:r>
      <w:r>
        <w:t xml:space="preserve">, nemmeno per metafora: nei gruppi emicrania e tensiva quell’alterazione non c’era (Jull, PMID 17598761). Oltre a essere una diagnosi, quindi, è falsa nella maggior parte dei casi in cui viene detta.</w:t>
      </w:r>
    </w:p>
    <w:p>
      <w:pPr>
        <w:pStyle w:val="BodyText"/>
      </w:pPr>
      <w:r>
        <w:rPr>
          <w:b/>
          <w:bCs/>
        </w:rPr>
        <w:t xml:space="preserve">La manipolazione ad alta velocità del rachide cervicale merita una riga a sé.</w:t>
      </w:r>
      <w:r>
        <w:t xml:space="preserve"> </w:t>
      </w:r>
      <w:r>
        <w:t xml:space="preserve">Sull’emicrania la sintesi più recente riporta eventi avversi</w:t>
      </w:r>
      <w:r>
        <w:t xml:space="preserve"> </w:t>
      </w:r>
      <w:r>
        <w:rPr>
          <w:b/>
          <w:bCs/>
        </w:rPr>
        <w:t xml:space="preserve">RR 2,06 (IC 1,24–3,41), numero necessario per nuocere 6</w:t>
      </w:r>
      <w:r>
        <w:t xml:space="preserve">, a fronte di un’efficacia non dimostrata (Posadzki,</w:t>
      </w:r>
      <w:r>
        <w:t xml:space="preserve"> </w:t>
      </w:r>
      <w:r>
        <w:rPr>
          <w:i/>
          <w:iCs/>
        </w:rPr>
        <w:t xml:space="preserve">Systematic Reviews</w:t>
      </w:r>
      <w:r>
        <w:t xml:space="preserve"> </w:t>
      </w:r>
      <w:r>
        <w:t xml:space="preserve">2024, PMID 39614402).</w:t>
      </w:r>
      <w:r>
        <w:t xml:space="preserve"> </w:t>
      </w:r>
      <w:r>
        <w:rPr>
          <w:i/>
          <w:iCs/>
        </w:rPr>
        <w:t xml:space="preserve">Conseguenza operativa:</w:t>
      </w:r>
      <w:r>
        <w:t xml:space="preserve"> </w:t>
      </w:r>
      <w:r>
        <w:t xml:space="preserve">su una cefalea nuova, su una che ha cambiato carattere, e finché il triage non è chiuso, non è l’opzione da valutare.</w:t>
      </w:r>
    </w:p>
    <w:p>
      <w:pPr>
        <w:pStyle w:val="BodyText"/>
      </w:pPr>
      <w:r>
        <w:t xml:space="preserve">L’ancora normativa si cita una volta e non si espone:</w:t>
      </w:r>
      <w:r>
        <w:t xml:space="preserve"> </w:t>
      </w:r>
      <w:r>
        <w:rPr>
          <w:b/>
          <w:bCs/>
        </w:rPr>
        <w:t xml:space="preserve">L. 3/2018, DPR 131/2021, DPCM 25 marzo 2026</w:t>
      </w:r>
      <w:r>
        <w:t xml:space="preserve">. Quello che cambia</w:t>
      </w:r>
      <w:r>
        <w:t xml:space="preserve"> </w:t>
      </w:r>
      <w:r>
        <w:rPr>
          <w:b/>
          <w:bCs/>
        </w:rPr>
        <w:t xml:space="preserve">su questa condizione</w:t>
      </w:r>
      <w:r>
        <w:t xml:space="preserve"> </w:t>
      </w:r>
      <w:r>
        <w:t xml:space="preserve">è una cosa sola. Il nostro profilo ammette tecniche manuali</w:t>
      </w:r>
      <w:r>
        <w:t xml:space="preserve"> </w:t>
      </w:r>
      <w:r>
        <w:rPr>
          <w:b/>
          <w:bCs/>
        </w:rPr>
        <w:t xml:space="preserve">esterne e non invasive</w:t>
      </w:r>
      <w:r>
        <w:t xml:space="preserve">, e qui la struttura più trascurata di tutte — l’unità masticatoria — si raggiunge anche per via</w:t>
      </w:r>
      <w:r>
        <w:t xml:space="preserve"> </w:t>
      </w:r>
      <w:r>
        <w:rPr>
          <w:b/>
          <w:bCs/>
        </w:rPr>
        <w:t xml:space="preserve">intra-orale</w:t>
      </w:r>
      <w:r>
        <w:t xml:space="preserve">. Quella via è fuori perimetro.</w:t>
      </w:r>
    </w:p>
    <w:p>
      <w:pPr>
        <w:pStyle w:val="BodyText"/>
      </w:pPr>
      <w:r>
        <w:rPr>
          <w:b/>
          <w:bCs/>
        </w:rPr>
        <w:t xml:space="preserve">Cosa succede se sbagli campo.</w:t>
      </w:r>
      <w:r>
        <w:t xml:space="preserve"> </w:t>
      </w:r>
      <w:r>
        <w:t xml:space="preserve">L’errore qui non è quasi mai una manovra fatta male. È un ciclo aperto su una cefalea che stava cambiando forma, o un paziente che prende ventidue pastiglie al mese e a cui nessuno ha contato i giorni.</w:t>
      </w:r>
    </w:p>
    <w:p>
      <w:pPr>
        <w:pStyle w:val="BodyText"/>
      </w:pPr>
      <w:r>
        <w:rPr>
          <w:b/>
          <w:bCs/>
        </w:rPr>
        <w:t xml:space="preserve">Le tre cose da ricordare, più una</w:t>
      </w:r>
    </w:p>
    <w:p>
      <w:pPr>
        <w:pStyle w:val="Compact"/>
        <w:numPr>
          <w:ilvl w:val="0"/>
          <w:numId w:val="1024"/>
        </w:numPr>
      </w:pPr>
      <w:r>
        <w:t xml:space="preserve">Una sola riga del Blocco A chiude la seduta, in qualunque distretto. E la dissezione si riconosce da segni che ora hai.</w:t>
      </w:r>
    </w:p>
    <w:p>
      <w:pPr>
        <w:pStyle w:val="Compact"/>
        <w:numPr>
          <w:ilvl w:val="0"/>
          <w:numId w:val="1024"/>
        </w:numPr>
      </w:pPr>
      <w:r>
        <w:t xml:space="preserve">Nel GIALLO la comunicazione scritta al curante porta tre numeri e una data di scadenza in settimane.</w:t>
      </w:r>
    </w:p>
    <w:p>
      <w:pPr>
        <w:pStyle w:val="Compact"/>
        <w:numPr>
          <w:ilvl w:val="0"/>
          <w:numId w:val="1024"/>
        </w:numPr>
      </w:pPr>
      <w:r>
        <w:t xml:space="preserve">Non assegni il tipo di cefalea, nemmeno a voce, nemmeno per metafora, nemmeno quando sei sicuro.</w:t>
      </w:r>
    </w:p>
    <w:p>
      <w:pPr>
        <w:pStyle w:val="Compact"/>
        <w:numPr>
          <w:ilvl w:val="0"/>
          <w:numId w:val="1024"/>
        </w:numPr>
      </w:pPr>
      <w:r>
        <w:rPr>
          <w:b/>
          <w:bCs/>
        </w:rPr>
        <w:t xml:space="preserve">Perché ci sei tu.</w:t>
      </w:r>
      <w:r>
        <w:t xml:space="preserve"> </w:t>
      </w:r>
      <w:r>
        <w:t xml:space="preserve">La lista di bandiere rosse di riferimento ha mostrato sensibilità del 100 per cento sulle cefalee secondarie ad alto rischio (García-Azorín,</w:t>
      </w:r>
      <w:r>
        <w:t xml:space="preserve"> </w:t>
      </w:r>
      <w:r>
        <w:rPr>
          <w:i/>
          <w:iCs/>
        </w:rPr>
        <w:t xml:space="preserve">Cephalalgia</w:t>
      </w:r>
      <w:r>
        <w:t xml:space="preserve"> </w:t>
      </w:r>
      <w:r>
        <w:t xml:space="preserve">2022, PMID 36003002). Ti autorizza a usarla come schermo scritto a ogni ciclo. Non ti autorizza a considerarti un filtro che sostituisce il medico: quella sensibilità è stata misurata in pronto soccorso, con un neurologo che poneva la diagnosi dopo.</w:t>
      </w:r>
    </w:p>
    <w:p>
      <w:r>
        <w:pict>
          <v:rect style="width:0;height:1.5pt" o:hralign="center" o:hrstd="t" o:hr="t"/>
        </w:pict>
      </w:r>
    </w:p>
    <w:bookmarkEnd w:id="52"/>
    <w:bookmarkEnd w:id="53"/>
    <w:bookmarkStart w:id="66" w:name="capitolo-10-cosa-dice-la-scienza"/>
    <w:p>
      <w:pPr>
        <w:pStyle w:val="Heading2"/>
      </w:pPr>
      <w:r>
        <w:t xml:space="preserve">Capitolo 10 — Cosa dice la scienza</w:t>
      </w:r>
    </w:p>
    <w:p>
      <w:pPr>
        <w:pStyle w:val="BlockText"/>
      </w:pPr>
      <w:r>
        <w:rPr>
          <w:b/>
          <w:bCs/>
        </w:rPr>
        <w:t xml:space="preserve">In una riga:</w:t>
      </w:r>
      <w:r>
        <w:t xml:space="preserve"> </w:t>
      </w:r>
      <w:r>
        <w:t xml:space="preserve">la fisiologia di questa famiglia di quadri è molto più solida della sua terapia manuale, e sul singolo sottotipo cervicogenico il rapporto si ribalta.</w:t>
      </w:r>
    </w:p>
    <w:bookmarkStart w:id="54" w:name="le-due-ancore"/>
    <w:p>
      <w:pPr>
        <w:pStyle w:val="Heading3"/>
      </w:pPr>
      <w:r>
        <w:t xml:space="preserve">Le due ancore</w:t>
      </w:r>
    </w:p>
    <w:p>
      <w:pPr>
        <w:pStyle w:val="FirstParagraph"/>
      </w:pPr>
      <w:r>
        <w:rPr>
          <w:b/>
          <w:bCs/>
        </w:rPr>
        <w:t xml:space="preserve">L’ancora clinica è Kerstin Luedtke</w:t>
      </w:r>
      <w:r>
        <w:t xml:space="preserve">, a Lubecca. È l’unica il cui programma riguarda la</w:t>
      </w:r>
      <w:r>
        <w:t xml:space="preserve"> </w:t>
      </w:r>
      <w:r>
        <w:rPr>
          <w:b/>
          <w:bCs/>
        </w:rPr>
        <w:t xml:space="preserve">cefalea in quanto famiglia</w:t>
      </w:r>
      <w:r>
        <w:t xml:space="preserve">, dal punto di vista di chi la tratta con le mani.</w:t>
      </w:r>
      <w:r>
        <w:t xml:space="preserve"> </w:t>
      </w:r>
      <w:r>
        <w:rPr>
          <w:b/>
          <w:bCs/>
        </w:rPr>
        <w:t xml:space="preserve">L’ancora fisiologica è Peter J. Goadsby, con Thorsten Bartsch.</w:t>
      </w:r>
      <w:r>
        <w:t xml:space="preserve"> </w:t>
      </w:r>
      <w:r>
        <w:t xml:space="preserve">Hanno misurato nei due versi la convergenza fra ingresso cervicale e durale sugli stessi neuroni di secondo ordine,</w:t>
      </w:r>
      <w:r>
        <w:t xml:space="preserve"> </w:t>
      </w:r>
      <w:r>
        <w:rPr>
          <w:b/>
          <w:bCs/>
        </w:rPr>
        <w:t xml:space="preserve">nel ratto anestetizzato</w:t>
      </w:r>
      <w:r>
        <w:t xml:space="preserve">. Dichiararne due è più onesto che gonfiarne una.</w:t>
      </w:r>
    </w:p>
    <w:bookmarkEnd w:id="54"/>
    <w:bookmarkStart w:id="62"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w:t>
            </w:r>
          </w:p>
        </w:tc>
        <w:tc>
          <w:tcPr/>
          <w:p>
            <w:pPr>
              <w:pStyle w:val="Compact"/>
            </w:pPr>
            <w:r>
              <w:t xml:space="preserve">Cosa ha misurato</w:t>
            </w:r>
          </w:p>
        </w:tc>
        <w:tc>
          <w:tcPr/>
          <w:p>
            <w:pPr>
              <w:pStyle w:val="Compact"/>
            </w:pPr>
            <w:r>
              <w:t xml:space="preserve">Cosa ti autorizza a fare</w:t>
            </w:r>
          </w:p>
        </w:tc>
      </w:tr>
      <w:tr>
        <w:tc>
          <w:tcPr/>
          <w:p>
            <w:pPr>
              <w:pStyle w:val="Compact"/>
            </w:pPr>
            <w:hyperlink r:id="rId55">
              <w:r>
                <w:rPr>
                  <w:rStyle w:val="Hyperlink"/>
                </w:rPr>
                <w:t xml:space="preserve">Jull 2007</w:t>
              </w:r>
            </w:hyperlink>
          </w:p>
        </w:tc>
        <w:tc>
          <w:tcPr/>
          <w:p>
            <w:pPr>
              <w:pStyle w:val="Compact"/>
            </w:pPr>
            <w:r>
              <w:t xml:space="preserve">Cluster di tre test, 73 pazienti</w:t>
            </w:r>
          </w:p>
        </w:tc>
        <w:tc>
          <w:tcPr/>
          <w:p>
            <w:pPr>
              <w:pStyle w:val="Compact"/>
            </w:pPr>
            <w:r>
              <w:t xml:space="preserve">Cercare la cervicogenica con i test, non palpando</w:t>
            </w:r>
          </w:p>
        </w:tc>
      </w:tr>
      <w:tr>
        <w:tc>
          <w:tcPr/>
          <w:p>
            <w:pPr>
              <w:pStyle w:val="Compact"/>
            </w:pPr>
            <w:hyperlink r:id="rId56">
              <w:r>
                <w:rPr>
                  <w:rStyle w:val="Hyperlink"/>
                </w:rPr>
                <w:t xml:space="preserve">Jull 2002</w:t>
              </w:r>
            </w:hyperlink>
          </w:p>
        </w:tc>
        <w:tc>
          <w:tcPr/>
          <w:p>
            <w:pPr>
              <w:pStyle w:val="Compact"/>
            </w:pPr>
            <w:r>
              <w:t xml:space="preserve">200 cervicogenici, quattro bracci, 12 mesi</w:t>
            </w:r>
          </w:p>
        </w:tc>
        <w:tc>
          <w:tcPr/>
          <w:p>
            <w:pPr>
              <w:pStyle w:val="Compact"/>
            </w:pPr>
            <w:r>
              <w:t xml:space="preserve">Costruire il ciclo su mano</w:t>
            </w:r>
            <w:r>
              <w:t xml:space="preserve"> </w:t>
            </w:r>
            <w:r>
              <w:rPr>
                <w:b/>
                <w:bCs/>
              </w:rPr>
              <w:t xml:space="preserve">ed</w:t>
            </w:r>
            <w:r>
              <w:t xml:space="preserve"> </w:t>
            </w:r>
            <w:r>
              <w:t xml:space="preserve">esercizio</w:t>
            </w:r>
          </w:p>
        </w:tc>
      </w:tr>
      <w:tr>
        <w:tc>
          <w:tcPr/>
          <w:p>
            <w:pPr>
              <w:pStyle w:val="Compact"/>
            </w:pPr>
            <w:hyperlink r:id="rId57">
              <w:r>
                <w:rPr>
                  <w:rStyle w:val="Hyperlink"/>
                </w:rPr>
                <w:t xml:space="preserve">Luedtke 2016</w:t>
              </w:r>
            </w:hyperlink>
          </w:p>
        </w:tc>
        <w:tc>
          <w:tcPr/>
          <w:p>
            <w:pPr>
              <w:pStyle w:val="Compact"/>
            </w:pPr>
            <w:r>
              <w:t xml:space="preserve">20 studi, tutte le cefalee</w:t>
            </w:r>
          </w:p>
        </w:tc>
        <w:tc>
          <w:tcPr/>
          <w:p>
            <w:pPr>
              <w:pStyle w:val="Compact"/>
            </w:pPr>
            <w:r>
              <w:t xml:space="preserve">Dire il numero vero sulla media dei pazienti</w:t>
            </w:r>
          </w:p>
        </w:tc>
      </w:tr>
      <w:tr>
        <w:tc>
          <w:tcPr/>
          <w:p>
            <w:pPr>
              <w:pStyle w:val="Compact"/>
            </w:pPr>
            <w:hyperlink r:id="rId58">
              <w:r>
                <w:rPr>
                  <w:rStyle w:val="Hyperlink"/>
                </w:rPr>
                <w:t xml:space="preserve">Rehman 2026</w:t>
              </w:r>
            </w:hyperlink>
          </w:p>
        </w:tc>
        <w:tc>
          <w:tcPr/>
          <w:p>
            <w:pPr>
              <w:pStyle w:val="Compact"/>
            </w:pPr>
            <w:r>
              <w:t xml:space="preserve">18 randomizzati di sole tecniche osteopatiche</w:t>
            </w:r>
          </w:p>
        </w:tc>
        <w:tc>
          <w:tcPr/>
          <w:p>
            <w:pPr>
              <w:pStyle w:val="Compact"/>
            </w:pPr>
            <w:r>
              <w:t xml:space="preserve">Citare la nostra letteratura, sul paziente selezionato</w:t>
            </w:r>
          </w:p>
        </w:tc>
      </w:tr>
      <w:tr>
        <w:tc>
          <w:tcPr/>
          <w:p>
            <w:pPr>
              <w:pStyle w:val="Compact"/>
            </w:pPr>
            <w:hyperlink r:id="rId59">
              <w:r>
                <w:rPr>
                  <w:rStyle w:val="Hyperlink"/>
                </w:rPr>
                <w:t xml:space="preserve">Kamonseki 2022</w:t>
              </w:r>
            </w:hyperlink>
          </w:p>
        </w:tc>
        <w:tc>
          <w:tcPr/>
          <w:p>
            <w:pPr>
              <w:pStyle w:val="Compact"/>
            </w:pPr>
            <w:r>
              <w:t xml:space="preserve">15 studi sulla tensiva, 1.131 pazienti</w:t>
            </w:r>
          </w:p>
        </w:tc>
        <w:tc>
          <w:tcPr/>
          <w:p>
            <w:pPr>
              <w:pStyle w:val="Compact"/>
            </w:pPr>
            <w:r>
              <w:t xml:space="preserve">Separare i tessuti molli dall’alta velocità</w:t>
            </w:r>
          </w:p>
        </w:tc>
      </w:tr>
      <w:tr>
        <w:tc>
          <w:tcPr/>
          <w:p>
            <w:pPr>
              <w:pStyle w:val="Compact"/>
            </w:pPr>
            <w:hyperlink r:id="rId60">
              <w:r>
                <w:rPr>
                  <w:rStyle w:val="Hyperlink"/>
                </w:rPr>
                <w:t xml:space="preserve">Kristoffersen 2015</w:t>
              </w:r>
            </w:hyperlink>
          </w:p>
        </w:tc>
        <w:tc>
          <w:tcPr/>
          <w:p>
            <w:pPr>
              <w:pStyle w:val="Compact"/>
            </w:pPr>
            <w:r>
              <w:t xml:space="preserve">Informazione sul farmaco, 60 pazienti</w:t>
            </w:r>
          </w:p>
        </w:tc>
        <w:tc>
          <w:tcPr/>
          <w:p>
            <w:pPr>
              <w:pStyle w:val="Compact"/>
            </w:pPr>
            <w:r>
              <w:t xml:space="preserve">Contare i giorni e mandare il numero</w:t>
            </w:r>
          </w:p>
        </w:tc>
      </w:tr>
      <w:tr>
        <w:tc>
          <w:tcPr/>
          <w:p>
            <w:pPr>
              <w:pStyle w:val="Compact"/>
            </w:pPr>
            <w:hyperlink r:id="rId61">
              <w:r>
                <w:rPr>
                  <w:rStyle w:val="Hyperlink"/>
                </w:rPr>
                <w:t xml:space="preserve">Nestoriuc 2008</w:t>
              </w:r>
            </w:hyperlink>
          </w:p>
        </w:tc>
        <w:tc>
          <w:tcPr/>
          <w:p>
            <w:pPr>
              <w:pStyle w:val="Compact"/>
            </w:pPr>
            <w:r>
              <w:t xml:space="preserve">Biofeedback, 53 studi, tensiva</w:t>
            </w:r>
          </w:p>
        </w:tc>
        <w:tc>
          <w:tcPr/>
          <w:p>
            <w:pPr>
              <w:pStyle w:val="Compact"/>
            </w:pPr>
            <w:r>
              <w:t xml:space="preserve">Nominare il training e rinviarlo</w:t>
            </w:r>
          </w:p>
        </w:tc>
      </w:tr>
    </w:tbl>
    <w:bookmarkEnd w:id="62"/>
    <w:bookmarkStart w:id="63" w:name="i-tre-cerchi"/>
    <w:p>
      <w:pPr>
        <w:pStyle w:val="Heading3"/>
      </w:pPr>
      <w:r>
        <w:t xml:space="preserve">I tre cerchi</w:t>
      </w:r>
    </w:p>
    <w:p>
      <w:pPr>
        <w:pStyle w:val="FirstParagraph"/>
      </w:pPr>
      <w:r>
        <w:rPr>
          <w:b/>
          <w:bCs/>
        </w:rPr>
        <w:t xml:space="preserve">Cerchio 1 — l’intervento su questa condizione.</w:t>
      </w:r>
      <w:r>
        <w:t xml:space="preserve"> </w:t>
      </w:r>
      <w:r>
        <w:t xml:space="preserve">Esiste, e gli effetti medi sono piccoli.</w:t>
      </w:r>
    </w:p>
    <w:p>
      <w:pPr>
        <w:pStyle w:val="BodyText"/>
      </w:pPr>
      <w:r>
        <w:t xml:space="preserve">Su</w:t>
      </w:r>
      <w:r>
        <w:t xml:space="preserve"> </w:t>
      </w:r>
      <w:r>
        <w:rPr>
          <w:b/>
          <w:bCs/>
        </w:rPr>
        <w:t xml:space="preserve">20 studi entrati nelle meta-analisi, di 77 eleggibili</w:t>
      </w:r>
      <w:r>
        <w:t xml:space="preserve">, gli interventi usati dai fisioterapisti hanno ridotto tre cose: l’intensità della cefalea di tipo tensivo di 1,11 punti su una scala visiva, la frequenza della cervicogenica di 1,34 giorni al mese e la durata dell’attacco emicranico di 22,39 ore. Gli autori scrivono che la riduzione del dolore e quella di frequenza nella cervicogenica</w:t>
      </w:r>
      <w:r>
        <w:t xml:space="preserve"> </w:t>
      </w:r>
      <w:r>
        <w:rPr>
          <w:b/>
          <w:bCs/>
        </w:rPr>
        <w:t xml:space="preserve">non raggiungono una dimensione clinicamente rilevante</w:t>
      </w:r>
      <w:r>
        <w:t xml:space="preserve">, con prove di livello basso (Luedtke,</w:t>
      </w:r>
      <w:r>
        <w:t xml:space="preserve"> </w:t>
      </w:r>
      <w:r>
        <w:rPr>
          <w:i/>
          <w:iCs/>
        </w:rPr>
        <w:t xml:space="preserve">Cephalalgia</w:t>
      </w:r>
      <w:r>
        <w:t xml:space="preserve"> </w:t>
      </w:r>
      <w:r>
        <w:t xml:space="preserve">2016, PMID 26229071). Se si escludono i trial ad alto rischio di bias, gli effetti aumentano e diventano significativi. Ma restano pochi trial superstiti, e le dimensioni non le conferma nessun’altra fonte: qui si riporta la stima su tutti i trial.</w:t>
      </w:r>
    </w:p>
    <w:p>
      <w:pPr>
        <w:pStyle w:val="BodyText"/>
      </w:pPr>
      <w:r>
        <w:t xml:space="preserve">Su 200 pazienti con cefalea cervicogenica randomizzati in quattro bracci, sia la terapia manipolativa sia l’esercizio specifico hanno ridotto frequenza e intensità, con effetti mantenuti a dodici mesi. La combinazione</w:t>
      </w:r>
      <w:r>
        <w:t xml:space="preserve"> </w:t>
      </w:r>
      <w:r>
        <w:rPr>
          <w:b/>
          <w:bCs/>
        </w:rPr>
        <w:t xml:space="preserve">non è risultata statisticamente superiore</w:t>
      </w:r>
      <w:r>
        <w:t xml:space="preserve"> </w:t>
      </w:r>
      <w:r>
        <w:t xml:space="preserve">a ciascuna delle due da sola, benché un 10 per cento in più di pazienti abbia ottenuto sollievo (Jull,</w:t>
      </w:r>
      <w:r>
        <w:t xml:space="preserve"> </w:t>
      </w:r>
      <w:r>
        <w:rPr>
          <w:i/>
          <w:iCs/>
        </w:rPr>
        <w:t xml:space="preserve">Spine</w:t>
      </w:r>
      <w:r>
        <w:t xml:space="preserve"> </w:t>
      </w:r>
      <w:r>
        <w:t xml:space="preserve">2002, PMID 12221344).</w:t>
      </w:r>
    </w:p>
    <w:p>
      <w:pPr>
        <w:pStyle w:val="BodyText"/>
      </w:pPr>
      <w:r>
        <w:rPr>
          <w:b/>
          <w:bCs/>
        </w:rPr>
        <w:t xml:space="preserve">Per te:</w:t>
      </w:r>
      <w:r>
        <w:t xml:space="preserve"> </w:t>
      </w:r>
      <w:r>
        <w:t xml:space="preserve">la differenza fra i due numeri non è la tecnica, è la</w:t>
      </w:r>
      <w:r>
        <w:t xml:space="preserve"> </w:t>
      </w:r>
      <w:r>
        <w:rPr>
          <w:b/>
          <w:bCs/>
        </w:rPr>
        <w:t xml:space="preserve">selezione dei pazienti</w:t>
      </w:r>
      <w:r>
        <w:t xml:space="preserve">. Il primo mette insieme tutte le cefalee, il secondo solo quelle con criteri cervicogenici. Il tuo lavoro sulla selezione vale più del tuo lavoro sulla tecnica.</w:t>
      </w:r>
    </w:p>
    <w:p>
      <w:pPr>
        <w:pStyle w:val="BodyText"/>
      </w:pPr>
      <w:r>
        <w:t xml:space="preserve">Sulla cefalea di tipo tensivo le tecniche sui tessuti molli sono risultate superiori a nessun trattamento su intensità e frequenza, con prove di qualità</w:t>
      </w:r>
      <w:r>
        <w:t xml:space="preserve"> </w:t>
      </w:r>
      <w:r>
        <w:rPr>
          <w:b/>
          <w:bCs/>
        </w:rPr>
        <w:t xml:space="preserve">bassa</w:t>
      </w:r>
      <w:r>
        <w:t xml:space="preserve">. Le tecniche ad alta velocità non lo sono state né sull’intensità né sulla frequenza, su 15 studi e 1.131 pazienti (Kamonseki,</w:t>
      </w:r>
      <w:r>
        <w:t xml:space="preserve"> </w:t>
      </w:r>
      <w:r>
        <w:rPr>
          <w:i/>
          <w:iCs/>
        </w:rPr>
        <w:t xml:space="preserve">Disabil Rehabil</w:t>
      </w:r>
      <w:r>
        <w:t xml:space="preserve"> </w:t>
      </w:r>
      <w:r>
        <w:t xml:space="preserve">2022, PMID 32924640).</w:t>
      </w:r>
      <w:r>
        <w:t xml:space="preserve"> </w:t>
      </w:r>
      <w:r>
        <w:rPr>
          <w:b/>
          <w:bCs/>
        </w:rPr>
        <w:t xml:space="preserve">E la letteratura della nostra professione esiste, da fine 2025.</w:t>
      </w:r>
      <w:r>
        <w:t xml:space="preserve"> </w:t>
      </w:r>
      <w:r>
        <w:t xml:space="preserve">Su</w:t>
      </w:r>
      <w:r>
        <w:t xml:space="preserve"> </w:t>
      </w:r>
      <w:r>
        <w:rPr>
          <w:b/>
          <w:bCs/>
        </w:rPr>
        <w:t xml:space="preserve">18 studi randomizzati</w:t>
      </w:r>
      <w:r>
        <w:t xml:space="preserve"> </w:t>
      </w:r>
      <w:r>
        <w:t xml:space="preserve">di sole tecniche osteopatiche, le combinazioni hanno ridotto la</w:t>
      </w:r>
      <w:r>
        <w:t xml:space="preserve"> </w:t>
      </w:r>
      <w:r>
        <w:rPr>
          <w:b/>
          <w:bCs/>
        </w:rPr>
        <w:t xml:space="preserve">gravità</w:t>
      </w:r>
      <w:r>
        <w:t xml:space="preserve"> </w:t>
      </w:r>
      <w:r>
        <w:t xml:space="preserve">della cefalea: articolatorio più alta velocità SMD −0,61 (IC −1,0 a −0,23); tessuti molli più alta velocità più articolatorio SMD −0,48 (IC −0,83 a −0,13). Hanno ridotto anche la</w:t>
      </w:r>
      <w:r>
        <w:t xml:space="preserve"> </w:t>
      </w:r>
      <w:r>
        <w:rPr>
          <w:b/>
          <w:bCs/>
        </w:rPr>
        <w:t xml:space="preserve">frequenza</w:t>
      </w:r>
      <w:r>
        <w:t xml:space="preserve">, SMD −0,43 (IC −0,74 a −0,13) e −0,62 (IC −0,89 a −0,35), con prove di qualità</w:t>
      </w:r>
      <w:r>
        <w:t xml:space="preserve"> </w:t>
      </w:r>
      <w:r>
        <w:rPr>
          <w:b/>
          <w:bCs/>
        </w:rPr>
        <w:t xml:space="preserve">moderata</w:t>
      </w:r>
      <w:r>
        <w:t xml:space="preserve">. Sulla qualità di vita SMD 0,57 (IC 0,14–0,99). Su</w:t>
      </w:r>
      <w:r>
        <w:t xml:space="preserve"> </w:t>
      </w:r>
      <w:r>
        <w:rPr>
          <w:b/>
          <w:bCs/>
        </w:rPr>
        <w:t xml:space="preserve">disabilità e danni nessuna associazione significativa, a qualità bassa</w:t>
      </w:r>
      <w:r>
        <w:t xml:space="preserve">, e gli autori chiedono trial di qualità più alta e campioni maggiori (Rehman,</w:t>
      </w:r>
      <w:r>
        <w:t xml:space="preserve"> </w:t>
      </w:r>
      <w:r>
        <w:rPr>
          <w:i/>
          <w:iCs/>
        </w:rPr>
        <w:t xml:space="preserve">J Osteopath Med</w:t>
      </w:r>
      <w:r>
        <w:t xml:space="preserve"> </w:t>
      </w:r>
      <w:r>
        <w:t xml:space="preserve">2026, PMID 41196934).</w:t>
      </w:r>
      <w:r>
        <w:t xml:space="preserve"> </w:t>
      </w:r>
      <w:r>
        <w:rPr>
          <w:b/>
          <w:bCs/>
        </w:rPr>
        <w:t xml:space="preserve">Misurato su cefalee già selezionate per disfunzione muscolo-scheletrica, non sulla cefalea in generale</w:t>
      </w:r>
      <w:r>
        <w:t xml:space="preserve"> </w:t>
      </w:r>
      <w:r>
        <w:t xml:space="preserve">— è la stessa selezione che separa Jull 2002 da Luedtke 2016, e la conferma invece di superarla.</w:t>
      </w:r>
    </w:p>
    <w:p>
      <w:pPr>
        <w:pStyle w:val="BodyText"/>
      </w:pPr>
      <w:r>
        <w:rPr>
          <w:b/>
          <w:bCs/>
        </w:rPr>
        <w:t xml:space="preserve">Cerchio 2 — il meccanismo, misurato altrove.</w:t>
      </w:r>
    </w:p>
    <w:p>
      <w:pPr>
        <w:pStyle w:val="BodyText"/>
      </w:pPr>
      <w:r>
        <w:t xml:space="preserve">L’88 per cento dell’effetto immediato di una mobilizzazione sul dolore (IC 0,57–1,20) non è attribuibile all’effetto specifico dell’intervento. Per l’esercizio la quota è il 46 per cento. I dati vengono da 54 studi controllati con placebo, 3.793 partecipanti (Ezzatvar,</w:t>
      </w:r>
      <w:r>
        <w:t xml:space="preserve"> </w:t>
      </w:r>
      <w:r>
        <w:rPr>
          <w:i/>
          <w:iCs/>
        </w:rPr>
        <w:t xml:space="preserve">JOSPT</w:t>
      </w:r>
      <w:r>
        <w:t xml:space="preserve"> </w:t>
      </w:r>
      <w:r>
        <w:t xml:space="preserve">2024, PMID 38602164).</w:t>
      </w:r>
      <w:r>
        <w:t xml:space="preserve"> </w:t>
      </w:r>
      <w:r>
        <w:rPr>
          <w:b/>
          <w:bCs/>
        </w:rPr>
        <w:t xml:space="preserve">Misurato su dolore muscolo-scheletrico in generale</w:t>
      </w:r>
      <w:r>
        <w:t xml:space="preserve">, e quella quota contiene anche storia naturale e regressione verso la media.</w:t>
      </w:r>
    </w:p>
    <w:p>
      <w:pPr>
        <w:pStyle w:val="BodyText"/>
      </w:pPr>
      <w:r>
        <w:t xml:space="preserve">Dopo mobilizzazione cervicale, su trenta soggetti con dolore cervicale in doppio cieco contro placebo, succedono tre cose. La soglia di pressione dolorosa</w:t>
      </w:r>
      <w:r>
        <w:t xml:space="preserve"> </w:t>
      </w:r>
      <w:r>
        <w:rPr>
          <w:b/>
          <w:bCs/>
        </w:rPr>
        <w:t xml:space="preserve">sale</w:t>
      </w:r>
      <w:r>
        <w:t xml:space="preserve"> </w:t>
      </w:r>
      <w:r>
        <w:t xml:space="preserve">dal lato trattato. L’attività dei flessori superficiali si riduce. E</w:t>
      </w:r>
      <w:r>
        <w:t xml:space="preserve"> </w:t>
      </w:r>
      <w:r>
        <w:rPr>
          <w:b/>
          <w:bCs/>
        </w:rPr>
        <w:t xml:space="preserve">insieme</w:t>
      </w:r>
      <w:r>
        <w:t xml:space="preserve"> </w:t>
      </w:r>
      <w:r>
        <w:t xml:space="preserve">la conduttanza cutanea sale e la temperatura scende (Sterling,</w:t>
      </w:r>
      <w:r>
        <w:t xml:space="preserve"> </w:t>
      </w:r>
      <w:r>
        <w:rPr>
          <w:i/>
          <w:iCs/>
        </w:rPr>
        <w:t xml:space="preserve">Man Ther</w:t>
      </w:r>
      <w:r>
        <w:t xml:space="preserve"> </w:t>
      </w:r>
      <w:r>
        <w:t xml:space="preserve">2001, PMID 11414776). Nella lettura degli autori i tre segni sono la stessa cosa: la firma di una via inibitoria discendente non oppioide, simpatico-eccitatoria per costruzione.</w:t>
      </w:r>
      <w:r>
        <w:t xml:space="preserve"> </w:t>
      </w:r>
      <w:r>
        <w:rPr>
          <w:b/>
          <w:bCs/>
        </w:rPr>
        <w:t xml:space="preserve">Misurato su dolore cervicale insidioso, non su questi pazienti.</w:t>
      </w:r>
    </w:p>
    <w:p>
      <w:pPr>
        <w:pStyle w:val="BodyText"/>
      </w:pPr>
      <w:r>
        <w:rPr>
          <w:b/>
          <w:bCs/>
        </w:rPr>
        <w:t xml:space="preserve">Per te:</w:t>
      </w:r>
      <w:r>
        <w:t xml:space="preserve"> </w:t>
      </w:r>
      <w:r>
        <w:t xml:space="preserve">dici quello che è stato misurato — meno sensibile alla pressione, meno contratto — e curi il modo in cui lo fai, perché lì sta la quota grande. Non dici</w:t>
      </w:r>
      <w:r>
        <w:t xml:space="preserve"> </w:t>
      </w:r>
      <w:r>
        <w:rPr>
          <w:i/>
          <w:iCs/>
        </w:rPr>
        <w:t xml:space="preserve">“ti rilasso il sistema nervoso”</w:t>
      </w:r>
      <w:r>
        <w:t xml:space="preserve">: non perché il dato sia contro di te, ma perché descrive</w:t>
      </w:r>
      <w:r>
        <w:t xml:space="preserve"> </w:t>
      </w:r>
      <w:r>
        <w:rPr>
          <w:b/>
          <w:bCs/>
        </w:rPr>
        <w:t xml:space="preserve">un’altra via</w:t>
      </w:r>
      <w:r>
        <w:t xml:space="preserve">.</w:t>
      </w:r>
    </w:p>
    <w:p>
      <w:pPr>
        <w:pStyle w:val="BodyText"/>
      </w:pPr>
      <w:r>
        <w:rPr>
          <w:b/>
          <w:bCs/>
        </w:rPr>
        <w:t xml:space="preserve">Cerchio 3 — la fisiologia.</w:t>
      </w:r>
      <w:r>
        <w:t xml:space="preserve"> </w:t>
      </w:r>
      <w:r>
        <w:t xml:space="preserve">La convergenza fra afferenze cervicali e durali è misurata nei due versi</w:t>
      </w:r>
      <w:r>
        <w:t xml:space="preserve"> </w:t>
      </w:r>
      <w:r>
        <w:rPr>
          <w:b/>
          <w:bCs/>
        </w:rPr>
        <w:t xml:space="preserve">nel ratto</w:t>
      </w:r>
      <w:r>
        <w:t xml:space="preserve"> </w:t>
      </w:r>
      <w:r>
        <w:t xml:space="preserve">(PMID 12077000 e 12821523). L’alterazione della risposta al dolore nel muscolo cronicamente dolente è misurata nell’uomo (PMID 8826515), come l’inversione della modulazione discendente (PMID 16776692). Il ponte fra piccolo retto posteriore e dura madre esiste in tutti i preparati, su cadavere (PMID 8610241). Nessuna delle quattro dice che una tecnica funzioni: dicono che il razionale è anatomicamente sensato.</w:t>
      </w:r>
    </w:p>
    <w:bookmarkEnd w:id="63"/>
    <w:bookmarkStart w:id="64"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5"/>
        </w:numPr>
      </w:pPr>
      <w:r>
        <w:t xml:space="preserve">Il collo entra nella via del dolore di testa: convergenza misurata</w:t>
      </w:r>
      <w:r>
        <w:t xml:space="preserve"> </w:t>
      </w:r>
      <w:r>
        <w:rPr>
          <w:b/>
          <w:bCs/>
        </w:rPr>
        <w:t xml:space="preserve">nel ratto</w:t>
      </w:r>
      <w:r>
        <w:t xml:space="preserve">, nei due versi (PMID 12077000; 12821523).</w:t>
      </w:r>
    </w:p>
    <w:p>
      <w:pPr>
        <w:pStyle w:val="Compact"/>
        <w:numPr>
          <w:ilvl w:val="0"/>
          <w:numId w:val="1025"/>
        </w:numPr>
      </w:pPr>
      <w:r>
        <w:t xml:space="preserve">Un cluster di tre test orienta verso la cervicogenica con accuratezza alta,</w:t>
      </w:r>
      <w:r>
        <w:t xml:space="preserve"> </w:t>
      </w:r>
      <w:r>
        <w:rPr>
          <w:b/>
          <w:bCs/>
        </w:rPr>
        <w:t xml:space="preserve">non ancora riprodotta su una coorte indipendente</w:t>
      </w:r>
      <w:r>
        <w:t xml:space="preserve"> </w:t>
      </w:r>
      <w:r>
        <w:t xml:space="preserve">(PMID 17598761).</w:t>
      </w:r>
    </w:p>
    <w:p>
      <w:pPr>
        <w:pStyle w:val="Compact"/>
        <w:numPr>
          <w:ilvl w:val="0"/>
          <w:numId w:val="1025"/>
        </w:numPr>
      </w:pPr>
      <w:r>
        <w:t xml:space="preserve">Su quel sottotipo terapia manipolativa ed esercizio riducono frequenza e intensità fino a un anno (PMID 12221344).</w:t>
      </w:r>
    </w:p>
    <w:p>
      <w:pPr>
        <w:pStyle w:val="Compact"/>
        <w:numPr>
          <w:ilvl w:val="0"/>
          <w:numId w:val="1025"/>
        </w:numPr>
      </w:pPr>
      <w:r>
        <w:t xml:space="preserve">Sulla tensiva il lavoro sui tessuti molli ha mostrato effetti, con prove di qualità bassa (PMID 32924640).</w:t>
      </w:r>
    </w:p>
    <w:p>
      <w:pPr>
        <w:pStyle w:val="Compact"/>
        <w:numPr>
          <w:ilvl w:val="0"/>
          <w:numId w:val="1025"/>
        </w:numPr>
      </w:pPr>
      <w:r>
        <w:t xml:space="preserve">L’informazione sull’uso di analgesici ha risolto la cronicità in metà dei trattati contro il 6 per cento (PMID 25112307).</w:t>
      </w:r>
    </w:p>
    <w:p>
      <w:pPr>
        <w:pStyle w:val="Compact"/>
        <w:numPr>
          <w:ilvl w:val="0"/>
          <w:numId w:val="1025"/>
        </w:numPr>
      </w:pPr>
      <w:r>
        <w:rPr>
          <w:b/>
          <w:bCs/>
        </w:rPr>
        <w:t xml:space="preserve">Sulle cefalee selezionate per disfunzione muscolo-scheletrica</w:t>
      </w:r>
      <w:r>
        <w:t xml:space="preserve"> </w:t>
      </w:r>
      <w:r>
        <w:t xml:space="preserve">le combinazioni di tecniche osteopatiche riducono gravità e frequenza con prove di qualità</w:t>
      </w:r>
      <w:r>
        <w:t xml:space="preserve"> </w:t>
      </w:r>
      <w:r>
        <w:rPr>
          <w:b/>
          <w:bCs/>
        </w:rPr>
        <w:t xml:space="preserve">moderata</w:t>
      </w:r>
      <w:r>
        <w:t xml:space="preserve"> </w:t>
      </w:r>
      <w:r>
        <w:t xml:space="preserve">(PMID 41196934). È</w:t>
      </w:r>
      <w:r>
        <w:t xml:space="preserve"> </w:t>
      </w:r>
      <w:r>
        <w:rPr>
          <w:b/>
          <w:bCs/>
        </w:rPr>
        <w:t xml:space="preserve">PROBABILE</w:t>
      </w:r>
      <w:r>
        <w:t xml:space="preserve"> </w:t>
      </w:r>
      <w:r>
        <w:rPr>
          <w:i/>
          <w:iCs/>
        </w:rPr>
        <w:t xml:space="preserve">(razionale forte, prove parziali)</w:t>
      </w:r>
      <w:r>
        <w:t xml:space="preserve"> </w:t>
      </w:r>
      <w:r>
        <w:t xml:space="preserve">nella sua forma più forte,</w:t>
      </w:r>
      <w:r>
        <w:t xml:space="preserve"> </w:t>
      </w:r>
      <w:r>
        <w:rPr>
          <w:b/>
          <w:bCs/>
        </w:rPr>
        <w:t xml:space="preserve">non DIMOSTRATO</w:t>
      </w:r>
      <w:r>
        <w:t xml:space="preserve">, e il motivo va tenuto insieme al dato: la certezza dichiarata è moderata, non alta, e sugli esiti di disabilità e di danno l’associazione non c’era.</w:t>
      </w:r>
    </w:p>
    <w:p>
      <w:pPr>
        <w:pStyle w:val="FirstParagraph"/>
      </w:pPr>
      <w:r>
        <w:rPr>
          <w:b/>
          <w:bCs/>
        </w:rPr>
        <w:t xml:space="preserve">Non possiamo dire:</w:t>
      </w:r>
    </w:p>
    <w:p>
      <w:pPr>
        <w:pStyle w:val="Compact"/>
        <w:numPr>
          <w:ilvl w:val="0"/>
          <w:numId w:val="1026"/>
        </w:numPr>
      </w:pPr>
      <w:r>
        <w:t xml:space="preserve">Che la terapia manuale prevenga la cefalea nella popolazione generale: gli effetti medi non raggiungono una dimensione clinicamente rilevante.</w:t>
      </w:r>
    </w:p>
    <w:p>
      <w:pPr>
        <w:pStyle w:val="Compact"/>
        <w:numPr>
          <w:ilvl w:val="0"/>
          <w:numId w:val="1026"/>
        </w:numPr>
      </w:pPr>
      <w:r>
        <w:t xml:space="preserve">Che la manipolazione spinale riduca intensità o durata dell’emicrania: gli intervalli di confidenza attraversano lo zero, e gli autori concludono che l’efficacia resta non provata (Posadzki, PMID 39614402).</w:t>
      </w:r>
    </w:p>
    <w:p>
      <w:pPr>
        <w:pStyle w:val="Compact"/>
        <w:numPr>
          <w:ilvl w:val="0"/>
          <w:numId w:val="1026"/>
        </w:numPr>
      </w:pPr>
      <w:r>
        <w:t xml:space="preserve">Che il mal di testa venga dalla cervicale: nei gruppi emicrania e tensiva quell’alterazione non è stata trovata.</w:t>
      </w:r>
    </w:p>
    <w:p>
      <w:pPr>
        <w:pStyle w:val="Compact"/>
        <w:numPr>
          <w:ilvl w:val="0"/>
          <w:numId w:val="1026"/>
        </w:numPr>
      </w:pPr>
      <w:r>
        <w:t xml:space="preserve">Che la dolorabilità alla palpazione identifichi la cervicogenica, o che le tecniche ad alta velocità riducano intensità o frequenza nella tensiva: dove sono state misurate, non l’hanno fatto.</w:t>
      </w:r>
    </w:p>
    <w:p>
      <w:pPr>
        <w:pStyle w:val="Compact"/>
        <w:numPr>
          <w:ilvl w:val="0"/>
          <w:numId w:val="1026"/>
        </w:numPr>
      </w:pPr>
      <w:r>
        <w:t xml:space="preserve">Che il trattamento manuale riporti verso la calma il sistema nervoso autonomo: dove è stato misurato sulla cervicale, il segno misurato descrive un’altra via.</w:t>
      </w:r>
    </w:p>
    <w:p>
      <w:pPr>
        <w:pStyle w:val="Compact"/>
        <w:numPr>
          <w:ilvl w:val="0"/>
          <w:numId w:val="1026"/>
        </w:numPr>
      </w:pPr>
      <w:r>
        <w:t xml:space="preserve">Che il nostro lavoro sostituisca la profilassi o la gestione del farmaco, che appartengono al prescrittore.</w:t>
      </w:r>
    </w:p>
    <w:p>
      <w:pPr>
        <w:pStyle w:val="Compact"/>
        <w:numPr>
          <w:ilvl w:val="0"/>
          <w:numId w:val="1026"/>
        </w:numPr>
      </w:pPr>
      <w:r>
        <w:t xml:space="preserve">Che liberiamo la dura madre attraverso il ponte miodurale: nessuno l’ha misurato in una persona viva.</w:t>
      </w:r>
    </w:p>
    <w:p>
      <w:pPr>
        <w:pStyle w:val="Compact"/>
        <w:numPr>
          <w:ilvl w:val="0"/>
          <w:numId w:val="1026"/>
        </w:numPr>
      </w:pPr>
      <w:r>
        <w:t xml:space="preserve">Che il trattamento osteopatico dimezzi i giorni di emicrania. Il trial che riporta gli effetti più grandi su questa condizione dichiara</w:t>
      </w:r>
      <w:r>
        <w:t xml:space="preserve"> </w:t>
      </w:r>
      <w:r>
        <w:rPr>
          <w:b/>
          <w:bCs/>
        </w:rPr>
        <w:t xml:space="preserve">−21,06 giorni al mese</w:t>
      </w:r>
      <w:r>
        <w:t xml:space="preserve"> </w:t>
      </w:r>
      <w:r>
        <w:t xml:space="preserve">contro cura convenzionale e −17,43 contro sham. Il campione era di 105 pazienti, con otto sedute in sei mesi (Cerritelli,</w:t>
      </w:r>
      <w:r>
        <w:t xml:space="preserve"> </w:t>
      </w:r>
      <w:r>
        <w:rPr>
          <w:i/>
          <w:iCs/>
        </w:rPr>
        <w:t xml:space="preserve">Complement Ther Med</w:t>
      </w:r>
      <w:r>
        <w:t xml:space="preserve"> </w:t>
      </w:r>
      <w:r>
        <w:t xml:space="preserve">2015, PMID 25847552). Su un’emicrania cronica quei numeri sfiorano il massimo teorico del mese. Nessuna sintesi successiva li ritrova, e nessuno di noi li vedrà in studio. Lo trovi qui già commentato perché un collega lo troverà da solo.</w:t>
      </w:r>
    </w:p>
    <w:p>
      <w:pPr>
        <w:pStyle w:val="Compact"/>
        <w:numPr>
          <w:ilvl w:val="0"/>
          <w:numId w:val="1026"/>
        </w:numPr>
      </w:pPr>
      <w:r>
        <w:t xml:space="preserve">Che l’esercizio,</w:t>
      </w:r>
      <w:r>
        <w:t xml:space="preserve"> </w:t>
      </w:r>
      <w:r>
        <w:rPr>
          <w:b/>
          <w:bCs/>
        </w:rPr>
        <w:t xml:space="preserve">come categoria</w:t>
      </w:r>
      <w:r>
        <w:t xml:space="preserve">, riduca la frequenza della tensiva: contro la cura abituale la differenza media è −2,30 giorni, con intervallo da −8,86 a +4,26 e certezza molto bassa, su 12 studi e 759 partecipanti (Tao,</w:t>
      </w:r>
      <w:r>
        <w:t xml:space="preserve"> </w:t>
      </w:r>
      <w:r>
        <w:rPr>
          <w:i/>
          <w:iCs/>
        </w:rPr>
        <w:t xml:space="preserve">Postgrad Med J</w:t>
      </w:r>
      <w:r>
        <w:t xml:space="preserve"> </w:t>
      </w:r>
      <w:r>
        <w:t xml:space="preserve">2025, PMID 40257956).</w:t>
      </w:r>
    </w:p>
    <w:p>
      <w:pPr>
        <w:pStyle w:val="Compact"/>
        <w:numPr>
          <w:ilvl w:val="0"/>
          <w:numId w:val="1026"/>
        </w:numPr>
      </w:pPr>
      <w:r>
        <w:t xml:space="preserve">Che</w:t>
      </w:r>
      <w:r>
        <w:t xml:space="preserve"> </w:t>
      </w:r>
      <w:r>
        <w:rPr>
          <w:b/>
          <w:bCs/>
        </w:rPr>
        <w:t xml:space="preserve">lo stretching</w:t>
      </w:r>
      <w:r>
        <w:t xml:space="preserve"> </w:t>
      </w:r>
      <w:r>
        <w:t xml:space="preserve">sia innocuo qui. Nella stessa analisi ha</w:t>
      </w:r>
      <w:r>
        <w:t xml:space="preserve"> </w:t>
      </w:r>
      <w:r>
        <w:rPr>
          <w:b/>
          <w:bCs/>
        </w:rPr>
        <w:t xml:space="preserve">aumentato</w:t>
      </w:r>
      <w:r>
        <w:t xml:space="preserve"> </w:t>
      </w:r>
      <w:r>
        <w:t xml:space="preserve">la frequenza: iMD +4,60 (IC 1,20 a 8,00). È l’unico segnale di danno misurato su una leva attiva in tutto il documento, e riguarda esattamente quello che il paziente fa da solo quando gli dici «faccia esercizio».</w:t>
      </w:r>
    </w:p>
    <w:p>
      <w:pPr>
        <w:pStyle w:val="Compact"/>
        <w:numPr>
          <w:ilvl w:val="0"/>
          <w:numId w:val="1026"/>
        </w:numPr>
      </w:pPr>
      <w:r>
        <w:t xml:space="preserve">Che la catastrofizzazione predica la cronicizzazione: su quel costrutto</w:t>
      </w:r>
      <w:r>
        <w:t xml:space="preserve"> </w:t>
      </w:r>
      <w:r>
        <w:rPr>
          <w:b/>
          <w:bCs/>
        </w:rPr>
        <w:t xml:space="preserve">non esiste nessuno studio longitudinale</w:t>
      </w:r>
      <w:r>
        <w:t xml:space="preserve">, e sui predittori di cronicizzazione della tensiva non si possono trarre conclusioni (Tol, PMID 41236090).</w:t>
      </w:r>
    </w:p>
    <w:p>
      <w:pPr>
        <w:pStyle w:val="Compact"/>
        <w:numPr>
          <w:ilvl w:val="0"/>
          <w:numId w:val="1026"/>
        </w:numPr>
      </w:pPr>
      <w:r>
        <w:t xml:space="preserve">Che il contesto sia una specialità nostra: in questi pazienti più del 50 per cento dell’effetto di un farmaco d’attacco è placebo (Kam-Hansen, PMID 24401940). Vale contro di noi almeno quanto vale contro il triptano, e va scritto in quel verso.</w:t>
      </w:r>
    </w:p>
    <w:bookmarkEnd w:id="64"/>
    <w:bookmarkStart w:id="65" w:name="quando-la-scienza-tace"/>
    <w:p>
      <w:pPr>
        <w:pStyle w:val="Heading3"/>
      </w:pPr>
      <w:r>
        <w:t xml:space="preserve">Quando la scienza tace</w:t>
      </w:r>
    </w:p>
    <w:p>
      <w:pPr>
        <w:pStyle w:val="FirstParagraph"/>
      </w:pPr>
      <w:r>
        <w:t xml:space="preserve">Il cerchio 1 non è vuoto: è</w:t>
      </w:r>
      <w:r>
        <w:t xml:space="preserve"> </w:t>
      </w:r>
      <w:r>
        <w:rPr>
          <w:b/>
          <w:bCs/>
        </w:rPr>
        <w:t xml:space="preserve">frammentato</w:t>
      </w:r>
      <w:r>
        <w:t xml:space="preserve">. Decine di studi randomizzati esistono, divisi per tipo di cefalea, con campioni piccoli e qualità bassa. Sulla cefalea intesa come famiglia non esiste letteratura — cioè sul paziente reale che ti chiama prima che qualcuno abbia stabilito che cosa ha.</w:t>
      </w:r>
    </w:p>
    <w:p>
      <w:pPr>
        <w:pStyle w:val="BodyText"/>
      </w:pPr>
      <w:r>
        <w:rPr>
          <w:b/>
          <w:bCs/>
        </w:rPr>
        <w:t xml:space="preserve">Primo. Assenza di prove non è prova di assenza.</w:t>
      </w:r>
      <w:r>
        <w:t xml:space="preserve"> </w:t>
      </w:r>
      <w:r>
        <w:t xml:space="preserve">Che nessuno abbia misurato il trattamento manuale sul paziente non ancora classificato non dice niente sulla sua efficacia.</w:t>
      </w:r>
    </w:p>
    <w:p>
      <w:pPr>
        <w:pStyle w:val="BodyText"/>
      </w:pPr>
      <w:r>
        <w:rPr>
          <w:b/>
          <w:bCs/>
        </w:rPr>
        <w:t xml:space="preserve">Secondo. Perché quella letteratura non esiste.</w:t>
      </w:r>
      <w:r>
        <w:t xml:space="preserve"> </w:t>
      </w:r>
      <w:r>
        <w:t xml:space="preserve">Non perché gli studi siano stati fatti e risultati negativi, ma perché</w:t>
      </w:r>
      <w:r>
        <w:t xml:space="preserve"> </w:t>
      </w:r>
      <w:r>
        <w:rPr>
          <w:b/>
          <w:bCs/>
        </w:rPr>
        <w:t xml:space="preserve">la ricerca è organizzata per diagnosi</w:t>
      </w:r>
      <w:r>
        <w:t xml:space="preserve">: si arruola con una diagnosi ICHD-3 confermata, e il paziente non classificato viene escluso allo screening.</w:t>
      </w:r>
    </w:p>
    <w:p>
      <w:pPr>
        <w:pStyle w:val="BodyText"/>
      </w:pPr>
      <w:r>
        <w:rPr>
          <w:b/>
          <w:bCs/>
        </w:rPr>
        <w:t xml:space="preserve">Terzo. Su cosa ti basi.</w:t>
      </w:r>
      <w:r>
        <w:t xml:space="preserve"> </w:t>
      </w:r>
      <w:r>
        <w:t xml:space="preserve">Sul</w:t>
      </w:r>
      <w:r>
        <w:t xml:space="preserve"> </w:t>
      </w:r>
      <w:r>
        <w:rPr>
          <w:b/>
          <w:bCs/>
        </w:rPr>
        <w:t xml:space="preserve">meccanismo</w:t>
      </w:r>
      <w:r>
        <w:t xml:space="preserve">, qui più solido della terapia. Sul</w:t>
      </w:r>
      <w:r>
        <w:t xml:space="preserve"> </w:t>
      </w:r>
      <w:r>
        <w:rPr>
          <w:b/>
          <w:bCs/>
        </w:rPr>
        <w:t xml:space="preserve">ragionamento clinico</w:t>
      </w:r>
      <w:r>
        <w:t xml:space="preserve">, dichiarato come tale. E sulla</w:t>
      </w:r>
      <w:r>
        <w:t xml:space="preserve"> </w:t>
      </w:r>
      <w:r>
        <w:rPr>
          <w:b/>
          <w:bCs/>
        </w:rPr>
        <w:t xml:space="preserve">verifica sul singolo paziente</w:t>
      </w:r>
      <w:r>
        <w:t xml:space="preserve">: un marker scelto prima, con una soglia dichiarata prima.</w:t>
      </w:r>
    </w:p>
    <w:p>
      <w:pPr>
        <w:pStyle w:val="BodyText"/>
      </w:pPr>
      <w:r>
        <w:rPr>
          <w:b/>
          <w:bCs/>
        </w:rPr>
        <w:t xml:space="preserve">Quarto. Cosa separa questo dal pensiero magico.</w:t>
      </w:r>
      <w:r>
        <w:t xml:space="preserve"> </w:t>
      </w:r>
      <w:r>
        <w:t xml:space="preserve">La verifica, e nient’altro — ma solo se è fatta in un verso preciso. Scegliere il marker</w:t>
      </w:r>
      <w:r>
        <w:t xml:space="preserve"> </w:t>
      </w:r>
      <w:r>
        <w:rPr>
          <w:b/>
          <w:bCs/>
        </w:rPr>
        <w:t xml:space="preserve">prima</w:t>
      </w:r>
      <w:r>
        <w:t xml:space="preserve"> </w:t>
      </w:r>
      <w:r>
        <w:t xml:space="preserve">e accettarne il verdetto è scienza applicata a un caso singolo. Sceglierlo</w:t>
      </w:r>
      <w:r>
        <w:t xml:space="preserve"> </w:t>
      </w:r>
      <w:r>
        <w:rPr>
          <w:b/>
          <w:bCs/>
        </w:rPr>
        <w:t xml:space="preserve">dopo</w:t>
      </w:r>
      <w:r>
        <w:t xml:space="preserve"> </w:t>
      </w:r>
      <w:r>
        <w:t xml:space="preserve">aver visto migliorare il paziente è un’analisi</w:t>
      </w:r>
      <w:r>
        <w:t xml:space="preserve"> </w:t>
      </w:r>
      <w:r>
        <w:rPr>
          <w:i/>
          <w:iCs/>
        </w:rPr>
        <w:t xml:space="preserve">post hoc</w:t>
      </w:r>
      <w:r>
        <w:t xml:space="preserve">, e non prova niente. L’errore che questo punto serve a prevenire è proprio quello che non ti accorgi di fare.</w:t>
      </w:r>
    </w:p>
    <w:p>
      <w:pPr>
        <w:pStyle w:val="BodyText"/>
      </w:pPr>
      <w:r>
        <w:rPr>
          <w:b/>
          <w:bCs/>
        </w:rPr>
        <w:t xml:space="preserve">Quinto. Cosa non autorizza.</w:t>
      </w:r>
      <w:r>
        <w:t xml:space="preserve"> </w:t>
      </w:r>
      <w:r>
        <w:t xml:space="preserve">Non autorizza a promettere un esito. Non a scrivere DIMOSTRATO dove c’è IPOTESI. Non a dire</w:t>
      </w:r>
      <w:r>
        <w:t xml:space="preserve"> </w:t>
      </w:r>
      <w:r>
        <w:rPr>
          <w:i/>
          <w:iCs/>
        </w:rPr>
        <w:t xml:space="preserve">“gli studi lo confermano”</w:t>
      </w:r>
      <w:r>
        <w:t xml:space="preserve"> </w:t>
      </w:r>
      <w:r>
        <w:t xml:space="preserve">quando gli studi dicono qualità bassa. La libertà che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7"/>
        </w:numPr>
      </w:pPr>
      <w:r>
        <w:t xml:space="preserve">Gli effetti medi sul paziente con cefalea sono piccoli; sul paziente selezionato sono un’altra cosa.</w:t>
      </w:r>
    </w:p>
    <w:p>
      <w:pPr>
        <w:pStyle w:val="Compact"/>
        <w:numPr>
          <w:ilvl w:val="0"/>
          <w:numId w:val="1027"/>
        </w:numPr>
      </w:pPr>
      <w:r>
        <w:t xml:space="preserve">Il tuo lavoro sulla selezione vale più del tuo lavoro sulla tecnica.</w:t>
      </w:r>
    </w:p>
    <w:p>
      <w:pPr>
        <w:pStyle w:val="Compact"/>
        <w:numPr>
          <w:ilvl w:val="0"/>
          <w:numId w:val="1027"/>
        </w:numPr>
      </w:pPr>
      <w:r>
        <w:t xml:space="preserve">La fisiologia qui è più solida della terapia: è una posizione, non una debolezza.</w:t>
      </w:r>
    </w:p>
    <w:p>
      <w:pPr>
        <w:pStyle w:val="Compact"/>
        <w:numPr>
          <w:ilvl w:val="0"/>
          <w:numId w:val="1027"/>
        </w:numPr>
      </w:pPr>
      <w:r>
        <w:rPr>
          <w:b/>
          <w:bCs/>
        </w:rPr>
        <w:t xml:space="preserve">Perché ci sei tu.</w:t>
      </w:r>
      <w:r>
        <w:t xml:space="preserve"> </w:t>
      </w:r>
      <w:r>
        <w:t xml:space="preserve">Su 20 studi in meta-analisi, la riduzione di intensità e frequenza nella forma cervicogenica non raggiunge una dimensione clinicamente rilevante (Luedtke,</w:t>
      </w:r>
      <w:r>
        <w:t xml:space="preserve"> </w:t>
      </w:r>
      <w:r>
        <w:rPr>
          <w:i/>
          <w:iCs/>
        </w:rPr>
        <w:t xml:space="preserve">Cephalalgia</w:t>
      </w:r>
      <w:r>
        <w:t xml:space="preserve"> </w:t>
      </w:r>
      <w:r>
        <w:t xml:space="preserve">2016, PMID 26229071). Ti autorizza a dire il numero vero al paziente e a costruire l’aspettativa sul sottotipo invece che sulla media. Non ti autorizza a presentare la terapia manuale come efficace per la cefalea in generale.</w:t>
      </w:r>
    </w:p>
    <w:p>
      <w:r>
        <w:pict>
          <v:rect style="width:0;height:1.5pt" o:hralign="center" o:hrstd="t" o:hr="t"/>
        </w:pict>
      </w:r>
    </w:p>
    <w:bookmarkEnd w:id="65"/>
    <w:bookmarkEnd w:id="66"/>
    <w:bookmarkStart w:id="73"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cinque meccanismi, cinque leve, e la più forte del documento non è una mano.</w:t>
      </w:r>
    </w:p>
    <w:p>
      <w:pPr>
        <w:pStyle w:val="FirstParagraph"/>
      </w:pPr>
      <w:r>
        <w:t xml:space="preserve">In ogni leva qui sotto,</w:t>
      </w:r>
      <w:r>
        <w:t xml:space="preserve"> </w:t>
      </w:r>
      <w:r>
        <w:rPr>
          <w:b/>
          <w:bCs/>
        </w:rPr>
        <w:t xml:space="preserve">l’effetto atteso dice che il tessuto si è mosso; la prova che quel piano comandava sta nel paragrafo «In quanto tempo»</w:t>
      </w:r>
      <w:r>
        <w:t xml:space="preserve">, sul marker fuori piano. È la differenza fra vedere la pila delle pratiche calare e sentire il telefono smettere di squillare. Non confonderli: è la stessa divisione della tabella dei marker.</w:t>
      </w:r>
    </w:p>
    <w:bookmarkStart w:id="67" w:name="sul-centralino-con-un-pulsante-solo"/>
    <w:p>
      <w:pPr>
        <w:pStyle w:val="Heading3"/>
      </w:pPr>
      <w:r>
        <w:t xml:space="preserve">Sul centralino con un pulsante solo</w:t>
      </w:r>
    </w:p>
    <w:p>
      <w:pPr>
        <w:pStyle w:val="FirstParagraph"/>
      </w:pPr>
      <w:r>
        <w:rPr>
          <w:b/>
          <w:bCs/>
        </w:rPr>
        <w:t xml:space="preserve">Su cosa può agire una mano.</w:t>
      </w:r>
      <w:r>
        <w:t xml:space="preserve"> </w:t>
      </w:r>
      <w:r>
        <w:t xml:space="preserve">Sui segmenti cervicali alti e sui tessuti attorno: l’ingresso che raggiunge la stessa stazione da cui parte il dolore in testa.</w:t>
      </w:r>
      <w:r>
        <w:t xml:space="preserve"> </w:t>
      </w:r>
      <w:r>
        <w:rPr>
          <w:b/>
          <w:bCs/>
        </w:rPr>
        <w:t xml:space="preserve">L’effetto atteso</w:t>
      </w:r>
      <w:r>
        <w:t xml:space="preserve"> </w:t>
      </w:r>
      <w:r>
        <w:t xml:space="preserve">è un cambio di</w:t>
      </w:r>
      <w:r>
        <w:t xml:space="preserve"> </w:t>
      </w:r>
      <w:r>
        <w:rPr>
          <w:b/>
          <w:bCs/>
        </w:rPr>
        <w:t xml:space="preserve">categoria</w:t>
      </w:r>
      <w:r>
        <w:t xml:space="preserve"> </w:t>
      </w:r>
      <w:r>
        <w:t xml:space="preserve">nella risposta alla pressione sostenuta.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La convergenza è misurata nel ratto nei due versi (PMID 12077000 e 12821523). Che una mano la modifichi nell’uomo non è stato misurato.</w:t>
      </w:r>
    </w:p>
    <w:p>
      <w:pPr>
        <w:pStyle w:val="FirstParagraph"/>
      </w:pPr>
      <w:r>
        <w:rPr>
          <w:b/>
          <w:bCs/>
        </w:rPr>
        <w:t xml:space="preserve">In quanto tempo.</w:t>
      </w:r>
      <w:r>
        <w:t xml:space="preserve"> </w:t>
      </w:r>
      <w:r>
        <w:t xml:space="preserve">Il cambio di categoria dentro la seduta. I giorni al mese su quattro settimane, non prima.</w:t>
      </w:r>
    </w:p>
    <w:bookmarkEnd w:id="67"/>
    <w:bookmarkStart w:id="68" w:name="sul-rubinetto-che-gocciola-nel-secchio"/>
    <w:p>
      <w:pPr>
        <w:pStyle w:val="Heading3"/>
      </w:pPr>
      <w:r>
        <w:t xml:space="preserve">Sul rubinetto che gocciola nel secchio</w:t>
      </w:r>
    </w:p>
    <w:p>
      <w:pPr>
        <w:pStyle w:val="FirstParagraph"/>
      </w:pPr>
      <w:r>
        <w:rPr>
          <w:b/>
          <w:bCs/>
        </w:rPr>
        <w:t xml:space="preserve">Su cosa può agire una mano.</w:t>
      </w:r>
      <w:r>
        <w:t xml:space="preserve"> </w:t>
      </w:r>
      <w:r>
        <w:t xml:space="preserve">Sui tessuti molli pericranici, masticatori e cervicali dolenti. E sui punti che riferiscono un dolore che il paziente riconosce come proprio.</w:t>
      </w:r>
      <w:r>
        <w:t xml:space="preserve"> </w:t>
      </w:r>
      <w:r>
        <w:rPr>
          <w:b/>
          <w:bCs/>
        </w:rPr>
        <w:t xml:space="preserve">L’effetto atteso:</w:t>
      </w:r>
      <w:r>
        <w:t xml:space="preserve"> </w:t>
      </w:r>
      <w:r>
        <w:t xml:space="preserve">la soglia scende più lentamente lungo la giornata, e l’ora in cui il mal di testa parte si sposta.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Le tecniche sui tessuti molli sono risultate superiori a nessun trattamento su intensità e frequenza nella cefalea di tipo tensivo, su 15 studi e 1.131 pazienti (Kamonseki, PMID 32924640). Le prove sono di qualità</w:t>
      </w:r>
      <w:r>
        <w:t xml:space="preserve"> </w:t>
      </w:r>
      <w:r>
        <w:rPr>
          <w:b/>
          <w:bCs/>
        </w:rPr>
        <w:t xml:space="preserve">bassa</w:t>
      </w:r>
      <w:r>
        <w:t xml:space="preserve">, e il comparatore era «nessun trattamento», non un finto trattamento.</w:t>
      </w:r>
    </w:p>
    <w:p>
      <w:pPr>
        <w:pStyle w:val="FirstParagraph"/>
      </w:pPr>
      <w:r>
        <w:rPr>
          <w:b/>
          <w:bCs/>
        </w:rPr>
        <w:t xml:space="preserve">In quanto tempo.</w:t>
      </w:r>
      <w:r>
        <w:t xml:space="preserve"> </w:t>
      </w:r>
      <w:r>
        <w:t xml:space="preserve">L’orario di comparsa in una o due settimane. La dolorabilità alla palpazione non è il metro: si osserva e si scrive, non si usa come marker.</w:t>
      </w:r>
    </w:p>
    <w:bookmarkEnd w:id="68"/>
    <w:bookmarkStart w:id="69" w:name="sulla-porta-che-si-apre-con-un-dito"/>
    <w:p>
      <w:pPr>
        <w:pStyle w:val="Heading3"/>
      </w:pPr>
      <w:r>
        <w:t xml:space="preserve">Sulla porta che si apre con un dito</w:t>
      </w:r>
    </w:p>
    <w:p>
      <w:pPr>
        <w:pStyle w:val="FirstParagraph"/>
      </w:pPr>
      <w:r>
        <w:rPr>
          <w:b/>
          <w:bCs/>
        </w:rPr>
        <w:t xml:space="preserve">Su cosa può agire una mano.</w:t>
      </w:r>
      <w:r>
        <w:t xml:space="preserve"> </w:t>
      </w:r>
      <w:r>
        <w:t xml:space="preserve">Sul livello di attivazione, con il contatto lento, il ritmo del respiro e il tempo dedicato. È lavoro manuale a tutti gli effetti, mirato al guadagno del sistema e non al tessuto.</w:t>
      </w:r>
      <w:r>
        <w:t xml:space="preserve"> </w:t>
      </w:r>
      <w:r>
        <w:rPr>
          <w:b/>
          <w:bCs/>
        </w:rPr>
        <w:t xml:space="preserve">Il ritmo del respiro qui è il tuo contatto che segue il suo, non un addestramento respiratorio:</w:t>
      </w:r>
      <w:r>
        <w:t xml:space="preserve"> </w:t>
      </w:r>
      <w:r>
        <w:t xml:space="preserve">quello, testato su questa condizione, non ha dato differenze («La lettura osteopatica»). Il meccanismo per esteso è in «Cosa si rompe».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 quota di effetto non attribuibile alla tecnica specifica sia grande (Ezzatvar, PMID 38602164), misurato su dolore muscolo-scheletrico in generale.</w:t>
      </w:r>
      <w:r>
        <w:t xml:space="preserve"> </w:t>
      </w:r>
      <w:r>
        <w:rPr>
          <w:b/>
          <w:bCs/>
        </w:rPr>
        <w:t xml:space="preserve">PROBABILE</w:t>
      </w:r>
      <w:r>
        <w:t xml:space="preserve"> </w:t>
      </w:r>
      <w:r>
        <w:rPr>
          <w:i/>
          <w:iCs/>
        </w:rPr>
        <w:t xml:space="preserve">(razionale forte, prove parziali)</w:t>
      </w:r>
      <w:r>
        <w:t xml:space="preserve"> </w:t>
      </w:r>
      <w:r>
        <w:t xml:space="preserve">che la relazione sia essa stessa una variabile di esito: su 182 pazienti con lombalgia cronica l’alleanza terapeutica misurata alla</w:t>
      </w:r>
      <w:r>
        <w:t xml:space="preserve"> </w:t>
      </w:r>
      <w:r>
        <w:rPr>
          <w:b/>
          <w:bCs/>
        </w:rPr>
        <w:t xml:space="preserve">seconda</w:t>
      </w:r>
      <w:r>
        <w:t xml:space="preserve"> </w:t>
      </w:r>
      <w:r>
        <w:t xml:space="preserve">seduta ha predetto in modo costante tutte le misure di esito a otto settimane (Ferreira,</w:t>
      </w:r>
      <w:r>
        <w:t xml:space="preserve"> </w:t>
      </w:r>
      <w:r>
        <w:rPr>
          <w:i/>
          <w:iCs/>
        </w:rPr>
        <w:t xml:space="preserve">Phys Ther</w:t>
      </w:r>
      <w:r>
        <w:t xml:space="preserve"> </w:t>
      </w:r>
      <w:r>
        <w:t xml:space="preserve">2013, PMID 23139428).</w:t>
      </w:r>
      <w:r>
        <w:t xml:space="preserve"> </w:t>
      </w:r>
      <w:r>
        <w:rPr>
          <w:b/>
          <w:bCs/>
        </w:rPr>
        <w:t xml:space="preserve">Misurato su lombalgia cronica in fisioterapia, non su questi pazienti. Ed è uno studio osservazionale dentro un randomizzato: è un’associazione, non una manovra provata.</w:t>
      </w:r>
      <w:r>
        <w:t xml:space="preserve"> </w:t>
      </w:r>
      <w:r>
        <w:t xml:space="preserve">Una gamba misurata sotto una IPOTESI non la promuove: la rende difendibile.</w:t>
      </w:r>
      <w:r>
        <w:t xml:space="preserve"> </w:t>
      </w:r>
      <w:r>
        <w:rPr>
          <w:b/>
          <w:bCs/>
        </w:rPr>
        <w:t xml:space="preserve">IPOTESI</w:t>
      </w:r>
      <w:r>
        <w:t xml:space="preserve"> </w:t>
      </w:r>
      <w:r>
        <w:rPr>
          <w:i/>
          <w:iCs/>
        </w:rPr>
        <w:t xml:space="preserve">(meccanismo coerente, nessuno studio)</w:t>
      </w:r>
      <w:r>
        <w:t xml:space="preserve"> </w:t>
      </w:r>
      <w:r>
        <w:t xml:space="preserve">sulla direzione dell’effetto autonomico e su qualunque cambiamento dei giorni di cefalea.</w:t>
      </w:r>
    </w:p>
    <w:p>
      <w:pPr>
        <w:pStyle w:val="FirstParagraph"/>
      </w:pPr>
      <w:r>
        <w:rPr>
          <w:b/>
          <w:bCs/>
        </w:rPr>
        <w:t xml:space="preserve">In quanto tempo.</w:t>
      </w:r>
      <w:r>
        <w:t xml:space="preserve"> </w:t>
      </w:r>
      <w:r>
        <w:t xml:space="preserve">Un effetto di stato dentro la seduta. Lo spostamento della soglia dolorosa lontana dalla testa, in settimane —</w:t>
      </w:r>
      <w:r>
        <w:t xml:space="preserve"> </w:t>
      </w:r>
      <w:r>
        <w:rPr>
          <w:b/>
          <w:bCs/>
        </w:rPr>
        <w:t xml:space="preserve">salvo che il piano del farmaco sia aperto</w:t>
      </w:r>
      <w:r>
        <w:t xml:space="preserve">, e allora quella soglia si muove in mesi e non è il tuo marker.</w:t>
      </w:r>
    </w:p>
    <w:bookmarkEnd w:id="69"/>
    <w:bookmarkStart w:id="70" w:name="sulla-ruota-che-sfrega-sul-parafango"/>
    <w:p>
      <w:pPr>
        <w:pStyle w:val="Heading3"/>
      </w:pPr>
      <w:r>
        <w:t xml:space="preserve">Sulla ruota che sfrega sul parafango</w:t>
      </w:r>
    </w:p>
    <w:p>
      <w:pPr>
        <w:pStyle w:val="FirstParagraph"/>
      </w:pPr>
      <w:r>
        <w:rPr>
          <w:b/>
          <w:bCs/>
        </w:rPr>
        <w:t xml:space="preserve">Su cosa può agire una mano.</w:t>
      </w:r>
      <w:r>
        <w:t xml:space="preserve"> </w:t>
      </w:r>
      <w:r>
        <w:t xml:space="preserve">Sull’articolazione C1-C2 e sui tessuti che ne limitano l’escursione,</w:t>
      </w:r>
      <w:r>
        <w:t xml:space="preserve"> </w:t>
      </w:r>
      <w:r>
        <w:rPr>
          <w:b/>
          <w:bCs/>
        </w:rPr>
        <w:t xml:space="preserve">dopo aver escluso in anamnesi l’insufficienza legamentosa</w:t>
      </w:r>
      <w:r>
        <w:t xml:space="preserve"> </w:t>
      </w:r>
      <w:r>
        <w:t xml:space="preserve">di quel livello («Le strutture in gioco»).</w:t>
      </w:r>
      <w:r>
        <w:t xml:space="preserve"> </w:t>
      </w:r>
      <w:r>
        <w:rPr>
          <w:b/>
          <w:bCs/>
        </w:rPr>
        <w:t xml:space="preserve">L’effetto atteso:</w:t>
      </w:r>
      <w:r>
        <w:t xml:space="preserve"> </w:t>
      </w:r>
      <w:r>
        <w:t xml:space="preserve">escursione recuperata al test di flessione-rotazione, e meno ingresso direzionale al centralino.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ed è l’etichetta più alta che una leva manuale raggiunge in questo documento. Terapia manipolativa ed esercizio hanno ridotto frequenza e intensità della cefalea cervicogenica in 200 pazienti randomizzati</w:t>
      </w:r>
      <w:r>
        <w:t xml:space="preserve"> </w:t>
      </w:r>
      <w:r>
        <w:rPr>
          <w:b/>
          <w:bCs/>
        </w:rPr>
        <w:t xml:space="preserve">arruolati per criteri cervicogenici</w:t>
      </w:r>
      <w:r>
        <w:t xml:space="preserve">, con effetti mantenuti a 12 mesi (Jull,</w:t>
      </w:r>
      <w:r>
        <w:t xml:space="preserve"> </w:t>
      </w:r>
      <w:r>
        <w:rPr>
          <w:i/>
          <w:iCs/>
        </w:rPr>
        <w:t xml:space="preserve">Spine</w:t>
      </w:r>
      <w:r>
        <w:t xml:space="preserve"> </w:t>
      </w:r>
      <w:r>
        <w:t xml:space="preserve">2002, PMID 12221344). Nella meta-analisi delle sole tecniche osteopatiche le combinazioni hanno ridotto gravità e frequenza con prove di qualità moderata,</w:t>
      </w:r>
      <w:r>
        <w:t xml:space="preserve"> </w:t>
      </w:r>
      <w:r>
        <w:rPr>
          <w:b/>
          <w:bCs/>
        </w:rPr>
        <w:t xml:space="preserve">misurate su cefalee già selezionate per disfunzione muscolo-scheletrica, non sulla cefalea in generale</w:t>
      </w:r>
      <w:r>
        <w:t xml:space="preserve"> </w:t>
      </w:r>
      <w:r>
        <w:t xml:space="preserve">(Rehman,</w:t>
      </w:r>
      <w:r>
        <w:t xml:space="preserve"> </w:t>
      </w:r>
      <w:r>
        <w:rPr>
          <w:i/>
          <w:iCs/>
        </w:rPr>
        <w:t xml:space="preserve">J Osteopath Med</w:t>
      </w:r>
      <w:r>
        <w:t xml:space="preserve"> </w:t>
      </w:r>
      <w:r>
        <w:t xml:space="preserve">2026, PMID 41196934).</w:t>
      </w:r>
    </w:p>
    <w:p>
      <w:pPr>
        <w:pStyle w:val="FirstParagraph"/>
      </w:pPr>
      <w:r>
        <w:rPr>
          <w:b/>
          <w:bCs/>
        </w:rPr>
        <w:t xml:space="preserve">In quanto tempo.</w:t>
      </w:r>
      <w:r>
        <w:t xml:space="preserve"> </w:t>
      </w:r>
      <w:r>
        <w:t xml:space="preserve">I gradi dentro la seduta. I giorni di cefalea in quattro-sei settimane.</w:t>
      </w:r>
    </w:p>
    <w:bookmarkEnd w:id="70"/>
    <w:bookmarkStart w:id="71" w:name="X31d0ba678bfb3175baef12738a41a1a20547a6c"/>
    <w:p>
      <w:pPr>
        <w:pStyle w:val="Heading3"/>
      </w:pPr>
      <w:r>
        <w:t xml:space="preserve">Sulla carta di credito che paga la carta di credito</w:t>
      </w:r>
    </w:p>
    <w:p>
      <w:pPr>
        <w:pStyle w:val="FirstParagraph"/>
      </w:pPr>
      <w:r>
        <w:rPr>
          <w:b/>
          <w:bCs/>
        </w:rPr>
        <w:t xml:space="preserve">Su cosa può agire una mano.</w:t>
      </w:r>
      <w:r>
        <w:t xml:space="preserve"> </w:t>
      </w:r>
      <w:r>
        <w:t xml:space="preserve">Su niente. La leva non è manuale: è</w:t>
      </w:r>
      <w:r>
        <w:t xml:space="preserve"> </w:t>
      </w:r>
      <w:r>
        <w:rPr>
          <w:b/>
          <w:bCs/>
        </w:rPr>
        <w:t xml:space="preserve">il conteggio e la comunicazione</w:t>
      </w:r>
      <w:r>
        <w:t xml:space="preserve">, e ti appartiene solo per la parte di rilevazione.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l’intervento informativo condotto dai medici di medicina generale, su 60 pazienti (Kristoffersen, PMID 25112307).</w:t>
      </w:r>
      <w:r>
        <w:t xml:space="preserve"> </w:t>
      </w:r>
      <w:r>
        <w:rPr>
          <w:b/>
          <w:bCs/>
        </w:rPr>
        <w:t xml:space="preserve">IPOTESI</w:t>
      </w:r>
      <w:r>
        <w:t xml:space="preserve"> </w:t>
      </w:r>
      <w:r>
        <w:rPr>
          <w:i/>
          <w:iCs/>
        </w:rPr>
        <w:t xml:space="preserve">(meccanismo coerente, nessuno studio)</w:t>
      </w:r>
      <w:r>
        <w:t xml:space="preserve"> </w:t>
      </w:r>
      <w:r>
        <w:t xml:space="preserve">che il conteggio fatto nel nostro studio e riferito al curante produca lo stesso risultato: nessuno l’ha misurato in questo contesto.</w:t>
      </w:r>
    </w:p>
    <w:p>
      <w:pPr>
        <w:pStyle w:val="FirstParagraph"/>
      </w:pPr>
      <w:r>
        <w:rPr>
          <w:b/>
          <w:bCs/>
        </w:rPr>
        <w:t xml:space="preserve">In quanto tempo. All’indietro, prima.</w:t>
      </w:r>
      <w:r>
        <w:t xml:space="preserve"> </w:t>
      </w:r>
      <w:r>
        <w:t xml:space="preserve">Dopo la sospensione decisa dal prescrittore il mal di testa</w:t>
      </w:r>
      <w:r>
        <w:t xml:space="preserve"> </w:t>
      </w:r>
      <w:r>
        <w:rPr>
          <w:b/>
          <w:bCs/>
        </w:rPr>
        <w:t xml:space="preserve">peggiora per alcuni giorni</w:t>
      </w:r>
      <w:r>
        <w:t xml:space="preserve">: in media 4,1 con i triptani, 6,7 con gli ergotaminici, 9,5 con gli analgesici semplici (Katsarava,</w:t>
      </w:r>
      <w:r>
        <w:t xml:space="preserve"> </w:t>
      </w:r>
      <w:r>
        <w:rPr>
          <w:i/>
          <w:iCs/>
        </w:rPr>
        <w:t xml:space="preserve">Neurology</w:t>
      </w:r>
      <w:r>
        <w:t xml:space="preserve"> </w:t>
      </w:r>
      <w:r>
        <w:t xml:space="preserve">2001, PMID 11706113). È l’andamento atteso, non un evento avverso, e da solo non è una bandiera rossa. I giorni al mese si muovono su quattro-dodici settimane. Le soglie dolorose continuano a normalizzarsi fino a un anno (PMID 23431023). Se non sai questo, leggi come tuo fallimento la settimana esatta in cui il piano che comanda si sta muovendo.</w:t>
      </w:r>
    </w:p>
    <w:bookmarkEnd w:id="71"/>
    <w:bookmarkStart w:id="72" w:name="X04485be8b25122cf3c1b409ae1b982afcf08f16"/>
    <w:p>
      <w:pPr>
        <w:pStyle w:val="Heading3"/>
      </w:pPr>
      <w:r>
        <w:t xml:space="preserve">Cosa fa l’osteopata, e cosa le mani non possono fare</w:t>
      </w:r>
    </w:p>
    <w:p>
      <w:pPr>
        <w:pStyle w:val="FirstParagraph"/>
      </w:pPr>
      <w:r>
        <w:t xml:space="preserve">Quello che fai, e quello che le mani non possono fare, sta ai punti d’uso: «Come ragiono davanti a questo paziente», «Cosa può fare il paziente da solo», «Non possiamo dire».</w:t>
      </w:r>
    </w:p>
    <w:p>
      <w:pPr>
        <w:pStyle w:val="BodyText"/>
      </w:pPr>
      <w:r>
        <w:t xml:space="preserve">Qui nasce una cosa sola. Un fastidio nelle ventiquattro-quarantotto ore dopo un lavoro sul collo alto non è il marker e non è il risultato: è rumore, e va detto</w:t>
      </w:r>
      <w:r>
        <w:t xml:space="preserve"> </w:t>
      </w:r>
      <w:r>
        <w:rPr>
          <w:b/>
          <w:bCs/>
        </w:rPr>
        <w:t xml:space="preserve">prima</w:t>
      </w:r>
      <w:r>
        <w:t xml:space="preserve">. Fa eccezione tutto ciò che sta nella riga della dissezione, in «Dove finisce il nostro campo».</w:t>
      </w:r>
    </w:p>
    <w:p>
      <w:pPr>
        <w:pStyle w:val="BodyText"/>
      </w:pPr>
      <w:r>
        <w:t xml:space="preserve">Il come si fa non è qui. Sta nella Procedura della Cefalea: due pagine, tecniche, dosi e piano delle sedute.</w:t>
      </w:r>
    </w:p>
    <w:p>
      <w:pPr>
        <w:pStyle w:val="BodyText"/>
      </w:pPr>
      <w:r>
        <w:rPr>
          <w:b/>
          <w:bCs/>
        </w:rPr>
        <w:t xml:space="preserve">Le tre cose da ricordare, più una</w:t>
      </w:r>
    </w:p>
    <w:p>
      <w:pPr>
        <w:pStyle w:val="Compact"/>
        <w:numPr>
          <w:ilvl w:val="0"/>
          <w:numId w:val="1028"/>
        </w:numPr>
      </w:pPr>
      <w:r>
        <w:t xml:space="preserve">Ogni meccanismo ha la sua leva, e le etichette non sono uguali fra loro.</w:t>
      </w:r>
    </w:p>
    <w:p>
      <w:pPr>
        <w:pStyle w:val="Compact"/>
        <w:numPr>
          <w:ilvl w:val="0"/>
          <w:numId w:val="1028"/>
        </w:numPr>
      </w:pPr>
      <w:r>
        <w:t xml:space="preserve">La leva manuale più solida è quella sul sottotipo meno frequente.</w:t>
      </w:r>
    </w:p>
    <w:p>
      <w:pPr>
        <w:pStyle w:val="Compact"/>
        <w:numPr>
          <w:ilvl w:val="0"/>
          <w:numId w:val="1028"/>
        </w:numPr>
      </w:pPr>
      <w:r>
        <w:t xml:space="preserve">La leva con l’effetto più grande è un conteggio, e il suo decorso comincia con un peggioramento.</w:t>
      </w:r>
    </w:p>
    <w:p>
      <w:pPr>
        <w:pStyle w:val="Compact"/>
        <w:numPr>
          <w:ilvl w:val="0"/>
          <w:numId w:val="1028"/>
        </w:numPr>
      </w:pPr>
      <w:r>
        <w:rPr>
          <w:b/>
          <w:bCs/>
        </w:rPr>
        <w:t xml:space="preserve">Perché ci sei tu.</w:t>
      </w:r>
      <w:r>
        <w:t xml:space="preserve"> </w:t>
      </w:r>
      <w:r>
        <w:t xml:space="preserve">Nei 200 randomizzati di Jull la combinazione non è risultata statisticamente superiore a ciascuna delle due terapie da sola, e il solo esercizio ha tenuto a dodici mesi quanto la sola manipolazione (Jull,</w:t>
      </w:r>
      <w:r>
        <w:t xml:space="preserve"> </w:t>
      </w:r>
      <w:r>
        <w:rPr>
          <w:i/>
          <w:iCs/>
        </w:rPr>
        <w:t xml:space="preserve">Spine</w:t>
      </w:r>
      <w:r>
        <w:t xml:space="preserve"> </w:t>
      </w:r>
      <w:r>
        <w:t xml:space="preserve">2002, PMID 12221344). Ti autorizza a costruire il ciclo su entrambi. Non ti autorizza a presentare la mano da sola come il tuo strumento.</w:t>
      </w:r>
    </w:p>
    <w:p>
      <w:r>
        <w:pict>
          <v:rect style="width:0;height:1.5pt" o:hralign="center" o:hrstd="t" o:hr="t"/>
        </w:pict>
      </w:r>
    </w:p>
    <w:bookmarkEnd w:id="72"/>
    <w:bookmarkEnd w:id="73"/>
    <w:bookmarkStart w:id="7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parte con le prove migliori non passa dalle tue mani, e passa comunque da te.</w:t>
      </w:r>
    </w:p>
    <w:bookmarkStart w:id="74" w:name="strumento-1-lesercizio-in-due-bracci"/>
    <w:p>
      <w:pPr>
        <w:pStyle w:val="Heading3"/>
      </w:pPr>
      <w:r>
        <w:t xml:space="preserve">Strumento 1 — L’esercizio, in due bracci</w:t>
      </w:r>
    </w:p>
    <w:p>
      <w:pPr>
        <w:pStyle w:val="FirstParagraph"/>
      </w:pPr>
      <w:r>
        <w:rPr>
          <w:b/>
          <w:bCs/>
        </w:rPr>
        <w:t xml:space="preserve">Cos’è.</w:t>
      </w:r>
      <w:r>
        <w:t xml:space="preserve"> </w:t>
      </w:r>
      <w:r>
        <w:t xml:space="preserve">Due cose sotto un’intestazione sola. La prima è la</w:t>
      </w:r>
      <w:r>
        <w:t xml:space="preserve"> </w:t>
      </w:r>
      <w:r>
        <w:rPr>
          <w:b/>
          <w:bCs/>
        </w:rPr>
        <w:t xml:space="preserve">forza a basso carico</w:t>
      </w:r>
      <w:r>
        <w:t xml:space="preserve"> </w:t>
      </w:r>
      <w:r>
        <w:t xml:space="preserve">su collo e cingolo scapolare, più il controllo dei flessori profondi. Che non sia stretching non è un’opinione, ed è la cosa più utile di questo strumento. Una meta-analisi ha scomposto l’esercizio nelle sue componenti, su 12 studi e 759 partecipanti. La</w:t>
      </w:r>
      <w:r>
        <w:t xml:space="preserve"> </w:t>
      </w:r>
      <w:r>
        <w:rPr>
          <w:b/>
          <w:bCs/>
        </w:rPr>
        <w:t xml:space="preserve">resistenza</w:t>
      </w:r>
      <w:r>
        <w:t xml:space="preserve"> </w:t>
      </w:r>
      <w:r>
        <w:t xml:space="preserve">ha ridotto la frequenza della tensiva di 6,00 giorni (iMD, IC da −9,10 a −2,90). Lo</w:t>
      </w:r>
      <w:r>
        <w:t xml:space="preserve"> </w:t>
      </w:r>
      <w:r>
        <w:rPr>
          <w:b/>
          <w:bCs/>
        </w:rPr>
        <w:t xml:space="preserve">stretching l’ha aumentata</w:t>
      </w:r>
      <w:r>
        <w:t xml:space="preserve"> </w:t>
      </w:r>
      <w:r>
        <w:t xml:space="preserve">di 4,60 (IC da 1,20 a 8,00) (Tao,</w:t>
      </w:r>
      <w:r>
        <w:t xml:space="preserve"> </w:t>
      </w:r>
      <w:r>
        <w:rPr>
          <w:i/>
          <w:iCs/>
        </w:rPr>
        <w:t xml:space="preserve">Postgrad Med J</w:t>
      </w:r>
      <w:r>
        <w:t xml:space="preserve"> </w:t>
      </w:r>
      <w:r>
        <w:t xml:space="preserve">2025, PMID 40257956). La seconda è l’</w:t>
      </w:r>
      <w:r>
        <w:rPr>
          <w:b/>
          <w:bCs/>
        </w:rPr>
        <w:t xml:space="preserve">esercizio aerobico</w:t>
      </w:r>
      <w:r>
        <w:t xml:space="preserve">, la parte con il dato più pulito sull’emicrania.</w:t>
      </w:r>
      <w:r>
        <w:t xml:space="preserve"> </w:t>
      </w:r>
      <w:r>
        <w:rPr>
          <w:b/>
          <w:bCs/>
        </w:rPr>
        <w:t xml:space="preserve">Agisce sul</w:t>
      </w:r>
      <w:r>
        <w:t xml:space="preserve"> </w:t>
      </w:r>
      <w:r>
        <w:t xml:space="preserve">«rubinetto», sulla «ruota che sfrega sul parafango» e in parte sulla «carta di credito», perché nelle sintesi il consumo di farmaci scende insieme alla frequenza.</w:t>
      </w:r>
    </w:p>
    <w:p>
      <w:pPr>
        <w:pStyle w:val="BodyText"/>
      </w:pPr>
      <w:r>
        <w:rPr>
          <w:b/>
          <w:bCs/>
        </w:rPr>
        <w:t xml:space="preserve">Cosa hanno misurato gli studi.</w:t>
      </w:r>
      <w:r>
        <w:t xml:space="preserve"> </w:t>
      </w:r>
      <w:r>
        <w:t xml:space="preserve">Su 573 impiegati randomizzati, un’ora settimanale di forza per venti settimane ha ridotto frequenza e intensità della cefalea di circa il 50 per cento. Il consumo di analgesici è calato solo nei gruppi supervisionati (Andersen,</w:t>
      </w:r>
      <w:r>
        <w:t xml:space="preserve"> </w:t>
      </w:r>
      <w:r>
        <w:rPr>
          <w:i/>
          <w:iCs/>
        </w:rPr>
        <w:t xml:space="preserve">Musculoskelet Sci Pract</w:t>
      </w:r>
      <w:r>
        <w:t xml:space="preserve"> </w:t>
      </w:r>
      <w:r>
        <w:t xml:space="preserve">2017, PMID 28854396).</w:t>
      </w:r>
      <w:r>
        <w:t xml:space="preserve"> </w:t>
      </w:r>
      <w:r>
        <w:rPr>
          <w:b/>
          <w:bCs/>
        </w:rPr>
        <w:t xml:space="preserve">Misurato su impiegati senza diagnosi di cefalea, in un’analisi secondaria.</w:t>
      </w:r>
      <w:r>
        <w:t xml:space="preserve"> </w:t>
      </w:r>
      <w:r>
        <w:t xml:space="preserve">Su 19 studi e 2.776 partecipanti la forza ha ridotto l’intensità nella tensiva, e l’aerobico l’ha ridotta nell’emicrania (SMD −0,65). Il consumo di farmaci è calato (SMD −0,51). Certezza molto bassa (Varangot-Reille,</w:t>
      </w:r>
      <w:r>
        <w:t xml:space="preserve"> </w:t>
      </w:r>
      <w:r>
        <w:rPr>
          <w:i/>
          <w:iCs/>
        </w:rPr>
        <w:t xml:space="preserve">J Pain</w:t>
      </w:r>
      <w:r>
        <w:t xml:space="preserve"> </w:t>
      </w:r>
      <w:r>
        <w:t xml:space="preserve">2022, PMID 34929374). Sull’emicrania, 6 studi danno</w:t>
      </w:r>
      <w:r>
        <w:t xml:space="preserve"> </w:t>
      </w:r>
      <w:r>
        <w:rPr>
          <w:b/>
          <w:bCs/>
        </w:rPr>
        <w:t xml:space="preserve">0,6 ± 0,3 giorni al mese</w:t>
      </w:r>
      <w:r>
        <w:t xml:space="preserve"> </w:t>
      </w:r>
      <w:r>
        <w:t xml:space="preserve">in meno, qualità moderata (Lemmens,</w:t>
      </w:r>
      <w:r>
        <w:t xml:space="preserve"> </w:t>
      </w:r>
      <w:r>
        <w:rPr>
          <w:i/>
          <w:iCs/>
        </w:rPr>
        <w:t xml:space="preserve">J Headache Pain</w:t>
      </w:r>
      <w:r>
        <w:t xml:space="preserve"> </w:t>
      </w:r>
      <w:r>
        <w:t xml:space="preserve">2019, PMID 30764753). E in 91 randomizzati tre mesi di aerobico svolto 40 minuti tre volte a settimana hanno ridotto gli attacchi quanto il topiramato (Varkey,</w:t>
      </w:r>
      <w:r>
        <w:t xml:space="preserve"> </w:t>
      </w:r>
      <w:r>
        <w:rPr>
          <w:i/>
          <w:iCs/>
        </w:rPr>
        <w:t xml:space="preserve">Cephalalgia</w:t>
      </w:r>
      <w:r>
        <w:t xml:space="preserve"> </w:t>
      </w:r>
      <w:r>
        <w:t xml:space="preserve">2011, PMID 21890526). Nei 200 di Jull il braccio con solo esercizio ha tenuto a dodici mesi come quello con sola manipolazione (PMID 12221344).</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per entrambi i bracci — la forza sulla tensiva, l’aerobico sull’emicrania. Non sale a DIMOSTRATO per due motivi: la certezza dichiarata dalle sintesi va da moderata a molto bassa, e gli studi arruolano per diagnosi mentre il tuo paziente spesso non ne ha una stabile.</w:t>
      </w:r>
    </w:p>
    <w:p>
      <w:pPr>
        <w:pStyle w:val="FirstParagraph"/>
      </w:pPr>
      <w:r>
        <w:rPr>
          <w:b/>
          <w:bCs/>
        </w:rPr>
        <w:t xml:space="preserve">Cosa non fa.</w:t>
      </w:r>
      <w:r>
        <w:t xml:space="preserve"> </w:t>
      </w:r>
      <w:r>
        <w:t xml:space="preserve">Nessuno di questi studi ha misurato l’effetto sul paziente non ancora classificato, che è il tuo. E</w:t>
      </w:r>
      <w:r>
        <w:t xml:space="preserve"> </w:t>
      </w:r>
      <w:r>
        <w:rPr>
          <w:b/>
          <w:bCs/>
        </w:rPr>
        <w:t xml:space="preserve">nessuno ha misurato cosa succede quando il paziente smette</w:t>
      </w:r>
      <w:r>
        <w:t xml:space="preserve">. L’esercizio</w:t>
      </w:r>
      <w:r>
        <w:t xml:space="preserve"> </w:t>
      </w:r>
      <w:r>
        <w:rPr>
          <w:b/>
          <w:bCs/>
        </w:rPr>
        <w:t xml:space="preserve">come categoria</w:t>
      </w:r>
      <w:r>
        <w:t xml:space="preserve"> </w:t>
      </w:r>
      <w:r>
        <w:t xml:space="preserve">non ha battuto la cura abituale sulla frequenza della tensiva: vedi «Non possiamo dire» (PMID 40257956).</w:t>
      </w:r>
      <w:r>
        <w:t xml:space="preserve"> </w:t>
      </w:r>
      <w:r>
        <w:rPr>
          <w:b/>
          <w:bCs/>
        </w:rPr>
        <w:t xml:space="preserve">Certezza molto bassa sull’esito complessivo: quel dato dice quale componente scegliere, non quanto renderà.</w:t>
      </w:r>
    </w:p>
    <w:p>
      <w:pPr>
        <w:pStyle w:val="BodyText"/>
      </w:pPr>
      <w:r>
        <w:rPr>
          <w:b/>
          <w:bCs/>
        </w:rPr>
        <w:t xml:space="preserve">Attenzione: due orologi diversi.</w:t>
      </w:r>
      <w:r>
        <w:t xml:space="preserve"> </w:t>
      </w:r>
      <w:r>
        <w:t xml:space="preserve">Il guadagno che matura in venti settimane appartiene all’allenamento. Attribuirlo alla tecnica manuale porta a sopravvalutare la mano.</w:t>
      </w:r>
    </w:p>
    <w:p>
      <w:pPr>
        <w:pStyle w:val="BodyText"/>
      </w:pPr>
      <w:r>
        <w:rPr>
          <w:i/>
          <w:iCs/>
        </w:rPr>
        <w:t xml:space="preserve">Come e quando consegnarlo al tuo paziente sta nella Procedura.</w:t>
      </w:r>
    </w:p>
    <w:bookmarkEnd w:id="74"/>
    <w:bookmarkStart w:id="75" w:name="X969bbfb6f182a1e64a7cd574d3edcc48939a7cb"/>
    <w:p>
      <w:pPr>
        <w:pStyle w:val="Heading3"/>
      </w:pPr>
      <w:r>
        <w:t xml:space="preserve">Strumento 2 — Il calendario dei giorni con farmaco</w:t>
      </w:r>
    </w:p>
    <w:p>
      <w:pPr>
        <w:pStyle w:val="FirstParagraph"/>
      </w:pPr>
      <w:r>
        <w:rPr>
          <w:b/>
          <w:bCs/>
        </w:rPr>
        <w:t xml:space="preserve">Cos’è.</w:t>
      </w:r>
      <w:r>
        <w:t xml:space="preserve"> </w:t>
      </w:r>
      <w:r>
        <w:t xml:space="preserve">Un calendario su cui il paziente segna tre cose al giorno: se ha avuto mal di testa, se ha preso qualcosa</w:t>
      </w:r>
      <w:r>
        <w:t xml:space="preserve"> </w:t>
      </w:r>
      <w:r>
        <w:rPr>
          <w:b/>
          <w:bCs/>
        </w:rPr>
        <w:t xml:space="preserve">per il mal di testa</w:t>
      </w:r>
      <w:r>
        <w:t xml:space="preserve">, e — nella donna in età fertile — dove cade il ciclo.</w:t>
      </w:r>
      <w:r>
        <w:t xml:space="preserve"> </w:t>
      </w:r>
      <w:r>
        <w:rPr>
          <w:b/>
          <w:bCs/>
        </w:rPr>
        <w:t xml:space="preserve">Agisce su</w:t>
      </w:r>
      <w:r>
        <w:t xml:space="preserve"> </w:t>
      </w:r>
      <w:r>
        <w:t xml:space="preserve">«la carta di credito». È l’unico strumento che agisce</w:t>
      </w:r>
      <w:r>
        <w:t xml:space="preserve"> </w:t>
      </w:r>
      <w:r>
        <w:rPr>
          <w:b/>
          <w:bCs/>
        </w:rPr>
        <w:t xml:space="preserve">direttamente</w:t>
      </w:r>
      <w:r>
        <w:t xml:space="preserve"> </w:t>
      </w:r>
      <w:r>
        <w:t xml:space="preserve">sul piano che, quando è aperto, rende instabile ogni altro guadagno.</w:t>
      </w:r>
    </w:p>
    <w:p>
      <w:pPr>
        <w:pStyle w:val="BodyText"/>
      </w:pPr>
      <w:r>
        <w:rPr>
          <w:b/>
          <w:bCs/>
        </w:rPr>
        <w:t xml:space="preserve">Cosa hanno misurato gli studi.</w:t>
      </w:r>
      <w:r>
        <w:t xml:space="preserve"> </w:t>
      </w:r>
      <w:r>
        <w:t xml:space="preserve">In uno studio randomizzato per gruppi di medici di base,</w:t>
      </w:r>
      <w:r>
        <w:t xml:space="preserve"> </w:t>
      </w:r>
      <w:r>
        <w:rPr>
          <w:b/>
          <w:bCs/>
        </w:rPr>
        <w:t xml:space="preserve">su 60 pazienti</w:t>
      </w:r>
      <w:r>
        <w:t xml:space="preserve">, un intervento breve ha ridotto i giorni di cefalea di 7,3 e i giorni con farmaco di 7,9 al mese. L’intervento era informazione sul legame fra farmaco e cefalea, più consiglio di riduzione. La cronicità si è risolta nel 50 per cento contro il 6 (Kristoffersen,</w:t>
      </w:r>
      <w:r>
        <w:t xml:space="preserve"> </w:t>
      </w:r>
      <w:r>
        <w:rPr>
          <w:i/>
          <w:iCs/>
        </w:rPr>
        <w:t xml:space="preserve">JNNP</w:t>
      </w:r>
      <w:r>
        <w:t xml:space="preserve"> </w:t>
      </w:r>
      <w:r>
        <w:t xml:space="preserve">2015, PMID 25112307). Il guadagno teneva a sei mesi (63 contro 11) e a sedici, con ricaduta nell’8,3 per cento (PMID 26645391; 28544265).</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l’intervento breve</w:t>
      </w:r>
      <w:r>
        <w:t xml:space="preserve"> </w:t>
      </w:r>
      <w:r>
        <w:rPr>
          <w:b/>
          <w:bCs/>
        </w:rPr>
        <w:t xml:space="preserve">quando è il medico a erogarlo</w:t>
      </w:r>
      <w:r>
        <w:t xml:space="preserve">, con randomizzazione e tre follow-up, ma su un solo trial e una trentina di pazienti per braccio.</w:t>
      </w:r>
      <w:r>
        <w:t xml:space="preserve"> </w:t>
      </w:r>
      <w:r>
        <w:rPr>
          <w:b/>
          <w:bCs/>
        </w:rPr>
        <w:t xml:space="preserve">IPOTESI</w:t>
      </w:r>
      <w:r>
        <w:t xml:space="preserve"> </w:t>
      </w:r>
      <w:r>
        <w:rPr>
          <w:i/>
          <w:iCs/>
        </w:rPr>
        <w:t xml:space="preserve">(meccanismo coerente, nessuno studio)</w:t>
      </w:r>
      <w:r>
        <w:t xml:space="preserve"> </w:t>
      </w:r>
      <w:r>
        <w:t xml:space="preserve">che il conteggio fatto in uno studio osteopatico e comunicato al curante ottenga lo stesso: la popolazione e l’erogatore sono diversi.</w:t>
      </w:r>
    </w:p>
    <w:p>
      <w:pPr>
        <w:pStyle w:val="FirstParagraph"/>
      </w:pPr>
      <w:r>
        <w:rPr>
          <w:b/>
          <w:bCs/>
        </w:rPr>
        <w:t xml:space="preserve">Cosa non fa.</w:t>
      </w:r>
      <w:r>
        <w:t xml:space="preserve"> </w:t>
      </w:r>
      <w:r>
        <w:t xml:space="preserve">Non riduce il farmaco: lo conta, e conta</w:t>
      </w:r>
      <w:r>
        <w:t xml:space="preserve"> </w:t>
      </w:r>
      <w:r>
        <w:rPr>
          <w:b/>
          <w:bCs/>
        </w:rPr>
        <w:t xml:space="preserve">solo quello che il paziente prende per la testa</w:t>
      </w:r>
      <w:r>
        <w:t xml:space="preserve">. La riduzione la decide il prescrittore.</w:t>
      </w:r>
    </w:p>
    <w:p>
      <w:pPr>
        <w:pStyle w:val="BodyText"/>
      </w:pPr>
      <w:r>
        <w:rPr>
          <w:i/>
          <w:iCs/>
        </w:rPr>
        <w:t xml:space="preserve">Come e quando consegnarlo al tuo paziente sta nella Procedura.</w:t>
      </w:r>
    </w:p>
    <w:bookmarkEnd w:id="75"/>
    <w:bookmarkStart w:id="76" w:name="X4323e95c8397cd651198aa45c7219330645fedd"/>
    <w:p>
      <w:pPr>
        <w:pStyle w:val="Heading3"/>
      </w:pPr>
      <w:r>
        <w:t xml:space="preserve">Strumento 3 — Il training del livello di attivazione</w:t>
      </w:r>
    </w:p>
    <w:p>
      <w:pPr>
        <w:pStyle w:val="FirstParagraph"/>
      </w:pPr>
      <w:r>
        <w:rPr>
          <w:b/>
          <w:bCs/>
        </w:rPr>
        <w:t xml:space="preserve">Cos’è.</w:t>
      </w:r>
      <w:r>
        <w:t xml:space="preserve"> </w:t>
      </w:r>
      <w:r>
        <w:t xml:space="preserve">Addestramento strutturato al controllo dell’attivazione — biofeedback e rilassamento insegnato, con pratica a casa. Non è il consiglio</w:t>
      </w:r>
      <w:r>
        <w:t xml:space="preserve"> </w:t>
      </w:r>
      <w:r>
        <w:rPr>
          <w:i/>
          <w:iCs/>
        </w:rPr>
        <w:t xml:space="preserve">“si rilassi”</w:t>
      </w:r>
      <w:r>
        <w:t xml:space="preserve">, ed è quella differenza a spiegare perché al tuo paziente non ha funzionato.</w:t>
      </w:r>
      <w:r>
        <w:t xml:space="preserve"> </w:t>
      </w:r>
      <w:r>
        <w:rPr>
          <w:b/>
          <w:bCs/>
        </w:rPr>
        <w:t xml:space="preserve">Agisce su</w:t>
      </w:r>
      <w:r>
        <w:t xml:space="preserve"> </w:t>
      </w:r>
      <w:r>
        <w:t xml:space="preserve">«la porta che si apre con un dito»: il piano su cui la leva manuale porta IPOTESI.</w:t>
      </w:r>
    </w:p>
    <w:p>
      <w:pPr>
        <w:pStyle w:val="BodyText"/>
      </w:pPr>
      <w:r>
        <w:rPr>
          <w:b/>
          <w:bCs/>
        </w:rPr>
        <w:t xml:space="preserve">Cosa hanno misurato gli studi.</w:t>
      </w:r>
      <w:r>
        <w:t xml:space="preserve"> </w:t>
      </w:r>
      <w:r>
        <w:t xml:space="preserve">Su 53 studi nella tensiva, d = 0,73 (IC 0,61–0,84), stabile a quindici mesi. Il training è risultato superiore a monitoraggio,</w:t>
      </w:r>
      <w:r>
        <w:t xml:space="preserve"> </w:t>
      </w:r>
      <w:r>
        <w:rPr>
          <w:b/>
          <w:bCs/>
        </w:rPr>
        <w:t xml:space="preserve">placebo</w:t>
      </w:r>
      <w:r>
        <w:t xml:space="preserve"> </w:t>
      </w:r>
      <w:r>
        <w:t xml:space="preserve">e alle sole terapie di rilassamento, con guadagni anche sul consumo di analgesici (Nestoriuc,</w:t>
      </w:r>
      <w:r>
        <w:t xml:space="preserve"> </w:t>
      </w:r>
      <w:r>
        <w:rPr>
          <w:i/>
          <w:iCs/>
        </w:rPr>
        <w:t xml:space="preserve">J Consult Clin Psychol</w:t>
      </w:r>
      <w:r>
        <w:t xml:space="preserve"> </w:t>
      </w:r>
      <w:r>
        <w:t xml:space="preserve">2008, PMID 18540732). Su 55 studi nell’emicrania, d = 0,58 (IC 0,52–0,64), stabile a diciassette mesi, e il biofeedback</w:t>
      </w:r>
      <w:r>
        <w:t xml:space="preserve"> </w:t>
      </w:r>
      <w:r>
        <w:rPr>
          <w:b/>
          <w:bCs/>
        </w:rPr>
        <w:t xml:space="preserve">con pratica a casa</w:t>
      </w:r>
      <w:r>
        <w:t xml:space="preserve"> </w:t>
      </w:r>
      <w:r>
        <w:t xml:space="preserve">più efficace di quello senza (Nestoriuc &amp; Martin,</w:t>
      </w:r>
      <w:r>
        <w:t xml:space="preserve"> </w:t>
      </w:r>
      <w:r>
        <w:rPr>
          <w:i/>
          <w:iCs/>
        </w:rPr>
        <w:t xml:space="preserve">Pain</w:t>
      </w:r>
      <w:r>
        <w:t xml:space="preserve"> </w:t>
      </w:r>
      <w:r>
        <w:t xml:space="preserve">2007, PMID 17084028).</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il training erogato in ambito specialistico, con pratica a casa.</w:t>
      </w:r>
      <w:r>
        <w:t xml:space="preserve"> </w:t>
      </w:r>
      <w:r>
        <w:rPr>
          <w:b/>
          <w:bCs/>
        </w:rPr>
        <w:t xml:space="preserve">IPOTESI</w:t>
      </w:r>
      <w:r>
        <w:t xml:space="preserve"> </w:t>
      </w:r>
      <w:r>
        <w:rPr>
          <w:i/>
          <w:iCs/>
        </w:rPr>
        <w:t xml:space="preserve">(meccanismo coerente, nessuno studio)</w:t>
      </w:r>
      <w:r>
        <w:t xml:space="preserve"> </w:t>
      </w:r>
      <w:r>
        <w:t xml:space="preserve">che la sola istruzione data in uno studio osteopatico ottenga lo stesso: l’erogatore e il formato sono diversi, e nessuno l’ha misurato.</w:t>
      </w:r>
    </w:p>
    <w:p>
      <w:pPr>
        <w:pStyle w:val="FirstParagraph"/>
      </w:pPr>
      <w:r>
        <w:rPr>
          <w:b/>
          <w:bCs/>
        </w:rPr>
        <w:t xml:space="preserve">Cosa non fa, e chi lo fa.</w:t>
      </w:r>
      <w:r>
        <w:t xml:space="preserve"> </w:t>
      </w:r>
      <w:r>
        <w:t xml:space="preserve">Non è un atto nostro:</w:t>
      </w:r>
      <w:r>
        <w:t xml:space="preserve"> </w:t>
      </w:r>
      <w:r>
        <w:rPr>
          <w:b/>
          <w:bCs/>
        </w:rPr>
        <w:t xml:space="preserve">si nomina e si rinvia</w:t>
      </w:r>
      <w:r>
        <w:t xml:space="preserve"> </w:t>
      </w:r>
      <w:r>
        <w:t xml:space="preserve">— psicologo, centro cefalee — con la disciplina con cui si rinvia la profilassi. Il tuo contributo è dire tre cose: che esiste, che ha numeri migliori dei nostri, e che quello che ha già provato non era la stessa cosa.</w:t>
      </w:r>
    </w:p>
    <w:p>
      <w:pPr>
        <w:pStyle w:val="BodyText"/>
      </w:pPr>
      <w:r>
        <w:rPr>
          <w:i/>
          <w:iCs/>
        </w:rPr>
        <w:t xml:space="preserve">Come e quando nominarlo al tuo paziente sta nella Procedura.</w:t>
      </w:r>
    </w:p>
    <w:p>
      <w:pPr>
        <w:pStyle w:val="BodyText"/>
      </w:pPr>
      <w:r>
        <w:rPr>
          <w:b/>
          <w:bCs/>
        </w:rPr>
        <w:t xml:space="preserve">Le tre cose da ricordare, più una</w:t>
      </w:r>
    </w:p>
    <w:p>
      <w:pPr>
        <w:pStyle w:val="Compact"/>
        <w:numPr>
          <w:ilvl w:val="0"/>
          <w:numId w:val="1029"/>
        </w:numPr>
      </w:pPr>
      <w:r>
        <w:t xml:space="preserve">La parte con le prove migliori è l’esercizio e il training addestrato, e la resa dipende dalla supervisione.</w:t>
      </w:r>
    </w:p>
    <w:p>
      <w:pPr>
        <w:pStyle w:val="Compact"/>
        <w:numPr>
          <w:ilvl w:val="0"/>
          <w:numId w:val="1029"/>
        </w:numPr>
      </w:pPr>
      <w:r>
        <w:t xml:space="preserve">Il calendario costa tre minuti e cambia il percorso più di qualunque manovra. Conta solo quello che si prende per la testa.</w:t>
      </w:r>
    </w:p>
    <w:p>
      <w:pPr>
        <w:pStyle w:val="Compact"/>
        <w:numPr>
          <w:ilvl w:val="0"/>
          <w:numId w:val="1029"/>
        </w:numPr>
      </w:pPr>
      <w:r>
        <w:t xml:space="preserve">Contare non è prescrivere, e nominare non è erogare. Le due righe sono nette.</w:t>
      </w:r>
    </w:p>
    <w:p>
      <w:pPr>
        <w:pStyle w:val="Compact"/>
        <w:numPr>
          <w:ilvl w:val="0"/>
          <w:numId w:val="1029"/>
        </w:numPr>
      </w:pPr>
      <w:r>
        <w:rPr>
          <w:b/>
          <w:bCs/>
        </w:rPr>
        <w:t xml:space="preserve">Perché ci sei tu.</w:t>
      </w:r>
      <w:r>
        <w:t xml:space="preserve"> </w:t>
      </w:r>
      <w:r>
        <w:t xml:space="preserve">L’intervento con il risultato più grande del documento — cronicità risolta nel 50 per cento contro il 6 — è un’informazione data da un medico di famiglia, non un trattamento manuale (Kristoffersen, PMID 25112307). Ti autorizza a essere quello che rileva il numero e lo mette in mano al curante. Non ti autorizza ad appropriarti di quel risultato: la leva non è tua, e la decisione nemmeno.</w:t>
      </w:r>
    </w:p>
    <w:p>
      <w:r>
        <w:pict>
          <v:rect style="width:0;height:1.5pt" o:hralign="center" o:hrstd="t" o:hr="t"/>
        </w:pict>
      </w:r>
    </w:p>
    <w:bookmarkEnd w:id="76"/>
    <w:bookmarkEnd w:id="77"/>
    <w:bookmarkStart w:id="81"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gli manca non è complicata — gli manca perché nessuno gliel’ha data in ottanta parole.</w:t>
      </w:r>
    </w:p>
    <w:bookmarkStart w:id="78" w:name="lo-script"/>
    <w:p>
      <w:pPr>
        <w:pStyle w:val="Heading3"/>
      </w:pPr>
      <w:r>
        <w:t xml:space="preserve">Lo script</w:t>
      </w:r>
    </w:p>
    <w:p>
      <w:pPr>
        <w:pStyle w:val="FirstParagraph"/>
      </w:pPr>
      <w:r>
        <w:rPr>
          <w:i/>
          <w:iCs/>
        </w:rPr>
        <w:t xml:space="preserve">“Il cervello non fa male: non ha recettori del dolore. Fanno male le sue coperture, i vasi e i muscoli che reggono la testa. Collo e testa mandano il segnale nello stesso punto, e lì il corpo non distingue più da dove arriva. Nel suo caso ho trovato [reperto misurato], e io lavoro sulla componente meccanica che ho trovato nel collo. Non le sto dicendo da dove viene il suo mal di testa: che tipo di mal di testa sia lo stabilisce il suo medico, e nel frattempo io non aspetto. Le due cose vanno insieme.”</w:t>
      </w:r>
    </w:p>
    <w:p>
      <w:pPr>
        <w:pStyle w:val="BodyText"/>
      </w:pPr>
      <w:r>
        <w:rPr>
          <w:b/>
          <w:bCs/>
        </w:rPr>
        <w:t xml:space="preserve">Dove sta il secchio.</w:t>
      </w:r>
      <w:r>
        <w:t xml:space="preserve"> </w:t>
      </w:r>
      <w:r>
        <w:t xml:space="preserve">La metafora resta dove è vera, cioè per spiegare</w:t>
      </w:r>
      <w:r>
        <w:t xml:space="preserve"> </w:t>
      </w:r>
      <w:r>
        <w:rPr>
          <w:b/>
          <w:bCs/>
        </w:rPr>
        <w:t xml:space="preserve">perché un segnale piccolo diventa dolore</w:t>
      </w:r>
      <w:r>
        <w:t xml:space="preserve">. E si introduce con</w:t>
      </w:r>
      <w:r>
        <w:t xml:space="preserve"> </w:t>
      </w:r>
      <w:r>
        <w:rPr>
          <w:i/>
          <w:iCs/>
        </w:rPr>
        <w:t xml:space="preserve">«può succedere che»</w:t>
      </w:r>
      <w:r>
        <w:t xml:space="preserve">, mai con</w:t>
      </w:r>
      <w:r>
        <w:t xml:space="preserve"> </w:t>
      </w:r>
      <w:r>
        <w:rPr>
          <w:i/>
          <w:iCs/>
        </w:rPr>
        <w:t xml:space="preserve">«lei ha»</w:t>
      </w:r>
      <w:r>
        <w:t xml:space="preserve">. Dire</w:t>
      </w:r>
      <w:r>
        <w:t xml:space="preserve"> </w:t>
      </w:r>
      <w:r>
        <w:rPr>
          <w:i/>
          <w:iCs/>
        </w:rPr>
        <w:t xml:space="preserve">«io lavoro su quanto gocciola»</w:t>
      </w:r>
      <w:r>
        <w:t xml:space="preserve"> </w:t>
      </w:r>
      <w:r>
        <w:t xml:space="preserve">a un emicranico è, in metafora, la stessa diagnosi meccanicistica che «Dove finisce il nostro campo» vieta.</w:t>
      </w:r>
    </w:p>
    <w:p>
      <w:pPr>
        <w:pStyle w:val="BodyText"/>
      </w:pPr>
      <w:r>
        <w:rPr>
          <w:b/>
          <w:bCs/>
        </w:rPr>
        <w:t xml:space="preserve">Perché le parole vanno curate, e qui c’è un numero.</w:t>
      </w:r>
      <w:r>
        <w:t xml:space="preserve"> </w:t>
      </w:r>
      <w:r>
        <w:t xml:space="preserve">In questi pazienti passare da un’informazione negativa a una positiva ha alzato l’efficacia sia della compressa vera sia di quella finta (Kam-Hansen, PMID 24401940). Quello che dici mentre lavori non è cortesia: è parte dell’atto. Vale anche quando annunci il peggioramento dei primi giorni dopo una sospensione — conta</w:t>
      </w:r>
      <w:r>
        <w:t xml:space="preserve"> </w:t>
      </w:r>
      <w:r>
        <w:rPr>
          <w:b/>
          <w:bCs/>
        </w:rPr>
        <w:t xml:space="preserve">come</w:t>
      </w:r>
      <w:r>
        <w:t xml:space="preserve"> </w:t>
      </w:r>
      <w:r>
        <w:t xml:space="preserve">lo dici quanto</w:t>
      </w:r>
      <w:r>
        <w:t xml:space="preserve"> </w:t>
      </w:r>
      <w:r>
        <w:rPr>
          <w:b/>
          <w:bCs/>
        </w:rPr>
        <w:t xml:space="preserve">che</w:t>
      </w:r>
      <w:r>
        <w:t xml:space="preserve"> </w:t>
      </w:r>
      <w:r>
        <w:t xml:space="preserve">lo dici.</w:t>
      </w:r>
    </w:p>
    <w:bookmarkEnd w:id="78"/>
    <w:bookmarkStart w:id="79" w:name="le-obiezioni-e-le-risposte-oneste"/>
    <w:p>
      <w:pPr>
        <w:pStyle w:val="Heading3"/>
      </w:pPr>
      <w:r>
        <w:t xml:space="preserve">Le obiezioni, e le risposte oneste</w:t>
      </w:r>
    </w:p>
    <w:p>
      <w:pPr>
        <w:pStyle w:val="FirstParagraph"/>
      </w:pPr>
      <w:r>
        <w:rPr>
          <w:b/>
          <w:bCs/>
        </w:rPr>
        <w:t xml:space="preserve">“Ho fatto tutti gli esami: perfetti.”</w:t>
      </w:r>
      <w:r>
        <w:t xml:space="preserve"> </w:t>
      </w:r>
      <w:r>
        <w:rPr>
          <w:i/>
          <w:iCs/>
        </w:rPr>
        <w:t xml:space="preserve">“Ed è una buona notizia, perché esclude le cose gravi. Quegli esami fotografano la testa dall’interno: non guardano come si muove il collo né quanto sono carichi i muscoli che lo reggono. Non è che non abbiano trovato niente: hanno guardato un’altra cosa.”</w:t>
      </w:r>
    </w:p>
    <w:p>
      <w:pPr>
        <w:pStyle w:val="BodyText"/>
      </w:pPr>
      <w:r>
        <w:rPr>
          <w:b/>
          <w:bCs/>
        </w:rPr>
        <w:t xml:space="preserve">“Convivo col mal di testa da vent’anni.”</w:t>
      </w:r>
      <w:r>
        <w:t xml:space="preserve"> </w:t>
      </w:r>
      <w:r>
        <w:rPr>
          <w:i/>
          <w:iCs/>
        </w:rPr>
        <w:t xml:space="preserve">“Vent’anni non spariscono in una seduta, e non le prometto che spariscano. Le dico cosa misuriamo prima di cominciare e quando lo rimisuriamo: se il numero non si muove, glielo dico io.”</w:t>
      </w:r>
    </w:p>
    <w:p>
      <w:pPr>
        <w:pStyle w:val="BodyText"/>
      </w:pPr>
      <w:r>
        <w:rPr>
          <w:b/>
          <w:bCs/>
        </w:rPr>
        <w:t xml:space="preserve">“Prendo una pastiglia e vado avanti.”</w:t>
      </w:r>
      <w:r>
        <w:t xml:space="preserve"> </w:t>
      </w:r>
      <w:r>
        <w:rPr>
          <w:i/>
          <w:iCs/>
        </w:rPr>
        <w:t xml:space="preserve">“Funziona oggi. Il punto è quanti giorni al mese la prende per la testa: sopra una certa soglia il farmaco entra a far parte del problema, e lo sappiamo da studi seri. Io non tocco la sua terapia: conto i giorni insieme a lei e mando il numero al suo medico, che è chi decide. E una cosa importante: non cambi niente da sola nel frattempo — non tolga, non riduca. Se si smette di colpo il mal di testa può peggiorare per qualche giorno, e come farlo lo decide il suo medico.”</w:t>
      </w:r>
    </w:p>
    <w:p>
      <w:pPr>
        <w:pStyle w:val="BodyText"/>
      </w:pPr>
      <w:r>
        <w:rPr>
          <w:b/>
          <w:bCs/>
        </w:rPr>
        <w:t xml:space="preserve">“Il mio medico lo sa?”</w:t>
      </w:r>
      <w:r>
        <w:t xml:space="preserve"> </w:t>
      </w:r>
      <w:r>
        <w:rPr>
          <w:i/>
          <w:iCs/>
        </w:rPr>
        <w:t xml:space="preserve">“Deve saperlo, e glielo scrivo io. Lavoriamo in parallelo, non al suo posto: io mi occupo della componente meccanica che ho trovato, il tipo di mal di testa e la terapia restano cose sue.”</w:t>
      </w:r>
    </w:p>
    <w:p>
      <w:pPr>
        <w:pStyle w:val="BodyText"/>
      </w:pPr>
      <w:r>
        <w:rPr>
          <w:b/>
          <w:bCs/>
        </w:rPr>
        <w:t xml:space="preserve">Quando esce dallo studio</w:t>
      </w:r>
      <w:r>
        <w:t xml:space="preserve">, una frase sola: un mal di testa o un dolore al collo</w:t>
      </w:r>
      <w:r>
        <w:t xml:space="preserve"> </w:t>
      </w:r>
      <w:r>
        <w:rPr>
          <w:b/>
          <w:bCs/>
        </w:rPr>
        <w:t xml:space="preserve">nuovi e diversi dai suoi</w:t>
      </w:r>
      <w:r>
        <w:t xml:space="preserve">, o qualunque disturbo di vista, parola, forza o equilibrio nei giorni dopo, si portano in pronto soccorso — non allo studio, e non al telefono.</w:t>
      </w:r>
    </w:p>
    <w:bookmarkEnd w:id="79"/>
    <w:bookmarkStart w:id="80" w:name="cosa-non-promettere-mai"/>
    <w:p>
      <w:pPr>
        <w:pStyle w:val="Heading3"/>
      </w:pPr>
      <w:r>
        <w:t xml:space="preserve">Cosa non promettere mai</w:t>
      </w:r>
    </w:p>
    <w:p>
      <w:pPr>
        <w:pStyle w:val="FirstParagraph"/>
      </w:pPr>
      <w:r>
        <w:t xml:space="preserve">Non promettere che il mal di testa sparisca. Non dire che viene dalla cervicale, nemmeno per metafora. Non dire il nome di un tipo di cefalea come una tua conclusione. Non suggerire una riduzione di farmaco, nemmeno in forma di incoraggiamento. E non lasciare intendere, nemmeno per implicazione, che un farmaco assunto per un’altra malattia faccia parte del problema.</w:t>
      </w:r>
    </w:p>
    <w:p>
      <w:pPr>
        <w:pStyle w:val="BodyText"/>
      </w:pPr>
      <w:r>
        <w:rPr>
          <w:b/>
          <w:bCs/>
        </w:rPr>
        <w:t xml:space="preserve">Le tre cose da ricordare, più una</w:t>
      </w:r>
    </w:p>
    <w:p>
      <w:pPr>
        <w:pStyle w:val="Compact"/>
        <w:numPr>
          <w:ilvl w:val="0"/>
          <w:numId w:val="1030"/>
        </w:numPr>
      </w:pPr>
      <w:r>
        <w:t xml:space="preserve">Il secchio spiega un meccanismo, non fa la diagnosi di questo paziente.</w:t>
      </w:r>
    </w:p>
    <w:p>
      <w:pPr>
        <w:pStyle w:val="Compact"/>
        <w:numPr>
          <w:ilvl w:val="0"/>
          <w:numId w:val="1030"/>
        </w:numPr>
      </w:pPr>
      <w:r>
        <w:t xml:space="preserve">Sulla convivenza fra il tuo lavoro e l’inquadramento medico si usano le parole del triage, quelle esatte.</w:t>
      </w:r>
    </w:p>
    <w:p>
      <w:pPr>
        <w:pStyle w:val="Compact"/>
        <w:numPr>
          <w:ilvl w:val="0"/>
          <w:numId w:val="1030"/>
        </w:numPr>
      </w:pPr>
      <w:r>
        <w:t xml:space="preserve">Il paziente non chiede una promessa: chiede una spiegazione che regga.</w:t>
      </w:r>
    </w:p>
    <w:p>
      <w:pPr>
        <w:pStyle w:val="Compact"/>
        <w:numPr>
          <w:ilvl w:val="0"/>
          <w:numId w:val="1030"/>
        </w:numPr>
      </w:pPr>
      <w:r>
        <w:rPr>
          <w:b/>
          <w:bCs/>
        </w:rPr>
        <w:t xml:space="preserve">Perché ci sei tu.</w:t>
      </w:r>
      <w:r>
        <w:t xml:space="preserve"> </w:t>
      </w:r>
      <w:r>
        <w:t xml:space="preserve">Su 150 pazienti randomizzati con cefalea quotidiana, offrire una risonanza riduceva la preoccupazione a tre mesi, e a un anno quella rassicurazione non c’era più (Howard,</w:t>
      </w:r>
      <w:r>
        <w:t xml:space="preserve"> </w:t>
      </w:r>
      <w:r>
        <w:rPr>
          <w:i/>
          <w:iCs/>
        </w:rPr>
        <w:t xml:space="preserve">JNNP</w:t>
      </w:r>
      <w:r>
        <w:t xml:space="preserve"> </w:t>
      </w:r>
      <w:r>
        <w:t xml:space="preserve">2005, PMID 16227551). Ti autorizza a dare una spiegazione del meccanismo, la sola rassicurazione che non scade con il referto. Non ti autorizza a promettere che faccia passare il dolore: rassicurare e migliorare sono esiti diversi.</w:t>
      </w:r>
    </w:p>
    <w:p>
      <w:r>
        <w:pict>
          <v:rect style="width:0;height:1.5pt" o:hralign="center" o:hrstd="t" o:hr="t"/>
        </w:pict>
      </w:r>
    </w:p>
    <w:bookmarkEnd w:id="80"/>
    <w:bookmarkEnd w:id="81"/>
    <w:bookmarkStart w:id="82"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 metodo per smistare, cinque numeri per verificare e un confine per non sbagliare mestiere.</w:t>
      </w:r>
    </w:p>
    <w:p>
      <w:pPr>
        <w:pStyle w:val="FirstParagraph"/>
      </w:pPr>
      <w:r>
        <w:t xml:space="preserve">Il filo è questo. Arriva una persona con una parola generica, una scatola di pastiglie ed esami normali che nessuno le ha spiegato. Dentro quella parola ci sono quadri diversi, e uno solo ha un cluster di test che lo orienta con accuratezza alta. Il guasto comune sta dove il segnale del collo, della mandibola e della testa diventa indistinguibile, e da lì passano tutte le tue leve. Sopra tutte c’è un piano che non si tratta con le mani e va guardato per primo, perché finché è aperto niente tiene: quante volte al mese quella scatola viene aperta, e per che cosa. Il tuo campo finisce dove comincia il nome della malattia, e non lo attraversi nemmeno quando sei sicuro.</w:t>
      </w:r>
    </w:p>
    <w:p>
      <w:pPr>
        <w:pStyle w:val="BodyText"/>
      </w:pPr>
      <w:r>
        <w:rPr>
          <w:b/>
          <w:bCs/>
        </w:rPr>
        <w:t xml:space="preserve">Quando sei autonomo.</w:t>
      </w:r>
      <w:r>
        <w:t xml:space="preserve"> </w:t>
      </w:r>
      <w:r>
        <w:t xml:space="preserve">Quando sai dire, davanti allo stesso mal di testa, se comanda il calendario o l’attivazione. Quando riconosci il paziente su cui puoi poco e glielo dici prima di cominciare. E quando sai dire a un medico cosa possiamo e cosa non possiamo affermare.</w:t>
      </w:r>
    </w:p>
    <w:p>
      <w:pPr>
        <w:pStyle w:val="BodyText"/>
      </w:pPr>
      <w:r>
        <w:rPr>
          <w:b/>
          <w:bCs/>
        </w:rPr>
        <w:t xml:space="preserve">Le tre cose che cambi da lunedì</w:t>
      </w:r>
    </w:p>
    <w:p>
      <w:pPr>
        <w:pStyle w:val="Compact"/>
        <w:numPr>
          <w:ilvl w:val="0"/>
          <w:numId w:val="1031"/>
        </w:numPr>
      </w:pPr>
      <w:r>
        <w:rPr>
          <w:b/>
          <w:bCs/>
        </w:rPr>
        <w:t xml:space="preserve">Misura i gradi.</w:t>
      </w:r>
      <w:r>
        <w:t xml:space="preserve"> </w:t>
      </w:r>
      <w:r>
        <w:t xml:space="preserve">Test di flessione-rotazione su ogni paziente che ha passato il triage, e il numero in cartella.</w:t>
      </w:r>
    </w:p>
    <w:p>
      <w:pPr>
        <w:pStyle w:val="Compact"/>
        <w:numPr>
          <w:ilvl w:val="0"/>
          <w:numId w:val="1031"/>
        </w:numPr>
      </w:pPr>
      <w:r>
        <w:rPr>
          <w:b/>
          <w:bCs/>
        </w:rPr>
        <w:t xml:space="preserve">Di’ questa frase:</w:t>
      </w:r>
      <w:r>
        <w:t xml:space="preserve"> </w:t>
      </w:r>
      <w:r>
        <w:rPr>
          <w:i/>
          <w:iCs/>
        </w:rPr>
        <w:t xml:space="preserve">“Io lavoro sulla componente meccanica che ho trovato nel collo. Che tipo di mal di testa sia lo stabilisce il suo medico, e nel frattempo io non aspetto.”</w:t>
      </w:r>
    </w:p>
    <w:p>
      <w:pPr>
        <w:pStyle w:val="Compact"/>
        <w:numPr>
          <w:ilvl w:val="0"/>
          <w:numId w:val="1031"/>
        </w:numPr>
      </w:pPr>
      <w:r>
        <w:rPr>
          <w:b/>
          <w:bCs/>
        </w:rPr>
        <w:t xml:space="preserve">Smetti di dire il nome.</w:t>
      </w:r>
      <w:r>
        <w:t xml:space="preserve"> </w:t>
      </w:r>
      <w:r>
        <w:t xml:space="preserve">Scrivi il reperto e il pattern, e lascia l’etichetta a chi la firma.</w:t>
      </w:r>
    </w:p>
    <w:p>
      <w:pPr>
        <w:pStyle w:val="FirstParagraph"/>
      </w:pPr>
      <w:r>
        <w:rPr>
          <w:i/>
          <w:iCs/>
        </w:rPr>
        <w:t xml:space="preserve">L’ambulatorio ha dieci minuti e li usa per escludere le cose gravi. Tu ne hai quaranta, e li usi per contare i giorni, misurare quanti gradi gira un collo e guardare una mandibola che nessuno aveva guardato. Non sarai mai quello che dà il nome alla malattia, e va bene così: è una divisione del lavoro, e funziona solo se entrambe le parti la rispettano.</w:t>
      </w:r>
    </w:p>
    <w:p>
      <w:pPr>
        <w:pStyle w:val="BodyText"/>
      </w:pPr>
      <w:r>
        <w:rPr>
          <w:b/>
          <w:bCs/>
        </w:rPr>
        <w:t xml:space="preserve">Le tre cose da ricordare, più una</w:t>
      </w:r>
    </w:p>
    <w:p>
      <w:pPr>
        <w:pStyle w:val="Compact"/>
        <w:numPr>
          <w:ilvl w:val="0"/>
          <w:numId w:val="1032"/>
        </w:numPr>
      </w:pPr>
      <w:r>
        <w:t xml:space="preserve">Misura i gradi del test di flessione-rotazione su ogni cefalea che ha passato il cancello, e scrivili.</w:t>
      </w:r>
    </w:p>
    <w:p>
      <w:pPr>
        <w:pStyle w:val="Compact"/>
        <w:numPr>
          <w:ilvl w:val="0"/>
          <w:numId w:val="1032"/>
        </w:numPr>
      </w:pPr>
      <w:r>
        <w:t xml:space="preserve">Di’ al paziente la frase sulla convivenza, con quelle parole.</w:t>
      </w:r>
    </w:p>
    <w:p>
      <w:pPr>
        <w:pStyle w:val="Compact"/>
        <w:numPr>
          <w:ilvl w:val="0"/>
          <w:numId w:val="1032"/>
        </w:numPr>
      </w:pPr>
      <w:r>
        <w:t xml:space="preserve">Non dire il nome della cefalea. Mai, nemmeno a voce.</w:t>
      </w:r>
    </w:p>
    <w:p>
      <w:pPr>
        <w:pStyle w:val="Compact"/>
        <w:numPr>
          <w:ilvl w:val="0"/>
          <w:numId w:val="1032"/>
        </w:numPr>
      </w:pPr>
      <w:r>
        <w:rPr>
          <w:b/>
          <w:bCs/>
        </w:rPr>
        <w:t xml:space="preserve">Perché ci sei tu.</w:t>
      </w:r>
      <w:r>
        <w:t xml:space="preserve"> </w:t>
      </w:r>
      <w:r>
        <w:t xml:space="preserve">Una persona su quattro con emicrania non riceve quella diagnosi, e l’82 per cento di quelle etichettate come non-emicrania ne aveva una (Tepper,</w:t>
      </w:r>
      <w:r>
        <w:t xml:space="preserve"> </w:t>
      </w:r>
      <w:r>
        <w:rPr>
          <w:i/>
          <w:iCs/>
        </w:rPr>
        <w:t xml:space="preserve">Headache</w:t>
      </w:r>
      <w:r>
        <w:t xml:space="preserve"> </w:t>
      </w:r>
      <w:r>
        <w:t xml:space="preserve">2004, PMID 15447694). Ti autorizza a trattare l’etichetta come un’ipotesi da mettere alla prova. Non ti autorizza a sostituirla: quando l’ipotesi non regge, il paziente torna dal medico con le tue osservazioni scritte, non con una tua diagnosi.</w:t>
      </w:r>
    </w:p>
    <w:p>
      <w:r>
        <w:pict>
          <v:rect style="width:0;height:1.5pt" o:hralign="center" o:hrstd="t" o:hr="t"/>
        </w:pict>
      </w:r>
    </w:p>
    <w:bookmarkEnd w:id="82"/>
    <w:bookmarkStart w:id="83" w:name="appendice-a-glossario"/>
    <w:p>
      <w:pPr>
        <w:pStyle w:val="Heading2"/>
      </w:pPr>
      <w:r>
        <w:t xml:space="preserve">Appendice A — Glossario</w:t>
      </w:r>
    </w:p>
    <w:p>
      <w:pPr>
        <w:pStyle w:val="FirstParagraph"/>
      </w:pPr>
      <w:r>
        <w:rPr>
          <w:b/>
          <w:bCs/>
        </w:rPr>
        <w:t xml:space="preserve">Anti-CGRP</w:t>
      </w:r>
      <w:r>
        <w:t xml:space="preserve"> </w:t>
      </w:r>
      <w:r>
        <w:t xml:space="preserve">— anticorpi monoclonali e gepanti, la profilassi moderna dell’emicrania.</w:t>
      </w:r>
    </w:p>
    <w:p>
      <w:pPr>
        <w:pStyle w:val="BodyText"/>
      </w:pPr>
      <w:r>
        <w:rPr>
          <w:b/>
          <w:bCs/>
        </w:rPr>
        <w:t xml:space="preserve">Arterite a cellule giganti</w:t>
      </w:r>
      <w:r>
        <w:t xml:space="preserve"> </w:t>
      </w:r>
      <w:r>
        <w:t xml:space="preserve">— infiammazione delle arterie della tempia dopo i 50 anni; può togliere la vista in giorni.</w:t>
      </w:r>
    </w:p>
    <w:p>
      <w:pPr>
        <w:pStyle w:val="BodyText"/>
      </w:pPr>
      <w:r>
        <w:rPr>
          <w:b/>
          <w:bCs/>
        </w:rPr>
        <w:t xml:space="preserve">Bandiera rossa</w:t>
      </w:r>
      <w:r>
        <w:t xml:space="preserve"> </w:t>
      </w:r>
      <w:r>
        <w:t xml:space="preserve">— segno che indica la possibilità di una cefalea secondaria e impone l’invio medico.</w:t>
      </w:r>
    </w:p>
    <w:p>
      <w:pPr>
        <w:pStyle w:val="BodyText"/>
      </w:pPr>
      <w:r>
        <w:rPr>
          <w:b/>
          <w:bCs/>
        </w:rPr>
        <w:t xml:space="preserve">Biofeedback</w:t>
      </w:r>
      <w:r>
        <w:t xml:space="preserve"> </w:t>
      </w:r>
      <w:r>
        <w:t xml:space="preserve">— addestramento in cui il paziente vede un proprio segnale corporeo su uno strumento e impara a modificarlo.</w:t>
      </w:r>
    </w:p>
    <w:p>
      <w:pPr>
        <w:pStyle w:val="BodyText"/>
      </w:pPr>
      <w:r>
        <w:rPr>
          <w:b/>
          <w:bCs/>
        </w:rPr>
        <w:t xml:space="preserve">Carico allostatico</w:t>
      </w:r>
      <w:r>
        <w:t xml:space="preserve"> </w:t>
      </w:r>
      <w:r>
        <w:t xml:space="preserve">— il costo accumulato dell’adattamento a stress prolungati.</w:t>
      </w:r>
    </w:p>
    <w:p>
      <w:pPr>
        <w:pStyle w:val="BodyText"/>
      </w:pPr>
      <w:r>
        <w:rPr>
          <w:b/>
          <w:bCs/>
        </w:rPr>
        <w:t xml:space="preserve">Catena</w:t>
      </w:r>
      <w:r>
        <w:t xml:space="preserve"> </w:t>
      </w:r>
      <w:r>
        <w:t xml:space="preserve">— 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 Il passo a passo di un meccanismo qui si chiama</w:t>
      </w:r>
      <w:r>
        <w:t xml:space="preserve"> </w:t>
      </w:r>
      <w:r>
        <w:rPr>
          <w:b/>
          <w:bCs/>
        </w:rPr>
        <w:t xml:space="preserve">sequenza</w:t>
      </w:r>
      <w:r>
        <w:t xml:space="preserve">, per non confondere le due cose.</w:t>
      </w:r>
    </w:p>
    <w:p>
      <w:pPr>
        <w:pStyle w:val="BodyText"/>
      </w:pPr>
      <w:r>
        <w:rPr>
          <w:b/>
          <w:bCs/>
        </w:rPr>
        <w:t xml:space="preserve">Cefalalgie autonomico-trigeminali</w:t>
      </w:r>
      <w:r>
        <w:t xml:space="preserve"> </w:t>
      </w:r>
      <w:r>
        <w:t xml:space="preserve">— cefalee brevi, strettamente da un lato, con lacrimazione, occhio rosso o naso chiuso dallo stesso lato. Il grappolo è la più nota.</w:t>
      </w:r>
    </w:p>
    <w:p>
      <w:pPr>
        <w:pStyle w:val="BodyText"/>
      </w:pPr>
      <w:r>
        <w:rPr>
          <w:b/>
          <w:bCs/>
        </w:rPr>
        <w:t xml:space="preserve">Cefalea cervicogenica</w:t>
      </w:r>
      <w:r>
        <w:t xml:space="preserve"> </w:t>
      </w:r>
      <w:r>
        <w:t xml:space="preserve">— cefalea attribuita a una disfunzione del rachide cervicale alto.</w:t>
      </w:r>
    </w:p>
    <w:p>
      <w:pPr>
        <w:pStyle w:val="BodyText"/>
      </w:pPr>
      <w:r>
        <w:rPr>
          <w:b/>
          <w:bCs/>
        </w:rPr>
        <w:t xml:space="preserve">Cefalea primaria / secondaria</w:t>
      </w:r>
      <w:r>
        <w:t xml:space="preserve"> </w:t>
      </w:r>
      <w:r>
        <w:t xml:space="preserve">— nella prima il mal di testa è la malattia; nella seconda è il sintomo di un’altra condizione.</w:t>
      </w:r>
    </w:p>
    <w:p>
      <w:pPr>
        <w:pStyle w:val="BodyText"/>
      </w:pPr>
      <w:r>
        <w:rPr>
          <w:b/>
          <w:bCs/>
        </w:rPr>
        <w:t xml:space="preserve">Cefalea da uso eccessivo di farmaci</w:t>
      </w:r>
      <w:r>
        <w:t xml:space="preserve"> </w:t>
      </w:r>
      <w:r>
        <w:t xml:space="preserve">— cefalea mantenuta dall’assunzione frequente di analgesici presi per la cefalea stessa.</w:t>
      </w:r>
    </w:p>
    <w:p>
      <w:pPr>
        <w:pStyle w:val="BodyText"/>
      </w:pPr>
      <w:r>
        <w:rPr>
          <w:b/>
          <w:bCs/>
        </w:rPr>
        <w:t xml:space="preserve">Compenso</w:t>
      </w:r>
      <w:r>
        <w:t xml:space="preserve"> </w:t>
      </w:r>
      <w:r>
        <w:t xml:space="preserve">— 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quanto la pelle conduce elettricità; sale con l’attivazione simpatica.</w:t>
      </w:r>
    </w:p>
    <w:p>
      <w:pPr>
        <w:pStyle w:val="BodyText"/>
      </w:pPr>
      <w:r>
        <w:rPr>
          <w:b/>
          <w:bCs/>
        </w:rPr>
        <w:t xml:space="preserve">Differenza media standardizzata (SMD)</w:t>
      </w:r>
      <w:r>
        <w:t xml:space="preserve"> </w:t>
      </w:r>
      <w:r>
        <w:t xml:space="preserve">— la differenza fra due gruppi espressa in deviazioni standard, per confrontare studi che hanno usato scale diverse.</w:t>
      </w:r>
    </w:p>
    <w:p>
      <w:pPr>
        <w:pStyle w:val="BodyText"/>
      </w:pPr>
      <w:r>
        <w:rPr>
          <w:b/>
          <w:bCs/>
        </w:rPr>
        <w:t xml:space="preserve">Differenza media incrementale (iMD)</w:t>
      </w:r>
      <w:r>
        <w:t xml:space="preserve"> </w:t>
      </w:r>
      <w:r>
        <w:t xml:space="preserve">— quanto una singola componente di un trattamento aggiunge o toglie, stimata dentro una rete di confronti.</w:t>
      </w:r>
    </w:p>
    <w:p>
      <w:pPr>
        <w:pStyle w:val="BodyText"/>
      </w:pPr>
      <w:r>
        <w:rPr>
          <w:b/>
          <w:bCs/>
        </w:rPr>
        <w:t xml:space="preserve">Disfunzione somatica</w:t>
      </w:r>
      <w:r>
        <w:t xml:space="preserve"> </w:t>
      </w:r>
      <w:r>
        <w:t xml:space="preserve">— 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BodyText"/>
      </w:pPr>
      <w:r>
        <w:rPr>
          <w:b/>
          <w:bCs/>
        </w:rPr>
        <w:t xml:space="preserve">Dissezione arteriosa cervicale</w:t>
      </w:r>
      <w:r>
        <w:t xml:space="preserve"> </w:t>
      </w:r>
      <w:r>
        <w:t xml:space="preserve">— scollamento della parete di un’arteria del collo; esordisce con cefalea e dolore cervicale nuovi.</w:t>
      </w:r>
    </w:p>
    <w:p>
      <w:pPr>
        <w:pStyle w:val="BodyText"/>
      </w:pPr>
      <w:r>
        <w:rPr>
          <w:b/>
          <w:bCs/>
        </w:rPr>
        <w:t xml:space="preserve">DIMOSTRATO</w:t>
      </w:r>
      <w:r>
        <w:t xml:space="preserve"> </w:t>
      </w:r>
      <w:r>
        <w:t xml:space="preserve">— etichetta di solidità:</w:t>
      </w:r>
      <w:r>
        <w:t xml:space="preserve"> </w:t>
      </w:r>
      <w:r>
        <w:rPr>
          <w:i/>
          <w:iCs/>
        </w:rPr>
        <w:t xml:space="preserve">studi sull’uomo, solidi</w:t>
      </w:r>
      <w:r>
        <w:t xml:space="preserve">. L’affermazione è retta da studi condotti su persone, di qualità sufficiente. Quando il dato viene da un’altra specie, la specie entra nell’etichetta:</w:t>
      </w:r>
      <w:r>
        <w:t xml:space="preserve"> </w:t>
      </w:r>
      <w:r>
        <w:rPr>
          <w:b/>
          <w:bCs/>
        </w:rPr>
        <w:t xml:space="preserve">DIMOSTRATO nell’animale</w:t>
      </w:r>
      <w:r>
        <w:t xml:space="preserve">.</w:t>
      </w:r>
    </w:p>
    <w:p>
      <w:pPr>
        <w:pStyle w:val="BodyText"/>
      </w:pPr>
      <w:r>
        <w:rPr>
          <w:b/>
          <w:bCs/>
        </w:rPr>
        <w:t xml:space="preserve">ICHD-3</w:t>
      </w:r>
      <w:r>
        <w:t xml:space="preserve"> </w:t>
      </w:r>
      <w:r>
        <w:t xml:space="preserve">— terza edizione della classificazione internazionale delle cefalee.</w:t>
      </w:r>
    </w:p>
    <w:p>
      <w:pPr>
        <w:pStyle w:val="BodyText"/>
      </w:pPr>
      <w:r>
        <w:rPr>
          <w:b/>
          <w:bCs/>
        </w:rPr>
        <w:t xml:space="preserve">Intervallo di confidenza</w:t>
      </w:r>
      <w:r>
        <w:t xml:space="preserve"> </w:t>
      </w:r>
      <w:r>
        <w:t xml:space="preserve">— la fascia entro cui plausibilmente sta il risultato vero. Se attraversa lo zero, il dato non esclude «nessun effetto».</w:t>
      </w:r>
    </w:p>
    <w:p>
      <w:pPr>
        <w:pStyle w:val="BodyText"/>
      </w:pPr>
      <w:r>
        <w:rPr>
          <w:b/>
          <w:bCs/>
        </w:rPr>
        <w:t xml:space="preserve">IPOTESI</w:t>
      </w:r>
      <w:r>
        <w:t xml:space="preserve"> </w:t>
      </w:r>
      <w:r>
        <w:t xml:space="preserve">— etichetta di solidità:</w:t>
      </w:r>
      <w:r>
        <w:t xml:space="preserve"> </w:t>
      </w:r>
      <w:r>
        <w:rPr>
          <w:i/>
          <w:iCs/>
        </w:rPr>
        <w:t xml:space="preserve">meccanismo coerente, nessuno studio</w:t>
      </w:r>
      <w:r>
        <w:t xml:space="preserve">. Il razionale sta in piedi, ma nessuno l’ha misurato. Autorizza a trattare e verificare, mai ad affermare.</w:t>
      </w:r>
    </w:p>
    <w:p>
      <w:pPr>
        <w:pStyle w:val="BodyText"/>
      </w:pPr>
      <w:r>
        <w:rPr>
          <w:b/>
          <w:bCs/>
        </w:rPr>
        <w:t xml:space="preserve">Lesione primaria</w:t>
      </w:r>
      <w:r>
        <w:t xml:space="preserve"> </w:t>
      </w:r>
      <w:r>
        <w:t xml:space="preserve">— 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 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Nociplastico</w:t>
      </w:r>
      <w:r>
        <w:t xml:space="preserve"> </w:t>
      </w:r>
      <w:r>
        <w:t xml:space="preserve">— dolore mantenuto da come il sistema legge i segnali, non da un danno del tessuto.</w:t>
      </w:r>
    </w:p>
    <w:p>
      <w:pPr>
        <w:pStyle w:val="BodyText"/>
      </w:pPr>
      <w:r>
        <w:rPr>
          <w:b/>
          <w:bCs/>
        </w:rPr>
        <w:t xml:space="preserve">Nucleo trigemino-cervicale</w:t>
      </w:r>
      <w:r>
        <w:t xml:space="preserve"> </w:t>
      </w:r>
      <w:r>
        <w:t xml:space="preserve">— colonna di neuroni in cui convergono le afferenze del trigemino e dei primi tre segmenti cervicali.</w:t>
      </w:r>
    </w:p>
    <w:p>
      <w:pPr>
        <w:pStyle w:val="BodyText"/>
      </w:pPr>
      <w:r>
        <w:rPr>
          <w:b/>
          <w:bCs/>
        </w:rPr>
        <w:t xml:space="preserve">Numero necessario per nuocere</w:t>
      </w:r>
      <w:r>
        <w:t xml:space="preserve"> </w:t>
      </w:r>
      <w:r>
        <w:t xml:space="preserve">— quante persone trattare perché una subisca un evento avverso in più.</w:t>
      </w:r>
    </w:p>
    <w:p>
      <w:pPr>
        <w:pStyle w:val="BodyText"/>
      </w:pPr>
      <w:r>
        <w:rPr>
          <w:b/>
          <w:bCs/>
        </w:rPr>
        <w:t xml:space="preserve">Piano</w:t>
      </w:r>
      <w:r>
        <w:t xml:space="preserve"> </w:t>
      </w:r>
      <w:r>
        <w:t xml:space="preserve">— livello funzionale del sistema su cui stai ragionando: farmaco, attivazione, sonno, meccanica cervicale alta, carico miofasciale e masticatorio. Non è un piano anatomico.</w:t>
      </w:r>
    </w:p>
    <w:p>
      <w:pPr>
        <w:pStyle w:val="BodyText"/>
      </w:pPr>
      <w:r>
        <w:rPr>
          <w:b/>
          <w:bCs/>
        </w:rPr>
        <w:t xml:space="preserve">PROBABILE</w:t>
      </w:r>
      <w:r>
        <w:t xml:space="preserve"> </w:t>
      </w:r>
      <w:r>
        <w:t xml:space="preserve">— etichetta di solidità:</w:t>
      </w:r>
      <w:r>
        <w:t xml:space="preserve"> </w:t>
      </w:r>
      <w:r>
        <w:rPr>
          <w:i/>
          <w:iCs/>
        </w:rPr>
        <w:t xml:space="preserve">razionale forte, prove parziali</w:t>
      </w:r>
      <w:r>
        <w:t xml:space="preserve">. Il razionale è solido e qualche prova esiste, ma è incompleta, indiretta o di qualità limitata.</w:t>
      </w:r>
    </w:p>
    <w:p>
      <w:pPr>
        <w:pStyle w:val="BodyText"/>
      </w:pPr>
      <w:r>
        <w:rPr>
          <w:b/>
          <w:bCs/>
        </w:rPr>
        <w:t xml:space="preserve">Profilassi</w:t>
      </w:r>
      <w:r>
        <w:t xml:space="preserve"> </w:t>
      </w:r>
      <w:r>
        <w:t xml:space="preserve">— terapia che riduce la frequenza degli attacchi, assunta con continuità.</w:t>
      </w:r>
    </w:p>
    <w:p>
      <w:pPr>
        <w:pStyle w:val="BodyText"/>
      </w:pPr>
      <w:r>
        <w:rPr>
          <w:b/>
          <w:bCs/>
        </w:rPr>
        <w:t xml:space="preserve">Prova della chiave di volta</w:t>
      </w:r>
      <w:r>
        <w:t xml:space="preserve"> </w:t>
      </w:r>
      <w:r>
        <w:t xml:space="preserve">— il controllo che dice se il piano trattato era quello che comandava: si rimisura un piano che non hai toccato.</w:t>
      </w:r>
    </w:p>
    <w:p>
      <w:pPr>
        <w:pStyle w:val="BodyText"/>
      </w:pPr>
      <w:r>
        <w:rPr>
          <w:b/>
          <w:bCs/>
        </w:rPr>
        <w:t xml:space="preserve">Prove di livello basso / certezza molto bassa</w:t>
      </w:r>
      <w:r>
        <w:t xml:space="preserve"> </w:t>
      </w:r>
      <w:r>
        <w:t xml:space="preserve">— studi pochi, piccoli o mal fatti: il risultato può cambiare quando ne usciranno altri.</w:t>
      </w:r>
    </w:p>
    <w:p>
      <w:pPr>
        <w:pStyle w:val="BodyText"/>
      </w:pPr>
      <w:r>
        <w:rPr>
          <w:b/>
          <w:bCs/>
        </w:rPr>
        <w:t xml:space="preserve">RAGIONAMENTO</w:t>
      </w:r>
      <w:r>
        <w:t xml:space="preserve"> </w:t>
      </w:r>
      <w:r>
        <w:t xml:space="preserve">— etichetta di solidità:</w:t>
      </w:r>
      <w:r>
        <w:t xml:space="preserve"> </w:t>
      </w:r>
      <w:r>
        <w:rPr>
          <w:i/>
          <w:iCs/>
        </w:rPr>
        <w:t xml:space="preserve">cornice clinica, non una prova</w:t>
      </w:r>
      <w:r>
        <w:t xml:space="preserve">. È il modo in cui lo studio organizza le decisioni. Serve a decidere, non a dimostrare, e non si cita mai come prova.</w:t>
      </w:r>
    </w:p>
    <w:p>
      <w:pPr>
        <w:pStyle w:val="BodyText"/>
      </w:pPr>
      <w:r>
        <w:rPr>
          <w:b/>
          <w:bCs/>
        </w:rPr>
        <w:t xml:space="preserve">Regressione verso la media</w:t>
      </w:r>
      <w:r>
        <w:t xml:space="preserve"> </w:t>
      </w:r>
      <w:r>
        <w:t xml:space="preserve">— la tendenza di un valore estremo a rientrare da solo alla misura successiva, senza che nessuno sia intervenuto.</w:t>
      </w:r>
    </w:p>
    <w:p>
      <w:pPr>
        <w:pStyle w:val="BodyText"/>
      </w:pPr>
      <w:r>
        <w:rPr>
          <w:b/>
          <w:bCs/>
        </w:rPr>
        <w:t xml:space="preserve">Reperto disfunzionale</w:t>
      </w:r>
      <w:r>
        <w:t xml:space="preserve"> </w:t>
      </w:r>
      <w:r>
        <w:t xml:space="preserve">— 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Sensibilità</w:t>
      </w:r>
      <w:r>
        <w:t xml:space="preserve"> </w:t>
      </w:r>
      <w:r>
        <w:t xml:space="preserve">— quanti malati il test prende. Un test molto sensibile non lascia scappare nessuno, e sbaglia in eccesso.</w:t>
      </w:r>
    </w:p>
    <w:p>
      <w:pPr>
        <w:pStyle w:val="BodyText"/>
      </w:pPr>
      <w:r>
        <w:rPr>
          <w:b/>
          <w:bCs/>
        </w:rPr>
        <w:t xml:space="preserve">Sensibilizzazione</w:t>
      </w:r>
      <w:r>
        <w:t xml:space="preserve"> </w:t>
      </w:r>
      <w:r>
        <w:t xml:space="preserve">— aumento della risposta del sistema nervoso a uno stimolo che prima non bastava.</w:t>
      </w:r>
    </w:p>
    <w:p>
      <w:pPr>
        <w:pStyle w:val="BodyText"/>
      </w:pPr>
      <w:r>
        <w:rPr>
          <w:b/>
          <w:bCs/>
        </w:rPr>
        <w:t xml:space="preserve">Sistema dominante</w:t>
      </w:r>
      <w:r>
        <w:t xml:space="preserve"> </w:t>
      </w:r>
      <w:r>
        <w:t xml:space="preserve">— 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SNNOOP10</w:t>
      </w:r>
      <w:r>
        <w:t xml:space="preserve"> </w:t>
      </w:r>
      <w:r>
        <w:t xml:space="preserve">— lista internazionale delle bandiere rosse per le cefalee secondarie.</w:t>
      </w:r>
    </w:p>
    <w:p>
      <w:pPr>
        <w:pStyle w:val="BodyText"/>
      </w:pPr>
      <w:r>
        <w:rPr>
          <w:b/>
          <w:bCs/>
        </w:rPr>
        <w:t xml:space="preserve">Soglia di pressione dolorosa</w:t>
      </w:r>
      <w:r>
        <w:t xml:space="preserve"> </w:t>
      </w:r>
      <w:r>
        <w:t xml:space="preserve">— pressione minima percepita come dolorosa; si misura con un algometro.</w:t>
      </w:r>
    </w:p>
    <w:p>
      <w:pPr>
        <w:pStyle w:val="BodyText"/>
      </w:pPr>
      <w:r>
        <w:rPr>
          <w:b/>
          <w:bCs/>
        </w:rPr>
        <w:t xml:space="preserve">Specificità</w:t>
      </w:r>
      <w:r>
        <w:t xml:space="preserve"> </w:t>
      </w:r>
      <w:r>
        <w:t xml:space="preserve">— quanti sani il test lascia fuori. Bassa specificità significa molti falsi positivi.</w:t>
      </w:r>
    </w:p>
    <w:p>
      <w:pPr>
        <w:pStyle w:val="BodyText"/>
      </w:pPr>
      <w:r>
        <w:rPr>
          <w:b/>
          <w:bCs/>
        </w:rPr>
        <w:t xml:space="preserve">Studio randomizzato per gruppi</w:t>
      </w:r>
      <w:r>
        <w:t xml:space="preserve"> </w:t>
      </w:r>
      <w:r>
        <w:t xml:space="preserve">— studio in cui a essere sorteggiati non sono i singoli pazienti ma i gruppi, per esempio gli ambulatori dei medici.</w:t>
      </w:r>
    </w:p>
    <w:p>
      <w:pPr>
        <w:pStyle w:val="BodyText"/>
      </w:pPr>
      <w:r>
        <w:rPr>
          <w:b/>
          <w:bCs/>
        </w:rPr>
        <w:t xml:space="preserve">Test di flessione cranio-cervicale</w:t>
      </w:r>
      <w:r>
        <w:t xml:space="preserve"> </w:t>
      </w:r>
      <w:r>
        <w:t xml:space="preserve">— valuta se i flessori profondi controllano il segmento senza sostituzione dei superficiali.</w:t>
      </w:r>
    </w:p>
    <w:p>
      <w:pPr>
        <w:pStyle w:val="BodyText"/>
      </w:pPr>
      <w:r>
        <w:rPr>
          <w:b/>
          <w:bCs/>
        </w:rPr>
        <w:t xml:space="preserve">Test di flessione-rotazione</w:t>
      </w:r>
      <w:r>
        <w:t xml:space="preserve"> </w:t>
      </w:r>
      <w:r>
        <w:t xml:space="preserve">— misura in gradi la rotazione disponibile a C1-C2 con il collo in flessione.</w:t>
      </w:r>
    </w:p>
    <w:p>
      <w:pPr>
        <w:pStyle w:val="BodyText"/>
      </w:pPr>
      <w:r>
        <w:rPr>
          <w:b/>
          <w:bCs/>
        </w:rPr>
        <w:t xml:space="preserve">Triptano</w:t>
      </w:r>
      <w:r>
        <w:t xml:space="preserve"> </w:t>
      </w:r>
      <w:r>
        <w:t xml:space="preserve">— farmaco d’attacco specifico dell’emicrania.</w:t>
      </w:r>
      <w:r>
        <w:t xml:space="preserve"> </w:t>
      </w:r>
      <w:r>
        <w:rPr>
          <w:b/>
          <w:bCs/>
        </w:rPr>
        <w:t xml:space="preserve">Amitriptilina:</w:t>
      </w:r>
      <w:r>
        <w:t xml:space="preserve"> </w:t>
      </w:r>
      <w:r>
        <w:t xml:space="preserve">profilassi a basso dosaggio, agisce sulla frequenza.</w:t>
      </w:r>
    </w:p>
    <w:p>
      <w:pPr>
        <w:pStyle w:val="BodyText"/>
      </w:pPr>
      <w:r>
        <w:rPr>
          <w:b/>
          <w:bCs/>
        </w:rPr>
        <w:t xml:space="preserve">Variabilità cardiaca mediata dal vago</w:t>
      </w:r>
      <w:r>
        <w:t xml:space="preserve"> </w:t>
      </w:r>
      <w:r>
        <w:t xml:space="preserve">— quanto varia la distanza fra un battito e l’altro sotto controllo parasimpatico.</w:t>
      </w:r>
    </w:p>
    <w:p>
      <w:r>
        <w:pict>
          <v:rect style="width:0;height:1.5pt" o:hralign="center" o:hrstd="t" o:hr="t"/>
        </w:pict>
      </w:r>
    </w:p>
    <w:bookmarkEnd w:id="83"/>
    <w:bookmarkStart w:id="141" w:name="appendice-b-le-fonti"/>
    <w:p>
      <w:pPr>
        <w:pStyle w:val="Heading2"/>
      </w:pPr>
      <w:r>
        <w:t xml:space="preserve">Appendice B — Le fonti</w:t>
      </w:r>
    </w:p>
    <w:p>
      <w:pPr>
        <w:pStyle w:val="FirstParagraph"/>
      </w:pPr>
      <w:r>
        <w:t xml:space="preserve">Nell’ordine in cui compaiono nel testo. Ogni voce porta il link PubMed verificato.</w:t>
      </w:r>
    </w:p>
    <w:p>
      <w:pPr>
        <w:pStyle w:val="Compact"/>
        <w:numPr>
          <w:ilvl w:val="0"/>
          <w:numId w:val="1033"/>
        </w:numPr>
      </w:pPr>
      <w:r>
        <w:t xml:space="preserve">Sempere,</w:t>
      </w:r>
      <w:r>
        <w:t xml:space="preserve"> </w:t>
      </w:r>
      <w:r>
        <w:rPr>
          <w:i/>
          <w:iCs/>
        </w:rPr>
        <w:t xml:space="preserve">Cephalalgia</w:t>
      </w:r>
      <w:r>
        <w:t xml:space="preserve"> </w:t>
      </w:r>
      <w:r>
        <w:t xml:space="preserve">2005 — Neuroimaging nella cefalea non acuta.</w:t>
      </w:r>
      <w:r>
        <w:t xml:space="preserve"> </w:t>
      </w:r>
      <w:hyperlink r:id="rId84">
        <w:r>
          <w:rPr>
            <w:rStyle w:val="Hyperlink"/>
          </w:rPr>
          <w:t xml:space="preserve">PMID 15606567</w:t>
        </w:r>
      </w:hyperlink>
    </w:p>
    <w:p>
      <w:pPr>
        <w:pStyle w:val="Compact"/>
        <w:numPr>
          <w:ilvl w:val="0"/>
          <w:numId w:val="1033"/>
        </w:numPr>
      </w:pPr>
      <w:r>
        <w:t xml:space="preserve">Tepper,</w:t>
      </w:r>
      <w:r>
        <w:t xml:space="preserve"> </w:t>
      </w:r>
      <w:r>
        <w:rPr>
          <w:i/>
          <w:iCs/>
        </w:rPr>
        <w:t xml:space="preserve">Headache</w:t>
      </w:r>
      <w:r>
        <w:t xml:space="preserve"> </w:t>
      </w:r>
      <w:r>
        <w:t xml:space="preserve">2004 — Landmark Study, emicrania non diagnosticata.</w:t>
      </w:r>
      <w:r>
        <w:t xml:space="preserve"> </w:t>
      </w:r>
      <w:hyperlink r:id="rId85">
        <w:r>
          <w:rPr>
            <w:rStyle w:val="Hyperlink"/>
          </w:rPr>
          <w:t xml:space="preserve">PMID 15447694</w:t>
        </w:r>
      </w:hyperlink>
    </w:p>
    <w:p>
      <w:pPr>
        <w:pStyle w:val="Compact"/>
        <w:numPr>
          <w:ilvl w:val="0"/>
          <w:numId w:val="1033"/>
        </w:numPr>
      </w:pPr>
      <w:r>
        <w:t xml:space="preserve">Schreiber,</w:t>
      </w:r>
      <w:r>
        <w:t xml:space="preserve"> </w:t>
      </w:r>
      <w:r>
        <w:rPr>
          <w:i/>
          <w:iCs/>
        </w:rPr>
        <w:t xml:space="preserve">Arch Intern Med</w:t>
      </w:r>
      <w:r>
        <w:t xml:space="preserve"> </w:t>
      </w:r>
      <w:r>
        <w:t xml:space="preserve">2004 — Emicrania nella</w:t>
      </w:r>
      <w:r>
        <w:t xml:space="preserve"> </w:t>
      </w:r>
      <w:r>
        <w:t xml:space="preserve">“cefalea da sinusite”</w:t>
      </w:r>
      <w:r>
        <w:t xml:space="preserve">.</w:t>
      </w:r>
      <w:r>
        <w:t xml:space="preserve"> </w:t>
      </w:r>
      <w:hyperlink r:id="rId86">
        <w:r>
          <w:rPr>
            <w:rStyle w:val="Hyperlink"/>
          </w:rPr>
          <w:t xml:space="preserve">PMID 15364670</w:t>
        </w:r>
      </w:hyperlink>
    </w:p>
    <w:p>
      <w:pPr>
        <w:pStyle w:val="Compact"/>
        <w:numPr>
          <w:ilvl w:val="0"/>
          <w:numId w:val="1033"/>
        </w:numPr>
      </w:pPr>
      <w:r>
        <w:t xml:space="preserve">Headache Classification Committee IHS,</w:t>
      </w:r>
      <w:r>
        <w:t xml:space="preserve"> </w:t>
      </w:r>
      <w:r>
        <w:rPr>
          <w:i/>
          <w:iCs/>
        </w:rPr>
        <w:t xml:space="preserve">Cephalalgia</w:t>
      </w:r>
      <w:r>
        <w:t xml:space="preserve"> </w:t>
      </w:r>
      <w:r>
        <w:t xml:space="preserve">2018 — ICHD-3.</w:t>
      </w:r>
      <w:r>
        <w:t xml:space="preserve"> </w:t>
      </w:r>
      <w:hyperlink r:id="rId87">
        <w:r>
          <w:rPr>
            <w:rStyle w:val="Hyperlink"/>
          </w:rPr>
          <w:t xml:space="preserve">PMID 29368949</w:t>
        </w:r>
      </w:hyperlink>
    </w:p>
    <w:p>
      <w:pPr>
        <w:pStyle w:val="Compact"/>
        <w:numPr>
          <w:ilvl w:val="0"/>
          <w:numId w:val="1033"/>
        </w:numPr>
      </w:pPr>
      <w:r>
        <w:t xml:space="preserve">Stovner,</w:t>
      </w:r>
      <w:r>
        <w:t xml:space="preserve"> </w:t>
      </w:r>
      <w:r>
        <w:rPr>
          <w:i/>
          <w:iCs/>
        </w:rPr>
        <w:t xml:space="preserve">J Headache Pain</w:t>
      </w:r>
      <w:r>
        <w:t xml:space="preserve"> </w:t>
      </w:r>
      <w:r>
        <w:t xml:space="preserve">2022 — Prevalenza globale della cefalea.</w:t>
      </w:r>
      <w:r>
        <w:t xml:space="preserve"> </w:t>
      </w:r>
      <w:hyperlink r:id="rId88">
        <w:r>
          <w:rPr>
            <w:rStyle w:val="Hyperlink"/>
          </w:rPr>
          <w:t xml:space="preserve">PMID 35410119</w:t>
        </w:r>
      </w:hyperlink>
    </w:p>
    <w:p>
      <w:pPr>
        <w:pStyle w:val="Compact"/>
        <w:numPr>
          <w:ilvl w:val="0"/>
          <w:numId w:val="1033"/>
        </w:numPr>
      </w:pPr>
      <w:r>
        <w:t xml:space="preserve">Favoni,</w:t>
      </w:r>
      <w:r>
        <w:t xml:space="preserve"> </w:t>
      </w:r>
      <w:r>
        <w:rPr>
          <w:i/>
          <w:iCs/>
        </w:rPr>
        <w:t xml:space="preserve">Cephalalgia</w:t>
      </w:r>
      <w:r>
        <w:t xml:space="preserve"> </w:t>
      </w:r>
      <w:r>
        <w:t xml:space="preserve">2023 — SPARTACUS, storia naturale in Italia.</w:t>
      </w:r>
      <w:r>
        <w:t xml:space="preserve"> </w:t>
      </w:r>
      <w:hyperlink r:id="rId89">
        <w:r>
          <w:rPr>
            <w:rStyle w:val="Hyperlink"/>
          </w:rPr>
          <w:t xml:space="preserve">PMID 36950942</w:t>
        </w:r>
      </w:hyperlink>
    </w:p>
    <w:p>
      <w:pPr>
        <w:pStyle w:val="Compact"/>
        <w:numPr>
          <w:ilvl w:val="0"/>
          <w:numId w:val="1033"/>
        </w:numPr>
      </w:pPr>
      <w:r>
        <w:t xml:space="preserve">Hack,</w:t>
      </w:r>
      <w:r>
        <w:t xml:space="preserve"> </w:t>
      </w:r>
      <w:r>
        <w:rPr>
          <w:i/>
          <w:iCs/>
        </w:rPr>
        <w:t xml:space="preserve">Spine</w:t>
      </w:r>
      <w:r>
        <w:t xml:space="preserve"> </w:t>
      </w:r>
      <w:r>
        <w:t xml:space="preserve">1995 — Ponte fra piccolo retto posteriore e dura madre.</w:t>
      </w:r>
      <w:r>
        <w:t xml:space="preserve"> </w:t>
      </w:r>
      <w:hyperlink r:id="rId90">
        <w:r>
          <w:rPr>
            <w:rStyle w:val="Hyperlink"/>
          </w:rPr>
          <w:t xml:space="preserve">PMID 8610241</w:t>
        </w:r>
      </w:hyperlink>
    </w:p>
    <w:p>
      <w:pPr>
        <w:pStyle w:val="Compact"/>
        <w:numPr>
          <w:ilvl w:val="0"/>
          <w:numId w:val="1033"/>
        </w:numPr>
      </w:pPr>
      <w:r>
        <w:t xml:space="preserve">Ashina S,</w:t>
      </w:r>
      <w:r>
        <w:t xml:space="preserve"> </w:t>
      </w:r>
      <w:r>
        <w:rPr>
          <w:i/>
          <w:iCs/>
        </w:rPr>
        <w:t xml:space="preserve">Cephalalgia</w:t>
      </w:r>
      <w:r>
        <w:t xml:space="preserve"> </w:t>
      </w:r>
      <w:r>
        <w:t xml:space="preserve">2015 — Dolore cervicale in emicrania e tensiva.</w:t>
      </w:r>
      <w:r>
        <w:t xml:space="preserve"> </w:t>
      </w:r>
      <w:hyperlink r:id="rId91">
        <w:r>
          <w:rPr>
            <w:rStyle w:val="Hyperlink"/>
          </w:rPr>
          <w:t xml:space="preserve">PMID 24853166</w:t>
        </w:r>
      </w:hyperlink>
    </w:p>
    <w:p>
      <w:pPr>
        <w:pStyle w:val="Compact"/>
        <w:numPr>
          <w:ilvl w:val="0"/>
          <w:numId w:val="1033"/>
        </w:numPr>
      </w:pPr>
      <w:r>
        <w:t xml:space="preserve">Ashina S,</w:t>
      </w:r>
      <w:r>
        <w:t xml:space="preserve"> </w:t>
      </w:r>
      <w:r>
        <w:rPr>
          <w:i/>
          <w:iCs/>
        </w:rPr>
        <w:t xml:space="preserve">Cephalalgia</w:t>
      </w:r>
      <w:r>
        <w:t xml:space="preserve"> </w:t>
      </w:r>
      <w:r>
        <w:t xml:space="preserve">2006 — Iperalgesia generalizzata nella tensiva cronica.</w:t>
      </w:r>
      <w:r>
        <w:t xml:space="preserve"> </w:t>
      </w:r>
      <w:hyperlink r:id="rId92">
        <w:r>
          <w:rPr>
            <w:rStyle w:val="Hyperlink"/>
          </w:rPr>
          <w:t xml:space="preserve">PMID 16886930</w:t>
        </w:r>
      </w:hyperlink>
    </w:p>
    <w:p>
      <w:pPr>
        <w:pStyle w:val="Compact"/>
        <w:numPr>
          <w:ilvl w:val="0"/>
          <w:numId w:val="1033"/>
        </w:numPr>
      </w:pPr>
      <w:r>
        <w:t xml:space="preserve">Bartsch &amp; Goadsby,</w:t>
      </w:r>
      <w:r>
        <w:t xml:space="preserve"> </w:t>
      </w:r>
      <w:r>
        <w:rPr>
          <w:i/>
          <w:iCs/>
        </w:rPr>
        <w:t xml:space="preserve">Brain</w:t>
      </w:r>
      <w:r>
        <w:t xml:space="preserve"> </w:t>
      </w:r>
      <w:r>
        <w:t xml:space="preserve">2002 — Il nervo occipitale sensibilizza l’ingresso durale.</w:t>
      </w:r>
      <w:r>
        <w:t xml:space="preserve"> </w:t>
      </w:r>
      <w:hyperlink r:id="rId93">
        <w:r>
          <w:rPr>
            <w:rStyle w:val="Hyperlink"/>
          </w:rPr>
          <w:t xml:space="preserve">PMID 12077000</w:t>
        </w:r>
      </w:hyperlink>
    </w:p>
    <w:p>
      <w:pPr>
        <w:pStyle w:val="Compact"/>
        <w:numPr>
          <w:ilvl w:val="0"/>
          <w:numId w:val="1033"/>
        </w:numPr>
      </w:pPr>
      <w:r>
        <w:t xml:space="preserve">Bartsch &amp; Goadsby,</w:t>
      </w:r>
      <w:r>
        <w:t xml:space="preserve"> </w:t>
      </w:r>
      <w:r>
        <w:rPr>
          <w:i/>
          <w:iCs/>
        </w:rPr>
        <w:t xml:space="preserve">Brain</w:t>
      </w:r>
      <w:r>
        <w:t xml:space="preserve"> </w:t>
      </w:r>
      <w:r>
        <w:t xml:space="preserve">2003 — La dura sensibilizza l’ingresso cervicale.</w:t>
      </w:r>
      <w:r>
        <w:t xml:space="preserve"> </w:t>
      </w:r>
      <w:hyperlink r:id="rId94">
        <w:r>
          <w:rPr>
            <w:rStyle w:val="Hyperlink"/>
          </w:rPr>
          <w:t xml:space="preserve">PMID 12821523</w:t>
        </w:r>
      </w:hyperlink>
    </w:p>
    <w:p>
      <w:pPr>
        <w:pStyle w:val="Compact"/>
        <w:numPr>
          <w:ilvl w:val="0"/>
          <w:numId w:val="1033"/>
        </w:numPr>
      </w:pPr>
      <w:r>
        <w:t xml:space="preserve">Schulte &amp; May,</w:t>
      </w:r>
      <w:r>
        <w:t xml:space="preserve"> </w:t>
      </w:r>
      <w:r>
        <w:rPr>
          <w:i/>
          <w:iCs/>
        </w:rPr>
        <w:t xml:space="preserve">Brain</w:t>
      </w:r>
      <w:r>
        <w:t xml:space="preserve"> </w:t>
      </w:r>
      <w:r>
        <w:t xml:space="preserve">2016 — Ipotalamo e nucleo trigeminale prima dell’attacco.</w:t>
      </w:r>
      <w:r>
        <w:t xml:space="preserve"> </w:t>
      </w:r>
      <w:hyperlink r:id="rId95">
        <w:r>
          <w:rPr>
            <w:rStyle w:val="Hyperlink"/>
          </w:rPr>
          <w:t xml:space="preserve">PMID 27190019</w:t>
        </w:r>
      </w:hyperlink>
    </w:p>
    <w:p>
      <w:pPr>
        <w:pStyle w:val="Compact"/>
        <w:numPr>
          <w:ilvl w:val="0"/>
          <w:numId w:val="1033"/>
        </w:numPr>
      </w:pPr>
      <w:r>
        <w:t xml:space="preserve">Luedtke &amp; May,</w:t>
      </w:r>
      <w:r>
        <w:t xml:space="preserve"> </w:t>
      </w:r>
      <w:r>
        <w:rPr>
          <w:i/>
          <w:iCs/>
        </w:rPr>
        <w:t xml:space="preserve">J Headache Pain</w:t>
      </w:r>
      <w:r>
        <w:t xml:space="preserve"> </w:t>
      </w:r>
      <w:r>
        <w:t xml:space="preserve">2017 — Stratificazione con provocazione cervicale.</w:t>
      </w:r>
      <w:r>
        <w:t xml:space="preserve"> </w:t>
      </w:r>
      <w:hyperlink r:id="rId96">
        <w:r>
          <w:rPr>
            <w:rStyle w:val="Hyperlink"/>
          </w:rPr>
          <w:t xml:space="preserve">PMID 28952052</w:t>
        </w:r>
      </w:hyperlink>
    </w:p>
    <w:p>
      <w:pPr>
        <w:pStyle w:val="Compact"/>
        <w:numPr>
          <w:ilvl w:val="0"/>
          <w:numId w:val="1033"/>
        </w:numPr>
      </w:pPr>
      <w:r>
        <w:t xml:space="preserve">Bendtsen,</w:t>
      </w:r>
      <w:r>
        <w:t xml:space="preserve"> </w:t>
      </w:r>
      <w:r>
        <w:rPr>
          <w:i/>
          <w:iCs/>
        </w:rPr>
        <w:t xml:space="preserve">Pain</w:t>
      </w:r>
      <w:r>
        <w:t xml:space="preserve"> </w:t>
      </w:r>
      <w:r>
        <w:t xml:space="preserve">1996 — Nocicezione alterata nel dolore miofasciale cronico.</w:t>
      </w:r>
      <w:r>
        <w:t xml:space="preserve"> </w:t>
      </w:r>
      <w:hyperlink r:id="rId97">
        <w:r>
          <w:rPr>
            <w:rStyle w:val="Hyperlink"/>
          </w:rPr>
          <w:t xml:space="preserve">PMID 8826515</w:t>
        </w:r>
      </w:hyperlink>
    </w:p>
    <w:p>
      <w:pPr>
        <w:pStyle w:val="Compact"/>
        <w:numPr>
          <w:ilvl w:val="0"/>
          <w:numId w:val="1033"/>
        </w:numPr>
      </w:pPr>
      <w:r>
        <w:t xml:space="preserve">Bendtsen,</w:t>
      </w:r>
      <w:r>
        <w:t xml:space="preserve"> </w:t>
      </w:r>
      <w:r>
        <w:rPr>
          <w:i/>
          <w:iCs/>
        </w:rPr>
        <w:t xml:space="preserve">Arch Neurol</w:t>
      </w:r>
      <w:r>
        <w:t xml:space="preserve"> </w:t>
      </w:r>
      <w:r>
        <w:t xml:space="preserve">1996 — Soglie ridotte al dito nella tensiva cronica.</w:t>
      </w:r>
      <w:r>
        <w:t xml:space="preserve"> </w:t>
      </w:r>
      <w:hyperlink r:id="rId98">
        <w:r>
          <w:rPr>
            <w:rStyle w:val="Hyperlink"/>
          </w:rPr>
          <w:t xml:space="preserve">PMID 8929161</w:t>
        </w:r>
      </w:hyperlink>
    </w:p>
    <w:p>
      <w:pPr>
        <w:pStyle w:val="Compact"/>
        <w:numPr>
          <w:ilvl w:val="0"/>
          <w:numId w:val="1033"/>
        </w:numPr>
      </w:pPr>
      <w:r>
        <w:t xml:space="preserve">Fernández-de-las-Peñas,</w:t>
      </w:r>
      <w:r>
        <w:t xml:space="preserve"> </w:t>
      </w:r>
      <w:r>
        <w:rPr>
          <w:i/>
          <w:iCs/>
        </w:rPr>
        <w:t xml:space="preserve">Cephalalgia</w:t>
      </w:r>
      <w:r>
        <w:t xml:space="preserve"> </w:t>
      </w:r>
      <w:r>
        <w:t xml:space="preserve">2021 — Soglie pressorie nelle forme tensive.</w:t>
      </w:r>
      <w:r>
        <w:t xml:space="preserve"> </w:t>
      </w:r>
      <w:hyperlink r:id="rId99">
        <w:r>
          <w:rPr>
            <w:rStyle w:val="Hyperlink"/>
          </w:rPr>
          <w:t xml:space="preserve">PMID 32957796</w:t>
        </w:r>
      </w:hyperlink>
    </w:p>
    <w:p>
      <w:pPr>
        <w:pStyle w:val="Compact"/>
        <w:numPr>
          <w:ilvl w:val="0"/>
          <w:numId w:val="1033"/>
        </w:numPr>
      </w:pPr>
      <w:r>
        <w:t xml:space="preserve">Sandrini,</w:t>
      </w:r>
      <w:r>
        <w:t xml:space="preserve"> </w:t>
      </w:r>
      <w:r>
        <w:rPr>
          <w:i/>
          <w:iCs/>
        </w:rPr>
        <w:t xml:space="preserve">Cephalalgia</w:t>
      </w:r>
      <w:r>
        <w:t xml:space="preserve"> </w:t>
      </w:r>
      <w:r>
        <w:t xml:space="preserve">2006 — Modulazione discendente invertita, riflesso RIII.</w:t>
      </w:r>
      <w:r>
        <w:t xml:space="preserve"> </w:t>
      </w:r>
      <w:hyperlink r:id="rId100">
        <w:r>
          <w:rPr>
            <w:rStyle w:val="Hyperlink"/>
          </w:rPr>
          <w:t xml:space="preserve">PMID 16776692</w:t>
        </w:r>
      </w:hyperlink>
    </w:p>
    <w:p>
      <w:pPr>
        <w:pStyle w:val="Compact"/>
        <w:numPr>
          <w:ilvl w:val="0"/>
          <w:numId w:val="1033"/>
        </w:numPr>
      </w:pPr>
      <w:r>
        <w:t xml:space="preserve">Munksgaard,</w:t>
      </w:r>
      <w:r>
        <w:t xml:space="preserve"> </w:t>
      </w:r>
      <w:r>
        <w:rPr>
          <w:i/>
          <w:iCs/>
        </w:rPr>
        <w:t xml:space="preserve">Cephalalgia</w:t>
      </w:r>
      <w:r>
        <w:t xml:space="preserve"> </w:t>
      </w:r>
      <w:r>
        <w:t xml:space="preserve">2013 — Soglie nella cefalea da uso eccessivo di farmaci.</w:t>
      </w:r>
      <w:r>
        <w:t xml:space="preserve"> </w:t>
      </w:r>
      <w:hyperlink r:id="rId101">
        <w:r>
          <w:rPr>
            <w:rStyle w:val="Hyperlink"/>
          </w:rPr>
          <w:t xml:space="preserve">PMID 23431023</w:t>
        </w:r>
      </w:hyperlink>
    </w:p>
    <w:p>
      <w:pPr>
        <w:pStyle w:val="Compact"/>
        <w:numPr>
          <w:ilvl w:val="0"/>
          <w:numId w:val="1033"/>
        </w:numPr>
      </w:pPr>
      <w:r>
        <w:t xml:space="preserve">Katsarava,</w:t>
      </w:r>
      <w:r>
        <w:t xml:space="preserve"> </w:t>
      </w:r>
      <w:r>
        <w:rPr>
          <w:i/>
          <w:iCs/>
        </w:rPr>
        <w:t xml:space="preserve">Neurology</w:t>
      </w:r>
      <w:r>
        <w:t xml:space="preserve"> </w:t>
      </w:r>
      <w:r>
        <w:t xml:space="preserve">2001 — Durata della cefalea da sospensione.</w:t>
      </w:r>
      <w:r>
        <w:t xml:space="preserve"> </w:t>
      </w:r>
      <w:hyperlink r:id="rId102">
        <w:r>
          <w:rPr>
            <w:rStyle w:val="Hyperlink"/>
          </w:rPr>
          <w:t xml:space="preserve">PMID 11706113</w:t>
        </w:r>
      </w:hyperlink>
    </w:p>
    <w:p>
      <w:pPr>
        <w:pStyle w:val="Compact"/>
        <w:numPr>
          <w:ilvl w:val="0"/>
          <w:numId w:val="1033"/>
        </w:numPr>
      </w:pPr>
      <w:r>
        <w:t xml:space="preserve">Jull,</w:t>
      </w:r>
      <w:r>
        <w:t xml:space="preserve"> </w:t>
      </w:r>
      <w:r>
        <w:rPr>
          <w:i/>
          <w:iCs/>
        </w:rPr>
        <w:t xml:space="preserve">Cephalalgia</w:t>
      </w:r>
      <w:r>
        <w:t xml:space="preserve"> </w:t>
      </w:r>
      <w:r>
        <w:t xml:space="preserve">2007 — Cluster cervicale nella cefalea cervicogenica.</w:t>
      </w:r>
      <w:r>
        <w:t xml:space="preserve"> </w:t>
      </w:r>
      <w:hyperlink r:id="rId55">
        <w:r>
          <w:rPr>
            <w:rStyle w:val="Hyperlink"/>
          </w:rPr>
          <w:t xml:space="preserve">PMID 17598761</w:t>
        </w:r>
      </w:hyperlink>
    </w:p>
    <w:p>
      <w:pPr>
        <w:pStyle w:val="Compact"/>
        <w:numPr>
          <w:ilvl w:val="0"/>
          <w:numId w:val="1033"/>
        </w:numPr>
      </w:pPr>
      <w:r>
        <w:t xml:space="preserve">Amiri,</w:t>
      </w:r>
      <w:r>
        <w:t xml:space="preserve"> </w:t>
      </w:r>
      <w:r>
        <w:rPr>
          <w:i/>
          <w:iCs/>
        </w:rPr>
        <w:t xml:space="preserve">Cephalalgia</w:t>
      </w:r>
      <w:r>
        <w:t xml:space="preserve"> </w:t>
      </w:r>
      <w:r>
        <w:t xml:space="preserve">2007 — Cefalee concomitanti.</w:t>
      </w:r>
      <w:r>
        <w:t xml:space="preserve"> </w:t>
      </w:r>
      <w:hyperlink r:id="rId103">
        <w:r>
          <w:rPr>
            <w:rStyle w:val="Hyperlink"/>
          </w:rPr>
          <w:t xml:space="preserve">PMID 17608813</w:t>
        </w:r>
      </w:hyperlink>
    </w:p>
    <w:p>
      <w:pPr>
        <w:pStyle w:val="Compact"/>
        <w:numPr>
          <w:ilvl w:val="0"/>
          <w:numId w:val="1033"/>
        </w:numPr>
      </w:pPr>
      <w:r>
        <w:t xml:space="preserve">Jull,</w:t>
      </w:r>
      <w:r>
        <w:t xml:space="preserve"> </w:t>
      </w:r>
      <w:r>
        <w:rPr>
          <w:i/>
          <w:iCs/>
        </w:rPr>
        <w:t xml:space="preserve">Spine</w:t>
      </w:r>
      <w:r>
        <w:t xml:space="preserve"> </w:t>
      </w:r>
      <w:r>
        <w:t xml:space="preserve">2002 — RCT esercizio e terapia manipolativa, cervicogenica.</w:t>
      </w:r>
      <w:r>
        <w:t xml:space="preserve"> </w:t>
      </w:r>
      <w:hyperlink r:id="rId56">
        <w:r>
          <w:rPr>
            <w:rStyle w:val="Hyperlink"/>
          </w:rPr>
          <w:t xml:space="preserve">PMID 12221344</w:t>
        </w:r>
      </w:hyperlink>
    </w:p>
    <w:p>
      <w:pPr>
        <w:pStyle w:val="Compact"/>
        <w:numPr>
          <w:ilvl w:val="0"/>
          <w:numId w:val="1033"/>
        </w:numPr>
      </w:pPr>
      <w:r>
        <w:t xml:space="preserve">Sjaastad &amp; Bakketeig,</w:t>
      </w:r>
      <w:r>
        <w:t xml:space="preserve"> </w:t>
      </w:r>
      <w:r>
        <w:rPr>
          <w:i/>
          <w:iCs/>
        </w:rPr>
        <w:t xml:space="preserve">Acta Neurol Scand</w:t>
      </w:r>
      <w:r>
        <w:t xml:space="preserve"> </w:t>
      </w:r>
      <w:r>
        <w:t xml:space="preserve">2008 — Prevalenza della cervicogenica.</w:t>
      </w:r>
      <w:r>
        <w:t xml:space="preserve"> </w:t>
      </w:r>
      <w:hyperlink r:id="rId104">
        <w:r>
          <w:rPr>
            <w:rStyle w:val="Hyperlink"/>
          </w:rPr>
          <w:t xml:space="preserve">PMID 18031563</w:t>
        </w:r>
      </w:hyperlink>
    </w:p>
    <w:p>
      <w:pPr>
        <w:pStyle w:val="Compact"/>
        <w:numPr>
          <w:ilvl w:val="0"/>
          <w:numId w:val="1033"/>
        </w:numPr>
      </w:pPr>
      <w:r>
        <w:t xml:space="preserve">Ogince,</w:t>
      </w:r>
      <w:r>
        <w:t xml:space="preserve"> </w:t>
      </w:r>
      <w:r>
        <w:rPr>
          <w:i/>
          <w:iCs/>
        </w:rPr>
        <w:t xml:space="preserve">Man Ther</w:t>
      </w:r>
      <w:r>
        <w:t xml:space="preserve"> </w:t>
      </w:r>
      <w:r>
        <w:t xml:space="preserve">2007 — Validità del test di flessione-rotazione.</w:t>
      </w:r>
      <w:r>
        <w:t xml:space="preserve"> </w:t>
      </w:r>
      <w:hyperlink r:id="rId105">
        <w:r>
          <w:rPr>
            <w:rStyle w:val="Hyperlink"/>
          </w:rPr>
          <w:t xml:space="preserve">PMID 17112768</w:t>
        </w:r>
      </w:hyperlink>
    </w:p>
    <w:p>
      <w:pPr>
        <w:pStyle w:val="Compact"/>
        <w:numPr>
          <w:ilvl w:val="0"/>
          <w:numId w:val="1033"/>
        </w:numPr>
      </w:pPr>
      <w:r>
        <w:t xml:space="preserve">Hall,</w:t>
      </w:r>
      <w:r>
        <w:t xml:space="preserve"> </w:t>
      </w:r>
      <w:r>
        <w:rPr>
          <w:i/>
          <w:iCs/>
        </w:rPr>
        <w:t xml:space="preserve">JMPT</w:t>
      </w:r>
      <w:r>
        <w:t xml:space="preserve"> </w:t>
      </w:r>
      <w:r>
        <w:t xml:space="preserve">2008 — Affidabilità e validità del flessione-rotazione.</w:t>
      </w:r>
      <w:r>
        <w:t xml:space="preserve"> </w:t>
      </w:r>
      <w:hyperlink r:id="rId106">
        <w:r>
          <w:rPr>
            <w:rStyle w:val="Hyperlink"/>
          </w:rPr>
          <w:t xml:space="preserve">PMID 18486750</w:t>
        </w:r>
      </w:hyperlink>
    </w:p>
    <w:p>
      <w:pPr>
        <w:pStyle w:val="Compact"/>
        <w:numPr>
          <w:ilvl w:val="0"/>
          <w:numId w:val="1033"/>
        </w:numPr>
      </w:pPr>
      <w:r>
        <w:t xml:space="preserve">Hall,</w:t>
      </w:r>
      <w:r>
        <w:t xml:space="preserve"> </w:t>
      </w:r>
      <w:r>
        <w:rPr>
          <w:i/>
          <w:iCs/>
        </w:rPr>
        <w:t xml:space="preserve">JOSPT</w:t>
      </w:r>
      <w:r>
        <w:t xml:space="preserve"> </w:t>
      </w:r>
      <w:r>
        <w:t xml:space="preserve">2010 — Differenza minima rilevabile del flessione-rotazione.</w:t>
      </w:r>
      <w:r>
        <w:t xml:space="preserve"> </w:t>
      </w:r>
      <w:hyperlink r:id="rId107">
        <w:r>
          <w:rPr>
            <w:rStyle w:val="Hyperlink"/>
          </w:rPr>
          <w:t xml:space="preserve">PMID 20357415</w:t>
        </w:r>
      </w:hyperlink>
    </w:p>
    <w:p>
      <w:pPr>
        <w:pStyle w:val="Compact"/>
        <w:numPr>
          <w:ilvl w:val="0"/>
          <w:numId w:val="1033"/>
        </w:numPr>
      </w:pPr>
      <w:r>
        <w:t xml:space="preserve">Neblett,</w:t>
      </w:r>
      <w:r>
        <w:t xml:space="preserve"> </w:t>
      </w:r>
      <w:r>
        <w:rPr>
          <w:i/>
          <w:iCs/>
        </w:rPr>
        <w:t xml:space="preserve">J Pain</w:t>
      </w:r>
      <w:r>
        <w:t xml:space="preserve"> </w:t>
      </w:r>
      <w:r>
        <w:t xml:space="preserve">2013 — Central Sensitization Inventory, soglia 40.</w:t>
      </w:r>
      <w:r>
        <w:t xml:space="preserve"> </w:t>
      </w:r>
      <w:hyperlink r:id="rId108">
        <w:r>
          <w:rPr>
            <w:rStyle w:val="Hyperlink"/>
          </w:rPr>
          <w:t xml:space="preserve">PMID 23490634</w:t>
        </w:r>
      </w:hyperlink>
    </w:p>
    <w:p>
      <w:pPr>
        <w:pStyle w:val="Compact"/>
        <w:numPr>
          <w:ilvl w:val="0"/>
          <w:numId w:val="1033"/>
        </w:numPr>
      </w:pPr>
      <w:r>
        <w:t xml:space="preserve">Hutting,</w:t>
      </w:r>
      <w:r>
        <w:t xml:space="preserve"> </w:t>
      </w:r>
      <w:r>
        <w:rPr>
          <w:i/>
          <w:iCs/>
        </w:rPr>
        <w:t xml:space="preserve">Phys Ther</w:t>
      </w:r>
      <w:r>
        <w:t xml:space="preserve"> </w:t>
      </w:r>
      <w:r>
        <w:t xml:space="preserve">2013 — Screening dell’instabilità cervicale alta.</w:t>
      </w:r>
      <w:r>
        <w:t xml:space="preserve"> </w:t>
      </w:r>
      <w:hyperlink r:id="rId109">
        <w:r>
          <w:rPr>
            <w:rStyle w:val="Hyperlink"/>
          </w:rPr>
          <w:t xml:space="preserve">PMID 23886844</w:t>
        </w:r>
      </w:hyperlink>
    </w:p>
    <w:p>
      <w:pPr>
        <w:pStyle w:val="Compact"/>
        <w:numPr>
          <w:ilvl w:val="0"/>
          <w:numId w:val="1033"/>
        </w:numPr>
      </w:pPr>
      <w:r>
        <w:t xml:space="preserve">Rushton,</w:t>
      </w:r>
      <w:r>
        <w:t xml:space="preserve"> </w:t>
      </w:r>
      <w:r>
        <w:rPr>
          <w:i/>
          <w:iCs/>
        </w:rPr>
        <w:t xml:space="preserve">JOSPT</w:t>
      </w:r>
      <w:r>
        <w:t xml:space="preserve"> </w:t>
      </w:r>
      <w:r>
        <w:t xml:space="preserve">2023 — IFOMPT Cervical Framework.</w:t>
      </w:r>
      <w:r>
        <w:t xml:space="preserve"> </w:t>
      </w:r>
      <w:hyperlink r:id="rId110">
        <w:r>
          <w:rPr>
            <w:rStyle w:val="Hyperlink"/>
          </w:rPr>
          <w:t xml:space="preserve">PMID 36099171</w:t>
        </w:r>
      </w:hyperlink>
    </w:p>
    <w:p>
      <w:pPr>
        <w:pStyle w:val="Compact"/>
        <w:numPr>
          <w:ilvl w:val="0"/>
          <w:numId w:val="1033"/>
        </w:numPr>
      </w:pPr>
      <w:r>
        <w:t xml:space="preserve">Biller,</w:t>
      </w:r>
      <w:r>
        <w:t xml:space="preserve"> </w:t>
      </w:r>
      <w:r>
        <w:rPr>
          <w:i/>
          <w:iCs/>
        </w:rPr>
        <w:t xml:space="preserve">Stroke</w:t>
      </w:r>
      <w:r>
        <w:t xml:space="preserve"> </w:t>
      </w:r>
      <w:r>
        <w:t xml:space="preserve">2014 — Dissezioni arteriose cervicali e terapia manipolativa.</w:t>
      </w:r>
      <w:r>
        <w:t xml:space="preserve"> </w:t>
      </w:r>
      <w:hyperlink r:id="rId111">
        <w:r>
          <w:rPr>
            <w:rStyle w:val="Hyperlink"/>
          </w:rPr>
          <w:t xml:space="preserve">PMID 25104849</w:t>
        </w:r>
      </w:hyperlink>
    </w:p>
    <w:p>
      <w:pPr>
        <w:pStyle w:val="Compact"/>
        <w:numPr>
          <w:ilvl w:val="0"/>
          <w:numId w:val="1033"/>
        </w:numPr>
      </w:pPr>
      <w:r>
        <w:t xml:space="preserve">Pankrath,</w:t>
      </w:r>
      <w:r>
        <w:t xml:space="preserve"> </w:t>
      </w:r>
      <w:r>
        <w:rPr>
          <w:i/>
          <w:iCs/>
        </w:rPr>
        <w:t xml:space="preserve">Pain Physician</w:t>
      </w:r>
      <w:r>
        <w:t xml:space="preserve"> </w:t>
      </w:r>
      <w:r>
        <w:t xml:space="preserve">2024 — Eventi avversi dell’HVLA cervicale.</w:t>
      </w:r>
      <w:r>
        <w:t xml:space="preserve"> </w:t>
      </w:r>
      <w:hyperlink r:id="rId112">
        <w:r>
          <w:rPr>
            <w:rStyle w:val="Hyperlink"/>
          </w:rPr>
          <w:t xml:space="preserve">PMID 38805524</w:t>
        </w:r>
      </w:hyperlink>
    </w:p>
    <w:p>
      <w:pPr>
        <w:pStyle w:val="Compact"/>
        <w:numPr>
          <w:ilvl w:val="0"/>
          <w:numId w:val="1033"/>
        </w:numPr>
      </w:pPr>
      <w:r>
        <w:t xml:space="preserve">Kristoffersen,</w:t>
      </w:r>
      <w:r>
        <w:t xml:space="preserve"> </w:t>
      </w:r>
      <w:r>
        <w:rPr>
          <w:i/>
          <w:iCs/>
        </w:rPr>
        <w:t xml:space="preserve">JNNP</w:t>
      </w:r>
      <w:r>
        <w:t xml:space="preserve"> </w:t>
      </w:r>
      <w:r>
        <w:t xml:space="preserve">2015 — BIMOH, intervento breve nei medici di base.</w:t>
      </w:r>
      <w:r>
        <w:t xml:space="preserve"> </w:t>
      </w:r>
      <w:hyperlink r:id="rId60">
        <w:r>
          <w:rPr>
            <w:rStyle w:val="Hyperlink"/>
          </w:rPr>
          <w:t xml:space="preserve">PMID 25112307</w:t>
        </w:r>
      </w:hyperlink>
    </w:p>
    <w:p>
      <w:pPr>
        <w:pStyle w:val="Compact"/>
        <w:numPr>
          <w:ilvl w:val="0"/>
          <w:numId w:val="1033"/>
        </w:numPr>
      </w:pPr>
      <w:r>
        <w:t xml:space="preserve">Kristoffersen,</w:t>
      </w:r>
      <w:r>
        <w:t xml:space="preserve"> </w:t>
      </w:r>
      <w:r>
        <w:rPr>
          <w:i/>
          <w:iCs/>
        </w:rPr>
        <w:t xml:space="preserve">J Neurol</w:t>
      </w:r>
      <w:r>
        <w:t xml:space="preserve"> </w:t>
      </w:r>
      <w:r>
        <w:t xml:space="preserve">2016 — BIMOH a sei mesi.</w:t>
      </w:r>
      <w:r>
        <w:t xml:space="preserve"> </w:t>
      </w:r>
      <w:hyperlink r:id="rId113">
        <w:r>
          <w:rPr>
            <w:rStyle w:val="Hyperlink"/>
          </w:rPr>
          <w:t xml:space="preserve">PMID 26645391</w:t>
        </w:r>
      </w:hyperlink>
    </w:p>
    <w:p>
      <w:pPr>
        <w:pStyle w:val="Compact"/>
        <w:numPr>
          <w:ilvl w:val="0"/>
          <w:numId w:val="1033"/>
        </w:numPr>
      </w:pPr>
      <w:r>
        <w:t xml:space="preserve">Kristoffersen,</w:t>
      </w:r>
      <w:r>
        <w:t xml:space="preserve"> </w:t>
      </w:r>
      <w:r>
        <w:rPr>
          <w:i/>
          <w:iCs/>
        </w:rPr>
        <w:t xml:space="preserve">Eur J Neurol</w:t>
      </w:r>
      <w:r>
        <w:t xml:space="preserve"> </w:t>
      </w:r>
      <w:r>
        <w:t xml:space="preserve">2017 — BIMOH a lungo termine.</w:t>
      </w:r>
      <w:r>
        <w:t xml:space="preserve"> </w:t>
      </w:r>
      <w:hyperlink r:id="rId114">
        <w:r>
          <w:rPr>
            <w:rStyle w:val="Hyperlink"/>
          </w:rPr>
          <w:t xml:space="preserve">PMID 28544265</w:t>
        </w:r>
      </w:hyperlink>
    </w:p>
    <w:p>
      <w:pPr>
        <w:pStyle w:val="Compact"/>
        <w:numPr>
          <w:ilvl w:val="0"/>
          <w:numId w:val="1033"/>
        </w:numPr>
      </w:pPr>
      <w:r>
        <w:t xml:space="preserve">Klapper,</w:t>
      </w:r>
      <w:r>
        <w:t xml:space="preserve"> </w:t>
      </w:r>
      <w:r>
        <w:rPr>
          <w:i/>
          <w:iCs/>
        </w:rPr>
        <w:t xml:space="preserve">Headache</w:t>
      </w:r>
      <w:r>
        <w:t xml:space="preserve"> </w:t>
      </w:r>
      <w:r>
        <w:t xml:space="preserve">2000 — Ritardo diagnostico nel grappolo.</w:t>
      </w:r>
      <w:r>
        <w:t xml:space="preserve"> </w:t>
      </w:r>
      <w:hyperlink r:id="rId115">
        <w:r>
          <w:rPr>
            <w:rStyle w:val="Hyperlink"/>
          </w:rPr>
          <w:t xml:space="preserve">PMID 11091291</w:t>
        </w:r>
      </w:hyperlink>
    </w:p>
    <w:p>
      <w:pPr>
        <w:pStyle w:val="Compact"/>
        <w:numPr>
          <w:ilvl w:val="0"/>
          <w:numId w:val="1033"/>
        </w:numPr>
      </w:pPr>
      <w:r>
        <w:t xml:space="preserve">Buture,</w:t>
      </w:r>
      <w:r>
        <w:t xml:space="preserve"> </w:t>
      </w:r>
      <w:r>
        <w:rPr>
          <w:i/>
          <w:iCs/>
        </w:rPr>
        <w:t xml:space="preserve">Neurol Sci</w:t>
      </w:r>
      <w:r>
        <w:t xml:space="preserve"> </w:t>
      </w:r>
      <w:r>
        <w:t xml:space="preserve">2019 — Revisione sui ritardi diagnostici nel grappolo.</w:t>
      </w:r>
      <w:r>
        <w:t xml:space="preserve"> </w:t>
      </w:r>
      <w:hyperlink r:id="rId116">
        <w:r>
          <w:rPr>
            <w:rStyle w:val="Hyperlink"/>
          </w:rPr>
          <w:t xml:space="preserve">PMID 30306398</w:t>
        </w:r>
      </w:hyperlink>
    </w:p>
    <w:p>
      <w:pPr>
        <w:pStyle w:val="Compact"/>
        <w:numPr>
          <w:ilvl w:val="0"/>
          <w:numId w:val="1033"/>
        </w:numPr>
      </w:pPr>
      <w:r>
        <w:t xml:space="preserve">Do,</w:t>
      </w:r>
      <w:r>
        <w:t xml:space="preserve"> </w:t>
      </w:r>
      <w:r>
        <w:rPr>
          <w:i/>
          <w:iCs/>
        </w:rPr>
        <w:t xml:space="preserve">Neurology</w:t>
      </w:r>
      <w:r>
        <w:t xml:space="preserve"> </w:t>
      </w:r>
      <w:r>
        <w:t xml:space="preserve">2019 — Lista SNNOOP10.</w:t>
      </w:r>
      <w:r>
        <w:t xml:space="preserve"> </w:t>
      </w:r>
      <w:hyperlink r:id="rId117">
        <w:r>
          <w:rPr>
            <w:rStyle w:val="Hyperlink"/>
          </w:rPr>
          <w:t xml:space="preserve">PMID 30587518</w:t>
        </w:r>
      </w:hyperlink>
    </w:p>
    <w:p>
      <w:pPr>
        <w:pStyle w:val="Compact"/>
        <w:numPr>
          <w:ilvl w:val="0"/>
          <w:numId w:val="1033"/>
        </w:numPr>
      </w:pPr>
      <w:r>
        <w:t xml:space="preserve">García-Azorín,</w:t>
      </w:r>
      <w:r>
        <w:t xml:space="preserve"> </w:t>
      </w:r>
      <w:r>
        <w:rPr>
          <w:i/>
          <w:iCs/>
        </w:rPr>
        <w:t xml:space="preserve">Cephalalgia</w:t>
      </w:r>
      <w:r>
        <w:t xml:space="preserve"> </w:t>
      </w:r>
      <w:r>
        <w:t xml:space="preserve">2022 — Sensibilità della SNNOOP10.</w:t>
      </w:r>
      <w:r>
        <w:t xml:space="preserve"> </w:t>
      </w:r>
      <w:hyperlink r:id="rId118">
        <w:r>
          <w:rPr>
            <w:rStyle w:val="Hyperlink"/>
          </w:rPr>
          <w:t xml:space="preserve">PMID 36003002</w:t>
        </w:r>
      </w:hyperlink>
    </w:p>
    <w:p>
      <w:pPr>
        <w:pStyle w:val="Compact"/>
        <w:numPr>
          <w:ilvl w:val="0"/>
          <w:numId w:val="1033"/>
        </w:numPr>
      </w:pPr>
      <w:r>
        <w:t xml:space="preserve">Perry,</w:t>
      </w:r>
      <w:r>
        <w:t xml:space="preserve"> </w:t>
      </w:r>
      <w:r>
        <w:rPr>
          <w:i/>
          <w:iCs/>
        </w:rPr>
        <w:t xml:space="preserve">CMAJ</w:t>
      </w:r>
      <w:r>
        <w:t xml:space="preserve"> </w:t>
      </w:r>
      <w:r>
        <w:t xml:space="preserve">2017 — Ottawa SAH Rule.</w:t>
      </w:r>
      <w:r>
        <w:t xml:space="preserve"> </w:t>
      </w:r>
      <w:hyperlink r:id="rId119">
        <w:r>
          <w:rPr>
            <w:rStyle w:val="Hyperlink"/>
          </w:rPr>
          <w:t xml:space="preserve">PMID 29133539</w:t>
        </w:r>
      </w:hyperlink>
    </w:p>
    <w:p>
      <w:pPr>
        <w:pStyle w:val="Compact"/>
        <w:numPr>
          <w:ilvl w:val="0"/>
          <w:numId w:val="1033"/>
        </w:numPr>
      </w:pPr>
      <w:r>
        <w:t xml:space="preserve">Luedtke,</w:t>
      </w:r>
      <w:r>
        <w:t xml:space="preserve"> </w:t>
      </w:r>
      <w:r>
        <w:rPr>
          <w:i/>
          <w:iCs/>
        </w:rPr>
        <w:t xml:space="preserve">Cephalalgia</w:t>
      </w:r>
      <w:r>
        <w:t xml:space="preserve"> </w:t>
      </w:r>
      <w:r>
        <w:t xml:space="preserve">2016 — Meta-analisi degli interventi fisioterapici.</w:t>
      </w:r>
      <w:r>
        <w:t xml:space="preserve"> </w:t>
      </w:r>
      <w:hyperlink r:id="rId57">
        <w:r>
          <w:rPr>
            <w:rStyle w:val="Hyperlink"/>
          </w:rPr>
          <w:t xml:space="preserve">PMID 26229071</w:t>
        </w:r>
      </w:hyperlink>
    </w:p>
    <w:p>
      <w:pPr>
        <w:pStyle w:val="Compact"/>
        <w:numPr>
          <w:ilvl w:val="0"/>
          <w:numId w:val="1033"/>
        </w:numPr>
      </w:pPr>
      <w:r>
        <w:t xml:space="preserve">Luedtke,</w:t>
      </w:r>
      <w:r>
        <w:t xml:space="preserve"> </w:t>
      </w:r>
      <w:r>
        <w:rPr>
          <w:i/>
          <w:iCs/>
        </w:rPr>
        <w:t xml:space="preserve">Man Ther</w:t>
      </w:r>
      <w:r>
        <w:t xml:space="preserve"> </w:t>
      </w:r>
      <w:r>
        <w:t xml:space="preserve">2016 — Consenso Delphi sui test dell’esame fisico.</w:t>
      </w:r>
      <w:r>
        <w:t xml:space="preserve"> </w:t>
      </w:r>
      <w:hyperlink r:id="rId120">
        <w:r>
          <w:rPr>
            <w:rStyle w:val="Hyperlink"/>
          </w:rPr>
          <w:t xml:space="preserve">PMID 27183831</w:t>
        </w:r>
      </w:hyperlink>
    </w:p>
    <w:p>
      <w:pPr>
        <w:pStyle w:val="Compact"/>
        <w:numPr>
          <w:ilvl w:val="0"/>
          <w:numId w:val="1033"/>
        </w:numPr>
      </w:pPr>
      <w:r>
        <w:t xml:space="preserve">Kamonseki,</w:t>
      </w:r>
      <w:r>
        <w:t xml:space="preserve"> </w:t>
      </w:r>
      <w:r>
        <w:rPr>
          <w:i/>
          <w:iCs/>
        </w:rPr>
        <w:t xml:space="preserve">Disabil Rehabil</w:t>
      </w:r>
      <w:r>
        <w:t xml:space="preserve"> </w:t>
      </w:r>
      <w:r>
        <w:t xml:space="preserve">2022 — Terapia manuale nella tensiva.</w:t>
      </w:r>
      <w:r>
        <w:t xml:space="preserve"> </w:t>
      </w:r>
      <w:hyperlink r:id="rId59">
        <w:r>
          <w:rPr>
            <w:rStyle w:val="Hyperlink"/>
          </w:rPr>
          <w:t xml:space="preserve">PMID 32924640</w:t>
        </w:r>
      </w:hyperlink>
    </w:p>
    <w:p>
      <w:pPr>
        <w:pStyle w:val="Compact"/>
        <w:numPr>
          <w:ilvl w:val="0"/>
          <w:numId w:val="1033"/>
        </w:numPr>
      </w:pPr>
      <w:r>
        <w:t xml:space="preserve">Rehman,</w:t>
      </w:r>
      <w:r>
        <w:t xml:space="preserve"> </w:t>
      </w:r>
      <w:r>
        <w:rPr>
          <w:i/>
          <w:iCs/>
        </w:rPr>
        <w:t xml:space="preserve">J Osteopath Med</w:t>
      </w:r>
      <w:r>
        <w:t xml:space="preserve"> </w:t>
      </w:r>
      <w:r>
        <w:t xml:space="preserve">2026 — Meta-analisi dell’OMT nelle cefalee associate a disfunzione muscolo-scheletrica.</w:t>
      </w:r>
      <w:r>
        <w:t xml:space="preserve"> </w:t>
      </w:r>
      <w:hyperlink r:id="rId58">
        <w:r>
          <w:rPr>
            <w:rStyle w:val="Hyperlink"/>
          </w:rPr>
          <w:t xml:space="preserve">PMID 41196934</w:t>
        </w:r>
      </w:hyperlink>
    </w:p>
    <w:p>
      <w:pPr>
        <w:pStyle w:val="Compact"/>
        <w:numPr>
          <w:ilvl w:val="0"/>
          <w:numId w:val="1033"/>
        </w:numPr>
      </w:pPr>
      <w:r>
        <w:t xml:space="preserve">Posadzki,</w:t>
      </w:r>
      <w:r>
        <w:t xml:space="preserve"> </w:t>
      </w:r>
      <w:r>
        <w:rPr>
          <w:i/>
          <w:iCs/>
        </w:rPr>
        <w:t xml:space="preserve">Syst Rev</w:t>
      </w:r>
      <w:r>
        <w:t xml:space="preserve"> </w:t>
      </w:r>
      <w:r>
        <w:t xml:space="preserve">2024 — Manipolazione spinale nell’emicrania.</w:t>
      </w:r>
      <w:r>
        <w:t xml:space="preserve"> </w:t>
      </w:r>
      <w:hyperlink r:id="rId121">
        <w:r>
          <w:rPr>
            <w:rStyle w:val="Hyperlink"/>
          </w:rPr>
          <w:t xml:space="preserve">PMID 39614402</w:t>
        </w:r>
      </w:hyperlink>
    </w:p>
    <w:p>
      <w:pPr>
        <w:pStyle w:val="Compact"/>
        <w:numPr>
          <w:ilvl w:val="0"/>
          <w:numId w:val="1033"/>
        </w:numPr>
      </w:pPr>
      <w:r>
        <w:t xml:space="preserve">Cerritelli,</w:t>
      </w:r>
      <w:r>
        <w:t xml:space="preserve"> </w:t>
      </w:r>
      <w:r>
        <w:rPr>
          <w:i/>
          <w:iCs/>
        </w:rPr>
        <w:t xml:space="preserve">Complement Ther Med</w:t>
      </w:r>
      <w:r>
        <w:t xml:space="preserve"> </w:t>
      </w:r>
      <w:r>
        <w:t xml:space="preserve">2015 — OMT nell’emicrania cronica, tre bracci.</w:t>
      </w:r>
      <w:r>
        <w:t xml:space="preserve"> </w:t>
      </w:r>
      <w:hyperlink r:id="rId122">
        <w:r>
          <w:rPr>
            <w:rStyle w:val="Hyperlink"/>
          </w:rPr>
          <w:t xml:space="preserve">PMID 25847552</w:t>
        </w:r>
      </w:hyperlink>
    </w:p>
    <w:p>
      <w:pPr>
        <w:pStyle w:val="Compact"/>
        <w:numPr>
          <w:ilvl w:val="0"/>
          <w:numId w:val="1033"/>
        </w:numPr>
      </w:pPr>
      <w:r>
        <w:t xml:space="preserve">Ezzatvar,</w:t>
      </w:r>
      <w:r>
        <w:t xml:space="preserve"> </w:t>
      </w:r>
      <w:r>
        <w:rPr>
          <w:i/>
          <w:iCs/>
        </w:rPr>
        <w:t xml:space="preserve">JOSPT</w:t>
      </w:r>
      <w:r>
        <w:t xml:space="preserve"> </w:t>
      </w:r>
      <w:r>
        <w:t xml:space="preserve">2024 — Quota di effetto non specifica in fisioterapia.</w:t>
      </w:r>
      <w:r>
        <w:t xml:space="preserve"> </w:t>
      </w:r>
      <w:hyperlink r:id="rId123">
        <w:r>
          <w:rPr>
            <w:rStyle w:val="Hyperlink"/>
          </w:rPr>
          <w:t xml:space="preserve">PMID 38602164</w:t>
        </w:r>
      </w:hyperlink>
    </w:p>
    <w:p>
      <w:pPr>
        <w:pStyle w:val="Compact"/>
        <w:numPr>
          <w:ilvl w:val="0"/>
          <w:numId w:val="1033"/>
        </w:numPr>
      </w:pPr>
      <w:r>
        <w:t xml:space="preserve">Kam-Hansen,</w:t>
      </w:r>
      <w:r>
        <w:t xml:space="preserve"> </w:t>
      </w:r>
      <w:r>
        <w:rPr>
          <w:i/>
          <w:iCs/>
        </w:rPr>
        <w:t xml:space="preserve">Sci Transl Med</w:t>
      </w:r>
      <w:r>
        <w:t xml:space="preserve"> </w:t>
      </w:r>
      <w:r>
        <w:t xml:space="preserve">2014 — Etichetta del farmaco ed esito dell’attacco emicranico.</w:t>
      </w:r>
      <w:r>
        <w:t xml:space="preserve"> </w:t>
      </w:r>
      <w:hyperlink r:id="rId124">
        <w:r>
          <w:rPr>
            <w:rStyle w:val="Hyperlink"/>
          </w:rPr>
          <w:t xml:space="preserve">PMID 24401940</w:t>
        </w:r>
      </w:hyperlink>
    </w:p>
    <w:p>
      <w:pPr>
        <w:pStyle w:val="Compact"/>
        <w:numPr>
          <w:ilvl w:val="0"/>
          <w:numId w:val="1033"/>
        </w:numPr>
      </w:pPr>
      <w:r>
        <w:t xml:space="preserve">Tol,</w:t>
      </w:r>
      <w:r>
        <w:t xml:space="preserve"> </w:t>
      </w:r>
      <w:r>
        <w:rPr>
          <w:i/>
          <w:iCs/>
        </w:rPr>
        <w:t xml:space="preserve">Headache</w:t>
      </w:r>
      <w:r>
        <w:t xml:space="preserve"> </w:t>
      </w:r>
      <w:r>
        <w:t xml:space="preserve">2026 — Fattori psicosociali come predittori di cronicizzazione.</w:t>
      </w:r>
      <w:r>
        <w:t xml:space="preserve"> </w:t>
      </w:r>
      <w:hyperlink r:id="rId125">
        <w:r>
          <w:rPr>
            <w:rStyle w:val="Hyperlink"/>
          </w:rPr>
          <w:t xml:space="preserve">PMID 41236090</w:t>
        </w:r>
      </w:hyperlink>
    </w:p>
    <w:p>
      <w:pPr>
        <w:pStyle w:val="Compact"/>
        <w:numPr>
          <w:ilvl w:val="0"/>
          <w:numId w:val="1033"/>
        </w:numPr>
      </w:pPr>
      <w:r>
        <w:t xml:space="preserve">Sterling,</w:t>
      </w:r>
      <w:r>
        <w:t xml:space="preserve"> </w:t>
      </w:r>
      <w:r>
        <w:rPr>
          <w:i/>
          <w:iCs/>
        </w:rPr>
        <w:t xml:space="preserve">Man Ther</w:t>
      </w:r>
      <w:r>
        <w:t xml:space="preserve"> </w:t>
      </w:r>
      <w:r>
        <w:t xml:space="preserve">2001 — Effetti concomitanti della mobilizzazione cervicale.</w:t>
      </w:r>
      <w:r>
        <w:t xml:space="preserve"> </w:t>
      </w:r>
      <w:hyperlink r:id="rId126">
        <w:r>
          <w:rPr>
            <w:rStyle w:val="Hyperlink"/>
          </w:rPr>
          <w:t xml:space="preserve">PMID 11414776</w:t>
        </w:r>
      </w:hyperlink>
    </w:p>
    <w:p>
      <w:pPr>
        <w:pStyle w:val="Compact"/>
        <w:numPr>
          <w:ilvl w:val="0"/>
          <w:numId w:val="1033"/>
        </w:numPr>
      </w:pPr>
      <w:r>
        <w:t xml:space="preserve">Ferreira,</w:t>
      </w:r>
      <w:r>
        <w:t xml:space="preserve"> </w:t>
      </w:r>
      <w:r>
        <w:rPr>
          <w:i/>
          <w:iCs/>
        </w:rPr>
        <w:t xml:space="preserve">Phys Ther</w:t>
      </w:r>
      <w:r>
        <w:t xml:space="preserve"> </w:t>
      </w:r>
      <w:r>
        <w:t xml:space="preserve">2013 — Alleanza terapeutica ed esito nella lombalgia cronica.</w:t>
      </w:r>
      <w:r>
        <w:t xml:space="preserve"> </w:t>
      </w:r>
      <w:hyperlink r:id="rId127">
        <w:r>
          <w:rPr>
            <w:rStyle w:val="Hyperlink"/>
          </w:rPr>
          <w:t xml:space="preserve">PMID 23139428</w:t>
        </w:r>
      </w:hyperlink>
    </w:p>
    <w:p>
      <w:pPr>
        <w:pStyle w:val="Compact"/>
        <w:numPr>
          <w:ilvl w:val="0"/>
          <w:numId w:val="1033"/>
        </w:numPr>
      </w:pPr>
      <w:r>
        <w:t xml:space="preserve">Gordon,</w:t>
      </w:r>
      <w:r>
        <w:t xml:space="preserve"> </w:t>
      </w:r>
      <w:r>
        <w:rPr>
          <w:i/>
          <w:iCs/>
        </w:rPr>
        <w:t xml:space="preserve">BMJ Open</w:t>
      </w:r>
      <w:r>
        <w:t xml:space="preserve"> </w:t>
      </w:r>
      <w:r>
        <w:t xml:space="preserve">2025 — Effetti psicofisiologici del trattamento osteopatico.</w:t>
      </w:r>
      <w:r>
        <w:t xml:space="preserve"> </w:t>
      </w:r>
      <w:hyperlink r:id="rId128">
        <w:r>
          <w:rPr>
            <w:rStyle w:val="Hyperlink"/>
          </w:rPr>
          <w:t xml:space="preserve">PMID 39920074</w:t>
        </w:r>
      </w:hyperlink>
    </w:p>
    <w:p>
      <w:pPr>
        <w:pStyle w:val="Compact"/>
        <w:numPr>
          <w:ilvl w:val="0"/>
          <w:numId w:val="1033"/>
        </w:numPr>
      </w:pPr>
      <w:r>
        <w:t xml:space="preserve">Sevoz-Couche &amp; Laborde,</w:t>
      </w:r>
      <w:r>
        <w:t xml:space="preserve"> </w:t>
      </w:r>
      <w:r>
        <w:rPr>
          <w:i/>
          <w:iCs/>
        </w:rPr>
        <w:t xml:space="preserve">Neurosci Biobehav Rev</w:t>
      </w:r>
      <w:r>
        <w:t xml:space="preserve"> </w:t>
      </w:r>
      <w:r>
        <w:t xml:space="preserve">2022 — Respiro lento e variabilità cardiaca.</w:t>
      </w:r>
      <w:r>
        <w:t xml:space="preserve"> </w:t>
      </w:r>
      <w:hyperlink r:id="rId129">
        <w:r>
          <w:rPr>
            <w:rStyle w:val="Hyperlink"/>
          </w:rPr>
          <w:t xml:space="preserve">PMID 35167847</w:t>
        </w:r>
      </w:hyperlink>
    </w:p>
    <w:p>
      <w:pPr>
        <w:pStyle w:val="Compact"/>
        <w:numPr>
          <w:ilvl w:val="0"/>
          <w:numId w:val="1033"/>
        </w:numPr>
      </w:pPr>
      <w:r>
        <w:t xml:space="preserve">Minen,</w:t>
      </w:r>
      <w:r>
        <w:t xml:space="preserve"> </w:t>
      </w:r>
      <w:r>
        <w:rPr>
          <w:i/>
          <w:iCs/>
        </w:rPr>
        <w:t xml:space="preserve">Gen Hosp Psychiatry</w:t>
      </w:r>
      <w:r>
        <w:t xml:space="preserve"> </w:t>
      </w:r>
      <w:r>
        <w:t xml:space="preserve">2021 — Biofeedback HRV nell’emicrania, RCT.</w:t>
      </w:r>
      <w:r>
        <w:t xml:space="preserve"> </w:t>
      </w:r>
      <w:hyperlink r:id="rId130">
        <w:r>
          <w:rPr>
            <w:rStyle w:val="Hyperlink"/>
          </w:rPr>
          <w:t xml:space="preserve">PMID 33516964</w:t>
        </w:r>
      </w:hyperlink>
    </w:p>
    <w:p>
      <w:pPr>
        <w:pStyle w:val="Compact"/>
        <w:numPr>
          <w:ilvl w:val="0"/>
          <w:numId w:val="1033"/>
        </w:numPr>
      </w:pPr>
      <w:r>
        <w:t xml:space="preserve">Nestoriuc, Rief &amp; Martin,</w:t>
      </w:r>
      <w:r>
        <w:t xml:space="preserve"> </w:t>
      </w:r>
      <w:r>
        <w:rPr>
          <w:i/>
          <w:iCs/>
        </w:rPr>
        <w:t xml:space="preserve">J Consult Clin Psychol</w:t>
      </w:r>
      <w:r>
        <w:t xml:space="preserve"> </w:t>
      </w:r>
      <w:r>
        <w:t xml:space="preserve">2008 — Biofeedback nella tensiva.</w:t>
      </w:r>
      <w:r>
        <w:t xml:space="preserve"> </w:t>
      </w:r>
      <w:hyperlink r:id="rId61">
        <w:r>
          <w:rPr>
            <w:rStyle w:val="Hyperlink"/>
          </w:rPr>
          <w:t xml:space="preserve">PMID 18540732</w:t>
        </w:r>
      </w:hyperlink>
    </w:p>
    <w:p>
      <w:pPr>
        <w:pStyle w:val="Compact"/>
        <w:numPr>
          <w:ilvl w:val="0"/>
          <w:numId w:val="1033"/>
        </w:numPr>
      </w:pPr>
      <w:r>
        <w:t xml:space="preserve">Nestoriuc &amp; Martin,</w:t>
      </w:r>
      <w:r>
        <w:t xml:space="preserve"> </w:t>
      </w:r>
      <w:r>
        <w:rPr>
          <w:i/>
          <w:iCs/>
        </w:rPr>
        <w:t xml:space="preserve">Pain</w:t>
      </w:r>
      <w:r>
        <w:t xml:space="preserve"> </w:t>
      </w:r>
      <w:r>
        <w:t xml:space="preserve">2007 — Biofeedback nell’emicrania.</w:t>
      </w:r>
      <w:r>
        <w:t xml:space="preserve"> </w:t>
      </w:r>
      <w:hyperlink r:id="rId131">
        <w:r>
          <w:rPr>
            <w:rStyle w:val="Hyperlink"/>
          </w:rPr>
          <w:t xml:space="preserve">PMID 17084028</w:t>
        </w:r>
      </w:hyperlink>
    </w:p>
    <w:p>
      <w:pPr>
        <w:pStyle w:val="Compact"/>
        <w:numPr>
          <w:ilvl w:val="0"/>
          <w:numId w:val="1033"/>
        </w:numPr>
      </w:pPr>
      <w:r>
        <w:t xml:space="preserve">Calhoun &amp; Ford,</w:t>
      </w:r>
      <w:r>
        <w:t xml:space="preserve"> </w:t>
      </w:r>
      <w:r>
        <w:rPr>
          <w:i/>
          <w:iCs/>
        </w:rPr>
        <w:t xml:space="preserve">Headache</w:t>
      </w:r>
      <w:r>
        <w:t xml:space="preserve"> </w:t>
      </w:r>
      <w:r>
        <w:t xml:space="preserve">2007 — Modifica comportamentale del sonno nell’emicrania.</w:t>
      </w:r>
      <w:r>
        <w:t xml:space="preserve"> </w:t>
      </w:r>
      <w:hyperlink r:id="rId132">
        <w:r>
          <w:rPr>
            <w:rStyle w:val="Hyperlink"/>
          </w:rPr>
          <w:t xml:space="preserve">PMID 17883522</w:t>
        </w:r>
      </w:hyperlink>
    </w:p>
    <w:p>
      <w:pPr>
        <w:pStyle w:val="Compact"/>
        <w:numPr>
          <w:ilvl w:val="0"/>
          <w:numId w:val="1033"/>
        </w:numPr>
      </w:pPr>
      <w:r>
        <w:t xml:space="preserve">Andersen,</w:t>
      </w:r>
      <w:r>
        <w:t xml:space="preserve"> </w:t>
      </w:r>
      <w:r>
        <w:rPr>
          <w:i/>
          <w:iCs/>
        </w:rPr>
        <w:t xml:space="preserve">Musculoskelet Sci Pract</w:t>
      </w:r>
      <w:r>
        <w:t xml:space="preserve"> </w:t>
      </w:r>
      <w:r>
        <w:t xml:space="preserve">2017 — Allenamento di forza e cefalea.</w:t>
      </w:r>
      <w:r>
        <w:t xml:space="preserve"> </w:t>
      </w:r>
      <w:hyperlink r:id="rId133">
        <w:r>
          <w:rPr>
            <w:rStyle w:val="Hyperlink"/>
          </w:rPr>
          <w:t xml:space="preserve">PMID 28854396</w:t>
        </w:r>
      </w:hyperlink>
    </w:p>
    <w:p>
      <w:pPr>
        <w:pStyle w:val="Compact"/>
        <w:numPr>
          <w:ilvl w:val="0"/>
          <w:numId w:val="1033"/>
        </w:numPr>
      </w:pPr>
      <w:r>
        <w:t xml:space="preserve">Varangot-Reille,</w:t>
      </w:r>
      <w:r>
        <w:t xml:space="preserve"> </w:t>
      </w:r>
      <w:r>
        <w:rPr>
          <w:i/>
          <w:iCs/>
        </w:rPr>
        <w:t xml:space="preserve">J Pain</w:t>
      </w:r>
      <w:r>
        <w:t xml:space="preserve"> </w:t>
      </w:r>
      <w:r>
        <w:t xml:space="preserve">2022 — Modalità di esercizio in emicrania e tensiva.</w:t>
      </w:r>
      <w:r>
        <w:t xml:space="preserve"> </w:t>
      </w:r>
      <w:hyperlink r:id="rId134">
        <w:r>
          <w:rPr>
            <w:rStyle w:val="Hyperlink"/>
          </w:rPr>
          <w:t xml:space="preserve">PMID 34929374</w:t>
        </w:r>
      </w:hyperlink>
    </w:p>
    <w:p>
      <w:pPr>
        <w:pStyle w:val="Compact"/>
        <w:numPr>
          <w:ilvl w:val="0"/>
          <w:numId w:val="1033"/>
        </w:numPr>
      </w:pPr>
      <w:r>
        <w:t xml:space="preserve">Lemmens,</w:t>
      </w:r>
      <w:r>
        <w:t xml:space="preserve"> </w:t>
      </w:r>
      <w:r>
        <w:rPr>
          <w:i/>
          <w:iCs/>
        </w:rPr>
        <w:t xml:space="preserve">J Headache Pain</w:t>
      </w:r>
      <w:r>
        <w:t xml:space="preserve"> </w:t>
      </w:r>
      <w:r>
        <w:t xml:space="preserve">2019 — Esercizio aerobico nell’emicrania.</w:t>
      </w:r>
      <w:r>
        <w:t xml:space="preserve"> </w:t>
      </w:r>
      <w:hyperlink r:id="rId135">
        <w:r>
          <w:rPr>
            <w:rStyle w:val="Hyperlink"/>
          </w:rPr>
          <w:t xml:space="preserve">PMID 30764753</w:t>
        </w:r>
      </w:hyperlink>
    </w:p>
    <w:p>
      <w:pPr>
        <w:pStyle w:val="Compact"/>
        <w:numPr>
          <w:ilvl w:val="0"/>
          <w:numId w:val="1033"/>
        </w:numPr>
      </w:pPr>
      <w:r>
        <w:t xml:space="preserve">Varkey,</w:t>
      </w:r>
      <w:r>
        <w:t xml:space="preserve"> </w:t>
      </w:r>
      <w:r>
        <w:rPr>
          <w:i/>
          <w:iCs/>
        </w:rPr>
        <w:t xml:space="preserve">Cephalalgia</w:t>
      </w:r>
      <w:r>
        <w:t xml:space="preserve"> </w:t>
      </w:r>
      <w:r>
        <w:t xml:space="preserve">2011 — Esercizio contro rilassamento e topiramato.</w:t>
      </w:r>
      <w:r>
        <w:t xml:space="preserve"> </w:t>
      </w:r>
      <w:hyperlink r:id="rId136">
        <w:r>
          <w:rPr>
            <w:rStyle w:val="Hyperlink"/>
          </w:rPr>
          <w:t xml:space="preserve">PMID 21890526</w:t>
        </w:r>
      </w:hyperlink>
    </w:p>
    <w:p>
      <w:pPr>
        <w:pStyle w:val="Compact"/>
        <w:numPr>
          <w:ilvl w:val="0"/>
          <w:numId w:val="1033"/>
        </w:numPr>
      </w:pPr>
      <w:r>
        <w:t xml:space="preserve">Tao,</w:t>
      </w:r>
      <w:r>
        <w:t xml:space="preserve"> </w:t>
      </w:r>
      <w:r>
        <w:rPr>
          <w:i/>
          <w:iCs/>
        </w:rPr>
        <w:t xml:space="preserve">Postgrad Med J</w:t>
      </w:r>
      <w:r>
        <w:t xml:space="preserve"> </w:t>
      </w:r>
      <w:r>
        <w:t xml:space="preserve">2025 — Component network meta-analysis dell’esercizio nella tensiva.</w:t>
      </w:r>
      <w:r>
        <w:t xml:space="preserve"> </w:t>
      </w:r>
      <w:hyperlink r:id="rId137">
        <w:r>
          <w:rPr>
            <w:rStyle w:val="Hyperlink"/>
          </w:rPr>
          <w:t xml:space="preserve">PMID 40257956</w:t>
        </w:r>
      </w:hyperlink>
    </w:p>
    <w:p>
      <w:pPr>
        <w:pStyle w:val="Compact"/>
        <w:numPr>
          <w:ilvl w:val="0"/>
          <w:numId w:val="1033"/>
        </w:numPr>
      </w:pPr>
      <w:r>
        <w:t xml:space="preserve">Howard,</w:t>
      </w:r>
      <w:r>
        <w:t xml:space="preserve"> </w:t>
      </w:r>
      <w:r>
        <w:rPr>
          <w:i/>
          <w:iCs/>
        </w:rPr>
        <w:t xml:space="preserve">JNNP</w:t>
      </w:r>
      <w:r>
        <w:t xml:space="preserve"> </w:t>
      </w:r>
      <w:r>
        <w:t xml:space="preserve">2005 — Neuroimaging e rassicurazione nella cefalea quotidiana.</w:t>
      </w:r>
      <w:r>
        <w:t xml:space="preserve"> </w:t>
      </w:r>
      <w:hyperlink r:id="rId138">
        <w:r>
          <w:rPr>
            <w:rStyle w:val="Hyperlink"/>
          </w:rPr>
          <w:t xml:space="preserve">PMID 16227551</w:t>
        </w:r>
      </w:hyperlink>
    </w:p>
    <w:p>
      <w:pPr>
        <w:pStyle w:val="Compact"/>
        <w:numPr>
          <w:ilvl w:val="0"/>
          <w:numId w:val="1033"/>
        </w:numPr>
      </w:pPr>
      <w:r>
        <w:t xml:space="preserve">Zheng,</w:t>
      </w:r>
      <w:r>
        <w:t xml:space="preserve"> </w:t>
      </w:r>
      <w:r>
        <w:rPr>
          <w:i/>
          <w:iCs/>
        </w:rPr>
        <w:t xml:space="preserve">Thromb Res</w:t>
      </w:r>
      <w:r>
        <w:t xml:space="preserve"> </w:t>
      </w:r>
      <w:r>
        <w:t xml:space="preserve">2023 — FANS e terapia anticoagulante, rischio emorragico.</w:t>
      </w:r>
      <w:r>
        <w:t xml:space="preserve"> </w:t>
      </w:r>
      <w:hyperlink r:id="rId139">
        <w:r>
          <w:rPr>
            <w:rStyle w:val="Hyperlink"/>
          </w:rPr>
          <w:t xml:space="preserve">PMID 39492109</w:t>
        </w:r>
      </w:hyperlink>
    </w:p>
    <w:p>
      <w:pPr>
        <w:pStyle w:val="Compact"/>
        <w:numPr>
          <w:ilvl w:val="0"/>
          <w:numId w:val="1033"/>
        </w:numPr>
      </w:pPr>
      <w:r>
        <w:t xml:space="preserve">Petersen,</w:t>
      </w:r>
      <w:r>
        <w:t xml:space="preserve"> </w:t>
      </w:r>
      <w:r>
        <w:rPr>
          <w:i/>
          <w:iCs/>
        </w:rPr>
        <w:t xml:space="preserve">JAMA Neurol</w:t>
      </w:r>
      <w:r>
        <w:t xml:space="preserve"> </w:t>
      </w:r>
      <w:r>
        <w:t xml:space="preserve">2024 — Triptani ed eventi cardiovascolari.</w:t>
      </w:r>
      <w:r>
        <w:t xml:space="preserve"> </w:t>
      </w:r>
      <w:hyperlink r:id="rId140">
        <w:r>
          <w:rPr>
            <w:rStyle w:val="Hyperlink"/>
          </w:rPr>
          <w:t xml:space="preserve">PMID 38315477</w:t>
        </w:r>
      </w:hyperlink>
    </w:p>
    <w:p>
      <w:pPr>
        <w:pStyle w:val="FirstParagraph"/>
      </w:pPr>
      <w:r>
        <w:t xml:space="preserve">Fonti normative e di linea guida citate una volta: L. 3/2018; DPR 131/2021; DPCM 25 marzo 2026; BSR</w:t>
      </w:r>
      <w:r>
        <w:t xml:space="preserve"> </w:t>
      </w:r>
      <w:r>
        <w:rPr>
          <w:i/>
          <w:iCs/>
        </w:rPr>
        <w:t xml:space="preserve">Rheumatology</w:t>
      </w:r>
      <w:r>
        <w:t xml:space="preserve"> </w:t>
      </w:r>
      <w:r>
        <w:t xml:space="preserve">2020;59:e1 sui tempi di invio nell’arterite a cellule giganti.</w:t>
      </w:r>
    </w:p>
    <w:p>
      <w:r>
        <w:pict>
          <v:rect style="width:0;height:1.5pt" o:hralign="center" o:hrstd="t" o:hr="t"/>
        </w:pict>
      </w:r>
    </w:p>
    <w:bookmarkEnd w:id="141"/>
    <w:bookmarkStart w:id="142" w:name="nota-di-metodo"/>
    <w:p>
      <w:pPr>
        <w:pStyle w:val="Heading2"/>
      </w:pPr>
      <w:r>
        <w:t xml:space="preserve">Nota di metodo</w:t>
      </w:r>
    </w:p>
    <w:p>
      <w:pPr>
        <w:pStyle w:val="FirstParagraph"/>
      </w:pPr>
      <w:r>
        <w:t xml:space="preserve">La v5 applica le deviazioni già registrate in</w:t>
      </w:r>
      <w:r>
        <w:t xml:space="preserve"> </w:t>
      </w:r>
      <w:r>
        <w:rPr>
          <w:rStyle w:val="VerbatimChar"/>
        </w:rPr>
        <w:t xml:space="preserve">_dati/deviazioni-dal-metodo.md</w:t>
      </w:r>
      <w:r>
        <w:t xml:space="preserve">: D-004, D-008, D-014, D-015, D-016, D-017, D-019, D-020, D-022, D-025, D-027, D-028, D-029, D-030, D-031, D-032, D-034, D-036. Conferma D-034 sul campo</w:t>
      </w:r>
      <w:r>
        <w:t xml:space="preserve"> </w:t>
      </w:r>
      <w:r>
        <w:rPr>
          <w:rStyle w:val="VerbatimChar"/>
        </w:rPr>
        <w:t xml:space="preserve">meccanismo_causa</w:t>
      </w:r>
      <w:r>
        <w:t xml:space="preserve"> </w:t>
      </w:r>
      <w:r>
        <w:t xml:space="preserve">di questa condizione.</w:t>
      </w:r>
    </w:p>
    <w:p>
      <w:pPr>
        <w:pStyle w:val="BodyText"/>
      </w:pPr>
      <w:r>
        <w:t xml:space="preserve">Quattro deviazioni aperte da questa Bibbia, stato</w:t>
      </w:r>
      <w:r>
        <w:t xml:space="preserve"> </w:t>
      </w:r>
      <w:r>
        <w:rPr>
          <w:rStyle w:val="VerbatimChar"/>
        </w:rPr>
        <w:t xml:space="preserve">PROPOSTA</w:t>
      </w:r>
      <w:r>
        <w:t xml:space="preserve">, ora registrate nel file con la fonte:</w:t>
      </w:r>
    </w:p>
    <w:p>
      <w:pPr>
        <w:pStyle w:val="Compact"/>
        <w:numPr>
          <w:ilvl w:val="0"/>
          <w:numId w:val="1034"/>
        </w:numPr>
      </w:pPr>
      <w:r>
        <w:rPr>
          <w:b/>
          <w:bCs/>
        </w:rPr>
        <w:t xml:space="preserve">D-037 — la specie entra dentro l’etichetta.</w:t>
      </w:r>
      <w:r>
        <w:t xml:space="preserve"> </w:t>
      </w:r>
      <w:r>
        <w:t xml:space="preserve">Un dato animale non porta la glossa</w:t>
      </w:r>
      <w:r>
        <w:t xml:space="preserve"> </w:t>
      </w:r>
      <w:r>
        <w:rPr>
          <w:i/>
          <w:iCs/>
        </w:rPr>
        <w:t xml:space="preserve">«studi sull’uomo, solidi»</w:t>
      </w:r>
      <w:r>
        <w:t xml:space="preserve">: si scrive</w:t>
      </w:r>
      <w:r>
        <w:t xml:space="preserve"> </w:t>
      </w:r>
      <w:r>
        <w:rPr>
          <w:b/>
          <w:bCs/>
        </w:rPr>
        <w:t xml:space="preserve">DIMOSTRATO nell’animale</w:t>
      </w:r>
      <w:r>
        <w:t xml:space="preserve"> </w:t>
      </w:r>
      <w:r>
        <w:t xml:space="preserve">(in «Cosa si rompe», PMID 12077000 e 12821523).</w:t>
      </w:r>
    </w:p>
    <w:p>
      <w:pPr>
        <w:pStyle w:val="Compact"/>
        <w:numPr>
          <w:ilvl w:val="0"/>
          <w:numId w:val="1034"/>
        </w:numPr>
      </w:pPr>
      <w:r>
        <w:rPr>
          <w:b/>
          <w:bCs/>
        </w:rPr>
        <w:t xml:space="preserve">D-038 — l’accuratezza apparente non è DIMOSTRATO.</w:t>
      </w:r>
      <w:r>
        <w:t xml:space="preserve"> </w:t>
      </w:r>
      <w:r>
        <w:t xml:space="preserve">Sensibilità e specificità ricavate dallo stesso campione che le ha generate, senza coorte di validazione, non reggono l’etichetta più alta: il cluster di Jull 2007 (PMID 17598761) scende a PROBABILE.</w:t>
      </w:r>
    </w:p>
    <w:p>
      <w:pPr>
        <w:pStyle w:val="Compact"/>
        <w:numPr>
          <w:ilvl w:val="0"/>
          <w:numId w:val="1034"/>
        </w:numPr>
      </w:pPr>
      <w:r>
        <w:rPr>
          <w:b/>
          <w:bCs/>
        </w:rPr>
        <w:t xml:space="preserve">D-039 — il vocabolario chiuso dei tempi di invio non regge le condizioni con finestre di ore e di giorni.</w:t>
      </w:r>
      <w:r>
        <w:t xml:space="preserve"> </w:t>
      </w:r>
      <w:r>
        <w:t xml:space="preserve">Su questa famiglia le linee guida danno finestre numeriche — l’arterite a cellule giganti perde la vista in giorni, la dissezione ha un’ora d’oro — e</w:t>
      </w:r>
      <w:r>
        <w:t xml:space="preserve"> </w:t>
      </w:r>
      <w:r>
        <w:rPr>
          <w:i/>
          <w:iCs/>
        </w:rPr>
        <w:t xml:space="preserve">«Urgente»</w:t>
      </w:r>
      <w:r>
        <w:t xml:space="preserve"> </w:t>
      </w:r>
      <w:r>
        <w:t xml:space="preserve">si interpreta mentre</w:t>
      </w:r>
      <w:r>
        <w:t xml:space="preserve"> </w:t>
      </w:r>
      <w:r>
        <w:rPr>
          <w:i/>
          <w:iCs/>
        </w:rPr>
        <w:t xml:space="preserve">«entro 48 ore»</w:t>
      </w:r>
      <w:r>
        <w:t xml:space="preserve"> </w:t>
      </w:r>
      <w:r>
        <w:t xml:space="preserve">si esegue. Le due tabelle di «Dove finisce il nostro campo» usano il vocabolario chiuso come</w:t>
      </w:r>
      <w:r>
        <w:t xml:space="preserve"> </w:t>
      </w:r>
      <w:r>
        <w:rPr>
          <w:b/>
          <w:bCs/>
        </w:rPr>
        <w:t xml:space="preserve">classe</w:t>
      </w:r>
      <w:r>
        <w:t xml:space="preserve"> </w:t>
      </w:r>
      <w:r>
        <w:t xml:space="preserve">e la finestra numerica come</w:t>
      </w:r>
      <w:r>
        <w:t xml:space="preserve"> </w:t>
      </w:r>
      <w:r>
        <w:rPr>
          <w:b/>
          <w:bCs/>
        </w:rPr>
        <w:t xml:space="preserve">specifica</w:t>
      </w:r>
      <w:r>
        <w:t xml:space="preserve">, quando la linea guida la dà.</w:t>
      </w:r>
    </w:p>
    <w:p>
      <w:pPr>
        <w:pStyle w:val="Compact"/>
        <w:numPr>
          <w:ilvl w:val="0"/>
          <w:numId w:val="1034"/>
        </w:numPr>
      </w:pPr>
      <w:r>
        <w:rPr>
          <w:b/>
          <w:bCs/>
        </w:rPr>
        <w:t xml:space="preserve">D-040 — la regola del ponte assume che il salto sia sempre di popolazione.</w:t>
      </w:r>
      <w:r>
        <w:t xml:space="preserve"> </w:t>
      </w:r>
      <w:r>
        <w:t xml:space="preserve">La formula prescritta,</w:t>
      </w:r>
      <w:r>
        <w:t xml:space="preserve"> </w:t>
      </w:r>
      <w:r>
        <w:rPr>
          <w:i/>
          <w:iCs/>
        </w:rPr>
        <w:t xml:space="preserve">«misurato su [chi], non su pazienti con questa condizione»</w:t>
      </w:r>
      <w:r>
        <w:t xml:space="preserve">, è letteralmente falsa quando la fonte è misurata</w:t>
      </w:r>
      <w:r>
        <w:t xml:space="preserve"> </w:t>
      </w:r>
      <w:r>
        <w:rPr>
          <w:b/>
          <w:bCs/>
        </w:rPr>
        <w:t xml:space="preserve">su questi stessi pazienti con un altro intervento</w:t>
      </w:r>
      <w:r>
        <w:t xml:space="preserve"> </w:t>
      </w:r>
      <w:r>
        <w:t xml:space="preserve">(Kam-Hansen, PMID 24401940). Qui la frase-ponte dichiara</w:t>
      </w:r>
      <w:r>
        <w:t xml:space="preserve"> </w:t>
      </w:r>
      <w:r>
        <w:rPr>
          <w:b/>
          <w:bCs/>
        </w:rPr>
        <w:t xml:space="preserve">l’asse del salto</w:t>
      </w:r>
      <w:r>
        <w:t xml:space="preserve"> </w:t>
      </w:r>
      <w:r>
        <w:t xml:space="preserve">— popolazione, intervento o erogatore — invece di assumere che sia sempre la popolazione.</w:t>
      </w:r>
    </w:p>
    <w:bookmarkEnd w:id="142"/>
    <w:bookmarkEnd w:id="1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5" Target="https://pubmed.ncbi.nlm.nih.gov/11091291/" TargetMode="External" /><Relationship Type="http://schemas.openxmlformats.org/officeDocument/2006/relationships/hyperlink" Id="rId126" Target="https://pubmed.ncbi.nlm.nih.gov/11414776/" TargetMode="External" /><Relationship Type="http://schemas.openxmlformats.org/officeDocument/2006/relationships/hyperlink" Id="rId102" Target="https://pubmed.ncbi.nlm.nih.gov/11706113/" TargetMode="External" /><Relationship Type="http://schemas.openxmlformats.org/officeDocument/2006/relationships/hyperlink" Id="rId93" Target="https://pubmed.ncbi.nlm.nih.gov/12077000/" TargetMode="External" /><Relationship Type="http://schemas.openxmlformats.org/officeDocument/2006/relationships/hyperlink" Id="rId56" Target="https://pubmed.ncbi.nlm.nih.gov/12221344/" TargetMode="External" /><Relationship Type="http://schemas.openxmlformats.org/officeDocument/2006/relationships/hyperlink" Id="rId94" Target="https://pubmed.ncbi.nlm.nih.gov/12821523/" TargetMode="External" /><Relationship Type="http://schemas.openxmlformats.org/officeDocument/2006/relationships/hyperlink" Id="rId86" Target="https://pubmed.ncbi.nlm.nih.gov/15364670/" TargetMode="External" /><Relationship Type="http://schemas.openxmlformats.org/officeDocument/2006/relationships/hyperlink" Id="rId85" Target="https://pubmed.ncbi.nlm.nih.gov/15447694/" TargetMode="External" /><Relationship Type="http://schemas.openxmlformats.org/officeDocument/2006/relationships/hyperlink" Id="rId84" Target="https://pubmed.ncbi.nlm.nih.gov/15606567/" TargetMode="External" /><Relationship Type="http://schemas.openxmlformats.org/officeDocument/2006/relationships/hyperlink" Id="rId138" Target="https://pubmed.ncbi.nlm.nih.gov/16227551/" TargetMode="External" /><Relationship Type="http://schemas.openxmlformats.org/officeDocument/2006/relationships/hyperlink" Id="rId100" Target="https://pubmed.ncbi.nlm.nih.gov/16776692/" TargetMode="External" /><Relationship Type="http://schemas.openxmlformats.org/officeDocument/2006/relationships/hyperlink" Id="rId92" Target="https://pubmed.ncbi.nlm.nih.gov/16886930/" TargetMode="External" /><Relationship Type="http://schemas.openxmlformats.org/officeDocument/2006/relationships/hyperlink" Id="rId131" Target="https://pubmed.ncbi.nlm.nih.gov/17084028/" TargetMode="External" /><Relationship Type="http://schemas.openxmlformats.org/officeDocument/2006/relationships/hyperlink" Id="rId105" Target="https://pubmed.ncbi.nlm.nih.gov/17112768/" TargetMode="External" /><Relationship Type="http://schemas.openxmlformats.org/officeDocument/2006/relationships/hyperlink" Id="rId55" Target="https://pubmed.ncbi.nlm.nih.gov/17598761/" TargetMode="External" /><Relationship Type="http://schemas.openxmlformats.org/officeDocument/2006/relationships/hyperlink" Id="rId103" Target="https://pubmed.ncbi.nlm.nih.gov/17608813/" TargetMode="External" /><Relationship Type="http://schemas.openxmlformats.org/officeDocument/2006/relationships/hyperlink" Id="rId132" Target="https://pubmed.ncbi.nlm.nih.gov/17883522/" TargetMode="External" /><Relationship Type="http://schemas.openxmlformats.org/officeDocument/2006/relationships/hyperlink" Id="rId104" Target="https://pubmed.ncbi.nlm.nih.gov/18031563/" TargetMode="External" /><Relationship Type="http://schemas.openxmlformats.org/officeDocument/2006/relationships/hyperlink" Id="rId106" Target="https://pubmed.ncbi.nlm.nih.gov/18486750/" TargetMode="External" /><Relationship Type="http://schemas.openxmlformats.org/officeDocument/2006/relationships/hyperlink" Id="rId61" Target="https://pubmed.ncbi.nlm.nih.gov/18540732/" TargetMode="External" /><Relationship Type="http://schemas.openxmlformats.org/officeDocument/2006/relationships/hyperlink" Id="rId107" Target="https://pubmed.ncbi.nlm.nih.gov/20357415/" TargetMode="External" /><Relationship Type="http://schemas.openxmlformats.org/officeDocument/2006/relationships/hyperlink" Id="rId136" Target="https://pubmed.ncbi.nlm.nih.gov/21890526/" TargetMode="External" /><Relationship Type="http://schemas.openxmlformats.org/officeDocument/2006/relationships/hyperlink" Id="rId127" Target="https://pubmed.ncbi.nlm.nih.gov/23139428/" TargetMode="External" /><Relationship Type="http://schemas.openxmlformats.org/officeDocument/2006/relationships/hyperlink" Id="rId101" Target="https://pubmed.ncbi.nlm.nih.gov/23431023/" TargetMode="External" /><Relationship Type="http://schemas.openxmlformats.org/officeDocument/2006/relationships/hyperlink" Id="rId108" Target="https://pubmed.ncbi.nlm.nih.gov/23490634/" TargetMode="External" /><Relationship Type="http://schemas.openxmlformats.org/officeDocument/2006/relationships/hyperlink" Id="rId109" Target="https://pubmed.ncbi.nlm.nih.gov/23886844/" TargetMode="External" /><Relationship Type="http://schemas.openxmlformats.org/officeDocument/2006/relationships/hyperlink" Id="rId124" Target="https://pubmed.ncbi.nlm.nih.gov/24401940/" TargetMode="External" /><Relationship Type="http://schemas.openxmlformats.org/officeDocument/2006/relationships/hyperlink" Id="rId91" Target="https://pubmed.ncbi.nlm.nih.gov/24853166/" TargetMode="External" /><Relationship Type="http://schemas.openxmlformats.org/officeDocument/2006/relationships/hyperlink" Id="rId111" Target="https://pubmed.ncbi.nlm.nih.gov/25104849/" TargetMode="External" /><Relationship Type="http://schemas.openxmlformats.org/officeDocument/2006/relationships/hyperlink" Id="rId60" Target="https://pubmed.ncbi.nlm.nih.gov/25112307/" TargetMode="External" /><Relationship Type="http://schemas.openxmlformats.org/officeDocument/2006/relationships/hyperlink" Id="rId122" Target="https://pubmed.ncbi.nlm.nih.gov/25847552/" TargetMode="External" /><Relationship Type="http://schemas.openxmlformats.org/officeDocument/2006/relationships/hyperlink" Id="rId57" Target="https://pubmed.ncbi.nlm.nih.gov/26229071/" TargetMode="External" /><Relationship Type="http://schemas.openxmlformats.org/officeDocument/2006/relationships/hyperlink" Id="rId113" Target="https://pubmed.ncbi.nlm.nih.gov/26645391/" TargetMode="External" /><Relationship Type="http://schemas.openxmlformats.org/officeDocument/2006/relationships/hyperlink" Id="rId120" Target="https://pubmed.ncbi.nlm.nih.gov/27183831/" TargetMode="External" /><Relationship Type="http://schemas.openxmlformats.org/officeDocument/2006/relationships/hyperlink" Id="rId95" Target="https://pubmed.ncbi.nlm.nih.gov/27190019/" TargetMode="External" /><Relationship Type="http://schemas.openxmlformats.org/officeDocument/2006/relationships/hyperlink" Id="rId114" Target="https://pubmed.ncbi.nlm.nih.gov/28544265/" TargetMode="External" /><Relationship Type="http://schemas.openxmlformats.org/officeDocument/2006/relationships/hyperlink" Id="rId133" Target="https://pubmed.ncbi.nlm.nih.gov/28854396/" TargetMode="External" /><Relationship Type="http://schemas.openxmlformats.org/officeDocument/2006/relationships/hyperlink" Id="rId96" Target="https://pubmed.ncbi.nlm.nih.gov/28952052/" TargetMode="External" /><Relationship Type="http://schemas.openxmlformats.org/officeDocument/2006/relationships/hyperlink" Id="rId119" Target="https://pubmed.ncbi.nlm.nih.gov/29133539/" TargetMode="External" /><Relationship Type="http://schemas.openxmlformats.org/officeDocument/2006/relationships/hyperlink" Id="rId87" Target="https://pubmed.ncbi.nlm.nih.gov/29368949/" TargetMode="External" /><Relationship Type="http://schemas.openxmlformats.org/officeDocument/2006/relationships/hyperlink" Id="rId116" Target="https://pubmed.ncbi.nlm.nih.gov/30306398/" TargetMode="External" /><Relationship Type="http://schemas.openxmlformats.org/officeDocument/2006/relationships/hyperlink" Id="rId117" Target="https://pubmed.ncbi.nlm.nih.gov/30587518/" TargetMode="External" /><Relationship Type="http://schemas.openxmlformats.org/officeDocument/2006/relationships/hyperlink" Id="rId135" Target="https://pubmed.ncbi.nlm.nih.gov/30764753/" TargetMode="External" /><Relationship Type="http://schemas.openxmlformats.org/officeDocument/2006/relationships/hyperlink" Id="rId59" Target="https://pubmed.ncbi.nlm.nih.gov/32924640/" TargetMode="External" /><Relationship Type="http://schemas.openxmlformats.org/officeDocument/2006/relationships/hyperlink" Id="rId99" Target="https://pubmed.ncbi.nlm.nih.gov/32957796/" TargetMode="External" /><Relationship Type="http://schemas.openxmlformats.org/officeDocument/2006/relationships/hyperlink" Id="rId130" Target="https://pubmed.ncbi.nlm.nih.gov/33516964/" TargetMode="External" /><Relationship Type="http://schemas.openxmlformats.org/officeDocument/2006/relationships/hyperlink" Id="rId134" Target="https://pubmed.ncbi.nlm.nih.gov/34929374/" TargetMode="External" /><Relationship Type="http://schemas.openxmlformats.org/officeDocument/2006/relationships/hyperlink" Id="rId129" Target="https://pubmed.ncbi.nlm.nih.gov/35167847/" TargetMode="External" /><Relationship Type="http://schemas.openxmlformats.org/officeDocument/2006/relationships/hyperlink" Id="rId88" Target="https://pubmed.ncbi.nlm.nih.gov/35410119/" TargetMode="External" /><Relationship Type="http://schemas.openxmlformats.org/officeDocument/2006/relationships/hyperlink" Id="rId118" Target="https://pubmed.ncbi.nlm.nih.gov/36003002/" TargetMode="External" /><Relationship Type="http://schemas.openxmlformats.org/officeDocument/2006/relationships/hyperlink" Id="rId110" Target="https://pubmed.ncbi.nlm.nih.gov/36099171/" TargetMode="External" /><Relationship Type="http://schemas.openxmlformats.org/officeDocument/2006/relationships/hyperlink" Id="rId89" Target="https://pubmed.ncbi.nlm.nih.gov/36950942/" TargetMode="External" /><Relationship Type="http://schemas.openxmlformats.org/officeDocument/2006/relationships/hyperlink" Id="rId140" Target="https://pubmed.ncbi.nlm.nih.gov/38315477/" TargetMode="External" /><Relationship Type="http://schemas.openxmlformats.org/officeDocument/2006/relationships/hyperlink" Id="rId123" Target="https://pubmed.ncbi.nlm.nih.gov/38602164/" TargetMode="External" /><Relationship Type="http://schemas.openxmlformats.org/officeDocument/2006/relationships/hyperlink" Id="rId112" Target="https://pubmed.ncbi.nlm.nih.gov/38805524/" TargetMode="External" /><Relationship Type="http://schemas.openxmlformats.org/officeDocument/2006/relationships/hyperlink" Id="rId139" Target="https://pubmed.ncbi.nlm.nih.gov/39492109/" TargetMode="External" /><Relationship Type="http://schemas.openxmlformats.org/officeDocument/2006/relationships/hyperlink" Id="rId121" Target="https://pubmed.ncbi.nlm.nih.gov/39614402/" TargetMode="External" /><Relationship Type="http://schemas.openxmlformats.org/officeDocument/2006/relationships/hyperlink" Id="rId128" Target="https://pubmed.ncbi.nlm.nih.gov/39920074/" TargetMode="External" /><Relationship Type="http://schemas.openxmlformats.org/officeDocument/2006/relationships/hyperlink" Id="rId137" Target="https://pubmed.ncbi.nlm.nih.gov/40257956/" TargetMode="External" /><Relationship Type="http://schemas.openxmlformats.org/officeDocument/2006/relationships/hyperlink" Id="rId58" Target="https://pubmed.ncbi.nlm.nih.gov/41196934/" TargetMode="External" /><Relationship Type="http://schemas.openxmlformats.org/officeDocument/2006/relationships/hyperlink" Id="rId125" Target="https://pubmed.ncbi.nlm.nih.gov/41236090/" TargetMode="External" /><Relationship Type="http://schemas.openxmlformats.org/officeDocument/2006/relationships/hyperlink" Id="rId90" Target="https://pubmed.ncbi.nlm.nih.gov/8610241/" TargetMode="External" /><Relationship Type="http://schemas.openxmlformats.org/officeDocument/2006/relationships/hyperlink" Id="rId97" Target="https://pubmed.ncbi.nlm.nih.gov/8826515/" TargetMode="External" /><Relationship Type="http://schemas.openxmlformats.org/officeDocument/2006/relationships/hyperlink" Id="rId98" Target="https://pubmed.ncbi.nlm.nih.gov/8929161/" TargetMode="External" /></Relationships>
</file>

<file path=word/_rels/footnotes.xml.rels><?xml version="1.0" encoding="UTF-8"?><Relationships xmlns="http://schemas.openxmlformats.org/package/2006/relationships"><Relationship Type="http://schemas.openxmlformats.org/officeDocument/2006/relationships/hyperlink" Id="rId115" Target="https://pubmed.ncbi.nlm.nih.gov/11091291/" TargetMode="External" /><Relationship Type="http://schemas.openxmlformats.org/officeDocument/2006/relationships/hyperlink" Id="rId126" Target="https://pubmed.ncbi.nlm.nih.gov/11414776/" TargetMode="External" /><Relationship Type="http://schemas.openxmlformats.org/officeDocument/2006/relationships/hyperlink" Id="rId102" Target="https://pubmed.ncbi.nlm.nih.gov/11706113/" TargetMode="External" /><Relationship Type="http://schemas.openxmlformats.org/officeDocument/2006/relationships/hyperlink" Id="rId93" Target="https://pubmed.ncbi.nlm.nih.gov/12077000/" TargetMode="External" /><Relationship Type="http://schemas.openxmlformats.org/officeDocument/2006/relationships/hyperlink" Id="rId56" Target="https://pubmed.ncbi.nlm.nih.gov/12221344/" TargetMode="External" /><Relationship Type="http://schemas.openxmlformats.org/officeDocument/2006/relationships/hyperlink" Id="rId94" Target="https://pubmed.ncbi.nlm.nih.gov/12821523/" TargetMode="External" /><Relationship Type="http://schemas.openxmlformats.org/officeDocument/2006/relationships/hyperlink" Id="rId86" Target="https://pubmed.ncbi.nlm.nih.gov/15364670/" TargetMode="External" /><Relationship Type="http://schemas.openxmlformats.org/officeDocument/2006/relationships/hyperlink" Id="rId85" Target="https://pubmed.ncbi.nlm.nih.gov/15447694/" TargetMode="External" /><Relationship Type="http://schemas.openxmlformats.org/officeDocument/2006/relationships/hyperlink" Id="rId84" Target="https://pubmed.ncbi.nlm.nih.gov/15606567/" TargetMode="External" /><Relationship Type="http://schemas.openxmlformats.org/officeDocument/2006/relationships/hyperlink" Id="rId138" Target="https://pubmed.ncbi.nlm.nih.gov/16227551/" TargetMode="External" /><Relationship Type="http://schemas.openxmlformats.org/officeDocument/2006/relationships/hyperlink" Id="rId100" Target="https://pubmed.ncbi.nlm.nih.gov/16776692/" TargetMode="External" /><Relationship Type="http://schemas.openxmlformats.org/officeDocument/2006/relationships/hyperlink" Id="rId92" Target="https://pubmed.ncbi.nlm.nih.gov/16886930/" TargetMode="External" /><Relationship Type="http://schemas.openxmlformats.org/officeDocument/2006/relationships/hyperlink" Id="rId131" Target="https://pubmed.ncbi.nlm.nih.gov/17084028/" TargetMode="External" /><Relationship Type="http://schemas.openxmlformats.org/officeDocument/2006/relationships/hyperlink" Id="rId105" Target="https://pubmed.ncbi.nlm.nih.gov/17112768/" TargetMode="External" /><Relationship Type="http://schemas.openxmlformats.org/officeDocument/2006/relationships/hyperlink" Id="rId55" Target="https://pubmed.ncbi.nlm.nih.gov/17598761/" TargetMode="External" /><Relationship Type="http://schemas.openxmlformats.org/officeDocument/2006/relationships/hyperlink" Id="rId103" Target="https://pubmed.ncbi.nlm.nih.gov/17608813/" TargetMode="External" /><Relationship Type="http://schemas.openxmlformats.org/officeDocument/2006/relationships/hyperlink" Id="rId132" Target="https://pubmed.ncbi.nlm.nih.gov/17883522/" TargetMode="External" /><Relationship Type="http://schemas.openxmlformats.org/officeDocument/2006/relationships/hyperlink" Id="rId104" Target="https://pubmed.ncbi.nlm.nih.gov/18031563/" TargetMode="External" /><Relationship Type="http://schemas.openxmlformats.org/officeDocument/2006/relationships/hyperlink" Id="rId106" Target="https://pubmed.ncbi.nlm.nih.gov/18486750/" TargetMode="External" /><Relationship Type="http://schemas.openxmlformats.org/officeDocument/2006/relationships/hyperlink" Id="rId61" Target="https://pubmed.ncbi.nlm.nih.gov/18540732/" TargetMode="External" /><Relationship Type="http://schemas.openxmlformats.org/officeDocument/2006/relationships/hyperlink" Id="rId107" Target="https://pubmed.ncbi.nlm.nih.gov/20357415/" TargetMode="External" /><Relationship Type="http://schemas.openxmlformats.org/officeDocument/2006/relationships/hyperlink" Id="rId136" Target="https://pubmed.ncbi.nlm.nih.gov/21890526/" TargetMode="External" /><Relationship Type="http://schemas.openxmlformats.org/officeDocument/2006/relationships/hyperlink" Id="rId127" Target="https://pubmed.ncbi.nlm.nih.gov/23139428/" TargetMode="External" /><Relationship Type="http://schemas.openxmlformats.org/officeDocument/2006/relationships/hyperlink" Id="rId101" Target="https://pubmed.ncbi.nlm.nih.gov/23431023/" TargetMode="External" /><Relationship Type="http://schemas.openxmlformats.org/officeDocument/2006/relationships/hyperlink" Id="rId108" Target="https://pubmed.ncbi.nlm.nih.gov/23490634/" TargetMode="External" /><Relationship Type="http://schemas.openxmlformats.org/officeDocument/2006/relationships/hyperlink" Id="rId109" Target="https://pubmed.ncbi.nlm.nih.gov/23886844/" TargetMode="External" /><Relationship Type="http://schemas.openxmlformats.org/officeDocument/2006/relationships/hyperlink" Id="rId124" Target="https://pubmed.ncbi.nlm.nih.gov/24401940/" TargetMode="External" /><Relationship Type="http://schemas.openxmlformats.org/officeDocument/2006/relationships/hyperlink" Id="rId91" Target="https://pubmed.ncbi.nlm.nih.gov/24853166/" TargetMode="External" /><Relationship Type="http://schemas.openxmlformats.org/officeDocument/2006/relationships/hyperlink" Id="rId111" Target="https://pubmed.ncbi.nlm.nih.gov/25104849/" TargetMode="External" /><Relationship Type="http://schemas.openxmlformats.org/officeDocument/2006/relationships/hyperlink" Id="rId60" Target="https://pubmed.ncbi.nlm.nih.gov/25112307/" TargetMode="External" /><Relationship Type="http://schemas.openxmlformats.org/officeDocument/2006/relationships/hyperlink" Id="rId122" Target="https://pubmed.ncbi.nlm.nih.gov/25847552/" TargetMode="External" /><Relationship Type="http://schemas.openxmlformats.org/officeDocument/2006/relationships/hyperlink" Id="rId57" Target="https://pubmed.ncbi.nlm.nih.gov/26229071/" TargetMode="External" /><Relationship Type="http://schemas.openxmlformats.org/officeDocument/2006/relationships/hyperlink" Id="rId113" Target="https://pubmed.ncbi.nlm.nih.gov/26645391/" TargetMode="External" /><Relationship Type="http://schemas.openxmlformats.org/officeDocument/2006/relationships/hyperlink" Id="rId120" Target="https://pubmed.ncbi.nlm.nih.gov/27183831/" TargetMode="External" /><Relationship Type="http://schemas.openxmlformats.org/officeDocument/2006/relationships/hyperlink" Id="rId95" Target="https://pubmed.ncbi.nlm.nih.gov/27190019/" TargetMode="External" /><Relationship Type="http://schemas.openxmlformats.org/officeDocument/2006/relationships/hyperlink" Id="rId114" Target="https://pubmed.ncbi.nlm.nih.gov/28544265/" TargetMode="External" /><Relationship Type="http://schemas.openxmlformats.org/officeDocument/2006/relationships/hyperlink" Id="rId133" Target="https://pubmed.ncbi.nlm.nih.gov/28854396/" TargetMode="External" /><Relationship Type="http://schemas.openxmlformats.org/officeDocument/2006/relationships/hyperlink" Id="rId96" Target="https://pubmed.ncbi.nlm.nih.gov/28952052/" TargetMode="External" /><Relationship Type="http://schemas.openxmlformats.org/officeDocument/2006/relationships/hyperlink" Id="rId119" Target="https://pubmed.ncbi.nlm.nih.gov/29133539/" TargetMode="External" /><Relationship Type="http://schemas.openxmlformats.org/officeDocument/2006/relationships/hyperlink" Id="rId87" Target="https://pubmed.ncbi.nlm.nih.gov/29368949/" TargetMode="External" /><Relationship Type="http://schemas.openxmlformats.org/officeDocument/2006/relationships/hyperlink" Id="rId116" Target="https://pubmed.ncbi.nlm.nih.gov/30306398/" TargetMode="External" /><Relationship Type="http://schemas.openxmlformats.org/officeDocument/2006/relationships/hyperlink" Id="rId117" Target="https://pubmed.ncbi.nlm.nih.gov/30587518/" TargetMode="External" /><Relationship Type="http://schemas.openxmlformats.org/officeDocument/2006/relationships/hyperlink" Id="rId135" Target="https://pubmed.ncbi.nlm.nih.gov/30764753/" TargetMode="External" /><Relationship Type="http://schemas.openxmlformats.org/officeDocument/2006/relationships/hyperlink" Id="rId59" Target="https://pubmed.ncbi.nlm.nih.gov/32924640/" TargetMode="External" /><Relationship Type="http://schemas.openxmlformats.org/officeDocument/2006/relationships/hyperlink" Id="rId99" Target="https://pubmed.ncbi.nlm.nih.gov/32957796/" TargetMode="External" /><Relationship Type="http://schemas.openxmlformats.org/officeDocument/2006/relationships/hyperlink" Id="rId130" Target="https://pubmed.ncbi.nlm.nih.gov/33516964/" TargetMode="External" /><Relationship Type="http://schemas.openxmlformats.org/officeDocument/2006/relationships/hyperlink" Id="rId134" Target="https://pubmed.ncbi.nlm.nih.gov/34929374/" TargetMode="External" /><Relationship Type="http://schemas.openxmlformats.org/officeDocument/2006/relationships/hyperlink" Id="rId129" Target="https://pubmed.ncbi.nlm.nih.gov/35167847/" TargetMode="External" /><Relationship Type="http://schemas.openxmlformats.org/officeDocument/2006/relationships/hyperlink" Id="rId88" Target="https://pubmed.ncbi.nlm.nih.gov/35410119/" TargetMode="External" /><Relationship Type="http://schemas.openxmlformats.org/officeDocument/2006/relationships/hyperlink" Id="rId118" Target="https://pubmed.ncbi.nlm.nih.gov/36003002/" TargetMode="External" /><Relationship Type="http://schemas.openxmlformats.org/officeDocument/2006/relationships/hyperlink" Id="rId110" Target="https://pubmed.ncbi.nlm.nih.gov/36099171/" TargetMode="External" /><Relationship Type="http://schemas.openxmlformats.org/officeDocument/2006/relationships/hyperlink" Id="rId89" Target="https://pubmed.ncbi.nlm.nih.gov/36950942/" TargetMode="External" /><Relationship Type="http://schemas.openxmlformats.org/officeDocument/2006/relationships/hyperlink" Id="rId140" Target="https://pubmed.ncbi.nlm.nih.gov/38315477/" TargetMode="External" /><Relationship Type="http://schemas.openxmlformats.org/officeDocument/2006/relationships/hyperlink" Id="rId123" Target="https://pubmed.ncbi.nlm.nih.gov/38602164/" TargetMode="External" /><Relationship Type="http://schemas.openxmlformats.org/officeDocument/2006/relationships/hyperlink" Id="rId112" Target="https://pubmed.ncbi.nlm.nih.gov/38805524/" TargetMode="External" /><Relationship Type="http://schemas.openxmlformats.org/officeDocument/2006/relationships/hyperlink" Id="rId139" Target="https://pubmed.ncbi.nlm.nih.gov/39492109/" TargetMode="External" /><Relationship Type="http://schemas.openxmlformats.org/officeDocument/2006/relationships/hyperlink" Id="rId121" Target="https://pubmed.ncbi.nlm.nih.gov/39614402/" TargetMode="External" /><Relationship Type="http://schemas.openxmlformats.org/officeDocument/2006/relationships/hyperlink" Id="rId128" Target="https://pubmed.ncbi.nlm.nih.gov/39920074/" TargetMode="External" /><Relationship Type="http://schemas.openxmlformats.org/officeDocument/2006/relationships/hyperlink" Id="rId137" Target="https://pubmed.ncbi.nlm.nih.gov/40257956/" TargetMode="External" /><Relationship Type="http://schemas.openxmlformats.org/officeDocument/2006/relationships/hyperlink" Id="rId58" Target="https://pubmed.ncbi.nlm.nih.gov/41196934/" TargetMode="External" /><Relationship Type="http://schemas.openxmlformats.org/officeDocument/2006/relationships/hyperlink" Id="rId125" Target="https://pubmed.ncbi.nlm.nih.gov/41236090/" TargetMode="External" /><Relationship Type="http://schemas.openxmlformats.org/officeDocument/2006/relationships/hyperlink" Id="rId90" Target="https://pubmed.ncbi.nlm.nih.gov/8610241/" TargetMode="External" /><Relationship Type="http://schemas.openxmlformats.org/officeDocument/2006/relationships/hyperlink" Id="rId97" Target="https://pubmed.ncbi.nlm.nih.gov/8826515/" TargetMode="External" /><Relationship Type="http://schemas.openxmlformats.org/officeDocument/2006/relationships/hyperlink" Id="rId98" Target="https://pubmed.ncbi.nlm.nih.gov/892916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Cefalea</dc:title>
  <dc:creator>Mobilitas — Direzione Osteopatica</dc:creator>
  <dc:language>it-IT</dc:language>
  <cp:keywords/>
  <dcterms:created xsi:type="dcterms:W3CDTF">2026-08-21T12:46:27Z</dcterms:created>
  <dcterms:modified xsi:type="dcterms:W3CDTF">2026-08-21T12:46:27Z</dcterms:modified>
</cp:coreProperties>
</file>

<file path=docProps/custom.xml><?xml version="1.0" encoding="utf-8"?>
<Properties xmlns="http://schemas.openxmlformats.org/officeDocument/2006/custom-properties" xmlns:vt="http://schemas.openxmlformats.org/officeDocument/2006/docPropsVTypes"/>
</file>