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8" w:name="mappa-concettuale-cefalea"/>
    <w:p>
      <w:pPr>
        <w:pStyle w:val="Heading1"/>
      </w:pPr>
      <w:r>
        <w:t xml:space="preserve">Mappa concettuale — Cefalea</w:t>
      </w:r>
    </w:p>
    <w:p>
      <w:pPr>
        <w:pStyle w:val="FirstParagraph"/>
      </w:pPr>
      <w:r>
        <w:rPr>
          <w:b/>
          <w:bCs/>
        </w:rPr>
        <w:t xml:space="preserve">Mobilitas · OsteoTouch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Kerstin Luedtke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Peter J. Goadsby con Thorsten Bartsch (Kiel) —</w:t>
      </w:r>
      <w:r>
        <w:t xml:space="preserve"> </w:t>
      </w:r>
      <w:r>
        <w:rPr>
          <w:b/>
          <w:bCs/>
        </w:rPr>
        <w:t xml:space="preserve">v6.0</w:t>
      </w:r>
      <w:r>
        <w:t xml:space="preserve">,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«Cefalea» non è una diagnosi: è un motivo di consulto, e contiene quattro quadri e cinque cancelli.</w:t>
      </w:r>
      <w:r>
        <w:t xml:space="preserve"> </w:t>
      </w:r>
      <w:r>
        <w:t xml:space="preserve">Poco più di una persona su due al mondo ne ha una attiva; il 4,6 per cento ha mal di testa quindici giorni al mese o più.</w:t>
      </w:r>
      <w:r>
        <w:t xml:space="preserve"> </w:t>
      </w:r>
      <w:r>
        <w:t xml:space="preserve">Circa un paziente su quattro, fra quelli con uso eccessivo di farmaci rivalutati a tre anni, torna alla forma episodica</w:t>
      </w:r>
      <w:r>
        <w:t xml:space="preserve"> </w:t>
      </w:r>
      <w:r>
        <w:rPr>
          <w:b/>
          <w:bCs/>
        </w:rPr>
        <w:t xml:space="preserve">senza nessun trattamento</w:t>
      </w:r>
      <w:r>
        <w:t xml:space="preserve">: senza un marker scelto prima, non sai cosa hai fatto tu.</w:t>
      </w:r>
    </w:p>
    <w:p>
      <w:r>
        <w:pict>
          <v:rect style="width:0;height:1.5pt" o:hralign="center" o:hrstd="t" o:hr="t"/>
        </w:pict>
      </w:r>
    </w:p>
    <w:bookmarkEnd w:id="9"/>
    <w:bookmarkStart w:id="10" w:name="la-catena-causale-che-gira-nei-due-sensi"/>
    <w:p>
      <w:pPr>
        <w:pStyle w:val="Heading2"/>
      </w:pPr>
      <w:r>
        <w:t xml:space="preserve">2 · La catena causale, che gira nei due sensi</w:t>
      </w:r>
    </w:p>
    <w:p>
      <w:pPr>
        <w:pStyle w:val="FirstParagraph"/>
      </w:pPr>
      <w:r>
        <w:rPr>
          <w:rStyle w:val="VerbatimChar"/>
        </w:rPr>
        <w:t xml:space="preserve">ingresso cervicale e mandibolare ⇄ convergenza sul nucleo trigemino-cervicale ⇄ ingresso durale e trigeminale → guadagno del relè che sale → dolore in testa che il paziente non sa localizzare → analgesico frequente che mantiene il quadro</w:t>
      </w:r>
    </w:p>
    <w:p>
      <w:pPr>
        <w:pStyle w:val="BodyText"/>
      </w:pPr>
      <w:r>
        <w:rPr>
          <w:i/>
          <w:iCs/>
        </w:rPr>
        <w:t xml:space="preserve">Dal basso nella cervicogenica e nella tensiva. Dall’alto nell’emicrania, dove il collo si accende nelle 24 ore prima del dolore: lì è il primo sintomo dell’attacco, non l’innesco.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2"/>
      </w:pPr>
      <w:r>
        <w:t xml:space="preserve">3 ·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centralino con un pulsante solo</w:t>
            </w:r>
          </w:p>
        </w:tc>
        <w:tc>
          <w:tcPr/>
          <w:p>
            <w:pPr>
              <w:pStyle w:val="Compact"/>
            </w:pPr>
            <w:r>
              <w:t xml:space="preserve">Pressione 4 secondi su C1-C3 riferisce in testa</w:t>
            </w:r>
          </w:p>
        </w:tc>
        <w:tc>
          <w:tcPr/>
          <w:p>
            <w:pPr>
              <w:pStyle w:val="Compact"/>
            </w:pPr>
            <w:r>
              <w:t xml:space="preserve">DIMOSTRATO nell’animale / PROBABILE nell’uomo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rubinetto nel secchio (collo e mandibola)</w:t>
            </w:r>
          </w:p>
        </w:tc>
        <w:tc>
          <w:tcPr/>
          <w:p>
            <w:pPr>
              <w:pStyle w:val="Compact"/>
            </w:pPr>
            <w:r>
              <w:t xml:space="preserve">Orario fisso; serramento riproduce il dolore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porta che si apre con un dito</w:t>
            </w:r>
          </w:p>
        </w:tc>
        <w:tc>
          <w:tcPr/>
          <w:p>
            <w:pPr>
              <w:pStyle w:val="Compact"/>
            </w:pPr>
            <w:r>
              <w:t xml:space="preserve">Dolorabilità fuori dal cranio, solo nella forma cronica</w:t>
            </w:r>
          </w:p>
        </w:tc>
        <w:tc>
          <w:tcPr/>
          <w:p>
            <w:pPr>
              <w:pStyle w:val="Compact"/>
            </w:pPr>
            <w:r>
              <w:t xml:space="preserve">DIMOSTRATO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ruota sul parafango</w:t>
            </w:r>
          </w:p>
        </w:tc>
        <w:tc>
          <w:tcPr/>
          <w:p>
            <w:pPr>
              <w:pStyle w:val="Compact"/>
            </w:pPr>
            <w:r>
              <w:t xml:space="preserve">Sempre lo stesso lato, dalla nuca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carta di credito</w:t>
            </w:r>
          </w:p>
        </w:tc>
        <w:tc>
          <w:tcPr/>
          <w:p>
            <w:pPr>
              <w:pStyle w:val="Compact"/>
            </w:pPr>
            <w:r>
              <w:t xml:space="preserve">Farmaci presi</w:t>
            </w:r>
            <w:r>
              <w:t xml:space="preserve"> </w:t>
            </w:r>
            <w:r>
              <w:rPr>
                <w:b/>
                <w:bCs/>
              </w:rPr>
              <w:t xml:space="preserve">per la testa</w:t>
            </w:r>
            <w:r>
              <w:t xml:space="preserve">, soglie ICHD-3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rPr>
          <w:i/>
          <w:iCs/>
        </w:rPr>
        <w:t xml:space="preserve">Le etichette valgono sul meccanismo. Sulla leva manuale nessuna supera PROBABILE. Quello che si accumula lungo la giornata non è il segnale: è la sensibilizzazione.</w:t>
      </w:r>
    </w:p>
    <w:p>
      <w:r>
        <w:pict>
          <v:rect style="width:0;height:1.5pt" o:hralign="center" o:hrstd="t" o:hr="t"/>
        </w:pict>
      </w:r>
    </w:p>
    <w:bookmarkEnd w:id="11"/>
    <w:bookmarkStart w:id="12" w:name="X2c3486a518948854deca1e1e59748268e88a460"/>
    <w:p>
      <w:pPr>
        <w:pStyle w:val="Heading2"/>
      </w:pPr>
      <w:r>
        <w:t xml:space="preserve">4 · I sottotipi, chi comanda, e l’asse che li taglia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Meccanismo tipico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Tensiva</w:t>
            </w:r>
          </w:p>
        </w:tc>
        <w:tc>
          <w:tcPr/>
          <w:p>
            <w:pPr>
              <w:pStyle w:val="Compact"/>
            </w:pPr>
            <w:r>
              <w:t xml:space="preserve">Morsa bilaterale, non pulsante</w:t>
            </w:r>
          </w:p>
        </w:tc>
        <w:tc>
          <w:tcPr/>
          <w:p>
            <w:pPr>
              <w:pStyle w:val="Compact"/>
            </w:pPr>
            <w:r>
              <w:t xml:space="preserve">Rubinetto</w:t>
            </w:r>
          </w:p>
        </w:tc>
        <w:tc>
          <w:tcPr/>
          <w:p>
            <w:pPr>
              <w:pStyle w:val="Compact"/>
            </w:pPr>
            <w:r>
              <w:t xml:space="preserve">Effetti piccoli, prove basse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Emicrania</w:t>
            </w:r>
          </w:p>
        </w:tc>
        <w:tc>
          <w:tcPr/>
          <w:p>
            <w:pPr>
              <w:pStyle w:val="Compact"/>
            </w:pPr>
            <w:r>
              <w:t xml:space="preserve">Pulsante, peggiora col movimento</w:t>
            </w:r>
          </w:p>
        </w:tc>
        <w:tc>
          <w:tcPr/>
          <w:p>
            <w:pPr>
              <w:pStyle w:val="Compact"/>
            </w:pPr>
            <w:r>
              <w:t xml:space="preserve">Centralino, soglia</w:t>
            </w:r>
          </w:p>
        </w:tc>
        <w:tc>
          <w:tcPr/>
          <w:p>
            <w:pPr>
              <w:pStyle w:val="Compact"/>
            </w:pPr>
            <w:r>
              <w:t xml:space="preserve">Poco sul terreno; leva più debole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Cervicogenica</w:t>
            </w:r>
          </w:p>
        </w:tc>
        <w:tc>
          <w:tcPr/>
          <w:p>
            <w:pPr>
              <w:pStyle w:val="Compact"/>
            </w:pPr>
            <w:r>
              <w:t xml:space="preserve">Sempre lo stesso lato, dalla nuca</w:t>
            </w:r>
          </w:p>
        </w:tc>
        <w:tc>
          <w:tcPr/>
          <w:p>
            <w:pPr>
              <w:pStyle w:val="Compact"/>
            </w:pPr>
            <w:r>
              <w:t xml:space="preserve">Ruota sul parafango</w:t>
            </w:r>
          </w:p>
        </w:tc>
        <w:tc>
          <w:tcPr/>
          <w:p>
            <w:pPr>
              <w:pStyle w:val="Compact"/>
            </w:pPr>
            <w:r>
              <w:t xml:space="preserve">Il sottotipo migliore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Mista</w:t>
            </w:r>
          </w:p>
        </w:tc>
        <w:tc>
          <w:tcPr/>
          <w:p>
            <w:pPr>
              <w:pStyle w:val="Compact"/>
            </w:pPr>
            <w:r>
              <w:t xml:space="preserve">Due mal di testa diversi</w:t>
            </w:r>
          </w:p>
        </w:tc>
        <w:tc>
          <w:tcPr/>
          <w:p>
            <w:pPr>
              <w:pStyle w:val="Compact"/>
            </w:pPr>
            <w:r>
              <w:t xml:space="preserve">Centralino, soglia</w:t>
            </w:r>
          </w:p>
        </w:tc>
        <w:tc>
          <w:tcPr/>
          <w:p>
            <w:pPr>
              <w:pStyle w:val="Compact"/>
            </w:pPr>
            <w:r>
              <w:t xml:space="preserve">Due diari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pattern dà il meccanismo di partenza; il dominante si decide sul singolo paziente, e vince il dominante.</w:t>
      </w:r>
    </w:p>
    <w:p>
      <w:pPr>
        <w:pStyle w:val="BodyText"/>
      </w:pPr>
      <w:r>
        <w:rPr>
          <w:b/>
          <w:bCs/>
        </w:rPr>
        <w:t xml:space="preserve">Asse trasversale — quota nociplastica:</w:t>
      </w:r>
      <w:r>
        <w:t xml:space="preserve"> </w:t>
      </w:r>
      <w:r>
        <w:t xml:space="preserve">soglia ridotta e dolorabilità anche lontano dalla testa. C’è nelle forme croniche e nell’uso eccessivo di farmaci, non nelle episodiche. Quando c’è, l’aspettativa scende e il bersaglio non è il carico locale.</w:t>
      </w:r>
    </w:p>
    <w:p>
      <w:pPr>
        <w:pStyle w:val="BodyText"/>
      </w:pPr>
      <w:r>
        <w:rPr>
          <w:b/>
          <w:bCs/>
        </w:rPr>
        <w:t xml:space="preserve">Sulla leva manuale.</w:t>
      </w:r>
      <w:r>
        <w:t xml:space="preserve"> </w:t>
      </w:r>
      <w:r>
        <w:t xml:space="preserve">Sulle cefalee</w:t>
      </w:r>
      <w:r>
        <w:t xml:space="preserve"> </w:t>
      </w:r>
      <w:r>
        <w:rPr>
          <w:b/>
          <w:bCs/>
        </w:rPr>
        <w:t xml:space="preserve">selezionate per disfunzione muscolo-scheletrica</w:t>
      </w:r>
      <w:r>
        <w:t xml:space="preserve"> </w:t>
      </w:r>
      <w:r>
        <w:t xml:space="preserve">la meta-analisi delle sole tecniche osteopatiche riporta riduzioni di gravità e frequenza con prove di qualità</w:t>
      </w:r>
      <w:r>
        <w:t xml:space="preserve"> </w:t>
      </w:r>
      <w:r>
        <w:rPr>
          <w:b/>
          <w:bCs/>
        </w:rPr>
        <w:t xml:space="preserve">moderata</w:t>
      </w:r>
      <w:r>
        <w:t xml:space="preserve"> </w:t>
      </w:r>
      <w:r>
        <w:t xml:space="preserve">(Rehman 2026, PMID 41196934). Sulla cefalea in generale gli effetti medi non raggiungono rilevanza clinica.</w:t>
      </w:r>
      <w:r>
        <w:t xml:space="preserve"> </w:t>
      </w:r>
      <w:r>
        <w:rPr>
          <w:i/>
          <w:iCs/>
        </w:rPr>
        <w:t xml:space="preserve">Il tuo lavoro sulla selezione vale più del tuo lavoro sulla tecnica.</w:t>
      </w:r>
    </w:p>
    <w:p>
      <w:pPr>
        <w:pStyle w:val="BodyText"/>
      </w:pPr>
      <w:r>
        <w:rPr>
          <w:b/>
          <w:bCs/>
        </w:rPr>
        <w:t xml:space="preserve">I cinque cancelli:</w:t>
      </w:r>
      <w:r>
        <w:t xml:space="preserve"> </w:t>
      </w:r>
      <w:r>
        <w:t xml:space="preserve">grappolo e forme autonomiche · uso eccessivo di farmaci · esordio dopo i 65 anni · cefalea secondaria · post-traumatica recente.</w:t>
      </w:r>
      <w:r>
        <w:t xml:space="preserve"> </w:t>
      </w:r>
      <w:r>
        <w:rPr>
          <w:i/>
          <w:iCs/>
        </w:rPr>
        <w:t xml:space="preserve">La post-traumatica oltre i tre mesi, già inquadrata e senza bandiere rosse, rientra nel triage.</w:t>
      </w:r>
    </w:p>
    <w:p>
      <w:r>
        <w:pict>
          <v:rect style="width:0;height:1.5pt" o:hralign="center" o:hrstd="t" o:hr="t"/>
        </w:pict>
      </w:r>
    </w:p>
    <w:bookmarkEnd w:id="12"/>
    <w:bookmarkStart w:id="13" w:name="cosa-fa-il-paziente-da-solo"/>
    <w:p>
      <w:pPr>
        <w:pStyle w:val="Heading2"/>
      </w:pPr>
      <w:r>
        <w:t xml:space="preserve">5 · Cosa fa il paziente da solo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Su cosa agisce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Forza di collo e spalle</w:t>
            </w:r>
          </w:p>
        </w:tc>
        <w:tc>
          <w:tcPr/>
          <w:p>
            <w:pPr>
              <w:pStyle w:val="Compact"/>
            </w:pPr>
            <w:r>
              <w:t xml:space="preserve">Carico statico, controllo di C1-C2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Esercizio aerobico</w:t>
            </w:r>
          </w:p>
        </w:tc>
        <w:tc>
          <w:tcPr/>
          <w:p>
            <w:pPr>
              <w:pStyle w:val="Compact"/>
            </w:pPr>
            <w:r>
              <w:t xml:space="preserve">Il terreno dell’emicrania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Calendario dei giorni con farmaco</w:t>
            </w:r>
          </w:p>
        </w:tc>
        <w:tc>
          <w:tcPr/>
          <w:p>
            <w:pPr>
              <w:pStyle w:val="Compact"/>
            </w:pPr>
            <w:r>
              <w:t xml:space="preserve">Il piano che rende instabile tutto</w:t>
            </w:r>
          </w:p>
        </w:tc>
        <w:tc>
          <w:tcPr/>
          <w:p>
            <w:pPr>
              <w:pStyle w:val="Compact"/>
            </w:pPr>
            <w:r>
              <w:t xml:space="preserve">PROBABILE quando lo eroga il medico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del livello di attivazione</w:t>
            </w:r>
          </w:p>
        </w:tc>
        <w:tc>
          <w:tcPr/>
          <w:p>
            <w:pPr>
              <w:pStyle w:val="Compact"/>
            </w:pPr>
            <w:r>
              <w:t xml:space="preserve">Il piano dell’attivazione</w:t>
            </w:r>
          </w:p>
        </w:tc>
        <w:tc>
          <w:tcPr/>
          <w:p>
            <w:pPr>
              <w:pStyle w:val="Compact"/>
            </w:pPr>
            <w:r>
              <w:t xml:space="preserve">DIMOSTRATO in ambito specialistico</w:t>
            </w:r>
          </w:p>
        </w:tc>
      </w:tr>
    </w:tbl>
    <w:p>
      <w:pPr>
        <w:pStyle w:val="BodyText"/>
      </w:pPr>
      <w:r>
        <w:rPr>
          <w:i/>
          <w:iCs/>
        </w:rPr>
        <w:t xml:space="preserve">Il training si nomina e si rinvia: non è un atto nostro. Il calendario conta solo i farmaci presi per la testa.</w:t>
      </w:r>
    </w:p>
    <w:p>
      <w:pPr>
        <w:pStyle w:val="BodyText"/>
      </w:pPr>
      <w:r>
        <w:rPr>
          <w:b/>
          <w:bCs/>
        </w:rPr>
        <w:t xml:space="preserve">La componente conta più della categoria.</w:t>
      </w:r>
      <w:r>
        <w:t xml:space="preserve"> </w:t>
      </w:r>
      <w:r>
        <w:t xml:space="preserve">Nella tensiva la</w:t>
      </w:r>
      <w:r>
        <w:t xml:space="preserve"> </w:t>
      </w:r>
      <w:r>
        <w:rPr>
          <w:b/>
          <w:bCs/>
        </w:rPr>
        <w:t xml:space="preserve">resistenza</w:t>
      </w:r>
      <w:r>
        <w:t xml:space="preserve"> </w:t>
      </w:r>
      <w:r>
        <w:t xml:space="preserve">ha ridotto la frequenza (iMD −6,00, IC −9,10 a −2,90) e lo</w:t>
      </w:r>
      <w:r>
        <w:t xml:space="preserve"> </w:t>
      </w:r>
      <w:r>
        <w:rPr>
          <w:b/>
          <w:bCs/>
        </w:rPr>
        <w:t xml:space="preserve">stretching l’ha aumentata</w:t>
      </w:r>
      <w:r>
        <w:t xml:space="preserve"> </w:t>
      </w:r>
      <w:r>
        <w:t xml:space="preserve">(iMD +4,60, IC 1,20 a 8,00). L’esercizio</w:t>
      </w:r>
      <w:r>
        <w:t xml:space="preserve"> </w:t>
      </w:r>
      <w:r>
        <w:rPr>
          <w:i/>
          <w:iCs/>
        </w:rPr>
        <w:t xml:space="preserve">nel suo insieme</w:t>
      </w:r>
      <w:r>
        <w:t xml:space="preserve"> </w:t>
      </w:r>
      <w:r>
        <w:t xml:space="preserve">non ha battuto la cura abituale sulla frequenza, a certezza molto bassa (Tao 2025, PMID 40257956).</w:t>
      </w:r>
    </w:p>
    <w:p>
      <w:r>
        <w:pict>
          <v:rect style="width:0;height:1.5pt" o:hralign="center" o:hrstd="t" o:hr="t"/>
        </w:pict>
      </w:r>
    </w:p>
    <w:bookmarkEnd w:id="13"/>
    <w:bookmarkStart w:id="14" w:name="le-bandiere-rosse"/>
    <w:p>
      <w:pPr>
        <w:pStyle w:val="Heading2"/>
      </w:pPr>
      <w:r>
        <w:t xml:space="preserve">6 · Le bandiere rosse</w:t>
      </w:r>
    </w:p>
    <w:p>
      <w:pPr>
        <w:pStyle w:val="FirstParagraph"/>
      </w:pPr>
      <w:r>
        <w:rPr>
          <w:b/>
          <w:bCs/>
        </w:rPr>
        <w:t xml:space="preserve">Blocco A — non si tratta nulla, in nessun distretto</w:t>
      </w:r>
    </w:p>
    <w:p>
      <w:pPr>
        <w:pStyle w:val="Compact"/>
        <w:numPr>
          <w:ilvl w:val="0"/>
          <w:numId w:val="1001"/>
        </w:numPr>
      </w:pPr>
      <w:r>
        <w:t xml:space="preserve">Dolore esplosivo, massimo in un minuto 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Febbre con rigidità nucale o coscienza alterata 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Deficit di forza, parola o vista; confusione, sonnolenza, crisi 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Cefalea nuova dopo trauma cranico; occhio rosso e dolente con pupilla larga → pronto soccorso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Dissezione arteriosa cervicale:</w:t>
      </w:r>
      <w:r>
        <w:t xml:space="preserve"> </w:t>
      </w:r>
      <w:r>
        <w:t xml:space="preserve">cefalea e collo</w:t>
      </w:r>
      <w:r>
        <w:t xml:space="preserve"> </w:t>
      </w:r>
      <w:r>
        <w:rPr>
          <w:b/>
          <w:bCs/>
        </w:rPr>
        <w:t xml:space="preserve">nuovi e diversi</w:t>
      </w:r>
      <w:r>
        <w:t xml:space="preserve">, da un lato, con palpebra cadente e pupilla piccola dallo stesso lato, acufene pulsante, annebbiamento visivo da un occhio, difficoltà a parlare o deglutire, o esordio dopo trauma o movimento brusco 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Dolore alla tempia dopo i 50 con perdita di vista anche di minuti, o visione doppia → pronto soccorso oculistico →</w:t>
      </w:r>
      <w:r>
        <w:t xml:space="preserve"> </w:t>
      </w:r>
      <w:r>
        <w:rPr>
          <w:b/>
          <w:bCs/>
        </w:rPr>
        <w:t xml:space="preserve">In giornata</w:t>
      </w:r>
    </w:p>
    <w:p>
      <w:pPr>
        <w:pStyle w:val="FirstParagraph"/>
      </w:pPr>
      <w:r>
        <w:rPr>
          <w:b/>
          <w:bCs/>
        </w:rPr>
        <w:t xml:space="preserve">Blocco B — invio non differibile, si può trattare un altro distretto</w:t>
      </w:r>
    </w:p>
    <w:p>
      <w:pPr>
        <w:pStyle w:val="Compact"/>
        <w:numPr>
          <w:ilvl w:val="0"/>
          <w:numId w:val="1002"/>
        </w:numPr>
      </w:pPr>
      <w:r>
        <w:t xml:space="preserve">Dolore alla tempia, masticare stanca, cuoio capelluto dolente → curante o reumatologo, quesito arterite →</w:t>
      </w:r>
      <w:r>
        <w:t xml:space="preserve"> </w:t>
      </w:r>
      <w:r>
        <w:rPr>
          <w:b/>
          <w:bCs/>
        </w:rPr>
        <w:t xml:space="preserve">Entro 3 giorni</w:t>
      </w:r>
    </w:p>
    <w:p>
      <w:pPr>
        <w:pStyle w:val="Compact"/>
        <w:numPr>
          <w:ilvl w:val="0"/>
          <w:numId w:val="1002"/>
        </w:numPr>
      </w:pPr>
      <w:r>
        <w:t xml:space="preserve">Cefalea nuova o peggiorata in chi prende anticoagulanti o antiaggreganti → curante →</w:t>
      </w:r>
      <w:r>
        <w:t xml:space="preserve"> </w:t>
      </w:r>
      <w:r>
        <w:rPr>
          <w:b/>
          <w:bCs/>
        </w:rPr>
        <w:t xml:space="preserve">Entro 48 ore</w:t>
      </w:r>
    </w:p>
    <w:p>
      <w:pPr>
        <w:pStyle w:val="Compact"/>
        <w:numPr>
          <w:ilvl w:val="0"/>
          <w:numId w:val="1002"/>
        </w:numPr>
      </w:pPr>
      <w:r>
        <w:t xml:space="preserve">Febbre, calo di peso, sudorazioni notturne con cefalea nuova → curante →</w:t>
      </w:r>
      <w:r>
        <w:t xml:space="preserve"> </w:t>
      </w:r>
      <w:r>
        <w:rPr>
          <w:b/>
          <w:bCs/>
        </w:rPr>
        <w:t xml:space="preserve">Entro 48 ore</w:t>
      </w:r>
    </w:p>
    <w:p>
      <w:pPr>
        <w:pStyle w:val="Compact"/>
        <w:numPr>
          <w:ilvl w:val="0"/>
          <w:numId w:val="1002"/>
        </w:numPr>
      </w:pPr>
      <w:r>
        <w:t xml:space="preserve">Cefalea in gravidanza o dopo il parto → ginecologo e curante →</w:t>
      </w:r>
      <w:r>
        <w:t xml:space="preserve"> </w:t>
      </w:r>
      <w:r>
        <w:rPr>
          <w:b/>
          <w:bCs/>
        </w:rPr>
        <w:t xml:space="preserve">Entro 24 ore</w:t>
      </w:r>
    </w:p>
    <w:p>
      <w:pPr>
        <w:pStyle w:val="Compact"/>
        <w:numPr>
          <w:ilvl w:val="0"/>
          <w:numId w:val="1002"/>
        </w:numPr>
      </w:pPr>
      <w:r>
        <w:t xml:space="preserve">Prima cefalea importante dopo i 50, o qualunque esordio dopo i 65 → curante o neurologo →</w:t>
      </w:r>
      <w:r>
        <w:t xml:space="preserve"> </w:t>
      </w:r>
      <w:r>
        <w:rPr>
          <w:b/>
          <w:bCs/>
        </w:rPr>
        <w:t xml:space="preserve">Entro 7 giorni</w:t>
      </w:r>
    </w:p>
    <w:p>
      <w:pPr>
        <w:pStyle w:val="Compact"/>
        <w:numPr>
          <w:ilvl w:val="0"/>
          <w:numId w:val="1002"/>
        </w:numPr>
      </w:pPr>
      <w:r>
        <w:t xml:space="preserve">Peggiora sdraiato o solo in piedi; scatenata da tosse, starnuto, sforzo; peggiora di settimana in settimana, peggiore al risveglio, con vomito; crisi brevi da un lato con occhio rosso o naso chiuso → neurologo →</w:t>
      </w:r>
      <w:r>
        <w:t xml:space="preserve"> </w:t>
      </w:r>
      <w:r>
        <w:rPr>
          <w:b/>
          <w:bCs/>
        </w:rPr>
        <w:t xml:space="preserve">Entro 7 giorni</w:t>
      </w:r>
    </w:p>
    <w:p>
      <w:pPr>
        <w:pStyle w:val="Compact"/>
        <w:numPr>
          <w:ilvl w:val="0"/>
          <w:numId w:val="1002"/>
        </w:numPr>
      </w:pPr>
      <w:r>
        <w:t xml:space="preserve">Cambia carattere; storia di tumore o immunodepressione → curante →</w:t>
      </w:r>
      <w:r>
        <w:t xml:space="preserve"> </w:t>
      </w:r>
      <w:r>
        <w:rPr>
          <w:b/>
          <w:bCs/>
        </w:rPr>
        <w:t xml:space="preserve">Entro 7 giorni</w:t>
      </w:r>
    </w:p>
    <w:p>
      <w:pPr>
        <w:pStyle w:val="Compact"/>
        <w:numPr>
          <w:ilvl w:val="0"/>
          <w:numId w:val="1002"/>
        </w:numPr>
      </w:pPr>
      <w:r>
        <w:t xml:space="preserve">Quattro o più giorni di emicrania al mese senza profilassi → curante o centro cefalee →</w:t>
      </w:r>
      <w:r>
        <w:t xml:space="preserve"> </w:t>
      </w:r>
      <w:r>
        <w:rPr>
          <w:b/>
          <w:bCs/>
        </w:rPr>
        <w:t xml:space="preserve">Invio programmato</w:t>
      </w:r>
    </w:p>
    <w:p>
      <w:pPr>
        <w:pStyle w:val="Compact"/>
        <w:numPr>
          <w:ilvl w:val="0"/>
          <w:numId w:val="1002"/>
        </w:numPr>
      </w:pPr>
      <w:r>
        <w:t xml:space="preserve">Dieci giorni al mese o più con farmaci per la testa → curante →</w:t>
      </w:r>
      <w:r>
        <w:t xml:space="preserve"> </w:t>
      </w:r>
      <w:r>
        <w:rPr>
          <w:b/>
          <w:bCs/>
        </w:rPr>
        <w:t xml:space="preserve">Invio programmato</w:t>
      </w:r>
    </w:p>
    <w:p>
      <w:pPr>
        <w:pStyle w:val="FirstParagraph"/>
      </w:pPr>
      <w:r>
        <w:rPr>
          <w:i/>
          <w:iCs/>
        </w:rPr>
        <w:t xml:space="preserve">Con la riga dell’arterite aperta, la regione temporale non è «un altro distretto». Sulle righe del Blocco B la seduta successiva non si apre senza conferma del contatto medico. C1-C2 ha una domanda anamnestica che viene prima: artrite reumatoide, sindrome di Down, trauma recente, disturbi ereditari del connettivo.</w:t>
      </w:r>
    </w:p>
    <w:p>
      <w:r>
        <w:pict>
          <v:rect style="width:0;height:1.5pt" o:hralign="center" o:hrstd="t" o:hr="t"/>
        </w:pict>
      </w:r>
    </w:p>
    <w:bookmarkEnd w:id="14"/>
    <w:bookmarkStart w:id="15" w:name="come-decidi-e-su-cosa-verifichi"/>
    <w:p>
      <w:pPr>
        <w:pStyle w:val="Heading2"/>
      </w:pPr>
      <w:r>
        <w:t xml:space="preserve">7 · Come decidi, e su cosa verifichi</w:t>
      </w:r>
    </w:p>
    <w:p>
      <w:pPr>
        <w:pStyle w:val="FirstParagraph"/>
      </w:pPr>
      <w:r>
        <w:rPr>
          <w:b/>
          <w:bCs/>
        </w:rPr>
        <w:t xml:space="preserve">Road map, un solo metro d’ordine — quanto un piano sequestra la capacità di adattamento:</w:t>
      </w:r>
      <w:r>
        <w:t xml:space="preserve"> </w:t>
      </w:r>
      <w:r>
        <w:t xml:space="preserve">farmaco</w:t>
      </w:r>
      <w:r>
        <w:t xml:space="preserve"> </w:t>
      </w:r>
      <w:r>
        <w:rPr>
          <w:i/>
          <w:iCs/>
        </w:rPr>
        <w:t xml:space="preserve">(≥10 o ≥15 giorni, presi per la testa)</w:t>
      </w:r>
      <w:r>
        <w:t xml:space="preserve"> </w:t>
      </w:r>
      <w:r>
        <w:t xml:space="preserve">→ attivazione</w:t>
      </w:r>
      <w:r>
        <w:t xml:space="preserve"> </w:t>
      </w:r>
      <w:r>
        <w:rPr>
          <w:i/>
          <w:iCs/>
        </w:rPr>
        <w:t xml:space="preserve">(dolorabilità lontana + tessuto che reagisce prima)</w:t>
      </w:r>
      <w:r>
        <w:t xml:space="preserve"> </w:t>
      </w:r>
      <w:r>
        <w:t xml:space="preserve">→ cerniera cranio-cervicale</w:t>
      </w:r>
      <w:r>
        <w:t xml:space="preserve"> </w:t>
      </w:r>
      <w:r>
        <w:rPr>
          <w:i/>
          <w:iCs/>
        </w:rPr>
        <w:t xml:space="preserve">(FR &lt;32°, o riferimento in testa, o flessione cranio-cervicale alterata)</w:t>
      </w:r>
      <w:r>
        <w:t xml:space="preserve"> </w:t>
      </w:r>
      <w:r>
        <w:t xml:space="preserve">→ carico pericranico e mandibolare</w:t>
      </w:r>
      <w:r>
        <w:t xml:space="preserve"> </w:t>
      </w:r>
      <w:r>
        <w:rPr>
          <w:i/>
          <w:iCs/>
        </w:rPr>
        <w:t xml:space="preserve">(dolorabilità diffusa con orario fisso, o dolore temporale dal serramento)</w:t>
      </w:r>
      <w:r>
        <w:t xml:space="preserve"> </w:t>
      </w:r>
      <w:r>
        <w:t xml:space="preserve">→ respiro, sonno e giornata come modificatori.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Come si misura</w:t>
            </w:r>
          </w:p>
        </w:tc>
        <w:tc>
          <w:tcPr/>
          <w:p>
            <w:pPr>
              <w:pStyle w:val="Compact"/>
            </w:pPr>
            <w:r>
              <w:t xml:space="preserve">Soglia che conta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Riferimento in testa a C1-C3</w:t>
            </w:r>
          </w:p>
        </w:tc>
        <w:tc>
          <w:tcPr/>
          <w:p>
            <w:pPr>
              <w:pStyle w:val="Compact"/>
            </w:pPr>
            <w:r>
              <w:t xml:space="preserve">Pressione sostenuta 4 secondi</w:t>
            </w:r>
          </w:p>
        </w:tc>
        <w:tc>
          <w:tcPr/>
          <w:p>
            <w:pPr>
              <w:pStyle w:val="Compact"/>
            </w:pPr>
            <w:r>
              <w:t xml:space="preserve">Cambio di categoria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Flessione-rotazione</w:t>
            </w:r>
          </w:p>
        </w:tc>
        <w:tc>
          <w:tcPr/>
          <w:p>
            <w:pPr>
              <w:pStyle w:val="Compact"/>
            </w:pPr>
            <w:r>
              <w:t xml:space="preserve">Gradi, seduto, capo flesso</w:t>
            </w:r>
          </w:p>
        </w:tc>
        <w:tc>
          <w:tcPr/>
          <w:p>
            <w:pPr>
              <w:pStyle w:val="Compact"/>
            </w:pPr>
            <w:r>
              <w:t xml:space="preserve">Almeno 10 gradi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dolorosa extra-cefalica</w:t>
            </w:r>
          </w:p>
        </w:tc>
        <w:tc>
          <w:tcPr/>
          <w:p>
            <w:pPr>
              <w:pStyle w:val="Compact"/>
            </w:pPr>
            <w:r>
              <w:t xml:space="preserve">Algometro, tibiale anteriore</w:t>
            </w:r>
          </w:p>
        </w:tc>
        <w:tc>
          <w:tcPr/>
          <w:p>
            <w:pPr>
              <w:pStyle w:val="Compact"/>
            </w:pPr>
            <w:r>
              <w:t xml:space="preserve">Più 20 per cento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Giorni con farmaco per la testa</w:t>
            </w:r>
          </w:p>
        </w:tc>
        <w:tc>
          <w:tcPr/>
          <w:p>
            <w:pPr>
              <w:pStyle w:val="Compact"/>
            </w:pPr>
            <w:r>
              <w:t xml:space="preserve">Calendario, quattro settimane</w:t>
            </w:r>
          </w:p>
        </w:tc>
        <w:tc>
          <w:tcPr/>
          <w:p>
            <w:pPr>
              <w:pStyle w:val="Compact"/>
            </w:pPr>
            <w:r>
              <w:t xml:space="preserve">Almeno 2 in meno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Giorni di cefalea</w:t>
            </w:r>
          </w:p>
        </w:tc>
        <w:tc>
          <w:tcPr/>
          <w:p>
            <w:pPr>
              <w:pStyle w:val="Compact"/>
            </w:pPr>
            <w:r>
              <w:t xml:space="preserve">Calendario, quattro settimane</w:t>
            </w:r>
          </w:p>
        </w:tc>
        <w:tc>
          <w:tcPr/>
          <w:p>
            <w:pPr>
              <w:pStyle w:val="Compact"/>
            </w:pPr>
            <w:r>
              <w:t xml:space="preserve">Almeno 2 in meno</w:t>
            </w:r>
          </w:p>
        </w:tc>
      </w:tr>
    </w:tbl>
    <w:p>
      <w:pPr>
        <w:pStyle w:val="BodyText"/>
      </w:pPr>
      <w:r>
        <w:t xml:space="preserve">Le prime due misurano l’effetto immediato del gesto. Le altre tre stanno su piani non trattati, e reggono la prova della chiave di volta.</w:t>
      </w:r>
      <w:r>
        <w:t xml:space="preserve"> </w:t>
      </w:r>
      <w:r>
        <w:rPr>
          <w:b/>
          <w:bCs/>
        </w:rPr>
        <w:t xml:space="preserve">Regola di scelta:</w:t>
      </w:r>
      <w:r>
        <w:t xml:space="preserve"> </w:t>
      </w:r>
      <w:r>
        <w:t xml:space="preserve">con il piano del farmaco positivo alla Road Map il marker è</w:t>
      </w:r>
      <w:r>
        <w:t xml:space="preserve"> </w:t>
      </w:r>
      <w:r>
        <w:rPr>
          <w:b/>
          <w:bCs/>
        </w:rPr>
        <w:t xml:space="preserve">il conteggio</w:t>
      </w:r>
      <w:r>
        <w:t xml:space="preserve">, anche con dolorabilità lontana — quella soglia si muove in mesi, non in settimane. Altrimenti, con dolorabilità lontana usi l’algometro; senza, i giorni.</w:t>
      </w:r>
      <w:r>
        <w:t xml:space="preserve"> </w:t>
      </w:r>
      <w:r>
        <w:rPr>
          <w:b/>
          <w:bCs/>
        </w:rPr>
        <w:t xml:space="preserve">Prima di leggere qualunque conteggio:</w:t>
      </w:r>
      <w:r>
        <w:t xml:space="preserve"> </w:t>
      </w:r>
      <w:r>
        <w:t xml:space="preserve">profilassi iniziata o cambiata negli ultimi tre mesi? in che fase del ciclo cade la misura?</w:t>
      </w:r>
      <w:r>
        <w:t xml:space="preserve"> </w:t>
      </w:r>
      <w:r>
        <w:rPr>
          <w:b/>
          <w:bCs/>
        </w:rPr>
        <w:t xml:space="preserve">Il GIALLO scade a otto settimane di calendario</w:t>
      </w:r>
      <w:r>
        <w:t xml:space="preserve">, e la lettera al curante porta tre numeri: giorni di cefalea, giorni con farmaco, giorni di emicrania.</w:t>
      </w:r>
    </w:p>
    <w:p>
      <w:r>
        <w:pict>
          <v:rect style="width:0;height:1.5pt" o:hralign="center" o:hrstd="t" o:hr="t"/>
        </w:pict>
      </w:r>
    </w:p>
    <w:bookmarkEnd w:id="15"/>
    <w:bookmarkStart w:id="16" w:name="la-frase-per-il-paziente"/>
    <w:p>
      <w:pPr>
        <w:pStyle w:val="Heading2"/>
      </w:pPr>
      <w:r>
        <w:t xml:space="preserve">8 · La frase per il paziente</w:t>
      </w:r>
    </w:p>
    <w:p>
      <w:pPr>
        <w:pStyle w:val="FirstParagraph"/>
      </w:pPr>
      <w:r>
        <w:rPr>
          <w:i/>
          <w:iCs/>
        </w:rPr>
        <w:t xml:space="preserve">“Il cervello non fa male: non ha recettori del dolore. Fanno male le sue coperture, i vasi e i muscoli che reggono la testa. Collo e testa mandano il segnale nello stesso punto, e lì il corpo non distingue più da dove arriva. Nel suo caso ho trovato [reperto misurato], e io lavoro sulla componente meccanica che ho trovato nel collo. Non le sto dicendo da dove viene il suo mal di testa: che tipo di mal di testa sia lo stabilisce il suo medico, e nel frattempo io non aspetto.”</w:t>
      </w:r>
    </w:p>
    <w:p>
      <w:pPr>
        <w:pStyle w:val="BodyText"/>
      </w:pPr>
      <w:r>
        <w:rPr>
          <w:i/>
          <w:iCs/>
        </w:rPr>
        <w:t xml:space="preserve">Il secchio spiega perché un segnale piccolo diventa dolore. Si introduce con «può succedere che», mai con «lei ha».</w:t>
      </w:r>
    </w:p>
    <w:p>
      <w:r>
        <w:pict>
          <v:rect style="width:0;height:1.5pt" o:hralign="center" o:hrstd="t" o:hr="t"/>
        </w:pict>
      </w:r>
    </w:p>
    <w:bookmarkEnd w:id="16"/>
    <w:bookmarkStart w:id="17" w:name="perché-ci-sei-tu"/>
    <w:p>
      <w:pPr>
        <w:pStyle w:val="Heading2"/>
      </w:pPr>
      <w:r>
        <w:t xml:space="preserve">Perché ci sei tu</w: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Il cluster di tre reperti — movimento ridotto, disfunzione articolare cervicale alta, flessione cranio-cervicale alterata — ha orientato verso la cefalea cervicogenica con sensibilità 100 e specificità 94. E nei gruppi emicrania e tensiva quell’alterazione non c’era (Jull,</w:t>
      </w:r>
      <w:r>
        <w:t xml:space="preserve"> </w:t>
      </w:r>
      <w:r>
        <w:rPr>
          <w:i/>
          <w:iCs/>
        </w:rPr>
        <w:t xml:space="preserve">Cephalalgia</w:t>
      </w:r>
      <w:r>
        <w:t xml:space="preserve"> </w:t>
      </w:r>
      <w:r>
        <w:t xml:space="preserve">2007, PMID 17598761). Ti autorizza a fare un esame che quasi nessun altro esegue. Non ti autorizza ad assegnare il tipo di cefalea, né a chiamarlo DIMOSTRATO: 18 casi su 73, mai riprodotti su una coorte indipendente.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  <w:r>
        <w:t xml:space="preserve"> </w:t>
      </w:r>
      <w:r>
        <w:t xml:space="preserve">Quando il dato viene da una specie diversa dalla nostra, la specie entra nell’etichetta:</w:t>
      </w:r>
      <w:r>
        <w:t xml:space="preserve"> </w:t>
      </w:r>
      <w:r>
        <w:rPr>
          <w:b/>
          <w:bCs/>
        </w:rPr>
        <w:t xml:space="preserve">DIMOSTRATO nell’animale</w:t>
      </w:r>
      <w:r>
        <w:t xml:space="preserve">.</w:t>
      </w:r>
      <w:r>
        <w:t xml:space="preserve"> </w:t>
      </w:r>
      <w:r>
        <w:t xml:space="preserve">Le quattro etichette hanno la loro voce anche nel Glossario della Bibbia, con lo stesso testo.</w:t>
      </w:r>
    </w:p>
    <w:p>
      <w:pPr>
        <w:pStyle w:val="FirstParagraph"/>
      </w:pPr>
      <w:r>
        <w:rPr>
          <w:i/>
          <w:iCs/>
        </w:rPr>
        <w:t xml:space="preserve">Deviazioni dichiarate rispetto alla specifica della Mappa: blocco 5 «Cosa fa il paziente da solo» (D-011), blocco 7 «Come decidi, e su cosa verifichi» (D-018), bandiere rosse in due blocchi (D-015). Aperte da questa Bibbia e registrate: D-037 (la specie entra nell’etichetta), D-038 (l’accuratezza apparente non è DIMOSTRATO), D-039 (i tempi di invio con finestra numerica), D-040 (la frase-ponte dichiara l’asse del salto).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2026-08-21T12:46:27Z</dcterms:created>
  <dcterms:modified xsi:type="dcterms:W3CDTF">2026-08-21T12:46:27Z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