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Valgismo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1" w:name="la-bibbia-del-valgismo"/>
    <w:p>
      <w:pPr>
        <w:pStyle w:val="Heading1"/>
      </w:pPr>
      <w:r>
        <w:t xml:space="preserve">La Bibbia del Valgismo</w:t>
      </w:r>
    </w:p>
    <w:p>
      <w:pPr>
        <w:pStyle w:val="FirstParagraph"/>
      </w:pPr>
      <w:r>
        <w:rPr>
          <w:b/>
          <w:bCs/>
        </w:rPr>
        <w:t xml:space="preserve">Condizione:</w:t>
      </w:r>
      <w:r>
        <w:t xml:space="preserve"> </w:t>
      </w:r>
      <w:r>
        <w:t xml:space="preserve">valgismo — ginocchio valgo,</w:t>
      </w:r>
      <w:r>
        <w:t xml:space="preserve"> </w:t>
      </w:r>
      <w:r>
        <w:t xml:space="preserve">“gambe a X”</w:t>
      </w:r>
      <w:r>
        <w:t xml:space="preserve">, e il valgo dinamico sotto carico</w:t>
      </w:r>
      <w:r>
        <w:t xml:space="preserve"> </w:t>
      </w:r>
      <w:r>
        <w:rPr>
          <w:b/>
          <w:bCs/>
        </w:rPr>
        <w:t xml:space="preserve">Ancora clinica:</w:t>
      </w:r>
      <w:r>
        <w:t xml:space="preserve"> </w:t>
      </w:r>
      <w:r>
        <w:t xml:space="preserve">Christopher M. Powers, University of Southern California — il ginocchio comandato da sopra</w:t>
      </w:r>
      <w:r>
        <w:t xml:space="preserve"> </w:t>
      </w:r>
      <w:r>
        <w:rPr>
          <w:b/>
          <w:bCs/>
        </w:rPr>
        <w:t xml:space="preserve">Ancora fisiologica:</w:t>
      </w:r>
      <w:r>
        <w:t xml:space="preserve"> </w:t>
      </w:r>
      <w:r>
        <w:t xml:space="preserve">il gruppo di Georg Bergmann, Ines Kutzner e Andreas Halder, Julius Wolff Institut, Charité di Berlino — il carico dentro il ginocchio misurato nell’uomo vivo</w:t>
      </w:r>
      <w:r>
        <w:t xml:space="preserve"> </w:t>
      </w:r>
      <w:r>
        <w:rPr>
          <w:b/>
          <w:bCs/>
        </w:rPr>
        <w:t xml:space="preserve">Versione:</w:t>
      </w:r>
      <w:r>
        <w:t xml:space="preserve"> </w:t>
      </w:r>
      <w:r>
        <w:t xml:space="preserve">v7 finale (revisione di lingua, 6º livello) ·</w:t>
      </w:r>
      <w:r>
        <w:t xml:space="preserve"> </w:t>
      </w:r>
      <w:r>
        <w:rPr>
          <w:b/>
          <w:bCs/>
        </w:rPr>
        <w:t xml:space="preserve">Data:</w:t>
      </w:r>
      <w:r>
        <w:t xml:space="preserve"> </w:t>
      </w:r>
      <w:r>
        <w:t xml:space="preserve">26 agosto 2026</w:t>
      </w:r>
      <w:r>
        <w:t xml:space="preserve"> </w:t>
      </w:r>
      <w:r>
        <w:rPr>
          <w:b/>
          <w:bCs/>
        </w:rPr>
        <w:t xml:space="preserve">Lunghezza:</w:t>
      </w:r>
      <w:r>
        <w:t xml:space="preserve"> </w:t>
      </w:r>
      <w:r>
        <w:t xml:space="preserve">questo documento sfora il tetto delle 13.000 parole, e lo dichiara:</w:t>
      </w:r>
      <w:r>
        <w:t xml:space="preserve"> </w:t>
      </w:r>
      <w:r>
        <w:rPr>
          <w:b/>
          <w:bCs/>
        </w:rPr>
        <w:t xml:space="preserve">il residuo è ampiezza, non ridondanza.</w:t>
      </w:r>
      <w:r>
        <w:t xml:space="preserve"> </w:t>
      </w:r>
      <w:r>
        <w:t xml:space="preserve">Per rientrare in un numero non si tagliano le frasi-ponte, le etichette di solidità, i PMID, le bandiere rosse e gli slot di chiusura.</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ginocchio valgo per decidere cosa fare in stanza; il come si fa sta nella Procedura.</w:t>
      </w:r>
    </w:p>
    <w:p>
      <w:pPr>
        <w:pStyle w:val="FirstParagraph"/>
      </w:pPr>
      <w:r>
        <w:rPr>
          <w:b/>
          <w:bCs/>
        </w:rPr>
        <w:t xml:space="preserve">A chi parla.</w:t>
      </w:r>
      <w:r>
        <w:t xml:space="preserve"> </w:t>
      </w:r>
      <w:r>
        <w:t xml:space="preserve">All’osteopata del team. Do per scontata l’anatomia dell’arto inferiore. Qui trovi cosa fa ciascuna struttura</w:t>
      </w:r>
      <w:r>
        <w:t xml:space="preserve"> </w:t>
      </w:r>
      <w:r>
        <w:rPr>
          <w:i/>
          <w:iCs/>
        </w:rPr>
        <w:t xml:space="preserve">in questa condizione</w:t>
      </w:r>
      <w:r>
        <w:t xml:space="preserve">.</w:t>
      </w:r>
    </w:p>
    <w:p>
      <w:pPr>
        <w:pStyle w:val="BodyText"/>
      </w:pPr>
      <w:r>
        <w:rPr>
          <w:b/>
          <w:bCs/>
        </w:rPr>
        <w:t xml:space="preserve">Cosa c’è qui.</w:t>
      </w:r>
      <w:r>
        <w:t xml:space="preserve"> </w:t>
      </w:r>
      <w:r>
        <w:t xml:space="preserve">Che cos’è il valgismo, perché succede, quali meccanismi lo tengono in piedi, come si riconoscono i sottotipi, dove finisce il nostro campo, quanto sono solide le leve.</w:t>
      </w:r>
    </w:p>
    <w:p>
      <w:pPr>
        <w:pStyle w:val="BodyText"/>
      </w:pPr>
      <w:r>
        <w:rPr>
          <w:b/>
          <w:bCs/>
        </w:rPr>
        <w:t xml:space="preserve">Cosa non c’è.</w:t>
      </w:r>
      <w:r>
        <w:t xml:space="preserve"> </w:t>
      </w:r>
      <w:r>
        <w:t xml:space="preserve">Tecniche, dosi, sequenza e piano delle sedute. Stanno nella Procedura: due pagine, altro documento.</w:t>
      </w:r>
    </w:p>
    <w:bookmarkStart w:id="9" w:name="come-si-leggono-le-etichette"/>
    <w:p>
      <w:pPr>
        <w:pStyle w:val="Heading3"/>
      </w:pPr>
      <w:r>
        <w:t xml:space="preserve">Come si leggono le etichette</w:t>
      </w:r>
    </w:p>
    <w:p>
      <w:pPr>
        <w:pStyle w:val="FirstParagraph"/>
      </w:pPr>
      <w:r>
        <w:t xml:space="preserve">Ogni affermazione importante di questa Bibbia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w:t>
      </w:r>
    </w:p>
    <w:p>
      <w:pPr>
        <w:pStyle w:val="Compact"/>
        <w:numPr>
          <w:ilvl w:val="0"/>
          <w:numId w:val="1001"/>
        </w:numPr>
      </w:pPr>
      <w:r>
        <w:rPr>
          <w:b/>
          <w:bCs/>
        </w:rPr>
        <w:t xml:space="preserve">L’etichetta non si declina.</w:t>
      </w:r>
      <w:r>
        <w:t xml:space="preserve"> </w:t>
      </w:r>
      <w:r>
        <w:t xml:space="preserve">Se qualcuno ha misurato e non ha trovato, l’etichetta resta IPOTESI.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DIMOSTRATO copre anche le coorti ampie</w:t>
      </w:r>
      <w:r>
        <w:t xml:space="preserve"> </w:t>
      </w:r>
      <w:r>
        <w:t xml:space="preserve">con relazione dose-risposta e la misura sperimentale diretta nell’uomo. Dove la uso così, lo scrivo.</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 in quest’ordine.</w:t>
      </w:r>
    </w:p>
    <w:p>
      <w:pPr>
        <w:pStyle w:val="Compact"/>
        <w:numPr>
          <w:ilvl w:val="0"/>
          <w:numId w:val="1002"/>
        </w:numPr>
      </w:pPr>
      <w:r>
        <w:rPr>
          <w:b/>
          <w:bCs/>
        </w:rPr>
        <w:t xml:space="preserve">Prima lettura, tutta di fila, senza appunti.</w:t>
      </w:r>
      <w:r>
        <w:t xml:space="preserve"> </w:t>
      </w:r>
      <w:r>
        <w:t xml:space="preserve">Quello che non torna lo segni e lo lasci lì.</w:t>
      </w:r>
    </w:p>
    <w:p>
      <w:pPr>
        <w:pStyle w:val="Compact"/>
        <w:numPr>
          <w:ilvl w:val="0"/>
          <w:numId w:val="1002"/>
        </w:numPr>
      </w:pPr>
      <w:r>
        <w:rPr>
          <w:b/>
          <w:bCs/>
        </w:rPr>
        <w:t xml:space="preserve">Seconda passata con un paziente vero in testa</w:t>
      </w:r>
      <w:r>
        <w:t xml:space="preserve"> </w:t>
      </w:r>
      <w:r>
        <w:t xml:space="preserve">— uno che hai già visto. 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cinque meccanismi e da cosa si riconosce ciascuno. Quello che non sai dire non l’hai imparato.</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p>
    <w:p>
      <w:pPr>
        <w:pStyle w:val="Compact"/>
        <w:numPr>
          <w:ilvl w:val="0"/>
          <w:numId w:val="1002"/>
        </w:numPr>
      </w:pPr>
      <w:r>
        <w:rPr>
          <w:b/>
          <w:bCs/>
        </w:rPr>
        <w:t xml:space="preserve">A sei mesi: solo la Mappa.</w:t>
      </w:r>
      <w:r>
        <w:t xml:space="preserve"> </w:t>
      </w:r>
      <w:r>
        <w:t xml:space="preserve">Il blocco che non ti riaccende il capitolo è il capitolo da rileggere.</w:t>
      </w:r>
    </w:p>
    <w:p>
      <w:pPr>
        <w:pStyle w:val="FirstParagraph"/>
      </w:pPr>
      <w:r>
        <w:rPr>
          <w:b/>
          <w:bCs/>
        </w:rPr>
        <w:t xml:space="preserve">Quando sei autonomo.</w:t>
      </w:r>
      <w:r>
        <w:t xml:space="preserve"> </w:t>
      </w:r>
      <w:r>
        <w:t xml:space="preserve">Non quando hai finito di leggere. Sei autonomo quando separi in dieci secondi il crollo d’anca da quello di caviglia. Quando riconosci alla prima seduta il paziente su cui puoi poco. E quando sai dire a un medico cosa possiamo e cosa non possiamo affermare. Il paziente che qui non c’è lo risolvi con la Road Map: è un ordine di esclusione, non un elenco.</w:t>
      </w:r>
    </w:p>
    <w:p>
      <w:pPr>
        <w:pStyle w:val="BodyText"/>
      </w:pPr>
      <w:r>
        <w:rPr>
          <w:b/>
          <w:bCs/>
        </w:rPr>
        <w:t xml:space="preserve">Le tre cose da ricordare, più una</w:t>
      </w:r>
    </w:p>
    <w:p>
      <w:pPr>
        <w:pStyle w:val="Compact"/>
        <w:numPr>
          <w:ilvl w:val="0"/>
          <w:numId w:val="1003"/>
        </w:numPr>
      </w:pPr>
      <w:r>
        <w:t xml:space="preserve">La parola «risultato» va definita prima di iniziare: la forma della gamba e il sintomo non si muovono insieme.</w:t>
      </w:r>
    </w:p>
    <w:p>
      <w:pPr>
        <w:pStyle w:val="Compact"/>
        <w:numPr>
          <w:ilvl w:val="0"/>
          <w:numId w:val="1003"/>
        </w:numPr>
      </w:pPr>
      <w:r>
        <w:t xml:space="preserve">La deviazione ossea e il crollo sotto carico sono due cose diverse. Quasi tutto il documento serve a tenerle separate.</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La leva meglio documentata qui non è il tocco: negli</w:t>
      </w:r>
      <w:r>
        <w:t xml:space="preserve"> </w:t>
      </w:r>
      <w:r>
        <w:rPr>
          <w:b/>
          <w:bCs/>
        </w:rPr>
        <w:t xml:space="preserve">atleti</w:t>
      </w:r>
      <w:r>
        <w:t xml:space="preserve"> </w:t>
      </w:r>
      <w:r>
        <w:t xml:space="preserve">i programmi neuromuscolari riducono il rischio di rottura del crociato a poco più di un terzo (Clar, 2025, PMID 39529589). Ti autorizza a mettere la parte attiva al centro del ciclo e a insegnarla tu. Non ti autorizza a chiamarla trattamento manuale, né a trasferire quel numero a chi non fa uno sport con cambi di direzione.</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a cui è stata data una spiegazione genetica a quindici anni, e che oggi paga il conto al ginocchio e all’anca.</w:t>
      </w:r>
    </w:p>
    <w:bookmarkStart w:id="12" w:name="come-lo-racconta-lui"/>
    <w:p>
      <w:pPr>
        <w:pStyle w:val="Heading3"/>
      </w:pPr>
      <w:r>
        <w:t xml:space="preserve">Come lo racconta lui</w:t>
      </w:r>
    </w:p>
    <w:p>
      <w:pPr>
        <w:pStyle w:val="FirstParagraph"/>
      </w:pPr>
      <w:r>
        <w:t xml:space="preserve">Non dice «ho un valgo dinamico». Dice:</w:t>
      </w:r>
    </w:p>
    <w:p>
      <w:pPr>
        <w:pStyle w:val="Compact"/>
        <w:numPr>
          <w:ilvl w:val="0"/>
          <w:numId w:val="1004"/>
        </w:numPr>
      </w:pPr>
      <w:r>
        <w:rPr>
          <w:i/>
          <w:iCs/>
        </w:rPr>
        <w:t xml:space="preserve">«Le ginocchia si toccano quando sto in piedi.»</w:t>
      </w:r>
      <w:r>
        <w:t xml:space="preserve"> </w:t>
      </w:r>
      <w:r>
        <w:t xml:space="preserve">Con i piedi divaricati si avvicinano fino a sfiorarsi.</w:t>
      </w:r>
    </w:p>
    <w:p>
      <w:pPr>
        <w:pStyle w:val="Compact"/>
        <w:numPr>
          <w:ilvl w:val="0"/>
          <w:numId w:val="1004"/>
        </w:numPr>
      </w:pPr>
      <w:r>
        <w:rPr>
          <w:i/>
          <w:iCs/>
        </w:rPr>
        <w:t xml:space="preserve">«Le rotule guardano verso il centro.»</w:t>
      </w:r>
      <w:r>
        <w:t xml:space="preserve"> </w:t>
      </w:r>
      <w:r>
        <w:t xml:space="preserve">Le ha viste in una foto, e da allora non riesce più a non vederle.</w:t>
      </w:r>
    </w:p>
    <w:p>
      <w:pPr>
        <w:pStyle w:val="Compact"/>
        <w:numPr>
          <w:ilvl w:val="0"/>
          <w:numId w:val="1004"/>
        </w:numPr>
      </w:pPr>
      <w:r>
        <w:rPr>
          <w:i/>
          <w:iCs/>
        </w:rPr>
        <w:t xml:space="preserve">«Mi fa male dentro al ginocchio.»</w:t>
      </w:r>
      <w:r>
        <w:t xml:space="preserve"> </w:t>
      </w:r>
      <w:r>
        <w:t xml:space="preserve">Oppure fuori. Quasi sempre da un lato solo, e sempre lo stesso.</w:t>
      </w:r>
    </w:p>
    <w:p>
      <w:pPr>
        <w:pStyle w:val="Compact"/>
        <w:numPr>
          <w:ilvl w:val="0"/>
          <w:numId w:val="1004"/>
        </w:numPr>
      </w:pPr>
      <w:r>
        <w:rPr>
          <w:i/>
          <w:iCs/>
        </w:rPr>
        <w:t xml:space="preserve">«Mi fa male davanti, sulle scale in discesa»</w:t>
      </w:r>
      <w:r>
        <w:t xml:space="preserve">, e</w:t>
      </w:r>
      <w:r>
        <w:t xml:space="preserve"> </w:t>
      </w:r>
      <w:r>
        <w:rPr>
          <w:i/>
          <w:iCs/>
        </w:rPr>
        <w:t xml:space="preserve">«se sto seduto a lungo devo raddrizzare la gamba.»</w:t>
      </w:r>
      <w:r>
        <w:t xml:space="preserve"> </w:t>
      </w:r>
      <w:r>
        <w:t xml:space="preserve">È il dolore femoro-rotuleo, cioè il dolore davanti al ginocchio, fra rotula e femore. Da questa presentazione viene metà della letteratura del documento: se non la riconosci come tua, mandi altrove il paziente-tipo della tua stessa bibliografia.</w:t>
      </w:r>
    </w:p>
    <w:p>
      <w:pPr>
        <w:pStyle w:val="Compact"/>
        <w:numPr>
          <w:ilvl w:val="0"/>
          <w:numId w:val="1004"/>
        </w:numPr>
      </w:pPr>
      <w:r>
        <w:rPr>
          <w:i/>
          <w:iCs/>
        </w:rPr>
        <w:t xml:space="preserve">«Il ginocchio non tiene.»</w:t>
      </w:r>
      <w:r>
        <w:t xml:space="preserve"> </w:t>
      </w:r>
      <w:r>
        <w:t xml:space="preserve">Sulle scale in discesa, o cambiando direzione.</w:t>
      </w:r>
    </w:p>
    <w:p>
      <w:pPr>
        <w:pStyle w:val="Compact"/>
        <w:numPr>
          <w:ilvl w:val="0"/>
          <w:numId w:val="1004"/>
        </w:numPr>
      </w:pPr>
      <w:r>
        <w:rPr>
          <w:i/>
          <w:iCs/>
        </w:rPr>
        <w:t xml:space="preserve">«Mi fa male solo quando corro.»</w:t>
      </w:r>
      <w:r>
        <w:t xml:space="preserve"> </w:t>
      </w:r>
      <w:r>
        <w:t xml:space="preserve">Riprende, e dopo due settimane si ferma di nuovo.</w:t>
      </w:r>
    </w:p>
    <w:p>
      <w:pPr>
        <w:pStyle w:val="Compact"/>
        <w:numPr>
          <w:ilvl w:val="0"/>
          <w:numId w:val="1004"/>
        </w:numPr>
      </w:pPr>
      <w:r>
        <w:rPr>
          <w:i/>
          <w:iCs/>
        </w:rPr>
        <w:t xml:space="preserve">«Il dolore è salito all’anca.»</w:t>
      </w:r>
      <w:r>
        <w:t xml:space="preserve"> </w:t>
      </w:r>
      <w:r>
        <w:t xml:space="preserve">Prima il ginocchio, adesso l’anca o la parte esterna della coscia. Sembrano due cose, e nessuno le ha collegate.</w:t>
      </w:r>
    </w:p>
    <w:p>
      <w:pPr>
        <w:pStyle w:val="Compact"/>
        <w:numPr>
          <w:ilvl w:val="0"/>
          <w:numId w:val="1004"/>
        </w:numPr>
      </w:pPr>
      <w:r>
        <w:rPr>
          <w:i/>
          <w:iCs/>
        </w:rPr>
        <w:t xml:space="preserve">«Le scarpe si consumano in modo strano.»</w:t>
      </w:r>
      <w:r>
        <w:t xml:space="preserve"> </w:t>
      </w:r>
      <w:r>
        <w:t xml:space="preserve">In modo diverso fra i due piedi.</w:t>
      </w:r>
    </w:p>
    <w:p>
      <w:pPr>
        <w:pStyle w:val="FirstParagraph"/>
      </w:pPr>
      <w:r>
        <w:t xml:space="preserve">E, quasi sempre, la frase che chiude il discorso:</w:t>
      </w:r>
      <w:r>
        <w:t xml:space="preserve"> </w:t>
      </w:r>
      <w:r>
        <w:rPr>
          <w:i/>
          <w:iCs/>
        </w:rPr>
        <w:t xml:space="preserve">«È genetico, sono fatta così.»</w:t>
      </w:r>
    </w:p>
    <w:p>
      <w:pPr>
        <w:pStyle w:val="BodyText"/>
      </w:pPr>
      <w:r>
        <w:t xml:space="preserve">C’è poi una parte che non ti dirà se non gliela chiedi. Ha smesso di mettere gonne corte, pantaloncini, il costume che gli piaceva. Ha scelto i vestiti in base alle gambe per anni, senza dirlo a nessuno. E ha paura dell’artrosi a quarant’anni, perché qualcuno gli ha detto che consumando sempre dallo stesso lato ci si arriva.</w:t>
      </w:r>
    </w:p>
    <w:bookmarkEnd w:id="12"/>
    <w:bookmarkStart w:id="13" w:name="cosa-ha-già-fatto"/>
    <w:p>
      <w:pPr>
        <w:pStyle w:val="Heading3"/>
      </w:pPr>
      <w:r>
        <w:t xml:space="preserve">Cosa ha già fatto</w:t>
      </w:r>
    </w:p>
    <w:p>
      <w:pPr>
        <w:pStyle w:val="FirstParagraph"/>
      </w:pPr>
      <w:r>
        <w:rPr>
          <w:b/>
          <w:bCs/>
        </w:rPr>
        <w:t xml:space="preserve">Plantari</w:t>
      </w:r>
      <w:r>
        <w:t xml:space="preserve">.</w:t>
      </w:r>
      <w:r>
        <w:t xml:space="preserve"> </w:t>
      </w:r>
      <w:r>
        <w:rPr>
          <w:b/>
          <w:bCs/>
        </w:rPr>
        <w:t xml:space="preserve">Ginocchiere</w:t>
      </w:r>
      <w:r>
        <w:t xml:space="preserve">.</w:t>
      </w:r>
      <w:r>
        <w:t xml:space="preserve"> </w:t>
      </w:r>
      <w:r>
        <w:rPr>
          <w:b/>
          <w:bCs/>
        </w:rPr>
        <w:t xml:space="preserve">Antinfiammatori</w:t>
      </w:r>
      <w:r>
        <w:t xml:space="preserve"> </w:t>
      </w:r>
      <w:r>
        <w:t xml:space="preserve">orali e in gel, spesso da molto tempo.</w:t>
      </w:r>
      <w:r>
        <w:t xml:space="preserve"> </w:t>
      </w:r>
      <w:r>
        <w:rPr>
          <w:b/>
          <w:bCs/>
        </w:rPr>
        <w:t xml:space="preserve">Rinforzo del quadricipite in palestra</w:t>
      </w:r>
      <w:r>
        <w:t xml:space="preserve">, fatto bene e con costanza.</w:t>
      </w:r>
      <w:r>
        <w:t xml:space="preserve"> </w:t>
      </w:r>
      <w:r>
        <w:rPr>
          <w:b/>
          <w:bCs/>
        </w:rPr>
        <w:t xml:space="preserve">Radiografia e risonanza</w:t>
      </w:r>
      <w:r>
        <w:t xml:space="preserve">.</w:t>
      </w:r>
      <w:r>
        <w:t xml:space="preserve"> </w:t>
      </w:r>
      <w:r>
        <w:rPr>
          <w:b/>
          <w:bCs/>
        </w:rPr>
        <w:t xml:space="preserve">Riposo e stop dallo sport</w:t>
      </w:r>
      <w:r>
        <w:t xml:space="preserve">: il dolore scende da fermo e torna identico alla ripresa.</w:t>
      </w:r>
      <w:r>
        <w:t xml:space="preserve"> </w:t>
      </w:r>
      <w:r>
        <w:rPr>
          <w:b/>
          <w:bCs/>
        </w:rPr>
        <w:t xml:space="preserve">Allungamento della fascia laterale</w:t>
      </w:r>
      <w:r>
        <w:t xml:space="preserve">, con sollievo che dura mezza giornata.</w:t>
      </w:r>
    </w:p>
    <w:bookmarkEnd w:id="13"/>
    <w:bookmarkStart w:id="14" w:name="cosa-nessuno-ha-guardato"/>
    <w:p>
      <w:pPr>
        <w:pStyle w:val="Heading3"/>
      </w:pPr>
      <w:r>
        <w:t xml:space="preserve">Cosa nessuno ha guardato</w:t>
      </w:r>
    </w:p>
    <w:p>
      <w:pPr>
        <w:pStyle w:val="FirstParagraph"/>
      </w:pPr>
      <w:r>
        <w:t xml:space="preserve">Tre cose, tutte a portata di mano nei primi cinque minuti.</w:t>
      </w:r>
    </w:p>
    <w:p>
      <w:pPr>
        <w:pStyle w:val="Compact"/>
        <w:numPr>
          <w:ilvl w:val="0"/>
          <w:numId w:val="1005"/>
        </w:numPr>
      </w:pPr>
      <w:r>
        <w:rPr>
          <w:b/>
          <w:bCs/>
        </w:rPr>
        <w:t xml:space="preserve">L’anca.</w:t>
      </w:r>
      <w:r>
        <w:t xml:space="preserve"> </w:t>
      </w:r>
      <w:r>
        <w:t xml:space="preserve">Nessuno ha misurato quanto la coscia ruota e si adduce nello step-down, cioè nella discesa da un gradino su una gamba sola. È il reperto con il razionale più forte del documento.</w:t>
      </w:r>
    </w:p>
    <w:p>
      <w:pPr>
        <w:pStyle w:val="Compact"/>
        <w:numPr>
          <w:ilvl w:val="0"/>
          <w:numId w:val="1005"/>
        </w:numPr>
      </w:pPr>
      <w:r>
        <w:rPr>
          <w:b/>
          <w:bCs/>
        </w:rPr>
        <w:t xml:space="preserve">La caviglia.</w:t>
      </w:r>
      <w:r>
        <w:t xml:space="preserve"> </w:t>
      </w:r>
      <w:r>
        <w:t xml:space="preserve">Nessuno ha misurato i gradi di dorsiflessione in carico, a ginocchio esteso, con il tallone a terra.</w:t>
      </w:r>
    </w:p>
    <w:p>
      <w:pPr>
        <w:pStyle w:val="Compact"/>
        <w:numPr>
          <w:ilvl w:val="0"/>
          <w:numId w:val="1005"/>
        </w:numPr>
      </w:pPr>
      <w:r>
        <w:rPr>
          <w:b/>
          <w:bCs/>
        </w:rPr>
        <w:t xml:space="preserve">La gamba sotto carico.</w:t>
      </w:r>
      <w:r>
        <w:t xml:space="preserve"> </w:t>
      </w:r>
      <w:r>
        <w:t xml:space="preserve">La lastra è stata fatta in piedi e immobile. Il valgismo che produce sintomo compare quando il paziente si muove.</w:t>
      </w:r>
    </w:p>
    <w:p>
      <w:pPr>
        <w:pStyle w:val="FirstParagraph"/>
      </w:pPr>
      <w:r>
        <w:t xml:space="preserve">Il percorso standard è organizzato per distretti e per immagini. E il ginocchio è fotogenico: si vede bene e si misura bene da fermo.</w:t>
      </w:r>
    </w:p>
    <w:bookmarkEnd w:id="14"/>
    <w:bookmarkStart w:id="15" w:name="due-pazienti-che-non-somigliano-a-questo"/>
    <w:p>
      <w:pPr>
        <w:pStyle w:val="Heading3"/>
      </w:pPr>
      <w:r>
        <w:t xml:space="preserve">Due pazienti che non somigliano a questo</w:t>
      </w:r>
    </w:p>
    <w:p>
      <w:pPr>
        <w:pStyle w:val="FirstParagraph"/>
      </w:pPr>
      <w:r>
        <w:rPr>
          <w:b/>
          <w:bCs/>
        </w:rPr>
        <w:t xml:space="preserve">Sotto i sedici anni, «mi fa male il ginocchio» si esamina all’anca.</w:t>
      </w:r>
      <w:r>
        <w:t xml:space="preserve"> </w:t>
      </w:r>
      <w:r>
        <w:t xml:space="preserve">L’epifisiolisi è la testa del femore che scivola sulla cartilagine di accrescimento. Esordisce con dolore al ginocchio o alla coscia nel 15-23% dei casi (Matava, 1999, PMID 10412993). Il segno non è l’asse della gamba: è la rotazione interna d’anca ridotta o dolorosa.</w:t>
      </w:r>
    </w:p>
    <w:p>
      <w:pPr>
        <w:pStyle w:val="BodyText"/>
      </w:pPr>
      <w:r>
        <w:rPr>
          <w:b/>
          <w:bCs/>
        </w:rPr>
        <w:t xml:space="preserve">Sopra i sessantacinque anni la gamba valga quasi mai è la forma con cui è arrivato: è la forma a cui è arrivato.</w:t>
      </w:r>
      <w:r>
        <w:t xml:space="preserve"> </w:t>
      </w:r>
      <w:r>
        <w:t xml:space="preserve">Sotto ci sono artrosi laterale, artropatia infiammatoria, meniscectomia. Nelle foto di vent’anni fa quelle gambe non c’erano. E lui porta politerapia, osso fragile e antinfiammatori da mesi.</w:t>
      </w:r>
    </w:p>
    <w:p>
      <w:pPr>
        <w:pStyle w:val="BodyText"/>
      </w:pPr>
      <w:r>
        <w:rPr>
          <w:b/>
          <w:bCs/>
        </w:rPr>
        <w:t xml:space="preserve">Le tre cose da ricordare, più una</w:t>
      </w:r>
    </w:p>
    <w:p>
      <w:pPr>
        <w:pStyle w:val="Compact"/>
        <w:numPr>
          <w:ilvl w:val="0"/>
          <w:numId w:val="1006"/>
        </w:numPr>
      </w:pPr>
      <w:r>
        <w:t xml:space="preserve">Arriva con una spiegazione genetica che chiude il discorso. La prima cosa che gli cambia la giornata è vedere qualcosa che si misura e cambia in dieci minuti.</w:t>
      </w:r>
    </w:p>
    <w:p>
      <w:pPr>
        <w:pStyle w:val="Compact"/>
        <w:numPr>
          <w:ilvl w:val="0"/>
          <w:numId w:val="1006"/>
        </w:numPr>
      </w:pPr>
      <w:r>
        <w:t xml:space="preserve">La parte estetica c’è quasi sempre e non te la dirà. Se non la nomini tu resta l’obiettivo segreto del ciclo, e nessun risultato funzionale lo soddisfa.</w:t>
      </w:r>
    </w:p>
    <w:p>
      <w:pPr>
        <w:pStyle w:val="Compact"/>
        <w:numPr>
          <w:ilvl w:val="0"/>
          <w:numId w:val="1006"/>
        </w:numPr>
      </w:pPr>
      <w:r>
        <w:t xml:space="preserve">Tre reperti che nessuno ha preso — anca, caviglia, gamba sotto carico — sono a portata di mano nei primi cinque minuti.</w:t>
      </w:r>
    </w:p>
    <w:p>
      <w:pPr>
        <w:pStyle w:val="Compact"/>
        <w:numPr>
          <w:ilvl w:val="0"/>
          <w:numId w:val="1006"/>
        </w:numPr>
      </w:pPr>
      <w:r>
        <w:rPr>
          <w:b/>
          <w:bCs/>
        </w:rPr>
        <w:t xml:space="preserve">Perché ci sei tu.</w:t>
      </w:r>
      <w:r>
        <w:t xml:space="preserve"> </w:t>
      </w:r>
      <w:r>
        <w:t xml:space="preserve">Più</w:t>
      </w:r>
      <w:r>
        <w:t xml:space="preserve"> </w:t>
      </w:r>
      <w:r>
        <w:rPr>
          <w:b/>
          <w:bCs/>
        </w:rPr>
        <w:t xml:space="preserve">adduzione</w:t>
      </w:r>
      <w:r>
        <w:t xml:space="preserve"> </w:t>
      </w:r>
      <w:r>
        <w:t xml:space="preserve">d’anca precedeva il dolore, la</w:t>
      </w:r>
      <w:r>
        <w:t xml:space="preserve"> </w:t>
      </w:r>
      <w:r>
        <w:rPr>
          <w:b/>
          <w:bCs/>
        </w:rPr>
        <w:t xml:space="preserve">rotazione interna</w:t>
      </w:r>
      <w:r>
        <w:t xml:space="preserve"> </w:t>
      </w:r>
      <w:r>
        <w:t xml:space="preserve">no (Noehren, 2013, PMID 23274607). Ti autorizza a essere il primo che misura l’anca. Non ti autorizza a dire che è l’anca ad avergli prodotto il dolore, né a dare per misurata la rotazione.</w:t>
      </w:r>
    </w:p>
    <w:p>
      <w:r>
        <w:pict>
          <v:rect style="width:0;height:1.5pt" o:hralign="center" o:hrstd="t" o:hr="t"/>
        </w:pict>
      </w:r>
    </w:p>
    <w:bookmarkEnd w:id="15"/>
    <w:bookmarkEnd w:id="16"/>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«valgismo» è la descrizione di un angolo, e sotto quel nome convivono una forma dell’osso che non cambia e un comportamento sotto carico che cambia eccome.</w:t>
      </w:r>
    </w:p>
    <w:bookmarkStart w:id="17" w:name="X202457bedbfc3c5505e345dc289e339c1ace678"/>
    <w:p>
      <w:pPr>
        <w:pStyle w:val="Heading3"/>
      </w:pPr>
      <w:r>
        <w:t xml:space="preserve">La definizione, e le due cose che nasconde</w:t>
      </w:r>
    </w:p>
    <w:p>
      <w:pPr>
        <w:pStyle w:val="FirstParagraph"/>
      </w:pPr>
      <w:r>
        <w:t xml:space="preserve">Il</w:t>
      </w:r>
      <w:r>
        <w:t xml:space="preserve"> </w:t>
      </w:r>
      <w:r>
        <w:rPr>
          <w:b/>
          <w:bCs/>
        </w:rPr>
        <w:t xml:space="preserve">valgismo del ginocchio</w:t>
      </w:r>
      <w:r>
        <w:t xml:space="preserve"> </w:t>
      </w:r>
      <w:r>
        <w:t xml:space="preserve">è un allineamento frontale in cui la gamba, vista da davanti, si angola verso l’interno: le ginocchia si avvicinano, le caviglie si allontanano. Si misura come</w:t>
      </w:r>
      <w:r>
        <w:t xml:space="preserve"> </w:t>
      </w:r>
      <w:r>
        <w:rPr>
          <w:b/>
          <w:bCs/>
        </w:rPr>
        <w:t xml:space="preserve">angolo femoro-tibiale</w:t>
      </w:r>
      <w:r>
        <w:t xml:space="preserve"> </w:t>
      </w:r>
      <w:r>
        <w:t xml:space="preserve">o come</w:t>
      </w:r>
      <w:r>
        <w:t xml:space="preserve"> </w:t>
      </w:r>
      <w:r>
        <w:rPr>
          <w:b/>
          <w:bCs/>
        </w:rPr>
        <w:t xml:space="preserve">asse meccanico</w:t>
      </w:r>
      <w:r>
        <w:t xml:space="preserve">. L’esame di riferimento è la telemetria, cioè la radiografia degli arti a lunghezza intera, in piedi, sotto carico.</w:t>
      </w:r>
    </w:p>
    <w:p>
      <w:pPr>
        <w:pStyle w:val="BodyText"/>
      </w:pPr>
      <w:r>
        <w:t xml:space="preserve">Sotto quel nome convivono due grandezze diverse. Tenerle separate è la prima competenza di questo documento.</w:t>
      </w:r>
    </w:p>
    <w:p>
      <w:pPr>
        <w:pStyle w:val="Compact"/>
        <w:numPr>
          <w:ilvl w:val="0"/>
          <w:numId w:val="1007"/>
        </w:numPr>
      </w:pPr>
      <w:r>
        <w:rPr>
          <w:b/>
          <w:bCs/>
        </w:rPr>
        <w:t xml:space="preserve">La quota strutturale.</w:t>
      </w:r>
      <w:r>
        <w:t xml:space="preserve"> </w:t>
      </w:r>
      <w:r>
        <w:t xml:space="preserve">È la geometria dell’osso e la torsione dei segmenti. Si vede sulla telemetria, si misura in gradi, e con le mani non si modifica.</w:t>
      </w:r>
    </w:p>
    <w:p>
      <w:pPr>
        <w:pStyle w:val="Compact"/>
        <w:numPr>
          <w:ilvl w:val="0"/>
          <w:numId w:val="1007"/>
        </w:numPr>
      </w:pPr>
      <w:r>
        <w:rPr>
          <w:b/>
          <w:bCs/>
        </w:rPr>
        <w:t xml:space="preserve">La quota dinamica.</w:t>
      </w:r>
      <w:r>
        <w:t xml:space="preserve"> </w:t>
      </w:r>
      <w:r>
        <w:t xml:space="preserve">È il</w:t>
      </w:r>
      <w:r>
        <w:t xml:space="preserve"> </w:t>
      </w:r>
      <w:r>
        <w:rPr>
          <w:b/>
          <w:bCs/>
        </w:rPr>
        <w:t xml:space="preserve">valgo dinamico</w:t>
      </w:r>
      <w:r>
        <w:t xml:space="preserve">, o crollo mediale: quanto il ginocchio va verso l’interno</w:t>
      </w:r>
      <w:r>
        <w:t xml:space="preserve"> </w:t>
      </w:r>
      <w:r>
        <w:rPr>
          <w:i/>
          <w:iCs/>
        </w:rPr>
        <w:t xml:space="preserve">mentre</w:t>
      </w:r>
      <w:r>
        <w:t xml:space="preserve"> </w:t>
      </w:r>
      <w:r>
        <w:t xml:space="preserve">il paziente scende un gradino, atterra o corre. Non è la forma della gamba: è come la gamba viene fatta lavorare, migliaia di volte al giorno.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costa qualcosa e regge finché può. Il sintomo compare spesso dove il compenso ha ceduto, non dove il problema è nato.</w:t>
      </w:r>
    </w:p>
    <w:p>
      <w:pPr>
        <w:pStyle w:val="FirstParagraph"/>
      </w:pPr>
      <w:r>
        <w:t xml:space="preserve">Le due quote si sommano nella stessa immagine, e hanno prognosi opposte. Come il peso dell’auto e il modo in cui la guidi: contano tutti e due, ma ne cambi uno solo. Il paziente le vede come una cosa sola, e il percorso standard gliele ha presentate così.</w:t>
      </w:r>
    </w:p>
    <w:bookmarkEnd w:id="17"/>
    <w:bookmarkStart w:id="18" w:name="quanto-è-diffuso-e-come-evolve-da-solo"/>
    <w:p>
      <w:pPr>
        <w:pStyle w:val="Heading3"/>
      </w:pPr>
      <w:r>
        <w:t xml:space="preserve">Quanto è diffuso, e come evolve da solo</w:t>
      </w:r>
    </w:p>
    <w:p>
      <w:pPr>
        <w:pStyle w:val="FirstParagraph"/>
      </w:pPr>
      <w:r>
        <w:t xml:space="preserve">Nel bambino il valgo non è un difetto: è una tappa. La gamba nasce vara. Passa da neutra intorno ai diciotto mesi. Raggiunge il massimo di valgo fra i tre e i quattro anni. Rientra da sola su tre-cinque gradi verso i sette (Patel e Nelson, StatPearls 2023, NBK559244; curva originale di Salenius e Vankka, 1975, PMID 1112851).</w:t>
      </w:r>
    </w:p>
    <w:p>
      <w:pPr>
        <w:pStyle w:val="BodyText"/>
      </w:pPr>
      <w:r>
        <w:rPr>
          <w:b/>
          <w:bCs/>
        </w:rPr>
        <w:t xml:space="preserve">Per te:</w:t>
      </w:r>
      <w:r>
        <w:t xml:space="preserve"> </w:t>
      </w:r>
      <w:r>
        <w:t xml:space="preserve">il bambino di quattro anni con le gambe a X non ha un problema, ha quattro anni. Quello oltre i sette che non è rientrato, o che peggiora, non è da trattare: è da mandare.</w:t>
      </w:r>
    </w:p>
    <w:p>
      <w:pPr>
        <w:pStyle w:val="BodyText"/>
      </w:pPr>
      <w:r>
        <w:t xml:space="preserve">Nell’adulto la forma resta. Due grandi coorti americane,</w:t>
      </w:r>
      <w:r>
        <w:t xml:space="preserve"> </w:t>
      </w:r>
      <w:r>
        <w:rPr>
          <w:b/>
          <w:bCs/>
        </w:rPr>
        <w:t xml:space="preserve">MOST</w:t>
      </w:r>
      <w:r>
        <w:t xml:space="preserve"> </w:t>
      </w:r>
      <w:r>
        <w:t xml:space="preserve">e</w:t>
      </w:r>
      <w:r>
        <w:t xml:space="preserve"> </w:t>
      </w:r>
      <w:r>
        <w:rPr>
          <w:b/>
          <w:bCs/>
        </w:rPr>
        <w:t xml:space="preserve">OAI</w:t>
      </w:r>
      <w:r>
        <w:t xml:space="preserve">, seguono nel tempo adulti anziani. Hanno artrosi di ginocchio, o un rischio alto di svilupparla, e sono misurati con radiografia degli arti a lunghezza intera. L’allineamento valgo riguardava 881 ginocchia su 5.053 in una, e 1.358 su 5.953 nell’altra. Sono fra il 17% e il 23% delle ginocchia misurate, con il valgo definito come asse meccanico oltre 1,1 gradi (Felson, 2013, PMID 23203672).</w:t>
      </w:r>
    </w:p>
    <w:p>
      <w:pPr>
        <w:pStyle w:val="BodyText"/>
      </w:pPr>
      <w:r>
        <w:rPr>
          <w:b/>
          <w:bCs/>
        </w:rPr>
        <w:t xml:space="preserve">Per te:</w:t>
      </w:r>
      <w:r>
        <w:t xml:space="preserve"> </w:t>
      </w:r>
      <w:r>
        <w:t xml:space="preserve">quasi un ginocchio su cinque, in quelle popolazioni, è valgo. Ma è una soglia strumentale in una popolazione già malata di ginocchio, non le «gambe a X» che il paziente porta. Il numero serve a una cosa sola, e quella la regge: trovare il valgo in chi ha male non significa aver trovato la causa. Il reperto orienta, non spiega.</w:t>
      </w:r>
    </w:p>
    <w:bookmarkEnd w:id="18"/>
    <w:bookmarkStart w:id="19" w:name="X6820c7f04c7379b5930bec9ad9aa3ee0e127e21"/>
    <w:p>
      <w:pPr>
        <w:pStyle w:val="Heading3"/>
      </w:pPr>
      <w:r>
        <w:t xml:space="preserve">Cosa dicono le etichette che porta, e cosa non dicono</w:t>
      </w:r>
    </w:p>
    <w:p>
      <w:pPr>
        <w:pStyle w:val="Compact"/>
        <w:numPr>
          <w:ilvl w:val="0"/>
          <w:numId w:val="1008"/>
        </w:numPr>
      </w:pPr>
      <w:r>
        <w:rPr>
          <w:b/>
          <w:bCs/>
        </w:rPr>
        <w:t xml:space="preserve">«Valgismo di X gradi»</w:t>
      </w:r>
      <w:r>
        <w:t xml:space="preserve"> </w:t>
      </w:r>
      <w:r>
        <w:t xml:space="preserve">dice quanto è angolata la gamba da ferma. Non dice quanto ne compare in più camminando, né se quel numero c’entra con il dolore.</w:t>
      </w:r>
    </w:p>
    <w:p>
      <w:pPr>
        <w:pStyle w:val="Compact"/>
        <w:numPr>
          <w:ilvl w:val="0"/>
          <w:numId w:val="1008"/>
        </w:numPr>
      </w:pPr>
      <w:r>
        <w:rPr>
          <w:b/>
          <w:bCs/>
        </w:rPr>
        <w:t xml:space="preserve">«Condropatia rotulea»</w:t>
      </w:r>
      <w:r>
        <w:t xml:space="preserve"> </w:t>
      </w:r>
      <w:r>
        <w:t xml:space="preserve">dice che la cartilagine ha un’alterazione di segnale. Non dice che sia quella a far male: alterazioni simili si trovano in persone senza sintomi.</w:t>
      </w:r>
    </w:p>
    <w:p>
      <w:pPr>
        <w:pStyle w:val="Compact"/>
        <w:numPr>
          <w:ilvl w:val="0"/>
          <w:numId w:val="1008"/>
        </w:numPr>
      </w:pPr>
      <w:r>
        <w:rPr>
          <w:b/>
          <w:bCs/>
        </w:rPr>
        <w:t xml:space="preserve">«Ginocchio valgo»</w:t>
      </w:r>
      <w:r>
        <w:t xml:space="preserve"> </w:t>
      </w:r>
      <w:r>
        <w:t xml:space="preserve">scritto dopo un’osservazione in piedi è un’impressione, non una misura. La misura è radiografica.</w:t>
      </w:r>
    </w:p>
    <w:p>
      <w:pPr>
        <w:pStyle w:val="FirstParagraph"/>
      </w:pPr>
      <w:r>
        <w:t xml:space="preserve">La diagnosi è atto medico. Qui impari a leggere un referto, non a scriverne uno.</w:t>
      </w:r>
    </w:p>
    <w:bookmarkEnd w:id="19"/>
    <w:bookmarkStart w:id="20" w:name="cosa-non-è"/>
    <w:p>
      <w:pPr>
        <w:pStyle w:val="Heading3"/>
      </w:pPr>
      <w:r>
        <w:t xml:space="preserve">Cosa non è</w:t>
      </w:r>
    </w:p>
    <w:p>
      <w:pPr>
        <w:pStyle w:val="Compact"/>
        <w:numPr>
          <w:ilvl w:val="0"/>
          <w:numId w:val="1009"/>
        </w:numPr>
      </w:pPr>
      <w:r>
        <w:rPr>
          <w:b/>
          <w:bCs/>
        </w:rPr>
        <w:t xml:space="preserve">Il varismo</w:t>
      </w:r>
      <w:r>
        <w:t xml:space="preserve"> </w:t>
      </w:r>
      <w:r>
        <w:t xml:space="preserve">— le gambe</w:t>
      </w:r>
      <w:r>
        <w:t xml:space="preserve"> </w:t>
      </w:r>
      <w:r>
        <w:t xml:space="preserve">“a parentesi”</w:t>
      </w:r>
      <w:r>
        <w:t xml:space="preserve"> </w:t>
      </w:r>
      <w:r>
        <w:t xml:space="preserve">— carica il compartimento interno. Nel bambino oltre i due anni è la deviazione che manda dall’ortopedico.</w:t>
      </w:r>
    </w:p>
    <w:p>
      <w:pPr>
        <w:pStyle w:val="Compact"/>
        <w:numPr>
          <w:ilvl w:val="0"/>
          <w:numId w:val="1009"/>
        </w:numPr>
      </w:pPr>
      <w:r>
        <w:rPr>
          <w:b/>
          <w:bCs/>
        </w:rPr>
        <w:t xml:space="preserve">La torsione femorale o tibiale isolata</w:t>
      </w:r>
      <w:r>
        <w:t xml:space="preserve"> </w:t>
      </w:r>
      <w:r>
        <w:t xml:space="preserve">ruota le rotule verso l’interno senza cambiare l’angolo frontale. Il paziente racconta la stessa cosa, e la meccanica è un’altra.</w:t>
      </w:r>
    </w:p>
    <w:p>
      <w:pPr>
        <w:pStyle w:val="Compact"/>
        <w:numPr>
          <w:ilvl w:val="0"/>
          <w:numId w:val="1009"/>
        </w:numPr>
      </w:pPr>
      <w:r>
        <w:rPr>
          <w:b/>
          <w:bCs/>
        </w:rPr>
        <w:t xml:space="preserve">La lassità legamentosa</w:t>
      </w:r>
      <w:r>
        <w:t xml:space="preserve"> </w:t>
      </w:r>
      <w:r>
        <w:t xml:space="preserve">apre il ginocchio sul piano frontale sotto stress, con un asse osseo normale.</w:t>
      </w:r>
    </w:p>
    <w:p>
      <w:pPr>
        <w:pStyle w:val="Compact"/>
        <w:numPr>
          <w:ilvl w:val="0"/>
          <w:numId w:val="1009"/>
        </w:numPr>
      </w:pPr>
      <w:r>
        <w:rPr>
          <w:b/>
          <w:bCs/>
        </w:rPr>
        <w:t xml:space="preserve">L’instabilità femoro-rotulea</w:t>
      </w:r>
      <w:r>
        <w:t xml:space="preserve">, che il valgismo favorisce. La riconosci da tre cose: episodi in cui la rotula scatta o esce di lato, apprensione quando la spingi verso l’esterno, versamento comparso in poche ore. Non è un problema di controllo da allenare: è un invio. E nel ragazzo in crescita non è differibile.</w:t>
      </w:r>
    </w:p>
    <w:p>
      <w:pPr>
        <w:pStyle w:val="Compact"/>
        <w:numPr>
          <w:ilvl w:val="0"/>
          <w:numId w:val="1009"/>
        </w:numPr>
      </w:pPr>
      <w:r>
        <w:rPr>
          <w:b/>
          <w:bCs/>
        </w:rPr>
        <w:t xml:space="preserve">Il valgismo secondario</w:t>
      </w:r>
      <w:r>
        <w:t xml:space="preserve"> </w:t>
      </w:r>
      <w:r>
        <w:t xml:space="preserve">— dopo un trauma, un’infezione, una frattura della tibia prossimale nel bambino, o dentro una malattia metabolica. Non è la stessa condizione e non è nostro.</w:t>
      </w:r>
    </w:p>
    <w:p>
      <w:pPr>
        <w:pStyle w:val="FirstParagraph"/>
      </w:pPr>
      <w:r>
        <w:rPr>
          <w:b/>
          <w:bCs/>
        </w:rPr>
        <w:t xml:space="preserve">Le tre cose da ricordare, più una</w:t>
      </w:r>
    </w:p>
    <w:p>
      <w:pPr>
        <w:pStyle w:val="Compact"/>
        <w:numPr>
          <w:ilvl w:val="0"/>
          <w:numId w:val="1010"/>
        </w:numPr>
      </w:pPr>
      <w:r>
        <w:t xml:space="preserve">Sotto la parola «valgismo» ci sono due grandezze con prognosi opposte: la forma dell’osso e il comportamento sotto carico.</w:t>
      </w:r>
    </w:p>
    <w:p>
      <w:pPr>
        <w:pStyle w:val="Compact"/>
        <w:numPr>
          <w:ilvl w:val="0"/>
          <w:numId w:val="1010"/>
        </w:numPr>
      </w:pPr>
      <w:r>
        <w:t xml:space="preserve">Il valgo del bambino è una tappa fisiologica fino ai sette anni: prima è normale, dopo è un invio.</w:t>
      </w:r>
    </w:p>
    <w:p>
      <w:pPr>
        <w:pStyle w:val="Compact"/>
        <w:numPr>
          <w:ilvl w:val="0"/>
          <w:numId w:val="1010"/>
        </w:numPr>
      </w:pPr>
      <w:r>
        <w:t xml:space="preserve">Trovare il valgo in chi ha male non è aver trovato la causa: fra il 17% e il 23% delle ginocchia misurate nelle grandi coorti è valga.</w:t>
      </w:r>
    </w:p>
    <w:p>
      <w:pPr>
        <w:pStyle w:val="Compact"/>
        <w:numPr>
          <w:ilvl w:val="0"/>
          <w:numId w:val="1010"/>
        </w:numPr>
      </w:pPr>
      <w:r>
        <w:rPr>
          <w:b/>
          <w:bCs/>
        </w:rPr>
        <w:t xml:space="preserve">Perché ci sei tu.</w:t>
      </w:r>
      <w:r>
        <w:t xml:space="preserve"> </w:t>
      </w:r>
      <w:r>
        <w:t xml:space="preserve">La curva evolutiva è un dato pubblicato e stabile (Patel e Nelson, StatPearls 2023). Ti autorizza a collocare nel tempo il ginocchio di un bambino e a decidere se mandarlo. Non ti autorizza a dire ai genitori che si sistemerà: è una prognosi, ed è del medico.</w:t>
      </w:r>
    </w:p>
    <w:p>
      <w:r>
        <w:pict>
          <v:rect style="width:0;height:1.5pt" o:hralign="center" o:hrstd="t" o:hr="t"/>
        </w:pict>
      </w:r>
    </w:p>
    <w:bookmarkEnd w:id="20"/>
    <w:bookmarkEnd w:id="21"/>
    <w:bookmarkStart w:id="22" w:name="capitolo-3-le-strutture-in-gioco"/>
    <w:p>
      <w:pPr>
        <w:pStyle w:val="Heading2"/>
      </w:pPr>
      <w:r>
        <w:t xml:space="preserve">Capitolo 3 — Le strutture in gioco</w:t>
      </w:r>
    </w:p>
    <w:p>
      <w:pPr>
        <w:pStyle w:val="BlockText"/>
      </w:pPr>
      <w:r>
        <w:rPr>
          <w:b/>
          <w:bCs/>
        </w:rPr>
        <w:t xml:space="preserve">In una riga:</w:t>
      </w:r>
      <w:r>
        <w:t xml:space="preserve"> </w:t>
      </w:r>
      <w:r>
        <w:t xml:space="preserve">il ginocchio è l’unica struttura di questo elenco che non decide niente.</w:t>
      </w:r>
    </w:p>
    <w:p>
      <w:pPr>
        <w:pStyle w:val="FirstParagraph"/>
      </w:pPr>
      <w:r>
        <w:rPr>
          <w:b/>
          <w:bCs/>
        </w:rPr>
        <w:t xml:space="preserve">Il grande gluteo, il medio gluteo e i rotatori esterni profondi dell’anca.</w:t>
      </w:r>
      <w:r>
        <w:t xml:space="preserve"> </w:t>
      </w:r>
      <w:r>
        <w:t xml:space="preserve">In appoggio su una gamba sola impediscono al femore di ruotare dentro e al bacino di cadere dal lato opposto. Contano per due motivi. Governano il piano — la rotazione — che nessuno guarda. E il ginocchio segue il femore anche quando l’osso della gamba è dritto.</w:t>
      </w:r>
    </w:p>
    <w:p>
      <w:pPr>
        <w:pStyle w:val="BodyText"/>
      </w:pPr>
      <w:r>
        <w:rPr>
          <w:b/>
          <w:bCs/>
        </w:rPr>
        <w:t xml:space="preserve">Il femore, e il fatto che ruoti sotto la rotula.</w:t>
      </w:r>
      <w:r>
        <w:t xml:space="preserve"> </w:t>
      </w:r>
      <w:r>
        <w:t xml:space="preserve">È la chicca anatomica di questo documento, e il contributo concettuale della nostra ancora clinica. Guardi una persona che scende un gradino con il ginocchio che va dentro, e l’occhio vede la rotula spostarsi verso l’esterno. Spesso non è la rotula che si sposta: è il</w:t>
      </w:r>
      <w:r>
        <w:t xml:space="preserve"> </w:t>
      </w:r>
      <w:r>
        <w:rPr>
          <w:b/>
          <w:bCs/>
        </w:rPr>
        <w:t xml:space="preserve">femore che ruota internamente sotto una rotula ferma</w:t>
      </w:r>
      <w:r>
        <w:t xml:space="preserve">. La conseguenza clinica è enorme, perché sposta il bersaglio dal ginocchio all’anca.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in risonanza in carico durante un’accosciata su una gamba, quindici donne con dolore anteriore di ginocchio avevano più rotazione mediale del femore e più inclinazione laterale della rotula rispetto a quindici controlli, senza differenze nella rotazione della rotula (Souza, Draper, Fredericson e Powers, 2010, PMID 20436239). Trenta persone, laboratorio, e su dolore anteriore di ginocchio.</w:t>
      </w:r>
    </w:p>
    <w:p>
      <w:pPr>
        <w:pStyle w:val="FirstParagraph"/>
      </w:pPr>
      <w:r>
        <w:rPr>
          <w:b/>
          <w:bCs/>
        </w:rPr>
        <w:t xml:space="preserve">L’articolazione femoro-rotulea</w:t>
      </w:r>
      <w:r>
        <w:t xml:space="preserve">, cioè la faccetta laterale della rotula contro la troclea. Conta perché è dove quella rotazione va a finire. Ed è il dolore che il paziente sente</w:t>
      </w:r>
      <w:r>
        <w:t xml:space="preserve"> </w:t>
      </w:r>
      <w:r>
        <w:rPr>
          <w:b/>
          <w:bCs/>
        </w:rPr>
        <w:t xml:space="preserve">davanti</w:t>
      </w:r>
      <w:r>
        <w:t xml:space="preserve">: scale in discesa, accosciata, e dopo essere stato seduto a lungo. È anche la sede da cui viene metà della bibliografia di questo documento.</w:t>
      </w:r>
    </w:p>
    <w:p>
      <w:pPr>
        <w:pStyle w:val="BodyText"/>
      </w:pPr>
      <w:r>
        <w:rPr>
          <w:b/>
          <w:bCs/>
        </w:rPr>
        <w:t xml:space="preserve">Il tratto ileotibiale e il tensore della fascia lata.</w:t>
      </w:r>
      <w:r>
        <w:t xml:space="preserve"> </w:t>
      </w:r>
      <w:r>
        <w:t xml:space="preserve">Contano perché è lì che il paziente sente tirare. E quel tirare è quasi sempre conseguenza della rotazione, non la sua causa: è il candidato numero uno al ruolo di vittima trattata al posto del colpevole.</w:t>
      </w:r>
    </w:p>
    <w:p>
      <w:pPr>
        <w:pStyle w:val="BodyText"/>
      </w:pPr>
      <w:r>
        <w:rPr>
          <w:b/>
          <w:bCs/>
        </w:rPr>
        <w:t xml:space="preserve">Il compartimento laterale del ginocchio</w:t>
      </w:r>
      <w:r>
        <w:t xml:space="preserve"> </w:t>
      </w:r>
      <w:r>
        <w:t xml:space="preserve">— condilo femorale esterno, piatto tibiale esterno, menisco laterale. Conta perché è il compartimento che il valgismo carica, e il paziente è convinto del contrario.</w:t>
      </w:r>
    </w:p>
    <w:p>
      <w:pPr>
        <w:pStyle w:val="BodyText"/>
      </w:pPr>
      <w:r>
        <w:rPr>
          <w:b/>
          <w:bCs/>
        </w:rPr>
        <w:t xml:space="preserve">Il complesso caviglia-retropiede.</w:t>
      </w:r>
      <w:r>
        <w:t xml:space="preserve"> </w:t>
      </w:r>
      <w:r>
        <w:t xml:space="preserve">La tibio-tarsica dà la dorsiflessione, la sottoastragalica l’eversione. Contano perché la dorsiflessione che manca alla caviglia la gamba la va a prendere nella rotazione interna di tibia e femore.</w:t>
      </w:r>
    </w:p>
    <w:p>
      <w:pPr>
        <w:pStyle w:val="BodyText"/>
      </w:pPr>
      <w:r>
        <w:rPr>
          <w:b/>
          <w:bCs/>
        </w:rPr>
        <w:t xml:space="preserve">Il quadricipite.</w:t>
      </w:r>
      <w:r>
        <w:t xml:space="preserve"> </w:t>
      </w:r>
      <w:r>
        <w:t xml:space="preserve">Non è il bersaglio sbagliato: è il bersaglio incompleto quando resta da solo. E conta contro l’impressione che dà questo documento. La sua debolezza è l’unico fattore di forza che negli studi prospettici precede il dolore anteriore di ginocchio, almeno nelle reclute (Neal, 2019, PMID 30242107). E le prove forti a breve termine sono per il lavoro sull’anca</w:t>
      </w:r>
      <w:r>
        <w:t xml:space="preserve"> </w:t>
      </w:r>
      <w:r>
        <w:rPr>
          <w:b/>
          <w:bCs/>
        </w:rPr>
        <w:t xml:space="preserve">più</w:t>
      </w:r>
      <w:r>
        <w:t xml:space="preserve"> </w:t>
      </w:r>
      <w:r>
        <w:t xml:space="preserve">quadricipite, non per l’anca da sola (Lack, 2015, PMID 26175019). Al paziente che ha fatto palestra manca il piano che nessuno gli ha allenato, non il muscolo che ha allenato.</w:t>
      </w:r>
    </w:p>
    <w:p>
      <w:pPr>
        <w:pStyle w:val="BodyText"/>
      </w:pPr>
      <w:r>
        <w:rPr>
          <w:b/>
          <w:bCs/>
        </w:rPr>
        <w:t xml:space="preserve">Le cartilagini di accrescimento</w:t>
      </w:r>
      <w:r>
        <w:t xml:space="preserve"> </w:t>
      </w:r>
      <w:r>
        <w:t xml:space="preserve">del femore distale e della tibia prossimale, nel paziente in crescita. Contano perché rendono un ginocchio adolescente un ginocchio diverso: una deviazione che peggiora dentro la finestra di crescita è materia ortopedica. E contano insieme all’</w:t>
      </w:r>
      <w:r>
        <w:rPr>
          <w:b/>
          <w:bCs/>
        </w:rPr>
        <w:t xml:space="preserve">anca</w:t>
      </w:r>
      <w:r>
        <w:t xml:space="preserve"> </w:t>
      </w:r>
      <w:r>
        <w:t xml:space="preserve">dello stesso paziente: nel ragazzo con dolore al ginocchio l’anca è la struttura da guardare per prima, e non per trattarla.</w:t>
      </w:r>
    </w:p>
    <w:p>
      <w:pPr>
        <w:pStyle w:val="BodyText"/>
      </w:pPr>
      <w:r>
        <w:rPr>
          <w:b/>
          <w:bCs/>
        </w:rPr>
        <w:t xml:space="preserve">Le tre cose da ricordare, più una</w:t>
      </w:r>
    </w:p>
    <w:p>
      <w:pPr>
        <w:pStyle w:val="Compact"/>
        <w:numPr>
          <w:ilvl w:val="0"/>
          <w:numId w:val="1011"/>
        </w:numPr>
      </w:pPr>
      <w:r>
        <w:t xml:space="preserve">Il ginocchio non ha muscoli che ne controllino la rotazione: la controllano l’anca sopra e il piede sotto.</w:t>
      </w:r>
    </w:p>
    <w:p>
      <w:pPr>
        <w:pStyle w:val="Compact"/>
        <w:numPr>
          <w:ilvl w:val="0"/>
          <w:numId w:val="1011"/>
        </w:numPr>
      </w:pPr>
      <w:r>
        <w:t xml:space="preserve">Quello che vedi spostarsi come rotula è spesso il femore che ruota sotto una rotula ferma.</w:t>
      </w:r>
    </w:p>
    <w:p>
      <w:pPr>
        <w:pStyle w:val="Compact"/>
        <w:numPr>
          <w:ilvl w:val="0"/>
          <w:numId w:val="1011"/>
        </w:numPr>
      </w:pPr>
      <w:r>
        <w:t xml:space="preserve">Il compartimento che il valgismo comprime è quello esterno, e il paziente crede il contrario.</w:t>
      </w:r>
    </w:p>
    <w:p>
      <w:pPr>
        <w:pStyle w:val="Compact"/>
        <w:numPr>
          <w:ilvl w:val="0"/>
          <w:numId w:val="1011"/>
        </w:numPr>
      </w:pPr>
      <w:r>
        <w:rPr>
          <w:b/>
          <w:bCs/>
        </w:rPr>
        <w:t xml:space="preserve">Perché ci sei tu.</w:t>
      </w:r>
      <w:r>
        <w:t xml:space="preserve"> </w:t>
      </w:r>
      <w:r>
        <w:t xml:space="preserve">Un grado di deviazione</w:t>
      </w:r>
      <w:r>
        <w:t xml:space="preserve"> </w:t>
      </w:r>
      <w:r>
        <w:rPr>
          <w:b/>
          <w:bCs/>
        </w:rPr>
        <w:t xml:space="preserve">in varo</w:t>
      </w:r>
      <w:r>
        <w:t xml:space="preserve"> </w:t>
      </w:r>
      <w:r>
        <w:t xml:space="preserve">spostava circa il 5% del carico sul compartimento</w:t>
      </w:r>
      <w:r>
        <w:t xml:space="preserve"> </w:t>
      </w:r>
      <w:r>
        <w:rPr>
          <w:b/>
          <w:bCs/>
        </w:rPr>
        <w:t xml:space="preserve">mediale</w:t>
      </w:r>
      <w:r>
        <w:t xml:space="preserve"> </w:t>
      </w:r>
      <w:r>
        <w:t xml:space="preserve">(Halder, 2012, PMID 22637208). Ti autorizza a spiegare perché un lato solo paga il conto. Non ti autorizza a dire che sposterai quei gradi, né a dare per misurato il verso opposto: nel valgo è simmetria dedotta.</w:t>
      </w:r>
    </w:p>
    <w:p>
      <w:r>
        <w:pict>
          <v:rect style="width:0;height:1.5pt" o:hralign="center" o:hrstd="t" o:hr="t"/>
        </w:pict>
      </w:r>
    </w:p>
    <w:bookmarkEnd w:id="22"/>
    <w:bookmarkStart w:id="2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in una gamba che funziona il ginocchio non controlla niente, e proprio per questo non paga niente.</w:t>
      </w:r>
    </w:p>
    <w:p>
      <w:pPr>
        <w:pStyle w:val="FirstParagraph"/>
      </w:pPr>
      <w:r>
        <w:t xml:space="preserve">Sul piano frontale il ginocchio è un’articolazione quasi cieca. Ha un’escursione enorme in flesso-estensione e pochissima libertà sugli altri due piani. E non ha nessun muscolo che lo abduca o lo adduca. Quello che gli succede sui piani frontale e trasversale gli arriva da fuori: da sopra il femore, da sotto la tibia.</w:t>
      </w:r>
    </w:p>
    <w:p>
      <w:pPr>
        <w:pStyle w:val="BodyText"/>
      </w:pPr>
      <w:r>
        <w:t xml:space="preserve">Ecco la catena quando tiene, in appoggio su una gamba sola. È il gesto che ripeti diecimila volte al giorno camminando.</w:t>
      </w:r>
    </w:p>
    <w:p>
      <w:pPr>
        <w:pStyle w:val="Compact"/>
        <w:numPr>
          <w:ilvl w:val="0"/>
          <w:numId w:val="1012"/>
        </w:numPr>
      </w:pPr>
      <w:r>
        <w:rPr>
          <w:b/>
          <w:bCs/>
        </w:rPr>
        <w:t xml:space="preserve">Il piede tocca terra e prona.</w:t>
      </w:r>
      <w:r>
        <w:t xml:space="preserve"> </w:t>
      </w:r>
      <w:r>
        <w:t xml:space="preserve">L’arco si abbassa, il retropiede everte, la tibia ruota internamente. Serve ad ammortizzare e ad adattarsi al terreno.</w:t>
      </w:r>
    </w:p>
    <w:p>
      <w:pPr>
        <w:pStyle w:val="Compact"/>
        <w:numPr>
          <w:ilvl w:val="0"/>
          <w:numId w:val="1012"/>
        </w:numPr>
      </w:pPr>
      <w:r>
        <w:rPr>
          <w:b/>
          <w:bCs/>
        </w:rPr>
        <w:t xml:space="preserve">La caviglia si flette dorsalmente.</w:t>
      </w:r>
      <w:r>
        <w:t xml:space="preserve"> </w:t>
      </w:r>
      <w:r>
        <w:t xml:space="preserve">La tibia avanza sull’astragalo mentre il corpo passa sopra il piede. Serve escursione vera: senza, il corpo trova quel passaggio da un’altra parte.</w:t>
      </w:r>
    </w:p>
    <w:p>
      <w:pPr>
        <w:pStyle w:val="Compact"/>
        <w:numPr>
          <w:ilvl w:val="0"/>
          <w:numId w:val="1012"/>
        </w:numPr>
      </w:pPr>
      <w:r>
        <w:rPr>
          <w:b/>
          <w:bCs/>
        </w:rPr>
        <w:t xml:space="preserve">Il bacino si stabilizza.</w:t>
      </w:r>
      <w:r>
        <w:t xml:space="preserve"> </w:t>
      </w:r>
      <w:r>
        <w:t xml:space="preserve">Gli abduttori del lato in appoggio lo tengono orizzontale e impediscono al femore di cadere in adduzione.</w:t>
      </w:r>
    </w:p>
    <w:p>
      <w:pPr>
        <w:pStyle w:val="Compact"/>
        <w:numPr>
          <w:ilvl w:val="0"/>
          <w:numId w:val="1012"/>
        </w:numPr>
      </w:pPr>
      <w:r>
        <w:rPr>
          <w:b/>
          <w:bCs/>
        </w:rPr>
        <w:t xml:space="preserve">I rotatori esterni frenano la rotazione interna del femore.</w:t>
      </w:r>
      <w:r>
        <w:t xml:space="preserve"> </w:t>
      </w:r>
      <w:r>
        <w:t xml:space="preserve">Non la aboliscono: la dosano.</w:t>
      </w:r>
    </w:p>
    <w:p>
      <w:pPr>
        <w:pStyle w:val="Compact"/>
        <w:numPr>
          <w:ilvl w:val="0"/>
          <w:numId w:val="1012"/>
        </w:numPr>
      </w:pPr>
      <w:r>
        <w:rPr>
          <w:b/>
          <w:bCs/>
        </w:rPr>
        <w:t xml:space="preserve">Il ginocchio resta allineato sotto il bacino</w:t>
      </w:r>
      <w:r>
        <w:t xml:space="preserve">, perché sopra e sotto hanno fatto il loro lavoro.</w:t>
      </w:r>
    </w:p>
    <w:p>
      <w:pPr>
        <w:pStyle w:val="Compact"/>
        <w:numPr>
          <w:ilvl w:val="0"/>
          <w:numId w:val="1012"/>
        </w:numPr>
      </w:pPr>
      <w:r>
        <w:rPr>
          <w:b/>
          <w:bCs/>
        </w:rPr>
        <w:t xml:space="preserve">Il carico si distribuisce fra i due compartimenti</w:t>
      </w:r>
      <w:r>
        <w:t xml:space="preserve">, e il compartimento interno ne riceve circa i due terzi (Halder, 2012, PMID 22637208). La ripartizione è asimmetrica per natura, e resta stabile finché resta stabile l’asse.</w:t>
      </w:r>
    </w:p>
    <w:p>
      <w:pPr>
        <w:pStyle w:val="Compact"/>
        <w:numPr>
          <w:ilvl w:val="0"/>
          <w:numId w:val="1012"/>
        </w:numPr>
      </w:pPr>
      <w:r>
        <w:rPr>
          <w:b/>
          <w:bCs/>
        </w:rPr>
        <w:t xml:space="preserve">Il piede si rigidisce e spinge.</w:t>
      </w:r>
      <w:r>
        <w:t xml:space="preserve"> </w:t>
      </w:r>
      <w:r>
        <w:t xml:space="preserve">La tibia ruota esternamente, il piede diventa una leva rigida, il passo finisce.</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ripartizione del carico e per la sua dipendenza dall’allineamento (Halder, 2012, PMID 22637208; il dato per intero nel quarto meccanismo di «Cosa si rompe»).</w:t>
      </w:r>
    </w:p>
    <w:p>
      <w:pPr>
        <w:pStyle w:val="FirstParagraph"/>
      </w:pPr>
      <w:r>
        <w:t xml:space="preserve">Due cose sono la premessa del capitolo che segue.</w:t>
      </w:r>
    </w:p>
    <w:p>
      <w:pPr>
        <w:pStyle w:val="BodyText"/>
      </w:pPr>
      <w:r>
        <w:rPr>
          <w:b/>
          <w:bCs/>
        </w:rPr>
        <w:t xml:space="preserve">Ogni anello ha un margine.</w:t>
      </w:r>
      <w:r>
        <w:t xml:space="preserve"> </w:t>
      </w:r>
      <w:r>
        <w:t xml:space="preserve">Il piede può pronare un po’ di più, la caviglia può prendere in prestito escursione, l’anca può cedere qualche grado: il sistema è progettato con del gioco. È il quarto d’ora di margine che metti prima di un appuntamento: non serve mai, finché non serve.</w:t>
      </w:r>
    </w:p>
    <w:p>
      <w:pPr>
        <w:pStyle w:val="BodyText"/>
      </w:pPr>
      <w:r>
        <w:rPr>
          <w:b/>
          <w:bCs/>
        </w:rPr>
        <w:t xml:space="preserve">Il ginocchio non ha margine proprio</w:t>
      </w:r>
      <w:r>
        <w:t xml:space="preserve">, perché non ha un muscolo che corregga di sua iniziativa quello che gli arriva. Quando un anello sopra o sotto consuma il proprio margine, il ginocchio non compensa: subisce.</w:t>
      </w:r>
    </w:p>
    <w:p>
      <w:pPr>
        <w:pStyle w:val="BodyText"/>
      </w:pPr>
      <w:r>
        <w:rPr>
          <w:b/>
          <w:bCs/>
        </w:rPr>
        <w:t xml:space="preserve">Le tre cose da ricordare, più una</w:t>
      </w:r>
    </w:p>
    <w:p>
      <w:pPr>
        <w:pStyle w:val="Compact"/>
        <w:numPr>
          <w:ilvl w:val="0"/>
          <w:numId w:val="1013"/>
        </w:numPr>
      </w:pPr>
      <w:r>
        <w:t xml:space="preserve">Sul piano frontale il ginocchio non ha comandi propri: riceve da sopra e da sotto.</w:t>
      </w:r>
    </w:p>
    <w:p>
      <w:pPr>
        <w:pStyle w:val="Compact"/>
        <w:numPr>
          <w:ilvl w:val="0"/>
          <w:numId w:val="1013"/>
        </w:numPr>
      </w:pPr>
      <w:r>
        <w:t xml:space="preserve">La ripartizione del carico è già asimmetrica in un ginocchio normale, e dipende dall’asse.</w:t>
      </w:r>
    </w:p>
    <w:p>
      <w:pPr>
        <w:pStyle w:val="Compact"/>
        <w:numPr>
          <w:ilvl w:val="0"/>
          <w:numId w:val="1013"/>
        </w:numPr>
      </w:pPr>
      <w:r>
        <w:t xml:space="preserve">Ogni anello della catena ha un margine, tranne il ginocchio.</w:t>
      </w:r>
    </w:p>
    <w:p>
      <w:pPr>
        <w:pStyle w:val="Compact"/>
        <w:numPr>
          <w:ilvl w:val="0"/>
          <w:numId w:val="1013"/>
        </w:numPr>
      </w:pPr>
      <w:r>
        <w:rPr>
          <w:b/>
          <w:bCs/>
        </w:rPr>
        <w:t xml:space="preserve">Perché ci sei tu.</w:t>
      </w:r>
      <w:r>
        <w:t xml:space="preserve"> </w:t>
      </w:r>
      <w:r>
        <w:t xml:space="preserve">Un cuneo sotto l’avampiede, che simula un polpaccio poco estensibile, ha aumentato lo spostamento mediale del ginocchio (Macrum, 2012, PMID 22100617). Ti autorizza a misurare la caviglia in ogni paziente con questo quadro. Non ti autorizza a dire che la caviglia ha prodotto questo valgo: erano soggetti sani, in accosciata su due gambe, e l’anca non è cambiata.</w:t>
      </w:r>
    </w:p>
    <w:p>
      <w:r>
        <w:pict>
          <v:rect style="width:0;height:1.5pt" o:hralign="center" o:hrstd="t" o:hr="t"/>
        </w:pict>
      </w:r>
    </w:p>
    <w:bookmarkEnd w:id="23"/>
    <w:bookmarkStart w:id="2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primo è quello che il paziente porta in stanza, non quello con le prove migliori.</w:t>
      </w:r>
    </w:p>
    <w:p>
      <w:pPr>
        <w:pStyle w:val="FirstParagraph"/>
      </w:pPr>
      <w:r>
        <w:rPr>
          <w:b/>
          <w:bCs/>
        </w:rPr>
        <w:t xml:space="preserve">L’ordine è didattico, non gerarchico.</w:t>
      </w:r>
      <w:r>
        <w:t xml:space="preserve"> </w:t>
      </w:r>
      <w:r>
        <w:t xml:space="preserve">Il primo — la forma con cui il paziente è arrivato — è la premessa senza cui gli altri quattro non si capiscono. Il</w:t>
      </w:r>
      <w:r>
        <w:t xml:space="preserve"> </w:t>
      </w:r>
      <w:r>
        <w:rPr>
          <w:b/>
          <w:bCs/>
        </w:rPr>
        <w:t xml:space="preserve">più solido</w:t>
      </w:r>
      <w:r>
        <w:t xml:space="preserve"> </w:t>
      </w:r>
      <w:r>
        <w:t xml:space="preserve">è il quarto, la ridistribuzione del carico. Il</w:t>
      </w:r>
      <w:r>
        <w:t xml:space="preserve"> </w:t>
      </w:r>
      <w:r>
        <w:rPr>
          <w:b/>
          <w:bCs/>
        </w:rPr>
        <w:t xml:space="preserve">più frequente</w:t>
      </w:r>
      <w:r>
        <w:t xml:space="preserve"> </w:t>
      </w:r>
      <w:r>
        <w:t xml:space="preserve">in stanza è il secondo, il controllo d’anca.</w:t>
      </w:r>
    </w:p>
    <w:bookmarkStart w:id="24" w:name="Xd7798906e79124416da9789bbe7f7cc71170682"/>
    <w:p>
      <w:pPr>
        <w:pStyle w:val="Heading3"/>
      </w:pPr>
      <w:r>
        <w:t xml:space="preserve">1. La forma con cui sei arrivato, e quanta ne è rimasta</w:t>
      </w:r>
    </w:p>
    <w:p>
      <w:pPr>
        <w:pStyle w:val="Compact"/>
        <w:numPr>
          <w:ilvl w:val="0"/>
          <w:numId w:val="1014"/>
        </w:numPr>
      </w:pPr>
      <w:r>
        <w:t xml:space="preserve">La gamba passa da vara a valga e poi rientra: massimo a tre-quattro anni, assestamento su tre-cinque gradi verso i sette (Patel e Nelson, StatPearls 2023).</w:t>
      </w:r>
    </w:p>
    <w:p>
      <w:pPr>
        <w:pStyle w:val="Compact"/>
        <w:numPr>
          <w:ilvl w:val="0"/>
          <w:numId w:val="1014"/>
        </w:numPr>
      </w:pPr>
      <w:r>
        <w:t xml:space="preserve">In una parte delle persone il rientro è incompleto, oppure la geometria dell’osso si assesta su un valore più alto della media. Quel valore diventa la condizione di partenza permanente: non oscilla, non peggiora con l’attività, non migliora con il lavoro manuale.</w:t>
      </w:r>
    </w:p>
    <w:p>
      <w:pPr>
        <w:pStyle w:val="Compact"/>
        <w:numPr>
          <w:ilvl w:val="0"/>
          <w:numId w:val="1014"/>
        </w:numPr>
      </w:pPr>
      <w:r>
        <w:t xml:space="preserve">Su quella base il corpo costruisce tutto il resto: il modo di camminare, lo sport, i vestiti, l’idea che ha di sé.</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la curva evolutiva esista e che una quota di valgo residuo sia normale (Patel e Nelson, StatPearls 2023, dalla serie di Salenius e Vankka, 1975, PMID 1112851).</w:t>
      </w:r>
      <w:r>
        <w:t xml:space="preserve"> </w:t>
      </w:r>
      <w:r>
        <w:rPr>
          <w:b/>
          <w:bCs/>
        </w:rPr>
        <w:t xml:space="preserve">IPOTESI</w:t>
      </w:r>
      <w:r>
        <w:t xml:space="preserve"> </w:t>
      </w:r>
      <w:r>
        <w:rPr>
          <w:i/>
          <w:iCs/>
        </w:rPr>
        <w:t xml:space="preserve">(meccanismo coerente, nessuno studio)</w:t>
      </w:r>
      <w:r>
        <w:t xml:space="preserve"> </w:t>
      </w:r>
      <w:r>
        <w:t xml:space="preserve">che la quota ossea residua di un adulto sia, di per sé, la causa del suo dolore.</w:t>
      </w:r>
    </w:p>
    <w:p>
      <w:pPr>
        <w:pStyle w:val="FirstParagraph"/>
      </w:pPr>
      <w:r>
        <w:rPr>
          <w:b/>
          <w:bCs/>
        </w:rPr>
        <w:t xml:space="preserve">Come si vede addosso al paziente.</w:t>
      </w:r>
      <w:r>
        <w:t xml:space="preserve"> </w:t>
      </w:r>
      <w:r>
        <w:t xml:space="preserve">La deviazione è simmetrica, c’è da sempre, e spesso c’è anche in un genitore. Le ginocchia si toccano anche da sdraiato. La forma non cambia fra mattina e sera, né dopo un mese di riposo. E nelle vecchie foto la gamba era già così.</w:t>
      </w:r>
    </w:p>
    <w:p>
      <w:pPr>
        <w:pStyle w:val="BodyText"/>
      </w:pPr>
      <w:r>
        <w:rPr>
          <w:b/>
          <w:bCs/>
        </w:rPr>
        <w:t xml:space="preserve">Il telaio della bicicletta: cambi ruote, gomme, sella e rapporti, e il telaio resta quello con cui l’hanno saldata.</w:t>
      </w:r>
    </w:p>
    <w:bookmarkEnd w:id="24"/>
    <w:bookmarkStart w:id="25" w:name="il-ginocchio-obbedisce-allanca"/>
    <w:p>
      <w:pPr>
        <w:pStyle w:val="Heading3"/>
      </w:pPr>
      <w:r>
        <w:t xml:space="preserve">2. Il ginocchio obbedisce all’anca</w:t>
      </w:r>
    </w:p>
    <w:p>
      <w:pPr>
        <w:pStyle w:val="Compact"/>
        <w:numPr>
          <w:ilvl w:val="0"/>
          <w:numId w:val="1015"/>
        </w:numPr>
      </w:pPr>
      <w:r>
        <w:t xml:space="preserve">In appoggio su una gamba sola il femore tende a ruotare internamente e ad addursi: il peso cade all’interno rispetto al punto di appoggio.</w:t>
      </w:r>
    </w:p>
    <w:p>
      <w:pPr>
        <w:pStyle w:val="Compact"/>
        <w:numPr>
          <w:ilvl w:val="0"/>
          <w:numId w:val="1015"/>
        </w:numPr>
      </w:pPr>
      <w:r>
        <w:t xml:space="preserve">Grande gluteo, medio gluteo e rotatori esterni profondi frenano quella tendenza.</w:t>
      </w:r>
    </w:p>
    <w:p>
      <w:pPr>
        <w:pStyle w:val="Compact"/>
        <w:numPr>
          <w:ilvl w:val="0"/>
          <w:numId w:val="1015"/>
        </w:numPr>
      </w:pPr>
      <w:r>
        <w:t xml:space="preserve">Quel freno può non partecipare per due ragioni, con tempi opposti, e tenerle separate cambia cosa fai. Il</w:t>
      </w:r>
      <w:r>
        <w:t xml:space="preserve"> </w:t>
      </w:r>
      <w:r>
        <w:rPr>
          <w:b/>
          <w:bCs/>
        </w:rPr>
        <w:t xml:space="preserve">momento di attivazione</w:t>
      </w:r>
      <w:r>
        <w:t xml:space="preserve"> </w:t>
      </w:r>
      <w:r>
        <w:t xml:space="preserve">si muove in settimane, se rialleni il gesto: il medio gluteo si attiva in ritardo e per meno tempo nei gesti su una gamba (Barton, 2013, PMID 22945929). L’</w:t>
      </w:r>
      <w:r>
        <w:rPr>
          <w:b/>
          <w:bCs/>
        </w:rPr>
        <w:t xml:space="preserve">inibizione riflessa</w:t>
      </w:r>
      <w:r>
        <w:t xml:space="preserve"> </w:t>
      </w:r>
      <w:r>
        <w:t xml:space="preserve">che parte dall’articolazione dolente si muove in secondi, e ritorna. Si distinguono con una prova: se dopo un input manuale l’uscita motoria cambia subito era inibizione, se non cambia è il momento di attivazione.</w:t>
      </w:r>
    </w:p>
    <w:p>
      <w:pPr>
        <w:pStyle w:val="Compact"/>
        <w:numPr>
          <w:ilvl w:val="0"/>
          <w:numId w:val="1015"/>
        </w:numPr>
      </w:pPr>
      <w:r>
        <w:t xml:space="preserve">Il ginocchio, che non ha comandi propri sul piano frontale, va dentro con lui: non si è mosso, è stato mosso.</w:t>
      </w:r>
    </w:p>
    <w:p>
      <w:pPr>
        <w:pStyle w:val="Compact"/>
        <w:numPr>
          <w:ilvl w:val="0"/>
          <w:numId w:val="1015"/>
        </w:numPr>
      </w:pPr>
      <w:r>
        <w:t xml:space="preserve">La rotula resta dov’è e il femore le ruota sotto. Da fuori sembra che sia scappata di lato.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più adduzione d’anca in corsa preceda la comparsa di dolore anteriore di ginocchio: 400 corridrici sane seguite due anni, quindici casi incidenti, adduzione d’anca maggiore già alla misura di partenza (Noehren, 2013, PMID 23274607) — un solo studio, quindici casi, sole donne che corrono. E nello stesso studio la</w:t>
      </w:r>
      <w:r>
        <w:t xml:space="preserve"> </w:t>
      </w:r>
      <w:r>
        <w:rPr>
          <w:b/>
          <w:bCs/>
        </w:rPr>
        <w:t xml:space="preserve">rotazione interna</w:t>
      </w:r>
      <w:r>
        <w:t xml:space="preserve"> </w:t>
      </w:r>
      <w:r>
        <w:t xml:space="preserve">d’anca non distingueva i due gruppi: la prova prospettica riguarda l’adduzione, non la rotazione su cui sono costruiti i punti 4 e 5.</w:t>
      </w:r>
      <w:r>
        <w:t xml:space="preserve"> </w:t>
      </w:r>
      <w:r>
        <w:rPr>
          <w:b/>
          <w:bCs/>
        </w:rPr>
        <w:t xml:space="preserve">IPOTESI</w:t>
      </w:r>
      <w:r>
        <w:t xml:space="preserve"> </w:t>
      </w:r>
      <w:r>
        <w:rPr>
          <w:i/>
          <w:iCs/>
        </w:rPr>
        <w:t xml:space="preserve">(meccanismo coerente, nessuno studio)</w:t>
      </w:r>
      <w:r>
        <w:t xml:space="preserve"> </w:t>
      </w:r>
      <w:r>
        <w:t xml:space="preserve">che sia la</w:t>
      </w:r>
      <w:r>
        <w:t xml:space="preserve"> </w:t>
      </w:r>
      <w:r>
        <w:rPr>
          <w:b/>
          <w:bCs/>
        </w:rPr>
        <w:t xml:space="preserve">debolezza</w:t>
      </w:r>
      <w:r>
        <w:t xml:space="preserve"> </w:t>
      </w:r>
      <w:r>
        <w:t xml:space="preserve">dell’anca a produrlo, e qui con prove contrarie. Nei confronti trasversali chi ha dolore anteriore ha anche l’anca più debole, ma negli studi prospettici la forza d’anca non predice la comparsa del dolore, e gli autori concludono che la debolezza è più probabilmente una conseguenza (Rathleff, 2014, PMID 24687010). In diciotto studi prospettici su 4.818 persone, negli adolescenti a essere associata al rischio era una forza d’abduzione d’anca</w:t>
      </w:r>
      <w:r>
        <w:t xml:space="preserve"> </w:t>
      </w:r>
      <w:r>
        <w:rPr>
          <w:b/>
          <w:bCs/>
        </w:rPr>
        <w:t xml:space="preserve">maggiore</w:t>
      </w:r>
      <w:r>
        <w:t xml:space="preserve"> </w:t>
      </w:r>
      <w:r>
        <w:t xml:space="preserve">(Neal, 2019, PMID 30242107).</w:t>
      </w:r>
    </w:p>
    <w:p>
      <w:pPr>
        <w:pStyle w:val="FirstParagraph"/>
      </w:pPr>
      <w:r>
        <w:rPr>
          <w:b/>
          <w:bCs/>
        </w:rPr>
        <w:t xml:space="preserve">Come si vede addosso al paziente.</w:t>
      </w:r>
      <w:r>
        <w:t xml:space="preserve"> </w:t>
      </w:r>
      <w:r>
        <w:t xml:space="preserve">Il ginocchio va dentro allo step-down, molto più da un lato che dall’altro, e il bacino cade dal lato opposto. Il dolore è salito all’anca o alla parte esterna della coscia. Il gluteo partecipa poco e tardi, e il quadricipite è forte: quello lo ha allenato.</w:t>
      </w:r>
    </w:p>
    <w:p>
      <w:pPr>
        <w:pStyle w:val="BodyText"/>
      </w:pPr>
      <w:r>
        <w:rPr>
          <w:b/>
          <w:bCs/>
        </w:rPr>
        <w:t xml:space="preserve">Il ginocchio è il vagone in mezzo al treno: non sceglie la curva, la subisce dalla locomotiva e dalla coda.</w:t>
      </w:r>
    </w:p>
    <w:bookmarkEnd w:id="25"/>
    <w:bookmarkStart w:id="26" w:name="X8728eef08818e27facabb2b325d547076b8a796"/>
    <w:p>
      <w:pPr>
        <w:pStyle w:val="Heading3"/>
      </w:pPr>
      <w:r>
        <w:t xml:space="preserve">3. La caviglia che non si apre, e il movimento che si sposta</w:t>
      </w:r>
    </w:p>
    <w:p>
      <w:pPr>
        <w:pStyle w:val="Compact"/>
        <w:numPr>
          <w:ilvl w:val="0"/>
          <w:numId w:val="1016"/>
        </w:numPr>
      </w:pPr>
      <w:r>
        <w:t xml:space="preserve">Per passare sopra il piede la tibia deve avanzare sull’astragalo: serve dorsiflessione vera, a ginocchio esteso e tallone a terra.</w:t>
      </w:r>
    </w:p>
    <w:p>
      <w:pPr>
        <w:pStyle w:val="Compact"/>
        <w:numPr>
          <w:ilvl w:val="0"/>
          <w:numId w:val="1016"/>
        </w:numPr>
      </w:pPr>
      <w:r>
        <w:t xml:space="preserve">Se quell’escursione manca — polpaccio corto, caviglia rigida, vecchio trauma — il corpo va a prendere il movimento dove c’è. Il posto più economico è la rotazione: il retropiede everte di più, la tibia ruota internamente, il ginocchio va dentro.</w:t>
      </w:r>
    </w:p>
    <w:p>
      <w:pPr>
        <w:pStyle w:val="Compact"/>
        <w:numPr>
          <w:ilvl w:val="0"/>
          <w:numId w:val="1016"/>
        </w:numPr>
      </w:pPr>
      <w:r>
        <w:t xml:space="preserve">Il gesto riesce lo stesso, su una traiettoria diversa, e ogni volta.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il nesso sperimentale: un cuneo di dodici gradi sotto l’avampiede, che simula un polpaccio poco estensibile, ha aumentato molto lo spostamento mediale del ginocchio e poco l’angolo di valgo, in trenta persone sane e in accosciata su due gambe (Macrum, 2012, PMID 22100617). Il cuneo non ha ridotto la dorsiflessione misurata: ha cambiato la posizione da cui la caviglia parte.</w:t>
      </w:r>
      <w:r>
        <w:t xml:space="preserve"> </w:t>
      </w:r>
      <w:r>
        <w:rPr>
          <w:b/>
          <w:bCs/>
        </w:rPr>
        <w:t xml:space="preserve">IPOTESI</w:t>
      </w:r>
      <w:r>
        <w:t xml:space="preserve"> </w:t>
      </w:r>
      <w:r>
        <w:rPr>
          <w:i/>
          <w:iCs/>
        </w:rPr>
        <w:t xml:space="preserve">(meccanismo coerente, nessuno studio)</w:t>
      </w:r>
      <w:r>
        <w:t xml:space="preserve"> </w:t>
      </w:r>
      <w:r>
        <w:t xml:space="preserve">che, in questo paziente, sia la caviglia corta ad aver prodotto il valgo che vedi.</w:t>
      </w:r>
    </w:p>
    <w:p>
      <w:pPr>
        <w:pStyle w:val="FirstParagraph"/>
      </w:pPr>
      <w:r>
        <w:rPr>
          <w:b/>
          <w:bCs/>
        </w:rPr>
        <w:t xml:space="preserve">Come si vede addosso al paziente.</w:t>
      </w:r>
      <w:r>
        <w:t xml:space="preserve"> </w:t>
      </w:r>
      <w:r>
        <w:t xml:space="preserve">L’affondo al muro è nettamente ridotto, spesso da un lato più che dall’altro, e nell’accosciata il tallone si stacca. Con un rialzo sotto il tallone il ginocchio va dentro meno: è già la prova che il piano è pertinente.</w:t>
      </w:r>
    </w:p>
    <w:p>
      <w:pPr>
        <w:pStyle w:val="BodyText"/>
      </w:pPr>
      <w:r>
        <w:rPr>
          <w:b/>
          <w:bCs/>
        </w:rPr>
        <w:t xml:space="preserve">È la porta a soffietto che si apre a metà: per passare non smetti di passare, ti giri di lato.</w:t>
      </w:r>
    </w:p>
    <w:bookmarkEnd w:id="26"/>
    <w:bookmarkStart w:id="27" w:name="X20172a08350aae12a585e06331fc99f2406aefa"/>
    <w:p>
      <w:pPr>
        <w:pStyle w:val="Heading3"/>
      </w:pPr>
      <w:r>
        <w:t xml:space="preserve">4. Il carico che si sposta, e il compartimento che paga</w:t>
      </w:r>
    </w:p>
    <w:p>
      <w:pPr>
        <w:pStyle w:val="Compact"/>
        <w:numPr>
          <w:ilvl w:val="0"/>
          <w:numId w:val="1017"/>
        </w:numPr>
      </w:pPr>
      <w:r>
        <w:t xml:space="preserve">L’asse frontale decide come il peso si ripartisce fra compartimento interno ed esterno. La ripartizione è già asimmetrica in un ginocchio dritto: l’interno prende circa i due terzi.</w:t>
      </w:r>
    </w:p>
    <w:p>
      <w:pPr>
        <w:pStyle w:val="Compact"/>
        <w:numPr>
          <w:ilvl w:val="0"/>
          <w:numId w:val="1017"/>
        </w:numPr>
      </w:pPr>
      <w:r>
        <w:t xml:space="preserve">Ogni grado di deviazione sposta circa il 5% del carico verso il compartimento su cui passa l’asse meccanico. Nel valgismo l’asse passa di fuori, e paga il compartimento</w:t>
      </w:r>
      <w:r>
        <w:t xml:space="preserve"> </w:t>
      </w:r>
      <w:r>
        <w:rPr>
          <w:b/>
          <w:bCs/>
        </w:rPr>
        <w:t xml:space="preserve">esterno</w:t>
      </w:r>
      <w:r>
        <w:t xml:space="preserve">.</w:t>
      </w:r>
    </w:p>
    <w:p>
      <w:pPr>
        <w:pStyle w:val="Compact"/>
        <w:numPr>
          <w:ilvl w:val="0"/>
          <w:numId w:val="1017"/>
        </w:numPr>
      </w:pPr>
      <w:r>
        <w:t xml:space="preserve">Il tessuto che riceve più carico si adatta. Quando l’adattamento non basta si degrada: prima il menisco, poi la cartilagine.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 nel senso che «Come si usa questa Bibbia» dà alle misure sperimentali dirette nell’uomo e alle coorti ampie — che la ripartizione del carico dipenda dall’allineamento: misurata dentro protesi strumentate in cinque persone che camminavano, dove un grado di</w:t>
      </w:r>
      <w:r>
        <w:t xml:space="preserve"> </w:t>
      </w:r>
      <w:r>
        <w:rPr>
          <w:b/>
          <w:bCs/>
        </w:rPr>
        <w:t xml:space="preserve">varo</w:t>
      </w:r>
      <w:r>
        <w:t xml:space="preserve"> </w:t>
      </w:r>
      <w:r>
        <w:t xml:space="preserve">spostava il 5% del carico sul</w:t>
      </w:r>
      <w:r>
        <w:t xml:space="preserve"> </w:t>
      </w:r>
      <w:r>
        <w:rPr>
          <w:b/>
          <w:bCs/>
        </w:rPr>
        <w:t xml:space="preserve">mediale</w:t>
      </w:r>
      <w:r>
        <w:t xml:space="preserve"> </w:t>
      </w:r>
      <w:r>
        <w:t xml:space="preserve">(Halder, 2012, PMID 22637208).</w:t>
      </w:r>
      <w:r>
        <w:t xml:space="preserve"> </w:t>
      </w:r>
      <w:r>
        <w:rPr>
          <w:b/>
          <w:bCs/>
        </w:rPr>
        <w:t xml:space="preserve">PROBABILE</w:t>
      </w:r>
      <w:r>
        <w:t xml:space="preserve"> </w:t>
      </w:r>
      <w:r>
        <w:rPr>
          <w:i/>
          <w:iCs/>
        </w:rPr>
        <w:t xml:space="preserve">(razionale forte, prove parziali)</w:t>
      </w:r>
      <w:r>
        <w:t xml:space="preserve"> </w:t>
      </w:r>
      <w:r>
        <w:t xml:space="preserve">che nel valgo lo stesso 5% per grado vada di fuori: è la stessa relazione letta a specchio, e nessuno l’ha misurata in quel verso né in un ginocchio con i menischi al loro posto.</w:t>
      </w:r>
      <w:r>
        <w:t xml:space="preserve"> </w:t>
      </w:r>
      <w:r>
        <w:rPr>
          <w:b/>
          <w:bCs/>
        </w:rPr>
        <w:t xml:space="preserve">DIMOSTRATO</w:t>
      </w:r>
      <w:r>
        <w:t xml:space="preserve"> </w:t>
      </w:r>
      <w:r>
        <w:t xml:space="preserve">l’esito a distanza: in ginocchia che avevano già artrosi, l’allineamento valgo era associato a un rischio quasi cinque volte maggiore di progressione nel compartimento</w:t>
      </w:r>
      <w:r>
        <w:t xml:space="preserve"> </w:t>
      </w:r>
      <w:r>
        <w:rPr>
          <w:b/>
          <w:bCs/>
        </w:rPr>
        <w:t xml:space="preserve">laterale</w:t>
      </w:r>
      <w:r>
        <w:t xml:space="preserve"> </w:t>
      </w:r>
      <w:r>
        <w:t xml:space="preserve">e a un rischio</w:t>
      </w:r>
      <w:r>
        <w:t xml:space="preserve"> </w:t>
      </w:r>
      <w:r>
        <w:rPr>
          <w:b/>
          <w:bCs/>
        </w:rPr>
        <w:t xml:space="preserve">ridotto</w:t>
      </w:r>
      <w:r>
        <w:t xml:space="preserve"> </w:t>
      </w:r>
      <w:r>
        <w:t xml:space="preserve">nel mediale (Sharma, 2010, PMID 20511608).</w:t>
      </w:r>
    </w:p>
    <w:p>
      <w:pPr>
        <w:pStyle w:val="FirstParagraph"/>
      </w:pPr>
      <w:r>
        <w:rPr>
          <w:b/>
          <w:bCs/>
        </w:rPr>
        <w:t xml:space="preserve">E i due studi non dicono la stessa cosa.</w:t>
      </w:r>
      <w:r>
        <w:t xml:space="preserve"> </w:t>
      </w:r>
      <w:r>
        <w:t xml:space="preserve">Sulla</w:t>
      </w:r>
      <w:r>
        <w:t xml:space="preserve"> </w:t>
      </w:r>
      <w:r>
        <w:rPr>
          <w:b/>
          <w:bCs/>
        </w:rPr>
        <w:t xml:space="preserve">progressione</w:t>
      </w:r>
      <w:r>
        <w:t xml:space="preserve"> </w:t>
      </w:r>
      <w:r>
        <w:t xml:space="preserve">non c’è discussione. Sulla</w:t>
      </w:r>
      <w:r>
        <w:t xml:space="preserve"> </w:t>
      </w:r>
      <w:r>
        <w:rPr>
          <w:b/>
          <w:bCs/>
        </w:rPr>
        <w:t xml:space="preserve">comparsa</w:t>
      </w:r>
      <w:r>
        <w:t xml:space="preserve"> </w:t>
      </w:r>
      <w:r>
        <w:t xml:space="preserve">in un ginocchio ancora sano divergono per soglia. A due gradi, in una sola coorte, il valgo non aumentava il rischio: a farlo era il varo (Sharma, 2010). Oltre i tre gradi, su due coorti, lo aumentava, con odds ratio 2,5 per il restringimento laterale e 5,9 per il danno cartilagineo in risonanza (Felson, 2013, PMID 23203672). Il secondo è più grande e compartimento-specifico. Quello che regge in entrambi: il rischio è di popolazione.</w:t>
      </w:r>
    </w:p>
    <w:p>
      <w:pPr>
        <w:pStyle w:val="BodyText"/>
      </w:pPr>
      <w:r>
        <w:rPr>
          <w:b/>
          <w:bCs/>
        </w:rPr>
        <w:t xml:space="preserve">Per te:</w:t>
      </w:r>
      <w:r>
        <w:t xml:space="preserve"> </w:t>
      </w:r>
      <w:r>
        <w:t xml:space="preserve">il paziente entra convinto di consumare il ginocchio</w:t>
      </w:r>
      <w:r>
        <w:t xml:space="preserve"> </w:t>
      </w:r>
      <w:r>
        <w:t xml:space="preserve">“da dentro”</w:t>
      </w:r>
      <w:r>
        <w:t xml:space="preserve">, perché è dentro che le ginocchia si toccano. È il contrario: il valgismo</w:t>
      </w:r>
      <w:r>
        <w:t xml:space="preserve"> </w:t>
      </w:r>
      <w:r>
        <w:rPr>
          <w:b/>
          <w:bCs/>
        </w:rPr>
        <w:t xml:space="preserve">comprime</w:t>
      </w:r>
      <w:r>
        <w:t xml:space="preserve"> </w:t>
      </w:r>
      <w:r>
        <w:t xml:space="preserve">il fuori. Correggere questa convinzione cambia in una frase la sua idea del problema.</w:t>
      </w:r>
    </w:p>
    <w:p>
      <w:pPr>
        <w:pStyle w:val="BodyText"/>
      </w:pPr>
      <w:r>
        <w:rPr>
          <w:b/>
          <w:bCs/>
        </w:rPr>
        <w:t xml:space="preserve">E il dolore mediale è frequente, e non è fuori quadro.</w:t>
      </w:r>
      <w:r>
        <w:t xml:space="preserve"> </w:t>
      </w:r>
      <w:r>
        <w:t xml:space="preserve">Lo stesso movimento che comprime il lato esterno mette in</w:t>
      </w:r>
      <w:r>
        <w:t xml:space="preserve"> </w:t>
      </w:r>
      <w:r>
        <w:rPr>
          <w:b/>
          <w:bCs/>
        </w:rPr>
        <w:t xml:space="preserve">tensione</w:t>
      </w:r>
      <w:r>
        <w:t xml:space="preserve"> </w:t>
      </w:r>
      <w:r>
        <w:t xml:space="preserve">il lato interno: collaterale mediale, zampa d’oca, retinacolo. Sono i due lati dello stesso momento in abduzione. Un dolore mediale non dice che hai sbagliato Bibbia: dice di cercare le strutture in tensione, e di distinguerle dal dolore da compressione, che nel valgo sta dall’altra parte.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per l’attribuzione in questo paziente. La doppia sollecitazione è meccanica coerente; chi ha male dentro non è stato misurato dentro.</w:t>
      </w:r>
    </w:p>
    <w:p>
      <w:pPr>
        <w:pStyle w:val="BlockText"/>
      </w:pPr>
      <w:r>
        <w:rPr>
          <w:b/>
          <w:bCs/>
        </w:rPr>
        <w:t xml:space="preserve">Attenzione.</w:t>
      </w:r>
      <w:r>
        <w:t xml:space="preserve"> </w:t>
      </w:r>
      <w:r>
        <w:t xml:space="preserve">Un dolore mediale improvviso e notturno, con versamento, in una donna over-60 o con osso fragile, va inquadrato e non allenato. È una bandiera rossa. Sotto ci possono essere un’osteonecrosi spontanea del ginocchio — un’area di osso che muore sotto la cartilagine — o una frattura subcondrale da insufficienza.</w:t>
      </w:r>
    </w:p>
    <w:p>
      <w:pPr>
        <w:pStyle w:val="FirstParagraph"/>
      </w:pPr>
      <w:r>
        <w:rPr>
          <w:b/>
          <w:bCs/>
        </w:rPr>
        <w:t xml:space="preserve">Come si vede addosso al paziente.</w:t>
      </w:r>
      <w:r>
        <w:t xml:space="preserve"> </w:t>
      </w:r>
      <w:r>
        <w:t xml:space="preserve">Dolore laterale che compare sotto carico e non da fermo, quasi sempre da un lato solo e sempre lo stesso. Le suole si consumano in modo diverso fra i due piedi. E il paziente indica il lato</w:t>
      </w:r>
      <w:r>
        <w:t xml:space="preserve"> </w:t>
      </w:r>
      <w:r>
        <w:rPr>
          <w:b/>
          <w:bCs/>
        </w:rPr>
        <w:t xml:space="preserve">interno</w:t>
      </w:r>
      <w:r>
        <w:t xml:space="preserve"> </w:t>
      </w:r>
      <w:r>
        <w:t xml:space="preserve">mentre racconta di consumare «da dentro».</w:t>
      </w:r>
    </w:p>
    <w:p>
      <w:pPr>
        <w:pStyle w:val="BodyText"/>
      </w:pPr>
      <w:r>
        <w:rPr>
          <w:b/>
          <w:bCs/>
        </w:rPr>
        <w:t xml:space="preserve">È il conto cointestato in cui uno solo paga le bollette: il totale è normale, la ripartizione no.</w:t>
      </w:r>
    </w:p>
    <w:bookmarkEnd w:id="27"/>
    <w:bookmarkStart w:id="28" w:name="il-conto-delle-ripetizioni"/>
    <w:p>
      <w:pPr>
        <w:pStyle w:val="Heading3"/>
      </w:pPr>
      <w:r>
        <w:t xml:space="preserve">5. Il conto delle ripetizioni</w:t>
      </w:r>
    </w:p>
    <w:p>
      <w:pPr>
        <w:pStyle w:val="Compact"/>
        <w:numPr>
          <w:ilvl w:val="0"/>
          <w:numId w:val="1018"/>
        </w:numPr>
      </w:pPr>
      <w:r>
        <w:t xml:space="preserve">Nessun singolo appoggio danneggia niente: il picco su un ginocchio che cammina è di due-tre volte il peso corporeo, ed è normale.</w:t>
      </w:r>
    </w:p>
    <w:p>
      <w:pPr>
        <w:pStyle w:val="Compact"/>
        <w:numPr>
          <w:ilvl w:val="0"/>
          <w:numId w:val="1018"/>
        </w:numPr>
      </w:pPr>
      <w:r>
        <w:t xml:space="preserve">Il numero di appoggi no: migliaia al giorno, tutti sulla stessa traiettoria. E ogni chilo di peso moltiplica quel conto. In 142 adulti in sovrappeso, ogni chilo perso valeva circa quattro chili in meno di carico a ogni passo (Messier, 2005, PMID 15986358).</w:t>
      </w:r>
    </w:p>
    <w:p>
      <w:pPr>
        <w:pStyle w:val="Compact"/>
        <w:numPr>
          <w:ilvl w:val="0"/>
          <w:numId w:val="1018"/>
        </w:numPr>
      </w:pPr>
      <w:r>
        <w:t xml:space="preserve">Il sintomo compare quando il conto supera la capacità del tessuto di ripararsi fra un carico e l’altro. Per questo compare correndo, sulle scale e a fine giornata, non da fermo.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relazione fra massa corporea e carico articolare, misurata con analisi del cammino tridimensionale dentro uno studio controllato di dieta ed esercizio (Messier, 2005, PMID 15986358).</w:t>
      </w:r>
    </w:p>
    <w:p>
      <w:pPr>
        <w:pStyle w:val="FirstParagraph"/>
      </w:pPr>
      <w:r>
        <w:rPr>
          <w:b/>
          <w:bCs/>
        </w:rPr>
        <w:t xml:space="preserve">E quel numero ha anche un esito clinico misurato</w:t>
      </w:r>
      <w:r>
        <w:t xml:space="preserve">, non solo dei newton: dieta più esercizio ha dato meno dolore e migliore funzione di ciascuno dei due da solo (Messier, 2013, PMID 24065013). Il dettaglio e il suo limite stanno nel modello Metabolico-Energetico.</w:t>
      </w:r>
    </w:p>
    <w:p>
      <w:pPr>
        <w:pStyle w:val="BodyText"/>
      </w:pPr>
      <w:r>
        <w:rPr>
          <w:b/>
          <w:bCs/>
        </w:rPr>
        <w:t xml:space="preserve">Per te:</w:t>
      </w:r>
      <w:r>
        <w:t xml:space="preserve"> </w:t>
      </w:r>
      <w:r>
        <w:t xml:space="preserve">è il numero che ti fa nominare il peso senza prescrivere niente, e che il paziente capisce in tre secondi. La leva è reale, e non è tua da gestire.</w:t>
      </w:r>
    </w:p>
    <w:p>
      <w:pPr>
        <w:pStyle w:val="BodyText"/>
      </w:pPr>
      <w:r>
        <w:rPr>
          <w:b/>
          <w:bCs/>
        </w:rPr>
        <w:t xml:space="preserve">Come si vede addosso al paziente.</w:t>
      </w:r>
      <w:r>
        <w:t xml:space="preserve"> </w:t>
      </w:r>
      <w:r>
        <w:t xml:space="preserve">Il sintomo ha un orologio e un contatore: al ventesimo minuto di corsa, alla terza rampa, dopo la giornata in piedi. A riposo sta bene. Con due settimane di stop migliora, e alla ripresa torna identico perché il gesto è identico.</w:t>
      </w:r>
    </w:p>
    <w:p>
      <w:pPr>
        <w:pStyle w:val="BodyText"/>
      </w:pPr>
      <w:r>
        <w:rPr>
          <w:b/>
          <w:bCs/>
        </w:rPr>
        <w:t xml:space="preserve">È il gradino di marmo davanti a una chiesa antica, scavato al centro: nessun passo l’ha consumato, centomila sì.</w:t>
      </w:r>
    </w:p>
    <w:p>
      <w:pPr>
        <w:pStyle w:val="BodyText"/>
      </w:pPr>
      <w:r>
        <w:rPr>
          <w:b/>
          <w:bCs/>
        </w:rPr>
        <w:t xml:space="preserve">Le tre cose da ricordare, più una</w:t>
      </w:r>
    </w:p>
    <w:p>
      <w:pPr>
        <w:pStyle w:val="Compact"/>
        <w:numPr>
          <w:ilvl w:val="0"/>
          <w:numId w:val="1019"/>
        </w:numPr>
      </w:pPr>
      <w:r>
        <w:t xml:space="preserve">La forma dell’osso e il crollo sotto carico sono due meccanismi diversi, e solo il secondo si muove.</w:t>
      </w:r>
    </w:p>
    <w:p>
      <w:pPr>
        <w:pStyle w:val="Compact"/>
        <w:numPr>
          <w:ilvl w:val="0"/>
          <w:numId w:val="1019"/>
        </w:numPr>
      </w:pPr>
      <w:r>
        <w:t xml:space="preserve">L’anca comanda la rotazione della gamba, ma la sua debolezza è più probabilmente una conseguenza del dolore che la sua causa.</w:t>
      </w:r>
    </w:p>
    <w:p>
      <w:pPr>
        <w:pStyle w:val="Compact"/>
        <w:numPr>
          <w:ilvl w:val="0"/>
          <w:numId w:val="1019"/>
        </w:numPr>
      </w:pPr>
      <w:r>
        <w:t xml:space="preserve">Il valgismo comprime il compartimento esterno e mette in tensione le strutture mediali: il dolore dentro è atteso, e cambia solo quale tessuto stai cercando.</w:t>
      </w:r>
    </w:p>
    <w:p>
      <w:pPr>
        <w:pStyle w:val="Compact"/>
        <w:numPr>
          <w:ilvl w:val="0"/>
          <w:numId w:val="1019"/>
        </w:numPr>
      </w:pPr>
      <w:r>
        <w:rPr>
          <w:b/>
          <w:bCs/>
        </w:rPr>
        <w:t xml:space="preserve">Perché ci sei tu.</w:t>
      </w:r>
      <w:r>
        <w:t xml:space="preserve"> </w:t>
      </w:r>
      <w:r>
        <w:t xml:space="preserve">La debolezza d’anca compare nei confronti trasversali e sparisce in quelli prospettici, e negli adolescenti a essere associata al rischio era una forza d’abduzione maggiore (Rathleff, 2014, PMID 24687010; Neal, 2019, PMID 30242107). Ti autorizza a misurare la forza come stato di oggi. Non ti autorizza a vendere la frase</w:t>
      </w:r>
      <w:r>
        <w:t xml:space="preserve"> </w:t>
      </w:r>
      <w:r>
        <w:rPr>
          <w:i/>
          <w:iCs/>
        </w:rPr>
        <w:t xml:space="preserve">«sei debole, è per questo che ti fa male»</w:t>
      </w:r>
      <w:r>
        <w:t xml:space="preserve">.</w:t>
      </w:r>
    </w:p>
    <w:p>
      <w:r>
        <w:pict>
          <v:rect style="width:0;height:1.5pt" o:hralign="center" o:hrstd="t" o:hr="t"/>
        </w:pict>
      </w:r>
    </w:p>
    <w:bookmarkEnd w:id="28"/>
    <w:bookmarkEnd w:id="29"/>
    <w:bookmarkStart w:id="30"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clinici e tre cancelli, e il pattern che tratti meglio è quello che alla lastra si vede di meno.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Pattern meccanico prevalente</w:t>
            </w:r>
          </w:p>
        </w:tc>
        <w:tc>
          <w:tcPr/>
          <w:p>
            <w:pPr>
              <w:pStyle w:val="Compact"/>
            </w:pPr>
            <w:r>
              <w:t xml:space="preserve">Quanto puoi fare</w:t>
            </w:r>
          </w:p>
        </w:tc>
      </w:tr>
      <w:tr>
        <w:tc>
          <w:tcPr/>
          <w:p>
            <w:pPr>
              <w:pStyle w:val="Compact"/>
            </w:pPr>
            <w:r>
              <w:t xml:space="preserve">Valgo dinamico da controllo d’anca</w:t>
            </w:r>
          </w:p>
        </w:tc>
        <w:tc>
          <w:tcPr/>
          <w:p>
            <w:pPr>
              <w:pStyle w:val="Compact"/>
            </w:pPr>
            <w:r>
              <w:t xml:space="preserve">Crollo allo step-down, asimmetrico</w:t>
            </w:r>
          </w:p>
        </w:tc>
        <w:tc>
          <w:tcPr/>
          <w:p>
            <w:pPr>
              <w:pStyle w:val="Compact"/>
            </w:pPr>
            <w:r>
              <w:t xml:space="preserve">Anca</w:t>
            </w:r>
          </w:p>
        </w:tc>
        <w:tc>
          <w:tcPr/>
          <w:p>
            <w:pPr>
              <w:pStyle w:val="Compact"/>
            </w:pPr>
            <w:r>
              <w:t xml:space="preserve">Molto</w:t>
            </w:r>
          </w:p>
        </w:tc>
      </w:tr>
      <w:tr>
        <w:tc>
          <w:tcPr/>
          <w:p>
            <w:pPr>
              <w:pStyle w:val="Compact"/>
            </w:pPr>
            <w:r>
              <w:t xml:space="preserve">Valgo dinamico da caviglia corta</w:t>
            </w:r>
          </w:p>
        </w:tc>
        <w:tc>
          <w:tcPr/>
          <w:p>
            <w:pPr>
              <w:pStyle w:val="Compact"/>
            </w:pPr>
            <w:r>
              <w:t xml:space="preserve">Affondo al muro ridotto</w:t>
            </w:r>
          </w:p>
        </w:tc>
        <w:tc>
          <w:tcPr/>
          <w:p>
            <w:pPr>
              <w:pStyle w:val="Compact"/>
            </w:pPr>
            <w:r>
              <w:t xml:space="preserve">Caviglia</w:t>
            </w:r>
          </w:p>
        </w:tc>
        <w:tc>
          <w:tcPr/>
          <w:p>
            <w:pPr>
              <w:pStyle w:val="Compact"/>
            </w:pPr>
            <w:r>
              <w:t xml:space="preserve">Molto</w:t>
            </w:r>
          </w:p>
        </w:tc>
      </w:tr>
      <w:tr>
        <w:tc>
          <w:tcPr/>
          <w:p>
            <w:pPr>
              <w:pStyle w:val="Compact"/>
            </w:pPr>
            <w:r>
              <w:t xml:space="preserve">Valgo da eccesso di libertà</w:t>
            </w:r>
          </w:p>
        </w:tc>
        <w:tc>
          <w:tcPr/>
          <w:p>
            <w:pPr>
              <w:pStyle w:val="Compact"/>
            </w:pPr>
            <w:r>
              <w:t xml:space="preserve">Rotazione interna d’anca &gt;&gt; esterna, o lassità</w:t>
            </w:r>
          </w:p>
        </w:tc>
        <w:tc>
          <w:tcPr/>
          <w:p>
            <w:pPr>
              <w:pStyle w:val="Compact"/>
            </w:pPr>
            <w:r>
              <w:t xml:space="preserve">Osso ruotato, o gioco in eccesso</w:t>
            </w:r>
          </w:p>
        </w:tc>
        <w:tc>
          <w:tcPr/>
          <w:p>
            <w:pPr>
              <w:pStyle w:val="Compact"/>
            </w:pPr>
            <w:r>
              <w:t xml:space="preserve">Poco sull’escursione</w:t>
            </w:r>
          </w:p>
        </w:tc>
      </w:tr>
      <w:tr>
        <w:tc>
          <w:tcPr/>
          <w:p>
            <w:pPr>
              <w:pStyle w:val="Compact"/>
            </w:pPr>
            <w:r>
              <w:t xml:space="preserve">Valgo strutturale dell’adulto</w:t>
            </w:r>
          </w:p>
        </w:tc>
        <w:tc>
          <w:tcPr/>
          <w:p>
            <w:pPr>
              <w:pStyle w:val="Compact"/>
            </w:pPr>
            <w:r>
              <w:t xml:space="preserve">Deviazione simmetrica anche in scarico</w:t>
            </w:r>
          </w:p>
        </w:tc>
        <w:tc>
          <w:tcPr/>
          <w:p>
            <w:pPr>
              <w:pStyle w:val="Compact"/>
            </w:pPr>
            <w:r>
              <w:t xml:space="preserve">Forma di partenza</w:t>
            </w:r>
          </w:p>
        </w:tc>
        <w:tc>
          <w:tcPr/>
          <w:p>
            <w:pPr>
              <w:pStyle w:val="Compact"/>
            </w:pPr>
            <w:r>
              <w:t xml:space="preserve">Poco</w:t>
            </w:r>
          </w:p>
        </w:tc>
      </w:tr>
      <w:tr>
        <w:tc>
          <w:tcPr/>
          <w:p>
            <w:pPr>
              <w:pStyle w:val="Compact"/>
            </w:pPr>
            <w:r>
              <w:t xml:space="preserve">Valgo con dolore a distribuzione nociplastica</w:t>
            </w:r>
          </w:p>
        </w:tc>
        <w:tc>
          <w:tcPr/>
          <w:p>
            <w:pPr>
              <w:pStyle w:val="Compact"/>
            </w:pPr>
            <w:r>
              <w:t xml:space="preserve">Dolore regionale a riposo, oltre tre mesi</w:t>
            </w:r>
          </w:p>
        </w:tc>
        <w:tc>
          <w:tcPr/>
          <w:p>
            <w:pPr>
              <w:pStyle w:val="Compact"/>
            </w:pPr>
            <w:r>
              <w:t xml:space="preserve">Elaborazione centrale del dolore</w:t>
            </w:r>
          </w:p>
        </w:tc>
        <w:tc>
          <w:tcPr/>
          <w:p>
            <w:pPr>
              <w:pStyle w:val="Compact"/>
            </w:pPr>
            <w:r>
              <w:t xml:space="preserve">Molto, ma non sul piano frontale</w:t>
            </w:r>
          </w:p>
        </w:tc>
      </w:tr>
      <w:tr>
        <w:tc>
          <w:tcPr/>
          <w:p>
            <w:pPr>
              <w:pStyle w:val="Compact"/>
            </w:pPr>
            <w:r>
              <w:t xml:space="preserve">Valgo incidentale asintomatico</w:t>
            </w:r>
          </w:p>
        </w:tc>
        <w:tc>
          <w:tcPr/>
          <w:p>
            <w:pPr>
              <w:pStyle w:val="Compact"/>
            </w:pPr>
            <w:r>
              <w:t xml:space="preserve">Gambe a X, nessun sintomo</w:t>
            </w:r>
          </w:p>
        </w:tc>
        <w:tc>
          <w:tcPr/>
          <w:p>
            <w:pPr>
              <w:pStyle w:val="Compact"/>
            </w:pPr>
            <w:r>
              <w:t xml:space="preserve">Nessuno</w:t>
            </w:r>
          </w:p>
        </w:tc>
        <w:tc>
          <w:tcPr/>
          <w:p>
            <w:pPr>
              <w:pStyle w:val="Compact"/>
            </w:pPr>
            <w:r>
              <w:t xml:space="preserve">Niente da trattare</w:t>
            </w:r>
          </w:p>
        </w:tc>
      </w:tr>
      <w:tr>
        <w:tc>
          <w:tcPr/>
          <w:p>
            <w:pPr>
              <w:pStyle w:val="Compact"/>
            </w:pPr>
            <w:r>
              <w:rPr>
                <w:b/>
                <w:bCs/>
              </w:rPr>
              <w:t xml:space="preserve">Cancello</w:t>
            </w:r>
            <w:r>
              <w:t xml:space="preserve"> </w:t>
            </w:r>
            <w:r>
              <w:t xml:space="preserve">— età evolutiva fuori norma</w:t>
            </w:r>
          </w:p>
        </w:tc>
        <w:tc>
          <w:tcPr/>
          <w:p>
            <w:pPr>
              <w:pStyle w:val="Compact"/>
            </w:pPr>
            <w:r>
              <w:t xml:space="preserve">Oltre 7 anni, o unilaterale</w:t>
            </w:r>
          </w:p>
        </w:tc>
        <w:tc>
          <w:tcPr/>
          <w:p>
            <w:pPr>
              <w:pStyle w:val="Compact"/>
            </w:pPr>
            <w:r>
              <w:t xml:space="preserve">—</w:t>
            </w:r>
          </w:p>
        </w:tc>
        <w:tc>
          <w:tcPr/>
          <w:p>
            <w:pPr>
              <w:pStyle w:val="Compact"/>
            </w:pPr>
            <w:r>
              <w:t xml:space="preserve">Niente finché l’ortopedico non si è espresso</w:t>
            </w:r>
          </w:p>
        </w:tc>
      </w:tr>
      <w:tr>
        <w:tc>
          <w:tcPr/>
          <w:p>
            <w:pPr>
              <w:pStyle w:val="Compact"/>
            </w:pPr>
            <w:r>
              <w:rPr>
                <w:b/>
                <w:bCs/>
              </w:rPr>
              <w:t xml:space="preserve">Cancello</w:t>
            </w:r>
            <w:r>
              <w:t xml:space="preserve"> </w:t>
            </w:r>
            <w:r>
              <w:t xml:space="preserve">— valgo acquisito dell’adulto</w:t>
            </w:r>
          </w:p>
        </w:tc>
        <w:tc>
          <w:tcPr/>
          <w:p>
            <w:pPr>
              <w:pStyle w:val="Compact"/>
            </w:pPr>
            <w:r>
              <w:t xml:space="preserve">Non c’è nelle foto di vent’anni fa</w:t>
            </w:r>
          </w:p>
        </w:tc>
        <w:tc>
          <w:tcPr/>
          <w:p>
            <w:pPr>
              <w:pStyle w:val="Compact"/>
            </w:pPr>
            <w:r>
              <w:t xml:space="preserve">—</w:t>
            </w:r>
          </w:p>
        </w:tc>
        <w:tc>
          <w:tcPr/>
          <w:p>
            <w:pPr>
              <w:pStyle w:val="Compact"/>
            </w:pPr>
            <w:r>
              <w:t xml:space="preserve">Niente, inquadramento prima</w:t>
            </w:r>
          </w:p>
        </w:tc>
      </w:tr>
      <w:tr>
        <w:tc>
          <w:tcPr/>
          <w:p>
            <w:pPr>
              <w:pStyle w:val="Compact"/>
            </w:pPr>
            <w:r>
              <w:rPr>
                <w:b/>
                <w:bCs/>
              </w:rPr>
              <w:t xml:space="preserve">Cancello</w:t>
            </w:r>
            <w:r>
              <w:t xml:space="preserve"> </w:t>
            </w:r>
            <w:r>
              <w:t xml:space="preserve">— valgo secondario</w:t>
            </w:r>
          </w:p>
        </w:tc>
        <w:tc>
          <w:tcPr/>
          <w:p>
            <w:pPr>
              <w:pStyle w:val="Compact"/>
            </w:pPr>
            <w:r>
              <w:t xml:space="preserve">Comparso dopo trauma o malattia</w:t>
            </w:r>
          </w:p>
        </w:tc>
        <w:tc>
          <w:tcPr/>
          <w:p>
            <w:pPr>
              <w:pStyle w:val="Compact"/>
            </w:pPr>
            <w:r>
              <w:t xml:space="preserve">—</w:t>
            </w:r>
          </w:p>
        </w:tc>
        <w:tc>
          <w:tcPr/>
          <w:p>
            <w:pPr>
              <w:pStyle w:val="Compact"/>
            </w:pPr>
            <w:r>
              <w:t xml:space="preserve">Niente, invio</w:t>
            </w:r>
          </w:p>
        </w:tc>
      </w:tr>
    </w:tbl>
    <w:p>
      <w:pPr>
        <w:pStyle w:val="BodyText"/>
      </w:pPr>
      <w:r>
        <w:rPr>
          <w:b/>
          <w:bCs/>
        </w:rPr>
        <w:t xml:space="preserve">La colonna del pattern non è il sistema dominante.</w:t>
      </w:r>
      <w:r>
        <w:t xml:space="preserve"> </w:t>
      </w:r>
      <w:r>
        <w:t xml:space="preserve">Il pattern dice dove la gamba cede. Il dominante dice quale piano sta consumando la capacità di</w:t>
      </w:r>
      <w:r>
        <w:t xml:space="preserve"> </w:t>
      </w:r>
      <w:r>
        <w:rPr>
          <w:b/>
          <w:bCs/>
        </w:rPr>
        <w:t xml:space="preserve">compenso</w:t>
      </w:r>
      <w:r>
        <w:t xml:space="preserve"> </w:t>
      </w:r>
      <w:r>
        <w:t xml:space="preserve">di</w:t>
      </w:r>
      <w:r>
        <w:t xml:space="preserve"> </w:t>
      </w:r>
      <w:r>
        <w:rPr>
          <w:i/>
          <w:iCs/>
        </w:rPr>
        <w:t xml:space="preserve">questo</w:t>
      </w:r>
      <w:r>
        <w:t xml:space="preserve"> </w:t>
      </w:r>
      <w:r>
        <w:t xml:space="preserve">paziente, e si stabilisce nel capitolo del ragionamento. Non coincidono: nel valgo strutturale il dominante è quasi sempre il</w:t>
      </w:r>
      <w:r>
        <w:t xml:space="preserve"> </w:t>
      </w:r>
      <w:r>
        <w:rPr>
          <w:b/>
          <w:bCs/>
        </w:rPr>
        <w:t xml:space="preserve">carico</w:t>
      </w:r>
      <w:r>
        <w:t xml:space="preserve">, non la forma, e in qualunque sottotipo può essere l’</w:t>
      </w:r>
      <w:r>
        <w:rPr>
          <w:b/>
          <w:bCs/>
        </w:rPr>
        <w:t xml:space="preserve">elaborazione del dolore</w:t>
      </w:r>
      <w:r>
        <w:t xml:space="preserve">.</w:t>
      </w:r>
    </w:p>
    <w:p>
      <w:pPr>
        <w:pStyle w:val="BodyText"/>
      </w:pPr>
      <w:r>
        <w:rPr>
          <w:b/>
          <w:bCs/>
        </w:rPr>
        <w:t xml:space="preserve">Valgo dinamico da controllo d’anca.</w:t>
      </w:r>
      <w:r>
        <w:t xml:space="preserve"> </w:t>
      </w:r>
      <w:r>
        <w:t xml:space="preserve">In piedi la gamba è quasi dritta, e il bacino cade dal lato opposto a quello che crolla. È il sottotipo con più margine del documento, e quello che una radiografia da fermo non vede.</w:t>
      </w:r>
    </w:p>
    <w:p>
      <w:pPr>
        <w:pStyle w:val="BodyText"/>
      </w:pPr>
      <w:r>
        <w:rPr>
          <w:b/>
          <w:bCs/>
        </w:rPr>
        <w:t xml:space="preserve">Valgo dinamico da caviglia corta.</w:t>
      </w:r>
      <w:r>
        <w:t xml:space="preserve"> </w:t>
      </w:r>
      <w:r>
        <w:t xml:space="preserve">Stessa presentazione, più un tallone che si stacca nell’accosciata. Si distingue dal primo in dieci secondi: metti un rialzo sotto il tallone e rifai il gesto. Se il ginocchio va dentro meno, la caviglia è pertinente.</w:t>
      </w:r>
    </w:p>
    <w:p>
      <w:pPr>
        <w:pStyle w:val="BodyText"/>
      </w:pPr>
      <w:r>
        <w:rPr>
          <w:b/>
          <w:bCs/>
        </w:rPr>
        <w:t xml:space="preserve">Valgo da eccesso di libertà.</w:t>
      </w:r>
      <w:r>
        <w:t xml:space="preserve"> </w:t>
      </w:r>
      <w:r>
        <w:t xml:space="preserve">Il resto del documento tratta anelli che si muovono poco. Questo sottotipo è l’opposto: un femore girato dentro sull’osso, o una persona globalmente lassa. Lo separi dal primo sottotipo in trenta secondi, in prono, leggendo il</w:t>
      </w:r>
      <w:r>
        <w:t xml:space="preserve"> </w:t>
      </w:r>
      <w:r>
        <w:rPr>
          <w:b/>
          <w:bCs/>
        </w:rPr>
        <w:t xml:space="preserve">rapporto</w:t>
      </w:r>
      <w:r>
        <w:t xml:space="preserve"> </w:t>
      </w:r>
      <w:r>
        <w:t xml:space="preserve">fra rotazione interna ed esterna d’anca. Su di lui la leva dell’escursione non ha presa, e restano il controllo del gesto e la gestione del carico.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l’anteversione femorale aumentata sia riconoscibile all’esame clinico — dove il sospetto nasceva dall’esame, la torsione alla TC era di 42,5 gradi contro 18,7 (Sanchis-Alfonso, 2024, PMID 37610697).</w:t>
      </w:r>
      <w:r>
        <w:t xml:space="preserve"> </w:t>
      </w:r>
      <w:r>
        <w:rPr>
          <w:b/>
          <w:bCs/>
        </w:rPr>
        <w:t xml:space="preserve">IPOTESI</w:t>
      </w:r>
      <w:r>
        <w:t xml:space="preserve"> </w:t>
      </w:r>
      <w:r>
        <w:rPr>
          <w:i/>
          <w:iCs/>
        </w:rPr>
        <w:t xml:space="preserve">(meccanismo coerente, nessuno studio)</w:t>
      </w:r>
      <w:r>
        <w:t xml:space="preserve"> </w:t>
      </w:r>
      <w:r>
        <w:t xml:space="preserve">che la lassità generalizzata sia un fattore determinante, con la prova contraria: su 999 bambini l’ipermobilità non era associata a più infortuni di ginocchio (Junge, 2015, PMID 26065679).</w:t>
      </w:r>
    </w:p>
    <w:p>
      <w:pPr>
        <w:pStyle w:val="FirstParagraph"/>
      </w:pPr>
      <w:r>
        <w:rPr>
          <w:b/>
          <w:bCs/>
        </w:rPr>
        <w:t xml:space="preserve">Valgo con dolore a distribuzione nociplastica.</w:t>
      </w:r>
      <w:r>
        <w:t xml:space="preserve"> </w:t>
      </w:r>
      <w:r>
        <w:t xml:space="preserve">Non è un valgo diverso: è un dolore diverso sopra lo stesso valgo. È sproporzionato al crollo, e porta iperalgesia</w:t>
      </w:r>
      <w:r>
        <w:t xml:space="preserve"> </w:t>
      </w:r>
      <w:r>
        <w:rPr>
          <w:b/>
          <w:bCs/>
        </w:rPr>
        <w:t xml:space="preserve">anche lontano dal ginocchio</w:t>
      </w:r>
      <w:r>
        <w:t xml:space="preserve">. Il quadro atteso in questa popolazione resta però quello nocicettivo meccanico. La soglia pressoria è la pressione a cui il tocco comincia a far male. Negli adulti con dolore anteriore di ginocchio non differisce da quella dei controlli (Rathleff, 2017, PMID 29220355). Nelle adolescenti, invece, la soglia è più bassa del 26-37% attorno al ginocchio e del 33% in un sito distale (Rathleff, 2013, PMID 23508216). Il dolore a riposo è una bandiera rossa: prima di attribuirlo all’elaborazione centrale va escluso lì.</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classificare come nociplastico</w:t>
      </w:r>
      <w:r>
        <w:t xml:space="preserve"> </w:t>
      </w:r>
      <w:r>
        <w:rPr>
          <w:i/>
          <w:iCs/>
        </w:rPr>
        <w:t xml:space="preserve">questo</w:t>
      </w:r>
      <w:r>
        <w:t xml:space="preserve"> </w:t>
      </w:r>
      <w:r>
        <w:t xml:space="preserve">paziente: si fa per criteri clinici graduati e non si dimostra (Kosek, 2021, PMID 33974577).</w:t>
      </w:r>
    </w:p>
    <w:p>
      <w:pPr>
        <w:pStyle w:val="FirstParagraph"/>
      </w:pPr>
      <w:r>
        <w:rPr>
          <w:b/>
          <w:bCs/>
        </w:rPr>
        <w:t xml:space="preserve">Valgo strutturale dell’adulto.</w:t>
      </w:r>
      <w:r>
        <w:t xml:space="preserve"> </w:t>
      </w:r>
      <w:r>
        <w:t xml:space="preserve">La deviazione è già nelle foto di vent’anni fa. Sull’asse non hai margine e non devi cercarne. Ne hai sulla quota dinamica che si somma a quella ossea, sulla tolleranza al carico e sulla distribuzione del gesto nella giornata. Con lui l’obiettivo si negozia alla prima seduta, o il ciclo fallisce anche riuscendo.</w:t>
      </w:r>
    </w:p>
    <w:p>
      <w:pPr>
        <w:pStyle w:val="BodyText"/>
      </w:pPr>
      <w:r>
        <w:rPr>
          <w:b/>
          <w:bCs/>
        </w:rPr>
        <w:t xml:space="preserve">Valgo incidentale asintomatico.</w:t>
      </w:r>
      <w:r>
        <w:t xml:space="preserve"> </w:t>
      </w:r>
      <w:r>
        <w:t xml:space="preserve">Il paziente arriva per un motivo estetico, o perché qualcuno gliel’ha fatto notare. Non c’è niente da trattare, e dirlo è un servizio. Se la richiesta è estetica, la risposta onesta è che non è il nostro campo, e che nessun lavoro manuale cambia la forma di una gamba. Un’uscita in più esiste, e vale solo per chi pratica uno sport con cambi di direzione e atterraggi. A lui la parte attiva si propone come prevenzione, con il numero e il limite che trovi in «Cosa può fare il paziente da solo». Per l’asintomatico non sportivo resta la prima risposta.</w:t>
      </w:r>
    </w:p>
    <w:p>
      <w:pPr>
        <w:pStyle w:val="BodyText"/>
      </w:pPr>
      <w:r>
        <w:rPr>
          <w:b/>
          <w:bCs/>
        </w:rPr>
        <w:t xml:space="preserve">Cancello — l’età evolutiva fuori norma.</w:t>
      </w:r>
      <w:r>
        <w:t xml:space="preserve"> </w:t>
      </w:r>
      <w:r>
        <w:t xml:space="preserve">Riguarda il bambino oltre i sette anni che non è rientrato. Quello con deviazione unilaterale. Quello con distanza fra i malleoli superiore a otto centimetri. Quello sotto il decimo percentile di statura. E quello in cui la deviazione peggiora invece di ridursi (Patel e Nelson, StatPearls 2023). È un invio ortopedico che parte</w:t>
      </w:r>
      <w:r>
        <w:t xml:space="preserve"> </w:t>
      </w:r>
      <w:r>
        <w:rPr>
          <w:b/>
          <w:bCs/>
        </w:rPr>
        <w:t xml:space="preserve">prima</w:t>
      </w:r>
      <w:r>
        <w:t xml:space="preserve"> </w:t>
      </w:r>
      <w:r>
        <w:t xml:space="preserve">della prima seduta. Sulla deviazione non si apre nessun ciclo finché l’ortopedico non si è espresso. Stessa condotta di «Dove finisce il nostro campo», sotto il nome di ROSSO differito.</w:t>
      </w:r>
    </w:p>
    <w:p>
      <w:pPr>
        <w:pStyle w:val="BodyText"/>
      </w:pPr>
      <w:r>
        <w:rPr>
          <w:b/>
          <w:bCs/>
        </w:rPr>
        <w:t xml:space="preserve">Cancello — il valgo acquisito dell’adulto.</w:t>
      </w:r>
      <w:r>
        <w:t xml:space="preserve"> </w:t>
      </w:r>
      <w:r>
        <w:t xml:space="preserve">La deviazione è comparsa piano, spesso su una gamba sola, con dolore laterale e versamento intermittente. È il valgo del settantenne. Viene da un’artrosi laterale, da un’artropatia infiammatoria — un’artrite che aggredisce l’articolazione dall’interno, come l’artrite reumatoide — oppure da una meniscectomia, cioè l’asportazione chirurgica di una parte del menisco. Non è «valgo strutturale». E la riga sulla deviazione comparsa in poche settimane non lo intercetta, perché lui ci ha messo dieci anni. Si inquadra prima del ciclo.</w:t>
      </w:r>
    </w:p>
    <w:p>
      <w:pPr>
        <w:pStyle w:val="BodyText"/>
      </w:pPr>
      <w:r>
        <w:rPr>
          <w:b/>
          <w:bCs/>
        </w:rPr>
        <w:t xml:space="preserve">Cancello — il valgo secondario.</w:t>
      </w:r>
      <w:r>
        <w:t xml:space="preserve"> </w:t>
      </w:r>
      <w:r>
        <w:t xml:space="preserve">È comparso dopo un trauma, o dopo una frattura della tibia prossimale in età pediatrica. Oppure dentro una malattia metabolica dell’osso, dentro una displasia scheletrica — un difetto congenito di formazione dell’osso — o dentro un’artrite infiammatoria. La condotta è mandare, e scrivere perché.</w:t>
      </w:r>
    </w:p>
    <w:p>
      <w:pPr>
        <w:pStyle w:val="BlockText"/>
      </w:pPr>
      <w:r>
        <w:rPr>
          <w:b/>
          <w:bCs/>
        </w:rPr>
        <w:t xml:space="preserve">Attenzione.</w:t>
      </w:r>
      <w:r>
        <w:t xml:space="preserve"> </w:t>
      </w:r>
      <w:r>
        <w:t xml:space="preserve">Il sottotipo si presume, non si diagnostica: la telemetria che lo separerebbe ce l’ha una minoranza dei pazienti che vedrai. Quando manca, dichiari una</w:t>
      </w:r>
      <w:r>
        <w:t xml:space="preserve"> </w:t>
      </w:r>
      <w:r>
        <w:rPr>
          <w:b/>
          <w:bCs/>
        </w:rPr>
        <w:t xml:space="preserve">presunzione di lavoro</w:t>
      </w:r>
      <w:r>
        <w:t xml:space="preserve">. La scrivi in cartella come presunzione e la dici al paziente, ed è fondata sui reperti che produci tu: quanto valgo compare fra scarico e carico, quanto è asimmetrico, quanto cambia con un rialzo sotto il tallone. La presunzione decide da dove parti, non che cosa il paziente ha.</w:t>
      </w:r>
    </w:p>
    <w:p>
      <w:pPr>
        <w:pStyle w:val="FirstParagraph"/>
      </w:pPr>
      <w:r>
        <w:rPr>
          <w:b/>
          <w:bCs/>
        </w:rPr>
        <w:t xml:space="preserve">Condizioni spesso associate:</w:t>
      </w:r>
      <w:r>
        <w:t xml:space="preserve"> </w:t>
      </w:r>
      <w:r>
        <w:t xml:space="preserve">piede piatto o appoggio pronato, vedi la Bibbia del</w:t>
      </w:r>
      <w:r>
        <w:t xml:space="preserve"> </w:t>
      </w:r>
      <w:r>
        <w:rPr>
          <w:b/>
          <w:bCs/>
        </w:rPr>
        <w:t xml:space="preserve">piattismo</w:t>
      </w:r>
      <w:r>
        <w:t xml:space="preserve">; differenza di lunghezza degli arti, vedi la</w:t>
      </w:r>
      <w:r>
        <w:t xml:space="preserve"> </w:t>
      </w:r>
      <w:r>
        <w:rPr>
          <w:b/>
          <w:bCs/>
        </w:rPr>
        <w:t xml:space="preserve">dismetria</w:t>
      </w:r>
      <w:r>
        <w:t xml:space="preserve">; dolore risalito alla schiena, vedi la</w:t>
      </w:r>
      <w:r>
        <w:t xml:space="preserve"> </w:t>
      </w:r>
      <w:r>
        <w:rPr>
          <w:b/>
          <w:bCs/>
        </w:rPr>
        <w:t xml:space="preserve">lombalgia</w:t>
      </w:r>
      <w:r>
        <w:t xml:space="preserve">. Nessuno dei tre si risolve guardando un distretto solo.</w:t>
      </w:r>
    </w:p>
    <w:p>
      <w:pPr>
        <w:pStyle w:val="BodyText"/>
      </w:pPr>
      <w:r>
        <w:rPr>
          <w:b/>
          <w:bCs/>
        </w:rPr>
        <w:t xml:space="preserve">Le tre cose da ricordare, più una</w:t>
      </w:r>
    </w:p>
    <w:p>
      <w:pPr>
        <w:pStyle w:val="Compact"/>
        <w:numPr>
          <w:ilvl w:val="0"/>
          <w:numId w:val="1020"/>
        </w:numPr>
      </w:pPr>
      <w:r>
        <w:t xml:space="preserve">Il sottotipo con più margine è quello che una lastra da fermo non vede.</w:t>
      </w:r>
    </w:p>
    <w:p>
      <w:pPr>
        <w:pStyle w:val="Compact"/>
        <w:numPr>
          <w:ilvl w:val="0"/>
          <w:numId w:val="1020"/>
        </w:numPr>
      </w:pPr>
      <w:r>
        <w:t xml:space="preserve">Il rialzo sotto il tallone separa in dieci secondi due pattern che si somigliano.</w:t>
      </w:r>
    </w:p>
    <w:p>
      <w:pPr>
        <w:pStyle w:val="Compact"/>
        <w:numPr>
          <w:ilvl w:val="0"/>
          <w:numId w:val="1020"/>
        </w:numPr>
      </w:pPr>
      <w:r>
        <w:t xml:space="preserve">Con il valgo strutturale l’obiettivo si negozia alla prima seduta, o il ciclo fallisce anche riuscendo.</w:t>
      </w:r>
    </w:p>
    <w:p>
      <w:pPr>
        <w:pStyle w:val="Compact"/>
        <w:numPr>
          <w:ilvl w:val="0"/>
          <w:numId w:val="1020"/>
        </w:numPr>
      </w:pPr>
      <w:r>
        <w:rPr>
          <w:b/>
          <w:bCs/>
        </w:rPr>
        <w:t xml:space="preserve">Perché ci sei tu.</w:t>
      </w:r>
      <w:r>
        <w:t xml:space="preserve"> </w:t>
      </w:r>
      <w:r>
        <w:t xml:space="preserve">Fra il 17% e il 23% delle ginocchia misurate erano valghe, con il valgo definito come soglia strumentale (Felson, 2013, PMID 23203672). Ti autorizza a riconoscere il reperto incidentale e a dire che non c’è niente da trattare. Non ti autorizza ad aprire un ciclo su un asse che non produce niente.</w:t>
      </w:r>
    </w:p>
    <w:p>
      <w:r>
        <w:pict>
          <v:rect style="width:0;height:1.5pt" o:hralign="center" o:hrstd="t" o:hr="t"/>
        </w:pict>
      </w:r>
    </w:p>
    <w:bookmarkEnd w:id="30"/>
    <w:bookmarkStart w:id="36"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un modello porta quasi tutto il peso, uno non ha niente da dire, e dichiararlo è ciò che rende credibili gli altri quattro.</w:t>
      </w:r>
    </w:p>
    <w:bookmarkStart w:id="31" w:name="biomeccanico-strutturale"/>
    <w:p>
      <w:pPr>
        <w:pStyle w:val="Heading3"/>
      </w:pPr>
      <w:r>
        <w:t xml:space="preserve">Biomeccanico-Strutturale</w:t>
      </w:r>
    </w:p>
    <w:p>
      <w:pPr>
        <w:pStyle w:val="FirstParagraph"/>
      </w:pPr>
      <w:r>
        <w:rPr>
          <w:b/>
          <w:bCs/>
        </w:rPr>
        <w:t xml:space="preserve">Cosa governa qui.</w:t>
      </w:r>
      <w:r>
        <w:t xml:space="preserve"> </w:t>
      </w:r>
      <w:r>
        <w:t xml:space="preserve">La geometria dell’arto, l’escursione di anca e caviglia, la traiettoria del ginocchio sotto carico. È il modello dominante, e non per abitudine: è quello su cui esistono le misure.</w:t>
      </w:r>
    </w:p>
    <w:p>
      <w:pPr>
        <w:pStyle w:val="BodyText"/>
      </w:pPr>
      <w:r>
        <w:rPr>
          <w:b/>
          <w:bCs/>
        </w:rPr>
        <w:t xml:space="preserve">Quali meccanismi governa.</w:t>
      </w:r>
      <w:r>
        <w:t xml:space="preserve"> </w:t>
      </w:r>
      <w:r>
        <w:t xml:space="preserve">Tutti tranne il conto delle ripetizioni. Ma «la forma con cui sei arrivato» lo governa</w:t>
      </w:r>
      <w:r>
        <w:t xml:space="preserve"> </w:t>
      </w:r>
      <w:r>
        <w:rPr>
          <w:b/>
          <w:bCs/>
        </w:rPr>
        <w:t xml:space="preserve">in lettura</w:t>
      </w:r>
      <w:r>
        <w:t xml:space="preserve">, non come leva: quell’osso non si muove.</w:t>
      </w:r>
    </w:p>
    <w:p>
      <w:pPr>
        <w:pStyle w:val="BodyText"/>
      </w:pPr>
      <w:r>
        <w:rPr>
          <w:b/>
          <w:bCs/>
        </w:rPr>
        <w:t xml:space="preserve">Gli attori.</w:t>
      </w:r>
      <w:r>
        <w:t xml:space="preserve"> </w:t>
      </w:r>
      <w:r>
        <w:t xml:space="preserve">Grande e medio gluteo, rotatori esterni profondi dell’anca, femore, complesso caviglia-retropiede, tratto ileotibiale, compartimento laterale del ginocchio, articolazione femoro-rotulea, quadricipite.</w:t>
      </w:r>
    </w:p>
    <w:p>
      <w:pPr>
        <w:pStyle w:val="BodyText"/>
      </w:pPr>
      <w:r>
        <w:rPr>
          <w:b/>
          <w:bCs/>
        </w:rPr>
        <w:t xml:space="preserve">I segnali che pesa in questo paziente.</w:t>
      </w:r>
      <w:r>
        <w:t xml:space="preserve"> </w:t>
      </w:r>
      <w:r>
        <w:t xml:space="preserve">Asimmetria netta del crollo. Dorsiflessione in carico ridotta. Rotazione d’anca limitata o asimmetrica. Il gesto che cambia subito con un rialzo sotto il tallone.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 relazione fra allineamento e ripartizione del carico (Halder, 2012, PMID 22637208).</w:t>
      </w:r>
      <w:r>
        <w:t xml:space="preserve"> </w:t>
      </w:r>
      <w:r>
        <w:rPr>
          <w:b/>
          <w:bCs/>
        </w:rPr>
        <w:t xml:space="preserve">PROBABILE</w:t>
      </w:r>
      <w:r>
        <w:t xml:space="preserve"> </w:t>
      </w:r>
      <w:r>
        <w:rPr>
          <w:i/>
          <w:iCs/>
        </w:rPr>
        <w:t xml:space="preserve">(razionale forte, prove parziali)</w:t>
      </w:r>
      <w:r>
        <w:t xml:space="preserve"> </w:t>
      </w:r>
      <w:r>
        <w:t xml:space="preserve">che una caviglia che parte da meno estensione sposti il ginocchio dentro (Macrum, 2012, PMID 22100617).</w:t>
      </w:r>
      <w:r>
        <w:t xml:space="preserve"> </w:t>
      </w:r>
      <w:r>
        <w:rPr>
          <w:b/>
          <w:bCs/>
        </w:rPr>
        <w:t xml:space="preserve">PROBABILE</w:t>
      </w:r>
      <w:r>
        <w:t xml:space="preserve"> </w:t>
      </w:r>
      <w:r>
        <w:t xml:space="preserve">che il lavoro</w:t>
      </w:r>
      <w:r>
        <w:t xml:space="preserve"> </w:t>
      </w:r>
      <w:r>
        <w:rPr>
          <w:b/>
          <w:bCs/>
        </w:rPr>
        <w:t xml:space="preserve">attivo</w:t>
      </w:r>
      <w:r>
        <w:t xml:space="preserve"> </w:t>
      </w:r>
      <w:r>
        <w:t xml:space="preserve">su questo modello riduca il sintomo: gli interventi prossimali</w:t>
      </w:r>
      <w:r>
        <w:t xml:space="preserve"> </w:t>
      </w:r>
      <w:r>
        <w:rPr>
          <w:b/>
          <w:bCs/>
        </w:rPr>
        <w:t xml:space="preserve">combinati con il quadricipite</w:t>
      </w:r>
      <w:r>
        <w:t xml:space="preserve"> </w:t>
      </w:r>
      <w:r>
        <w:t xml:space="preserve">hanno prove forti a breve termine sul dolore anteriore di ginocchio (Lack, 2015, PMID 26175019) — e quella revisione misura esercizio, non mani. Nella stessa riga le prove discordanti: la relazione fra forza d’anca e valgo dinamico è discordante in sette studi su adulti sani (Alzahrani, 2021, PMID 34300118), e a ridurre il valgo dinamico sono stati i programmi sui muscoli che attraversano il ginocchio, non quelli sul tronco (Sahabuddin, 2021, PMID 34268014).</w:t>
      </w:r>
    </w:p>
    <w:bookmarkEnd w:id="31"/>
    <w:bookmarkStart w:id="32" w:name="respiratorio-circolatorio"/>
    <w:p>
      <w:pPr>
        <w:pStyle w:val="Heading3"/>
      </w:pPr>
      <w:r>
        <w:t xml:space="preserve">Respiratorio-Circolatorio</w:t>
      </w:r>
    </w:p>
    <w:p>
      <w:pPr>
        <w:pStyle w:val="FirstParagraph"/>
      </w:pPr>
      <w:r>
        <w:rPr>
          <w:b/>
          <w:bCs/>
        </w:rPr>
        <w:t xml:space="preserve">Cosa governa qui.</w:t>
      </w:r>
      <w:r>
        <w:t xml:space="preserve"> </w:t>
      </w:r>
      <w:r>
        <w:t xml:space="preserve">Su questo distretto quasi niente: nessuno dei cinque meccanismi, e nessun attore pertinente.</w:t>
      </w:r>
    </w:p>
    <w:p>
      <w:pPr>
        <w:pStyle w:val="BodyText"/>
      </w:pPr>
      <w:r>
        <w:rPr>
          <w:b/>
          <w:bCs/>
        </w:rPr>
        <w:t xml:space="preserve">I segnali che sembrano suoi, e dove portano davvero.</w:t>
      </w:r>
      <w:r>
        <w:t xml:space="preserve"> </w:t>
      </w:r>
      <w:r>
        <w:t xml:space="preserve">Un polpaccio dolente e gonfio da un lato somiglia a un problema di ritorno venoso, e</w:t>
      </w:r>
      <w:r>
        <w:t xml:space="preserve"> </w:t>
      </w:r>
      <w:r>
        <w:rPr>
          <w:b/>
          <w:bCs/>
        </w:rPr>
        <w:t xml:space="preserve">non è materia di questo modello</w:t>
      </w:r>
      <w:r>
        <w:t xml:space="preserve">: è una bandiera rossa, e va al pronto soccorso. Un ginocchio caldo, rosso e gonfio somiglia a un problema di fluidi, e</w:t>
      </w:r>
      <w:r>
        <w:t xml:space="preserve"> </w:t>
      </w:r>
      <w:r>
        <w:rPr>
          <w:b/>
          <w:bCs/>
        </w:rPr>
        <w:t xml:space="preserve">non è materia di questo modello</w:t>
      </w:r>
      <w:r>
        <w:t xml:space="preserve">: è un’</w:t>
      </w:r>
      <w:r>
        <w:rPr>
          <w:b/>
          <w:bCs/>
        </w:rPr>
        <w:t xml:space="preserve">artrite settica</w:t>
      </w:r>
      <w:r>
        <w:t xml:space="preserve"> </w:t>
      </w:r>
      <w:r>
        <w:t xml:space="preserve">fino a prova contraria.</w:t>
      </w:r>
    </w:p>
    <w:p>
      <w:pPr>
        <w:pStyle w:val="BlockText"/>
      </w:pPr>
      <w:r>
        <w:rPr>
          <w:b/>
          <w:bCs/>
        </w:rPr>
        <w:t xml:space="preserve">Attenzione.</w:t>
      </w:r>
      <w:r>
        <w:t xml:space="preserve"> </w:t>
      </w:r>
      <w:r>
        <w:t xml:space="preserve">Qui il modello si dichiara</w:t>
      </w:r>
      <w:r>
        <w:t xml:space="preserve"> </w:t>
      </w:r>
      <w:r>
        <w:rPr>
          <w:b/>
          <w:bCs/>
        </w:rPr>
        <w:t xml:space="preserve">fuori perimetro</w:t>
      </w:r>
      <w:r>
        <w:t xml:space="preserve">, e il motivo è l’assenza di misura, non di interesse.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quantificato ritorno venoso o drenaggio linfatico dell’arto inferiore prima e dopo un trattamento manuale in questi pazienti. Il modello resta uno dei cinque: è il perimetro a essere ristretto, non il modello a essere tolto.</w:t>
      </w:r>
    </w:p>
    <w:bookmarkEnd w:id="32"/>
    <w:bookmarkStart w:id="33" w:name="neurologico"/>
    <w:p>
      <w:pPr>
        <w:pStyle w:val="Heading3"/>
      </w:pPr>
      <w:r>
        <w:t xml:space="preserve">Neurologico</w:t>
      </w:r>
    </w:p>
    <w:p>
      <w:pPr>
        <w:pStyle w:val="FirstParagraph"/>
      </w:pPr>
      <w:r>
        <w:rPr>
          <w:b/>
          <w:bCs/>
        </w:rPr>
        <w:t xml:space="preserve">Cosa governa qui.</w:t>
      </w:r>
      <w:r>
        <w:t xml:space="preserve"> </w:t>
      </w:r>
      <w:r>
        <w:t xml:space="preserve">Il programma motorio del gesto, il reclutamento dei glutei in appoggio su una gamba, e il livello di attivazione che decide quanto un carico diventa sintomo.</w:t>
      </w:r>
    </w:p>
    <w:p>
      <w:pPr>
        <w:pStyle w:val="BodyText"/>
      </w:pPr>
      <w:r>
        <w:rPr>
          <w:b/>
          <w:bCs/>
        </w:rPr>
        <w:t xml:space="preserve">Quali meccanismi governa.</w:t>
      </w:r>
      <w:r>
        <w:t xml:space="preserve"> </w:t>
      </w:r>
      <w:r>
        <w:t xml:space="preserve">Il ginocchio obbedisce all’anca, nella parte del reclutamento e non in quella della forza. E,</w:t>
      </w:r>
      <w:r>
        <w:t xml:space="preserve"> </w:t>
      </w:r>
      <w:r>
        <w:rPr>
          <w:b/>
          <w:bCs/>
        </w:rPr>
        <w:t xml:space="preserve">fuori dai cinque meccanismi</w:t>
      </w:r>
      <w:r>
        <w:t xml:space="preserve">, il modo in cui il dolore viene elaborato — il sottotipo con dolore a distribuzione nociplastica di «Non è una condizione sola».</w:t>
      </w:r>
    </w:p>
    <w:p>
      <w:pPr>
        <w:pStyle w:val="BodyText"/>
      </w:pPr>
      <w:r>
        <w:rPr>
          <w:b/>
          <w:bCs/>
        </w:rPr>
        <w:t xml:space="preserve">Gli attori.</w:t>
      </w:r>
      <w:r>
        <w:t xml:space="preserve"> </w:t>
      </w:r>
      <w:r>
        <w:t xml:space="preserve">Il momento di attivazione del medio gluteo nei gesti su una gamba (Barton, 2013, PMID 22945929). La nocicezione del compartimento e della fascia laterale. Il modo in cui il sistema nervoso elabora quel segnale. E il ritmo del respiro, che entra qui come ingresso al tono autonomico, non come meccanica ventilatoria.</w:t>
      </w:r>
    </w:p>
    <w:p>
      <w:pPr>
        <w:pStyle w:val="BlockText"/>
      </w:pPr>
      <w:r>
        <w:rPr>
          <w:b/>
          <w:bCs/>
        </w:rPr>
        <w:t xml:space="preserve">Definizione.</w:t>
      </w:r>
      <w:r>
        <w:t xml:space="preserve"> </w:t>
      </w:r>
      <w:r>
        <w:t xml:space="preserve">Il</w:t>
      </w:r>
      <w:r>
        <w:t xml:space="preserve"> </w:t>
      </w:r>
      <w:r>
        <w:rPr>
          <w:b/>
          <w:bCs/>
        </w:rPr>
        <w:t xml:space="preserve">livello di attivazione</w:t>
      </w:r>
      <w:r>
        <w:t xml:space="preserve"> </w:t>
      </w:r>
      <w:r>
        <w:t xml:space="preserve">è quanto il sistema nervoso di questo paziente tiene alta la guardia. Non è il reclutamento di un muscolo, che si misura in elettromiografia: è uno stato, e si riconosce per quattro segni, di cui ne bastano tre. Il tessuto rimbalza la correzione appena appoggi le mani. Il respiro è alto e corto a riposo. Il sintomo non ha orologio né contatore. E il dolore riferito è sproporzionato al crollo misurato.</w:t>
      </w:r>
    </w:p>
    <w:p>
      <w:pPr>
        <w:pStyle w:val="FirstParagraph"/>
      </w:pPr>
      <w:r>
        <w:rPr>
          <w:b/>
          <w:bCs/>
        </w:rPr>
        <w:t xml:space="preserve">I segnali che pesa in questo paziente.</w:t>
      </w:r>
      <w:r>
        <w:t xml:space="preserve"> </w:t>
      </w:r>
      <w:r>
        <w:t xml:space="preserve">È forte e non usa quella forza nel gesto. Il crollo si riduce</w:t>
      </w:r>
      <w:r>
        <w:t xml:space="preserve"> </w:t>
      </w:r>
      <w:r>
        <w:rPr>
          <w:b/>
          <w:bCs/>
        </w:rPr>
        <w:t xml:space="preserve">subito</w:t>
      </w:r>
      <w:r>
        <w:t xml:space="preserve"> </w:t>
      </w:r>
      <w:r>
        <w:t xml:space="preserve">davanti allo specchio. Il sintomo è sproporzionato al carico. Il dolore si è diffuso oltre il ginocchio, e la sensibilità è aumentata anche in un punto lontano da esso.</w:t>
      </w:r>
    </w:p>
    <w:p>
      <w:pPr>
        <w:pStyle w:val="BodyText"/>
      </w:pPr>
      <w:r>
        <w:t xml:space="preserve">Il secondo segnale si legge male più spesso degli altri. Il crollo che si riduce davanti allo specchio dice che</w:t>
      </w:r>
      <w:r>
        <w:t xml:space="preserve"> </w:t>
      </w:r>
      <w:r>
        <w:rPr>
          <w:b/>
          <w:bCs/>
        </w:rPr>
        <w:t xml:space="preserve">con un riferimento esterno il sistema sa produrre quella traiettoria</w:t>
      </w:r>
      <w:r>
        <w:t xml:space="preserve">, non che il comando c’è. È la ricetta aperta sul tavolo: con quella davanti il piatto riesce, a memoria non ancora. Che la produca domani senza specchio è apprendimento, e costa settimane: nell’unico studio che l’ha ottenuta sono servite otto sessioni per mantenerla a tre mesi (Willy, 2012, PMID 22917625; dieci corridrici, senza controllo).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forza guadagnata non passi automaticamente nel gesto (Willy e Davis, 2011, PMID 21765220 — venti donne sane, prima-dopo, senza gruppo di controllo): il dato per intero sta in «Cosa può fare il paziente da solo», sotto «Cosa NON fa».</w:t>
      </w:r>
      <w:r>
        <w:t xml:space="preserve"> </w:t>
      </w:r>
      <w:r>
        <w:rPr>
          <w:b/>
          <w:bCs/>
        </w:rPr>
        <w:t xml:space="preserve">IPOTESI</w:t>
      </w:r>
      <w:r>
        <w:t xml:space="preserve"> </w:t>
      </w:r>
      <w:r>
        <w:rPr>
          <w:i/>
          <w:iCs/>
        </w:rPr>
        <w:t xml:space="preserve">(meccanismo coerente, nessuno studio)</w:t>
      </w:r>
      <w:r>
        <w:t xml:space="preserve"> </w:t>
      </w:r>
      <w:r>
        <w:t xml:space="preserve">che il tocco modifichi il livello di attivazione di questi pazienti: nessuno l’ha misurato su questa condizione. E la conduttanza cutanea più alta dopo trattamento manuale non è una prova contraria alla leva: è la misura di un’altra grandezza (Vicenzino, 1998, PMID 9777544). Il dato per intero, con il suo limite, sta in «Perché le mani possono cambiare qualcosa», nella leva sull’attivazione. Sul livello tonico, in questa condizione, nessuno ha misurato niente.</w:t>
      </w:r>
    </w:p>
    <w:bookmarkEnd w:id="33"/>
    <w:bookmarkStart w:id="34" w:name="metabolico-energetico"/>
    <w:p>
      <w:pPr>
        <w:pStyle w:val="Heading3"/>
      </w:pPr>
      <w:r>
        <w:t xml:space="preserve">Metabolico-Energetico</w:t>
      </w:r>
    </w:p>
    <w:p>
      <w:pPr>
        <w:pStyle w:val="FirstParagraph"/>
      </w:pPr>
      <w:r>
        <w:rPr>
          <w:b/>
          <w:bCs/>
        </w:rPr>
        <w:t xml:space="preserve">Cosa governa qui.</w:t>
      </w:r>
      <w:r>
        <w:t xml:space="preserve"> </w:t>
      </w:r>
      <w:r>
        <w:t xml:space="preserve">Il carico totale che l’articolazione riceve ogni giorno: massa corporea, volume di attività, distribuzione della fatica.</w:t>
      </w:r>
      <w:r>
        <w:t xml:space="preserve"> </w:t>
      </w:r>
      <w:r>
        <w:rPr>
          <w:b/>
          <w:bCs/>
        </w:rPr>
        <w:t xml:space="preserve">Quali meccanismi governa:</w:t>
      </w:r>
      <w:r>
        <w:t xml:space="preserve"> </w:t>
      </w:r>
      <w:r>
        <w:t xml:space="preserve">il conto delle ripetizioni.</w:t>
      </w:r>
    </w:p>
    <w:p>
      <w:pPr>
        <w:pStyle w:val="BodyText"/>
      </w:pPr>
      <w:r>
        <w:rPr>
          <w:b/>
          <w:bCs/>
        </w:rPr>
        <w:t xml:space="preserve">Gli attori.</w:t>
      </w:r>
      <w:r>
        <w:t xml:space="preserve"> </w:t>
      </w:r>
      <w:r>
        <w:t xml:space="preserve">Massa corporea, ore in piedi, chilometri corsi, superficie e calzatura, e la distribuzione del carico dentro la giornata.</w:t>
      </w:r>
    </w:p>
    <w:p>
      <w:pPr>
        <w:pStyle w:val="BodyText"/>
      </w:pPr>
      <w:r>
        <w:rPr>
          <w:b/>
          <w:bCs/>
        </w:rPr>
        <w:t xml:space="preserve">I segnali che pesa in questo paziente.</w:t>
      </w:r>
      <w:r>
        <w:t xml:space="preserve"> </w:t>
      </w:r>
      <w:r>
        <w:t xml:space="preserve">È comparso dopo un aumento di peso o di volume di allenamento. Per gli altri segnali, vedi «Come si vede addosso al paziente» del quinto meccanismo.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nel senso che «Come si usa questa Bibbia» dà alle misure sperimentali dirette nell’uomo — che ogni chilo di massa corporea in meno corrisponda a circa quattro chili in meno di carico articolare per passo, misurato con analisi del cammino in 142 adulti (Messier, 2005, PMID 15986358). È una misura biomeccanica, e sta qui perché la grandezza che la muove appartiene a questo modello. Che ridurre quel carico cambi anche il</w:t>
      </w:r>
      <w:r>
        <w:t xml:space="preserve"> </w:t>
      </w:r>
      <w:r>
        <w:rPr>
          <w:b/>
          <w:bCs/>
        </w:rPr>
        <w:t xml:space="preserve">sintomo</w:t>
      </w:r>
      <w:r>
        <w:t xml:space="preserve">, e non solo i newton, è</w:t>
      </w:r>
      <w:r>
        <w:t xml:space="preserve"> </w:t>
      </w:r>
      <w:r>
        <w:rPr>
          <w:b/>
          <w:bCs/>
        </w:rPr>
        <w:t xml:space="preserve">PROBABILE</w:t>
      </w:r>
      <w:r>
        <w:t xml:space="preserve"> </w:t>
      </w:r>
      <w:r>
        <w:rPr>
          <w:i/>
          <w:iCs/>
        </w:rPr>
        <w:t xml:space="preserve">(razionale forte, prove parziali)</w:t>
      </w:r>
      <w:r>
        <w:t xml:space="preserve">: in 454 adulti sopra i 55 anni, in sovrappeso e con artrosi di ginocchio, diciotto mesi di dieta intensiva hanno ridotto la forza di compressione dentro il ginocchio rispetto al solo esercizio — differenza di 200 newton — e il gruppo dieta</w:t>
      </w:r>
      <w:r>
        <w:t xml:space="preserve"> </w:t>
      </w:r>
      <w:r>
        <w:rPr>
          <w:b/>
          <w:bCs/>
        </w:rPr>
        <w:t xml:space="preserve">più</w:t>
      </w:r>
      <w:r>
        <w:t xml:space="preserve"> </w:t>
      </w:r>
      <w:r>
        <w:t xml:space="preserve">esercizio ha avuto meno dolore e migliore funzione di ciascuno dei due da solo (Messier, 2013, PMID 24065013). Misurato su adulti sopra i 55 anni con artrosi di ginocchio già diagnosticata, non su pazienti con valgismo — e l’intervento è dieta più esercizio, cioè due cose che tu nomini e rinvii, non due cose che fai. Il passaggio più fine — il rapporto fra carico cumulativo e capacità del tessuto di ripararsi — resta</w:t>
      </w:r>
      <w:r>
        <w:t xml:space="preserve"> </w:t>
      </w:r>
      <w:r>
        <w:rPr>
          <w:b/>
          <w:bCs/>
        </w:rPr>
        <w:t xml:space="preserve">IPOTESI</w:t>
      </w:r>
      <w:r>
        <w:t xml:space="preserve"> </w:t>
      </w:r>
      <w:r>
        <w:rPr>
          <w:i/>
          <w:iCs/>
        </w:rPr>
        <w:t xml:space="preserve">(meccanismo coerente, nessuno studio)</w:t>
      </w:r>
      <w:r>
        <w:t xml:space="preserve">.</w:t>
      </w:r>
    </w:p>
    <w:p>
      <w:pPr>
        <w:pStyle w:val="BlockText"/>
      </w:pPr>
      <w:r>
        <w:rPr>
          <w:b/>
          <w:bCs/>
        </w:rPr>
        <w:t xml:space="preserve">Attenzione.</w:t>
      </w:r>
      <w:r>
        <w:t xml:space="preserve"> </w:t>
      </w:r>
      <w:r>
        <w:t xml:space="preserve">Nessuna di queste leve si lavora con le mani. Si valutano, si nominano e si rinviano: il peso al medico o al dietista, il volume a chi allena. Quello che è tuo è dirlo, spiegarlo e scriverlo.</w:t>
      </w:r>
    </w:p>
    <w:bookmarkEnd w:id="34"/>
    <w:bookmarkStart w:id="35"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della propria gamba, cosa ha smesso di fare, cosa considererà un risultato.</w:t>
      </w:r>
    </w:p>
    <w:p>
      <w:pPr>
        <w:pStyle w:val="BodyText"/>
      </w:pPr>
      <w:r>
        <w:rPr>
          <w:b/>
          <w:bCs/>
        </w:rPr>
        <w:t xml:space="preserve">Quali meccanismi governa.</w:t>
      </w:r>
      <w:r>
        <w:t xml:space="preserve"> </w:t>
      </w:r>
      <w:r>
        <w:t xml:space="preserve">Nessuno dei cinque direttamente.</w:t>
      </w:r>
      <w:r>
        <w:t xml:space="preserve"> </w:t>
      </w:r>
      <w:r>
        <w:rPr>
          <w:b/>
          <w:bCs/>
        </w:rPr>
        <w:t xml:space="preserve">Fuori dai cinque</w:t>
      </w:r>
      <w:r>
        <w:t xml:space="preserve">, governa due passaggi che nessun altro modello copre: da reperto a sintomo, e da sintomo a disabilità. Cioè quanto un ginocchio che crolla arriva a far male, e quanto il male arriva a togliere vita.</w:t>
      </w:r>
    </w:p>
    <w:p>
      <w:pPr>
        <w:pStyle w:val="BodyText"/>
      </w:pPr>
      <w:r>
        <w:rPr>
          <w:b/>
          <w:bCs/>
        </w:rPr>
        <w:t xml:space="preserve">Gli attori.</w:t>
      </w:r>
      <w:r>
        <w:t xml:space="preserve"> </w:t>
      </w:r>
      <w:r>
        <w:t xml:space="preserve">La frase</w:t>
      </w:r>
      <w:r>
        <w:t xml:space="preserve"> </w:t>
      </w:r>
      <w:r>
        <w:rPr>
          <w:i/>
          <w:iCs/>
        </w:rPr>
        <w:t xml:space="preserve">«è genetico»</w:t>
      </w:r>
      <w:r>
        <w:t xml:space="preserve">, la componente estetica taciuta, la paura dell’artrosi, l’evitamento, l’aspettativa che il ciclo raddrizzi la gamba.</w:t>
      </w:r>
      <w:r>
        <w:t xml:space="preserve"> </w:t>
      </w:r>
      <w:r>
        <w:rPr>
          <w:b/>
          <w:bCs/>
        </w:rPr>
        <w:t xml:space="preserve">I segnali:</w:t>
      </w:r>
      <w:r>
        <w:t xml:space="preserve"> </w:t>
      </w:r>
      <w:r>
        <w:t xml:space="preserve">l’obiettivo che porta è visivo e non funzionale; ha smesso di fare cose che potrebbe fare; parla della propria gamba come di un difetto permanente.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 fattori psicologici pesino qui: in venticinque studi ansia, depressione, catastrofizzazione e paura del movimento risultano più alte nel dolore anteriore di ginocchio e correlate a dolore e funzione (Maclachlan, 2017, PMID 28320733), e la paura del movimento è</w:t>
      </w:r>
      <w:r>
        <w:t xml:space="preserve"> </w:t>
      </w:r>
      <w:r>
        <w:rPr>
          <w:b/>
          <w:bCs/>
        </w:rPr>
        <w:t xml:space="preserve">modificabile</w:t>
      </w:r>
      <w:r>
        <w:t xml:space="preserve"> </w:t>
      </w:r>
      <w:r>
        <w:t xml:space="preserve">(Rethman, 2023, PMID 37354454).</w:t>
      </w:r>
      <w:r>
        <w:t xml:space="preserve"> </w:t>
      </w:r>
      <w:r>
        <w:rPr>
          <w:b/>
          <w:bCs/>
        </w:rPr>
        <w:t xml:space="preserve">DIMOSTRATO</w:t>
      </w:r>
      <w:r>
        <w:t xml:space="preserve"> </w:t>
      </w:r>
      <w:r>
        <w:rPr>
          <w:i/>
          <w:iCs/>
        </w:rPr>
        <w:t xml:space="preserve">(studi sull’uomo, solidi)</w:t>
      </w:r>
      <w:r>
        <w:t xml:space="preserve"> </w:t>
      </w:r>
      <w:r>
        <w:t xml:space="preserve">che i fattori non specifici pesino molto sull’esito immediato di un intervento manuale: nella meta-analisi di 54 studi controllati con placebo su 3.793 persone con dolore muscolo-scheletrico, la quota di effetto non attribuibile allo specifico era dell’88% per la mobilizzazione — con intervallo di confidenza da 0,57 a 1,20, cioè la fascia dentro cui il valore vero sta con ragionevole probabilità — e del 46% per l’esercizio (Ezzatvar, 2024, PMID 38602164). Misurato su dolore muscolo-scheletrico in generale, non su pazienti con questa condizione.</w:t>
      </w:r>
    </w:p>
    <w:p>
      <w:pPr>
        <w:pStyle w:val="FirstParagraph"/>
      </w:pPr>
      <w:r>
        <w:rPr>
          <w:b/>
          <w:bCs/>
        </w:rPr>
        <w:t xml:space="preserve">Le tre cose da ricordare, più una</w:t>
      </w:r>
    </w:p>
    <w:p>
      <w:pPr>
        <w:pStyle w:val="Compact"/>
        <w:numPr>
          <w:ilvl w:val="0"/>
          <w:numId w:val="1021"/>
        </w:numPr>
      </w:pPr>
      <w:r>
        <w:t xml:space="preserve">Il Biomeccanico porta quasi tutto il peso, e il Respiratorio-Circolatorio qui non ha niente da dire: dichiararlo rafforza gli altri quattro.</w:t>
      </w:r>
    </w:p>
    <w:p>
      <w:pPr>
        <w:pStyle w:val="Compact"/>
        <w:numPr>
          <w:ilvl w:val="0"/>
          <w:numId w:val="1021"/>
        </w:numPr>
      </w:pPr>
      <w:r>
        <w:t xml:space="preserve">Il Neurologico spiega il paradosso centrale di questa condizione: il paziente è forte e non usa la forza nel gesto.</w:t>
      </w:r>
    </w:p>
    <w:p>
      <w:pPr>
        <w:pStyle w:val="Compact"/>
        <w:numPr>
          <w:ilvl w:val="0"/>
          <w:numId w:val="1021"/>
        </w:numPr>
      </w:pPr>
      <w:r>
        <w:t xml:space="preserve">Il Metabolico non governa il valgo, governa il conto: e il conto decide quando il valgo diventa sintomo.</w:t>
      </w:r>
    </w:p>
    <w:p>
      <w:pPr>
        <w:pStyle w:val="Compact"/>
        <w:numPr>
          <w:ilvl w:val="0"/>
          <w:numId w:val="1021"/>
        </w:numPr>
      </w:pPr>
      <w:r>
        <w:rPr>
          <w:b/>
          <w:bCs/>
        </w:rPr>
        <w:t xml:space="preserve">Perché ci sei tu.</w:t>
      </w:r>
      <w:r>
        <w:t xml:space="preserve"> </w:t>
      </w:r>
      <w:r>
        <w:t xml:space="preserve">Ogni chilo perso vale circa quattro chili in meno di carico a ogni passo (Messier, 2005, PMID 15986358). Ti autorizza a nominare la leva del peso con un numero invece che con un consiglio generico. Non ti autorizza a prescrivere una dieta né a stimare quanto dovrebbe perdere.</w:t>
      </w:r>
    </w:p>
    <w:p>
      <w:r>
        <w:pict>
          <v:rect style="width:0;height:1.5pt" o:hralign="center" o:hrstd="t" o:hr="t"/>
        </w:pict>
      </w:r>
    </w:p>
    <w:bookmarkEnd w:id="35"/>
    <w:bookmarkEnd w:id="36"/>
    <w:bookmarkStart w:id="4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quanto è storta la gamba, è quale piano ha smesso di fare la sua parte quando il paziente si muove.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decido su quale modello agire per primo in</w:t>
      </w:r>
      <w:r>
        <w:t xml:space="preserve"> </w:t>
      </w:r>
      <w:r>
        <w:rPr>
          <w:i/>
          <w:iCs/>
        </w:rPr>
        <w:t xml:space="preserve">questo</w:t>
      </w:r>
      <w:r>
        <w:t xml:space="preserve"> </w:t>
      </w:r>
      <w:r>
        <w:t xml:space="preserve">paziente, non una catena causale dimostrata.</w:t>
      </w:r>
    </w:p>
    <w:bookmarkStart w:id="37" w:name="la-punta-e-il-sommerso"/>
    <w:p>
      <w:pPr>
        <w:pStyle w:val="Heading3"/>
      </w:pPr>
      <w:r>
        <w:t xml:space="preserve">La punta e il sommerso</w:t>
      </w:r>
    </w:p>
    <w:p>
      <w:pPr>
        <w:pStyle w:val="FirstParagraph"/>
      </w:pPr>
      <w:r>
        <w:t xml:space="preserve">Il paziente porta la punta: una gamba storta e un ginocchio che fa male. Il sommerso decide se quella forma produce sintomo, ed è diverso in tre pazienti con la stessa fotografia. La disfunzione che, ricostruendo a ritroso, ha innescato le altre è la</w:t>
      </w:r>
      <w:r>
        <w:t xml:space="preserve"> </w:t>
      </w:r>
      <w:r>
        <w:rPr>
          <w:b/>
          <w:bCs/>
        </w:rPr>
        <w:t xml:space="preserve">lesione primaria</w:t>
      </w:r>
      <w:r>
        <w:t xml:space="preserve">: resta un’ipotesi, e si scrive come tale.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w:t>
      </w:r>
      <w:r>
        <w:t xml:space="preserve"> </w:t>
      </w:r>
      <w:r>
        <w:rPr>
          <w:b/>
          <w:bCs/>
        </w:rPr>
        <w:t xml:space="preserve">capacità di compenso</w:t>
      </w:r>
      <w:r>
        <w:t xml:space="preserve"> </w:t>
      </w:r>
      <w:r>
        <w:t xml:space="preserve">degli altri. È l’ipotesi di lavoro che decide su cosa agire per primo, non un fatto misurato: per questo porta sempre l’etichetta RAGIONAMENTO.</w:t>
      </w:r>
    </w:p>
    <w:p>
      <w:pPr>
        <w:pStyle w:val="FirstParagraph"/>
      </w:pPr>
      <w:r>
        <w:rPr>
          <w:b/>
          <w:bCs/>
        </w:rPr>
        <w:t xml:space="preserve">Paziente A — la corridrice di trentadue anni.</w:t>
      </w:r>
      <w:r>
        <w:t xml:space="preserve"> </w:t>
      </w:r>
      <w:r>
        <w:t xml:space="preserve">Ha aumentato i chilometri sei mesi fa, e da allora il ginocchio destro le fa male dopo venti minuti. In piedi le gambe sono quasi dritte. Allo step-down su destra il ginocchio crolla dentro e il bacino cade a sinistra. Il quadricipite è forte, e anche l’affondo al muro è un po’ ridotto a destra: qui i due sottotipi si somigliano. Metti un rialzo sotto il tallone e rifai lo step-down. Il crollo non cambia: è l’anca, non la caviglia.</w:t>
      </w:r>
      <w:r>
        <w:t xml:space="preserve"> </w:t>
      </w:r>
      <w:r>
        <w:rPr>
          <w:b/>
          <w:bCs/>
        </w:rPr>
        <w:t xml:space="preserve">Il dominante è il controllo d’anca: Biomeccanico con una componente Neurologica di programma motorio.</w:t>
      </w:r>
      <w:r>
        <w:t xml:space="preserve"> </w:t>
      </w:r>
      <w:r>
        <w:t xml:space="preserve">Cosa fai: apri sull’anca — escursione, tessuti che limitano la rotazione, facilitazione degli abduttori — e le fai vedere il gesto, perché la forza da sola non passa nella corsa. Il marker della prova è la dorsiflessione di caviglia.</w:t>
      </w:r>
    </w:p>
    <w:p>
      <w:pPr>
        <w:pStyle w:val="BodyText"/>
      </w:pPr>
      <w:r>
        <w:rPr>
          <w:b/>
          <w:bCs/>
        </w:rPr>
        <w:t xml:space="preserve">Paziente B — l’uomo di quarantasette anni con le gambe a X da sempre.</w:t>
      </w:r>
      <w:r>
        <w:t xml:space="preserve"> </w:t>
      </w:r>
      <w:r>
        <w:t xml:space="preserve">Deviazione simmetrica, già nelle foto di gioventù. Dolore laterale al ginocchio destro da un anno, dopo otto chili di aumento. Lo step-down mostra poco crollo aggiuntivo: la gamba è già lì da ferma.</w:t>
      </w:r>
      <w:r>
        <w:t xml:space="preserve"> </w:t>
      </w:r>
      <w:r>
        <w:rPr>
          <w:b/>
          <w:bCs/>
        </w:rPr>
        <w:t xml:space="preserve">Il dominante è il carico, non il controllo.</w:t>
      </w:r>
      <w:r>
        <w:t xml:space="preserve"> </w:t>
      </w:r>
      <w:r>
        <w:t xml:space="preserve">E su quel dominante le mani non hanno leva: quel limite cambia il contratto del ciclo, non il bersaglio. Cosa fai: nomini il conto delle ripetizioni con il numero, attivi il canale medico, e con le mani lavori su quello che è tuo — escursione d’anca e caviglia, tolleranza del tessuto laterale. L’esito che dichiari non è l’asse: sono i minuti in piedi e la scala che scende senza fermarsi.</w:t>
      </w:r>
    </w:p>
    <w:p>
      <w:pPr>
        <w:pStyle w:val="BodyText"/>
      </w:pPr>
      <w:r>
        <w:rPr>
          <w:b/>
          <w:bCs/>
        </w:rPr>
        <w:t xml:space="preserve">Paziente C — la donna di ventinove anni con dolore che si è diffuso.</w:t>
      </w:r>
      <w:r>
        <w:t xml:space="preserve"> </w:t>
      </w:r>
      <w:r>
        <w:t xml:space="preserve">Il ginocchio le fa male da otto mesi, e adesso anche a riposo. È iniziato dopo un periodo che descrive come pesante. I tessuti reagiscono appena appoggi le mani, il respiro è alto e corto, il dolore non ha un contatore. Il crollo allo step-down è simmetrico e modesto, molto meno di quanto il sintomo lascerebbe prevedere.</w:t>
      </w:r>
      <w:r>
        <w:t xml:space="preserve"> </w:t>
      </w:r>
      <w:r>
        <w:rPr>
          <w:b/>
          <w:bCs/>
        </w:rPr>
        <w:t xml:space="preserve">Prima di tutto: il dolore a riposo è una bandiera rossa, e va escluso prima che lei salga sul lettino.</w:t>
      </w:r>
      <w:r>
        <w:t xml:space="preserve"> </w:t>
      </w:r>
      <w:r>
        <w:t xml:space="preserve">Fatto quello,</w:t>
      </w:r>
      <w:r>
        <w:t xml:space="preserve"> </w:t>
      </w:r>
      <w:r>
        <w:rPr>
          <w:b/>
          <w:bCs/>
        </w:rPr>
        <w:t xml:space="preserve">il dominante è il livello di attivazione, dentro un quadro di dolore a distribuzione nociplastica</w:t>
      </w:r>
      <w:r>
        <w:t xml:space="preserve">. Cosa fai: il bersaglio è lo stato, e ci si arriva con le mani, con un contatto e un ritmo diversi da quelli con cui lavori l’escursione. In parallelo tieni il piano biomeccanico e lo carichi in modo graduato invece di evitarlo. Ti aspetti un effetto di stato dentro la seduta e uno spostamento della soglia in settimane, e l’etichetta resta IPOTESI</w:t>
      </w:r>
      <w:r>
        <w:t xml:space="preserve"> </w:t>
      </w:r>
      <w:r>
        <w:rPr>
          <w:i/>
          <w:iCs/>
        </w:rPr>
        <w:t xml:space="preserve">(meccanismo coerente, nessuno studio)</w:t>
      </w:r>
      <w:r>
        <w:t xml:space="preserve">.</w:t>
      </w:r>
      <w:r>
        <w:t xml:space="preserve"> </w:t>
      </w:r>
      <w:r>
        <w:rPr>
          <w:b/>
          <w:bCs/>
        </w:rPr>
        <w:t xml:space="preserve">E il marker con cui verifichi non è lo stato:</w:t>
      </w:r>
      <w:r>
        <w:t xml:space="preserve"> </w:t>
      </w:r>
      <w:r>
        <w:t xml:space="preserve">sono le ripetizioni prima del sintomo e la tolleranza al gesto. È la paziente in cui hai più da fare, non meno.</w:t>
      </w:r>
    </w:p>
    <w:bookmarkEnd w:id="37"/>
    <w:bookmarkStart w:id="38" w:name="perché-si-indaga-da-monte"/>
    <w:p>
      <w:pPr>
        <w:pStyle w:val="Heading3"/>
      </w:pPr>
      <w:r>
        <w:t xml:space="preserve">Perché si indaga da monte</w:t>
      </w:r>
    </w:p>
    <w:p>
      <w:pPr>
        <w:pStyle w:val="FirstParagraph"/>
      </w:pPr>
      <w:r>
        <w:t xml:space="preserve">Il corpo sacrifica il comfort per proteggere le funzioni vitali, e il piano più a monte comanda su quelli sotto.</w:t>
      </w:r>
      <w:r>
        <w:t xml:space="preserve"> </w:t>
      </w:r>
      <w:r>
        <w:rPr>
          <w:b/>
          <w:bCs/>
        </w:rPr>
        <w:t xml:space="preserve">«A monte» non è una coordinata anatomica: non vuol dire più vicino alla testa.</w:t>
      </w:r>
      <w:r>
        <w:t xml:space="preserve"> </w:t>
      </w:r>
      <w:r>
        <w:t xml:space="preserve">Qui il piano più a monte è quasi sempre il livello di attivazione o il carico totale, e solo dopo il controllo motorio del gesto. Il piede non comanda perché tocca terra per primo: entra nella gerarchia quando lo dicono i segnali.</w:t>
      </w:r>
    </w:p>
    <w:p>
      <w:pPr>
        <w:pStyle w:val="BodyText"/>
      </w:pPr>
      <w:r>
        <w:t xml:space="preserve">E la gerarchia è un</w:t>
      </w:r>
      <w:r>
        <w:t xml:space="preserve"> </w:t>
      </w:r>
      <w:r>
        <w:rPr>
          <w:b/>
          <w:bCs/>
        </w:rPr>
        <w:t xml:space="preserve">ordine di esclusione</w:t>
      </w:r>
      <w:r>
        <w:t xml:space="preserve">, non una classifica di frequenza. Si guarda prima in alto perché se lì c’è qualcosa, niente di quello che sta sotto tiene. È come cercare la lampadina fulminata a corrente staccata: finché non riattacchi, ogni prova dice la stessa cosa. Su questa condizione il piano più a monte è dominante in una minoranza di pazienti: nella maggioranza si esclude in trenta secondi con i quattro segni dell’attivazione, e si scende.</w:t>
      </w:r>
    </w:p>
    <w:bookmarkEnd w:id="38"/>
    <w:bookmarkStart w:id="39" w:name="la-catena-e-dove-si-interrompe"/>
    <w:p>
      <w:pPr>
        <w:pStyle w:val="Heading3"/>
      </w:pPr>
      <w:r>
        <w:t xml:space="preserve">La catena, e dove si interrompe</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spiega perché un problema in un punto può manifestarsi in un altro.</w:t>
      </w:r>
    </w:p>
    <w:p>
      <w:pPr>
        <w:pStyle w:val="FirstParagraph"/>
      </w:pPr>
      <w:r>
        <w:t xml:space="preserve">La catena caviglia → tibia → femore → ginocchio è reale, e non è una trasmissione rigida. Va scritta anello per anello, con l’etichetta che si spezza dove finisce la misura.</w:t>
      </w:r>
    </w:p>
    <w:p>
      <w:pPr>
        <w:pStyle w:val="Compact"/>
        <w:numPr>
          <w:ilvl w:val="0"/>
          <w:numId w:val="1022"/>
        </w:numPr>
      </w:pPr>
      <w:r>
        <w:rPr>
          <w:b/>
          <w:bCs/>
        </w:rPr>
        <w:t xml:space="preserve">Che una caviglia che parte da meno estensione sposti il ginocchio dentro:</w:t>
      </w:r>
      <w:r>
        <w:t xml:space="preserve"> </w:t>
      </w:r>
      <w:r>
        <w:t xml:space="preserve">PROBABILE</w:t>
      </w:r>
      <w:r>
        <w:t xml:space="preserve"> </w:t>
      </w:r>
      <w:r>
        <w:rPr>
          <w:i/>
          <w:iCs/>
        </w:rPr>
        <w:t xml:space="preserve">(razionale forte, prove parziali)</w:t>
      </w:r>
      <w:r>
        <w:t xml:space="preserve"> </w:t>
      </w:r>
      <w:r>
        <w:t xml:space="preserve">(Macrum, 2012, PMID 22100617; il dato nel terzo meccanismo di «Cosa si rompe»). La freccia ha una direzione sola: restituire escursione riporta indietro il ginocchio</w:t>
      </w:r>
      <w:r>
        <w:t xml:space="preserve"> </w:t>
      </w:r>
      <w:r>
        <w:rPr>
          <w:b/>
          <w:bCs/>
        </w:rPr>
        <w:t xml:space="preserve">solo se il gesto viene rifatto</w:t>
      </w:r>
      <w:r>
        <w:t xml:space="preserve">.</w:t>
      </w:r>
    </w:p>
    <w:p>
      <w:pPr>
        <w:pStyle w:val="Compact"/>
        <w:numPr>
          <w:ilvl w:val="0"/>
          <w:numId w:val="1022"/>
        </w:numPr>
      </w:pPr>
      <w:r>
        <w:rPr>
          <w:b/>
          <w:bCs/>
        </w:rPr>
        <w:t xml:space="preserve">Che il lavoro attivo sull’anca cambi la meccanica dell’accosciata monopodalica:</w:t>
      </w:r>
      <w:r>
        <w:t xml:space="preserve"> </w:t>
      </w:r>
      <w:r>
        <w:t xml:space="preserve">PROBABILE</w:t>
      </w:r>
      <w:r>
        <w:t xml:space="preserve"> </w:t>
      </w:r>
      <w:r>
        <w:rPr>
          <w:i/>
          <w:iCs/>
        </w:rPr>
        <w:t xml:space="preserve">(razionale forte, prove parziali)</w:t>
      </w:r>
      <w:r>
        <w:t xml:space="preserve">. Venti donne sane, prima-dopo, senza controllo (Willy e Davis, 2011, PMID 21765220; il dato in «Cosa può fare il paziente da solo»).</w:t>
      </w:r>
    </w:p>
    <w:p>
      <w:pPr>
        <w:pStyle w:val="Compact"/>
        <w:numPr>
          <w:ilvl w:val="0"/>
          <w:numId w:val="1022"/>
        </w:numPr>
      </w:pPr>
      <w:r>
        <w:rPr>
          <w:b/>
          <w:bCs/>
        </w:rPr>
        <w:t xml:space="preserve">Che il lavoro manuale su anca o caviglia cambi la traiettoria del ginocchio:</w:t>
      </w:r>
      <w:r>
        <w:t xml:space="preserve"> </w:t>
      </w:r>
      <w:r>
        <w:t xml:space="preserve">IPOTESI</w:t>
      </w:r>
      <w:r>
        <w:t xml:space="preserve"> </w:t>
      </w:r>
      <w:r>
        <w:rPr>
          <w:i/>
          <w:iCs/>
        </w:rPr>
        <w:t xml:space="preserve">(meccanismo coerente, nessuno studio)</w:t>
      </w:r>
      <w:r>
        <w:t xml:space="preserve">, e con prove contrarie, perché qualcuno l’ha misurato. I tre studi randomizzati stanno in «Cosa dice la scienza», e sul valgo dinamico il risultato è nullo o contrario.</w:t>
      </w:r>
    </w:p>
    <w:p>
      <w:pPr>
        <w:pStyle w:val="Compact"/>
        <w:numPr>
          <w:ilvl w:val="0"/>
          <w:numId w:val="1022"/>
        </w:numPr>
      </w:pPr>
      <w:r>
        <w:rPr>
          <w:b/>
          <w:bCs/>
        </w:rPr>
        <w:t xml:space="preserve">Che quel guadagno passi al gesto che fa male:</w:t>
      </w:r>
      <w:r>
        <w:t xml:space="preserve"> </w:t>
      </w:r>
      <w:r>
        <w:t xml:space="preserve">IPOTESI</w:t>
      </w:r>
      <w:r>
        <w:t xml:space="preserve"> </w:t>
      </w:r>
      <w:r>
        <w:rPr>
          <w:i/>
          <w:iCs/>
        </w:rPr>
        <w:t xml:space="preserve">(meccanismo coerente, nessuno studio)</w:t>
      </w:r>
      <w:r>
        <w:t xml:space="preserve">, e qui con prove contrarie. Nello stesso studio la meccanica della corsa non è cambiata: il limite per intero sta in «Cosa può fare il paziente da solo», sotto «Cosa NON fa».</w:t>
      </w:r>
    </w:p>
    <w:p>
      <w:pPr>
        <w:pStyle w:val="Compact"/>
        <w:numPr>
          <w:ilvl w:val="0"/>
          <w:numId w:val="1022"/>
        </w:numPr>
      </w:pPr>
      <w:r>
        <w:rPr>
          <w:b/>
          <w:bCs/>
        </w:rPr>
        <w:t xml:space="preserve">Che dal piede in su la catena arrivi al ginocchio come si racconta:</w:t>
      </w:r>
      <w:r>
        <w:t xml:space="preserve"> </w:t>
      </w:r>
      <w:r>
        <w:t xml:space="preserve">IPOTESI</w:t>
      </w:r>
      <w:r>
        <w:t xml:space="preserve"> </w:t>
      </w:r>
      <w:r>
        <w:rPr>
          <w:i/>
          <w:iCs/>
        </w:rPr>
        <w:t xml:space="preserve">(meccanismo coerente, nessuno studio)</w:t>
      </w:r>
      <w:r>
        <w:t xml:space="preserve">, e qui con prove contrarie. Su 927 corridori principianti seguiti un anno la postura pronata non era associata a più infortuni (Nielsen, 2014, PMID 23766439). E l’associazione fra piede pronato e dolore di ginocchio è piccola e trasversale: odds ratio 1,3 su 1.903 persone (Gross, 2011, PMID 21717597).</w:t>
      </w:r>
    </w:p>
    <w:bookmarkEnd w:id="39"/>
    <w:bookmarkStart w:id="40" w:name="la-prova-della-chiave-di-volta"/>
    <w:p>
      <w:pPr>
        <w:pStyle w:val="Heading3"/>
      </w:pPr>
      <w:r>
        <w:t xml:space="preserve">La prova della chiave di volta</w:t>
      </w:r>
    </w:p>
    <w:p>
      <w:pPr>
        <w:pStyle w:val="FirstParagraph"/>
      </w:pPr>
      <w:r>
        <w:t xml:space="preserve">Tratti in prova il piano che sospetti dominante, poi rivaluti.</w:t>
      </w:r>
      <w:r>
        <w:t xml:space="preserve"> </w:t>
      </w:r>
      <w:r>
        <w:rPr>
          <w:b/>
          <w:bCs/>
        </w:rPr>
        <w:t xml:space="preserve">Il marker con cui rivaluti deve appartenere a un piano che non hai trattato</w:t>
      </w:r>
      <w:r>
        <w:t xml:space="preserve">, o stai misurando l’effetto del tuo gesto invece del cambiamento del sistema.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rimisuri dopo. Non è il sintomo del paziente: è il segno che ti dice se la tua ipotesi era giusta.</w:t>
      </w:r>
    </w:p>
    <w:p>
      <w:pPr>
        <w:pStyle w:val="FirstParagraph"/>
      </w:pPr>
      <w:r>
        <w:t xml:space="preserve">I marker di questa condizione sono cinque, e la colonna che conta è la</w:t>
      </w:r>
      <w:r>
        <w:t xml:space="preserve"> </w:t>
      </w:r>
      <w:r>
        <w:rPr>
          <w:b/>
          <w:bCs/>
        </w:rPr>
        <w:t xml:space="preserve">variazione minima</w:t>
      </w:r>
      <w:r>
        <w:t xml:space="preserve">. Nessuno di questi numeri dice se il paziente è normale; tutti dicono se qualcosa si è mosso fra un prima e un dopo.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Variazione minima che conta</w:t>
            </w:r>
          </w:p>
        </w:tc>
      </w:tr>
      <w:tr>
        <w:tc>
          <w:tcPr/>
          <w:p>
            <w:pPr>
              <w:pStyle w:val="Compact"/>
            </w:pPr>
            <w:r>
              <w:t xml:space="preserve">Crollo mediale allo step-down</w:t>
            </w:r>
          </w:p>
        </w:tc>
        <w:tc>
          <w:tcPr/>
          <w:p>
            <w:pPr>
              <w:pStyle w:val="Compact"/>
            </w:pPr>
            <w:r>
              <w:t xml:space="preserve">Video frontale, angolo 2D</w:t>
            </w:r>
          </w:p>
        </w:tc>
        <w:tc>
          <w:tcPr/>
          <w:p>
            <w:pPr>
              <w:pStyle w:val="Compact"/>
            </w:pPr>
            <w:r>
              <w:t xml:space="preserve">8 gradi</w:t>
            </w:r>
          </w:p>
        </w:tc>
      </w:tr>
      <w:tr>
        <w:tc>
          <w:tcPr/>
          <w:p>
            <w:pPr>
              <w:pStyle w:val="Compact"/>
            </w:pPr>
            <w:r>
              <w:t xml:space="preserve">Ripetizioni prima del sintomo</w:t>
            </w:r>
          </w:p>
        </w:tc>
        <w:tc>
          <w:tcPr/>
          <w:p>
            <w:pPr>
              <w:pStyle w:val="Compact"/>
            </w:pPr>
            <w:r>
              <w:t xml:space="preserve">Step-down, stesso gradino</w:t>
            </w:r>
          </w:p>
        </w:tc>
        <w:tc>
          <w:tcPr/>
          <w:p>
            <w:pPr>
              <w:pStyle w:val="Compact"/>
            </w:pPr>
            <w:r>
              <w:t xml:space="preserve">5 ripetizioni</w:t>
            </w:r>
          </w:p>
        </w:tc>
      </w:tr>
      <w:tr>
        <w:tc>
          <w:tcPr/>
          <w:p>
            <w:pPr>
              <w:pStyle w:val="Compact"/>
            </w:pPr>
            <w:r>
              <w:t xml:space="preserve">Tolleranza al gesto che provoca</w:t>
            </w:r>
          </w:p>
        </w:tc>
        <w:tc>
          <w:tcPr/>
          <w:p>
            <w:pPr>
              <w:pStyle w:val="Compact"/>
            </w:pPr>
            <w:r>
              <w:t xml:space="preserve">Minuti o rampe di scale</w:t>
            </w:r>
          </w:p>
        </w:tc>
        <w:tc>
          <w:tcPr/>
          <w:p>
            <w:pPr>
              <w:pStyle w:val="Compact"/>
            </w:pPr>
            <w:r>
              <w:t xml:space="preserve">+20% del punto di partenza</w:t>
            </w:r>
          </w:p>
        </w:tc>
      </w:tr>
      <w:tr>
        <w:tc>
          <w:tcPr/>
          <w:p>
            <w:pPr>
              <w:pStyle w:val="Compact"/>
            </w:pPr>
            <w:r>
              <w:t xml:space="preserve">Dorsiflessione in carico</w:t>
            </w:r>
          </w:p>
        </w:tc>
        <w:tc>
          <w:tcPr/>
          <w:p>
            <w:pPr>
              <w:pStyle w:val="Compact"/>
            </w:pPr>
            <w:r>
              <w:t xml:space="preserve">Affondo al muro, tallone a terra</w:t>
            </w:r>
          </w:p>
        </w:tc>
        <w:tc>
          <w:tcPr/>
          <w:p>
            <w:pPr>
              <w:pStyle w:val="Compact"/>
            </w:pPr>
            <w:r>
              <w:t xml:space="preserve">5 gradi</w:t>
            </w:r>
          </w:p>
        </w:tc>
      </w:tr>
      <w:tr>
        <w:tc>
          <w:tcPr/>
          <w:p>
            <w:pPr>
              <w:pStyle w:val="Compact"/>
            </w:pPr>
            <w:r>
              <w:t xml:space="preserve">Rotazione interna d’anca in prono</w:t>
            </w:r>
          </w:p>
        </w:tc>
        <w:tc>
          <w:tcPr/>
          <w:p>
            <w:pPr>
              <w:pStyle w:val="Compact"/>
            </w:pPr>
            <w:r>
              <w:t xml:space="preserve">Rapporto fra interna ed esterna</w:t>
            </w:r>
          </w:p>
        </w:tc>
        <w:tc>
          <w:tcPr/>
          <w:p>
            <w:pPr>
              <w:pStyle w:val="Compact"/>
            </w:pPr>
            <w:r>
              <w:t xml:space="preserve">10 gradi</w:t>
            </w:r>
          </w:p>
        </w:tc>
      </w:tr>
    </w:tbl>
    <w:p>
      <w:pPr>
        <w:pStyle w:val="BodyText"/>
      </w:pPr>
      <w:r>
        <w:rPr>
          <w:b/>
          <w:bCs/>
        </w:rPr>
        <w:t xml:space="preserve">Nessuna di queste soglie è pubblicata: sono convenzioni di questo documento, e al paziente si dicono così.</w:t>
      </w:r>
    </w:p>
    <w:p>
      <w:pPr>
        <w:pStyle w:val="BodyText"/>
      </w:pPr>
      <w:r>
        <w:t xml:space="preserve">Tre precisazioni.</w:t>
      </w:r>
    </w:p>
    <w:p>
      <w:pPr>
        <w:pStyle w:val="BodyText"/>
      </w:pPr>
      <w:r>
        <w:t xml:space="preserve">Il</w:t>
      </w:r>
      <w:r>
        <w:t xml:space="preserve"> </w:t>
      </w:r>
      <w:r>
        <w:rPr>
          <w:b/>
          <w:bCs/>
        </w:rPr>
        <w:t xml:space="preserve">crollo allo step-down</w:t>
      </w:r>
      <w:r>
        <w:t xml:space="preserve"> </w:t>
      </w:r>
      <w:r>
        <w:t xml:space="preserve">è un bersaglio pertinente e non un vezzo (Nunes, 2023, PMID 37068162; il dato per intero, con il suo limite, sta in «Cosa dice la scienza»). Misura però l’effetto immediato del</w:t>
      </w:r>
      <w:r>
        <w:t xml:space="preserve"> </w:t>
      </w:r>
      <w:r>
        <w:rPr>
          <w:b/>
          <w:bCs/>
        </w:rPr>
        <w:t xml:space="preserve">trattamento</w:t>
      </w:r>
      <w:r>
        <w:t xml:space="preserve">, non l’esito del ciclo. E nel video guarda anche il</w:t>
      </w:r>
      <w:r>
        <w:t xml:space="preserve"> </w:t>
      </w:r>
      <w:r>
        <w:rPr>
          <w:b/>
          <w:bCs/>
        </w:rPr>
        <w:t xml:space="preserve">tronco</w:t>
      </w:r>
      <w:r>
        <w:t xml:space="preserve">: se si inclina sopra la gamba in appoggio, riduce il crollo che vedi senza che il controllo sia migliorato, e ti fa sbagliare sottotipo.</w:t>
      </w:r>
    </w:p>
    <w:p>
      <w:pPr>
        <w:pStyle w:val="BodyText"/>
      </w:pPr>
      <w:r>
        <w:t xml:space="preserve">La</w:t>
      </w:r>
      <w:r>
        <w:t xml:space="preserve"> </w:t>
      </w:r>
      <w:r>
        <w:rPr>
          <w:b/>
          <w:bCs/>
        </w:rPr>
        <w:t xml:space="preserve">rotazione interna d’anca in prono</w:t>
      </w:r>
      <w:r>
        <w:t xml:space="preserve"> </w:t>
      </w:r>
      <w:r>
        <w:t xml:space="preserve">si legge come rapporto, mai come numero solo: sessanta gradi di interna contro quindici di esterna, e trenta contro trenta, sono due pazienti opposti. E</w:t>
      </w:r>
      <w:r>
        <w:t xml:space="preserve"> </w:t>
      </w:r>
      <w:r>
        <w:rPr>
          <w:b/>
          <w:bCs/>
        </w:rPr>
        <w:t xml:space="preserve">in età evolutiva non è un marker: è una bandiera</w:t>
      </w:r>
      <w:r>
        <w:t xml:space="preserve"> </w:t>
      </w:r>
      <w:r>
        <w:t xml:space="preserve">— quell’anca si manda, non si mobilizza.</w:t>
      </w:r>
    </w:p>
    <w:p>
      <w:pPr>
        <w:pStyle w:val="BodyText"/>
      </w:pPr>
      <w:r>
        <w:t xml:space="preserve">Il marker della</w:t>
      </w:r>
      <w:r>
        <w:t xml:space="preserve"> </w:t>
      </w:r>
      <w:r>
        <w:rPr>
          <w:b/>
          <w:bCs/>
        </w:rPr>
        <w:t xml:space="preserve">prova della chiave di volta</w:t>
      </w:r>
      <w:r>
        <w:t xml:space="preserve"> </w:t>
      </w:r>
      <w:r>
        <w:t xml:space="preserve">cambia con il bersaglio: anca → dorsiflessione; caviglia → rotazione d’anca; carico → ripetizioni prima del sintomo e tolleranza al gesto; attivazione → gli stessi marker biomeccanici. Ma buona parte di un guadagno immediato di dorsiflessione è tolleranza allo stiramento, non tessuto allungato: il perché, con la sua etichetta, sta in «Perché le mani possono cambiare qualcosa». Standardizza l’affondo al muro sul tallone che si stacca. E se quel marker si è mosso insieme a tutta la sensibilità del paziente, è cambiata la sensibilità, non il piano.</w:t>
      </w:r>
    </w:p>
    <w:p>
      <w:pPr>
        <w:pStyle w:val="BodyText"/>
      </w:pPr>
      <w:r>
        <w:rPr>
          <w:b/>
          <w:bCs/>
        </w:rPr>
        <w:t xml:space="preserve">La regola di lettura.</w:t>
      </w:r>
      <w:r>
        <w:t xml:space="preserve"> </w:t>
      </w:r>
      <w:r>
        <w:t xml:space="preserve">La prova è positiva se il marker si muove almeno della variazione minima dichiarata. Se non si muove, cambi piano: un marker fermo è un’informazione, non un fallimento.</w:t>
      </w:r>
    </w:p>
    <w:p>
      <w:pPr>
        <w:pStyle w:val="BodyText"/>
      </w:pPr>
      <w:r>
        <w:rPr>
          <w:b/>
          <w:bCs/>
        </w:rPr>
        <w:t xml:space="preserve">E una regola del metodo che qui non si applica.</w:t>
      </w:r>
      <w:r>
        <w:t xml:space="preserve"> </w:t>
      </w:r>
      <w:r>
        <w:t xml:space="preserve">La regola «non trattare il punto in cui il paziente sente» su questa condizione non viene attenuata: viene</w:t>
      </w:r>
      <w:r>
        <w:t xml:space="preserve"> </w:t>
      </w:r>
      <w:r>
        <w:rPr>
          <w:b/>
          <w:bCs/>
        </w:rPr>
        <w:t xml:space="preserve">tolta</w:t>
      </w:r>
      <w:r>
        <w:t xml:space="preserve">. Il motivo: le leve con le prove migliori si applicano proprio sulla catena che produce il sintomo. Sono l’allenamento del gesto e il lavoro su anca e caviglia. Quello che resta, con pieno potere di discriminare, è la regola di verifica: il marker con cui rivaluti appartiene a un piano che non hai trattato.</w:t>
      </w:r>
    </w:p>
    <w:p>
      <w:pPr>
        <w:pStyle w:val="BlockText"/>
      </w:pPr>
      <w:r>
        <w:rPr>
          <w:b/>
          <w:bCs/>
        </w:rPr>
        <w:t xml:space="preserve">Attenzione.</w:t>
      </w:r>
      <w:r>
        <w:t xml:space="preserve"> </w:t>
      </w:r>
      <w:r>
        <w:t xml:space="preserve">Nessuno dei cinque marker è la forma della gamba. I gradi di asse non sono un marker, non sono l’obiettivo e non sono la misura del risultato: sono un dato di inquadramento, appartengono all’imaging e si richiedono tramite il medico.</w:t>
      </w:r>
    </w:p>
    <w:bookmarkEnd w:id="40"/>
    <w:bookmarkStart w:id="41" w:name="la-road-map"/>
    <w:p>
      <w:pPr>
        <w:pStyle w:val="Heading3"/>
      </w:pPr>
      <w:r>
        <w:t xml:space="preserve">La Road Map</w:t>
      </w:r>
    </w:p>
    <w:p>
      <w:pPr>
        <w:pStyle w:val="Compact"/>
        <w:numPr>
          <w:ilvl w:val="0"/>
          <w:numId w:val="1023"/>
        </w:numPr>
      </w:pPr>
      <w:r>
        <w:rPr>
          <w:b/>
          <w:bCs/>
        </w:rPr>
        <w:t xml:space="preserve">C’è una bandiera rossa?</w:t>
      </w:r>
      <w:r>
        <w:t xml:space="preserve"> </w:t>
      </w:r>
      <w:r>
        <w:t xml:space="preserve">Se sì, decide il capitolo sui limiti e la Road Map si ferma.</w:t>
      </w:r>
    </w:p>
    <w:p>
      <w:pPr>
        <w:pStyle w:val="Compact"/>
        <w:numPr>
          <w:ilvl w:val="0"/>
          <w:numId w:val="1023"/>
        </w:numPr>
      </w:pPr>
      <w:r>
        <w:rPr>
          <w:b/>
          <w:bCs/>
        </w:rPr>
        <w:t xml:space="preserve">È un paziente in crescita?</w:t>
      </w:r>
      <w:r>
        <w:t xml:space="preserve"> </w:t>
      </w:r>
      <w:r>
        <w:t xml:space="preserve">Se sì, decide il cancello dell’età — e il ginocchio di un ragazzo si esamina all’anca.</w:t>
      </w:r>
    </w:p>
    <w:p>
      <w:pPr>
        <w:pStyle w:val="Compact"/>
        <w:numPr>
          <w:ilvl w:val="0"/>
          <w:numId w:val="1023"/>
        </w:numPr>
      </w:pPr>
      <w:r>
        <w:rPr>
          <w:b/>
          <w:bCs/>
        </w:rPr>
        <w:t xml:space="preserve">Il livello di attivazione è alto?</w:t>
      </w:r>
      <w:r>
        <w:t xml:space="preserve"> </w:t>
      </w:r>
      <w:r>
        <w:t xml:space="preserve">I quattro segni: tessuto che rimbalza, respiro alto e corto, sintomo senza contatore, sproporzione fra crollo e dolore. Tre su quattro bastano. Se sì, quella è la prima leva, ed è manuale — non perché abbia più prove, ma perché cambia la lettura di tutto il resto.</w:t>
      </w:r>
    </w:p>
    <w:p>
      <w:pPr>
        <w:pStyle w:val="Compact"/>
        <w:numPr>
          <w:ilvl w:val="0"/>
          <w:numId w:val="1023"/>
        </w:numPr>
      </w:pPr>
      <w:r>
        <w:rPr>
          <w:b/>
          <w:bCs/>
        </w:rPr>
        <w:t xml:space="preserve">Quanto del valgo compare sotto carico?</w:t>
      </w:r>
      <w:r>
        <w:t xml:space="preserve"> </w:t>
      </w:r>
      <w:r>
        <w:t xml:space="preserve">Separa la quota su cui hai margine da quella su cui non ne hai.</w:t>
      </w:r>
    </w:p>
    <w:p>
      <w:pPr>
        <w:pStyle w:val="Compact"/>
        <w:numPr>
          <w:ilvl w:val="0"/>
          <w:numId w:val="1023"/>
        </w:numPr>
      </w:pPr>
      <w:r>
        <w:rPr>
          <w:b/>
          <w:bCs/>
        </w:rPr>
        <w:t xml:space="preserve">Quanto crolla allo step-down, e quanto è diverso fra le due gambe?</w:t>
      </w:r>
      <w:r>
        <w:t xml:space="preserve"> </w:t>
      </w:r>
      <w:r>
        <w:t xml:space="preserve">Un crollo asimmetrico marcato dice controllo d’anca. E se una gamba crolla e l’altra no, la domanda dopo è perché quella.</w:t>
      </w:r>
    </w:p>
    <w:p>
      <w:pPr>
        <w:pStyle w:val="Compact"/>
        <w:numPr>
          <w:ilvl w:val="0"/>
          <w:numId w:val="1023"/>
        </w:numPr>
      </w:pPr>
      <w:r>
        <w:rPr>
          <w:b/>
          <w:bCs/>
        </w:rPr>
        <w:t xml:space="preserve">Quanti gradi ha la caviglia?</w:t>
      </w:r>
      <w:r>
        <w:t xml:space="preserve"> </w:t>
      </w:r>
      <w:r>
        <w:t xml:space="preserve">Trenta secondi, e cambia il bersaglio.</w:t>
      </w:r>
    </w:p>
    <w:p>
      <w:pPr>
        <w:pStyle w:val="Compact"/>
        <w:numPr>
          <w:ilvl w:val="0"/>
          <w:numId w:val="1023"/>
        </w:numPr>
      </w:pPr>
      <w:r>
        <w:rPr>
          <w:b/>
          <w:bCs/>
        </w:rPr>
        <w:t xml:space="preserve">Quanto carico riceve quella gamba ogni giorno?</w:t>
      </w:r>
      <w:r>
        <w:t xml:space="preserve"> </w:t>
      </w:r>
      <w:r>
        <w:t xml:space="preserve">Peso, ore, chilometri, gradini.</w:t>
      </w:r>
    </w:p>
    <w:p>
      <w:pPr>
        <w:pStyle w:val="Compact"/>
        <w:numPr>
          <w:ilvl w:val="0"/>
          <w:numId w:val="1023"/>
        </w:numPr>
      </w:pPr>
      <w:r>
        <w:rPr>
          <w:b/>
          <w:bCs/>
        </w:rPr>
        <w:t xml:space="preserve">Ha già la parte attiva?</w:t>
      </w:r>
      <w:r>
        <w:t xml:space="preserve"> </w:t>
      </w:r>
      <w:r>
        <w:t xml:space="preserve">È la leva con l’etichetta più alta del documento, e non entra da sola.</w:t>
      </w:r>
    </w:p>
    <w:p>
      <w:pPr>
        <w:pStyle w:val="Compact"/>
        <w:numPr>
          <w:ilvl w:val="0"/>
          <w:numId w:val="1023"/>
        </w:numPr>
      </w:pPr>
      <w:r>
        <w:rPr>
          <w:b/>
          <w:bCs/>
        </w:rPr>
        <w:t xml:space="preserve">Cosa considera un risultato?</w:t>
      </w:r>
      <w:r>
        <w:t xml:space="preserve"> </w:t>
      </w:r>
      <w:r>
        <w:t xml:space="preserve">Se la risposta è visiva, il ciclo si negozia adesso.</w:t>
      </w:r>
    </w:p>
    <w:p>
      <w:pPr>
        <w:pStyle w:val="FirstParagraph"/>
      </w:pPr>
      <w:r>
        <w:rPr>
          <w:b/>
          <w:bCs/>
        </w:rPr>
        <w:t xml:space="preserve">Quando più passi rispondono di sì</w:t>
      </w:r>
      <w:r>
        <w:t xml:space="preserve">, il dominante è quello che sta più in alto fra i positivi. La gerarchia è un ordine di esclusione, e il passo più alto cambia il significato di quelli sotto.</w:t>
      </w:r>
    </w:p>
    <w:bookmarkEnd w:id="41"/>
    <w:bookmarkStart w:id="42" w:name="i-tre-stati-del-paziente"/>
    <w:p>
      <w:pPr>
        <w:pStyle w:val="Heading3"/>
      </w:pPr>
      <w:r>
        <w:t xml:space="preserve">I tre stati del paziente</w:t>
      </w:r>
    </w:p>
    <w:p>
      <w:pPr>
        <w:pStyle w:val="Compact"/>
        <w:numPr>
          <w:ilvl w:val="0"/>
          <w:numId w:val="1024"/>
        </w:numPr>
      </w:pPr>
      <w:r>
        <w:rPr>
          <w:b/>
          <w:bCs/>
        </w:rPr>
        <w:t xml:space="preserve">In difesa</w:t>
      </w:r>
      <w:r>
        <w:t xml:space="preserve"> </w:t>
      </w:r>
      <w:r>
        <w:t xml:space="preserve">— teso, i tessuti rimbalzano. Parla al bisogno di sicurezza: ritmo calmo, poche cose per volta, una misura fatta insieme a lui.</w:t>
      </w:r>
    </w:p>
    <w:p>
      <w:pPr>
        <w:pStyle w:val="Compact"/>
        <w:numPr>
          <w:ilvl w:val="0"/>
          <w:numId w:val="1024"/>
        </w:numPr>
      </w:pPr>
      <w:r>
        <w:rPr>
          <w:b/>
          <w:bCs/>
        </w:rPr>
        <w:t xml:space="preserve">Emotivo</w:t>
      </w:r>
      <w:r>
        <w:t xml:space="preserve"> </w:t>
      </w:r>
      <w:r>
        <w:t xml:space="preserve">— associa la gamba a un vissuto, spesso estetico. Parla al bisogno di essere capito: nomina quello che non ha detto, e separa l’obiettivo funzionale da quello visivo senza sminuire il secondo.</w:t>
      </w:r>
    </w:p>
    <w:p>
      <w:pPr>
        <w:pStyle w:val="Compact"/>
        <w:numPr>
          <w:ilvl w:val="0"/>
          <w:numId w:val="1024"/>
        </w:numPr>
      </w:pPr>
      <w:r>
        <w:rPr>
          <w:b/>
          <w:bCs/>
        </w:rPr>
        <w:t xml:space="preserve">Razionale</w:t>
      </w:r>
      <w:r>
        <w:t xml:space="preserve"> </w:t>
      </w:r>
      <w:r>
        <w:t xml:space="preserve">— vuole i dati. Mostragli la misura prima e dopo, e il numero del carico: è il paziente con cui la distinzione fra quota ossea e quota dinamica funziona meglio di qualunque spiegazione.</w:t>
      </w:r>
    </w:p>
    <w:p>
      <w:pPr>
        <w:pStyle w:val="FirstParagraph"/>
      </w:pPr>
      <w:r>
        <w:rPr>
          <w:b/>
          <w:bCs/>
        </w:rPr>
        <w:t xml:space="preserve">Lo stato dice come gli parli, non chi comanda:</w:t>
      </w:r>
      <w:r>
        <w:t xml:space="preserve"> </w:t>
      </w:r>
      <w:r>
        <w:t xml:space="preserve">un paziente in difesa non ha per forza l’attivazione come sistema dominante.</w:t>
      </w:r>
    </w:p>
    <w:p>
      <w:pPr>
        <w:pStyle w:val="BodyText"/>
      </w:pPr>
      <w:r>
        <w:rPr>
          <w:b/>
          <w:bCs/>
        </w:rPr>
        <w:t xml:space="preserve">Le tre cose da ricordare, più una</w:t>
      </w:r>
    </w:p>
    <w:p>
      <w:pPr>
        <w:pStyle w:val="Compact"/>
        <w:numPr>
          <w:ilvl w:val="0"/>
          <w:numId w:val="1025"/>
        </w:numPr>
      </w:pPr>
      <w:r>
        <w:t xml:space="preserve">Il dominante non è la gamba più storta: è il piano che ha smesso di fare la sua parte sotto carico.</w:t>
      </w:r>
    </w:p>
    <w:p>
      <w:pPr>
        <w:pStyle w:val="Compact"/>
        <w:numPr>
          <w:ilvl w:val="0"/>
          <w:numId w:val="1025"/>
        </w:numPr>
      </w:pPr>
      <w:r>
        <w:t xml:space="preserve">Il marker della prova appartiene sempre a un piano che non hai trattato, e la forma della gamba non è mai un marker.</w:t>
      </w:r>
    </w:p>
    <w:p>
      <w:pPr>
        <w:pStyle w:val="Compact"/>
        <w:numPr>
          <w:ilvl w:val="0"/>
          <w:numId w:val="1025"/>
        </w:numPr>
      </w:pPr>
      <w:r>
        <w:t xml:space="preserve">Il paziente il cui dominante è l’attivazione è quello in cui hai più da fare, e la leva è manuale.</w:t>
      </w:r>
    </w:p>
    <w:p>
      <w:pPr>
        <w:pStyle w:val="Compact"/>
        <w:numPr>
          <w:ilvl w:val="0"/>
          <w:numId w:val="1025"/>
        </w:numPr>
      </w:pPr>
      <w:r>
        <w:rPr>
          <w:b/>
          <w:bCs/>
        </w:rPr>
        <w:t xml:space="preserve">Perché ci sei tu.</w:t>
      </w:r>
      <w:r>
        <w:t xml:space="preserve"> </w:t>
      </w:r>
      <w:r>
        <w:t xml:space="preserve">Su 710 atlete il crollo era associato al rischio e non serviva a prevedere chi si sarebbe rotta il crociato (Krosshaug, 2016, PMID 26867936). Ti autorizza a usare il crollo come misura</w:t>
      </w:r>
      <w:r>
        <w:t xml:space="preserve"> </w:t>
      </w:r>
      <w:r>
        <w:rPr>
          <w:b/>
          <w:bCs/>
        </w:rPr>
        <w:t xml:space="preserve">dentro</w:t>
      </w:r>
      <w:r>
        <w:t xml:space="preserve"> </w:t>
      </w:r>
      <w:r>
        <w:t xml:space="preserve">un paziente, prima e dopo. Non ti autorizza a usarlo come screening, né a dire a chi crolla che si farà male.</w:t>
      </w:r>
    </w:p>
    <w:p>
      <w:r>
        <w:pict>
          <v:rect style="width:0;height:1.5pt" o:hralign="center" o:hrstd="t" o:hr="t"/>
        </w:pict>
      </w:r>
    </w:p>
    <w:bookmarkEnd w:id="42"/>
    <w:bookmarkEnd w:id="43"/>
    <w:bookmarkStart w:id="49"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questo distretto il rischio non è quello che fai con le mani, è la deviazione che tratti quando andava mandata e la frase con cui escludi qualcosa che non puoi escludere.</w:t>
      </w:r>
    </w:p>
    <w:bookmarkStart w:id="44" w:name="le-bandiere-rosse"/>
    <w:p>
      <w:pPr>
        <w:pStyle w:val="Heading3"/>
      </w:pPr>
      <w:r>
        <w:t xml:space="preserve">Le bandiere rosse</w:t>
      </w:r>
    </w:p>
    <w:p>
      <w:pPr>
        <w:pStyle w:val="FirstParagraph"/>
      </w:pPr>
      <w:r>
        <w:t xml:space="preserve">Su questa condizione non esiste una linea guida unica. Le righe vengono da tre fonti. I criteri di invio ortopedico pediatrico (Patel e Nelson, StatPearls 2023, NBK559244). La regola di Ottawa (Bachmann, 2004, PMID 14734335). E le bandiere rosse generali del ginocchio doloroso. Una sola ha un’accuratezza misurata.</w:t>
      </w:r>
    </w:p>
    <w:p>
      <w:pPr>
        <w:pStyle w:val="BodyText"/>
      </w:pPr>
      <w:r>
        <w:rPr>
          <w:b/>
          <w:bCs/>
        </w:rPr>
        <w:t xml:space="preserve">È una rete, non un filtro.</w:t>
      </w:r>
      <w:r>
        <w:t xml:space="preserve"> </w:t>
      </w:r>
      <w:r>
        <w:t xml:space="preserve">Una riga presente ti ferma;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Ginocchio caldo, rosso, gonfio, febbre</w:t>
            </w:r>
          </w:p>
        </w:tc>
        <w:tc>
          <w:tcPr/>
          <w:p>
            <w:pPr>
              <w:pStyle w:val="Compact"/>
            </w:pPr>
            <w:r>
              <w:t xml:space="preserve">Pronto soccorso</w:t>
            </w:r>
          </w:p>
        </w:tc>
        <w:tc>
          <w:tcPr/>
          <w:p>
            <w:pPr>
              <w:pStyle w:val="Compact"/>
            </w:pPr>
            <w:r>
              <w:t xml:space="preserve">Urgente, in giornata</w:t>
            </w:r>
          </w:p>
        </w:tc>
        <w:tc>
          <w:tcPr/>
          <w:p>
            <w:pPr>
              <w:pStyle w:val="Compact"/>
            </w:pPr>
            <w:r>
              <w:t xml:space="preserve">ROSSO</w:t>
            </w:r>
          </w:p>
        </w:tc>
      </w:tr>
      <w:tr>
        <w:tc>
          <w:tcPr/>
          <w:p>
            <w:pPr>
              <w:pStyle w:val="Compact"/>
            </w:pPr>
            <w:r>
              <w:t xml:space="preserve">Trauma con almeno un criterio di Ottawa</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Blocco vero, non estende né flette</w:t>
            </w:r>
          </w:p>
        </w:tc>
        <w:tc>
          <w:tcPr/>
          <w:p>
            <w:pPr>
              <w:pStyle w:val="Compact"/>
            </w:pPr>
            <w:r>
              <w:t xml:space="preserve">Ortopedico</w:t>
            </w:r>
          </w:p>
        </w:tc>
        <w:tc>
          <w:tcPr/>
          <w:p>
            <w:pPr>
              <w:pStyle w:val="Compact"/>
            </w:pPr>
            <w:r>
              <w:t xml:space="preserve">Invio, non attendere</w:t>
            </w:r>
          </w:p>
        </w:tc>
        <w:tc>
          <w:tcPr/>
          <w:p>
            <w:pPr>
              <w:pStyle w:val="Compact"/>
            </w:pPr>
            <w:r>
              <w:t xml:space="preserve">ROSSO</w:t>
            </w:r>
          </w:p>
        </w:tc>
      </w:tr>
      <w:tr>
        <w:tc>
          <w:tcPr/>
          <w:p>
            <w:pPr>
              <w:pStyle w:val="Compact"/>
            </w:pPr>
            <w:r>
              <w:t xml:space="preserve">Polpaccio dolente, gonfio da un lato</w:t>
            </w:r>
          </w:p>
        </w:tc>
        <w:tc>
          <w:tcPr/>
          <w:p>
            <w:pPr>
              <w:pStyle w:val="Compact"/>
            </w:pPr>
            <w:r>
              <w:t xml:space="preserve">Pronto soccorso</w:t>
            </w:r>
          </w:p>
        </w:tc>
        <w:tc>
          <w:tcPr/>
          <w:p>
            <w:pPr>
              <w:pStyle w:val="Compact"/>
            </w:pPr>
            <w:r>
              <w:t xml:space="preserve">Urgente</w:t>
            </w:r>
          </w:p>
        </w:tc>
        <w:tc>
          <w:tcPr/>
          <w:p>
            <w:pPr>
              <w:pStyle w:val="Compact"/>
            </w:pPr>
            <w:r>
              <w:t xml:space="preserve">ROSSO</w:t>
            </w:r>
          </w:p>
        </w:tc>
      </w:tr>
      <w:tr>
        <w:tc>
          <w:tcPr/>
          <w:p>
            <w:pPr>
              <w:pStyle w:val="Compact"/>
            </w:pPr>
            <w:r>
              <w:t xml:space="preserve">Dolore notturno a riposo, calo di peso</w:t>
            </w:r>
          </w:p>
        </w:tc>
        <w:tc>
          <w:tcPr/>
          <w:p>
            <w:pPr>
              <w:pStyle w:val="Compact"/>
            </w:pPr>
            <w:r>
              <w:t xml:space="preserve">Curante, poi ortopedico</w:t>
            </w:r>
          </w:p>
        </w:tc>
        <w:tc>
          <w:tcPr/>
          <w:p>
            <w:pPr>
              <w:pStyle w:val="Compact"/>
            </w:pPr>
            <w:r>
              <w:t xml:space="preserve">Invio, non attendere</w:t>
            </w:r>
          </w:p>
        </w:tc>
        <w:tc>
          <w:tcPr/>
          <w:p>
            <w:pPr>
              <w:pStyle w:val="Compact"/>
            </w:pPr>
            <w:r>
              <w:t xml:space="preserve">ROSSO</w:t>
            </w:r>
          </w:p>
        </w:tc>
      </w:tr>
      <w:tr>
        <w:tc>
          <w:tcPr/>
          <w:p>
            <w:pPr>
              <w:pStyle w:val="Compact"/>
            </w:pPr>
            <w:r>
              <w:t xml:space="preserve">Minore con dolore a ginocchio o coscia</w:t>
            </w:r>
          </w:p>
        </w:tc>
        <w:tc>
          <w:tcPr/>
          <w:p>
            <w:pPr>
              <w:pStyle w:val="Compact"/>
            </w:pPr>
            <w:r>
              <w:t xml:space="preserve">Ortopedico pediatrico</w:t>
            </w:r>
          </w:p>
        </w:tc>
        <w:tc>
          <w:tcPr/>
          <w:p>
            <w:pPr>
              <w:pStyle w:val="Compact"/>
            </w:pPr>
            <w:r>
              <w:t xml:space="preserve">Invio, non attendere</w:t>
            </w:r>
          </w:p>
        </w:tc>
        <w:tc>
          <w:tcPr/>
          <w:p>
            <w:pPr>
              <w:pStyle w:val="Compact"/>
            </w:pPr>
            <w:r>
              <w:t xml:space="preserve">ROSSO</w:t>
            </w:r>
          </w:p>
        </w:tc>
      </w:tr>
      <w:tr>
        <w:tc>
          <w:tcPr/>
          <w:p>
            <w:pPr>
              <w:pStyle w:val="Compact"/>
            </w:pPr>
            <w:r>
              <w:t xml:space="preserve">Ginocchio gonfio senza febbre, rigidità mattutina oltre mezz’ora</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Dolore inguinale o profondo d’anca, corsa aumentata</w:t>
            </w:r>
          </w:p>
        </w:tc>
        <w:tc>
          <w:tcPr/>
          <w:p>
            <w:pPr>
              <w:pStyle w:val="Compact"/>
            </w:pPr>
            <w:r>
              <w:t xml:space="preserve">Curante, poi ortopedico</w:t>
            </w:r>
          </w:p>
        </w:tc>
        <w:tc>
          <w:tcPr/>
          <w:p>
            <w:pPr>
              <w:pStyle w:val="Compact"/>
            </w:pPr>
            <w:r>
              <w:t xml:space="preserve">Invio, non attendere</w:t>
            </w:r>
          </w:p>
        </w:tc>
        <w:tc>
          <w:tcPr/>
          <w:p>
            <w:pPr>
              <w:pStyle w:val="Compact"/>
            </w:pPr>
            <w:r>
              <w:t xml:space="preserve">ROSSO</w:t>
            </w:r>
          </w:p>
        </w:tc>
      </w:tr>
      <w:tr>
        <w:tc>
          <w:tcPr/>
          <w:p>
            <w:pPr>
              <w:pStyle w:val="Compact"/>
            </w:pPr>
            <w:r>
              <w:t xml:space="preserve">Dolore mediale improvviso, notturno, versamento, over-60, osso fragile</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Deviazione angolare fuori norma in età evolutiva</w:t>
            </w:r>
          </w:p>
        </w:tc>
        <w:tc>
          <w:tcPr/>
          <w:p>
            <w:pPr>
              <w:pStyle w:val="Compact"/>
            </w:pPr>
            <w:r>
              <w:t xml:space="preserve">Ortopedico pediatrico</w:t>
            </w:r>
          </w:p>
        </w:tc>
        <w:tc>
          <w:tcPr/>
          <w:p>
            <w:pPr>
              <w:pStyle w:val="Compact"/>
            </w:pPr>
            <w:r>
              <w:t xml:space="preserve">Invio, non attendere</w:t>
            </w:r>
          </w:p>
        </w:tc>
        <w:tc>
          <w:tcPr/>
          <w:p>
            <w:pPr>
              <w:pStyle w:val="Compact"/>
            </w:pPr>
            <w:r>
              <w:t xml:space="preserve">ROSSO differito</w:t>
            </w:r>
          </w:p>
        </w:tc>
      </w:tr>
      <w:tr>
        <w:tc>
          <w:tcPr/>
          <w:p>
            <w:pPr>
              <w:pStyle w:val="Compact"/>
            </w:pPr>
            <w:r>
              <w:t xml:space="preserve">Deviazione comparsa lentamente nell’adulto, assente nelle vecchie foto</w:t>
            </w:r>
          </w:p>
        </w:tc>
        <w:tc>
          <w:tcPr/>
          <w:p>
            <w:pPr>
              <w:pStyle w:val="Compact"/>
            </w:pPr>
            <w:r>
              <w:t xml:space="preserve">Curante, poi ortopedico</w:t>
            </w:r>
          </w:p>
        </w:tc>
        <w:tc>
          <w:tcPr/>
          <w:p>
            <w:pPr>
              <w:pStyle w:val="Compact"/>
            </w:pPr>
            <w:r>
              <w:t xml:space="preserve">Invio, non attendere</w:t>
            </w:r>
          </w:p>
        </w:tc>
        <w:tc>
          <w:tcPr/>
          <w:p>
            <w:pPr>
              <w:pStyle w:val="Compact"/>
            </w:pPr>
            <w:r>
              <w:t xml:space="preserve">ROSSO differito</w:t>
            </w:r>
          </w:p>
        </w:tc>
      </w:tr>
      <w:tr>
        <w:tc>
          <w:tcPr/>
          <w:p>
            <w:pPr>
              <w:pStyle w:val="Compact"/>
            </w:pPr>
            <w:r>
              <w:t xml:space="preserve">Deviazione comparsa dopo trauma, frattura pediatrica o malattia</w:t>
            </w:r>
          </w:p>
        </w:tc>
        <w:tc>
          <w:tcPr/>
          <w:p>
            <w:pPr>
              <w:pStyle w:val="Compact"/>
            </w:pPr>
            <w:r>
              <w:t xml:space="preserve">Ortopedico</w:t>
            </w:r>
          </w:p>
        </w:tc>
        <w:tc>
          <w:tcPr/>
          <w:p>
            <w:pPr>
              <w:pStyle w:val="Compact"/>
            </w:pPr>
            <w:r>
              <w:t xml:space="preserve">Invio, non attendere</w:t>
            </w:r>
          </w:p>
        </w:tc>
        <w:tc>
          <w:tcPr/>
          <w:p>
            <w:pPr>
              <w:pStyle w:val="Compact"/>
            </w:pPr>
            <w:r>
              <w:t xml:space="preserve">ROSSO differito</w:t>
            </w:r>
          </w:p>
        </w:tc>
      </w:tr>
      <w:tr>
        <w:tc>
          <w:tcPr/>
          <w:p>
            <w:pPr>
              <w:pStyle w:val="Compact"/>
            </w:pPr>
            <w:r>
              <w:t xml:space="preserve">Episodi di rotula che esce, o apprensione rotulea</w:t>
            </w:r>
          </w:p>
        </w:tc>
        <w:tc>
          <w:tcPr/>
          <w:p>
            <w:pPr>
              <w:pStyle w:val="Compact"/>
            </w:pPr>
            <w:r>
              <w:t xml:space="preserve">Ortopedico</w:t>
            </w:r>
          </w:p>
        </w:tc>
        <w:tc>
          <w:tcPr/>
          <w:p>
            <w:pPr>
              <w:pStyle w:val="Compact"/>
            </w:pPr>
            <w:r>
              <w:t xml:space="preserve">Invio programmato</w:t>
            </w:r>
          </w:p>
        </w:tc>
        <w:tc>
          <w:tcPr/>
          <w:p>
            <w:pPr>
              <w:pStyle w:val="Compact"/>
            </w:pPr>
            <w:r>
              <w:t xml:space="preserve">GIALLO prioritario</w:t>
            </w:r>
          </w:p>
        </w:tc>
      </w:tr>
      <w:tr>
        <w:tc>
          <w:tcPr/>
          <w:p>
            <w:pPr>
              <w:pStyle w:val="Compact"/>
            </w:pPr>
            <w:r>
              <w:t xml:space="preserve">Deviazione nuova in poche settimane, adulto</w:t>
            </w:r>
          </w:p>
        </w:tc>
        <w:tc>
          <w:tcPr/>
          <w:p>
            <w:pPr>
              <w:pStyle w:val="Compact"/>
            </w:pPr>
            <w:r>
              <w:t xml:space="preserve">Curante</w:t>
            </w:r>
          </w:p>
        </w:tc>
        <w:tc>
          <w:tcPr/>
          <w:p>
            <w:pPr>
              <w:pStyle w:val="Compact"/>
            </w:pPr>
            <w:r>
              <w:t xml:space="preserve">Invio, non attendere</w:t>
            </w:r>
          </w:p>
        </w:tc>
        <w:tc>
          <w:tcPr/>
          <w:p>
            <w:pPr>
              <w:pStyle w:val="Compact"/>
            </w:pPr>
            <w:r>
              <w:t xml:space="preserve">GIALLO prioritario</w:t>
            </w:r>
          </w:p>
        </w:tc>
      </w:tr>
      <w:tr>
        <w:tc>
          <w:tcPr/>
          <w:p>
            <w:pPr>
              <w:pStyle w:val="Compact"/>
            </w:pPr>
            <w:r>
              <w:t xml:space="preserve">Osso fragile noto o cortisone prolungato</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Le quattro righe che vanno lette per esteso, perché la formula breve non basta.</w:t>
      </w:r>
    </w:p>
    <w:p>
      <w:pPr>
        <w:pStyle w:val="Compact"/>
        <w:numPr>
          <w:ilvl w:val="0"/>
          <w:numId w:val="1026"/>
        </w:numPr>
      </w:pPr>
      <w:r>
        <w:rPr>
          <w:b/>
          <w:bCs/>
        </w:rPr>
        <w:t xml:space="preserve">Trauma di ginocchio con almeno uno di questi cinque elementi:</w:t>
      </w:r>
      <w:r>
        <w:t xml:space="preserve"> </w:t>
      </w:r>
      <w:r>
        <w:t xml:space="preserve">età pari o superiore a 55 anni; dolorabilità isolata della rotula; dolorabilità della testa del perone; incapacità di flettere a 90 gradi; incapacità di caricare il peso per quattro passi subito dopo il trauma e adesso.</w:t>
      </w:r>
      <w:r>
        <w:t xml:space="preserve"> </w:t>
      </w:r>
      <w:r>
        <w:rPr>
          <w:b/>
          <w:bCs/>
        </w:rPr>
        <w:t xml:space="preserve">Ne basta uno: sono alternative, non condizioni da sommare</w:t>
      </w:r>
      <w:r>
        <w:t xml:space="preserve"> </w:t>
      </w:r>
      <w:r>
        <w:t xml:space="preserve">— e la sensibilità aggregata del 98,5% su 4.249 adulti (Bachmann, 2004, PMID 14734335) vale solo se la regola si applica così. Un uomo di 58 anni che dopo una caduta cammina, ma ha male sulla testa del perone, è Ottawa positivo.</w:t>
      </w:r>
    </w:p>
    <w:p>
      <w:pPr>
        <w:pStyle w:val="Compact"/>
        <w:numPr>
          <w:ilvl w:val="0"/>
          <w:numId w:val="1026"/>
        </w:numPr>
      </w:pPr>
      <w:r>
        <w:rPr>
          <w:b/>
          <w:bCs/>
        </w:rPr>
        <w:t xml:space="preserve">Minore con dolore al ginocchio o alla coscia.</w:t>
      </w:r>
      <w:r>
        <w:t xml:space="preserve"> </w:t>
      </w:r>
      <w:r>
        <w:t xml:space="preserve">Nel paziente in crescita un ginocchio che duole è un’anca fino a prova contraria. L’epifisiolisi esordisce con dolore distale nel 15-23% dei casi, e proprio questi ricevono più diagnosi sbagliate e scivolamenti più gravi (Matava, 1999, PMID 10412993). I dati che orientano sono sovrappeso, zoppia ed età fra i dieci e i quindici anni, e il segno è la</w:t>
      </w:r>
      <w:r>
        <w:t xml:space="preserve"> </w:t>
      </w:r>
      <w:r>
        <w:rPr>
          <w:b/>
          <w:bCs/>
        </w:rPr>
        <w:t xml:space="preserve">rotazione interna d’anca ridotta o dolorosa</w:t>
      </w:r>
      <w:r>
        <w:t xml:space="preserve">. Quell’anca non si mobilizza: si manda a fare una radiografia del bacino, anche in proiezione a rana. La riga esiste per un dato preciso: su venti diagnosi ritardate, dodici pazienti si erano rivolti a un chiropratico o a un fisioterapista. Tutti e dodici avevano ricevuto una manipolazione d’anca prima della diagnosi (Rahme, 2006, PMID 16436942).</w:t>
      </w:r>
    </w:p>
    <w:p>
      <w:pPr>
        <w:pStyle w:val="Compact"/>
        <w:numPr>
          <w:ilvl w:val="0"/>
          <w:numId w:val="1026"/>
        </w:numPr>
      </w:pPr>
      <w:r>
        <w:rPr>
          <w:b/>
          <w:bCs/>
        </w:rPr>
        <w:t xml:space="preserve">Deviazione angolare fuori norma in età evolutiva</w:t>
      </w:r>
      <w:r>
        <w:t xml:space="preserve"> </w:t>
      </w:r>
      <w:r>
        <w:t xml:space="preserve">— i sei criteri stanno in «Non è una condizione sola». Sotto ci può essere una displasia, un rachitismo, una malattia da accumulo o un esito post-traumatico. Sono diagnosi che si fanno con una lastra, non con una comunicazione che corre in parallelo.</w:t>
      </w:r>
    </w:p>
    <w:p>
      <w:pPr>
        <w:pStyle w:val="Compact"/>
        <w:numPr>
          <w:ilvl w:val="0"/>
          <w:numId w:val="1026"/>
        </w:numPr>
      </w:pPr>
      <w:r>
        <w:rPr>
          <w:b/>
          <w:bCs/>
        </w:rPr>
        <w:t xml:space="preserve">Dolore inguinale o profondo d’anca in chi ha aumentato il volume di corsa</w:t>
      </w:r>
      <w:r>
        <w:t xml:space="preserve">, che peggiora con l’impatto e non si spegne a riposo. È il sospetto di lesione da stress del collo del femore, dove la diagnosi arriva in media a quattordici settimane e il 30% ha complicanze maggiori (Johansson, 1990, PMID 2252096). Quell’anca non si carica, non si testa fino al sintomo e non si mobilizza.</w:t>
      </w:r>
    </w:p>
    <w:p>
      <w:pPr>
        <w:pStyle w:val="FirstParagraph"/>
      </w:pPr>
      <w:r>
        <w:rPr>
          <w:b/>
          <w:bCs/>
        </w:rPr>
        <w:t xml:space="preserve">E una distinzione.</w:t>
      </w:r>
      <w:r>
        <w:t xml:space="preserve"> </w:t>
      </w:r>
      <w:r>
        <w:t xml:space="preserve">Il «cedimento» di questa condizione è insicurezza sotto carico. Il</w:t>
      </w:r>
      <w:r>
        <w:t xml:space="preserve"> </w:t>
      </w:r>
      <w:r>
        <w:rPr>
          <w:b/>
          <w:bCs/>
        </w:rPr>
        <w:t xml:space="preserve">cedimento vero</w:t>
      </w:r>
      <w:r>
        <w:t xml:space="preserve"> </w:t>
      </w:r>
      <w:r>
        <w:t xml:space="preserve">è un’altra cosa: trauma con schiocco, gonfiore in poche ore, episodi in cui il ginocchio o la rotula scappano davvero. È un invio. Quel ginocchio non entra nel test ripetuto fino al sintomo né nel riallenamento dell’atterraggio finché non è inquadrato. Il ritardo si paga: oltre i dodici mesi da una lesione del crociato le lesioni meniscali salgono dal 59,8% al 77,4% (Fok e Yau, 2013, PMID 22552616).</w:t>
      </w:r>
    </w:p>
    <w:bookmarkEnd w:id="44"/>
    <w:bookmarkStart w:id="45" w:name="il-cancello-dingresso"/>
    <w:p>
      <w:pPr>
        <w:pStyle w:val="Heading3"/>
      </w:pPr>
      <w:r>
        <w:t xml:space="preserve">Il cancello d’ingresso</w:t>
      </w:r>
    </w:p>
    <w:p>
      <w:pPr>
        <w:pStyle w:val="FirstParagraph"/>
      </w:pPr>
      <w:r>
        <w:t xml:space="preserve">Quattro uscite. Il cancello non dice se il paziente ha diritto al trattamento: dice quale situazione hai davanti. Il mandato per lavorare oggi nasce da un</w:t>
      </w:r>
      <w:r>
        <w:t xml:space="preserve"> </w:t>
      </w:r>
      <w:r>
        <w:rPr>
          <w:b/>
          <w:bCs/>
        </w:rPr>
        <w:t xml:space="preserve">reperto disfunzionale</w:t>
      </w:r>
      <w:r>
        <w:t xml:space="preserve"> </w:t>
      </w:r>
      <w:r>
        <w:t xml:space="preserve">che hai trovato e documentato, e da un marker che si muove quando lo tratti.</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Non è la diagnosi del paziente: è il bersaglio del tuo lavoro.</w:t>
      </w:r>
    </w:p>
    <w:p>
      <w:pPr>
        <w:pStyle w:val="FirstParagraph"/>
      </w:pPr>
      <w:r>
        <w:t xml:space="preserve">E il contrappeso:</w:t>
      </w:r>
      <w:r>
        <w:t xml:space="preserve"> </w:t>
      </w:r>
      <w:r>
        <w:rPr>
          <w:b/>
          <w:bCs/>
        </w:rPr>
        <w:t xml:space="preserve">un reperto positivo giustifica il tuo lavoro, non sostituisce l’inquadramento medico.</w:t>
      </w:r>
      <w:r>
        <w:t xml:space="preserve"> </w:t>
      </w:r>
      <w:r>
        <w:t xml:space="preserve">Trovare un’anca che non controlla la rotazione e una caviglia corta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al paziente si dicono come conviventi. 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ROSSO — Stop.</w:t>
      </w:r>
      <w:r>
        <w:t xml:space="preserve"> </w:t>
      </w:r>
      <w:r>
        <w:t xml:space="preserve">Basta una sola bandiera rossa. Il paziente esce con un’indicazione medica</w:t>
      </w:r>
      <w:r>
        <w:t xml:space="preserve"> </w:t>
      </w:r>
      <w:r>
        <w:rPr>
          <w:b/>
          <w:bCs/>
        </w:rPr>
        <w:t xml:space="preserve">esplicita e scritta</w:t>
      </w:r>
      <w:r>
        <w:t xml:space="preserve">, con i tempi dichiarati.</w:t>
      </w:r>
      <w:r>
        <w:t xml:space="preserve"> </w:t>
      </w:r>
      <w:r>
        <w:rPr>
          <w:b/>
          <w:bCs/>
        </w:rPr>
        <w:t xml:space="preserve">Nessun reperto positivo scavalca questa uscita.</w:t>
      </w:r>
    </w:p>
    <w:p>
      <w:pPr>
        <w:pStyle w:val="BodyText"/>
      </w:pPr>
      <w:r>
        <w:rPr>
          <w:b/>
          <w:bCs/>
        </w:rPr>
        <w:t xml:space="preserve">ROSSO differito — Si manda prima, si valuta dopo.</w:t>
      </w:r>
      <w:r>
        <w:t xml:space="preserve"> </w:t>
      </w:r>
      <w:r>
        <w:t xml:space="preserve">Vale per tre situazioni: la deviazione angolare fuori norma in età evolutiva, il valgo acquisito lentamente nell’adulto e il valgo secondario. Sono le stesse che «Non è una condizione sola» chiama cancelli. Non sono urgenze e non sono GIALLI. L’invio parte</w:t>
      </w:r>
      <w:r>
        <w:t xml:space="preserve"> </w:t>
      </w:r>
      <w:r>
        <w:rPr>
          <w:b/>
          <w:bCs/>
        </w:rPr>
        <w:t xml:space="preserve">prima della prima seduta</w:t>
      </w:r>
      <w:r>
        <w:t xml:space="preserve">, e finché lo specialista non si è espresso non si apre nessun ciclo su quel ginocchio e su quell’anca.</w:t>
      </w:r>
    </w:p>
    <w:p>
      <w:pPr>
        <w:pStyle w:val="BodyText"/>
      </w:pPr>
      <w:r>
        <w:rPr>
          <w:b/>
          <w:bCs/>
        </w:rPr>
        <w:t xml:space="preserve">GIALLO — Si lavora, in parallelo.</w:t>
      </w:r>
      <w:r>
        <w:t xml:space="preserve"> </w:t>
      </w:r>
      <w:r>
        <w:t xml:space="preserve">Nessuna bandiera rossa, inquadramento assente o incompleto. È la situazione più frequente — quasi nessuno arriva con una telemetria — e non è un motivo per rimandarlo fuori. Quattro condizioni.</w:t>
      </w:r>
    </w:p>
    <w:p>
      <w:pPr>
        <w:pStyle w:val="Compact"/>
        <w:numPr>
          <w:ilvl w:val="0"/>
          <w:numId w:val="1027"/>
        </w:numPr>
      </w:pPr>
      <w:r>
        <w:rPr>
          <w:b/>
          <w:bCs/>
        </w:rPr>
        <w:t xml:space="preserve">Un reperto tuo, positivo e scritto in cartella.</w:t>
      </w:r>
      <w:r>
        <w:t xml:space="preserve"> </w:t>
      </w:r>
      <w:r>
        <w:t xml:space="preserve">Non «il paziente ha le ginocchia valghe», ma gradi di dorsiflessione in carico, gradi di rotazione d’anca, ripetizioni prima del sintomo. Palpazione e stima visiva dell’asse restano orientamento, e</w:t>
      </w:r>
      <w:r>
        <w:t xml:space="preserve"> </w:t>
      </w:r>
      <w:r>
        <w:rPr>
          <w:b/>
          <w:bCs/>
        </w:rPr>
        <w:t xml:space="preserve">non fondano il mandato</w:t>
      </w:r>
      <w:r>
        <w:t xml:space="preserve">.</w:t>
      </w:r>
    </w:p>
    <w:p>
      <w:pPr>
        <w:pStyle w:val="Compact"/>
        <w:numPr>
          <w:ilvl w:val="0"/>
          <w:numId w:val="1027"/>
        </w:numPr>
      </w:pPr>
      <w:r>
        <w:rPr>
          <w:b/>
          <w:bCs/>
        </w:rPr>
        <w:t xml:space="preserve">Il paziente sa cosa tratti e cosa no</w:t>
      </w:r>
      <w:r>
        <w:t xml:space="preserve">, con la frase della convivenza che trovi in «Cosa dire al paziente».</w:t>
      </w:r>
    </w:p>
    <w:p>
      <w:pPr>
        <w:pStyle w:val="Compact"/>
        <w:numPr>
          <w:ilvl w:val="0"/>
          <w:numId w:val="1027"/>
        </w:numPr>
      </w:pPr>
      <w:r>
        <w:rPr>
          <w:b/>
          <w:bCs/>
        </w:rPr>
        <w:t xml:space="preserve">Canale medico attivato senza interrompere il lavoro</w:t>
      </w:r>
      <w:r>
        <w:t xml:space="preserve">: una comunicazione scritta al curante.</w:t>
      </w:r>
    </w:p>
    <w:p>
      <w:pPr>
        <w:pStyle w:val="Compact"/>
        <w:numPr>
          <w:ilvl w:val="0"/>
          <w:numId w:val="1027"/>
        </w:numPr>
      </w:pPr>
      <w:r>
        <w:rPr>
          <w:b/>
          <w:bCs/>
        </w:rPr>
        <w:t xml:space="preserve">Tempo definito, contato in calendario e non in sedute.</w:t>
      </w:r>
      <w:r>
        <w:t xml:space="preserve"> </w:t>
      </w:r>
      <w:r>
        <w:t xml:space="preserve">La data della revisione si scrive in cartella il giorno in cui si apre il GIALLO. Cade</w:t>
      </w:r>
      <w:r>
        <w:t xml:space="preserve"> </w:t>
      </w:r>
      <w:r>
        <w:rPr>
          <w:b/>
          <w:bCs/>
        </w:rPr>
        <w:t xml:space="preserve">entro sei settimane dalla prima seduta</w:t>
      </w:r>
      <w:r>
        <w:t xml:space="preserve">. Entro quel termine il marker si muove o il quadro cambia uscita. Il numero di sedute lo decide la Procedura; il tetto in settimane vive qui, perché un paziente che dirada gli appuntamenti non fa scadere niente.</w:t>
      </w:r>
    </w:p>
    <w:p>
      <w:pPr>
        <w:pStyle w:val="FirstParagraph"/>
      </w:pPr>
      <w:r>
        <w:rPr>
          <w:b/>
          <w:bCs/>
        </w:rPr>
        <w:t xml:space="preserve">Se il tempo scade e il marker non si è mosso</w:t>
      </w:r>
      <w:r>
        <w:t xml:space="preserve">, il tuo reperto non era il dominante, e il canale medico da parallelo diventa prioritario.</w:t>
      </w:r>
    </w:p>
    <w:p>
      <w:pPr>
        <w:pStyle w:val="BodyText"/>
      </w:pPr>
      <w:r>
        <w:rPr>
          <w:b/>
          <w:bCs/>
        </w:rPr>
        <w:t xml:space="preserve">GIALLO prioritario — Si lavora, con tre condizioni in più.</w:t>
      </w:r>
      <w:r>
        <w:t xml:space="preserve"> </w:t>
      </w:r>
      <w:r>
        <w:t xml:space="preserve">Vale per le righe marcate così e per due situazioni. La prima è il</w:t>
      </w:r>
      <w:r>
        <w:t xml:space="preserve"> </w:t>
      </w:r>
      <w:r>
        <w:rPr>
          <w:b/>
          <w:bCs/>
        </w:rPr>
        <w:t xml:space="preserve">paziente in crescita con l’asse dentro la norma</w:t>
      </w:r>
      <w:r>
        <w:t xml:space="preserve">: l’adolescente che crolla sotto carico e la cui deviazione non ha nessuno dei criteri di invio. La seconda è l’</w:t>
      </w:r>
      <w:r>
        <w:rPr>
          <w:b/>
          <w:bCs/>
        </w:rPr>
        <w:t xml:space="preserve">osso fragile documentato</w:t>
      </w:r>
      <w:r>
        <w:t xml:space="preserve">. Le tre condizioni: la comunicazione al curante parte</w:t>
      </w:r>
      <w:r>
        <w:t xml:space="preserve"> </w:t>
      </w:r>
      <w:r>
        <w:rPr>
          <w:b/>
          <w:bCs/>
        </w:rPr>
        <w:t xml:space="preserve">prima</w:t>
      </w:r>
      <w:r>
        <w:t xml:space="preserve"> </w:t>
      </w:r>
      <w:r>
        <w:t xml:space="preserve">della prima seduta, la condizione va</w:t>
      </w:r>
      <w:r>
        <w:t xml:space="preserve"> </w:t>
      </w:r>
      <w:r>
        <w:rPr>
          <w:b/>
          <w:bCs/>
        </w:rPr>
        <w:t xml:space="preserve">nominata in cartella</w:t>
      </w:r>
      <w:r>
        <w:t xml:space="preserve">, e il tetto delle sei settimane si dimezza a tre.</w:t>
      </w:r>
    </w:p>
    <w:p>
      <w:pPr>
        <w:pStyle w:val="BodyText"/>
      </w:pPr>
      <w:r>
        <w:rPr>
          <w:b/>
          <w:bCs/>
        </w:rPr>
        <w:t xml:space="preserve">VERDE — Si procede.</w:t>
      </w:r>
      <w:r>
        <w:t xml:space="preserve"> </w:t>
      </w:r>
      <w:r>
        <w:t xml:space="preserve">Nessuna bandiera rossa, e una fra: telemetria eseguita e coerente; valutazione ortopedica o fisiatrica già fatta su questo ginocchio; percorso podologico o riabilitativo in corso o concluso.</w:t>
      </w:r>
    </w:p>
    <w:p>
      <w:pPr>
        <w:pStyle w:val="BodyText"/>
      </w:pPr>
      <w:r>
        <w:rPr>
          <w:b/>
          <w:bCs/>
        </w:rPr>
        <w:t xml:space="preserve">La scadenza.</w:t>
      </w:r>
      <w:r>
        <w:t xml:space="preserve"> </w:t>
      </w:r>
      <w:r>
        <w:t xml:space="preserve">L’inquadramento decade se il sintomo cambia carattere, sede o intensità: un dolore che passa dal carico al riposo, un ginocchio che si gonfia, una deviazione che si accentua. Si torna al triage dall’inizio. E il video dello step-down è materiale di cartella, non da mostrare fuori dalla stanza.</w:t>
      </w:r>
    </w:p>
    <w:bookmarkEnd w:id="45"/>
    <w:bookmarkStart w:id="46" w:name="il-confine-di-atto-su-questa-condizione"/>
    <w:p>
      <w:pPr>
        <w:pStyle w:val="Heading3"/>
      </w:pPr>
      <w:r>
        <w:t xml:space="preserve">Il confine di atto su questa condizione</w:t>
      </w:r>
    </w:p>
    <w:p>
      <w:pPr>
        <w:pStyle w:val="FirstParagraph"/>
      </w:pPr>
      <w:r>
        <w:t xml:space="preserve">Il perimetro non si definisce sul gesto, ma sull’</w:t>
      </w:r>
      <w:r>
        <w:rPr>
          <w:b/>
          <w:bCs/>
        </w:rPr>
        <w:t xml:space="preserve">unità in cui scrivi l’esito</w:t>
      </w:r>
      <w:r>
        <w:t xml:space="preserve">.</w:t>
      </w:r>
    </w:p>
    <w:p>
      <w:pPr>
        <w:pStyle w:val="Compact"/>
        <w:numPr>
          <w:ilvl w:val="0"/>
          <w:numId w:val="1028"/>
        </w:numPr>
      </w:pPr>
      <w:r>
        <w:rPr>
          <w:b/>
          <w:bCs/>
        </w:rPr>
        <w:t xml:space="preserve">Produrre una misura d’asse è fuori.</w:t>
      </w:r>
      <w:r>
        <w:t xml:space="preserve"> </w:t>
      </w:r>
      <w:r>
        <w:t xml:space="preserve">L’angolo femoro-tibiale, i gradi di asse meccanico, la lettura di una telemetria o di una baropodometria. Non si scrive «valgismo di dodici gradi» né «asse migliorato».</w:t>
      </w:r>
    </w:p>
    <w:p>
      <w:pPr>
        <w:pStyle w:val="Compact"/>
        <w:numPr>
          <w:ilvl w:val="0"/>
          <w:numId w:val="1028"/>
        </w:numPr>
      </w:pPr>
      <w:r>
        <w:rPr>
          <w:b/>
          <w:bCs/>
        </w:rPr>
        <w:t xml:space="preserve">Provocare una risposta è nostro.</w:t>
      </w:r>
      <w:r>
        <w:t xml:space="preserve"> </w:t>
      </w:r>
      <w:r>
        <w:t xml:space="preserve">Step-down, accosciata su una gamba, affondo al muro, risposta a un rialzo temporaneo sotto il tallone. L’esito si scrive</w:t>
      </w:r>
      <w:r>
        <w:t xml:space="preserve"> </w:t>
      </w:r>
      <w:r>
        <w:rPr>
          <w:b/>
          <w:bCs/>
        </w:rPr>
        <w:t xml:space="preserve">nell’unità del marker</w:t>
      </w:r>
      <w:r>
        <w:t xml:space="preserve"> </w:t>
      </w:r>
      <w:r>
        <w:t xml:space="preserve">— gradi di caviglia, gradi di rotazione d’anca, ripetizioni, minuti —</w:t>
      </w:r>
      <w:r>
        <w:t xml:space="preserve"> </w:t>
      </w:r>
      <w:r>
        <w:rPr>
          <w:b/>
          <w:bCs/>
        </w:rPr>
        <w:t xml:space="preserve">mai in gradi di asse della gamba</w:t>
      </w:r>
      <w:r>
        <w:t xml:space="preserve">.</w:t>
      </w:r>
    </w:p>
    <w:p>
      <w:pPr>
        <w:pStyle w:val="Compact"/>
        <w:numPr>
          <w:ilvl w:val="0"/>
          <w:numId w:val="1028"/>
        </w:numPr>
      </w:pPr>
      <w:r>
        <w:rPr>
          <w:b/>
          <w:bCs/>
        </w:rPr>
        <w:t xml:space="preserve">Due frasi sono fuori perimetro.</w:t>
      </w:r>
      <w:r>
        <w:t xml:space="preserve"> </w:t>
      </w:r>
      <w:r>
        <w:rPr>
          <w:i/>
          <w:iCs/>
        </w:rPr>
        <w:t xml:space="preserve">«Hai le gambe valghe»</w:t>
      </w:r>
      <w:r>
        <w:t xml:space="preserve"> </w:t>
      </w:r>
      <w:r>
        <w:t xml:space="preserve">è una diagnosi che non ti compete.</w:t>
      </w:r>
      <w:r>
        <w:t xml:space="preserve"> </w:t>
      </w:r>
      <w:r>
        <w:rPr>
          <w:i/>
          <w:iCs/>
        </w:rPr>
        <w:t xml:space="preserve">«Il tuo non è un vero valgismo»</w:t>
      </w:r>
      <w:r>
        <w:t xml:space="preserve"> </w:t>
      </w:r>
      <w:r>
        <w:t xml:space="preserve">è un’esclusione diagnostica, ed è la più pericolosa: manda a casa senza lastra un adolescente la cui deviazione si sta muovendo dentro la finestra di crescita.</w:t>
      </w:r>
    </w:p>
    <w:bookmarkEnd w:id="46"/>
    <w:bookmarkStart w:id="47" w:name="X1ac5a1b3cdf7e22e51df529af64ae60c55cc369"/>
    <w:p>
      <w:pPr>
        <w:pStyle w:val="Heading3"/>
      </w:pPr>
      <w:r>
        <w:t xml:space="preserve">Cosa dichiari nel consenso, su questa condizione</w:t>
      </w:r>
    </w:p>
    <w:p>
      <w:pPr>
        <w:pStyle w:val="FirstParagraph"/>
      </w:pPr>
      <w:r>
        <w:t xml:space="preserve">Tre righe che qui aggiungi e in un’altra Bibbia non scriveresti.</w:t>
      </w:r>
    </w:p>
    <w:p>
      <w:pPr>
        <w:pStyle w:val="Compact"/>
        <w:numPr>
          <w:ilvl w:val="0"/>
          <w:numId w:val="1029"/>
        </w:numPr>
      </w:pPr>
      <w:r>
        <w:t xml:space="preserve">L’oggetto del trattamento è il controllo della gamba sotto carico e la tolleranza al gesto,</w:t>
      </w:r>
      <w:r>
        <w:t xml:space="preserve"> </w:t>
      </w:r>
      <w:r>
        <w:rPr>
          <w:b/>
          <w:bCs/>
        </w:rPr>
        <w:t xml:space="preserve">non la correzione dell’asse dell’arto</w:t>
      </w:r>
      <w:r>
        <w:t xml:space="preserve">.</w:t>
      </w:r>
    </w:p>
    <w:p>
      <w:pPr>
        <w:pStyle w:val="Compact"/>
        <w:numPr>
          <w:ilvl w:val="0"/>
          <w:numId w:val="1029"/>
        </w:numPr>
      </w:pPr>
      <w:r>
        <w:t xml:space="preserve">La forma della gamba non è la misura del risultato, e nel percorso non verrà usata come tale.</w:t>
      </w:r>
    </w:p>
    <w:p>
      <w:pPr>
        <w:pStyle w:val="Compact"/>
        <w:numPr>
          <w:ilvl w:val="0"/>
          <w:numId w:val="1029"/>
        </w:numPr>
      </w:pPr>
      <w:r>
        <w:t xml:space="preserve">Stabilire quanta parte della deviazione sia ossea richiede una radiografia sotto carico che non è nostra da richiedere né da interpretare.</w:t>
      </w:r>
    </w:p>
    <w:p>
      <w:pPr>
        <w:pStyle w:val="Compact"/>
        <w:numPr>
          <w:ilvl w:val="0"/>
          <w:numId w:val="1029"/>
        </w:numPr>
      </w:pPr>
      <w:r>
        <w:t xml:space="preserve">Per misurare quanto il ginocchio va dentro sotto carico riprendo un video frontale dello step-down. È parte della cartella clinica, resta in studio, non viene condiviso, e si può rifiutare senza che il percorso cambi. Nel minore lo autorizza chi esercita la responsabilità genitoriale.</w:t>
      </w:r>
    </w:p>
    <w:bookmarkEnd w:id="47"/>
    <w:bookmarkStart w:id="48" w:name="X32e7432f7fdb78343ffa75d3d747d6c61dce583"/>
    <w:p>
      <w:pPr>
        <w:pStyle w:val="Heading3"/>
      </w:pPr>
      <w:r>
        <w:t xml:space="preserve">Il rapporto con il prescrittore, e i farmaci</w:t>
      </w:r>
    </w:p>
    <w:p>
      <w:pPr>
        <w:pStyle w:val="FirstParagraph"/>
      </w:pPr>
      <w:r>
        <w:rPr>
          <w:b/>
          <w:bCs/>
        </w:rPr>
        <w:t xml:space="preserve">Il plantare non è nostro.</w:t>
      </w:r>
      <w:r>
        <w:t xml:space="preserve"> </w:t>
      </w:r>
      <w:r>
        <w:t xml:space="preserve">Lo prescrive e lo modifica chi lo ha fatto: non si toglie, non si riduce, non si dichiara superato. Se il paziente lo chiede, la decisione è di chi lo ha prescritto, e gli scrivi tu.</w:t>
      </w:r>
    </w:p>
    <w:p>
      <w:pPr>
        <w:pStyle w:val="BodyText"/>
      </w:pPr>
      <w:r>
        <w:rPr>
          <w:b/>
          <w:bCs/>
        </w:rPr>
        <w:t xml:space="preserve">Il percorso chirurgico non si commenta.</w:t>
      </w:r>
      <w:r>
        <w:t xml:space="preserve"> </w:t>
      </w:r>
      <w:r>
        <w:t xml:space="preserve">Un’emiepifisiodesi in un ragazzo in crescita, o un’osteotomia in un adulto, sono decisioni ortopediche. L’osteotomia è il taglio dell’osso per cambiarne l’asse. Il tuo lavoro non le anticipa, non le ritarda e non le giudica. Lo stesso vale per i farmaci — antinfiammatori, condroprotettori, infiltrazioni: nessuna valutazione, nessun suggerimento di modifica.</w:t>
      </w:r>
    </w:p>
    <w:p>
      <w:pPr>
        <w:pStyle w:val="BodyText"/>
      </w:pPr>
      <w:r>
        <w:rPr>
          <w:b/>
          <w:bCs/>
        </w:rPr>
        <w:t xml:space="preserve">Ma «non si commenta» è metà del lavoro.</w:t>
      </w:r>
      <w:r>
        <w:t xml:space="preserve"> </w:t>
      </w:r>
      <w:r>
        <w:t xml:space="preserve">L’altra metà è far arrivare l’informazione a chi decide. L’uso quotidiano di antinfiammatori, o protratto oltre poche settimane, si segnala</w:t>
      </w:r>
      <w:r>
        <w:t xml:space="preserve"> </w:t>
      </w:r>
      <w:r>
        <w:rPr>
          <w:b/>
          <w:bCs/>
        </w:rPr>
        <w:t xml:space="preserve">nella comunicazione al curante</w:t>
      </w:r>
      <w:r>
        <w:t xml:space="preserve">, senza commento: il paziente spesso se li compra da solo e al medico non lo dice. Si scrive in cartella cosa assume, e gli si chiede di non modificare nulla di sua iniziativa. La ragione è specifica di questo documento: il farmaco toglie il dolore e non cambia il carico, e chi tollera otto settimane di lavoro attivo perché è sotto antinfiammatorio sta caricando un tessuto anestetizzato.</w:t>
      </w:r>
    </w:p>
    <w:p>
      <w:pPr>
        <w:pStyle w:val="BodyText"/>
      </w:pPr>
      <w:r>
        <w:rPr>
          <w:b/>
          <w:bCs/>
        </w:rPr>
        <w:t xml:space="preserve">Se sbagli campo</w:t>
      </w:r>
      <w:r>
        <w:t xml:space="preserve">, il danno non è un evento avverso da manovra: è un ritardo. Una deviazione secondaria trattata otto settimane come un problema di controllo motorio è una finestra di crescita persa, e non si riapre.</w:t>
      </w:r>
    </w:p>
    <w:p>
      <w:pPr>
        <w:pStyle w:val="BodyText"/>
      </w:pPr>
      <w:r>
        <w:t xml:space="preserve">La parte attiva di «Cosa può fare il paziente da solo» è educazione all’autogestione, non un programma riabilitativo. Se è in corso una prescrizione fisioterapica, quel programma è di chi l’ha prescritto.</w:t>
      </w:r>
    </w:p>
    <w:p>
      <w:pPr>
        <w:pStyle w:val="BodyText"/>
      </w:pPr>
      <w:r>
        <w:rPr>
          <w:b/>
          <w:bCs/>
        </w:rPr>
        <w:t xml:space="preserve">Le tre cose da ricordare, più una</w:t>
      </w:r>
    </w:p>
    <w:p>
      <w:pPr>
        <w:pStyle w:val="Compact"/>
        <w:numPr>
          <w:ilvl w:val="0"/>
          <w:numId w:val="1030"/>
        </w:numPr>
      </w:pPr>
      <w:r>
        <w:t xml:space="preserve">Le due righe più pericolose di questa condizione non sono urgenze. Sono un bambino con una deviazione che peggiora e nessuno che lo mandi, e un ragazzo con male al ginocchio a cui nessuno guarda l’anca.</w:t>
      </w:r>
    </w:p>
    <w:p>
      <w:pPr>
        <w:pStyle w:val="Compact"/>
        <w:numPr>
          <w:ilvl w:val="0"/>
          <w:numId w:val="1030"/>
        </w:numPr>
      </w:pPr>
      <w:r>
        <w:t xml:space="preserve">Il tuo esito si scrive in gradi di caviglia, gradi d’anca, ripetizioni e minuti: mai in gradi di asse della gamba.</w:t>
      </w:r>
    </w:p>
    <w:p>
      <w:pPr>
        <w:pStyle w:val="Compact"/>
        <w:numPr>
          <w:ilvl w:val="0"/>
          <w:numId w:val="1030"/>
        </w:numPr>
      </w:pPr>
      <w:r>
        <w:rPr>
          <w:i/>
          <w:iCs/>
        </w:rPr>
        <w:t xml:space="preserve">«Il tuo non è un vero valgismo»</w:t>
      </w:r>
      <w:r>
        <w:t xml:space="preserve"> </w:t>
      </w:r>
      <w:r>
        <w:t xml:space="preserve">è un’esclusione diagnostica, e non è tua.</w:t>
      </w:r>
    </w:p>
    <w:p>
      <w:pPr>
        <w:pStyle w:val="Compact"/>
        <w:numPr>
          <w:ilvl w:val="0"/>
          <w:numId w:val="1030"/>
        </w:numPr>
      </w:pPr>
      <w:r>
        <w:rPr>
          <w:b/>
          <w:bCs/>
        </w:rPr>
        <w:t xml:space="preserve">Perché ci sei tu.</w:t>
      </w:r>
      <w:r>
        <w:t xml:space="preserve"> </w:t>
      </w:r>
      <w:r>
        <w:t xml:space="preserve">La regola di Ottawa ha una sensibilità aggregata del 98,5%, ed è l’unica riga della tabella con un’accuratezza misurata (Bachmann, 2004, PMID 14734335). Ti autorizza a decidere chi fa una lastra prima di salire sul lettino. Non ti autorizza a trattare le altre righe come uno strumento validato: sono una rete, non un filtro.</w:t>
      </w:r>
    </w:p>
    <w:p>
      <w:r>
        <w:pict>
          <v:rect style="width:0;height:1.5pt" o:hralign="center" o:hrstd="t" o:hr="t"/>
        </w:pict>
      </w:r>
    </w:p>
    <w:bookmarkEnd w:id="48"/>
    <w:bookmarkEnd w:id="49"/>
    <w:bookmarkStart w:id="55" w:name="capitolo-10-cosa-dice-la-scienza"/>
    <w:p>
      <w:pPr>
        <w:pStyle w:val="Heading2"/>
      </w:pPr>
      <w:r>
        <w:t xml:space="preserve">Capitolo 10 — Cosa dice la scienza</w:t>
      </w:r>
    </w:p>
    <w:p>
      <w:pPr>
        <w:pStyle w:val="BlockText"/>
      </w:pPr>
      <w:r>
        <w:rPr>
          <w:b/>
          <w:bCs/>
        </w:rPr>
        <w:t xml:space="preserve">In una riga:</w:t>
      </w:r>
      <w:r>
        <w:t xml:space="preserve"> </w:t>
      </w:r>
      <w:r>
        <w:t xml:space="preserve">sul valgismo come tale non esiste un solo studio randomizzato di terapia manuale, e attorno ad esso esiste una letteratura ampia e utile — a patto di dichiarare ogni volta da dove viene.</w:t>
      </w:r>
    </w:p>
    <w:bookmarkStart w:id="50" w:name="le-due-ancore"/>
    <w:p>
      <w:pPr>
        <w:pStyle w:val="Heading3"/>
      </w:pPr>
      <w:r>
        <w:t xml:space="preserve">Le due ancore</w:t>
      </w:r>
    </w:p>
    <w:p>
      <w:pPr>
        <w:pStyle w:val="FirstParagraph"/>
      </w:pPr>
      <w:r>
        <w:t xml:space="preserve">Su questa condizione non esiste un ricercatore di riferimento in terapia manuale. Dichiararlo è più forte che inventarne uno.</w:t>
      </w:r>
    </w:p>
    <w:p>
      <w:pPr>
        <w:pStyle w:val="BodyText"/>
      </w:pPr>
      <w:r>
        <w:rPr>
          <w:b/>
          <w:bCs/>
        </w:rPr>
        <w:t xml:space="preserve">L’ancora clinica è Christopher M. Powers</w:t>
      </w:r>
      <w:r>
        <w:t xml:space="preserve">: il ginocchio riletto come articolazione comandata da sopra (Powers, 2010, PMID 20118526). Il limite lo dichiara lui: è una cornice biomeccanica, non un programma di studi randomizzati.</w:t>
      </w:r>
    </w:p>
    <w:p>
      <w:pPr>
        <w:pStyle w:val="BodyText"/>
      </w:pPr>
      <w:r>
        <w:rPr>
          <w:b/>
          <w:bCs/>
        </w:rPr>
        <w:t xml:space="preserve">L’ancora fisiologica è il gruppo di Bergmann, Kutzner e Halder</w:t>
      </w:r>
      <w:r>
        <w:t xml:space="preserve">, ed è più solida della prima (Halder, 2012, PMID 22637208). Hanno reso misurabile il razionale del nostro lavoro, e ne hanno ristretto la promessa: quel numero non lo sposti tu.</w:t>
      </w:r>
    </w:p>
    <w:bookmarkEnd w:id="50"/>
    <w:bookmarkStart w:id="51" w:name="X3635b030dfcd6c63a79711f6235396b9bfa2508"/>
    <w:p>
      <w:pPr>
        <w:pStyle w:val="Heading3"/>
      </w:pPr>
      <w:r>
        <w:t xml:space="preserve">I due numeri che sembrano contraddirsi, e non si contraddicono</w:t>
      </w:r>
    </w:p>
    <w:p>
      <w:pPr>
        <w:pStyle w:val="FirstParagraph"/>
      </w:pPr>
      <w:r>
        <w:t xml:space="preserve">Sul valgo dinamico circolano due risultati opposti, e sceglierne uno a caso è l’errore più comune su questa condizione.</w:t>
      </w:r>
    </w:p>
    <w:p>
      <w:pPr>
        <w:pStyle w:val="BodyText"/>
      </w:pPr>
      <w:r>
        <w:t xml:space="preserve">In 710 calciatrici e pallamaniste d’élite, lo spostamento mediale del ginocchio nel salto con caduta</w:t>
      </w:r>
      <w:r>
        <w:t xml:space="preserve"> </w:t>
      </w:r>
      <w:r>
        <w:rPr>
          <w:b/>
          <w:bCs/>
        </w:rPr>
        <w:t xml:space="preserve">era</w:t>
      </w:r>
      <w:r>
        <w:t xml:space="preserve"> </w:t>
      </w:r>
      <w:r>
        <w:t xml:space="preserve">associato al rischio nell’intera coorte. E il test</w:t>
      </w:r>
      <w:r>
        <w:t xml:space="preserve"> </w:t>
      </w:r>
      <w:r>
        <w:rPr>
          <w:b/>
          <w:bCs/>
        </w:rPr>
        <w:t xml:space="preserve">non</w:t>
      </w:r>
      <w:r>
        <w:t xml:space="preserve"> </w:t>
      </w:r>
      <w:r>
        <w:t xml:space="preserve">serviva a prevedere chi si sarebbe rotta il crociato: area sotto la curva 0,6, cioè poco più del caso (Krosshaug, 2016, PMID 26867936). Associato e inservibile come screening sono due cose diverse. In 205 atlete, invece, le nove che hanno poi rotto il crociato avevano atterrato con circa otto gradi in più di abduzione al ginocchio. Sensibilità 78%, specificità 73% (Hewett, 2005, PMID 15722287).</w:t>
      </w:r>
    </w:p>
    <w:p>
      <w:pPr>
        <w:pStyle w:val="BodyText"/>
      </w:pPr>
      <w:r>
        <w:rPr>
          <w:b/>
          <w:bCs/>
        </w:rPr>
        <w:t xml:space="preserve">Per te:</w:t>
      </w:r>
      <w:r>
        <w:t xml:space="preserve"> </w:t>
      </w:r>
      <w:r>
        <w:t xml:space="preserve">vale Krosshaug. La coorte è quattro volte più numerosa, e risponde alla domanda giusta:</w:t>
      </w:r>
      <w:r>
        <w:t xml:space="preserve"> </w:t>
      </w:r>
      <w:r>
        <w:rPr>
          <w:i/>
          <w:iCs/>
        </w:rPr>
        <w:t xml:space="preserve">questo test mi dice qualcosa su una persona che sta bene?</w:t>
      </w:r>
      <w:r>
        <w:t xml:space="preserve"> </w:t>
      </w:r>
      <w:r>
        <w:t xml:space="preserve">Hewett resta vero come descrizione, e la differenza ha un motivo tecnico. Sensibilità e specificità del 2005 sono state calcolate sullo</w:t>
      </w:r>
      <w:r>
        <w:t xml:space="preserve"> </w:t>
      </w:r>
      <w:r>
        <w:rPr>
          <w:b/>
          <w:bCs/>
        </w:rPr>
        <w:t xml:space="preserve">stesso campione</w:t>
      </w:r>
      <w:r>
        <w:t xml:space="preserve"> </w:t>
      </w:r>
      <w:r>
        <w:t xml:space="preserve">che le ha generate, su nove infortuni, senza validazione indipendente: un’accuratezza derivata così è la migliore che quel test otterrà mai. In stanza: il crollo è una</w:t>
      </w:r>
      <w:r>
        <w:t xml:space="preserve"> </w:t>
      </w:r>
      <w:r>
        <w:rPr>
          <w:b/>
          <w:bCs/>
        </w:rPr>
        <w:t xml:space="preserve">misura dentro il tuo paziente</w:t>
      </w:r>
      <w:r>
        <w:t xml:space="preserve">, prima e dopo. Non è uno screening, e a chi crolla non si dice che si farà male.</w:t>
      </w:r>
    </w:p>
    <w:bookmarkEnd w:id="51"/>
    <w:bookmarkStart w:id="52" w:name="i-tre-cerchi"/>
    <w:p>
      <w:pPr>
        <w:pStyle w:val="Heading3"/>
      </w:pPr>
      <w:r>
        <w:t xml:space="preserve">I tre cerchi</w:t>
      </w:r>
    </w:p>
    <w:p>
      <w:pPr>
        <w:pStyle w:val="FirstParagraph"/>
      </w:pPr>
      <w:r>
        <w:rPr>
          <w:b/>
          <w:bCs/>
        </w:rPr>
        <w:t xml:space="preserve">Cerchio 1 — le prove specifiche.</w:t>
      </w:r>
      <w:r>
        <w:t xml:space="preserve"> </w:t>
      </w:r>
      <w:r>
        <w:t xml:space="preserve">Sull’esercizio ci sono. In dieci studi con 423 partecipanti, sette interventi hanno ridotto il valgo dinamico in due-dieci settimane: allenavano i muscoli che governano il ginocchio. Altri tre allenavano il tronco, e non l’hanno modificato (Sahabuddin, 2021, PMID 34268014). La relazione fra forza d’anca e valgo dinamico, in sette studi su adulti sani, è</w:t>
      </w:r>
      <w:r>
        <w:t xml:space="preserve"> </w:t>
      </w:r>
      <w:r>
        <w:rPr>
          <w:b/>
          <w:bCs/>
        </w:rPr>
        <w:t xml:space="preserve">discordante</w:t>
      </w:r>
      <w:r>
        <w:t xml:space="preserve"> </w:t>
      </w:r>
      <w:r>
        <w:t xml:space="preserve">(Alzahrani, 2021, PMID 34300118).</w:t>
      </w:r>
    </w:p>
    <w:p>
      <w:pPr>
        <w:pStyle w:val="BodyText"/>
      </w:pPr>
      <w:r>
        <w:t xml:space="preserve">Le prove ci sono anche sulle due cose che il paziente ha già provato. Il rinforzo dell’anca non batte quello del ginocchio sul dolore: in 199 pazienti su quattro centri gli esiti erano simili (Ferber, 2015, PMID 25365133). I plantari prefabbricati battono un plantare finto a sei settimane, con numero necessario da trattare 4. Sommati alla fisioterapia, invece, non aggiungono nulla: 179 pazienti (Collins, 2008, PMID 18952682).</w:t>
      </w:r>
    </w:p>
    <w:p>
      <w:pPr>
        <w:pStyle w:val="BodyText"/>
      </w:pPr>
      <w:r>
        <w:rPr>
          <w:b/>
          <w:bCs/>
        </w:rPr>
        <w:t xml:space="preserve">Per te, su Ferber:</w:t>
      </w:r>
      <w:r>
        <w:t xml:space="preserve"> </w:t>
      </w:r>
      <w:r>
        <w:t xml:space="preserve">non scegli l’anca perché batte il ginocchio sul dolore, perché non lo batte. La scegli perché il ginocchio questo paziente l’ha già allenato, e perché l’anca è il piano su cui la traiettoria cambia. Se gliela vendi come la via più efficace contro il dolore, il primo che legge quello studio ti smonta.</w:t>
      </w:r>
    </w:p>
    <w:p>
      <w:pPr>
        <w:pStyle w:val="BodyText"/>
      </w:pPr>
      <w:r>
        <w:rPr>
          <w:b/>
          <w:bCs/>
        </w:rPr>
        <w:t xml:space="preserve">Per te, sui plantari:</w:t>
      </w:r>
      <w:r>
        <w:t xml:space="preserve"> </w:t>
      </w:r>
      <w:r>
        <w:t xml:space="preserve">al paziente che li ha già non dici che non servono, e non gliene proponi altri. Gli dici che funzionano nella misura in cui funzionano, e che la parte scoperta è il gesto — quella che nessuno gli ha allenato.</w:t>
      </w:r>
    </w:p>
    <w:p>
      <w:pPr>
        <w:pStyle w:val="BodyText"/>
      </w:pPr>
      <w:r>
        <w:rPr>
          <w:b/>
          <w:bCs/>
        </w:rPr>
        <w:t xml:space="preserve">E gli studi randomizzati di terapia manuale su questa cinematica esistono.</w:t>
      </w:r>
      <w:r>
        <w:t xml:space="preserve"> </w:t>
      </w:r>
      <w:r>
        <w:t xml:space="preserve">Sono tre, piccoli, e vanno letti per intero. In 82 corridori con dolore anteriore di ginocchio, un braccio di trattamento manipolativo osteopatico e uno di esercizio hanno ridotto il dolore rispetto al controllo senza intervento. Il valgo dinamico allo step-down era fra gli esiti misurati, e gli autori non ne dichiarano nessuno (Zago, 2020, PMID 33333491). In 44 donne con valgo dinamico asintomatico, sei settimane di mobilizzazione strumentale del medio gluteo hanno aumentato la forza eccentrica. L’angolo di proiezione frontale e la rotazione del femore non sono cambiati (Pisirici, 2024, PMID 38876637). In 117 donne con caviglia corta, una seduta di mobilizzazione di caviglia non ha cambiato la dorsiflessione fra le tecniche, e una variante ha prodotto</w:t>
      </w:r>
      <w:r>
        <w:t xml:space="preserve"> </w:t>
      </w:r>
      <w:r>
        <w:rPr>
          <w:b/>
          <w:bCs/>
        </w:rPr>
        <w:t xml:space="preserve">più</w:t>
      </w:r>
      <w:r>
        <w:t xml:space="preserve"> </w:t>
      </w:r>
      <w:r>
        <w:t xml:space="preserve">valgo dinamico (Coelho, 2021, PMID 33373976).</w:t>
      </w:r>
    </w:p>
    <w:p>
      <w:pPr>
        <w:pStyle w:val="BodyText"/>
      </w:pPr>
      <w:r>
        <w:rPr>
          <w:b/>
          <w:bCs/>
        </w:rPr>
        <w:t xml:space="preserve">E sul sintomo, nella popolazione-ponte, la letteratura manuale non è di tre studi.</w:t>
      </w:r>
      <w:r>
        <w:t xml:space="preserve"> </w:t>
      </w:r>
      <w:r>
        <w:t xml:space="preserve">La terapia manuale applicata alle strutture locali del ginocchio ha un effetto favorevole a breve termine sul dolore: nove studi randomizzati, cinque a basso rischio di bias, in una revisione di livello 1a. Il cambiamento è clinicamente rilevante</w:t>
      </w:r>
      <w:r>
        <w:t xml:space="preserve"> </w:t>
      </w:r>
      <w:r>
        <w:rPr>
          <w:b/>
          <w:bCs/>
        </w:rPr>
        <w:t xml:space="preserve">solo per il dolore</w:t>
      </w:r>
      <w:r>
        <w:t xml:space="preserve">: sulla funzione autoriferita è statisticamente significativo e</w:t>
      </w:r>
      <w:r>
        <w:t xml:space="preserve"> </w:t>
      </w:r>
      <w:r>
        <w:rPr>
          <w:b/>
          <w:bCs/>
        </w:rPr>
        <w:t xml:space="preserve">non</w:t>
      </w:r>
      <w:r>
        <w:t xml:space="preserve"> </w:t>
      </w:r>
      <w:r>
        <w:t xml:space="preserve">clinicamente rilevante. E sulla manipolazione lombo-pelvica gli stessi autori concludono che le prove sono inconcludenti (Eckenrode, 2018, PMID 29308698). Misurato su pazienti con dolore femoro-rotuleo, non su pazienti con valgismo — ed è la popolazione da cui questa Bibbia dichiara di prendere metà della propria bibliografia, non una popolazione lontana.</w:t>
      </w:r>
    </w:p>
    <w:p>
      <w:pPr>
        <w:pStyle w:val="BodyText"/>
      </w:pPr>
      <w:r>
        <w:rPr>
          <w:b/>
          <w:bCs/>
        </w:rPr>
        <w:t xml:space="preserve">Sulla manipolazione lombo-pelvica i due bilanci non coincidono, e vanno riportati insieme.</w:t>
      </w:r>
      <w:r>
        <w:t xml:space="preserve"> </w:t>
      </w:r>
      <w:r>
        <w:t xml:space="preserve">La revisione del 2018 la giudicava inconcludente su tre studi. La meta-analisi del 2024, su dieci studi e 346 partecipanti, trova una riduzione del dolore: g di Hedges −0,71, più marcata quando la manipolazione è aggiunta ad altre terapie. L’</w:t>
      </w:r>
      <w:r>
        <w:rPr>
          <w:b/>
          <w:bCs/>
        </w:rPr>
        <w:t xml:space="preserve">eterogeneità fra gli studi è alta</w:t>
      </w:r>
      <w:r>
        <w:t xml:space="preserve"> </w:t>
      </w:r>
      <w:r>
        <w:t xml:space="preserve">(I² 79,6%), e gli autori non dichiarano nessun evento avverso (Lin, 2024, PMID 39063585). Misurato su pazienti con dolore femoro-rotuleo e sul solo esito dolore, non su pazienti con valgismo e non sulla traiettoria del ginocchio. E con eterogeneità alta, che è il modo tecnico di dire che gli studi non concordano fra loro.</w:t>
      </w:r>
    </w:p>
    <w:p>
      <w:pPr>
        <w:pStyle w:val="BlockText"/>
      </w:pPr>
      <w:r>
        <w:rPr>
          <w:b/>
          <w:bCs/>
        </w:rPr>
        <w:t xml:space="preserve">Quanto è solido:</w:t>
      </w:r>
      <w:r>
        <w:t xml:space="preserve"> </w:t>
      </w:r>
      <w:r>
        <w:t xml:space="preserve">l’etichetta si spezza, e la frattura è fra due leve diverse.</w:t>
      </w:r>
      <w:r>
        <w:t xml:space="preserve"> </w:t>
      </w:r>
      <w:r>
        <w:rPr>
          <w:b/>
          <w:bCs/>
        </w:rPr>
        <w:t xml:space="preserve">PROBABILE</w:t>
      </w:r>
      <w:r>
        <w:t xml:space="preserve"> </w:t>
      </w:r>
      <w:r>
        <w:rPr>
          <w:i/>
          <w:iCs/>
        </w:rPr>
        <w:t xml:space="preserve">(razionale forte, prove parziali)</w:t>
      </w:r>
      <w:r>
        <w:t xml:space="preserve"> </w:t>
      </w:r>
      <w:r>
        <w:t xml:space="preserve">che la mano riduca il</w:t>
      </w:r>
      <w:r>
        <w:t xml:space="preserve"> </w:t>
      </w:r>
      <w:r>
        <w:rPr>
          <w:b/>
          <w:bCs/>
        </w:rPr>
        <w:t xml:space="preserve">dolore</w:t>
      </w:r>
      <w:r>
        <w:t xml:space="preserve"> </w:t>
      </w:r>
      <w:r>
        <w:t xml:space="preserve">di questi pazienti a breve termine (Eckenrode, 2018, PMID 29308698; Lin, 2024, PMID 39063585).</w:t>
      </w:r>
      <w:r>
        <w:t xml:space="preserve"> </w:t>
      </w:r>
      <w:r>
        <w:rPr>
          <w:b/>
          <w:bCs/>
        </w:rPr>
        <w:t xml:space="preserve">IPOTESI</w:t>
      </w:r>
      <w:r>
        <w:t xml:space="preserve"> </w:t>
      </w:r>
      <w:r>
        <w:rPr>
          <w:i/>
          <w:iCs/>
        </w:rPr>
        <w:t xml:space="preserve">(meccanismo coerente, nessuno studio)</w:t>
      </w:r>
      <w:r>
        <w:t xml:space="preserve"> </w:t>
      </w:r>
      <w:r>
        <w:t xml:space="preserve">che la mano sposti la</w:t>
      </w:r>
      <w:r>
        <w:t xml:space="preserve"> </w:t>
      </w:r>
      <w:r>
        <w:rPr>
          <w:b/>
          <w:bCs/>
        </w:rPr>
        <w:t xml:space="preserve">traiettoria</w:t>
      </w:r>
      <w:r>
        <w:t xml:space="preserve"> </w:t>
      </w:r>
      <w:r>
        <w:t xml:space="preserve">del ginocchio, con le prove contrarie scritte qui sopra: nessuna delle due meta-analisi ha misurato il valgo.</w:t>
      </w:r>
    </w:p>
    <w:p>
      <w:pPr>
        <w:pStyle w:val="FirstParagraph"/>
      </w:pPr>
      <w:r>
        <w:rPr>
          <w:b/>
          <w:bCs/>
        </w:rPr>
        <w:t xml:space="preserve">Per te:</w:t>
      </w:r>
      <w:r>
        <w:t xml:space="preserve"> </w:t>
      </w:r>
      <w:r>
        <w:t xml:space="preserve">è la posizione più scomoda e più difendibile del documento. Sul</w:t>
      </w:r>
      <w:r>
        <w:t xml:space="preserve"> </w:t>
      </w:r>
      <w:r>
        <w:rPr>
          <w:b/>
          <w:bCs/>
        </w:rPr>
        <w:t xml:space="preserve">bersaglio cinematico</w:t>
      </w:r>
      <w:r>
        <w:t xml:space="preserve"> </w:t>
      </w:r>
      <w:r>
        <w:t xml:space="preserve">la terapia manuale finora non ha mostrato niente, e una volta il contrario. Sul</w:t>
      </w:r>
      <w:r>
        <w:t xml:space="preserve"> </w:t>
      </w:r>
      <w:r>
        <w:rPr>
          <w:b/>
          <w:bCs/>
        </w:rPr>
        <w:t xml:space="preserve">sintomo</w:t>
      </w:r>
      <w:r>
        <w:t xml:space="preserve">, nella popolazione-ponte, ha mostrato qualcosa fino alla meta-analisi. Se prometti di raddrizzare la traiettoria con le mani, i tre studi sulla cinematica ti smentiscono. Aggiungici la storia naturale, che rende onesto ogni «in quanto tempo» del documento. Nello studio sui plantari tutti e quattro i gruppi, plantare finto compreso, sono migliorati in modo clinicamente rilevante a cinquantadue settimane (Collins, 2008, PMID 18952682). Quello che misuri in poche settimane compete con quel decorso: per questo il marker si sceglie prima e la soglia si dichiara.</w:t>
      </w:r>
    </w:p>
    <w:p>
      <w:pPr>
        <w:pStyle w:val="BodyText"/>
      </w:pPr>
      <w:r>
        <w:rPr>
          <w:b/>
          <w:bCs/>
        </w:rPr>
        <w:t xml:space="preserve">Cerchio 2 — il meccanismo, misurato altrove.</w:t>
      </w:r>
      <w:r>
        <w:t xml:space="preserve"> </w:t>
      </w:r>
      <w:r>
        <w:t xml:space="preserve">La mobilizzazione passiva dell’anca ha aumentato subito la forza eccentrica di abduttori ed extrarotatori contro placebo (Pfluegler, 2021, PMID 32452284; il dato per intero in «Perché le mani possono cambiare qualcosa»). La terapia manuale con esercizio ha dato benefici funzionali a un anno in 83 pazienti con artrosi (Deyle, 2000, PMID 10651597). Ma su 206 persone sommare manuale ed esercizio non ha dato più della somma (Abbott, 2013, PMID 23313532). Il rinforzo degli abduttori d’anca riduce dolore e migliora la funzione nell’artrosi (Thomas, 2022, PMID 35768802). Tutti misurati su dolore anteriore di ginocchio o su artrosi, non su valgismo.</w:t>
      </w:r>
    </w:p>
    <w:p>
      <w:pPr>
        <w:pStyle w:val="BodyText"/>
      </w:pPr>
      <w:r>
        <w:rPr>
          <w:b/>
          <w:bCs/>
        </w:rPr>
        <w:t xml:space="preserve">Cerchio 3 — la fisiologia.</w:t>
      </w:r>
      <w:r>
        <w:t xml:space="preserve"> </w:t>
      </w:r>
      <w:r>
        <w:t xml:space="preserve">Il carico interno e la sua dipendenza dall’asse (Halder, 2012, PMID 22637208). L’effetto della posizione di partenza della caviglia sul valgo dinamico (Macrum, 2012, PMID 22100617). Reggono il razionale, mai l’efficacia.</w:t>
      </w:r>
    </w:p>
    <w:bookmarkEnd w:id="52"/>
    <w:bookmarkStart w:id="53"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1"/>
        </w:numPr>
      </w:pPr>
      <w:r>
        <w:t xml:space="preserve">Che l’asse frontale decide la ripartizione del carico dentro il ginocchio, e di quanto — misurato nel verso varo, dedotto nel verso valgo.</w:t>
      </w:r>
    </w:p>
    <w:p>
      <w:pPr>
        <w:pStyle w:val="Compact"/>
        <w:numPr>
          <w:ilvl w:val="0"/>
          <w:numId w:val="1031"/>
        </w:numPr>
      </w:pPr>
      <w:r>
        <w:t xml:space="preserve">Che nel valgismo il compartimento compresso è quello esterno, e che le strutture mediali sono quelle messe in tensione.</w:t>
      </w:r>
    </w:p>
    <w:p>
      <w:pPr>
        <w:pStyle w:val="Compact"/>
        <w:numPr>
          <w:ilvl w:val="0"/>
          <w:numId w:val="1031"/>
        </w:numPr>
      </w:pPr>
      <w:r>
        <w:t xml:space="preserve">Che, in una coorte di corridrici, più adduzione d’anca precedeva la comparsa del dolore anteriore di ginocchio.</w:t>
      </w:r>
    </w:p>
    <w:p>
      <w:pPr>
        <w:pStyle w:val="Compact"/>
        <w:numPr>
          <w:ilvl w:val="0"/>
          <w:numId w:val="1031"/>
        </w:numPr>
      </w:pPr>
      <w:r>
        <w:t xml:space="preserve">Che l’esercizio riduce il dolore, e che i programmi mirati riducono il valgo dinamico misurato — su basi di forza diversa, e la prima è più solida della seconda.</w:t>
      </w:r>
    </w:p>
    <w:p>
      <w:pPr>
        <w:pStyle w:val="Compact"/>
        <w:numPr>
          <w:ilvl w:val="0"/>
          <w:numId w:val="1031"/>
        </w:numPr>
      </w:pPr>
      <w:r>
        <w:t xml:space="preserve">Che i programmi neuromuscolari riducono il rischio di rottura del crociato negli atleti.</w:t>
      </w:r>
    </w:p>
    <w:p>
      <w:pPr>
        <w:pStyle w:val="Compact"/>
        <w:numPr>
          <w:ilvl w:val="0"/>
          <w:numId w:val="1031"/>
        </w:numPr>
      </w:pPr>
      <w:r>
        <w:t xml:space="preserve">Che la traiettoria sotto carico è un bersaglio clinicamente pertinente e non solo un numero. Nel dolore femoro-rotuleo, quando un intervento sposta il movimento di ginocchio e anca</w:t>
      </w:r>
      <w:r>
        <w:t xml:space="preserve"> </w:t>
      </w:r>
      <w:r>
        <w:rPr>
          <w:b/>
          <w:bCs/>
        </w:rPr>
        <w:t xml:space="preserve">sul piano frontale</w:t>
      </w:r>
      <w:r>
        <w:t xml:space="preserve">, dolore e funzione si spostano con lui. I numeri: venticinque studi randomizzati, 894 partecipanti, correlazioni fra −0,69 e 0,73, evidenza di grado moderato. Su gonartrosi e lesioni del crociato l’evidenza è troppo scarsa per concludere (Nunes, 2023, PMID 37068162). Misurato su pazienti con dolore femoro-rotuleo e su interventi in larga parte attivi, non su pazienti con valgismo e non sulla terapia manuale. E la correlazione è fra cambiamenti: non è una prova che sia il movimento a produrre il miglioramento.</w:t>
      </w:r>
    </w:p>
    <w:p>
      <w:pPr>
        <w:pStyle w:val="FirstParagraph"/>
      </w:pPr>
      <w:r>
        <w:rPr>
          <w:b/>
          <w:bCs/>
        </w:rPr>
        <w:t xml:space="preserve">Non possiamo dire:</w:t>
      </w:r>
    </w:p>
    <w:p>
      <w:pPr>
        <w:pStyle w:val="Compact"/>
        <w:numPr>
          <w:ilvl w:val="0"/>
          <w:numId w:val="1032"/>
        </w:numPr>
      </w:pPr>
      <w:r>
        <w:t xml:space="preserve">Che la terapia manuale modifichi l’asse dell’arto inferiore.</w:t>
      </w:r>
    </w:p>
    <w:p>
      <w:pPr>
        <w:pStyle w:val="Compact"/>
        <w:numPr>
          <w:ilvl w:val="0"/>
          <w:numId w:val="1032"/>
        </w:numPr>
      </w:pPr>
      <w:r>
        <w:t xml:space="preserve">Che la debolezza d’anca sia la causa del dolore, invece che la sua conseguenza.</w:t>
      </w:r>
    </w:p>
    <w:p>
      <w:pPr>
        <w:pStyle w:val="Compact"/>
        <w:numPr>
          <w:ilvl w:val="0"/>
          <w:numId w:val="1032"/>
        </w:numPr>
      </w:pPr>
      <w:r>
        <w:t xml:space="preserve">Che il valgo di questo paziente gli consumerà il ginocchio: il rischio è di popolazione, non di persona.</w:t>
      </w:r>
    </w:p>
    <w:p>
      <w:pPr>
        <w:pStyle w:val="Compact"/>
        <w:numPr>
          <w:ilvl w:val="0"/>
          <w:numId w:val="1032"/>
        </w:numPr>
      </w:pPr>
      <w:r>
        <w:t xml:space="preserve">Che il piede piatto abbia prodotto questo valgismo.</w:t>
      </w:r>
    </w:p>
    <w:p>
      <w:pPr>
        <w:pStyle w:val="Compact"/>
        <w:numPr>
          <w:ilvl w:val="0"/>
          <w:numId w:val="1032"/>
        </w:numPr>
      </w:pPr>
      <w:r>
        <w:t xml:space="preserve">Che un ciclo di trattamento cambi come le gambe appaiono in una fotografia.</w:t>
      </w:r>
    </w:p>
    <w:p>
      <w:pPr>
        <w:pStyle w:val="Compact"/>
        <w:numPr>
          <w:ilvl w:val="0"/>
          <w:numId w:val="1032"/>
        </w:numPr>
      </w:pPr>
      <w:r>
        <w:t xml:space="preserve">Che il lavoro manuale cambi quanto il ginocchio va dentro: dove è stato misurato, non è cambiato.</w:t>
      </w:r>
    </w:p>
    <w:p>
      <w:pPr>
        <w:pStyle w:val="Compact"/>
        <w:numPr>
          <w:ilvl w:val="0"/>
          <w:numId w:val="1032"/>
        </w:numPr>
      </w:pPr>
      <w:r>
        <w:t xml:space="preserve">Che il lavoro manuale cambi la</w:t>
      </w:r>
      <w:r>
        <w:t xml:space="preserve"> </w:t>
      </w:r>
      <w:r>
        <w:rPr>
          <w:b/>
          <w:bCs/>
        </w:rPr>
        <w:t xml:space="preserve">rotazione</w:t>
      </w:r>
      <w:r>
        <w:t xml:space="preserve"> </w:t>
      </w:r>
      <w:r>
        <w:t xml:space="preserve">del ginocchio in modo clinicamente utile. Dove il legame fra cambiamento cinematico ed esito clinico è stato misurato, il piano trasversale è l’unico che non correla (Nunes, 2023, PMID 37068162).</w:t>
      </w:r>
    </w:p>
    <w:p>
      <w:pPr>
        <w:pStyle w:val="Compact"/>
        <w:numPr>
          <w:ilvl w:val="0"/>
          <w:numId w:val="1032"/>
        </w:numPr>
      </w:pPr>
      <w:r>
        <w:t xml:space="preserve">Che il riallenamento del gesto riduca il dolore: cambia il gesto e il carico per passo, e sul dolore la revisione dedicata non ha potuto concludere niente (Doyle, 2022, PMID 35128941).</w:t>
      </w:r>
    </w:p>
    <w:bookmarkEnd w:id="53"/>
    <w:bookmarkStart w:id="54" w:name="quando-la-scienza-tace"/>
    <w:p>
      <w:pPr>
        <w:pStyle w:val="Heading3"/>
      </w:pPr>
      <w:r>
        <w:t xml:space="preserve">Quando la scienza tace</w:t>
      </w:r>
    </w:p>
    <w:p>
      <w:pPr>
        <w:pStyle w:val="FirstParagraph"/>
      </w:pPr>
      <w:r>
        <w:t xml:space="preserve">Sul valgismo</w:t>
      </w:r>
      <w:r>
        <w:t xml:space="preserve"> </w:t>
      </w:r>
      <w:r>
        <w:rPr>
          <w:b/>
          <w:bCs/>
        </w:rPr>
        <w:t xml:space="preserve">come condizione</w:t>
      </w:r>
      <w:r>
        <w:t xml:space="preserve"> </w:t>
      </w:r>
      <w:r>
        <w:t xml:space="preserve">la letteratura di terapia manuale è vicina al vuoto: tre studi randomizzati piccoli, nessuno disegnato su questa condizione. Sul</w:t>
      </w:r>
      <w:r>
        <w:t xml:space="preserve"> </w:t>
      </w:r>
      <w:r>
        <w:rPr>
          <w:b/>
          <w:bCs/>
        </w:rPr>
        <w:t xml:space="preserve">sintomo</w:t>
      </w:r>
      <w:r>
        <w:t xml:space="preserve">, nella popolazione da cui viene metà di questo documento, il bilancio è diverso e va detto: due meta-analisi, nove e dieci studi randomizzati, con effetto favorevole a breve termine sul dolore.</w:t>
      </w:r>
      <w:r>
        <w:t xml:space="preserve"> </w:t>
      </w:r>
      <w:r>
        <w:rPr>
          <w:b/>
          <w:bCs/>
        </w:rPr>
        <w:t xml:space="preserve">Sono due bilanci, non uno</w:t>
      </w:r>
      <w:r>
        <w:t xml:space="preserve">, e fonderli in uno solo è il modo più facile per dire una cosa falsa in buona fede — in questo caso, per difetto. Il primo va detto per intero, perché un lettore onesto, fermandosi lì, concluderebbe che allora non si tratta. È una conclusione sbagliata, e si smonta con argomenti.</w:t>
      </w:r>
    </w:p>
    <w:p>
      <w:pPr>
        <w:pStyle w:val="BodyText"/>
      </w:pPr>
      <w:r>
        <w:rPr>
          <w:b/>
          <w:bCs/>
        </w:rPr>
        <w:t xml:space="preserve">Distingui il silenzio dalla smentita.</w:t>
      </w:r>
      <w:r>
        <w:t xml:space="preserve"> </w:t>
      </w:r>
      <w:r>
        <w:t xml:space="preserve">Sul dolore le prove a favore ci sono, e nella popolazione-ponte arrivano fino alla meta-analisi. Sulla traiettoria del ginocchio c’è poco, e quel poco non ti dà ragione. Sono due bilanci diversi: dire «non esistono studi» dove ne esistono tre che non ti danno ragione è più comodo e meno onesto. Dove invece nessuno ha misurato, non sappiamo — e</w:t>
      </w:r>
      <w:r>
        <w:t xml:space="preserve"> </w:t>
      </w:r>
      <w:r>
        <w:rPr>
          <w:b/>
          <w:bCs/>
        </w:rPr>
        <w:t xml:space="preserve">assenza di prove non è prova di assenza</w:t>
      </w:r>
      <w:r>
        <w:t xml:space="preserve">.</w:t>
      </w:r>
    </w:p>
    <w:p>
      <w:pPr>
        <w:pStyle w:val="BodyText"/>
      </w:pPr>
      <w:r>
        <w:rPr>
          <w:b/>
          <w:bCs/>
        </w:rPr>
        <w:t xml:space="preserve">Perché quella letteratura è così povera.</w:t>
      </w:r>
      <w:r>
        <w:t xml:space="preserve"> </w:t>
      </w:r>
      <w:r>
        <w:t xml:space="preserve">Il valgismo non è una diagnosi con un codice e un percorso: chi lo studia lo studia come fattore di rischio dentro altre condizioni. Non esiste un esito standardizzato, e non esiste un placebo credibile per il tocco.</w:t>
      </w:r>
    </w:p>
    <w:p>
      <w:pPr>
        <w:pStyle w:val="BodyText"/>
      </w:pPr>
      <w:r>
        <w:rPr>
          <w:b/>
          <w:bCs/>
        </w:rPr>
        <w:t xml:space="preserve">Su cosa ti basi allora.</w:t>
      </w:r>
      <w:r>
        <w:t xml:space="preserve"> </w:t>
      </w:r>
      <w:r>
        <w:t xml:space="preserve">In ordine di forza: la</w:t>
      </w:r>
      <w:r>
        <w:t xml:space="preserve"> </w:t>
      </w:r>
      <w:r>
        <w:rPr>
          <w:b/>
          <w:bCs/>
        </w:rPr>
        <w:t xml:space="preserve">parte attiva</w:t>
      </w:r>
      <w:r>
        <w:t xml:space="preserve">, che qui ha le prove migliori; il</w:t>
      </w:r>
      <w:r>
        <w:t xml:space="preserve"> </w:t>
      </w:r>
      <w:r>
        <w:rPr>
          <w:b/>
          <w:bCs/>
        </w:rPr>
        <w:t xml:space="preserve">meccanismo fisiologico</w:t>
      </w:r>
      <w:r>
        <w:t xml:space="preserve">; il</w:t>
      </w:r>
      <w:r>
        <w:t xml:space="preserve"> </w:t>
      </w:r>
      <w:r>
        <w:rPr>
          <w:b/>
          <w:bCs/>
        </w:rPr>
        <w:t xml:space="preserve">ragionamento clinico</w:t>
      </w:r>
      <w:r>
        <w:t xml:space="preserve">, dichiarato per quello che è; la</w:t>
      </w:r>
      <w:r>
        <w:t xml:space="preserve"> </w:t>
      </w:r>
      <w:r>
        <w:rPr>
          <w:b/>
          <w:bCs/>
        </w:rPr>
        <w:t xml:space="preserve">verifica su questo paziente</w:t>
      </w:r>
      <w:r>
        <w:t xml:space="preserve">, con marker e soglia scelti</w:t>
      </w:r>
      <w:r>
        <w:t xml:space="preserve"> </w:t>
      </w:r>
      <w:r>
        <w:rPr>
          <w:b/>
          <w:bCs/>
        </w:rPr>
        <w:t xml:space="preserve">prima</w:t>
      </w:r>
      <w:r>
        <w:t xml:space="preserve">.</w:t>
      </w:r>
    </w:p>
    <w:p>
      <w:pPr>
        <w:pStyle w:val="BodyText"/>
      </w:pPr>
      <w:r>
        <w:rPr>
          <w:b/>
          <w:bCs/>
        </w:rPr>
        <w:t xml:space="preserve">Cosa separa tutto questo dal pensiero magico.</w:t>
      </w:r>
      <w:r>
        <w:t xml:space="preserve"> </w:t>
      </w:r>
      <w:r>
        <w:t xml:space="preserve">La verifica, e nient’altro. Scegliere il marker prima e accettarne il verdetto è scienza applicata a un caso singolo; sceglierlo dopo aver visto il paziente migliorare, no.</w:t>
      </w:r>
    </w:p>
    <w:p>
      <w:pPr>
        <w:pStyle w:val="BodyText"/>
      </w:pPr>
      <w:r>
        <w:rPr>
          <w:b/>
          <w:bCs/>
        </w:rPr>
        <w:t xml:space="preserve">Cosa non autorizza.</w:t>
      </w:r>
      <w:r>
        <w:t xml:space="preserve"> </w:t>
      </w:r>
      <w:r>
        <w:t xml:space="preserve">A promettere un esito. A scrivere DIMOSTRATO dove c’è IPOTESI. A dire al paziente che gli studi lo confermano.</w:t>
      </w:r>
    </w:p>
    <w:p>
      <w:pPr>
        <w:pStyle w:val="BodyText"/>
      </w:pPr>
      <w:r>
        <w:rPr>
          <w:b/>
          <w:bCs/>
        </w:rPr>
        <w:t xml:space="preserve">Le tre cose da ricordare, più una</w:t>
      </w:r>
    </w:p>
    <w:p>
      <w:pPr>
        <w:pStyle w:val="Compact"/>
        <w:numPr>
          <w:ilvl w:val="0"/>
          <w:numId w:val="1033"/>
        </w:numPr>
      </w:pPr>
      <w:r>
        <w:t xml:space="preserve">Sul valgismo gli studi randomizzati di terapia manuale sono tre, piccoli, e sul crollo del ginocchio non mostrano nulla; sul dolore della popolazione-ponte esistono due meta-analisi favorevoli. Sono due bilanci diversi, e ogni altra fonte del capitolo viene da una popolazione vicina.</w:t>
      </w:r>
    </w:p>
    <w:p>
      <w:pPr>
        <w:pStyle w:val="Compact"/>
        <w:numPr>
          <w:ilvl w:val="0"/>
          <w:numId w:val="1033"/>
        </w:numPr>
      </w:pPr>
      <w:r>
        <w:t xml:space="preserve">Fra i due numeri sul valgo dinamico vale Krosshaug: su 710 atlete il crollo è associato al rischio e non serve a prevedere chi si farà male.</w:t>
      </w:r>
    </w:p>
    <w:p>
      <w:pPr>
        <w:pStyle w:val="Compact"/>
        <w:numPr>
          <w:ilvl w:val="0"/>
          <w:numId w:val="1033"/>
        </w:numPr>
      </w:pPr>
      <w:r>
        <w:t xml:space="preserve">La verifica sul singolo paziente, con marker e soglia scelti prima, è ciò che separa questo lavoro dal pensiero magico.</w:t>
      </w:r>
    </w:p>
    <w:p>
      <w:pPr>
        <w:pStyle w:val="Compact"/>
        <w:numPr>
          <w:ilvl w:val="0"/>
          <w:numId w:val="1033"/>
        </w:numPr>
      </w:pPr>
      <w:r>
        <w:rPr>
          <w:b/>
          <w:bCs/>
        </w:rPr>
        <w:t xml:space="preserve">Perché ci sei tu.</w:t>
      </w:r>
      <w:r>
        <w:t xml:space="preserve"> </w:t>
      </w:r>
      <w:r>
        <w:t xml:space="preserve">Dove il valgo dinamico è stato misurato dopo terapia manuale non è cambiato (Pisirici, 2024, PMID 38876637; Zago, 2020, PMID 33333491), e una volta è peggiorato (Coelho, 2021, PMID 33373976). Ti autorizza a dichiararlo e a verificare su questo paziente. Non ti autorizza a dire</w:t>
      </w:r>
      <w:r>
        <w:t xml:space="preserve"> </w:t>
      </w:r>
      <w:r>
        <w:rPr>
          <w:i/>
          <w:iCs/>
        </w:rPr>
        <w:t xml:space="preserve">«gli studi lo confermano»</w:t>
      </w:r>
      <w:r>
        <w:t xml:space="preserve">, né a vendere la traiettoria del ginocchio come bersaglio delle tue mani.</w:t>
      </w:r>
    </w:p>
    <w:p>
      <w:r>
        <w:pict>
          <v:rect style="width:0;height:1.5pt" o:hralign="center" o:hrstd="t" o:hr="t"/>
        </w:pict>
      </w:r>
    </w:p>
    <w:bookmarkEnd w:id="54"/>
    <w:bookmarkEnd w:id="55"/>
    <w:bookmarkStart w:id="5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non spostano l’asse, spostano l’escursione, il comando e — nella popolazione-ponte — il dolore; e su questa condizione l’escursione e il comando sono la parte che produce il sintomo.</w:t>
      </w:r>
    </w:p>
    <w:p>
      <w:pPr>
        <w:pStyle w:val="FirstParagraph"/>
      </w:pPr>
      <w:r>
        <w:rPr>
          <w:b/>
          <w:bCs/>
        </w:rPr>
        <w:t xml:space="preserve">Sul primo meccanismo — la forma con cui sei arrivato — le mani non hanno leva.</w:t>
      </w:r>
      <w:r>
        <w:t xml:space="preserve"> </w:t>
      </w:r>
      <w:r>
        <w:t xml:space="preserve">È il limite che regge la credibilità di tutto il resto: la quota ossea non si modifica con nessuna tecnica manuale, e nessuna misura di asse è un obiettivo dichiarabile.</w:t>
      </w:r>
    </w:p>
    <w:p>
      <w:pPr>
        <w:pStyle w:val="BodyText"/>
      </w:pPr>
      <w:r>
        <w:rPr>
          <w:b/>
          <w:bCs/>
        </w:rPr>
        <w:t xml:space="preserve">Sul secondo meccanismo — il ginocchio obbedisce all’anca.</w:t>
      </w:r>
      <w:r>
        <w:t xml:space="preserve"> </w:t>
      </w:r>
      <w:r>
        <w:t xml:space="preserve">Una mano agisce sull’escursione di rotazione ed estensione dell’anca, sui tessuti che la limitano, sulla disponibilità di abduttori ed extrarotatori. Effetto: non un muscolo più forte, ma un muscolo che esprime più forza eccentrica nella stessa seduta. È una finestra in cui il gesto si riallena meglio, ed è breve.</w:t>
      </w:r>
    </w:p>
    <w:p>
      <w:pPr>
        <w:pStyle w:val="BodyText"/>
      </w:pPr>
      <w:r>
        <w:rPr>
          <w:b/>
          <w:bCs/>
        </w:rPr>
        <w:t xml:space="preserve">E qui la via si può nominare.</w:t>
      </w:r>
      <w:r>
        <w:t xml:space="preserve"> </w:t>
      </w:r>
      <w:r>
        <w:t xml:space="preserve">L’input dei recettori articolari riduce per un po’ l’inibizione riflessa che tiene bassa la risposta del muscolo attorno a un’articolazione dolente: è l’inibizione artrogena (Konishi, 2022, PMID 35078149). È l’unica via che spiega un cambiamento dell’uscita motoria in secondi senza che il muscolo sia cambiato. Ed è la stessa che spiega perché la finestra sia breve: non c’è plasticità dentro, e l’effetto decade con l’afferenza che l’ha prodotto. «La finestra è breve» è così una previsione, non un’asserzione. È il motore appena scaldato: finché è caldo risponde meglio, e domani mattina riparte da freddo.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mobilizzazione passiva dell’anca ha aumentato la forza eccentrica di abduttori ed extrarotatori del 7,73% contro un calo del 4,22% con placebo, in diciotto pazienti con dolore anteriore di ginocchio, con disegno crossover in doppio cieco (Pfluegler, 2021, PMID 32452284). Diciotto persone, esito immediato di forza, nessun esito clinico, e nessuna soglia nota che dica se un guadagno del 7,7% si sente. E la prova contraria, nella stessa riga: la mobilizzazione strumentale del medio gluteo ha aumentato la forza eccentrica senza cambiare la traiettoria del ginocchio (Pisirici, 2024, PMID 38876637), e una manipolazione lombopelvica non ha cambiato né forza né attivazione del quadricipite in questi pazienti (Grindstaff, 2012, PMID 22488227). Sulla stessa famiglia di tecniche, ma sul</w:t>
      </w:r>
      <w:r>
        <w:t xml:space="preserve"> </w:t>
      </w:r>
      <w:r>
        <w:rPr>
          <w:b/>
          <w:bCs/>
        </w:rPr>
        <w:t xml:space="preserve">dolore</w:t>
      </w:r>
      <w:r>
        <w:t xml:space="preserve"> </w:t>
      </w:r>
      <w:r>
        <w:t xml:space="preserve">invece che sul muscolo, la meta-analisi dedicata trova una riduzione con eterogeneità alta (Lin, 2024, PMID 39063585): è un’altra grandezza, e si cita insieme all’altra perché dire solo la metà sfavorevole è lo stesso errore che dire solo la metà favorevole.</w:t>
      </w:r>
    </w:p>
    <w:p>
      <w:pPr>
        <w:pStyle w:val="FirstParagraph"/>
      </w:pPr>
      <w:r>
        <w:rPr>
          <w:b/>
          <w:bCs/>
        </w:rPr>
        <w:t xml:space="preserve">E sul paziente che ha troppa escursione invece che troppa poca</w:t>
      </w:r>
      <w:r>
        <w:t xml:space="preserve"> </w:t>
      </w:r>
      <w:r>
        <w:t xml:space="preserve">— femore girato dentro sull’osso, o lassità diffusa — questa leva non ha presa. Restano il controllo del gesto e la gestione del carico, e dirlo prima di aprire il ciclo evita di bruciarlo.</w:t>
      </w:r>
    </w:p>
    <w:p>
      <w:pPr>
        <w:pStyle w:val="BodyText"/>
      </w:pPr>
      <w:r>
        <w:rPr>
          <w:b/>
          <w:bCs/>
        </w:rPr>
        <w:t xml:space="preserve">Sul terzo meccanismo — la caviglia che non si apre.</w:t>
      </w:r>
      <w:r>
        <w:t xml:space="preserve"> </w:t>
      </w:r>
      <w:r>
        <w:t xml:space="preserve">Una mano agisce sull’escursione tibio-tarsica e sottoastragalica e sui tessuti posteriori della gamba. Effetto: gradi di dorsiflessione in carico che tornano disponibili, e un ginocchio che ha meno bisogno di prendere il movimento dalla rotazione. Tempo: subito, e va mantenuto.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il recupero manuale di dorsiflessione riduca il valgo dinamico in questi pazienti. Il nesso inverso è invece PROBABILE</w:t>
      </w:r>
      <w:r>
        <w:t xml:space="preserve"> </w:t>
      </w:r>
      <w:r>
        <w:rPr>
          <w:i/>
          <w:iCs/>
        </w:rPr>
        <w:t xml:space="preserve">(razionale forte, prove parziali)</w:t>
      </w:r>
      <w:r>
        <w:t xml:space="preserve">: togliere dorsiflessione aumenta il valgo, in trenta soggetti sani e in accosciata su due gambe (Macrum, 2012, PMID 22100617). Che restituirla lo riduca è la deduzione — e dove è stata misurata non ha funzionato, e una variante ha prodotto più valgo dinamico (Coelho, 2021, PMID 33373976; il dato per intero in «Cosa dice la scienza»).</w:t>
      </w:r>
      <w:r>
        <w:t xml:space="preserve"> </w:t>
      </w:r>
      <w:r>
        <w:rPr>
          <w:b/>
          <w:bCs/>
        </w:rPr>
        <w:t xml:space="preserve">Ma il tempo di misura cambia il risultato, ed è la chiave per leggere quello studio:</w:t>
      </w:r>
      <w:r>
        <w:t xml:space="preserve"> </w:t>
      </w:r>
      <w:r>
        <w:t xml:space="preserve">nella meta-analisi dedicata la mobilizzazione</w:t>
      </w:r>
      <w:r>
        <w:t xml:space="preserve"> </w:t>
      </w:r>
      <w:r>
        <w:rPr>
          <w:b/>
          <w:bCs/>
        </w:rPr>
        <w:t xml:space="preserve">non</w:t>
      </w:r>
      <w:r>
        <w:t xml:space="preserve"> </w:t>
      </w:r>
      <w:r>
        <w:t xml:space="preserve">migliora la dorsiflessione</w:t>
      </w:r>
      <w:r>
        <w:t xml:space="preserve"> </w:t>
      </w:r>
      <w:r>
        <w:rPr>
          <w:b/>
          <w:bCs/>
        </w:rPr>
        <w:t xml:space="preserve">subito dopo</w:t>
      </w:r>
      <w:r>
        <w:t xml:space="preserve"> </w:t>
      </w:r>
      <w:r>
        <w:t xml:space="preserve">l’applicazione (p = 0,16), e la migliora</w:t>
      </w:r>
      <w:r>
        <w:t xml:space="preserve"> </w:t>
      </w:r>
      <w:r>
        <w:rPr>
          <w:b/>
          <w:bCs/>
        </w:rPr>
        <w:t xml:space="preserve">a breve termine in carico</w:t>
      </w:r>
      <w:r>
        <w:t xml:space="preserve"> </w:t>
      </w:r>
      <w:r>
        <w:t xml:space="preserve">(p = 0,003), su undici studi di distorsioni croniche di qualità metodologica giudicata moderata (Weerasekara, 2018, PMID 28882509). Misurato su distorsioni croniche di caviglia e sull’escursione come esito, non su pazienti con valgismo e non sulla traiettoria del ginocchio. Che la mano restituisca escursione di caviglia in carico, se il tempo di misura è quello giusto, è quindi</w:t>
      </w:r>
      <w:r>
        <w:t xml:space="preserve"> </w:t>
      </w:r>
      <w:r>
        <w:rPr>
          <w:b/>
          <w:bCs/>
        </w:rPr>
        <w:t xml:space="preserve">PROBABILE</w:t>
      </w:r>
      <w:r>
        <w:t xml:space="preserve"> </w:t>
      </w:r>
      <w:r>
        <w:rPr>
          <w:i/>
          <w:iCs/>
        </w:rPr>
        <w:t xml:space="preserve">(razionale forte, prove parziali)</w:t>
      </w:r>
      <w:r>
        <w:t xml:space="preserve">: su questo distretto il guadagno non si giudica alla fine della seduta. L’etichetta della leva sul valgo di questi pazienti resta IPOTESI, invariata.</w:t>
      </w:r>
    </w:p>
    <w:p>
      <w:pPr>
        <w:pStyle w:val="FirstParagraph"/>
      </w:pPr>
      <w:r>
        <w:rPr>
          <w:b/>
          <w:bCs/>
        </w:rPr>
        <w:t xml:space="preserve">Anche qui la via si può nominare:</w:t>
      </w:r>
      <w:r>
        <w:t xml:space="preserve"> </w:t>
      </w:r>
      <w:r>
        <w:t xml:space="preserve">un guadagno immediato di escursione è in larga parte</w:t>
      </w:r>
      <w:r>
        <w:t xml:space="preserve"> </w:t>
      </w:r>
      <w:r>
        <w:rPr>
          <w:b/>
          <w:bCs/>
        </w:rPr>
        <w:t xml:space="preserve">tolleranza allo stiramento</w:t>
      </w:r>
      <w:r>
        <w:t xml:space="preserve">, non tessuto allungato. È il motivo per cui l’escursione recuperata e non usata torna dov’era. La reversione non è un difetto del tuo lavoro: è la firma del meccanismo.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la lunghezza del muscolo aumenta davvero durante l’applicazione dello stiramento, per le proprietà viscoelastiche, ma l’aumento è</w:t>
      </w:r>
      <w:r>
        <w:t xml:space="preserve"> </w:t>
      </w:r>
      <w:r>
        <w:rPr>
          <w:b/>
          <w:bCs/>
        </w:rPr>
        <w:t xml:space="preserve">transitorio</w:t>
      </w:r>
      <w:r>
        <w:t xml:space="preserve">; gli studi biomeccanici convergono nell’attribuire a una</w:t>
      </w:r>
      <w:r>
        <w:t xml:space="preserve"> </w:t>
      </w:r>
      <w:r>
        <w:rPr>
          <w:b/>
          <w:bCs/>
        </w:rPr>
        <w:t xml:space="preserve">modifica della sensazione</w:t>
      </w:r>
      <w:r>
        <w:t xml:space="preserve"> </w:t>
      </w:r>
      <w:r>
        <w:t xml:space="preserve">l’aumento di estensibilità osservato dopo una singola seduta e dopo programmi di tre-otto settimane (Weppler e Magnusson, 2010, PMID 20075147). Misurato sullo stiramento muscolare in laboratorio, non sul guadagno di escursione prodotto da una mobilizzazione articolare in questi pazienti — è il meccanismo più probabile, non quello dimostrato per il tuo gesto.</w:t>
      </w:r>
    </w:p>
    <w:p>
      <w:pPr>
        <w:pStyle w:val="FirstParagraph"/>
      </w:pPr>
      <w:r>
        <w:rPr>
          <w:b/>
          <w:bCs/>
        </w:rPr>
        <w:t xml:space="preserve">Sul quarto meccanismo — il carico che si sposta.</w:t>
      </w:r>
      <w:r>
        <w:t xml:space="preserve"> </w:t>
      </w:r>
      <w:r>
        <w:t xml:space="preserve">Una mano agisce sulla tolleranza del tessuto che riceve più carico, non sulla ripartizione. Effetto: meno dolore laterale e meno reattività della fascia laterale, dove il paziente sente. Tempo: sollievo dentro la seduta, durata legata a quanto cambia il gesto.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e la quota di effetto non specifica qui è alta: l’88% dell’effetto immediato della mobilizzazione sul dolore non è attribuibile allo specifico (Ezzatvar, 2024, PMID 38602164; il dato per intero nel modello Comportamentale). Misurato su dolore muscolo-scheletrico in generale, non su questa condizione.</w:t>
      </w:r>
      <w:r>
        <w:t xml:space="preserve"> </w:t>
      </w:r>
      <w:r>
        <w:rPr>
          <w:b/>
          <w:bCs/>
        </w:rPr>
        <w:t xml:space="preserve">E l’etichetta è sul meccanismo, non sull’esito:</w:t>
      </w:r>
      <w:r>
        <w:t xml:space="preserve"> </w:t>
      </w:r>
      <w:r>
        <w:t xml:space="preserve">sul</w:t>
      </w:r>
      <w:r>
        <w:t xml:space="preserve"> </w:t>
      </w:r>
      <w:r>
        <w:rPr>
          <w:b/>
          <w:bCs/>
        </w:rPr>
        <w:t xml:space="preserve">dolore</w:t>
      </w:r>
      <w:r>
        <w:t xml:space="preserve">, nella popolazione-ponte, l’etichetta è</w:t>
      </w:r>
      <w:r>
        <w:t xml:space="preserve"> </w:t>
      </w:r>
      <w:r>
        <w:rPr>
          <w:b/>
          <w:bCs/>
        </w:rPr>
        <w:t xml:space="preserve">PROBABILE</w:t>
      </w:r>
      <w:r>
        <w:t xml:space="preserve"> </w:t>
      </w:r>
      <w:r>
        <w:rPr>
          <w:i/>
          <w:iCs/>
        </w:rPr>
        <w:t xml:space="preserve">(razionale forte, prove parziali)</w:t>
      </w:r>
      <w:r>
        <w:t xml:space="preserve"> </w:t>
      </w:r>
      <w:r>
        <w:t xml:space="preserve">— due meta-analisi, in «Cosa dice la scienza» (Eckenrode, 2018, PMID 29308698; Lin, 2024, PMID 39063585) — misurato su dolore femoro-rotuleo, non su pazienti con valgismo.</w:t>
      </w:r>
    </w:p>
    <w:p>
      <w:pPr>
        <w:pStyle w:val="FirstParagraph"/>
      </w:pPr>
      <w:r>
        <w:rPr>
          <w:b/>
          <w:bCs/>
        </w:rPr>
        <w:t xml:space="preserve">Sul quinto meccanismo — il conto delle ripetizioni.</w:t>
      </w:r>
      <w:r>
        <w:t xml:space="preserve"> </w:t>
      </w:r>
      <w:r>
        <w:t xml:space="preserve">Le mani non hanno leva. Il conto si cambia con il peso, con il volume e con la distribuzione del carico nella giornata: nessuna delle tre è un atto manuale.</w:t>
      </w:r>
    </w:p>
    <w:p>
      <w:pPr>
        <w:pStyle w:val="BodyText"/>
      </w:pPr>
      <w:r>
        <w:rPr>
          <w:b/>
          <w:bCs/>
        </w:rPr>
        <w:t xml:space="preserve">E la leva sull’attivazione.</w:t>
      </w:r>
      <w:r>
        <w:t xml:space="preserve"> </w:t>
      </w:r>
      <w:r>
        <w:t xml:space="preserve">Non aggancia uno dei cinque meccanismi: aggancia il livello di attivazione del modello Neurologico e il sottotipo con dolore a distribuzione nociplastica. Quando il dominante è il livello di attivazione, il bersaglio è lo stato. E ci si arriva con le mani, con un contatto e un ritmo diversi da quelli con cui lavori l’escursione. È lavoro manuale a tutti gli effetti, mirato altrove. Come si dosa sta nella Procedura.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In venti studi randomizzati gli interventi osteopatici hanno mosso gli esiti psicologici, con intervalli di previsione ampi, e hanno</w:t>
      </w:r>
      <w:r>
        <w:t xml:space="preserve"> </w:t>
      </w:r>
      <w:r>
        <w:rPr>
          <w:b/>
          <w:bCs/>
        </w:rPr>
        <w:t xml:space="preserve">aumentato</w:t>
      </w:r>
      <w:r>
        <w:t xml:space="preserve"> </w:t>
      </w:r>
      <w:r>
        <w:t xml:space="preserve">la conduttanza cutanea (Gordon, 2025, PMID 39920074). Misurato su ansia e depressione in adulti, non su pazienti con questa condizione. E il dato sulla conduttanza va letto per quello che è: misura attivazione simpatica sudomotoria e nient’altro — un indice</w:t>
      </w:r>
      <w:r>
        <w:t xml:space="preserve"> </w:t>
      </w:r>
      <w:r>
        <w:rPr>
          <w:b/>
          <w:bCs/>
        </w:rPr>
        <w:t xml:space="preserve">fasico della risposta allo stimolo</w:t>
      </w:r>
      <w:r>
        <w:t xml:space="preserve">, non del</w:t>
      </w:r>
      <w:r>
        <w:t xml:space="preserve"> </w:t>
      </w:r>
      <w:r>
        <w:rPr>
          <w:b/>
          <w:bCs/>
        </w:rPr>
        <w:t xml:space="preserve">livello tonico</w:t>
      </w:r>
      <w:r>
        <w:t xml:space="preserve">, che è la grandezza che questa Bibbia afferma. E dove è stato misurato nella terapia manuale il suo aumento</w:t>
      </w:r>
      <w:r>
        <w:t xml:space="preserve"> </w:t>
      </w:r>
      <w:r>
        <w:rPr>
          <w:b/>
          <w:bCs/>
        </w:rPr>
        <w:t xml:space="preserve">accompagna</w:t>
      </w:r>
      <w:r>
        <w:t xml:space="preserve"> </w:t>
      </w:r>
      <w:r>
        <w:t xml:space="preserve">l’ipoalgesia invece di escluderla: in uno studio randomizzato, in doppio cieco e con controllo placebo su 24 pazienti, il trattamento ha prodotto insieme ipoalgesia e attivazione simpatica oltre placebo e controllo (p &lt; 0,03), con le latenze dei due fenomeni correlate a r = 0,82 (Vicenzino, 1998, PMID 9777544). Misurato su epicondilalgia laterale cronica e con una tecnica cervicale, non su pazienti con valgismo — e misura la risposta allo stimolo, non il livello di attivazione che questa Bibbia afferma. Non è quindi una prova contraria alla leva: è la misura di un’altra grandezza. E non è lo strumento con cui si guarda il tono vagale — quello è la variabilità della frequenza cardiaca.</w:t>
      </w:r>
      <w:r>
        <w:t xml:space="preserve"> </w:t>
      </w:r>
      <w:r>
        <w:rPr>
          <w:b/>
          <w:bCs/>
        </w:rPr>
        <w:t xml:space="preserve">Sul livello tonico, in questa condizione, nessuno ha misurato niente.</w:t>
      </w:r>
    </w:p>
    <w:bookmarkStart w:id="56" w:name="X35d55babe8955eede7a07e8a3f3d9f86afabaf5"/>
    <w:p>
      <w:pPr>
        <w:pStyle w:val="Heading3"/>
      </w:pPr>
      <w:r>
        <w:t xml:space="preserve">Cosa non possono fare le mani, su questa condizione</w:t>
      </w:r>
    </w:p>
    <w:p>
      <w:pPr>
        <w:pStyle w:val="FirstParagraph"/>
      </w:pPr>
      <w:r>
        <w:t xml:space="preserve">Non cambiano l’asse dell’arto né come le gambe appaiono in una fotografia. Non producono da sole un gesto diverso. E non sostituiscono la parte attiva.</w:t>
      </w:r>
    </w:p>
    <w:p>
      <w:pPr>
        <w:pStyle w:val="BlockText"/>
      </w:pPr>
      <w:r>
        <w:rPr>
          <w:b/>
          <w:bCs/>
        </w:rPr>
        <w:t xml:space="preserve">Attenzione.</w:t>
      </w:r>
      <w:r>
        <w:t xml:space="preserve"> </w:t>
      </w:r>
      <w:r>
        <w:t xml:space="preserve">Su questo distretto il rischio del gesto manuale è basso — in venti articoli sulle articolazioni periferiche gli eventi avversi raccolti sono cinquantatré, quasi tutti benigni (Sheldon e Karas, 2022, PMID 35710214) — e i tre punti che vanno saputi non riguardano la tecnica.</w:t>
      </w:r>
      <w:r>
        <w:t xml:space="preserve"> </w:t>
      </w:r>
      <w:r>
        <w:rPr>
          <w:b/>
          <w:bCs/>
        </w:rPr>
        <w:t xml:space="preserve">Il primo è l’anca del paziente in crescita, ed è quello che questo capitolo rischia di produrre.</w:t>
      </w:r>
      <w:r>
        <w:t xml:space="preserve"> </w:t>
      </w:r>
      <w:r>
        <w:t xml:space="preserve">Qui sopra ti ho mandato a mobilizzare l’anca, e nel ragazzo con dolore al ginocchio una rotazione interna ridotta o dolorosa non è un reperto disfunzionale: è il segno di un’epifisiolisi finché una radiografia del bacino non dice il contrario. Il secondo: nel paziente in crescita le cartilagini di accrescimento sono attive, e nessuno stress in valgo o varo forzato è materia nostra. Il terzo: il polpaccio dolente e gonfio da un lato non si tratta e non si valuta, si manda.</w:t>
      </w:r>
    </w:p>
    <w:p>
      <w:pPr>
        <w:pStyle w:val="FirstParagraph"/>
      </w:pPr>
      <w:r>
        <w:t xml:space="preserve">Il come si fa non è qui. Sta nella Procedura del Valgismo: due pagine, tecniche, dosi e piano delle sedute.</w:t>
      </w:r>
    </w:p>
    <w:p>
      <w:pPr>
        <w:pStyle w:val="BodyText"/>
      </w:pPr>
      <w:r>
        <w:rPr>
          <w:b/>
          <w:bCs/>
        </w:rPr>
        <w:t xml:space="preserve">Le tre cose da ricordare, più una</w:t>
      </w:r>
    </w:p>
    <w:p>
      <w:pPr>
        <w:pStyle w:val="Compact"/>
        <w:numPr>
          <w:ilvl w:val="0"/>
          <w:numId w:val="1034"/>
        </w:numPr>
      </w:pPr>
      <w:r>
        <w:t xml:space="preserve">Le mani spostano escursione e prontezza, non l’asse: e l’escursione è ciò che produce il sintomo.</w:t>
      </w:r>
    </w:p>
    <w:p>
      <w:pPr>
        <w:pStyle w:val="Compact"/>
        <w:numPr>
          <w:ilvl w:val="0"/>
          <w:numId w:val="1034"/>
        </w:numPr>
      </w:pPr>
      <w:r>
        <w:t xml:space="preserve">La finestra che apri con le mani è breve, e serve a far entrare il gesto: da sola non tiene.</w:t>
      </w:r>
    </w:p>
    <w:p>
      <w:pPr>
        <w:pStyle w:val="Compact"/>
        <w:numPr>
          <w:ilvl w:val="0"/>
          <w:numId w:val="1034"/>
        </w:numPr>
      </w:pPr>
      <w:r>
        <w:t xml:space="preserve">Sul conto delle ripetizioni non hai leva manuale, e nominarlo è comunque parte del tuo lavoro.</w:t>
      </w:r>
    </w:p>
    <w:p>
      <w:pPr>
        <w:pStyle w:val="Compact"/>
        <w:numPr>
          <w:ilvl w:val="0"/>
          <w:numId w:val="1034"/>
        </w:numPr>
      </w:pPr>
      <w:r>
        <w:rPr>
          <w:b/>
          <w:bCs/>
        </w:rPr>
        <w:t xml:space="preserve">Perché ci sei tu.</w:t>
      </w:r>
      <w:r>
        <w:t xml:space="preserve"> </w:t>
      </w:r>
      <w:r>
        <w:t xml:space="preserve">La mobilizzazione passiva dell’anca ha aumentato subito la forza eccentrica di abduttori ed extrarotatori contro placebo (Pfluegler, 2021, PMID 32452284). Ti autorizza a usare le mani per aprire la finestra in cui il gesto si riallena meglio. Non ti autorizza a dire che quel guadagno resta.</w:t>
      </w:r>
    </w:p>
    <w:p>
      <w:r>
        <w:pict>
          <v:rect style="width:0;height:1.5pt" o:hralign="center" o:hrstd="t" o:hr="t"/>
        </w:pict>
      </w:r>
    </w:p>
    <w:bookmarkEnd w:id="56"/>
    <w:bookmarkEnd w:id="57"/>
    <w:bookmarkStart w:id="58"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dell’intero documento non è il tocco, ed è quella che insegni tu.</w:t>
      </w:r>
    </w:p>
    <w:p>
      <w:pPr>
        <w:pStyle w:val="FirstParagraph"/>
      </w:pPr>
      <w:r>
        <w:t xml:space="preserve">Questo capitolo esiste perché l’allenamento neuromuscolare regge un DIMOSTRATO su un esito clinico duro.</w:t>
      </w:r>
    </w:p>
    <w:p>
      <w:pPr>
        <w:pStyle w:val="BodyText"/>
      </w:pPr>
      <w:r>
        <w:rPr>
          <w:b/>
          <w:bCs/>
        </w:rPr>
        <w:t xml:space="preserve">Cos’è lo strumento.</w:t>
      </w:r>
      <w:r>
        <w:t xml:space="preserve"> </w:t>
      </w:r>
      <w:r>
        <w:t xml:space="preserve">Un programma di allenamento del gesto: appoggio e atterraggio su una gamba sola, controllo della traiettoria, rinforzo di glutei e rotatori esterni, mobilità di caviglia. Si guarda il movimento, non solo il muscolo.</w:t>
      </w:r>
    </w:p>
    <w:p>
      <w:pPr>
        <w:pStyle w:val="BodyText"/>
      </w:pPr>
      <w:r>
        <w:rPr>
          <w:b/>
          <w:bCs/>
        </w:rPr>
        <w:t xml:space="preserve">Su quale meccanismo agisce.</w:t>
      </w:r>
      <w:r>
        <w:t xml:space="preserve"> </w:t>
      </w:r>
      <w:r>
        <w:t xml:space="preserve">Su «Il ginocchio obbedisce all’anca» e su «La caviglia che non si apre», i due su cui esiste margine. Non su «La forma con cui sei arrivato». Sul «Conto delle ripetizioni» agisce a metà: non governa il</w:t>
      </w:r>
      <w:r>
        <w:t xml:space="preserve"> </w:t>
      </w:r>
      <w:r>
        <w:rPr>
          <w:b/>
          <w:bCs/>
        </w:rPr>
        <w:t xml:space="preserve">peso</w:t>
      </w:r>
      <w:r>
        <w:t xml:space="preserve">, ma governa la quota che dipende da</w:t>
      </w:r>
      <w:r>
        <w:t xml:space="preserve"> </w:t>
      </w:r>
      <w:r>
        <w:rPr>
          <w:b/>
          <w:bCs/>
        </w:rPr>
        <w:t xml:space="preserve">come il carico è distribuito nella giornata</w:t>
      </w:r>
      <w:r>
        <w:t xml:space="preserve">.</w:t>
      </w:r>
    </w:p>
    <w:p>
      <w:pPr>
        <w:pStyle w:val="BodyText"/>
      </w:pPr>
      <w:r>
        <w:rPr>
          <w:b/>
          <w:bCs/>
        </w:rPr>
        <w:t xml:space="preserve">Cosa hanno misurato gli studi.</w:t>
      </w:r>
      <w:r>
        <w:t xml:space="preserve"> </w:t>
      </w:r>
      <w:r>
        <w:t xml:space="preserve">I programmi di prevenzione neuromuscolare riducono il rischio di rottura del crociato a poco più di un terzo: rischio relativo 0,36. Sono undici studi randomizzati su 16.316</w:t>
      </w:r>
      <w:r>
        <w:t xml:space="preserve"> </w:t>
      </w:r>
      <w:r>
        <w:rPr>
          <w:b/>
          <w:bCs/>
        </w:rPr>
        <w:t xml:space="preserve">atleti</w:t>
      </w:r>
      <w:r>
        <w:t xml:space="preserve">, con 71 persone da allenare per evitare una rottura (Clar, 2025, PMID 39529589).</w:t>
      </w:r>
    </w:p>
    <w:p>
      <w:pPr>
        <w:pStyle w:val="BodyText"/>
      </w:pPr>
      <w:r>
        <w:rPr>
          <w:b/>
          <w:bCs/>
        </w:rPr>
        <w:t xml:space="preserve">Per te:</w:t>
      </w:r>
      <w:r>
        <w:t xml:space="preserve"> </w:t>
      </w:r>
      <w:r>
        <w:t xml:space="preserve">è il dato più solido della Bibbia, e non riguarda il dolore: riguarda un infortunio grave. Ti autorizza a proporre la parte attiva anche a chi non ha male,</w:t>
      </w:r>
      <w:r>
        <w:t xml:space="preserve"> </w:t>
      </w:r>
      <w:r>
        <w:rPr>
          <w:b/>
          <w:bCs/>
        </w:rPr>
        <w:t xml:space="preserve">purché pratichi uno sport con cambi di direzione e atterraggi</w:t>
      </w:r>
      <w:r>
        <w:t xml:space="preserve"> </w:t>
      </w:r>
      <w:r>
        <w:t xml:space="preserve">— il rischio di base che genera quel numero è quello. Su una persona sedentaria il numero non si trasferisce, e vale la risposta di «Non è una condizione sola». E resta un intervento di popolazione: settantuno persone per una rottura evitata significa che a questo paziente non prometti niente di individuale.</w:t>
      </w:r>
    </w:p>
    <w:p>
      <w:pPr>
        <w:pStyle w:val="BodyText"/>
      </w:pPr>
      <w:r>
        <w:rPr>
          <w:b/>
          <w:bCs/>
        </w:rPr>
        <w:t xml:space="preserve">E quel numero appartiene a chi il programma lo ha fatto davvero.</w:t>
      </w:r>
      <w:r>
        <w:t xml:space="preserve"> </w:t>
      </w:r>
      <w:r>
        <w:t xml:space="preserve">L’incidenza di rottura era molto più bassa dove l’aderenza era alta: rapporto fra i tassi 0,27 (Sugimoto, 2012, PMID 23182020). Quando il marker non si muove, la prima domanda non è se l’ipotesi era sbagliata: è se il lavoro è stato fatto.</w:t>
      </w:r>
    </w:p>
    <w:p>
      <w:pPr>
        <w:pStyle w:val="BodyText"/>
      </w:pPr>
      <w:r>
        <w:t xml:space="preserve">Sul dolore l’esercizio funziona, e il dato va riportato per intero. Nella revisione Cochrane su trentuno studi e 1.690 partecipanti, la riduzione del dolore femoro-rotuleo a breve termine è stimata in 1,46 punti su dieci. Ma quella stima poggia su</w:t>
      </w:r>
      <w:r>
        <w:t xml:space="preserve"> </w:t>
      </w:r>
      <w:r>
        <w:rPr>
          <w:b/>
          <w:bCs/>
        </w:rPr>
        <w:t xml:space="preserve">cinque</w:t>
      </w:r>
      <w:r>
        <w:t xml:space="preserve"> </w:t>
      </w:r>
      <w:r>
        <w:t xml:space="preserve">studi e</w:t>
      </w:r>
      <w:r>
        <w:t xml:space="preserve"> </w:t>
      </w:r>
      <w:r>
        <w:rPr>
          <w:b/>
          <w:bCs/>
        </w:rPr>
        <w:t xml:space="preserve">375</w:t>
      </w:r>
      <w:r>
        <w:t xml:space="preserve"> </w:t>
      </w:r>
      <w:r>
        <w:t xml:space="preserve">partecipanti, con un intervallo che</w:t>
      </w:r>
      <w:r>
        <w:t xml:space="preserve"> </w:t>
      </w:r>
      <w:r>
        <w:rPr>
          <w:b/>
          <w:bCs/>
        </w:rPr>
        <w:t xml:space="preserve">comprende</w:t>
      </w:r>
      <w:r>
        <w:t xml:space="preserve"> </w:t>
      </w:r>
      <w:r>
        <w:t xml:space="preserve">la soglia di rilevanza clinica invece di superarla: una riduzione importante è possibile, non è stabilita. E gli autori giudicano la qualità dell’evidenza</w:t>
      </w:r>
      <w:r>
        <w:t xml:space="preserve"> </w:t>
      </w:r>
      <w:r>
        <w:rPr>
          <w:b/>
          <w:bCs/>
        </w:rPr>
        <w:t xml:space="preserve">molto bassa</w:t>
      </w:r>
      <w:r>
        <w:t xml:space="preserve"> </w:t>
      </w:r>
      <w:r>
        <w:t xml:space="preserve">per tutti e sette gli esiti principali (van der Heijden, 2015, PMID 25603546). Sugli interventi prossimali le prove sono forti a breve termine, e sono per il lavoro prossimale</w:t>
      </w:r>
      <w:r>
        <w:t xml:space="preserve"> </w:t>
      </w:r>
      <w:r>
        <w:rPr>
          <w:b/>
          <w:bCs/>
        </w:rPr>
        <w:t xml:space="preserve">combinato con il quadricipite</w:t>
      </w:r>
      <w:r>
        <w:t xml:space="preserve"> </w:t>
      </w:r>
      <w:r>
        <w:t xml:space="preserve">(Lack, 2015, PMID 26175019).</w:t>
      </w:r>
    </w:p>
    <w:p>
      <w:pPr>
        <w:pStyle w:val="BodyText"/>
      </w:pPr>
      <w:r>
        <w:t xml:space="preserve">Sulla parte di conto che il paziente governa da solo la misura esiste. In 151 adolescenti, dodici settimane di gestione del carico hanno dato l’86% di esiti riusciti a tre mesi e l’81% a un anno (Rathleff, 2019, PMID 31095417) — prospettico, senza controllo. I tempi degli studi:</w:t>
      </w:r>
      <w:r>
        <w:t xml:space="preserve"> </w:t>
      </w:r>
      <w:r>
        <w:rPr>
          <w:b/>
          <w:bCs/>
        </w:rPr>
        <w:t xml:space="preserve">tre volte a settimana per otto settimane</w:t>
      </w:r>
      <w:r>
        <w:t xml:space="preserve"> </w:t>
      </w:r>
      <w:r>
        <w:t xml:space="preserve">nel rinforzo di abduttori e rotatori esterni (Khayambashi, 2012, PMID 22027216);</w:t>
      </w:r>
      <w:r>
        <w:t xml:space="preserve"> </w:t>
      </w:r>
      <w:r>
        <w:rPr>
          <w:b/>
          <w:bCs/>
        </w:rPr>
        <w:t xml:space="preserve">due-dieci settimane</w:t>
      </w:r>
      <w:r>
        <w:t xml:space="preserve"> </w:t>
      </w:r>
      <w:r>
        <w:t xml:space="preserve">nei programmi che hanno ridotto il valgo dinamico (Sahabuddin, 2021, PMID 34268014).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 riduzione del rischio di rottura del crociato con l’allenamento neuromuscolare negli atleti (Clar, 2025, PMID 39529589) e la relazione fra aderenza e risultato (Sugimoto, 2012, PMID 23182020).</w:t>
      </w:r>
      <w:r>
        <w:t xml:space="preserve"> </w:t>
      </w:r>
      <w:r>
        <w:rPr>
          <w:b/>
          <w:bCs/>
        </w:rPr>
        <w:t xml:space="preserve">PROBABILE</w:t>
      </w:r>
      <w:r>
        <w:t xml:space="preserve"> </w:t>
      </w:r>
      <w:r>
        <w:rPr>
          <w:i/>
          <w:iCs/>
        </w:rPr>
        <w:t xml:space="preserve">(razionale forte, prove parziali)</w:t>
      </w:r>
      <w:r>
        <w:t xml:space="preserve"> </w:t>
      </w:r>
      <w:r>
        <w:t xml:space="preserve">che l’esercizio riduca il dolore femoro-rotuleo, perché la revisione che lo stima si autoclassifica di qualità molto bassa (van der Heijden, 2015, PMID 25603546); che il lavoro prossimale più quadricipite funzioni a breve termine (Lack, 2015, PMID 26175019); che l’esercizio riduca il valgo dinamico misurato (Sahabuddin, 2021, PMID 34268014); che la gestione del carico funzioni negli adolescenti (Rathleff, 2019, PMID 31095417); e che il riallenamento diretto del gesto di corsa lo modifichi e riduca il carico per passo (Doyle, 2022, PMID 35128941) — non che riduca il dolore, che quella revisione dichiara non sintetizzabile.</w:t>
      </w:r>
    </w:p>
    <w:p>
      <w:pPr>
        <w:pStyle w:val="FirstParagraph"/>
      </w:pPr>
      <w:r>
        <w:rPr>
          <w:b/>
          <w:bCs/>
        </w:rPr>
        <w:t xml:space="preserve">Cosa NON fa, e va detto per primo.</w:t>
      </w:r>
      <w:r>
        <w:t xml:space="preserve"> </w:t>
      </w:r>
      <w:r>
        <w:t xml:space="preserve">Non raddrizza la gamba. E il limite più importante è controintuitivo:</w:t>
      </w:r>
      <w:r>
        <w:t xml:space="preserve"> </w:t>
      </w:r>
      <w:r>
        <w:rPr>
          <w:b/>
          <w:bCs/>
        </w:rPr>
        <w:t xml:space="preserve">la forza guadagnata non entra da sola nel gesto.</w:t>
      </w:r>
      <w:r>
        <w:t xml:space="preserve"> </w:t>
      </w:r>
      <w:r>
        <w:t xml:space="preserve">È l’acqua nel serbatoio con il rubinetto chiuso: la scorta c’è, e dal tubo non esce niente. In venti donne sane con adduzione d’anca eccessiva in corsa, sei settimane di rinforzo hanno aumentato la forza e</w:t>
      </w:r>
      <w:r>
        <w:t xml:space="preserve"> </w:t>
      </w:r>
      <w:r>
        <w:rPr>
          <w:b/>
          <w:bCs/>
        </w:rPr>
        <w:t xml:space="preserve">non hanno cambiato la meccanica della corsa</w:t>
      </w:r>
      <w:r>
        <w:t xml:space="preserve">. Era migliorata invece l’accosciata monopodalica, cioè il gesto su cui avevano allenato (Willy e Davis, 2011, PMID 21765220). Quando il gesto viene allenato direttamente, invece, cambia. Otto sessioni davanti a uno specchio hanno ridotto adduzione d’anca e caduta del bacino in dieci corridrici, mantenute a tre mesi (Willy, 2012, PMID 22917625) — dieci persone, senza controllo.</w:t>
      </w:r>
      <w:r>
        <w:t xml:space="preserve"> </w:t>
      </w:r>
      <w:r>
        <w:rPr>
          <w:b/>
          <w:bCs/>
        </w:rPr>
        <w:t xml:space="preserve">E non poggia solo su uno studio da dieci persone.</w:t>
      </w:r>
      <w:r>
        <w:t xml:space="preserve"> </w:t>
      </w:r>
      <w:r>
        <w:t xml:space="preserve">In diciannove studi randomizzati su 673 partecipanti il riallenamento della cadenza aumenta la cadenza (differenza standardizzata 1,03) e riduce il tasso medio di carico verticale (−0,57). Entrambi i risultati hanno certezza dell’evidenza</w:t>
      </w:r>
      <w:r>
        <w:t xml:space="preserve"> </w:t>
      </w:r>
      <w:r>
        <w:rPr>
          <w:b/>
          <w:bCs/>
        </w:rPr>
        <w:t xml:space="preserve">moderata</w:t>
      </w:r>
      <w:r>
        <w:t xml:space="preserve"> </w:t>
      </w:r>
      <w:r>
        <w:t xml:space="preserve">secondo GRADE. Nella stessa revisione</w:t>
      </w:r>
      <w:r>
        <w:t xml:space="preserve"> </w:t>
      </w:r>
      <w:r>
        <w:rPr>
          <w:b/>
          <w:bCs/>
        </w:rPr>
        <w:t xml:space="preserve">gli studi con un dato sul dolore erano troppo pochi per una sintesi</w:t>
      </w:r>
      <w:r>
        <w:t xml:space="preserve">, e solo due hanno mostrato una riduzione degli infortuni a un anno (Doyle, 2022, PMID 35128941). Misurato su corridori di fondo e sulla cadenza, non su pazienti con valgismo e non sul crollo mediale del ginocchio — e sul dolore quella revisione non ha potuto concludere niente.</w:t>
      </w:r>
    </w:p>
    <w:p>
      <w:pPr>
        <w:pStyle w:val="BodyText"/>
      </w:pPr>
      <w:r>
        <w:rPr>
          <w:b/>
          <w:bCs/>
        </w:rPr>
        <w:t xml:space="preserve">Per te:</w:t>
      </w:r>
      <w:r>
        <w:t xml:space="preserve"> </w:t>
      </w:r>
      <w:r>
        <w:t xml:space="preserve">il paziente che ha fatto palestra per due anni e ha ancora il ginocchio che crolla non ha sbagliato a impegnarsi: ha allenato il muscolo e non il movimento. Dirglielo così gli restituisce due anni di lavoro invece di annullarli.</w:t>
      </w:r>
    </w:p>
    <w:p>
      <w:pPr>
        <w:pStyle w:val="BodyText"/>
      </w:pPr>
      <w:r>
        <w:rPr>
          <w:b/>
          <w:bCs/>
        </w:rPr>
        <w:t xml:space="preserve">E non resta per sempre.</w:t>
      </w:r>
      <w:r>
        <w:t xml:space="preserve"> </w:t>
      </w:r>
      <w:r>
        <w:t xml:space="preserve">Fra giovani calciatori che avevano migliorato il pattern di atterraggio, solo quelli con un programma di nove mesi lo mantenevano tre mesi dopo aver smesso (Padua, 2012, PMID 22064608). Quanto dura il guadagno dipende da quanto a lungo è stato allenato —</w:t>
      </w:r>
      <w:r>
        <w:t xml:space="preserve"> </w:t>
      </w:r>
      <w:r>
        <w:rPr>
          <w:b/>
          <w:bCs/>
        </w:rPr>
        <w:t xml:space="preserve">PROBABILE</w:t>
      </w:r>
      <w:r>
        <w:t xml:space="preserve"> </w:t>
      </w:r>
      <w:r>
        <w:rPr>
          <w:i/>
          <w:iCs/>
        </w:rPr>
        <w:t xml:space="preserve">(razionale forte, prove parziali)</w:t>
      </w:r>
      <w:r>
        <w:t xml:space="preserve"> </w:t>
      </w:r>
      <w:r>
        <w:t xml:space="preserve">— ed è l’informazione che ti serve quando il paziente chiede se può smettere.</w:t>
      </w:r>
    </w:p>
    <w:p>
      <w:pPr>
        <w:pStyle w:val="BodyText"/>
      </w:pPr>
      <w:r>
        <w:rPr>
          <w:b/>
          <w:bCs/>
        </w:rPr>
        <w:t xml:space="preserve">Anche la parte attiva ha un cancello.</w:t>
      </w:r>
      <w:r>
        <w:t xml:space="preserve"> </w:t>
      </w:r>
      <w:r>
        <w:t xml:space="preserve">I programmi degli studi contengono salti e atterraggi. Nelle due situazioni di GIALLO prioritario la componente di impatto aspetta l’inquadramento medico, e nel frattempo resta il lavoro senza impatto.</w:t>
      </w:r>
    </w:p>
    <w:p>
      <w:pPr>
        <w:pStyle w:val="BodyText"/>
      </w:pPr>
      <w:r>
        <w:t xml:space="preserve">Come e quando consegnarlo al tuo paziente sta nella Procedura.</w:t>
      </w:r>
    </w:p>
    <w:p>
      <w:pPr>
        <w:pStyle w:val="BodyText"/>
      </w:pPr>
      <w:r>
        <w:rPr>
          <w:b/>
          <w:bCs/>
        </w:rPr>
        <w:t xml:space="preserve">Le tre cose da ricordare, più una</w:t>
      </w:r>
    </w:p>
    <w:p>
      <w:pPr>
        <w:pStyle w:val="Compact"/>
        <w:numPr>
          <w:ilvl w:val="0"/>
          <w:numId w:val="1035"/>
        </w:numPr>
      </w:pPr>
      <w:r>
        <w:t xml:space="preserve">È la leva con le prove migliori del documento, e continua a lavorare finché il paziente la fa.</w:t>
      </w:r>
    </w:p>
    <w:p>
      <w:pPr>
        <w:pStyle w:val="Compact"/>
        <w:numPr>
          <w:ilvl w:val="0"/>
          <w:numId w:val="1035"/>
        </w:numPr>
      </w:pPr>
      <w:r>
        <w:t xml:space="preserve">Funziona quello che allena il gesto e la catena, non quello che allena il tronco in generale.</w:t>
      </w:r>
    </w:p>
    <w:p>
      <w:pPr>
        <w:pStyle w:val="Compact"/>
        <w:numPr>
          <w:ilvl w:val="0"/>
          <w:numId w:val="1035"/>
        </w:numPr>
      </w:pPr>
      <w:r>
        <w:t xml:space="preserve">Il tempo perché qualcosa si muova, negli studi, va da due a dieci settimane a seconda del tipo di programma.</w:t>
      </w:r>
    </w:p>
    <w:p>
      <w:pPr>
        <w:pStyle w:val="Compact"/>
        <w:numPr>
          <w:ilvl w:val="0"/>
          <w:numId w:val="1035"/>
        </w:numPr>
      </w:pPr>
      <w:r>
        <w:rPr>
          <w:b/>
          <w:bCs/>
        </w:rPr>
        <w:t xml:space="preserve">Perché ci sei tu.</w:t>
      </w:r>
      <w:r>
        <w:t xml:space="preserve"> </w:t>
      </w:r>
      <w:r>
        <w:t xml:space="preserve">Sei settimane di rinforzo d’anca hanno aumentato la forza senza cambiare la meccanica della corsa, in venti donne sane (Willy e Davis, 2011, PMID 21765220). Ti autorizza a insegnare il gesto e non solo il muscolo, che è ciò che la palestra non ha fatto. Non ti autorizza a promettere che la corsa cambierà perché il gluteo è più forte.</w:t>
      </w:r>
    </w:p>
    <w:p>
      <w:r>
        <w:pict>
          <v:rect style="width:0;height:1.5pt" o:hralign="center" o:hrstd="t" o:hr="t"/>
        </w:pict>
      </w:r>
    </w:p>
    <w:bookmarkEnd w:id="58"/>
    <w:bookmarkStart w:id="63"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gli cambia il problema è la separazione fra la forma e il comportamento, ed è anche la frase che ti protegge.</w:t>
      </w:r>
    </w:p>
    <w:bookmarkStart w:id="59" w:name="lo-script"/>
    <w:p>
      <w:pPr>
        <w:pStyle w:val="Heading3"/>
      </w:pPr>
      <w:r>
        <w:t xml:space="preserve">Lo script</w:t>
      </w:r>
    </w:p>
    <w:p>
      <w:pPr>
        <w:pStyle w:val="FirstParagraph"/>
      </w:pPr>
      <w:r>
        <w:rPr>
          <w:i/>
          <w:iCs/>
        </w:rPr>
        <w:t xml:space="preserve">«Le sue gambe hanno una forma, e quella forma non gliela cambio io: è come l’ha costruita il suo corpo. Ma quando lei cammina o scende le scale, il ginocchio va dentro più di quanto la forma da sola spiegherebbe. Quella parte in più dipende da come l’anca e la caviglia stanno lavorando, e quella si allena. È lì che c’è margine, ed è lì che lavoriamo. Il conto che il ginocchio paga non è la forma: è il numero di volte che ripete quel movimento.»</w:t>
      </w:r>
    </w:p>
    <w:p>
      <w:pPr>
        <w:pStyle w:val="BodyText"/>
      </w:pPr>
      <w:r>
        <w:t xml:space="preserve">Subito dopo, senza cambiare argomento, va detta la frase della convivenza che trovi più sotto: fa parte dello script, e non si consegna in un’altra seduta.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educazione e modifica dell’attività siano componenti attive e non contorno: figurano fra i principi centrali della gestione conservativa del dolore femoro-rotuleo (Barton, 2015, PMID 25716151). È una guida di buona pratica, non uno studio randomizzato di educazione isolata.</w:t>
      </w:r>
    </w:p>
    <w:bookmarkEnd w:id="59"/>
    <w:bookmarkStart w:id="60" w:name="le-obiezioni-e-le-risposte-oneste"/>
    <w:p>
      <w:pPr>
        <w:pStyle w:val="Heading3"/>
      </w:pPr>
      <w:r>
        <w:t xml:space="preserve">Le obiezioni, e le risposte oneste</w:t>
      </w:r>
    </w:p>
    <w:p>
      <w:pPr>
        <w:pStyle w:val="FirstParagraph"/>
      </w:pPr>
      <w:r>
        <w:rPr>
          <w:b/>
          <w:bCs/>
        </w:rPr>
        <w:t xml:space="preserve">«È genetico, non si può fare niente.»</w:t>
      </w:r>
      <w:r>
        <w:t xml:space="preserve"> </w:t>
      </w:r>
      <w:r>
        <w:rPr>
          <w:i/>
          <w:iCs/>
        </w:rPr>
        <w:t xml:space="preserve">Una parte lo è davvero, e non gliela tocco. Ma quanto il ginocchio cade dentro mentre si muove è un’altra cosa dalla forma della gamba, e dipende da anca e appoggio. È lì che abbiamo margine, ed è lì che lavoriamo.</w:t>
      </w:r>
    </w:p>
    <w:p>
      <w:pPr>
        <w:pStyle w:val="BodyText"/>
      </w:pPr>
      <w:r>
        <w:rPr>
          <w:b/>
          <w:bCs/>
        </w:rPr>
        <w:t xml:space="preserve">«Mi raddrizzate le gambe?»</w:t>
      </w:r>
      <w:r>
        <w:t xml:space="preserve"> </w:t>
      </w:r>
      <w:r>
        <w:rPr>
          <w:i/>
          <w:iCs/>
        </w:rPr>
        <w:t xml:space="preserve">No. Nessun lavoro manuale cambia l’asse di un osso, e questo vale per chiunque lo faccia. Quello che possiamo cambiare è come la gamba lavora sotto carico e quanto le costa la giornata.</w:t>
      </w:r>
    </w:p>
    <w:p>
      <w:pPr>
        <w:pStyle w:val="BodyText"/>
      </w:pPr>
      <w:r>
        <w:rPr>
          <w:b/>
          <w:bCs/>
        </w:rPr>
        <w:t xml:space="preserve">«Faccio già palestra e rinforzo le gambe.»</w:t>
      </w:r>
      <w:r>
        <w:t xml:space="preserve"> </w:t>
      </w:r>
      <w:r>
        <w:rPr>
          <w:i/>
          <w:iCs/>
        </w:rPr>
        <w:t xml:space="preserve">E fa bene, continui. C’è però una cosa che la palestra non fa: rendere più forte un muscolo non lo mette dentro il movimento. È stato misurato in persone che correvano — la forza aumentava, la corsa no. Il movimento va allenato come tale, ed è quello che le insegno.</w:t>
      </w:r>
    </w:p>
    <w:p>
      <w:pPr>
        <w:pStyle w:val="BodyText"/>
      </w:pPr>
      <w:r>
        <w:rPr>
          <w:b/>
          <w:bCs/>
        </w:rPr>
        <w:t xml:space="preserve">«Mi fa male solo quando corro.»</w:t>
      </w:r>
      <w:r>
        <w:t xml:space="preserve"> </w:t>
      </w:r>
      <w:r>
        <w:rPr>
          <w:i/>
          <w:iCs/>
        </w:rPr>
        <w:t xml:space="preserve">È l’informazione più utile che potesse darmi: il problema compare con il gesto e non con la forma, e il gesto è la parte su cui c’è più margine.</w:t>
      </w:r>
    </w:p>
    <w:bookmarkEnd w:id="60"/>
    <w:bookmarkStart w:id="61" w:name="le-due-cose-che-gli-dici-insieme"/>
    <w:p>
      <w:pPr>
        <w:pStyle w:val="Heading3"/>
      </w:pPr>
      <w:r>
        <w:t xml:space="preserve">Le due cose che gli dici insieme</w:t>
      </w:r>
    </w:p>
    <w:p>
      <w:pPr>
        <w:pStyle w:val="FirstParagraph"/>
      </w:pPr>
      <w:r>
        <w:t xml:space="preserve">Reperto trovato e inquadramento mancante vanno detti come conviventi, mai in alternativa:</w:t>
      </w:r>
    </w:p>
    <w:p>
      <w:pPr>
        <w:pStyle w:val="BodyText"/>
      </w:pPr>
      <w:r>
        <w:rPr>
          <w:i/>
          <w:iCs/>
        </w:rPr>
        <w:t xml:space="preserve">«Io lavoro sulla componente meccanica che ho trovato — l’anca, la caviglia, come la gamba lavora sotto carico. La forma della gamba va comunque inquadrata dal suo medico, e nel frattempo io non aspetto.»</w:t>
      </w:r>
    </w:p>
    <w:p>
      <w:pPr>
        <w:pStyle w:val="BodyText"/>
      </w:pPr>
      <w:r>
        <w:t xml:space="preserve">E sulla misura con cui gli mostri il prima e il dopo, la stessa franchezza:</w:t>
      </w:r>
      <w:r>
        <w:t xml:space="preserve"> </w:t>
      </w:r>
      <w:r>
        <w:rPr>
          <w:i/>
          <w:iCs/>
        </w:rPr>
        <w:t xml:space="preserve">«Il numero che uso per dire se qualcosa si è mosso me lo sono scelto io: non è una soglia pubblicata. Glielo dico perché sappia cosa sta guardando.»</w:t>
      </w:r>
    </w:p>
    <w:bookmarkEnd w:id="61"/>
    <w:bookmarkStart w:id="62" w:name="cosa-non-promettere-mai"/>
    <w:p>
      <w:pPr>
        <w:pStyle w:val="Heading3"/>
      </w:pPr>
      <w:r>
        <w:t xml:space="preserve">Cosa non promettere mai</w:t>
      </w:r>
    </w:p>
    <w:p>
      <w:pPr>
        <w:pStyle w:val="FirstParagraph"/>
      </w:pPr>
      <w:r>
        <w:t xml:space="preserve">Non promettere gambe più dritte, nemmeno con un condizionale. Non promettere che eviterà l’artrosi: quel rischio è di popolazione e non gli appartiene come persona. Non promettere che tornerà a correre come prima: si dichiara il metodo, la misura e la revisione, mai l’esito.</w:t>
      </w:r>
    </w:p>
    <w:p>
      <w:pPr>
        <w:pStyle w:val="BodyText"/>
      </w:pPr>
      <w:r>
        <w:rPr>
          <w:b/>
          <w:bCs/>
        </w:rPr>
        <w:t xml:space="preserve">Le tre cose da ricordare, più una</w:t>
      </w:r>
    </w:p>
    <w:p>
      <w:pPr>
        <w:pStyle w:val="Compact"/>
        <w:numPr>
          <w:ilvl w:val="0"/>
          <w:numId w:val="1036"/>
        </w:numPr>
      </w:pPr>
      <w:r>
        <w:t xml:space="preserve">La separazione fra forma e comportamento è insieme la spiegazione più efficace e la protezione più solida.</w:t>
      </w:r>
    </w:p>
    <w:p>
      <w:pPr>
        <w:pStyle w:val="Compact"/>
        <w:numPr>
          <w:ilvl w:val="0"/>
          <w:numId w:val="1036"/>
        </w:numPr>
      </w:pPr>
      <w:r>
        <w:t xml:space="preserve">L’obiettivo estetico va nominato da te, o resta l’obiettivo vero del ciclo e nessun risultato funzionale lo soddisfa.</w:t>
      </w:r>
    </w:p>
    <w:p>
      <w:pPr>
        <w:pStyle w:val="Compact"/>
        <w:numPr>
          <w:ilvl w:val="0"/>
          <w:numId w:val="1036"/>
        </w:numPr>
      </w:pPr>
      <w:r>
        <w:t xml:space="preserve">Reperto tuo e inquadramento medico si dicono insieme, mai uno al posto dell’altro.</w:t>
      </w:r>
    </w:p>
    <w:p>
      <w:pPr>
        <w:pStyle w:val="Compact"/>
        <w:numPr>
          <w:ilvl w:val="0"/>
          <w:numId w:val="1036"/>
        </w:numPr>
      </w:pPr>
      <w:r>
        <w:rPr>
          <w:b/>
          <w:bCs/>
        </w:rPr>
        <w:t xml:space="preserve">Perché ci sei tu.</w:t>
      </w:r>
      <w:r>
        <w:t xml:space="preserve"> </w:t>
      </w:r>
      <w:r>
        <w:t xml:space="preserve">Fra 504 adolescenti con dolore al ginocchio, più della metà lo aveva ancora due anni dopo (Rathleff, 2016, PMID 26792702). Ti autorizza a non dire</w:t>
      </w:r>
      <w:r>
        <w:t xml:space="preserve"> </w:t>
      </w:r>
      <w:r>
        <w:rPr>
          <w:i/>
          <w:iCs/>
        </w:rPr>
        <w:t xml:space="preserve">«passerà con la crescita»</w:t>
      </w:r>
      <w:r>
        <w:t xml:space="preserve"> </w:t>
      </w:r>
      <w:r>
        <w:t xml:space="preserve">e a proporre di fare qualcosa adesso. Non ti autorizza a prevedere il decorso di questo paziente, che quel dato non contiene.</w:t>
      </w:r>
    </w:p>
    <w:p>
      <w:r>
        <w:pict>
          <v:rect style="width:0;height:1.5pt" o:hralign="center" o:hrstd="t" o:hr="t"/>
        </w:pict>
      </w:r>
    </w:p>
    <w:bookmarkEnd w:id="62"/>
    <w:bookmarkEnd w:id="63"/>
    <w:bookmarkStart w:id="64" w:name="capitolo-14-cosa-fare-adesso"/>
    <w:p>
      <w:pPr>
        <w:pStyle w:val="Heading2"/>
      </w:pPr>
      <w:r>
        <w:t xml:space="preserve">Capitolo 14 — Cosa fare adesso</w:t>
      </w:r>
    </w:p>
    <w:p>
      <w:pPr>
        <w:pStyle w:val="BlockText"/>
      </w:pPr>
      <w:r>
        <w:rPr>
          <w:b/>
          <w:bCs/>
        </w:rPr>
        <w:t xml:space="preserve">In una riga:</w:t>
      </w:r>
      <w:r>
        <w:t xml:space="preserve"> </w:t>
      </w:r>
      <w:r>
        <w:t xml:space="preserve">una gamba non si raddrizza, e quasi tutto quello che fa male in una gamba storta non dipende da quanto è storta.</w:t>
      </w:r>
    </w:p>
    <w:p>
      <w:pPr>
        <w:pStyle w:val="FirstParagraph"/>
      </w:pPr>
      <w:r>
        <w:t xml:space="preserve">Ti arriva qualcuno con una spiegazione che chiude il discorso e un ginocchio che ha iniziato a fare male. Sotto ci sono due cose: una forma che non si muove e un comportamento che si muove eccome. Il comportamento lo comandano l’anca sopra e la caviglia sotto, perché sul piano frontale il ginocchio riceve e basta. Il conto lo fa il numero delle ripetizioni, non l’angolo: per questo il dolore ha un orologio e non una sede. Le tue mani aprono una finestra breve, e dentro quella finestra il gesto si riallena. Il tuo campo finisce dove la deviazione è nuova, unilaterale o sta cambiando in un ragazzo che cresce — e dove un ragazzo con male al ginocchio ha un’anca che nessuno ha guardato.</w:t>
      </w:r>
    </w:p>
    <w:p>
      <w:pPr>
        <w:pStyle w:val="BodyText"/>
      </w:pPr>
      <w:r>
        <w:rPr>
          <w:b/>
          <w:bCs/>
        </w:rPr>
        <w:t xml:space="preserve">Le tre cose che cambi da lunedì.</w:t>
      </w:r>
    </w:p>
    <w:p>
      <w:pPr>
        <w:pStyle w:val="Compact"/>
        <w:numPr>
          <w:ilvl w:val="0"/>
          <w:numId w:val="1037"/>
        </w:numPr>
      </w:pPr>
      <w:r>
        <w:rPr>
          <w:b/>
          <w:bCs/>
        </w:rPr>
        <w:t xml:space="preserve">Guarda la gamba mentre lavora.</w:t>
      </w:r>
      <w:r>
        <w:t xml:space="preserve"> </w:t>
      </w:r>
      <w:r>
        <w:t xml:space="preserve">Uno step-down su una gamba sola, filmato di fronte —</w:t>
      </w:r>
      <w:r>
        <w:t xml:space="preserve"> </w:t>
      </w:r>
      <w:r>
        <w:rPr>
          <w:b/>
          <w:bCs/>
        </w:rPr>
        <w:t xml:space="preserve">dopo il triage e i quattro segni dell’attivazione, e prima di qualunque valutazione da fermo</w:t>
      </w:r>
      <w:r>
        <w:t xml:space="preserve">. La gamba ferma in piedi te l’hanno già guardata tutti.</w:t>
      </w:r>
    </w:p>
    <w:p>
      <w:pPr>
        <w:pStyle w:val="Compact"/>
        <w:numPr>
          <w:ilvl w:val="0"/>
          <w:numId w:val="1037"/>
        </w:numPr>
      </w:pPr>
      <w:r>
        <w:rPr>
          <w:b/>
          <w:bCs/>
        </w:rPr>
        <w:t xml:space="preserve">Di’ al paziente dove paga il conto.</w:t>
      </w:r>
      <w:r>
        <w:t xml:space="preserve"> </w:t>
      </w:r>
      <w:r>
        <w:t xml:space="preserve">Nel valgismo il compartimento compresso è quello esterno, e le strutture mediali sono quelle in tensione. Correggere questa convinzione cambia in una frase la sua idea del problema. E se ha male dentro non sei fuori quadro: stai cercando un altro tessuto.</w:t>
      </w:r>
    </w:p>
    <w:p>
      <w:pPr>
        <w:pStyle w:val="Compact"/>
        <w:numPr>
          <w:ilvl w:val="0"/>
          <w:numId w:val="1037"/>
        </w:numPr>
      </w:pPr>
      <w:r>
        <w:rPr>
          <w:b/>
          <w:bCs/>
        </w:rPr>
        <w:t xml:space="preserve">Smetti di scrivere gradi di asse.</w:t>
      </w:r>
      <w:r>
        <w:t xml:space="preserve"> </w:t>
      </w:r>
      <w:r>
        <w:t xml:space="preserve">Il tuo esito si scrive in gradi di caviglia, gradi di rotazione d’anca, ripetizioni e minuti. La forma della gamba non è il tuo obiettivo, non è il tuo marker e non è la tua promessa.</w:t>
      </w:r>
    </w:p>
    <w:p>
      <w:pPr>
        <w:pStyle w:val="FirstParagraph"/>
      </w:pPr>
      <w:r>
        <w:rPr>
          <w:i/>
          <w:iCs/>
        </w:rPr>
        <w:t xml:space="preserve">Il valgismo è una delle poche condizioni in cui la cosa più utile che puoi dire a un paziente è anche la più modesta: non gli cambierai le gambe. Sotto quella modestia c’è tutto il margine — l’anca che nessuno ha misurato, la caviglia che nessuno ha guardato, il gesto che nessuno gli ha insegnato.</w:t>
      </w:r>
    </w:p>
    <w:p>
      <w:pPr>
        <w:pStyle w:val="BodyText"/>
      </w:pPr>
      <w:r>
        <w:rPr>
          <w:b/>
          <w:bCs/>
        </w:rPr>
        <w:t xml:space="preserve">Le tre cose da ricordare, più una</w:t>
      </w:r>
    </w:p>
    <w:p>
      <w:pPr>
        <w:pStyle w:val="Compact"/>
        <w:numPr>
          <w:ilvl w:val="0"/>
          <w:numId w:val="1038"/>
        </w:numPr>
      </w:pPr>
      <w:r>
        <w:t xml:space="preserve">Guarda la gamba mentre lavora, non ferma in piedi — dopo il triage, però.</w:t>
      </w:r>
    </w:p>
    <w:p>
      <w:pPr>
        <w:pStyle w:val="Compact"/>
        <w:numPr>
          <w:ilvl w:val="0"/>
          <w:numId w:val="1038"/>
        </w:numPr>
      </w:pPr>
      <w:r>
        <w:t xml:space="preserve">Digli dove paga davvero il conto: nel valgismo la compressione è di fuori e la tensione è di dentro.</w:t>
      </w:r>
    </w:p>
    <w:p>
      <w:pPr>
        <w:pStyle w:val="Compact"/>
        <w:numPr>
          <w:ilvl w:val="0"/>
          <w:numId w:val="1038"/>
        </w:numPr>
      </w:pPr>
      <w:r>
        <w:t xml:space="preserve">Smetti di scrivere gradi di asse: il tuo esito si scrive in gradi, ripetizioni e minuti.</w:t>
      </w:r>
    </w:p>
    <w:p>
      <w:pPr>
        <w:pStyle w:val="Compact"/>
        <w:numPr>
          <w:ilvl w:val="0"/>
          <w:numId w:val="1038"/>
        </w:numPr>
      </w:pPr>
      <w:r>
        <w:rPr>
          <w:b/>
          <w:bCs/>
        </w:rPr>
        <w:t xml:space="preserve">Perché ci sei tu.</w:t>
      </w:r>
      <w:r>
        <w:t xml:space="preserve"> </w:t>
      </w:r>
      <w:r>
        <w:t xml:space="preserve">La quota di effetto non attribuibile allo specifico era dell’88% per la mobilizzazione (Ezzatvar, 2024, PMID 38602164). Ti autorizza a curare come consegni quello che consegni, perché pesa quanto la tecnica. Non ti autorizza a chiamarlo effetto specifico della tua manovra.</w:t>
      </w:r>
    </w:p>
    <w:p>
      <w:r>
        <w:pict>
          <v:rect style="width:0;height:1.5pt" o:hralign="center" o:hrstd="t" o:hr="t"/>
        </w:pict>
      </w:r>
    </w:p>
    <w:bookmarkEnd w:id="64"/>
    <w:bookmarkStart w:id="65" w:name="appendice-a-glossario"/>
    <w:p>
      <w:pPr>
        <w:pStyle w:val="Heading2"/>
      </w:pPr>
      <w:r>
        <w:t xml:space="preserve">Appendice A — Glossario</w:t>
      </w:r>
    </w:p>
    <w:p>
      <w:pPr>
        <w:pStyle w:val="Compact"/>
        <w:numPr>
          <w:ilvl w:val="0"/>
          <w:numId w:val="1039"/>
        </w:numPr>
      </w:pPr>
      <w:r>
        <w:rPr>
          <w:b/>
          <w:bCs/>
        </w:rPr>
        <w:t xml:space="preserve">Accosciata monopodalica</w:t>
      </w:r>
      <w:r>
        <w:t xml:space="preserve"> </w:t>
      </w:r>
      <w:r>
        <w:t xml:space="preserve">— il piegamento su una gamba sola; il gesto su cui si allena e si misura il controllo della traiettoria.</w:t>
      </w:r>
    </w:p>
    <w:p>
      <w:pPr>
        <w:pStyle w:val="Compact"/>
        <w:numPr>
          <w:ilvl w:val="0"/>
          <w:numId w:val="1039"/>
        </w:numPr>
      </w:pPr>
      <w:r>
        <w:rPr>
          <w:b/>
          <w:bCs/>
        </w:rPr>
        <w:t xml:space="preserve">Angolo femoro-tibiale</w:t>
      </w:r>
      <w:r>
        <w:t xml:space="preserve"> </w:t>
      </w:r>
      <w:r>
        <w:t xml:space="preserve">— l’angolo fra l’asse del femore e quello della tibia, misurato in gradi su radiografia.</w:t>
      </w:r>
    </w:p>
    <w:p>
      <w:pPr>
        <w:pStyle w:val="Compact"/>
        <w:numPr>
          <w:ilvl w:val="0"/>
          <w:numId w:val="1039"/>
        </w:numPr>
      </w:pPr>
      <w:r>
        <w:rPr>
          <w:b/>
          <w:bCs/>
        </w:rPr>
        <w:t xml:space="preserve">Anteversione femorale</w:t>
      </w:r>
      <w:r>
        <w:t xml:space="preserve"> </w:t>
      </w:r>
      <w:r>
        <w:t xml:space="preserve">— quanto il collo del femore è ruotato in avanti rispetto al resto dell’osso. Se è aumentata, porta la rotula a guardare verso l’interno con l’asse frontale normale.</w:t>
      </w:r>
    </w:p>
    <w:p>
      <w:pPr>
        <w:pStyle w:val="Compact"/>
        <w:numPr>
          <w:ilvl w:val="0"/>
          <w:numId w:val="1039"/>
        </w:numPr>
      </w:pPr>
      <w:r>
        <w:rPr>
          <w:b/>
          <w:bCs/>
        </w:rPr>
        <w:t xml:space="preserve">Artrite settica</w:t>
      </w:r>
      <w:r>
        <w:t xml:space="preserve"> </w:t>
      </w:r>
      <w:r>
        <w:t xml:space="preserve">— infezione dentro l’articolazione: ginocchio caldo, rosso, gonfio, spesso con febbre. È un’urgenza.</w:t>
      </w:r>
    </w:p>
    <w:p>
      <w:pPr>
        <w:pStyle w:val="Compact"/>
        <w:numPr>
          <w:ilvl w:val="0"/>
          <w:numId w:val="1039"/>
        </w:numPr>
      </w:pPr>
      <w:r>
        <w:rPr>
          <w:b/>
          <w:bCs/>
        </w:rPr>
        <w:t xml:space="preserve">Artropatia infiammatoria</w:t>
      </w:r>
      <w:r>
        <w:t xml:space="preserve"> </w:t>
      </w:r>
      <w:r>
        <w:t xml:space="preserve">— un’artrite che aggredisce l’articolazione dall’interno, come l’artrite reumatoide. Deforma l’osso nel tempo, e non è materia nostra.</w:t>
      </w:r>
    </w:p>
    <w:p>
      <w:pPr>
        <w:pStyle w:val="Compact"/>
        <w:numPr>
          <w:ilvl w:val="0"/>
          <w:numId w:val="1039"/>
        </w:numPr>
      </w:pPr>
      <w:r>
        <w:rPr>
          <w:b/>
          <w:bCs/>
        </w:rPr>
        <w:t xml:space="preserve">Asse meccanico</w:t>
      </w:r>
      <w:r>
        <w:t xml:space="preserve"> </w:t>
      </w:r>
      <w:r>
        <w:t xml:space="preserve">— la linea che unisce il centro dell’anca al centro della caviglia; dice dove passa il carico.</w:t>
      </w:r>
    </w:p>
    <w:p>
      <w:pPr>
        <w:pStyle w:val="Compact"/>
        <w:numPr>
          <w:ilvl w:val="0"/>
          <w:numId w:val="1039"/>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39"/>
        </w:numPr>
      </w:pPr>
      <w:r>
        <w:rPr>
          <w:b/>
          <w:bCs/>
        </w:rPr>
        <w:t xml:space="preserve">Compartimento laterale</w:t>
      </w:r>
      <w:r>
        <w:t xml:space="preserve"> </w:t>
      </w:r>
      <w:r>
        <w:t xml:space="preserve">— la metà esterna del ginocchio: condilo femorale esterno, piatto tibiale esterno, menisco laterale.</w:t>
      </w:r>
    </w:p>
    <w:p>
      <w:pPr>
        <w:pStyle w:val="Compact"/>
        <w:numPr>
          <w:ilvl w:val="0"/>
          <w:numId w:val="1039"/>
        </w:numPr>
      </w:pPr>
      <w:r>
        <w:rPr>
          <w:b/>
          <w:bCs/>
        </w:rPr>
        <w:t xml:space="preserve">Coorte MOST e OAI</w:t>
      </w:r>
      <w:r>
        <w:t xml:space="preserve"> </w:t>
      </w:r>
      <w:r>
        <w:t xml:space="preserve">— due grandi studi americani che seguono nel tempo adulti con artrosi di ginocchio o a rischio di svilupparla, con radiografia degli arti a lunghezza intera.</w:t>
      </w:r>
    </w:p>
    <w:p>
      <w:pPr>
        <w:pStyle w:val="Compact"/>
        <w:numPr>
          <w:ilvl w:val="0"/>
          <w:numId w:val="1039"/>
        </w:numPr>
      </w:pPr>
      <w:r>
        <w:rPr>
          <w:b/>
          <w:bCs/>
        </w:rPr>
        <w:t xml:space="preserve">Compenso</w:t>
      </w:r>
      <w:r>
        <w:t xml:space="preserve"> </w:t>
      </w:r>
      <w:r>
        <w:t xml:space="preserve">— un adattamento che il corpo mette in atto per continuare a funzionare nonostante un problema. Costa qualcosa e regge finché può. Il sintomo compare spesso dove il compenso ha ceduto, non dove il problema è nato.</w:t>
      </w:r>
    </w:p>
    <w:p>
      <w:pPr>
        <w:pStyle w:val="Compact"/>
        <w:numPr>
          <w:ilvl w:val="0"/>
          <w:numId w:val="1039"/>
        </w:numPr>
      </w:pPr>
      <w:r>
        <w:rPr>
          <w:b/>
          <w:bCs/>
        </w:rPr>
        <w:t xml:space="preserve">DIMOSTRATO</w:t>
      </w:r>
      <w:r>
        <w:t xml:space="preserve"> </w:t>
      </w:r>
      <w:r>
        <w:t xml:space="preserve">— etichetta di solidità: studi sull’uomo, solidi.</w:t>
      </w:r>
    </w:p>
    <w:p>
      <w:pPr>
        <w:pStyle w:val="Compact"/>
        <w:numPr>
          <w:ilvl w:val="0"/>
          <w:numId w:val="1039"/>
        </w:numPr>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 ed è il nome tecnico di ciò che questa Bibbia chiama</w:t>
      </w:r>
      <w:r>
        <w:t xml:space="preserve"> </w:t>
      </w:r>
      <w:r>
        <w:rPr>
          <w:b/>
          <w:bCs/>
        </w:rPr>
        <w:t xml:space="preserve">reperto disfunzionale</w:t>
      </w:r>
      <w:r>
        <w:t xml:space="preserve">.</w:t>
      </w:r>
    </w:p>
    <w:p>
      <w:pPr>
        <w:pStyle w:val="Compact"/>
        <w:numPr>
          <w:ilvl w:val="0"/>
          <w:numId w:val="1039"/>
        </w:numPr>
      </w:pPr>
      <w:r>
        <w:rPr>
          <w:b/>
          <w:bCs/>
        </w:rPr>
        <w:t xml:space="preserve">Dorsiflessione in carico</w:t>
      </w:r>
      <w:r>
        <w:t xml:space="preserve"> </w:t>
      </w:r>
      <w:r>
        <w:t xml:space="preserve">— quanto la tibia avanza sul piede con il tallone a terra; si misura con l’affondo al muro.</w:t>
      </w:r>
    </w:p>
    <w:p>
      <w:pPr>
        <w:pStyle w:val="Compact"/>
        <w:numPr>
          <w:ilvl w:val="0"/>
          <w:numId w:val="1039"/>
        </w:numPr>
      </w:pPr>
      <w:r>
        <w:rPr>
          <w:b/>
          <w:bCs/>
        </w:rPr>
        <w:t xml:space="preserve">Dolore nociplastico</w:t>
      </w:r>
      <w:r>
        <w:t xml:space="preserve"> </w:t>
      </w:r>
      <w:r>
        <w:t xml:space="preserve">— dolore che nasce da un’alterata elaborazione centrale del segnale, senza un danno tissutale che lo spieghi. Si riconosce per criteri clinici graduati, non si dimostra.</w:t>
      </w:r>
    </w:p>
    <w:p>
      <w:pPr>
        <w:pStyle w:val="Compact"/>
        <w:numPr>
          <w:ilvl w:val="0"/>
          <w:numId w:val="1039"/>
        </w:numPr>
      </w:pPr>
      <w:r>
        <w:rPr>
          <w:b/>
          <w:bCs/>
        </w:rPr>
        <w:t xml:space="preserve">Epifisiolisi della testa del femore</w:t>
      </w:r>
      <w:r>
        <w:t xml:space="preserve"> </w:t>
      </w:r>
      <w:r>
        <w:t xml:space="preserve">— la testa del femore che scivola sulla cartilagine di accrescimento nell’adolescente. Esordisce spesso con dolore al ginocchio, e il segno è la rotazione interna d’anca ridotta.</w:t>
      </w:r>
    </w:p>
    <w:p>
      <w:pPr>
        <w:pStyle w:val="Compact"/>
        <w:numPr>
          <w:ilvl w:val="0"/>
          <w:numId w:val="1039"/>
        </w:numPr>
      </w:pPr>
      <w:r>
        <w:rPr>
          <w:b/>
          <w:bCs/>
        </w:rPr>
        <w:t xml:space="preserve">Emiepifisiodesi</w:t>
      </w:r>
      <w:r>
        <w:t xml:space="preserve"> </w:t>
      </w:r>
      <w:r>
        <w:t xml:space="preserve">— intervento che rallenta la crescita di un lato della cartilagine di accrescimento per correggere un asse in un ragazzo.</w:t>
      </w:r>
    </w:p>
    <w:p>
      <w:pPr>
        <w:pStyle w:val="Compact"/>
        <w:numPr>
          <w:ilvl w:val="0"/>
          <w:numId w:val="1039"/>
        </w:numPr>
      </w:pPr>
      <w:r>
        <w:rPr>
          <w:b/>
          <w:bCs/>
        </w:rPr>
        <w:t xml:space="preserve">Eversione del retropiede</w:t>
      </w:r>
      <w:r>
        <w:t xml:space="preserve"> </w:t>
      </w:r>
      <w:r>
        <w:t xml:space="preserve">— il tallone che si inclina verso l’interno sotto carico.</w:t>
      </w:r>
    </w:p>
    <w:p>
      <w:pPr>
        <w:pStyle w:val="Compact"/>
        <w:numPr>
          <w:ilvl w:val="0"/>
          <w:numId w:val="1039"/>
        </w:numPr>
      </w:pPr>
      <w:r>
        <w:rPr>
          <w:b/>
          <w:bCs/>
        </w:rPr>
        <w:t xml:space="preserve">Forza eccentrica</w:t>
      </w:r>
      <w:r>
        <w:t xml:space="preserve"> </w:t>
      </w:r>
      <w:r>
        <w:t xml:space="preserve">— la forza che un muscolo esprime mentre viene allungato dal carico, cioè mentre frena invece di spingere. È il modo in cui i glutei lavorano quando scendi un gradino.</w:t>
      </w:r>
    </w:p>
    <w:p>
      <w:pPr>
        <w:pStyle w:val="Compact"/>
        <w:numPr>
          <w:ilvl w:val="0"/>
          <w:numId w:val="1039"/>
        </w:numPr>
      </w:pPr>
      <w:r>
        <w:rPr>
          <w:b/>
          <w:bCs/>
        </w:rPr>
        <w:t xml:space="preserve">g (di Hedges)</w:t>
      </w:r>
      <w:r>
        <w:t xml:space="preserve"> </w:t>
      </w:r>
      <w:r>
        <w:t xml:space="preserve">— misura di quanto due gruppi differiscono, espressa in deviazioni standard: 0,2 è poco, 0,5 è medio, 0,8 è molto.</w:t>
      </w:r>
    </w:p>
    <w:p>
      <w:pPr>
        <w:pStyle w:val="Compact"/>
        <w:numPr>
          <w:ilvl w:val="0"/>
          <w:numId w:val="1039"/>
        </w:numPr>
      </w:pPr>
      <w:r>
        <w:rPr>
          <w:b/>
          <w:bCs/>
        </w:rPr>
        <w:t xml:space="preserve">Inibizione riflessa artrogena</w:t>
      </w:r>
      <w:r>
        <w:t xml:space="preserve"> </w:t>
      </w:r>
      <w:r>
        <w:t xml:space="preserve">— la riduzione automatica della risposta di un muscolo attorno a un’articolazione dolente o gonfia. Si muove in secondi e ritorna.</w:t>
      </w:r>
    </w:p>
    <w:p>
      <w:pPr>
        <w:pStyle w:val="Compact"/>
        <w:numPr>
          <w:ilvl w:val="0"/>
          <w:numId w:val="1039"/>
        </w:numPr>
      </w:pPr>
      <w:r>
        <w:rPr>
          <w:b/>
          <w:bCs/>
        </w:rPr>
        <w:t xml:space="preserve">Iperalgesia</w:t>
      </w:r>
      <w:r>
        <w:t xml:space="preserve"> </w:t>
      </w:r>
      <w:r>
        <w:t xml:space="preserve">— sensibilità al dolore aumentata: uno stimolo che di norma fa male poco fa male molto. Se compare anche lontano dal ginocchio, riguarda l’elaborazione centrale.</w:t>
      </w:r>
    </w:p>
    <w:p>
      <w:pPr>
        <w:pStyle w:val="Compact"/>
        <w:numPr>
          <w:ilvl w:val="0"/>
          <w:numId w:val="1039"/>
        </w:numPr>
      </w:pPr>
      <w:r>
        <w:rPr>
          <w:b/>
          <w:bCs/>
        </w:rPr>
        <w:t xml:space="preserve">IPOTESI</w:t>
      </w:r>
      <w:r>
        <w:t xml:space="preserve"> </w:t>
      </w:r>
      <w:r>
        <w:t xml:space="preserve">— etichetta di solidità: meccanismo coerente, nessuno studio.</w:t>
      </w:r>
    </w:p>
    <w:p>
      <w:pPr>
        <w:pStyle w:val="Compact"/>
        <w:numPr>
          <w:ilvl w:val="0"/>
          <w:numId w:val="1039"/>
        </w:numPr>
      </w:pPr>
      <w:r>
        <w:rPr>
          <w:b/>
          <w:bCs/>
        </w:rPr>
        <w:t xml:space="preserve">Livello di attivazione</w:t>
      </w:r>
      <w:r>
        <w:t xml:space="preserve"> </w:t>
      </w:r>
      <w:r>
        <w:t xml:space="preserve">— quanto il sistema nervoso di questo paziente tiene alta la guardia. È uno stato, non il reclutamento di un muscolo, e lo riconosci per quattro segni clinici, in «La lettura osteopatica».</w:t>
      </w:r>
    </w:p>
    <w:p>
      <w:pPr>
        <w:pStyle w:val="Compact"/>
        <w:numPr>
          <w:ilvl w:val="0"/>
          <w:numId w:val="1039"/>
        </w:numPr>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Compact"/>
        <w:numPr>
          <w:ilvl w:val="0"/>
          <w:numId w:val="1039"/>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39"/>
        </w:numPr>
      </w:pPr>
      <w:r>
        <w:rPr>
          <w:b/>
          <w:bCs/>
        </w:rPr>
        <w:t xml:space="preserve">Meniscectomia</w:t>
      </w:r>
      <w:r>
        <w:t xml:space="preserve"> </w:t>
      </w:r>
      <w:r>
        <w:t xml:space="preserve">— l’asportazione chirurgica di una parte del menisco. Toglie l’ammortizzatore di un compartimento, e negli anni la gamba si devia verso quel lato.</w:t>
      </w:r>
    </w:p>
    <w:p>
      <w:pPr>
        <w:pStyle w:val="Compact"/>
        <w:numPr>
          <w:ilvl w:val="0"/>
          <w:numId w:val="1039"/>
        </w:numPr>
      </w:pPr>
      <w:r>
        <w:rPr>
          <w:b/>
          <w:bCs/>
        </w:rPr>
        <w:t xml:space="preserve">Numero necessario da trattare</w:t>
      </w:r>
      <w:r>
        <w:t xml:space="preserve"> </w:t>
      </w:r>
      <w:r>
        <w:t xml:space="preserve">— quante persone devono ricevere un trattamento perché una in più ne tragga beneficio. Più il numero è basso, più il trattamento rende.</w:t>
      </w:r>
    </w:p>
    <w:p>
      <w:pPr>
        <w:pStyle w:val="Compact"/>
        <w:numPr>
          <w:ilvl w:val="0"/>
          <w:numId w:val="1039"/>
        </w:numPr>
      </w:pPr>
      <w:r>
        <w:rPr>
          <w:b/>
          <w:bCs/>
        </w:rPr>
        <w:t xml:space="preserve">Osteonecrosi spontanea del ginocchio</w:t>
      </w:r>
      <w:r>
        <w:t xml:space="preserve"> </w:t>
      </w:r>
      <w:r>
        <w:t xml:space="preserve">— un’area di osso che muore sotto la cartilagine, quasi sempre sul lato interno e nell’anziano. Esordisce con dolore improvviso e notturno: si manda, non si tratta.</w:t>
      </w:r>
    </w:p>
    <w:p>
      <w:pPr>
        <w:pStyle w:val="Compact"/>
        <w:numPr>
          <w:ilvl w:val="0"/>
          <w:numId w:val="1039"/>
        </w:numPr>
      </w:pPr>
      <w:r>
        <w:rPr>
          <w:b/>
          <w:bCs/>
        </w:rPr>
        <w:t xml:space="preserve">Odds ratio</w:t>
      </w:r>
      <w:r>
        <w:t xml:space="preserve"> </w:t>
      </w:r>
      <w:r>
        <w:t xml:space="preserve">— di quante volte una condizione è più probabile in un gruppo rispetto a un altro. 1 significa nessuna differenza.</w:t>
      </w:r>
    </w:p>
    <w:p>
      <w:pPr>
        <w:pStyle w:val="Compact"/>
        <w:numPr>
          <w:ilvl w:val="0"/>
          <w:numId w:val="1039"/>
        </w:numPr>
      </w:pPr>
      <w:r>
        <w:rPr>
          <w:b/>
          <w:bCs/>
        </w:rPr>
        <w:t xml:space="preserve">PROBABILE</w:t>
      </w:r>
      <w:r>
        <w:t xml:space="preserve"> </w:t>
      </w:r>
      <w:r>
        <w:t xml:space="preserve">— etichetta di solidità: razionale forte, prove parziali.</w:t>
      </w:r>
    </w:p>
    <w:p>
      <w:pPr>
        <w:pStyle w:val="Compact"/>
        <w:numPr>
          <w:ilvl w:val="0"/>
          <w:numId w:val="1039"/>
        </w:numPr>
      </w:pPr>
      <w:r>
        <w:rPr>
          <w:b/>
          <w:bCs/>
        </w:rPr>
        <w:t xml:space="preserve">RAGIONAMENTO</w:t>
      </w:r>
      <w:r>
        <w:t xml:space="preserve"> </w:t>
      </w:r>
      <w:r>
        <w:t xml:space="preserve">— etichetta di solidità: cornice clinica, non una prova.</w:t>
      </w:r>
    </w:p>
    <w:p>
      <w:pPr>
        <w:pStyle w:val="Compact"/>
        <w:numPr>
          <w:ilvl w:val="0"/>
          <w:numId w:val="1039"/>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è il bersaglio del tuo lavoro.</w:t>
      </w:r>
    </w:p>
    <w:p>
      <w:pPr>
        <w:pStyle w:val="Compact"/>
        <w:numPr>
          <w:ilvl w:val="0"/>
          <w:numId w:val="1039"/>
        </w:numPr>
      </w:pPr>
      <w:r>
        <w:rPr>
          <w:b/>
          <w:bCs/>
        </w:rPr>
        <w:t xml:space="preserve">Rischio relativo</w:t>
      </w:r>
      <w:r>
        <w:t xml:space="preserve"> </w:t>
      </w:r>
      <w:r>
        <w:t xml:space="preserve">— il rischio in un gruppo diviso per il rischio nell’altro: 0,36 vuol dire ridotto a circa un terzo.</w:t>
      </w:r>
    </w:p>
    <w:p>
      <w:pPr>
        <w:pStyle w:val="Compact"/>
        <w:numPr>
          <w:ilvl w:val="0"/>
          <w:numId w:val="1039"/>
        </w:numPr>
      </w:pPr>
      <w:r>
        <w:rPr>
          <w:b/>
          <w:bCs/>
        </w:rPr>
        <w:t xml:space="preserve">Sensibilità e specificità</w:t>
      </w:r>
      <w:r>
        <w:t xml:space="preserve"> </w:t>
      </w:r>
      <w:r>
        <w:t xml:space="preserve">— quanto un test trova chi ha davvero la condizione (sensibilità) e quanto evita di allarmare chi non ce l’ha (specificità).</w:t>
      </w:r>
    </w:p>
    <w:p>
      <w:pPr>
        <w:pStyle w:val="Compact"/>
        <w:numPr>
          <w:ilvl w:val="0"/>
          <w:numId w:val="1039"/>
        </w:numPr>
      </w:pPr>
      <w:r>
        <w:rPr>
          <w:b/>
          <w:bCs/>
        </w:rPr>
        <w:t xml:space="preserve">Sistema dominante</w:t>
      </w:r>
      <w:r>
        <w:t xml:space="preserve"> </w:t>
      </w:r>
      <w:r>
        <w:t xml:space="preserve">— il piano che, in questo paziente, sta consumando più capacità di compenso degli altri. È l’ipotesi di lavoro che decide su cosa agire per primo, non un fatto misurato: per questo porta sempre l’etichetta RAGIONAMENTO.</w:t>
      </w:r>
    </w:p>
    <w:p>
      <w:pPr>
        <w:pStyle w:val="Compact"/>
        <w:numPr>
          <w:ilvl w:val="0"/>
          <w:numId w:val="1039"/>
        </w:numPr>
      </w:pPr>
      <w:r>
        <w:rPr>
          <w:b/>
          <w:bCs/>
        </w:rPr>
        <w:t xml:space="preserve">Sottoastragalica</w:t>
      </w:r>
      <w:r>
        <w:t xml:space="preserve"> </w:t>
      </w:r>
      <w:r>
        <w:t xml:space="preserve">— l’articolazione sotto la caviglia vera, fra astragalo e calcagno; è quella che fa evertere il tallone.</w:t>
      </w:r>
    </w:p>
    <w:p>
      <w:pPr>
        <w:pStyle w:val="Compact"/>
        <w:numPr>
          <w:ilvl w:val="0"/>
          <w:numId w:val="1039"/>
        </w:numPr>
      </w:pPr>
      <w:r>
        <w:rPr>
          <w:b/>
          <w:bCs/>
        </w:rPr>
        <w:t xml:space="preserve">Step-down</w:t>
      </w:r>
      <w:r>
        <w:t xml:space="preserve"> </w:t>
      </w:r>
      <w:r>
        <w:t xml:space="preserve">— scendere un gradino su una gamba sola; il gesto in cui il crollo mediale si vede meglio.</w:t>
      </w:r>
    </w:p>
    <w:p>
      <w:pPr>
        <w:pStyle w:val="Compact"/>
        <w:numPr>
          <w:ilvl w:val="0"/>
          <w:numId w:val="1039"/>
        </w:numPr>
      </w:pPr>
      <w:r>
        <w:rPr>
          <w:b/>
          <w:bCs/>
        </w:rPr>
        <w:t xml:space="preserve">Telemetria</w:t>
      </w:r>
      <w:r>
        <w:t xml:space="preserve"> </w:t>
      </w:r>
      <w:r>
        <w:t xml:space="preserve">— radiografia degli arti inferiori a lunghezza intera, in piedi, sotto carico; l’esame di riferimento per l’asse.</w:t>
      </w:r>
    </w:p>
    <w:p>
      <w:pPr>
        <w:pStyle w:val="Compact"/>
        <w:numPr>
          <w:ilvl w:val="0"/>
          <w:numId w:val="1039"/>
        </w:numPr>
      </w:pPr>
      <w:r>
        <w:rPr>
          <w:b/>
          <w:bCs/>
        </w:rPr>
        <w:t xml:space="preserve">Tratto ileotibiale</w:t>
      </w:r>
      <w:r>
        <w:t xml:space="preserve"> </w:t>
      </w:r>
      <w:r>
        <w:t xml:space="preserve">— la banda fibrosa lungo la parte esterna della coscia, dal bacino alla tibia.</w:t>
      </w:r>
    </w:p>
    <w:p>
      <w:pPr>
        <w:pStyle w:val="Compact"/>
        <w:numPr>
          <w:ilvl w:val="0"/>
          <w:numId w:val="1039"/>
        </w:numPr>
      </w:pPr>
      <w:r>
        <w:rPr>
          <w:b/>
          <w:bCs/>
        </w:rPr>
        <w:t xml:space="preserve">Valgo dinamico</w:t>
      </w:r>
      <w:r>
        <w:t xml:space="preserve"> </w:t>
      </w:r>
      <w:r>
        <w:t xml:space="preserve">— quanto il ginocchio va verso l’interno durante un gesto sotto carico; non coincide con l’asse misurato da fermo.</w:t>
      </w:r>
    </w:p>
    <w:p>
      <w:pPr>
        <w:pStyle w:val="Compact"/>
        <w:numPr>
          <w:ilvl w:val="0"/>
          <w:numId w:val="1039"/>
        </w:numPr>
      </w:pPr>
      <w:r>
        <w:rPr>
          <w:b/>
          <w:bCs/>
        </w:rPr>
        <w:t xml:space="preserve">Valgo strutturale</w:t>
      </w:r>
      <w:r>
        <w:t xml:space="preserve"> </w:t>
      </w:r>
      <w:r>
        <w:t xml:space="preserve">— la quota di deviazione dovuta alla geometria dell’osso, che non si modifica con le mani.</w:t>
      </w:r>
    </w:p>
    <w:bookmarkEnd w:id="65"/>
    <w:bookmarkStart w:id="130" w:name="appendice-b-le-fonti"/>
    <w:p>
      <w:pPr>
        <w:pStyle w:val="Heading2"/>
      </w:pPr>
      <w:r>
        <w:t xml:space="preserve">Appendice B — Le fonti</w:t>
      </w:r>
    </w:p>
    <w:p>
      <w:pPr>
        <w:pStyle w:val="FirstParagraph"/>
      </w:pPr>
      <w:r>
        <w:t xml:space="preserve">Nell’ordine in cui compaiono nel testo.</w:t>
      </w:r>
    </w:p>
    <w:p>
      <w:pPr>
        <w:pStyle w:val="Compact"/>
        <w:numPr>
          <w:ilvl w:val="0"/>
          <w:numId w:val="1040"/>
        </w:numPr>
      </w:pPr>
      <w:r>
        <w:t xml:space="preserve">Clar C, Fischerauer SF, Leithner A, Rasic L, Ruckenstuhl P, Sadoghi P.</w:t>
      </w:r>
      <w:r>
        <w:t xml:space="preserve"> </w:t>
      </w:r>
      <w:r>
        <w:rPr>
          <w:i/>
          <w:iCs/>
        </w:rPr>
        <w:t xml:space="preserve">Reducing ACL injury risk: a meta-analysis of prevention programme effectiveness.</w:t>
      </w:r>
      <w:r>
        <w:t xml:space="preserve"> </w:t>
      </w:r>
      <w:r>
        <w:t xml:space="preserve">Knee Surg Sports Traumatol Arthrosc, 2025.</w:t>
      </w:r>
      <w:r>
        <w:t xml:space="preserve"> </w:t>
      </w:r>
      <w:hyperlink r:id="rId66">
        <w:r>
          <w:rPr>
            <w:rStyle w:val="Hyperlink"/>
          </w:rPr>
          <w:t xml:space="preserve">PMID 39529589</w:t>
        </w:r>
      </w:hyperlink>
    </w:p>
    <w:p>
      <w:pPr>
        <w:pStyle w:val="Compact"/>
        <w:numPr>
          <w:ilvl w:val="0"/>
          <w:numId w:val="1040"/>
        </w:numPr>
      </w:pPr>
      <w:r>
        <w:t xml:space="preserve">Noehren B, Hamill J, Davis I.</w:t>
      </w:r>
      <w:r>
        <w:t xml:space="preserve"> </w:t>
      </w:r>
      <w:r>
        <w:rPr>
          <w:i/>
          <w:iCs/>
        </w:rPr>
        <w:t xml:space="preserve">Prospective evidence for a hip etiology in patellofemoral pain.</w:t>
      </w:r>
      <w:r>
        <w:t xml:space="preserve"> </w:t>
      </w:r>
      <w:r>
        <w:t xml:space="preserve">Med Sci Sports Exerc, 2013.</w:t>
      </w:r>
      <w:r>
        <w:t xml:space="preserve"> </w:t>
      </w:r>
      <w:hyperlink r:id="rId67">
        <w:r>
          <w:rPr>
            <w:rStyle w:val="Hyperlink"/>
          </w:rPr>
          <w:t xml:space="preserve">PMID 23274607</w:t>
        </w:r>
      </w:hyperlink>
    </w:p>
    <w:p>
      <w:pPr>
        <w:pStyle w:val="Compact"/>
        <w:numPr>
          <w:ilvl w:val="0"/>
          <w:numId w:val="1040"/>
        </w:numPr>
      </w:pPr>
      <w:r>
        <w:t xml:space="preserve">Patel M, Nelson R.</w:t>
      </w:r>
      <w:r>
        <w:t xml:space="preserve"> </w:t>
      </w:r>
      <w:r>
        <w:rPr>
          <w:i/>
          <w:iCs/>
        </w:rPr>
        <w:t xml:space="preserve">Genu Valgum.</w:t>
      </w:r>
      <w:r>
        <w:t xml:space="preserve"> </w:t>
      </w:r>
      <w:r>
        <w:t xml:space="preserve">StatPearls, 2023.</w:t>
      </w:r>
      <w:r>
        <w:t xml:space="preserve"> </w:t>
      </w:r>
      <w:hyperlink r:id="rId68">
        <w:r>
          <w:rPr>
            <w:rStyle w:val="Hyperlink"/>
          </w:rPr>
          <w:t xml:space="preserve">NBK559244</w:t>
        </w:r>
      </w:hyperlink>
    </w:p>
    <w:p>
      <w:pPr>
        <w:pStyle w:val="Compact"/>
        <w:numPr>
          <w:ilvl w:val="0"/>
          <w:numId w:val="1040"/>
        </w:numPr>
      </w:pPr>
      <w:r>
        <w:t xml:space="preserve">Salenius P, Vankka E.</w:t>
      </w:r>
      <w:r>
        <w:t xml:space="preserve"> </w:t>
      </w:r>
      <w:r>
        <w:rPr>
          <w:i/>
          <w:iCs/>
        </w:rPr>
        <w:t xml:space="preserve">The development of the tibiofemoral angle in children.</w:t>
      </w:r>
      <w:r>
        <w:t xml:space="preserve"> </w:t>
      </w:r>
      <w:r>
        <w:t xml:space="preserve">J Bone Joint Surg Am, 1975.</w:t>
      </w:r>
      <w:r>
        <w:t xml:space="preserve"> </w:t>
      </w:r>
      <w:hyperlink r:id="rId69">
        <w:r>
          <w:rPr>
            <w:rStyle w:val="Hyperlink"/>
          </w:rPr>
          <w:t xml:space="preserve">PMID 1112851</w:t>
        </w:r>
      </w:hyperlink>
    </w:p>
    <w:p>
      <w:pPr>
        <w:pStyle w:val="Compact"/>
        <w:numPr>
          <w:ilvl w:val="0"/>
          <w:numId w:val="1040"/>
        </w:numPr>
      </w:pPr>
      <w:r>
        <w:t xml:space="preserve">Felson DT, Niu J, Gross KD, et al. </w:t>
      </w:r>
      <w:r>
        <w:rPr>
          <w:i/>
          <w:iCs/>
        </w:rPr>
        <w:t xml:space="preserve">Valgus malalignment is a risk factor for lateral knee osteoarthritis incidence and progression.</w:t>
      </w:r>
      <w:r>
        <w:t xml:space="preserve"> </w:t>
      </w:r>
      <w:r>
        <w:t xml:space="preserve">Arthritis Rheum, 2013.</w:t>
      </w:r>
      <w:r>
        <w:t xml:space="preserve"> </w:t>
      </w:r>
      <w:hyperlink r:id="rId70">
        <w:r>
          <w:rPr>
            <w:rStyle w:val="Hyperlink"/>
          </w:rPr>
          <w:t xml:space="preserve">PMID 23203672</w:t>
        </w:r>
      </w:hyperlink>
    </w:p>
    <w:p>
      <w:pPr>
        <w:pStyle w:val="Compact"/>
        <w:numPr>
          <w:ilvl w:val="0"/>
          <w:numId w:val="1040"/>
        </w:numPr>
      </w:pPr>
      <w:r>
        <w:t xml:space="preserve">Halder A, Kutzner I, Graichen F, Heinlein B, Beier A, Bergmann G.</w:t>
      </w:r>
      <w:r>
        <w:t xml:space="preserve"> </w:t>
      </w:r>
      <w:r>
        <w:rPr>
          <w:i/>
          <w:iCs/>
        </w:rPr>
        <w:t xml:space="preserve">Influence of limb alignment on mediolateral loading in total knee replacement: in vivo measurements in five patients.</w:t>
      </w:r>
      <w:r>
        <w:t xml:space="preserve"> </w:t>
      </w:r>
      <w:r>
        <w:t xml:space="preserve">J Bone Joint Surg Am, 2012.</w:t>
      </w:r>
      <w:r>
        <w:t xml:space="preserve"> </w:t>
      </w:r>
      <w:hyperlink r:id="rId71">
        <w:r>
          <w:rPr>
            <w:rStyle w:val="Hyperlink"/>
          </w:rPr>
          <w:t xml:space="preserve">PMID 22637208</w:t>
        </w:r>
      </w:hyperlink>
    </w:p>
    <w:p>
      <w:pPr>
        <w:pStyle w:val="Compact"/>
        <w:numPr>
          <w:ilvl w:val="0"/>
          <w:numId w:val="1040"/>
        </w:numPr>
      </w:pPr>
      <w:r>
        <w:t xml:space="preserve">Macrum E, Bell DR, Boling M, Lewek M, Padua D.</w:t>
      </w:r>
      <w:r>
        <w:t xml:space="preserve"> </w:t>
      </w:r>
      <w:r>
        <w:rPr>
          <w:i/>
          <w:iCs/>
        </w:rPr>
        <w:t xml:space="preserve">Effect of limiting ankle-dorsiflexion range of motion on lower extremity kinematics and muscle-activation patterns during a squat.</w:t>
      </w:r>
      <w:r>
        <w:t xml:space="preserve"> </w:t>
      </w:r>
      <w:r>
        <w:t xml:space="preserve">J Sport Rehabil, 2012.</w:t>
      </w:r>
      <w:r>
        <w:t xml:space="preserve"> </w:t>
      </w:r>
      <w:hyperlink r:id="rId72">
        <w:r>
          <w:rPr>
            <w:rStyle w:val="Hyperlink"/>
          </w:rPr>
          <w:t xml:space="preserve">PMID 22100617</w:t>
        </w:r>
      </w:hyperlink>
    </w:p>
    <w:p>
      <w:pPr>
        <w:pStyle w:val="Compact"/>
        <w:numPr>
          <w:ilvl w:val="0"/>
          <w:numId w:val="1040"/>
        </w:numPr>
      </w:pPr>
      <w:r>
        <w:t xml:space="preserve">Rathleff MS, Rathleff CR, Crossley KM, Barton CJ.</w:t>
      </w:r>
      <w:r>
        <w:t xml:space="preserve"> </w:t>
      </w:r>
      <w:r>
        <w:rPr>
          <w:i/>
          <w:iCs/>
        </w:rPr>
        <w:t xml:space="preserve">Is hip strength a risk factor for patellofemoral pain? A systematic review and meta-analysis.</w:t>
      </w:r>
      <w:r>
        <w:t xml:space="preserve"> </w:t>
      </w:r>
      <w:r>
        <w:t xml:space="preserve">Br J Sports Med, 2014.</w:t>
      </w:r>
      <w:r>
        <w:t xml:space="preserve"> </w:t>
      </w:r>
      <w:hyperlink r:id="rId73">
        <w:r>
          <w:rPr>
            <w:rStyle w:val="Hyperlink"/>
          </w:rPr>
          <w:t xml:space="preserve">PMID 24687010</w:t>
        </w:r>
      </w:hyperlink>
    </w:p>
    <w:p>
      <w:pPr>
        <w:pStyle w:val="Compact"/>
        <w:numPr>
          <w:ilvl w:val="0"/>
          <w:numId w:val="1040"/>
        </w:numPr>
      </w:pPr>
      <w:r>
        <w:t xml:space="preserve">Neal BS, Lack SD, Lankhorst NE, Raye A, Morrissey D, van Middelkoop M.</w:t>
      </w:r>
      <w:r>
        <w:t xml:space="preserve"> </w:t>
      </w:r>
      <w:r>
        <w:rPr>
          <w:i/>
          <w:iCs/>
        </w:rPr>
        <w:t xml:space="preserve">Risk factors for patellofemoral pain: a systematic review and meta-analysis.</w:t>
      </w:r>
      <w:r>
        <w:t xml:space="preserve"> </w:t>
      </w:r>
      <w:r>
        <w:t xml:space="preserve">Br J Sports Med, 2019.</w:t>
      </w:r>
      <w:r>
        <w:t xml:space="preserve"> </w:t>
      </w:r>
      <w:hyperlink r:id="rId74">
        <w:r>
          <w:rPr>
            <w:rStyle w:val="Hyperlink"/>
          </w:rPr>
          <w:t xml:space="preserve">PMID 30242107</w:t>
        </w:r>
      </w:hyperlink>
    </w:p>
    <w:p>
      <w:pPr>
        <w:pStyle w:val="Compact"/>
        <w:numPr>
          <w:ilvl w:val="0"/>
          <w:numId w:val="1040"/>
        </w:numPr>
      </w:pPr>
      <w:r>
        <w:t xml:space="preserve">Sharma L, Song J, Dunlop D, et al. </w:t>
      </w:r>
      <w:r>
        <w:rPr>
          <w:i/>
          <w:iCs/>
        </w:rPr>
        <w:t xml:space="preserve">Varus and valgus alignment and incident and progressive knee osteoarthritis.</w:t>
      </w:r>
      <w:r>
        <w:t xml:space="preserve"> </w:t>
      </w:r>
      <w:r>
        <w:t xml:space="preserve">Ann Rheum Dis, 2010.</w:t>
      </w:r>
      <w:r>
        <w:t xml:space="preserve"> </w:t>
      </w:r>
      <w:hyperlink r:id="rId75">
        <w:r>
          <w:rPr>
            <w:rStyle w:val="Hyperlink"/>
          </w:rPr>
          <w:t xml:space="preserve">PMID 20511608</w:t>
        </w:r>
      </w:hyperlink>
    </w:p>
    <w:p>
      <w:pPr>
        <w:pStyle w:val="Compact"/>
        <w:numPr>
          <w:ilvl w:val="0"/>
          <w:numId w:val="1040"/>
        </w:numPr>
      </w:pPr>
      <w:r>
        <w:t xml:space="preserve">Messier SP, Gutekunst DJ, Davis C, DeVita P.</w:t>
      </w:r>
      <w:r>
        <w:t xml:space="preserve"> </w:t>
      </w:r>
      <w:r>
        <w:rPr>
          <w:i/>
          <w:iCs/>
        </w:rPr>
        <w:t xml:space="preserve">Weight loss reduces knee-joint loads in overweight and obese older adults with knee osteoarthritis.</w:t>
      </w:r>
      <w:r>
        <w:t xml:space="preserve"> </w:t>
      </w:r>
      <w:r>
        <w:t xml:space="preserve">Arthritis Rheum, 2005.</w:t>
      </w:r>
      <w:r>
        <w:t xml:space="preserve"> </w:t>
      </w:r>
      <w:hyperlink r:id="rId76">
        <w:r>
          <w:rPr>
            <w:rStyle w:val="Hyperlink"/>
          </w:rPr>
          <w:t xml:space="preserve">PMID 15986358</w:t>
        </w:r>
      </w:hyperlink>
    </w:p>
    <w:p>
      <w:pPr>
        <w:pStyle w:val="Compact"/>
        <w:numPr>
          <w:ilvl w:val="0"/>
          <w:numId w:val="1040"/>
        </w:numPr>
      </w:pPr>
      <w:r>
        <w:t xml:space="preserve">Lack S, Barton C, Sohan O, Crossley K, Morrissey D.</w:t>
      </w:r>
      <w:r>
        <w:t xml:space="preserve"> </w:t>
      </w:r>
      <w:r>
        <w:rPr>
          <w:i/>
          <w:iCs/>
        </w:rPr>
        <w:t xml:space="preserve">Proximal muscle rehabilitation is effective for patellofemoral pain: a systematic review with meta-analysis.</w:t>
      </w:r>
      <w:r>
        <w:t xml:space="preserve"> </w:t>
      </w:r>
      <w:r>
        <w:t xml:space="preserve">Br J Sports Med, 2015.</w:t>
      </w:r>
      <w:r>
        <w:t xml:space="preserve"> </w:t>
      </w:r>
      <w:hyperlink r:id="rId77">
        <w:r>
          <w:rPr>
            <w:rStyle w:val="Hyperlink"/>
          </w:rPr>
          <w:t xml:space="preserve">PMID 26175019</w:t>
        </w:r>
      </w:hyperlink>
    </w:p>
    <w:p>
      <w:pPr>
        <w:pStyle w:val="Compact"/>
        <w:numPr>
          <w:ilvl w:val="0"/>
          <w:numId w:val="1040"/>
        </w:numPr>
      </w:pPr>
      <w:r>
        <w:t xml:space="preserve">Willy RW, Davis IS.</w:t>
      </w:r>
      <w:r>
        <w:t xml:space="preserve"> </w:t>
      </w:r>
      <w:r>
        <w:rPr>
          <w:i/>
          <w:iCs/>
        </w:rPr>
        <w:t xml:space="preserve">The effect of a hip-strengthening program on mechanics during running and during a single-leg squat.</w:t>
      </w:r>
      <w:r>
        <w:t xml:space="preserve"> </w:t>
      </w:r>
      <w:r>
        <w:t xml:space="preserve">J Orthop Sports Phys Ther, 2011.</w:t>
      </w:r>
      <w:r>
        <w:t xml:space="preserve"> </w:t>
      </w:r>
      <w:hyperlink r:id="rId78">
        <w:r>
          <w:rPr>
            <w:rStyle w:val="Hyperlink"/>
          </w:rPr>
          <w:t xml:space="preserve">PMID 21765220</w:t>
        </w:r>
      </w:hyperlink>
    </w:p>
    <w:p>
      <w:pPr>
        <w:pStyle w:val="Compact"/>
        <w:numPr>
          <w:ilvl w:val="0"/>
          <w:numId w:val="1040"/>
        </w:numPr>
      </w:pPr>
      <w:r>
        <w:t xml:space="preserve">Ezzatvar Y, Dueñas L, Balasch-Bernat M, Lluch-Girbés E, Rossettini G.</w:t>
      </w:r>
      <w:r>
        <w:t xml:space="preserve"> </w:t>
      </w:r>
      <w:r>
        <w:rPr>
          <w:i/>
          <w:iCs/>
        </w:rPr>
        <w:t xml:space="preserve">Which portion of physiotherapy treatments’ effect is not attributable to the specific effects in people with musculoskeletal pain?</w:t>
      </w:r>
      <w:r>
        <w:t xml:space="preserve"> </w:t>
      </w:r>
      <w:r>
        <w:t xml:space="preserve">J Orthop Sports Phys Ther, 2024.</w:t>
      </w:r>
      <w:r>
        <w:t xml:space="preserve"> </w:t>
      </w:r>
      <w:hyperlink r:id="rId79">
        <w:r>
          <w:rPr>
            <w:rStyle w:val="Hyperlink"/>
          </w:rPr>
          <w:t xml:space="preserve">PMID 38602164</w:t>
        </w:r>
      </w:hyperlink>
    </w:p>
    <w:p>
      <w:pPr>
        <w:pStyle w:val="Compact"/>
        <w:numPr>
          <w:ilvl w:val="0"/>
          <w:numId w:val="1040"/>
        </w:numPr>
      </w:pPr>
      <w:r>
        <w:t xml:space="preserve">Krosshaug T, Steffen K, Kristianslund E, et al. </w:t>
      </w:r>
      <w:r>
        <w:rPr>
          <w:i/>
          <w:iCs/>
        </w:rPr>
        <w:t xml:space="preserve">The vertical drop jump is a poor screening test for ACL injuries in female elite soccer and handball players.</w:t>
      </w:r>
      <w:r>
        <w:t xml:space="preserve"> </w:t>
      </w:r>
      <w:r>
        <w:t xml:space="preserve">Am J Sports Med, 2016.</w:t>
      </w:r>
      <w:r>
        <w:t xml:space="preserve"> </w:t>
      </w:r>
      <w:hyperlink r:id="rId80">
        <w:r>
          <w:rPr>
            <w:rStyle w:val="Hyperlink"/>
          </w:rPr>
          <w:t xml:space="preserve">PMID 26867936</w:t>
        </w:r>
      </w:hyperlink>
    </w:p>
    <w:p>
      <w:pPr>
        <w:pStyle w:val="Compact"/>
        <w:numPr>
          <w:ilvl w:val="0"/>
          <w:numId w:val="1040"/>
        </w:numPr>
      </w:pPr>
      <w:r>
        <w:t xml:space="preserve">Hewett TE, Myer GD, Ford KR, et al. </w:t>
      </w:r>
      <w:r>
        <w:rPr>
          <w:i/>
          <w:iCs/>
        </w:rPr>
        <w:t xml:space="preserve">Biomechanical measures of neuromuscular control and valgus loading of the knee predict anterior cruciate ligament injury risk in female athletes.</w:t>
      </w:r>
      <w:r>
        <w:t xml:space="preserve"> </w:t>
      </w:r>
      <w:r>
        <w:t xml:space="preserve">Am J Sports Med, 2005.</w:t>
      </w:r>
      <w:r>
        <w:t xml:space="preserve"> </w:t>
      </w:r>
      <w:hyperlink r:id="rId81">
        <w:r>
          <w:rPr>
            <w:rStyle w:val="Hyperlink"/>
          </w:rPr>
          <w:t xml:space="preserve">PMID 15722287</w:t>
        </w:r>
      </w:hyperlink>
    </w:p>
    <w:p>
      <w:pPr>
        <w:pStyle w:val="Compact"/>
        <w:numPr>
          <w:ilvl w:val="0"/>
          <w:numId w:val="1040"/>
        </w:numPr>
      </w:pPr>
      <w:r>
        <w:t xml:space="preserve">Nielsen RO, Buist I, Parner ET, et al. </w:t>
      </w:r>
      <w:r>
        <w:rPr>
          <w:i/>
          <w:iCs/>
        </w:rPr>
        <w:t xml:space="preserve">Foot pronation is not associated with increased injury risk in novice runners.</w:t>
      </w:r>
      <w:r>
        <w:t xml:space="preserve"> </w:t>
      </w:r>
      <w:r>
        <w:t xml:space="preserve">Br J Sports Med, 2014.</w:t>
      </w:r>
      <w:r>
        <w:t xml:space="preserve"> </w:t>
      </w:r>
      <w:hyperlink r:id="rId82">
        <w:r>
          <w:rPr>
            <w:rStyle w:val="Hyperlink"/>
          </w:rPr>
          <w:t xml:space="preserve">PMID 23766439</w:t>
        </w:r>
      </w:hyperlink>
    </w:p>
    <w:p>
      <w:pPr>
        <w:pStyle w:val="Compact"/>
        <w:numPr>
          <w:ilvl w:val="0"/>
          <w:numId w:val="1040"/>
        </w:numPr>
      </w:pPr>
      <w:r>
        <w:t xml:space="preserve">Gross KD, Felson DT, Niu J, et al. </w:t>
      </w:r>
      <w:r>
        <w:rPr>
          <w:i/>
          <w:iCs/>
        </w:rPr>
        <w:t xml:space="preserve">Association of flat feet with knee pain and cartilage damage in older adults.</w:t>
      </w:r>
      <w:r>
        <w:t xml:space="preserve"> </w:t>
      </w:r>
      <w:r>
        <w:t xml:space="preserve">Arthritis Care Res, 2011.</w:t>
      </w:r>
      <w:r>
        <w:t xml:space="preserve"> </w:t>
      </w:r>
      <w:hyperlink r:id="rId83">
        <w:r>
          <w:rPr>
            <w:rStyle w:val="Hyperlink"/>
          </w:rPr>
          <w:t xml:space="preserve">PMID 21717597</w:t>
        </w:r>
      </w:hyperlink>
    </w:p>
    <w:p>
      <w:pPr>
        <w:pStyle w:val="Compact"/>
        <w:numPr>
          <w:ilvl w:val="0"/>
          <w:numId w:val="1040"/>
        </w:numPr>
      </w:pPr>
      <w:r>
        <w:t xml:space="preserve">Bachmann LM, Haberzeth S, Steurer J, ter Riet G.</w:t>
      </w:r>
      <w:r>
        <w:t xml:space="preserve"> </w:t>
      </w:r>
      <w:r>
        <w:rPr>
          <w:i/>
          <w:iCs/>
        </w:rPr>
        <w:t xml:space="preserve">The accuracy of the Ottawa knee rule to rule out knee fractures: a systematic review.</w:t>
      </w:r>
      <w:r>
        <w:t xml:space="preserve"> </w:t>
      </w:r>
      <w:r>
        <w:t xml:space="preserve">Ann Intern Med, 2004.</w:t>
      </w:r>
      <w:r>
        <w:t xml:space="preserve"> </w:t>
      </w:r>
      <w:hyperlink r:id="rId84">
        <w:r>
          <w:rPr>
            <w:rStyle w:val="Hyperlink"/>
          </w:rPr>
          <w:t xml:space="preserve">PMID 14734335</w:t>
        </w:r>
      </w:hyperlink>
    </w:p>
    <w:p>
      <w:pPr>
        <w:pStyle w:val="Compact"/>
        <w:numPr>
          <w:ilvl w:val="0"/>
          <w:numId w:val="1040"/>
        </w:numPr>
      </w:pPr>
      <w:r>
        <w:t xml:space="preserve">Powers CM.</w:t>
      </w:r>
      <w:r>
        <w:t xml:space="preserve"> </w:t>
      </w:r>
      <w:r>
        <w:rPr>
          <w:i/>
          <w:iCs/>
        </w:rPr>
        <w:t xml:space="preserve">The influence of abnormal hip mechanics on knee injury: a biomechanical perspective.</w:t>
      </w:r>
      <w:r>
        <w:t xml:space="preserve"> </w:t>
      </w:r>
      <w:r>
        <w:t xml:space="preserve">J Orthop Sports Phys Ther, 2010.</w:t>
      </w:r>
      <w:r>
        <w:t xml:space="preserve"> </w:t>
      </w:r>
      <w:hyperlink r:id="rId85">
        <w:r>
          <w:rPr>
            <w:rStyle w:val="Hyperlink"/>
          </w:rPr>
          <w:t xml:space="preserve">PMID 20118526</w:t>
        </w:r>
      </w:hyperlink>
    </w:p>
    <w:p>
      <w:pPr>
        <w:pStyle w:val="Compact"/>
        <w:numPr>
          <w:ilvl w:val="0"/>
          <w:numId w:val="1040"/>
        </w:numPr>
      </w:pPr>
      <w:r>
        <w:t xml:space="preserve">Sahabuddin FNA, Jamaludin NI, Amir NH, Shaharudin S.</w:t>
      </w:r>
      <w:r>
        <w:t xml:space="preserve"> </w:t>
      </w:r>
      <w:r>
        <w:rPr>
          <w:i/>
          <w:iCs/>
        </w:rPr>
        <w:t xml:space="preserve">The effects of hip- and ankle-focused exercise intervention on dynamic knee valgus: a systematic review.</w:t>
      </w:r>
      <w:r>
        <w:t xml:space="preserve"> </w:t>
      </w:r>
      <w:r>
        <w:t xml:space="preserve">PeerJ, 2021.</w:t>
      </w:r>
      <w:r>
        <w:t xml:space="preserve"> </w:t>
      </w:r>
      <w:hyperlink r:id="rId86">
        <w:r>
          <w:rPr>
            <w:rStyle w:val="Hyperlink"/>
          </w:rPr>
          <w:t xml:space="preserve">PMID 34268014</w:t>
        </w:r>
      </w:hyperlink>
    </w:p>
    <w:p>
      <w:pPr>
        <w:pStyle w:val="Compact"/>
        <w:numPr>
          <w:ilvl w:val="0"/>
          <w:numId w:val="1040"/>
        </w:numPr>
      </w:pPr>
      <w:r>
        <w:t xml:space="preserve">Alzahrani AM, Alzhrani M, Alshahrani SN, et al. </w:t>
      </w:r>
      <w:r>
        <w:rPr>
          <w:i/>
          <w:iCs/>
        </w:rPr>
        <w:t xml:space="preserve">Is hip muscle strength associated with dynamic knee valgus in a healthy adult population? A systematic review.</w:t>
      </w:r>
      <w:r>
        <w:t xml:space="preserve"> </w:t>
      </w:r>
      <w:r>
        <w:t xml:space="preserve">Int J Environ Res Public Health, 2021.</w:t>
      </w:r>
      <w:r>
        <w:t xml:space="preserve"> </w:t>
      </w:r>
      <w:hyperlink r:id="rId87">
        <w:r>
          <w:rPr>
            <w:rStyle w:val="Hyperlink"/>
          </w:rPr>
          <w:t xml:space="preserve">PMID 34300118</w:t>
        </w:r>
      </w:hyperlink>
    </w:p>
    <w:p>
      <w:pPr>
        <w:pStyle w:val="Compact"/>
        <w:numPr>
          <w:ilvl w:val="0"/>
          <w:numId w:val="1040"/>
        </w:numPr>
      </w:pPr>
      <w:r>
        <w:t xml:space="preserve">Ferber R, Bolgla L, Earl-Boehm JE, Emery C, Hamstra-Wright K.</w:t>
      </w:r>
      <w:r>
        <w:t xml:space="preserve"> </w:t>
      </w:r>
      <w:r>
        <w:rPr>
          <w:i/>
          <w:iCs/>
        </w:rPr>
        <w:t xml:space="preserve">Strengthening of the hip and core versus knee muscles for the treatment of patellofemoral pain: a multicenter randomized controlled trial.</w:t>
      </w:r>
      <w:r>
        <w:t xml:space="preserve"> </w:t>
      </w:r>
      <w:r>
        <w:t xml:space="preserve">J Athl Train, 2015.</w:t>
      </w:r>
      <w:r>
        <w:t xml:space="preserve"> </w:t>
      </w:r>
      <w:hyperlink r:id="rId88">
        <w:r>
          <w:rPr>
            <w:rStyle w:val="Hyperlink"/>
          </w:rPr>
          <w:t xml:space="preserve">PMID 25365133</w:t>
        </w:r>
      </w:hyperlink>
    </w:p>
    <w:p>
      <w:pPr>
        <w:pStyle w:val="Compact"/>
        <w:numPr>
          <w:ilvl w:val="0"/>
          <w:numId w:val="1040"/>
        </w:numPr>
      </w:pPr>
      <w:r>
        <w:t xml:space="preserve">Collins N, Crossley K, Beller E, Darnell R, McPoil T, Vicenzino B.</w:t>
      </w:r>
      <w:r>
        <w:t xml:space="preserve"> </w:t>
      </w:r>
      <w:r>
        <w:rPr>
          <w:i/>
          <w:iCs/>
        </w:rPr>
        <w:t xml:space="preserve">Foot orthoses and physiotherapy in the treatment of patellofemoral pain syndrome: randomised clinical trial.</w:t>
      </w:r>
      <w:r>
        <w:t xml:space="preserve"> </w:t>
      </w:r>
      <w:r>
        <w:t xml:space="preserve">BMJ, 2008.</w:t>
      </w:r>
      <w:r>
        <w:t xml:space="preserve"> </w:t>
      </w:r>
      <w:hyperlink r:id="rId89">
        <w:r>
          <w:rPr>
            <w:rStyle w:val="Hyperlink"/>
          </w:rPr>
          <w:t xml:space="preserve">PMID 18952682</w:t>
        </w:r>
      </w:hyperlink>
    </w:p>
    <w:p>
      <w:pPr>
        <w:pStyle w:val="Compact"/>
        <w:numPr>
          <w:ilvl w:val="0"/>
          <w:numId w:val="1040"/>
        </w:numPr>
      </w:pPr>
      <w:r>
        <w:t xml:space="preserve">Pfluegler G, Borkovec M, Kasper J, McLean S.</w:t>
      </w:r>
      <w:r>
        <w:t xml:space="preserve"> </w:t>
      </w:r>
      <w:r>
        <w:rPr>
          <w:i/>
          <w:iCs/>
        </w:rPr>
        <w:t xml:space="preserve">The immediate effects of passive hip joint mobilization on hip abductor/external rotator muscle strength in patients with anterior knee pain and impaired hip function.</w:t>
      </w:r>
      <w:r>
        <w:t xml:space="preserve"> </w:t>
      </w:r>
      <w:r>
        <w:t xml:space="preserve">J Man Manip Ther, 2021.</w:t>
      </w:r>
      <w:r>
        <w:t xml:space="preserve"> </w:t>
      </w:r>
      <w:hyperlink r:id="rId90">
        <w:r>
          <w:rPr>
            <w:rStyle w:val="Hyperlink"/>
          </w:rPr>
          <w:t xml:space="preserve">PMID 32452284</w:t>
        </w:r>
      </w:hyperlink>
    </w:p>
    <w:p>
      <w:pPr>
        <w:pStyle w:val="Compact"/>
        <w:numPr>
          <w:ilvl w:val="0"/>
          <w:numId w:val="1040"/>
        </w:numPr>
      </w:pPr>
      <w:r>
        <w:t xml:space="preserve">Deyle GD, Henderson NE, Matekel RL, Ryder MG, Garber MB, Allison SC.</w:t>
      </w:r>
      <w:r>
        <w:t xml:space="preserve"> </w:t>
      </w:r>
      <w:r>
        <w:rPr>
          <w:i/>
          <w:iCs/>
        </w:rPr>
        <w:t xml:space="preserve">Effectiveness of manual physical therapy and exercise in osteoarthritis of the knee.</w:t>
      </w:r>
      <w:r>
        <w:t xml:space="preserve"> </w:t>
      </w:r>
      <w:r>
        <w:t xml:space="preserve">Ann Intern Med, 2000.</w:t>
      </w:r>
      <w:r>
        <w:t xml:space="preserve"> </w:t>
      </w:r>
      <w:hyperlink r:id="rId91">
        <w:r>
          <w:rPr>
            <w:rStyle w:val="Hyperlink"/>
          </w:rPr>
          <w:t xml:space="preserve">PMID 10651597</w:t>
        </w:r>
      </w:hyperlink>
    </w:p>
    <w:p>
      <w:pPr>
        <w:pStyle w:val="Compact"/>
        <w:numPr>
          <w:ilvl w:val="0"/>
          <w:numId w:val="1040"/>
        </w:numPr>
      </w:pPr>
      <w:r>
        <w:t xml:space="preserve">Abbott JH, Robertson MC, Chapple C, et al. </w:t>
      </w:r>
      <w:r>
        <w:rPr>
          <w:i/>
          <w:iCs/>
        </w:rPr>
        <w:t xml:space="preserve">Manual therapy, exercise therapy, or both, in addition to usual care, for osteoarthritis of the hip or knee.</w:t>
      </w:r>
      <w:r>
        <w:t xml:space="preserve"> </w:t>
      </w:r>
      <w:r>
        <w:t xml:space="preserve">Osteoarthritis Cartilage, 2013.</w:t>
      </w:r>
      <w:r>
        <w:t xml:space="preserve"> </w:t>
      </w:r>
      <w:hyperlink r:id="rId92">
        <w:r>
          <w:rPr>
            <w:rStyle w:val="Hyperlink"/>
          </w:rPr>
          <w:t xml:space="preserve">PMID 23313532</w:t>
        </w:r>
      </w:hyperlink>
    </w:p>
    <w:p>
      <w:pPr>
        <w:pStyle w:val="Compact"/>
        <w:numPr>
          <w:ilvl w:val="0"/>
          <w:numId w:val="1040"/>
        </w:numPr>
      </w:pPr>
      <w:r>
        <w:t xml:space="preserve">Thomas DT, Shruthi R, Prabhakar AJ, Dineshbhai PV, Eapen C.</w:t>
      </w:r>
      <w:r>
        <w:t xml:space="preserve"> </w:t>
      </w:r>
      <w:r>
        <w:rPr>
          <w:i/>
          <w:iCs/>
        </w:rPr>
        <w:t xml:space="preserve">Hip abductor strengthening in patients diagnosed with knee osteoarthritis: a systematic review and meta-analysis.</w:t>
      </w:r>
      <w:r>
        <w:t xml:space="preserve"> </w:t>
      </w:r>
      <w:r>
        <w:t xml:space="preserve">BMC Musculoskelet Disord, 2022.</w:t>
      </w:r>
      <w:r>
        <w:t xml:space="preserve"> </w:t>
      </w:r>
      <w:hyperlink r:id="rId93">
        <w:r>
          <w:rPr>
            <w:rStyle w:val="Hyperlink"/>
          </w:rPr>
          <w:t xml:space="preserve">PMID 35768802</w:t>
        </w:r>
      </w:hyperlink>
    </w:p>
    <w:p>
      <w:pPr>
        <w:pStyle w:val="Compact"/>
        <w:numPr>
          <w:ilvl w:val="0"/>
          <w:numId w:val="1040"/>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w:t>
      </w:r>
      <w:r>
        <w:t xml:space="preserve"> </w:t>
      </w:r>
      <w:r>
        <w:t xml:space="preserve">BMJ Open, 2025.</w:t>
      </w:r>
      <w:r>
        <w:t xml:space="preserve"> </w:t>
      </w:r>
      <w:hyperlink r:id="rId94">
        <w:r>
          <w:rPr>
            <w:rStyle w:val="Hyperlink"/>
          </w:rPr>
          <w:t xml:space="preserve">PMID 39920074</w:t>
        </w:r>
      </w:hyperlink>
    </w:p>
    <w:p>
      <w:pPr>
        <w:pStyle w:val="Compact"/>
        <w:numPr>
          <w:ilvl w:val="0"/>
          <w:numId w:val="1040"/>
        </w:numPr>
      </w:pPr>
      <w:r>
        <w:t xml:space="preserve">van der Heijden RA, Lankhorst NE, van Linschoten R, Bierma-Zeinstra SM, van Middelkoop M.</w:t>
      </w:r>
      <w:r>
        <w:t xml:space="preserve"> </w:t>
      </w:r>
      <w:r>
        <w:rPr>
          <w:i/>
          <w:iCs/>
        </w:rPr>
        <w:t xml:space="preserve">Exercise for treating patellofemoral pain syndrome.</w:t>
      </w:r>
      <w:r>
        <w:t xml:space="preserve"> </w:t>
      </w:r>
      <w:r>
        <w:t xml:space="preserve">Cochrane Database Syst Rev, 2015.</w:t>
      </w:r>
      <w:r>
        <w:t xml:space="preserve"> </w:t>
      </w:r>
      <w:hyperlink r:id="rId95">
        <w:r>
          <w:rPr>
            <w:rStyle w:val="Hyperlink"/>
          </w:rPr>
          <w:t xml:space="preserve">PMID 25603546</w:t>
        </w:r>
      </w:hyperlink>
    </w:p>
    <w:p>
      <w:pPr>
        <w:pStyle w:val="Compact"/>
        <w:numPr>
          <w:ilvl w:val="0"/>
          <w:numId w:val="1040"/>
        </w:numPr>
      </w:pPr>
      <w:r>
        <w:t xml:space="preserve">Khayambashi K, Mohammadkhani Z, Ghaznavi K, Lyle MA, Powers CM.</w:t>
      </w:r>
      <w:r>
        <w:t xml:space="preserve"> </w:t>
      </w:r>
      <w:r>
        <w:rPr>
          <w:i/>
          <w:iCs/>
        </w:rPr>
        <w:t xml:space="preserve">The effects of isolated hip abductor and external rotator muscle strengthening on pain, health status, and hip strength in females with patellofemoral pain.</w:t>
      </w:r>
      <w:r>
        <w:t xml:space="preserve"> </w:t>
      </w:r>
      <w:r>
        <w:t xml:space="preserve">J Orthop Sports Phys Ther, 2012.</w:t>
      </w:r>
      <w:r>
        <w:t xml:space="preserve"> </w:t>
      </w:r>
      <w:hyperlink r:id="rId96">
        <w:r>
          <w:rPr>
            <w:rStyle w:val="Hyperlink"/>
          </w:rPr>
          <w:t xml:space="preserve">PMID 22027216</w:t>
        </w:r>
      </w:hyperlink>
    </w:p>
    <w:p>
      <w:pPr>
        <w:pStyle w:val="Compact"/>
        <w:numPr>
          <w:ilvl w:val="0"/>
          <w:numId w:val="1040"/>
        </w:numPr>
      </w:pPr>
      <w:r>
        <w:t xml:space="preserve">Willy RW, Scholz JP, Davis IS.</w:t>
      </w:r>
      <w:r>
        <w:t xml:space="preserve"> </w:t>
      </w:r>
      <w:r>
        <w:rPr>
          <w:i/>
          <w:iCs/>
        </w:rPr>
        <w:t xml:space="preserve">Mirror gait retraining for the treatment of patellofemoral pain in female runners.</w:t>
      </w:r>
      <w:r>
        <w:t xml:space="preserve"> </w:t>
      </w:r>
      <w:r>
        <w:t xml:space="preserve">Clin Biomech, 2012.</w:t>
      </w:r>
      <w:r>
        <w:t xml:space="preserve"> </w:t>
      </w:r>
      <w:hyperlink r:id="rId97">
        <w:r>
          <w:rPr>
            <w:rStyle w:val="Hyperlink"/>
          </w:rPr>
          <w:t xml:space="preserve">PMID 22917625</w:t>
        </w:r>
      </w:hyperlink>
    </w:p>
    <w:p>
      <w:pPr>
        <w:pStyle w:val="Compact"/>
        <w:numPr>
          <w:ilvl w:val="0"/>
          <w:numId w:val="1040"/>
        </w:numPr>
      </w:pPr>
      <w:r>
        <w:t xml:space="preserve">Rathleff MS, Rathleff CR, Olesen JL, Rasmussen S, Roos EM.</w:t>
      </w:r>
      <w:r>
        <w:t xml:space="preserve"> </w:t>
      </w:r>
      <w:r>
        <w:rPr>
          <w:i/>
          <w:iCs/>
        </w:rPr>
        <w:t xml:space="preserve">Is knee pain during adolescence a self-limiting condition?</w:t>
      </w:r>
      <w:r>
        <w:t xml:space="preserve"> </w:t>
      </w:r>
      <w:r>
        <w:t xml:space="preserve">Am J Sports Med, 2016.</w:t>
      </w:r>
      <w:r>
        <w:t xml:space="preserve"> </w:t>
      </w:r>
      <w:hyperlink r:id="rId98">
        <w:r>
          <w:rPr>
            <w:rStyle w:val="Hyperlink"/>
          </w:rPr>
          <w:t xml:space="preserve">PMID 26792702</w:t>
        </w:r>
      </w:hyperlink>
    </w:p>
    <w:p>
      <w:pPr>
        <w:pStyle w:val="FirstParagraph"/>
      </w:pPr>
      <w:r>
        <w:rPr>
          <w:b/>
          <w:bCs/>
        </w:rPr>
        <w:t xml:space="preserve">Fonti aggiunte nella v2, dopo la revisione di primo livello.</w:t>
      </w:r>
    </w:p>
    <w:p>
      <w:pPr>
        <w:pStyle w:val="Compact"/>
        <w:numPr>
          <w:ilvl w:val="0"/>
          <w:numId w:val="1041"/>
        </w:numPr>
      </w:pPr>
      <w:r>
        <w:t xml:space="preserve">Matava MJ, Patton CM, Luhmann S, Gordon JE, Schoenecker PL.</w:t>
      </w:r>
      <w:r>
        <w:t xml:space="preserve"> </w:t>
      </w:r>
      <w:r>
        <w:rPr>
          <w:i/>
          <w:iCs/>
        </w:rPr>
        <w:t xml:space="preserve">Knee pain as the initial symptom of slipped capital femoral epiphysis.</w:t>
      </w:r>
      <w:r>
        <w:t xml:space="preserve"> </w:t>
      </w:r>
      <w:r>
        <w:t xml:space="preserve">J Pediatr Orthop, 1999.</w:t>
      </w:r>
      <w:r>
        <w:t xml:space="preserve"> </w:t>
      </w:r>
      <w:hyperlink r:id="rId99">
        <w:r>
          <w:rPr>
            <w:rStyle w:val="Hyperlink"/>
          </w:rPr>
          <w:t xml:space="preserve">PMID 10412993</w:t>
        </w:r>
      </w:hyperlink>
    </w:p>
    <w:p>
      <w:pPr>
        <w:pStyle w:val="Compact"/>
        <w:numPr>
          <w:ilvl w:val="0"/>
          <w:numId w:val="1041"/>
        </w:numPr>
      </w:pPr>
      <w:r>
        <w:t xml:space="preserve">Rahme D, Comley A, Foster B, Cundy P.</w:t>
      </w:r>
      <w:r>
        <w:t xml:space="preserve"> </w:t>
      </w:r>
      <w:r>
        <w:rPr>
          <w:i/>
          <w:iCs/>
        </w:rPr>
        <w:t xml:space="preserve">Consequences of diagnostic delays in slipped capital femoral epiphysis.</w:t>
      </w:r>
      <w:r>
        <w:t xml:space="preserve"> </w:t>
      </w:r>
      <w:r>
        <w:t xml:space="preserve">J Pediatr Orthop B, 2006.</w:t>
      </w:r>
      <w:r>
        <w:t xml:space="preserve"> </w:t>
      </w:r>
      <w:hyperlink r:id="rId100">
        <w:r>
          <w:rPr>
            <w:rStyle w:val="Hyperlink"/>
          </w:rPr>
          <w:t xml:space="preserve">PMID 16436942</w:t>
        </w:r>
      </w:hyperlink>
    </w:p>
    <w:p>
      <w:pPr>
        <w:pStyle w:val="Compact"/>
        <w:numPr>
          <w:ilvl w:val="0"/>
          <w:numId w:val="1041"/>
        </w:numPr>
      </w:pPr>
      <w:r>
        <w:t xml:space="preserve">Johansson C, Ekenman I, Törnkvist H, Eriksson E.</w:t>
      </w:r>
      <w:r>
        <w:t xml:space="preserve"> </w:t>
      </w:r>
      <w:r>
        <w:rPr>
          <w:i/>
          <w:iCs/>
        </w:rPr>
        <w:t xml:space="preserve">Stress fractures of the femoral neck in athletes. The consequence of a delay in diagnosis.</w:t>
      </w:r>
      <w:r>
        <w:t xml:space="preserve"> </w:t>
      </w:r>
      <w:r>
        <w:t xml:space="preserve">Am J Sports Med, 1990.</w:t>
      </w:r>
      <w:r>
        <w:t xml:space="preserve"> </w:t>
      </w:r>
      <w:hyperlink r:id="rId101">
        <w:r>
          <w:rPr>
            <w:rStyle w:val="Hyperlink"/>
          </w:rPr>
          <w:t xml:space="preserve">PMID 2252096</w:t>
        </w:r>
      </w:hyperlink>
    </w:p>
    <w:p>
      <w:pPr>
        <w:pStyle w:val="Compact"/>
        <w:numPr>
          <w:ilvl w:val="0"/>
          <w:numId w:val="1041"/>
        </w:numPr>
      </w:pPr>
      <w:r>
        <w:t xml:space="preserve">Fok AW, Yau WP.</w:t>
      </w:r>
      <w:r>
        <w:t xml:space="preserve"> </w:t>
      </w:r>
      <w:r>
        <w:rPr>
          <w:i/>
          <w:iCs/>
        </w:rPr>
        <w:t xml:space="preserve">Delay in ACL reconstruction is associated with more severe and painful meniscal and chondral injuries.</w:t>
      </w:r>
      <w:r>
        <w:t xml:space="preserve"> </w:t>
      </w:r>
      <w:r>
        <w:t xml:space="preserve">Knee Surg Sports Traumatol Arthrosc, 2013.</w:t>
      </w:r>
      <w:r>
        <w:t xml:space="preserve"> </w:t>
      </w:r>
      <w:hyperlink r:id="rId102">
        <w:r>
          <w:rPr>
            <w:rStyle w:val="Hyperlink"/>
          </w:rPr>
          <w:t xml:space="preserve">PMID 22552616</w:t>
        </w:r>
      </w:hyperlink>
    </w:p>
    <w:p>
      <w:pPr>
        <w:pStyle w:val="Compact"/>
        <w:numPr>
          <w:ilvl w:val="0"/>
          <w:numId w:val="1041"/>
        </w:numPr>
      </w:pPr>
      <w:r>
        <w:t xml:space="preserve">Zago J, Amatuzzi F, Rondinel T, Matheus JP.</w:t>
      </w:r>
      <w:r>
        <w:t xml:space="preserve"> </w:t>
      </w:r>
      <w:r>
        <w:rPr>
          <w:i/>
          <w:iCs/>
        </w:rPr>
        <w:t xml:space="preserve">Osteopathic manipulative treatment versus exercise program in runners with patellofemoral pain syndrome: a randomized controlled trial.</w:t>
      </w:r>
      <w:r>
        <w:t xml:space="preserve"> </w:t>
      </w:r>
      <w:r>
        <w:t xml:space="preserve">J Sport Rehabil, 2020.</w:t>
      </w:r>
      <w:r>
        <w:t xml:space="preserve"> </w:t>
      </w:r>
      <w:hyperlink r:id="rId103">
        <w:r>
          <w:rPr>
            <w:rStyle w:val="Hyperlink"/>
          </w:rPr>
          <w:t xml:space="preserve">PMID 33333491</w:t>
        </w:r>
      </w:hyperlink>
    </w:p>
    <w:p>
      <w:pPr>
        <w:pStyle w:val="Compact"/>
        <w:numPr>
          <w:ilvl w:val="0"/>
          <w:numId w:val="1041"/>
        </w:numPr>
      </w:pPr>
      <w:r>
        <w:t xml:space="preserve">Coelho BAL, Rodrigues HLDN, Almeida GPL, João SMA.</w:t>
      </w:r>
      <w:r>
        <w:t xml:space="preserve"> </w:t>
      </w:r>
      <w:r>
        <w:rPr>
          <w:i/>
          <w:iCs/>
        </w:rPr>
        <w:t xml:space="preserve">Immediate effect of ankle mobilization on range of motion, dynamic knee valgus, and knee pain in women with patellofemoral pain and ankle dorsiflexion restriction.</w:t>
      </w:r>
      <w:r>
        <w:t xml:space="preserve"> </w:t>
      </w:r>
      <w:r>
        <w:t xml:space="preserve">J Sport Rehabil, 2021.</w:t>
      </w:r>
      <w:r>
        <w:t xml:space="preserve"> </w:t>
      </w:r>
      <w:hyperlink r:id="rId104">
        <w:r>
          <w:rPr>
            <w:rStyle w:val="Hyperlink"/>
          </w:rPr>
          <w:t xml:space="preserve">PMID 33373976</w:t>
        </w:r>
      </w:hyperlink>
    </w:p>
    <w:p>
      <w:pPr>
        <w:pStyle w:val="Compact"/>
        <w:numPr>
          <w:ilvl w:val="0"/>
          <w:numId w:val="1041"/>
        </w:numPr>
      </w:pPr>
      <w:r>
        <w:t xml:space="preserve">Pisirici P, Ufuk Sakul B.</w:t>
      </w:r>
      <w:r>
        <w:t xml:space="preserve"> </w:t>
      </w:r>
      <w:r>
        <w:rPr>
          <w:i/>
          <w:iCs/>
        </w:rPr>
        <w:t xml:space="preserve">Investigation of the functional and biomechanical effect of instrument-assisted soft tissue mobilization technique in individuals with asymptomatic dynamic knee valgus.</w:t>
      </w:r>
      <w:r>
        <w:t xml:space="preserve"> </w:t>
      </w:r>
      <w:r>
        <w:t xml:space="preserve">J Bodyw Mov Ther, 2024.</w:t>
      </w:r>
      <w:r>
        <w:t xml:space="preserve"> </w:t>
      </w:r>
      <w:hyperlink r:id="rId105">
        <w:r>
          <w:rPr>
            <w:rStyle w:val="Hyperlink"/>
          </w:rPr>
          <w:t xml:space="preserve">PMID 38876637</w:t>
        </w:r>
      </w:hyperlink>
    </w:p>
    <w:p>
      <w:pPr>
        <w:pStyle w:val="Compact"/>
        <w:numPr>
          <w:ilvl w:val="0"/>
          <w:numId w:val="1041"/>
        </w:numPr>
      </w:pPr>
      <w:r>
        <w:t xml:space="preserve">Souza RB, Draper CE, Fredericson M, Powers CM.</w:t>
      </w:r>
      <w:r>
        <w:t xml:space="preserve"> </w:t>
      </w:r>
      <w:r>
        <w:rPr>
          <w:i/>
          <w:iCs/>
        </w:rPr>
        <w:t xml:space="preserve">Femur rotation and patellofemoral joint kinematics: a weight-bearing magnetic resonance imaging analysis.</w:t>
      </w:r>
      <w:r>
        <w:t xml:space="preserve"> </w:t>
      </w:r>
      <w:r>
        <w:t xml:space="preserve">J Orthop Sports Phys Ther, 2010.</w:t>
      </w:r>
      <w:r>
        <w:t xml:space="preserve"> </w:t>
      </w:r>
      <w:hyperlink r:id="rId106">
        <w:r>
          <w:rPr>
            <w:rStyle w:val="Hyperlink"/>
          </w:rPr>
          <w:t xml:space="preserve">PMID 20436239</w:t>
        </w:r>
      </w:hyperlink>
    </w:p>
    <w:p>
      <w:pPr>
        <w:pStyle w:val="Compact"/>
        <w:numPr>
          <w:ilvl w:val="0"/>
          <w:numId w:val="1041"/>
        </w:numPr>
      </w:pPr>
      <w:r>
        <w:t xml:space="preserve">Sanchis-Alfonso V, Ramírez-Fuentes C, Beser-Robles M, et al. </w:t>
      </w:r>
      <w:r>
        <w:rPr>
          <w:i/>
          <w:iCs/>
        </w:rPr>
        <w:t xml:space="preserve">Increased femoral anteversion in females with anterior knee pain relates to both the neck and the shaft of the femur.</w:t>
      </w:r>
      <w:r>
        <w:t xml:space="preserve"> </w:t>
      </w:r>
      <w:r>
        <w:t xml:space="preserve">Arch Orthop Trauma Surg, 2024.</w:t>
      </w:r>
      <w:r>
        <w:t xml:space="preserve"> </w:t>
      </w:r>
      <w:hyperlink r:id="rId107">
        <w:r>
          <w:rPr>
            <w:rStyle w:val="Hyperlink"/>
          </w:rPr>
          <w:t xml:space="preserve">PMID 37610697</w:t>
        </w:r>
      </w:hyperlink>
    </w:p>
    <w:p>
      <w:pPr>
        <w:pStyle w:val="Compact"/>
        <w:numPr>
          <w:ilvl w:val="0"/>
          <w:numId w:val="1041"/>
        </w:numPr>
      </w:pPr>
      <w:r>
        <w:t xml:space="preserve">Junge T, Larsen LR, Juul-Kristensen B, Wedderkopp N.</w:t>
      </w:r>
      <w:r>
        <w:t xml:space="preserve"> </w:t>
      </w:r>
      <w:r>
        <w:rPr>
          <w:i/>
          <w:iCs/>
        </w:rPr>
        <w:t xml:space="preserve">The extent and risk of knee injuries in children aged 9-14 with generalised joint hypermobility.</w:t>
      </w:r>
      <w:r>
        <w:t xml:space="preserve"> </w:t>
      </w:r>
      <w:r>
        <w:t xml:space="preserve">BMC Musculoskelet Disord, 2015.</w:t>
      </w:r>
      <w:r>
        <w:t xml:space="preserve"> </w:t>
      </w:r>
      <w:hyperlink r:id="rId108">
        <w:r>
          <w:rPr>
            <w:rStyle w:val="Hyperlink"/>
          </w:rPr>
          <w:t xml:space="preserve">PMID 26065679</w:t>
        </w:r>
      </w:hyperlink>
    </w:p>
    <w:p>
      <w:pPr>
        <w:pStyle w:val="Compact"/>
        <w:numPr>
          <w:ilvl w:val="0"/>
          <w:numId w:val="1041"/>
        </w:numPr>
      </w:pPr>
      <w:r>
        <w:t xml:space="preserve">Barton CJ, Lack S, Malliaras P, Morrissey D.</w:t>
      </w:r>
      <w:r>
        <w:t xml:space="preserve"> </w:t>
      </w:r>
      <w:r>
        <w:rPr>
          <w:i/>
          <w:iCs/>
        </w:rPr>
        <w:t xml:space="preserve">Gluteal muscle activity and patellofemoral pain syndrome: a systematic review.</w:t>
      </w:r>
      <w:r>
        <w:t xml:space="preserve"> </w:t>
      </w:r>
      <w:r>
        <w:t xml:space="preserve">Br J Sports Med, 2013.</w:t>
      </w:r>
      <w:r>
        <w:t xml:space="preserve"> </w:t>
      </w:r>
      <w:hyperlink r:id="rId109">
        <w:r>
          <w:rPr>
            <w:rStyle w:val="Hyperlink"/>
          </w:rPr>
          <w:t xml:space="preserve">PMID 22945929</w:t>
        </w:r>
      </w:hyperlink>
    </w:p>
    <w:p>
      <w:pPr>
        <w:pStyle w:val="Compact"/>
        <w:numPr>
          <w:ilvl w:val="0"/>
          <w:numId w:val="1041"/>
        </w:numPr>
      </w:pPr>
      <w:r>
        <w:t xml:space="preserve">Konishi Y, Yoshii R, Ingersoll CD.</w:t>
      </w:r>
      <w:r>
        <w:t xml:space="preserve"> </w:t>
      </w:r>
      <w:r>
        <w:rPr>
          <w:i/>
          <w:iCs/>
        </w:rPr>
        <w:t xml:space="preserve">Gamma loop dysfunction as a possible neurophysiological mechanism of arthrogenic muscle inhibition.</w:t>
      </w:r>
      <w:r>
        <w:t xml:space="preserve"> </w:t>
      </w:r>
      <w:r>
        <w:t xml:space="preserve">J Sport Rehabil, 2022.</w:t>
      </w:r>
      <w:r>
        <w:t xml:space="preserve"> </w:t>
      </w:r>
      <w:hyperlink r:id="rId110">
        <w:r>
          <w:rPr>
            <w:rStyle w:val="Hyperlink"/>
          </w:rPr>
          <w:t xml:space="preserve">PMID 35078149</w:t>
        </w:r>
      </w:hyperlink>
    </w:p>
    <w:p>
      <w:pPr>
        <w:pStyle w:val="Compact"/>
        <w:numPr>
          <w:ilvl w:val="0"/>
          <w:numId w:val="1041"/>
        </w:numPr>
      </w:pPr>
      <w:r>
        <w:t xml:space="preserve">Grindstaff TL, Hertel J, Beazell JR, et al. </w:t>
      </w:r>
      <w:r>
        <w:rPr>
          <w:i/>
          <w:iCs/>
        </w:rPr>
        <w:t xml:space="preserve">Lumbopelvic joint manipulation and quadriceps activation of people with patellofemoral pain syndrome.</w:t>
      </w:r>
      <w:r>
        <w:t xml:space="preserve"> </w:t>
      </w:r>
      <w:r>
        <w:t xml:space="preserve">J Athl Train, 2012.</w:t>
      </w:r>
      <w:r>
        <w:t xml:space="preserve"> </w:t>
      </w:r>
      <w:hyperlink r:id="rId111">
        <w:r>
          <w:rPr>
            <w:rStyle w:val="Hyperlink"/>
          </w:rPr>
          <w:t xml:space="preserve">PMID 22488227</w:t>
        </w:r>
      </w:hyperlink>
    </w:p>
    <w:p>
      <w:pPr>
        <w:pStyle w:val="Compact"/>
        <w:numPr>
          <w:ilvl w:val="0"/>
          <w:numId w:val="1041"/>
        </w:numPr>
      </w:pPr>
      <w:r>
        <w:t xml:space="preserve">Rathleff MS, Rathleff CR, Stephenson A, et al. </w:t>
      </w:r>
      <w:r>
        <w:rPr>
          <w:i/>
          <w:iCs/>
        </w:rPr>
        <w:t xml:space="preserve">Adults with patellofemoral pain do not exhibit manifestations of peripheral and central sensitization.</w:t>
      </w:r>
      <w:r>
        <w:t xml:space="preserve"> </w:t>
      </w:r>
      <w:r>
        <w:t xml:space="preserve">PLoS One, 2017.</w:t>
      </w:r>
      <w:r>
        <w:t xml:space="preserve"> </w:t>
      </w:r>
      <w:hyperlink r:id="rId112">
        <w:r>
          <w:rPr>
            <w:rStyle w:val="Hyperlink"/>
          </w:rPr>
          <w:t xml:space="preserve">PMID 29220355</w:t>
        </w:r>
      </w:hyperlink>
    </w:p>
    <w:p>
      <w:pPr>
        <w:pStyle w:val="Compact"/>
        <w:numPr>
          <w:ilvl w:val="0"/>
          <w:numId w:val="1041"/>
        </w:numPr>
      </w:pPr>
      <w:r>
        <w:t xml:space="preserve">Rathleff MS, Roos EM, Olesen JL, Rasmussen S, Arendt-Nielsen L.</w:t>
      </w:r>
      <w:r>
        <w:t xml:space="preserve"> </w:t>
      </w:r>
      <w:r>
        <w:rPr>
          <w:i/>
          <w:iCs/>
        </w:rPr>
        <w:t xml:space="preserve">Lower mechanical pressure pain thresholds in female adolescents with patellofemoral pain syndrome.</w:t>
      </w:r>
      <w:r>
        <w:t xml:space="preserve"> </w:t>
      </w:r>
      <w:r>
        <w:t xml:space="preserve">J Orthop Sports Phys Ther, 2013.</w:t>
      </w:r>
      <w:r>
        <w:t xml:space="preserve"> </w:t>
      </w:r>
      <w:hyperlink r:id="rId113">
        <w:r>
          <w:rPr>
            <w:rStyle w:val="Hyperlink"/>
          </w:rPr>
          <w:t xml:space="preserve">PMID 23508216</w:t>
        </w:r>
      </w:hyperlink>
    </w:p>
    <w:p>
      <w:pPr>
        <w:pStyle w:val="Compact"/>
        <w:numPr>
          <w:ilvl w:val="0"/>
          <w:numId w:val="1041"/>
        </w:numPr>
      </w:pPr>
      <w:r>
        <w:t xml:space="preserve">Kosek E, Clauw D, Nijs J, et al. </w:t>
      </w:r>
      <w:r>
        <w:rPr>
          <w:i/>
          <w:iCs/>
        </w:rPr>
        <w:t xml:space="preserve">Chronic nociplastic pain affecting the musculoskeletal system: clinical criteria and grading system.</w:t>
      </w:r>
      <w:r>
        <w:t xml:space="preserve"> </w:t>
      </w:r>
      <w:r>
        <w:t xml:space="preserve">Pain, 2021.</w:t>
      </w:r>
      <w:r>
        <w:t xml:space="preserve"> </w:t>
      </w:r>
      <w:hyperlink r:id="rId114">
        <w:r>
          <w:rPr>
            <w:rStyle w:val="Hyperlink"/>
          </w:rPr>
          <w:t xml:space="preserve">PMID 33974577</w:t>
        </w:r>
      </w:hyperlink>
    </w:p>
    <w:p>
      <w:pPr>
        <w:pStyle w:val="Compact"/>
        <w:numPr>
          <w:ilvl w:val="0"/>
          <w:numId w:val="1041"/>
        </w:numPr>
      </w:pPr>
      <w:r>
        <w:t xml:space="preserve">Padua DA, DiStefano LJ, Marshall SW, Beutler AI, de la Motte SJ, DiStefano MJ.</w:t>
      </w:r>
      <w:r>
        <w:t xml:space="preserve"> </w:t>
      </w:r>
      <w:r>
        <w:rPr>
          <w:i/>
          <w:iCs/>
        </w:rPr>
        <w:t xml:space="preserve">Retention of movement pattern changes after a lower extremity injury prevention program is affected by program duration.</w:t>
      </w:r>
      <w:r>
        <w:t xml:space="preserve"> </w:t>
      </w:r>
      <w:r>
        <w:t xml:space="preserve">Am J Sports Med, 2012.</w:t>
      </w:r>
      <w:r>
        <w:t xml:space="preserve"> </w:t>
      </w:r>
      <w:hyperlink r:id="rId115">
        <w:r>
          <w:rPr>
            <w:rStyle w:val="Hyperlink"/>
          </w:rPr>
          <w:t xml:space="preserve">PMID 22064608</w:t>
        </w:r>
      </w:hyperlink>
    </w:p>
    <w:p>
      <w:pPr>
        <w:pStyle w:val="Compact"/>
        <w:numPr>
          <w:ilvl w:val="0"/>
          <w:numId w:val="1041"/>
        </w:numPr>
      </w:pPr>
      <w:r>
        <w:t xml:space="preserve">Sugimoto D, Myer GD, Bush HM, Klugman MF, Medina McKeon JM, Hewett TE.</w:t>
      </w:r>
      <w:r>
        <w:t xml:space="preserve"> </w:t>
      </w:r>
      <w:r>
        <w:rPr>
          <w:i/>
          <w:iCs/>
        </w:rPr>
        <w:t xml:space="preserve">Compliance with neuromuscular training and anterior cruciate ligament injury risk reduction in female athletes: a meta-analysis.</w:t>
      </w:r>
      <w:r>
        <w:t xml:space="preserve"> </w:t>
      </w:r>
      <w:r>
        <w:t xml:space="preserve">J Athl Train, 2012.</w:t>
      </w:r>
      <w:r>
        <w:t xml:space="preserve"> </w:t>
      </w:r>
      <w:hyperlink r:id="rId116">
        <w:r>
          <w:rPr>
            <w:rStyle w:val="Hyperlink"/>
          </w:rPr>
          <w:t xml:space="preserve">PMID 23182020</w:t>
        </w:r>
      </w:hyperlink>
    </w:p>
    <w:p>
      <w:pPr>
        <w:pStyle w:val="Compact"/>
        <w:numPr>
          <w:ilvl w:val="0"/>
          <w:numId w:val="1041"/>
        </w:numPr>
      </w:pPr>
      <w:r>
        <w:t xml:space="preserve">Rathleff MS, Graven-Nielsen T, Hölmich P, et al. </w:t>
      </w:r>
      <w:r>
        <w:rPr>
          <w:i/>
          <w:iCs/>
        </w:rPr>
        <w:t xml:space="preserve">Activity modification and load management of adolescents with patellofemoral pain: a prospective intervention study including 151 adolescents.</w:t>
      </w:r>
      <w:r>
        <w:t xml:space="preserve"> </w:t>
      </w:r>
      <w:r>
        <w:t xml:space="preserve">Am J Sports Med, 2019.</w:t>
      </w:r>
      <w:r>
        <w:t xml:space="preserve"> </w:t>
      </w:r>
      <w:hyperlink r:id="rId117">
        <w:r>
          <w:rPr>
            <w:rStyle w:val="Hyperlink"/>
          </w:rPr>
          <w:t xml:space="preserve">PMID 31095417</w:t>
        </w:r>
      </w:hyperlink>
    </w:p>
    <w:p>
      <w:pPr>
        <w:pStyle w:val="Compact"/>
        <w:numPr>
          <w:ilvl w:val="0"/>
          <w:numId w:val="1041"/>
        </w:numPr>
      </w:pPr>
      <w:r>
        <w:t xml:space="preserve">Barton CJ, Lack S, Hemmings S, Tufail S, Morrissey D.</w:t>
      </w:r>
      <w:r>
        <w:t xml:space="preserve"> </w:t>
      </w:r>
      <w:r>
        <w:rPr>
          <w:i/>
          <w:iCs/>
        </w:rPr>
        <w:t xml:space="preserve">The</w:t>
      </w:r>
      <w:r>
        <w:rPr>
          <w:i/>
          <w:iCs/>
        </w:rPr>
        <w:t xml:space="preserve"> </w:t>
      </w:r>
      <w:r>
        <w:rPr>
          <w:i/>
          <w:iCs/>
        </w:rPr>
        <w:t xml:space="preserve">‘Best Practice Guide to Conservative Management of Patellofemoral Pain’</w:t>
      </w:r>
      <w:r>
        <w:rPr>
          <w:i/>
          <w:iCs/>
        </w:rPr>
        <w:t xml:space="preserve">.</w:t>
      </w:r>
      <w:r>
        <w:t xml:space="preserve"> </w:t>
      </w:r>
      <w:r>
        <w:t xml:space="preserve">Br J Sports Med, 2015.</w:t>
      </w:r>
      <w:r>
        <w:t xml:space="preserve"> </w:t>
      </w:r>
      <w:hyperlink r:id="rId118">
        <w:r>
          <w:rPr>
            <w:rStyle w:val="Hyperlink"/>
          </w:rPr>
          <w:t xml:space="preserve">PMID 25716151</w:t>
        </w:r>
      </w:hyperlink>
    </w:p>
    <w:p>
      <w:pPr>
        <w:pStyle w:val="Compact"/>
        <w:numPr>
          <w:ilvl w:val="0"/>
          <w:numId w:val="1041"/>
        </w:numPr>
      </w:pPr>
      <w:r>
        <w:t xml:space="preserve">Maclachlan LR, Collins NJ, Matthews MLG, Hodges PW, Vicenzino B.</w:t>
      </w:r>
      <w:r>
        <w:t xml:space="preserve"> </w:t>
      </w:r>
      <w:r>
        <w:rPr>
          <w:i/>
          <w:iCs/>
        </w:rPr>
        <w:t xml:space="preserve">The psychological features of patellofemoral pain: a systematic review.</w:t>
      </w:r>
      <w:r>
        <w:t xml:space="preserve"> </w:t>
      </w:r>
      <w:r>
        <w:t xml:space="preserve">Br J Sports Med, 2017.</w:t>
      </w:r>
      <w:r>
        <w:t xml:space="preserve"> </w:t>
      </w:r>
      <w:hyperlink r:id="rId119">
        <w:r>
          <w:rPr>
            <w:rStyle w:val="Hyperlink"/>
          </w:rPr>
          <w:t xml:space="preserve">PMID 28320733</w:t>
        </w:r>
      </w:hyperlink>
    </w:p>
    <w:p>
      <w:pPr>
        <w:pStyle w:val="Compact"/>
        <w:numPr>
          <w:ilvl w:val="0"/>
          <w:numId w:val="1041"/>
        </w:numPr>
      </w:pPr>
      <w:r>
        <w:t xml:space="preserve">Rethman KK, Mansfield CJ, Moeller J, et al. </w:t>
      </w:r>
      <w:r>
        <w:rPr>
          <w:i/>
          <w:iCs/>
        </w:rPr>
        <w:t xml:space="preserve">Kinesiophobia is associated with poor function and modifiable through interventions in people with patellofemoral pain.</w:t>
      </w:r>
      <w:r>
        <w:t xml:space="preserve"> </w:t>
      </w:r>
      <w:r>
        <w:t xml:space="preserve">Phys Ther, 2023.</w:t>
      </w:r>
      <w:r>
        <w:t xml:space="preserve"> </w:t>
      </w:r>
      <w:hyperlink r:id="rId120">
        <w:r>
          <w:rPr>
            <w:rStyle w:val="Hyperlink"/>
          </w:rPr>
          <w:t xml:space="preserve">PMID 37354454</w:t>
        </w:r>
      </w:hyperlink>
    </w:p>
    <w:p>
      <w:pPr>
        <w:pStyle w:val="Compact"/>
        <w:numPr>
          <w:ilvl w:val="0"/>
          <w:numId w:val="1041"/>
        </w:numPr>
      </w:pPr>
      <w:r>
        <w:t xml:space="preserve">Sheldon A, Karas S.</w:t>
      </w:r>
      <w:r>
        <w:t xml:space="preserve"> </w:t>
      </w:r>
      <w:r>
        <w:rPr>
          <w:i/>
          <w:iCs/>
        </w:rPr>
        <w:t xml:space="preserve">Adverse events associated with manual therapy of peripheral joints: a scoping review.</w:t>
      </w:r>
      <w:r>
        <w:t xml:space="preserve"> </w:t>
      </w:r>
      <w:r>
        <w:t xml:space="preserve">J Bodyw Mov Ther, 2022.</w:t>
      </w:r>
      <w:r>
        <w:t xml:space="preserve"> </w:t>
      </w:r>
      <w:hyperlink r:id="rId121">
        <w:r>
          <w:rPr>
            <w:rStyle w:val="Hyperlink"/>
          </w:rPr>
          <w:t xml:space="preserve">PMID 35710214</w:t>
        </w:r>
      </w:hyperlink>
    </w:p>
    <w:p>
      <w:pPr>
        <w:pStyle w:val="FirstParagraph"/>
      </w:pPr>
      <w:r>
        <w:rPr>
          <w:b/>
          <w:bCs/>
        </w:rPr>
        <w:t xml:space="preserve">Fonti aggiunte nella v3, dopo la revisione di secondo livello.</w:t>
      </w:r>
    </w:p>
    <w:p>
      <w:pPr>
        <w:pStyle w:val="Compact"/>
        <w:numPr>
          <w:ilvl w:val="0"/>
          <w:numId w:val="1042"/>
        </w:numPr>
      </w:pPr>
      <w:r>
        <w:t xml:space="preserve">Nunes GS, Scattone Silva R, Dos Santos AN, et al. </w:t>
      </w:r>
      <w:r>
        <w:rPr>
          <w:i/>
          <w:iCs/>
        </w:rPr>
        <w:t xml:space="preserve">Are changes in dynamic knee movement control related to changes in pain or function in people with knee disorders? A systematic review and meta-analysis.</w:t>
      </w:r>
      <w:r>
        <w:t xml:space="preserve"> </w:t>
      </w:r>
      <w:r>
        <w:t xml:space="preserve">J Orthop Sports Phys Ther, 2023.</w:t>
      </w:r>
      <w:r>
        <w:t xml:space="preserve"> </w:t>
      </w:r>
      <w:hyperlink r:id="rId122">
        <w:r>
          <w:rPr>
            <w:rStyle w:val="Hyperlink"/>
          </w:rPr>
          <w:t xml:space="preserve">PMID 37068162</w:t>
        </w:r>
      </w:hyperlink>
    </w:p>
    <w:p>
      <w:pPr>
        <w:pStyle w:val="Compact"/>
        <w:numPr>
          <w:ilvl w:val="0"/>
          <w:numId w:val="1042"/>
        </w:numPr>
      </w:pPr>
      <w:r>
        <w:t xml:space="preserve">Eckenrode BJ, Kietrys DM, Parrott JS.</w:t>
      </w:r>
      <w:r>
        <w:t xml:space="preserve"> </w:t>
      </w:r>
      <w:r>
        <w:rPr>
          <w:i/>
          <w:iCs/>
        </w:rPr>
        <w:t xml:space="preserve">Effectiveness of manual therapy for pain and self-reported function in individuals with patellofemoral pain: systematic review and meta-analysis.</w:t>
      </w:r>
      <w:r>
        <w:t xml:space="preserve"> </w:t>
      </w:r>
      <w:r>
        <w:t xml:space="preserve">J Orthop Sports Phys Ther, 2018.</w:t>
      </w:r>
      <w:r>
        <w:t xml:space="preserve"> </w:t>
      </w:r>
      <w:hyperlink r:id="rId123">
        <w:r>
          <w:rPr>
            <w:rStyle w:val="Hyperlink"/>
          </w:rPr>
          <w:t xml:space="preserve">PMID 29308698</w:t>
        </w:r>
      </w:hyperlink>
    </w:p>
    <w:p>
      <w:pPr>
        <w:pStyle w:val="Compact"/>
        <w:numPr>
          <w:ilvl w:val="0"/>
          <w:numId w:val="1042"/>
        </w:numPr>
      </w:pPr>
      <w:r>
        <w:t xml:space="preserve">Lin LH, Lin TY, Chang KV, Wu WT, Özçakar L.</w:t>
      </w:r>
      <w:r>
        <w:t xml:space="preserve"> </w:t>
      </w:r>
      <w:r>
        <w:rPr>
          <w:i/>
          <w:iCs/>
        </w:rPr>
        <w:t xml:space="preserve">The effect of lumbopelvic manipulation for pain reduction in patellofemoral pain syndrome: a systematic review and meta-analysis of randomized controlled trials.</w:t>
      </w:r>
      <w:r>
        <w:t xml:space="preserve"> </w:t>
      </w:r>
      <w:r>
        <w:t xml:space="preserve">Life (Basel), 2024.</w:t>
      </w:r>
      <w:r>
        <w:t xml:space="preserve"> </w:t>
      </w:r>
      <w:hyperlink r:id="rId124">
        <w:r>
          <w:rPr>
            <w:rStyle w:val="Hyperlink"/>
          </w:rPr>
          <w:t xml:space="preserve">PMID 39063585</w:t>
        </w:r>
      </w:hyperlink>
    </w:p>
    <w:p>
      <w:pPr>
        <w:pStyle w:val="Compact"/>
        <w:numPr>
          <w:ilvl w:val="0"/>
          <w:numId w:val="1042"/>
        </w:numPr>
      </w:pPr>
      <w:r>
        <w:t xml:space="preserve">Weerasekara I, Osmotherly P, Snodgrass S, Marquez J, de Zoete R, Rivett DA.</w:t>
      </w:r>
      <w:r>
        <w:t xml:space="preserve"> </w:t>
      </w:r>
      <w:r>
        <w:rPr>
          <w:i/>
          <w:iCs/>
        </w:rPr>
        <w:t xml:space="preserve">Clinical benefits of joint mobilization on ankle sprains: a systematic review and meta-analysis.</w:t>
      </w:r>
      <w:r>
        <w:t xml:space="preserve"> </w:t>
      </w:r>
      <w:r>
        <w:t xml:space="preserve">Arch Phys Med Rehabil, 2018.</w:t>
      </w:r>
      <w:r>
        <w:t xml:space="preserve"> </w:t>
      </w:r>
      <w:hyperlink r:id="rId125">
        <w:r>
          <w:rPr>
            <w:rStyle w:val="Hyperlink"/>
          </w:rPr>
          <w:t xml:space="preserve">PMID 28882509</w:t>
        </w:r>
      </w:hyperlink>
    </w:p>
    <w:p>
      <w:pPr>
        <w:pStyle w:val="Compact"/>
        <w:numPr>
          <w:ilvl w:val="0"/>
          <w:numId w:val="1042"/>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w:t>
      </w:r>
      <w:r>
        <w:t xml:space="preserve"> </w:t>
      </w:r>
      <w:hyperlink r:id="rId126">
        <w:r>
          <w:rPr>
            <w:rStyle w:val="Hyperlink"/>
          </w:rPr>
          <w:t xml:space="preserve">PMID 9777544</w:t>
        </w:r>
      </w:hyperlink>
    </w:p>
    <w:p>
      <w:pPr>
        <w:pStyle w:val="Compact"/>
        <w:numPr>
          <w:ilvl w:val="0"/>
          <w:numId w:val="1042"/>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w:t>
      </w:r>
      <w:r>
        <w:t xml:space="preserve"> </w:t>
      </w:r>
      <w:hyperlink r:id="rId127">
        <w:r>
          <w:rPr>
            <w:rStyle w:val="Hyperlink"/>
          </w:rPr>
          <w:t xml:space="preserve">PMID 20075147</w:t>
        </w:r>
      </w:hyperlink>
    </w:p>
    <w:p>
      <w:pPr>
        <w:pStyle w:val="Compact"/>
        <w:numPr>
          <w:ilvl w:val="0"/>
          <w:numId w:val="1042"/>
        </w:numPr>
      </w:pPr>
      <w:r>
        <w:t xml:space="preserve">Messier SP, Mihalko SL, Legault C, et al. </w:t>
      </w:r>
      <w:r>
        <w:rPr>
          <w:i/>
          <w:iCs/>
        </w:rPr>
        <w:t xml:space="preserve">Effects of intensive diet and exercise on knee joint loads, inflammation, and clinical outcomes among overweight and obese adults with knee osteoarthritis: the IDEA randomized clinical trial.</w:t>
      </w:r>
      <w:r>
        <w:t xml:space="preserve"> </w:t>
      </w:r>
      <w:r>
        <w:t xml:space="preserve">JAMA, 2013.</w:t>
      </w:r>
      <w:r>
        <w:t xml:space="preserve"> </w:t>
      </w:r>
      <w:hyperlink r:id="rId128">
        <w:r>
          <w:rPr>
            <w:rStyle w:val="Hyperlink"/>
          </w:rPr>
          <w:t xml:space="preserve">PMID 24065013</w:t>
        </w:r>
      </w:hyperlink>
    </w:p>
    <w:p>
      <w:pPr>
        <w:pStyle w:val="Compact"/>
        <w:numPr>
          <w:ilvl w:val="0"/>
          <w:numId w:val="1042"/>
        </w:numPr>
      </w:pPr>
      <w:r>
        <w:t xml:space="preserve">Doyle E, Doyle TLA, Bonacci J, Fuller JT.</w:t>
      </w:r>
      <w:r>
        <w:t xml:space="preserve"> </w:t>
      </w:r>
      <w:r>
        <w:rPr>
          <w:i/>
          <w:iCs/>
        </w:rPr>
        <w:t xml:space="preserve">The effectiveness of gait retraining on running kinematics, kinetics, performance, pain, and injury in distance runners: a systematic review with meta-analysis.</w:t>
      </w:r>
      <w:r>
        <w:t xml:space="preserve"> </w:t>
      </w:r>
      <w:r>
        <w:t xml:space="preserve">J Orthop Sports Phys Ther, 2022.</w:t>
      </w:r>
      <w:r>
        <w:t xml:space="preserve"> </w:t>
      </w:r>
      <w:hyperlink r:id="rId129">
        <w:r>
          <w:rPr>
            <w:rStyle w:val="Hyperlink"/>
          </w:rPr>
          <w:t xml:space="preserve">PMID 35128941</w:t>
        </w:r>
      </w:hyperlink>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42">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9" Target="https://pubmed.ncbi.nlm.nih.gov/10412993/" TargetMode="External" /><Relationship Type="http://schemas.openxmlformats.org/officeDocument/2006/relationships/hyperlink" Id="rId91" Target="https://pubmed.ncbi.nlm.nih.gov/10651597/" TargetMode="External" /><Relationship Type="http://schemas.openxmlformats.org/officeDocument/2006/relationships/hyperlink" Id="rId69" Target="https://pubmed.ncbi.nlm.nih.gov/1112851/" TargetMode="External" /><Relationship Type="http://schemas.openxmlformats.org/officeDocument/2006/relationships/hyperlink" Id="rId84" Target="https://pubmed.ncbi.nlm.nih.gov/14734335/" TargetMode="External" /><Relationship Type="http://schemas.openxmlformats.org/officeDocument/2006/relationships/hyperlink" Id="rId81" Target="https://pubmed.ncbi.nlm.nih.gov/15722287/" TargetMode="External" /><Relationship Type="http://schemas.openxmlformats.org/officeDocument/2006/relationships/hyperlink" Id="rId76" Target="https://pubmed.ncbi.nlm.nih.gov/15986358/" TargetMode="External" /><Relationship Type="http://schemas.openxmlformats.org/officeDocument/2006/relationships/hyperlink" Id="rId100" Target="https://pubmed.ncbi.nlm.nih.gov/16436942/" TargetMode="External" /><Relationship Type="http://schemas.openxmlformats.org/officeDocument/2006/relationships/hyperlink" Id="rId89" Target="https://pubmed.ncbi.nlm.nih.gov/18952682/" TargetMode="External" /><Relationship Type="http://schemas.openxmlformats.org/officeDocument/2006/relationships/hyperlink" Id="rId127" Target="https://pubmed.ncbi.nlm.nih.gov/20075147/" TargetMode="External" /><Relationship Type="http://schemas.openxmlformats.org/officeDocument/2006/relationships/hyperlink" Id="rId85" Target="https://pubmed.ncbi.nlm.nih.gov/20118526/" TargetMode="External" /><Relationship Type="http://schemas.openxmlformats.org/officeDocument/2006/relationships/hyperlink" Id="rId106" Target="https://pubmed.ncbi.nlm.nih.gov/20436239/" TargetMode="External" /><Relationship Type="http://schemas.openxmlformats.org/officeDocument/2006/relationships/hyperlink" Id="rId75" Target="https://pubmed.ncbi.nlm.nih.gov/20511608/" TargetMode="External" /><Relationship Type="http://schemas.openxmlformats.org/officeDocument/2006/relationships/hyperlink" Id="rId83" Target="https://pubmed.ncbi.nlm.nih.gov/21717597/" TargetMode="External" /><Relationship Type="http://schemas.openxmlformats.org/officeDocument/2006/relationships/hyperlink" Id="rId78" Target="https://pubmed.ncbi.nlm.nih.gov/21765220/" TargetMode="External" /><Relationship Type="http://schemas.openxmlformats.org/officeDocument/2006/relationships/hyperlink" Id="rId96" Target="https://pubmed.ncbi.nlm.nih.gov/22027216/" TargetMode="External" /><Relationship Type="http://schemas.openxmlformats.org/officeDocument/2006/relationships/hyperlink" Id="rId115" Target="https://pubmed.ncbi.nlm.nih.gov/22064608/" TargetMode="External" /><Relationship Type="http://schemas.openxmlformats.org/officeDocument/2006/relationships/hyperlink" Id="rId72" Target="https://pubmed.ncbi.nlm.nih.gov/22100617/" TargetMode="External" /><Relationship Type="http://schemas.openxmlformats.org/officeDocument/2006/relationships/hyperlink" Id="rId111" Target="https://pubmed.ncbi.nlm.nih.gov/22488227/" TargetMode="External" /><Relationship Type="http://schemas.openxmlformats.org/officeDocument/2006/relationships/hyperlink" Id="rId101" Target="https://pubmed.ncbi.nlm.nih.gov/2252096/" TargetMode="External" /><Relationship Type="http://schemas.openxmlformats.org/officeDocument/2006/relationships/hyperlink" Id="rId102" Target="https://pubmed.ncbi.nlm.nih.gov/22552616/" TargetMode="External" /><Relationship Type="http://schemas.openxmlformats.org/officeDocument/2006/relationships/hyperlink" Id="rId71" Target="https://pubmed.ncbi.nlm.nih.gov/22637208/" TargetMode="External" /><Relationship Type="http://schemas.openxmlformats.org/officeDocument/2006/relationships/hyperlink" Id="rId97" Target="https://pubmed.ncbi.nlm.nih.gov/22917625/" TargetMode="External" /><Relationship Type="http://schemas.openxmlformats.org/officeDocument/2006/relationships/hyperlink" Id="rId109" Target="https://pubmed.ncbi.nlm.nih.gov/22945929/" TargetMode="External" /><Relationship Type="http://schemas.openxmlformats.org/officeDocument/2006/relationships/hyperlink" Id="rId116" Target="https://pubmed.ncbi.nlm.nih.gov/23182020/" TargetMode="External" /><Relationship Type="http://schemas.openxmlformats.org/officeDocument/2006/relationships/hyperlink" Id="rId70" Target="https://pubmed.ncbi.nlm.nih.gov/23203672/" TargetMode="External" /><Relationship Type="http://schemas.openxmlformats.org/officeDocument/2006/relationships/hyperlink" Id="rId67" Target="https://pubmed.ncbi.nlm.nih.gov/23274607/" TargetMode="External" /><Relationship Type="http://schemas.openxmlformats.org/officeDocument/2006/relationships/hyperlink" Id="rId92" Target="https://pubmed.ncbi.nlm.nih.gov/23313532/" TargetMode="External" /><Relationship Type="http://schemas.openxmlformats.org/officeDocument/2006/relationships/hyperlink" Id="rId113" Target="https://pubmed.ncbi.nlm.nih.gov/23508216/" TargetMode="External" /><Relationship Type="http://schemas.openxmlformats.org/officeDocument/2006/relationships/hyperlink" Id="rId82" Target="https://pubmed.ncbi.nlm.nih.gov/23766439/" TargetMode="External" /><Relationship Type="http://schemas.openxmlformats.org/officeDocument/2006/relationships/hyperlink" Id="rId128" Target="https://pubmed.ncbi.nlm.nih.gov/24065013/" TargetMode="External" /><Relationship Type="http://schemas.openxmlformats.org/officeDocument/2006/relationships/hyperlink" Id="rId73" Target="https://pubmed.ncbi.nlm.nih.gov/24687010/" TargetMode="External" /><Relationship Type="http://schemas.openxmlformats.org/officeDocument/2006/relationships/hyperlink" Id="rId88" Target="https://pubmed.ncbi.nlm.nih.gov/25365133/" TargetMode="External" /><Relationship Type="http://schemas.openxmlformats.org/officeDocument/2006/relationships/hyperlink" Id="rId95" Target="https://pubmed.ncbi.nlm.nih.gov/25603546/" TargetMode="External" /><Relationship Type="http://schemas.openxmlformats.org/officeDocument/2006/relationships/hyperlink" Id="rId118" Target="https://pubmed.ncbi.nlm.nih.gov/25716151/" TargetMode="External" /><Relationship Type="http://schemas.openxmlformats.org/officeDocument/2006/relationships/hyperlink" Id="rId108" Target="https://pubmed.ncbi.nlm.nih.gov/26065679/" TargetMode="External" /><Relationship Type="http://schemas.openxmlformats.org/officeDocument/2006/relationships/hyperlink" Id="rId77" Target="https://pubmed.ncbi.nlm.nih.gov/26175019/" TargetMode="External" /><Relationship Type="http://schemas.openxmlformats.org/officeDocument/2006/relationships/hyperlink" Id="rId98" Target="https://pubmed.ncbi.nlm.nih.gov/26792702/" TargetMode="External" /><Relationship Type="http://schemas.openxmlformats.org/officeDocument/2006/relationships/hyperlink" Id="rId80" Target="https://pubmed.ncbi.nlm.nih.gov/26867936/" TargetMode="External" /><Relationship Type="http://schemas.openxmlformats.org/officeDocument/2006/relationships/hyperlink" Id="rId119" Target="https://pubmed.ncbi.nlm.nih.gov/28320733/" TargetMode="External" /><Relationship Type="http://schemas.openxmlformats.org/officeDocument/2006/relationships/hyperlink" Id="rId125" Target="https://pubmed.ncbi.nlm.nih.gov/28882509/" TargetMode="External" /><Relationship Type="http://schemas.openxmlformats.org/officeDocument/2006/relationships/hyperlink" Id="rId112" Target="https://pubmed.ncbi.nlm.nih.gov/29220355/" TargetMode="External" /><Relationship Type="http://schemas.openxmlformats.org/officeDocument/2006/relationships/hyperlink" Id="rId123" Target="https://pubmed.ncbi.nlm.nih.gov/29308698/" TargetMode="External" /><Relationship Type="http://schemas.openxmlformats.org/officeDocument/2006/relationships/hyperlink" Id="rId74" Target="https://pubmed.ncbi.nlm.nih.gov/30242107/" TargetMode="External" /><Relationship Type="http://schemas.openxmlformats.org/officeDocument/2006/relationships/hyperlink" Id="rId117" Target="https://pubmed.ncbi.nlm.nih.gov/31095417/" TargetMode="External" /><Relationship Type="http://schemas.openxmlformats.org/officeDocument/2006/relationships/hyperlink" Id="rId90" Target="https://pubmed.ncbi.nlm.nih.gov/32452284/" TargetMode="External" /><Relationship Type="http://schemas.openxmlformats.org/officeDocument/2006/relationships/hyperlink" Id="rId103" Target="https://pubmed.ncbi.nlm.nih.gov/33333491/" TargetMode="External" /><Relationship Type="http://schemas.openxmlformats.org/officeDocument/2006/relationships/hyperlink" Id="rId104" Target="https://pubmed.ncbi.nlm.nih.gov/33373976/" TargetMode="External" /><Relationship Type="http://schemas.openxmlformats.org/officeDocument/2006/relationships/hyperlink" Id="rId114" Target="https://pubmed.ncbi.nlm.nih.gov/33974577/" TargetMode="External" /><Relationship Type="http://schemas.openxmlformats.org/officeDocument/2006/relationships/hyperlink" Id="rId86" Target="https://pubmed.ncbi.nlm.nih.gov/34268014/" TargetMode="External" /><Relationship Type="http://schemas.openxmlformats.org/officeDocument/2006/relationships/hyperlink" Id="rId87" Target="https://pubmed.ncbi.nlm.nih.gov/34300118/" TargetMode="External" /><Relationship Type="http://schemas.openxmlformats.org/officeDocument/2006/relationships/hyperlink" Id="rId110" Target="https://pubmed.ncbi.nlm.nih.gov/35078149/" TargetMode="External" /><Relationship Type="http://schemas.openxmlformats.org/officeDocument/2006/relationships/hyperlink" Id="rId129" Target="https://pubmed.ncbi.nlm.nih.gov/35128941/" TargetMode="External" /><Relationship Type="http://schemas.openxmlformats.org/officeDocument/2006/relationships/hyperlink" Id="rId121" Target="https://pubmed.ncbi.nlm.nih.gov/35710214/" TargetMode="External" /><Relationship Type="http://schemas.openxmlformats.org/officeDocument/2006/relationships/hyperlink" Id="rId93" Target="https://pubmed.ncbi.nlm.nih.gov/35768802/" TargetMode="External" /><Relationship Type="http://schemas.openxmlformats.org/officeDocument/2006/relationships/hyperlink" Id="rId122" Target="https://pubmed.ncbi.nlm.nih.gov/37068162/" TargetMode="External" /><Relationship Type="http://schemas.openxmlformats.org/officeDocument/2006/relationships/hyperlink" Id="rId120" Target="https://pubmed.ncbi.nlm.nih.gov/37354454/" TargetMode="External" /><Relationship Type="http://schemas.openxmlformats.org/officeDocument/2006/relationships/hyperlink" Id="rId107" Target="https://pubmed.ncbi.nlm.nih.gov/37610697/" TargetMode="External" /><Relationship Type="http://schemas.openxmlformats.org/officeDocument/2006/relationships/hyperlink" Id="rId79" Target="https://pubmed.ncbi.nlm.nih.gov/38602164/" TargetMode="External" /><Relationship Type="http://schemas.openxmlformats.org/officeDocument/2006/relationships/hyperlink" Id="rId105" Target="https://pubmed.ncbi.nlm.nih.gov/38876637/" TargetMode="External" /><Relationship Type="http://schemas.openxmlformats.org/officeDocument/2006/relationships/hyperlink" Id="rId124" Target="https://pubmed.ncbi.nlm.nih.gov/39063585/" TargetMode="External" /><Relationship Type="http://schemas.openxmlformats.org/officeDocument/2006/relationships/hyperlink" Id="rId66" Target="https://pubmed.ncbi.nlm.nih.gov/39529589/" TargetMode="External" /><Relationship Type="http://schemas.openxmlformats.org/officeDocument/2006/relationships/hyperlink" Id="rId94" Target="https://pubmed.ncbi.nlm.nih.gov/39920074/" TargetMode="External" /><Relationship Type="http://schemas.openxmlformats.org/officeDocument/2006/relationships/hyperlink" Id="rId126" Target="https://pubmed.ncbi.nlm.nih.gov/9777544/" TargetMode="External" /><Relationship Type="http://schemas.openxmlformats.org/officeDocument/2006/relationships/hyperlink" Id="rId68" Target="https://www.ncbi.nlm.nih.gov/books/NBK559244/" TargetMode="External" /></Relationships>
</file>

<file path=word/_rels/footnotes.xml.rels><?xml version="1.0" encoding="UTF-8"?><Relationships xmlns="http://schemas.openxmlformats.org/package/2006/relationships"><Relationship Type="http://schemas.openxmlformats.org/officeDocument/2006/relationships/hyperlink" Id="rId99" Target="https://pubmed.ncbi.nlm.nih.gov/10412993/" TargetMode="External" /><Relationship Type="http://schemas.openxmlformats.org/officeDocument/2006/relationships/hyperlink" Id="rId91" Target="https://pubmed.ncbi.nlm.nih.gov/10651597/" TargetMode="External" /><Relationship Type="http://schemas.openxmlformats.org/officeDocument/2006/relationships/hyperlink" Id="rId69" Target="https://pubmed.ncbi.nlm.nih.gov/1112851/" TargetMode="External" /><Relationship Type="http://schemas.openxmlformats.org/officeDocument/2006/relationships/hyperlink" Id="rId84" Target="https://pubmed.ncbi.nlm.nih.gov/14734335/" TargetMode="External" /><Relationship Type="http://schemas.openxmlformats.org/officeDocument/2006/relationships/hyperlink" Id="rId81" Target="https://pubmed.ncbi.nlm.nih.gov/15722287/" TargetMode="External" /><Relationship Type="http://schemas.openxmlformats.org/officeDocument/2006/relationships/hyperlink" Id="rId76" Target="https://pubmed.ncbi.nlm.nih.gov/15986358/" TargetMode="External" /><Relationship Type="http://schemas.openxmlformats.org/officeDocument/2006/relationships/hyperlink" Id="rId100" Target="https://pubmed.ncbi.nlm.nih.gov/16436942/" TargetMode="External" /><Relationship Type="http://schemas.openxmlformats.org/officeDocument/2006/relationships/hyperlink" Id="rId89" Target="https://pubmed.ncbi.nlm.nih.gov/18952682/" TargetMode="External" /><Relationship Type="http://schemas.openxmlformats.org/officeDocument/2006/relationships/hyperlink" Id="rId127" Target="https://pubmed.ncbi.nlm.nih.gov/20075147/" TargetMode="External" /><Relationship Type="http://schemas.openxmlformats.org/officeDocument/2006/relationships/hyperlink" Id="rId85" Target="https://pubmed.ncbi.nlm.nih.gov/20118526/" TargetMode="External" /><Relationship Type="http://schemas.openxmlformats.org/officeDocument/2006/relationships/hyperlink" Id="rId106" Target="https://pubmed.ncbi.nlm.nih.gov/20436239/" TargetMode="External" /><Relationship Type="http://schemas.openxmlformats.org/officeDocument/2006/relationships/hyperlink" Id="rId75" Target="https://pubmed.ncbi.nlm.nih.gov/20511608/" TargetMode="External" /><Relationship Type="http://schemas.openxmlformats.org/officeDocument/2006/relationships/hyperlink" Id="rId83" Target="https://pubmed.ncbi.nlm.nih.gov/21717597/" TargetMode="External" /><Relationship Type="http://schemas.openxmlformats.org/officeDocument/2006/relationships/hyperlink" Id="rId78" Target="https://pubmed.ncbi.nlm.nih.gov/21765220/" TargetMode="External" /><Relationship Type="http://schemas.openxmlformats.org/officeDocument/2006/relationships/hyperlink" Id="rId96" Target="https://pubmed.ncbi.nlm.nih.gov/22027216/" TargetMode="External" /><Relationship Type="http://schemas.openxmlformats.org/officeDocument/2006/relationships/hyperlink" Id="rId115" Target="https://pubmed.ncbi.nlm.nih.gov/22064608/" TargetMode="External" /><Relationship Type="http://schemas.openxmlformats.org/officeDocument/2006/relationships/hyperlink" Id="rId72" Target="https://pubmed.ncbi.nlm.nih.gov/22100617/" TargetMode="External" /><Relationship Type="http://schemas.openxmlformats.org/officeDocument/2006/relationships/hyperlink" Id="rId111" Target="https://pubmed.ncbi.nlm.nih.gov/22488227/" TargetMode="External" /><Relationship Type="http://schemas.openxmlformats.org/officeDocument/2006/relationships/hyperlink" Id="rId101" Target="https://pubmed.ncbi.nlm.nih.gov/2252096/" TargetMode="External" /><Relationship Type="http://schemas.openxmlformats.org/officeDocument/2006/relationships/hyperlink" Id="rId102" Target="https://pubmed.ncbi.nlm.nih.gov/22552616/" TargetMode="External" /><Relationship Type="http://schemas.openxmlformats.org/officeDocument/2006/relationships/hyperlink" Id="rId71" Target="https://pubmed.ncbi.nlm.nih.gov/22637208/" TargetMode="External" /><Relationship Type="http://schemas.openxmlformats.org/officeDocument/2006/relationships/hyperlink" Id="rId97" Target="https://pubmed.ncbi.nlm.nih.gov/22917625/" TargetMode="External" /><Relationship Type="http://schemas.openxmlformats.org/officeDocument/2006/relationships/hyperlink" Id="rId109" Target="https://pubmed.ncbi.nlm.nih.gov/22945929/" TargetMode="External" /><Relationship Type="http://schemas.openxmlformats.org/officeDocument/2006/relationships/hyperlink" Id="rId116" Target="https://pubmed.ncbi.nlm.nih.gov/23182020/" TargetMode="External" /><Relationship Type="http://schemas.openxmlformats.org/officeDocument/2006/relationships/hyperlink" Id="rId70" Target="https://pubmed.ncbi.nlm.nih.gov/23203672/" TargetMode="External" /><Relationship Type="http://schemas.openxmlformats.org/officeDocument/2006/relationships/hyperlink" Id="rId67" Target="https://pubmed.ncbi.nlm.nih.gov/23274607/" TargetMode="External" /><Relationship Type="http://schemas.openxmlformats.org/officeDocument/2006/relationships/hyperlink" Id="rId92" Target="https://pubmed.ncbi.nlm.nih.gov/23313532/" TargetMode="External" /><Relationship Type="http://schemas.openxmlformats.org/officeDocument/2006/relationships/hyperlink" Id="rId113" Target="https://pubmed.ncbi.nlm.nih.gov/23508216/" TargetMode="External" /><Relationship Type="http://schemas.openxmlformats.org/officeDocument/2006/relationships/hyperlink" Id="rId82" Target="https://pubmed.ncbi.nlm.nih.gov/23766439/" TargetMode="External" /><Relationship Type="http://schemas.openxmlformats.org/officeDocument/2006/relationships/hyperlink" Id="rId128" Target="https://pubmed.ncbi.nlm.nih.gov/24065013/" TargetMode="External" /><Relationship Type="http://schemas.openxmlformats.org/officeDocument/2006/relationships/hyperlink" Id="rId73" Target="https://pubmed.ncbi.nlm.nih.gov/24687010/" TargetMode="External" /><Relationship Type="http://schemas.openxmlformats.org/officeDocument/2006/relationships/hyperlink" Id="rId88" Target="https://pubmed.ncbi.nlm.nih.gov/25365133/" TargetMode="External" /><Relationship Type="http://schemas.openxmlformats.org/officeDocument/2006/relationships/hyperlink" Id="rId95" Target="https://pubmed.ncbi.nlm.nih.gov/25603546/" TargetMode="External" /><Relationship Type="http://schemas.openxmlformats.org/officeDocument/2006/relationships/hyperlink" Id="rId118" Target="https://pubmed.ncbi.nlm.nih.gov/25716151/" TargetMode="External" /><Relationship Type="http://schemas.openxmlformats.org/officeDocument/2006/relationships/hyperlink" Id="rId108" Target="https://pubmed.ncbi.nlm.nih.gov/26065679/" TargetMode="External" /><Relationship Type="http://schemas.openxmlformats.org/officeDocument/2006/relationships/hyperlink" Id="rId77" Target="https://pubmed.ncbi.nlm.nih.gov/26175019/" TargetMode="External" /><Relationship Type="http://schemas.openxmlformats.org/officeDocument/2006/relationships/hyperlink" Id="rId98" Target="https://pubmed.ncbi.nlm.nih.gov/26792702/" TargetMode="External" /><Relationship Type="http://schemas.openxmlformats.org/officeDocument/2006/relationships/hyperlink" Id="rId80" Target="https://pubmed.ncbi.nlm.nih.gov/26867936/" TargetMode="External" /><Relationship Type="http://schemas.openxmlformats.org/officeDocument/2006/relationships/hyperlink" Id="rId119" Target="https://pubmed.ncbi.nlm.nih.gov/28320733/" TargetMode="External" /><Relationship Type="http://schemas.openxmlformats.org/officeDocument/2006/relationships/hyperlink" Id="rId125" Target="https://pubmed.ncbi.nlm.nih.gov/28882509/" TargetMode="External" /><Relationship Type="http://schemas.openxmlformats.org/officeDocument/2006/relationships/hyperlink" Id="rId112" Target="https://pubmed.ncbi.nlm.nih.gov/29220355/" TargetMode="External" /><Relationship Type="http://schemas.openxmlformats.org/officeDocument/2006/relationships/hyperlink" Id="rId123" Target="https://pubmed.ncbi.nlm.nih.gov/29308698/" TargetMode="External" /><Relationship Type="http://schemas.openxmlformats.org/officeDocument/2006/relationships/hyperlink" Id="rId74" Target="https://pubmed.ncbi.nlm.nih.gov/30242107/" TargetMode="External" /><Relationship Type="http://schemas.openxmlformats.org/officeDocument/2006/relationships/hyperlink" Id="rId117" Target="https://pubmed.ncbi.nlm.nih.gov/31095417/" TargetMode="External" /><Relationship Type="http://schemas.openxmlformats.org/officeDocument/2006/relationships/hyperlink" Id="rId90" Target="https://pubmed.ncbi.nlm.nih.gov/32452284/" TargetMode="External" /><Relationship Type="http://schemas.openxmlformats.org/officeDocument/2006/relationships/hyperlink" Id="rId103" Target="https://pubmed.ncbi.nlm.nih.gov/33333491/" TargetMode="External" /><Relationship Type="http://schemas.openxmlformats.org/officeDocument/2006/relationships/hyperlink" Id="rId104" Target="https://pubmed.ncbi.nlm.nih.gov/33373976/" TargetMode="External" /><Relationship Type="http://schemas.openxmlformats.org/officeDocument/2006/relationships/hyperlink" Id="rId114" Target="https://pubmed.ncbi.nlm.nih.gov/33974577/" TargetMode="External" /><Relationship Type="http://schemas.openxmlformats.org/officeDocument/2006/relationships/hyperlink" Id="rId86" Target="https://pubmed.ncbi.nlm.nih.gov/34268014/" TargetMode="External" /><Relationship Type="http://schemas.openxmlformats.org/officeDocument/2006/relationships/hyperlink" Id="rId87" Target="https://pubmed.ncbi.nlm.nih.gov/34300118/" TargetMode="External" /><Relationship Type="http://schemas.openxmlformats.org/officeDocument/2006/relationships/hyperlink" Id="rId110" Target="https://pubmed.ncbi.nlm.nih.gov/35078149/" TargetMode="External" /><Relationship Type="http://schemas.openxmlformats.org/officeDocument/2006/relationships/hyperlink" Id="rId129" Target="https://pubmed.ncbi.nlm.nih.gov/35128941/" TargetMode="External" /><Relationship Type="http://schemas.openxmlformats.org/officeDocument/2006/relationships/hyperlink" Id="rId121" Target="https://pubmed.ncbi.nlm.nih.gov/35710214/" TargetMode="External" /><Relationship Type="http://schemas.openxmlformats.org/officeDocument/2006/relationships/hyperlink" Id="rId93" Target="https://pubmed.ncbi.nlm.nih.gov/35768802/" TargetMode="External" /><Relationship Type="http://schemas.openxmlformats.org/officeDocument/2006/relationships/hyperlink" Id="rId122" Target="https://pubmed.ncbi.nlm.nih.gov/37068162/" TargetMode="External" /><Relationship Type="http://schemas.openxmlformats.org/officeDocument/2006/relationships/hyperlink" Id="rId120" Target="https://pubmed.ncbi.nlm.nih.gov/37354454/" TargetMode="External" /><Relationship Type="http://schemas.openxmlformats.org/officeDocument/2006/relationships/hyperlink" Id="rId107" Target="https://pubmed.ncbi.nlm.nih.gov/37610697/" TargetMode="External" /><Relationship Type="http://schemas.openxmlformats.org/officeDocument/2006/relationships/hyperlink" Id="rId79" Target="https://pubmed.ncbi.nlm.nih.gov/38602164/" TargetMode="External" /><Relationship Type="http://schemas.openxmlformats.org/officeDocument/2006/relationships/hyperlink" Id="rId105" Target="https://pubmed.ncbi.nlm.nih.gov/38876637/" TargetMode="External" /><Relationship Type="http://schemas.openxmlformats.org/officeDocument/2006/relationships/hyperlink" Id="rId124" Target="https://pubmed.ncbi.nlm.nih.gov/39063585/" TargetMode="External" /><Relationship Type="http://schemas.openxmlformats.org/officeDocument/2006/relationships/hyperlink" Id="rId66" Target="https://pubmed.ncbi.nlm.nih.gov/39529589/" TargetMode="External" /><Relationship Type="http://schemas.openxmlformats.org/officeDocument/2006/relationships/hyperlink" Id="rId94" Target="https://pubmed.ncbi.nlm.nih.gov/39920074/" TargetMode="External" /><Relationship Type="http://schemas.openxmlformats.org/officeDocument/2006/relationships/hyperlink" Id="rId126" Target="https://pubmed.ncbi.nlm.nih.gov/9777544/" TargetMode="External" /><Relationship Type="http://schemas.openxmlformats.org/officeDocument/2006/relationships/hyperlink" Id="rId68" Target="https://www.ncbi.nlm.nih.gov/books/NBK5592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Valgismo</dc:title>
  <dc:creator>Mobilitas — Direzione Osteopatica</dc:creator>
  <dc:language>it-IT</dc:language>
  <cp:keywords/>
  <dcterms:created xsi:type="dcterms:W3CDTF">2026-08-26T18:24:34Z</dcterms:created>
  <dcterms:modified xsi:type="dcterms:W3CDTF">2026-08-26T18:24:34Z</dcterms:modified>
</cp:coreProperties>
</file>

<file path=docProps/custom.xml><?xml version="1.0" encoding="utf-8"?>
<Properties xmlns="http://schemas.openxmlformats.org/officeDocument/2006/custom-properties" xmlns:vt="http://schemas.openxmlformats.org/officeDocument/2006/docPropsVTypes"/>
</file>