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valgismo"/>
    <w:p>
      <w:pPr>
        <w:pStyle w:val="Heading1"/>
      </w:pPr>
      <w:r>
        <w:t xml:space="preserve">Mappa concettuale — Valgismo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Christopher M. Powers, USC (il ginocchio comandato da sopra)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Bergmann, Kutzner e Halder, Charité di Berlino (il carico misurato dentro il ginocchio) ·</w:t>
      </w:r>
      <w:r>
        <w:t xml:space="preserve"> </w:t>
      </w:r>
      <w:r>
        <w:rPr>
          <w:b/>
          <w:bCs/>
        </w:rPr>
        <w:t xml:space="preserve">v7 finale · 26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1. La condizione in tre righe</w:t>
      </w:r>
    </w:p>
    <w:p>
      <w:pPr>
        <w:pStyle w:val="FirstParagraph"/>
      </w:pPr>
      <w:r>
        <w:t xml:space="preserve">Allineamento della gamba angolato verso l’interno. Sotto lo stesso nome ci sono due grandezze diverse: la forma dell’osso e il crollo sotto carico.</w:t>
      </w:r>
      <w:r>
        <w:t xml:space="preserve"> </w:t>
      </w:r>
      <w:r>
        <w:t xml:space="preserve">Nel bambino è una tappa: massimo a 3-4 anni, rientro a 3-5 gradi verso i 7. Oltre i 7, o unilaterale, è un invio.</w:t>
      </w:r>
      <w:r>
        <w:t xml:space="preserve"> </w:t>
      </w:r>
      <w:r>
        <w:t xml:space="preserve">Nell’adulto la forma resta. Fra il 17% e il 23% delle ginocchia sono valghe in due coorti di anziani con artrosi o a rischio — ma è una soglia strumentale (asse meccanico oltre 1,1 gradi), non le «gambe a X» che il paziente porta.</w:t>
      </w:r>
    </w:p>
    <w:bookmarkEnd w:id="9"/>
    <w:bookmarkStart w:id="10" w:name="la-catena-causale"/>
    <w:p>
      <w:pPr>
        <w:pStyle w:val="Heading2"/>
      </w:pPr>
      <w:r>
        <w:t xml:space="preserve">2. La catena causale</w:t>
      </w:r>
    </w:p>
    <w:p>
      <w:pPr>
        <w:pStyle w:val="FirstParagraph"/>
      </w:pPr>
      <w:r>
        <w:rPr>
          <w:rStyle w:val="VerbatimChar"/>
        </w:rPr>
        <w:t xml:space="preserve">gluteo che non partecipa in appoggio → femore ruota dentro e si adduce → ginocchio va dentro sotto carico → carico si sposta sul compartimento esterno → migliaia di ripetizioni al giorno → dolore laterale, cedimento, sintomo dopo la corsa</w:t>
      </w:r>
    </w:p>
    <w:p>
      <w:pPr>
        <w:pStyle w:val="BodyText"/>
      </w:pPr>
      <w:r>
        <w:rPr>
          <w:b/>
          <w:bCs/>
        </w:rPr>
        <w:t xml:space="preserve">Ramo parallelo:</w:t>
      </w:r>
      <w:r>
        <w:t xml:space="preserve"> </w:t>
      </w:r>
      <w:r>
        <w:rPr>
          <w:rStyle w:val="VerbatimChar"/>
        </w:rPr>
        <w:t xml:space="preserve">caviglia che parte da meno estensione → il movimento si sposta sulla rotazione → tibia e femore ruotano dentro → stesso punto d'arrivo</w:t>
      </w:r>
    </w:p>
    <w:p>
      <w:pPr>
        <w:pStyle w:val="BlockText"/>
      </w:pPr>
      <w:r>
        <w:rPr>
          <w:b/>
          <w:bCs/>
        </w:rPr>
        <w:t xml:space="preserve">Quanto è solido:</w:t>
      </w:r>
      <w:r>
        <w:t xml:space="preserve"> </w:t>
      </w:r>
      <w:r>
        <w:t xml:space="preserve">l’etichetta si spezza.</w:t>
      </w:r>
      <w:r>
        <w:t xml:space="preserve"> </w:t>
      </w:r>
      <w:r>
        <w:rPr>
          <w:b/>
          <w:bCs/>
        </w:rPr>
        <w:t xml:space="preserve">DIMOSTRATO/PROBABILE</w:t>
      </w:r>
      <w:r>
        <w:t xml:space="preserve"> </w:t>
      </w:r>
      <w:r>
        <w:t xml:space="preserve">i singoli anelli misurati.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il nesso causale in</w:t>
      </w:r>
      <w:r>
        <w:t xml:space="preserve"> </w:t>
      </w:r>
      <w:r>
        <w:rPr>
          <w:i/>
          <w:iCs/>
        </w:rPr>
        <w:t xml:space="preserve">questo</w:t>
      </w:r>
      <w:r>
        <w:t xml:space="preserve"> </w:t>
      </w:r>
      <w:r>
        <w:t xml:space="preserve">paziente. E la debolezza d’anca è più probabilmente una</w:t>
      </w:r>
      <w:r>
        <w:t xml:space="preserve"> </w:t>
      </w:r>
      <w:r>
        <w:rPr>
          <w:b/>
          <w:bCs/>
        </w:rPr>
        <w:t xml:space="preserve">conseguenza</w:t>
      </w:r>
      <w:r>
        <w:t xml:space="preserve"> </w:t>
      </w:r>
      <w:r>
        <w:t xml:space="preserve">del dolore che la sua causa (Rathleff 2014; Neal 2019).</w:t>
      </w:r>
    </w:p>
    <w:bookmarkEnd w:id="10"/>
    <w:bookmarkStart w:id="11" w:name="i-meccanismi-e-quanto-sono-solidi"/>
    <w:p>
      <w:pPr>
        <w:pStyle w:val="Heading2"/>
      </w:pPr>
      <w:r>
        <w:t xml:space="preserve">3. I meccanismi e quanto sono solidi</w:t>
      </w:r>
    </w:p>
    <w:p>
      <w:pPr>
        <w:pStyle w:val="FirstParagraph"/>
      </w:pPr>
      <w:r>
        <w:rPr>
          <w:b/>
          <w:bCs/>
        </w:rPr>
        <w:t xml:space="preserve">L’ordine è didattico, non gerarchico.</w:t>
      </w:r>
      <w:r>
        <w:t xml:space="preserve"> </w:t>
      </w:r>
      <w:r>
        <w:t xml:space="preserve">Il più solido è il quarto; il più frequente in stanza è il secondo.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 con cui sei arrivato</w:t>
            </w:r>
          </w:p>
        </w:tc>
        <w:tc>
          <w:tcPr/>
          <w:p>
            <w:pPr>
              <w:pStyle w:val="Compact"/>
            </w:pPr>
            <w:r>
              <w:t xml:space="preserve">Simmetrico, da sempre, anche in scarico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ginocchio obbedisce all’anca</w:t>
            </w:r>
          </w:p>
        </w:tc>
        <w:tc>
          <w:tcPr/>
          <w:p>
            <w:pPr>
              <w:pStyle w:val="Compact"/>
            </w:pPr>
            <w:r>
              <w:t xml:space="preserve">Crollo allo step-down, asimmetrico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caviglia che non si apre</w:t>
            </w:r>
          </w:p>
        </w:tc>
        <w:tc>
          <w:tcPr/>
          <w:p>
            <w:pPr>
              <w:pStyle w:val="Compact"/>
            </w:pPr>
            <w:r>
              <w:t xml:space="preserve">Affondo al muro ridotto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carico che si sposta</w:t>
            </w:r>
          </w:p>
        </w:tc>
        <w:tc>
          <w:tcPr/>
          <w:p>
            <w:pPr>
              <w:pStyle w:val="Compact"/>
            </w:pPr>
            <w:r>
              <w:t xml:space="preserve">Dolore laterale, consumo asimmetrico</w:t>
            </w:r>
          </w:p>
        </w:tc>
        <w:tc>
          <w:tcPr/>
          <w:p>
            <w:pPr>
              <w:pStyle w:val="Compact"/>
            </w:pPr>
            <w:r>
              <w:t xml:space="preserve">DIMOSTRATO /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conto delle ripetizioni</w:t>
            </w:r>
          </w:p>
        </w:tc>
        <w:tc>
          <w:tcPr/>
          <w:p>
            <w:pPr>
              <w:pStyle w:val="Compact"/>
            </w:pPr>
            <w:r>
              <w:t xml:space="preserve">Sintomo con orologio e contatore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verso del carico:</w:t>
      </w:r>
      <w:r>
        <w:t xml:space="preserve"> </w:t>
      </w:r>
      <w:r>
        <w:t xml:space="preserve">misurato per il</w:t>
      </w:r>
      <w:r>
        <w:t xml:space="preserve"> </w:t>
      </w:r>
      <w:r>
        <w:rPr>
          <w:b/>
          <w:bCs/>
        </w:rPr>
        <w:t xml:space="preserve">varo</w:t>
      </w:r>
      <w:r>
        <w:t xml:space="preserve"> </w:t>
      </w:r>
      <w:r>
        <w:t xml:space="preserve">verso il</w:t>
      </w:r>
      <w:r>
        <w:t xml:space="preserve"> </w:t>
      </w:r>
      <w:r>
        <w:rPr>
          <w:b/>
          <w:bCs/>
        </w:rPr>
        <w:t xml:space="preserve">mediale</w:t>
      </w:r>
      <w:r>
        <w:t xml:space="preserve"> </w:t>
      </w:r>
      <w:r>
        <w:t xml:space="preserve">(5% per grado, protesi strumentate); nel valgo è simmetria dedotta. Il valgismo</w:t>
      </w:r>
      <w:r>
        <w:t xml:space="preserve"> </w:t>
      </w:r>
      <w:r>
        <w:rPr>
          <w:b/>
          <w:bCs/>
        </w:rPr>
        <w:t xml:space="preserve">comprime</w:t>
      </w:r>
      <w:r>
        <w:t xml:space="preserve"> </w:t>
      </w:r>
      <w:r>
        <w:t xml:space="preserve">il compartimento esterno e mette in</w:t>
      </w:r>
      <w:r>
        <w:t xml:space="preserve"> </w:t>
      </w:r>
      <w:r>
        <w:rPr>
          <w:b/>
          <w:bCs/>
        </w:rPr>
        <w:t xml:space="preserve">tensione</w:t>
      </w:r>
      <w:r>
        <w:t xml:space="preserve"> </w:t>
      </w:r>
      <w:r>
        <w:t xml:space="preserve">le strutture mediali. Il dolore dentro è atteso, e cambia solo quale tessuto cerchi.</w:t>
      </w:r>
    </w:p>
    <w:bookmarkEnd w:id="11"/>
    <w:bookmarkStart w:id="12" w:name="i-sottotipi-e-chi-comanda"/>
    <w:p>
      <w:pPr>
        <w:pStyle w:val="Heading2"/>
      </w:pPr>
      <w:r>
        <w:t xml:space="preserve">4.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Dinamico da controllo d’anca</w:t>
            </w:r>
          </w:p>
        </w:tc>
        <w:tc>
          <w:tcPr/>
          <w:p>
            <w:pPr>
              <w:pStyle w:val="Compact"/>
            </w:pPr>
            <w:r>
              <w:t xml:space="preserve">Crollo allo step-down, asimmetrico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Dinamico da caviglia corta</w:t>
            </w:r>
          </w:p>
        </w:tc>
        <w:tc>
          <w:tcPr/>
          <w:p>
            <w:pPr>
              <w:pStyle w:val="Compact"/>
            </w:pPr>
            <w:r>
              <w:t xml:space="preserve">Affondo al muro ridotto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eccesso di libertà</w:t>
            </w:r>
          </w:p>
        </w:tc>
        <w:tc>
          <w:tcPr/>
          <w:p>
            <w:pPr>
              <w:pStyle w:val="Compact"/>
            </w:pPr>
            <w:r>
              <w:t xml:space="preserve">Rotazione interna d’anca &gt;&gt; esterna, o lassità</w:t>
            </w:r>
          </w:p>
        </w:tc>
        <w:tc>
          <w:tcPr/>
          <w:p>
            <w:pPr>
              <w:pStyle w:val="Compact"/>
            </w:pPr>
            <w:r>
              <w:t xml:space="preserve">Poco sull’escursione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Strutturale dell’adulto</w:t>
            </w:r>
          </w:p>
        </w:tc>
        <w:tc>
          <w:tcPr/>
          <w:p>
            <w:pPr>
              <w:pStyle w:val="Compact"/>
            </w:pPr>
            <w:r>
              <w:t xml:space="preserve">Deviazione anche in scarico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dolore a distribuzione nociplastica</w:t>
            </w:r>
          </w:p>
        </w:tc>
        <w:tc>
          <w:tcPr/>
          <w:p>
            <w:pPr>
              <w:pStyle w:val="Compact"/>
            </w:pPr>
            <w:r>
              <w:t xml:space="preserve">Dolore regionale a riposo, oltre tre mesi</w:t>
            </w:r>
          </w:p>
        </w:tc>
        <w:tc>
          <w:tcPr/>
          <w:p>
            <w:pPr>
              <w:pStyle w:val="Compact"/>
            </w:pPr>
            <w:r>
              <w:t xml:space="preserve">Molto, non sul piano 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Incidentale asintomatico</w:t>
            </w:r>
          </w:p>
        </w:tc>
        <w:tc>
          <w:tcPr/>
          <w:p>
            <w:pPr>
              <w:pStyle w:val="Compact"/>
            </w:pPr>
            <w:r>
              <w:t xml:space="preserve">Gambe a X, nessun sintomo</w:t>
            </w:r>
          </w:p>
        </w:tc>
        <w:tc>
          <w:tcPr/>
          <w:p>
            <w:pPr>
              <w:pStyle w:val="Compact"/>
            </w:pPr>
            <w:r>
              <w:t xml:space="preserve">Niente da trattare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Cancello: età evolutiva fuori norma</w:t>
            </w:r>
          </w:p>
        </w:tc>
        <w:tc>
          <w:tcPr/>
          <w:p>
            <w:pPr>
              <w:pStyle w:val="Compact"/>
            </w:pPr>
            <w:r>
              <w:t xml:space="preserve">Oltre 7 anni, o unilaterale</w:t>
            </w:r>
          </w:p>
        </w:tc>
        <w:tc>
          <w:tcPr/>
          <w:p>
            <w:pPr>
              <w:pStyle w:val="Compact"/>
            </w:pPr>
            <w:r>
              <w:t xml:space="preserve">Niente finché l’ortopedico non parla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Cancello: valgo acquisito dell’adulto</w:t>
            </w:r>
          </w:p>
        </w:tc>
        <w:tc>
          <w:tcPr/>
          <w:p>
            <w:pPr>
              <w:pStyle w:val="Compact"/>
            </w:pPr>
            <w:r>
              <w:t xml:space="preserve">Non c’è nelle foto di vent’anni fa</w:t>
            </w:r>
          </w:p>
        </w:tc>
        <w:tc>
          <w:tcPr/>
          <w:p>
            <w:pPr>
              <w:pStyle w:val="Compact"/>
            </w:pPr>
            <w:r>
              <w:t xml:space="preserve">Niente, inquadramento prima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Cancello: valgo secondario</w:t>
            </w:r>
          </w:p>
        </w:tc>
        <w:tc>
          <w:tcPr/>
          <w:p>
            <w:pPr>
              <w:pStyle w:val="Compact"/>
            </w:pPr>
            <w:r>
              <w:t xml:space="preserve">Comparso dopo trauma o malattia</w:t>
            </w:r>
          </w:p>
        </w:tc>
        <w:tc>
          <w:tcPr/>
          <w:p>
            <w:pPr>
              <w:pStyle w:val="Compact"/>
            </w:pPr>
            <w:r>
              <w:t xml:space="preserve">Niente, invio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colonna non è il sistema dominante.</w:t>
      </w:r>
      <w:r>
        <w:t xml:space="preserve"> </w:t>
      </w:r>
      <w:r>
        <w:t xml:space="preserve">Il pattern dice dove la gamba cede; il dominante dice quale piano sta consumando il</w:t>
      </w:r>
      <w:r>
        <w:t xml:space="preserve"> </w:t>
      </w:r>
      <w:r>
        <w:rPr>
          <w:b/>
          <w:bCs/>
        </w:rPr>
        <w:t xml:space="preserve">compenso</w:t>
      </w:r>
      <w:r>
        <w:t xml:space="preserve"> </w:t>
      </w:r>
      <w:r>
        <w:t xml:space="preserve">di</w:t>
      </w:r>
      <w:r>
        <w:t xml:space="preserve"> </w:t>
      </w:r>
      <w:r>
        <w:rPr>
          <w:i/>
          <w:iCs/>
        </w:rPr>
        <w:t xml:space="preserve">questo</w:t>
      </w:r>
      <w:r>
        <w:t xml:space="preserve"> </w:t>
      </w:r>
      <w:r>
        <w:t xml:space="preserve">paziente. Nel valgo strutturale è quasi sempre il</w:t>
      </w:r>
      <w:r>
        <w:t xml:space="preserve"> </w:t>
      </w:r>
      <w:r>
        <w:rPr>
          <w:b/>
          <w:bCs/>
        </w:rPr>
        <w:t xml:space="preserve">carico</w:t>
      </w:r>
      <w:r>
        <w:t xml:space="preserve">.</w:t>
      </w:r>
    </w:p>
    <w:bookmarkEnd w:id="12"/>
    <w:bookmarkStart w:id="13" w:name="cosa-fa-il-paziente-da-solo"/>
    <w:p>
      <w:pPr>
        <w:pStyle w:val="Heading2"/>
      </w:pPr>
      <w:r>
        <w:t xml:space="preserve">5. Cosa fa il paziente da solo</w:t>
      </w:r>
    </w:p>
    <w:p>
      <w:pPr>
        <w:pStyle w:val="FirstParagraph"/>
      </w:pPr>
      <w:r>
        <w:t xml:space="preserve">Controllo del gesto su una gamba sola · rinforzo di glutei e rotatori esterni · mobilità di caviglia · gestione del carico nella giornata.</w:t>
      </w:r>
      <w:r>
        <w:t xml:space="preserve"> </w:t>
      </w:r>
      <w:r>
        <w:t xml:space="preserve">È la leva con le prove migliori del documento. Il rischio di rottura del crociato scende a 0,36 in 11 studi randomizzati su 16.316</w:t>
      </w:r>
      <w:r>
        <w:t xml:space="preserve"> </w:t>
      </w:r>
      <w:r>
        <w:rPr>
          <w:b/>
          <w:bCs/>
        </w:rPr>
        <w:t xml:space="preserve">atleti</w:t>
      </w:r>
      <w:r>
        <w:t xml:space="preserve">, con 71 persone da allenare per evitarne una:</w:t>
      </w:r>
      <w:r>
        <w:t xml:space="preserve"> </w:t>
      </w:r>
      <w:r>
        <w:rPr>
          <w:b/>
          <w:bCs/>
        </w:rPr>
        <w:t xml:space="preserve">dato di popolazione, non promessa individuale</w:t>
      </w:r>
      <w:r>
        <w:t xml:space="preserve">. E appartiene a chi il programma lo fa davvero — dove l’aderenza era alta l’incidenza era molto più bassa (rapporto fra i tassi 0,27).</w:t>
      </w:r>
      <w:r>
        <w:t xml:space="preserve"> </w:t>
      </w:r>
      <w:r>
        <w:t xml:space="preserve">Da due a dieci settimane perché qualcosa si muova. Non raddrizza la gamba, la forza da sola non entra nel gesto, e il guadagno dura quanto è durato il programma.</w:t>
      </w:r>
    </w:p>
    <w:bookmarkEnd w:id="13"/>
    <w:bookmarkStart w:id="14" w:name="le-bandiere-rosse"/>
    <w:p>
      <w:pPr>
        <w:pStyle w:val="Heading2"/>
      </w:pPr>
      <w:r>
        <w:t xml:space="preserve">6. Le bandiere rosse</w:t>
      </w:r>
    </w:p>
    <w:p>
      <w:pPr>
        <w:pStyle w:val="Compact"/>
        <w:numPr>
          <w:ilvl w:val="0"/>
          <w:numId w:val="1001"/>
        </w:numPr>
      </w:pPr>
      <w:r>
        <w:t xml:space="preserve">Ginocchio caldo, rosso, gonfio con febbre → pronto soccorso →</w:t>
      </w:r>
      <w:r>
        <w:t xml:space="preserve"> </w:t>
      </w:r>
      <w:r>
        <w:rPr>
          <w:b/>
          <w:bCs/>
        </w:rPr>
        <w:t xml:space="preserve">Urgente, in giornata</w:t>
      </w:r>
    </w:p>
    <w:p>
      <w:pPr>
        <w:pStyle w:val="Compact"/>
        <w:numPr>
          <w:ilvl w:val="0"/>
          <w:numId w:val="1001"/>
        </w:numPr>
      </w:pPr>
      <w:r>
        <w:t xml:space="preserve">Trauma con</w:t>
      </w:r>
      <w:r>
        <w:t xml:space="preserve"> </w:t>
      </w:r>
      <w:r>
        <w:rPr>
          <w:b/>
          <w:bCs/>
        </w:rPr>
        <w:t xml:space="preserve">almeno uno</w:t>
      </w:r>
      <w:r>
        <w:t xml:space="preserve"> </w:t>
      </w:r>
      <w:r>
        <w:t xml:space="preserve">dei cinque criteri di Ottawa (≥55 anni · dolorabilità isolata della rotula · dolorabilità della testa del perone · non flette a 90° · non carica per quattro passi) → pronto soccorso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rPr>
          <w:i/>
          <w:iCs/>
        </w:rPr>
        <w:t xml:space="preserve">(ne basta uno: sensibilità 98,5% solo se applicata così)</w:t>
      </w:r>
    </w:p>
    <w:p>
      <w:pPr>
        <w:pStyle w:val="Compact"/>
        <w:numPr>
          <w:ilvl w:val="0"/>
          <w:numId w:val="1001"/>
        </w:numPr>
      </w:pPr>
      <w:r>
        <w:t xml:space="preserve">Blocco vero, non estende né flette → ortopedico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Polpaccio dolente, gonfio da un lato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Dolore notturno a riposo, calo di peso → curante, poi ortopedico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Minore con dolore a ginocchio o coscia, zoppia, rotazione interna d’anca ridotta</w:t>
      </w:r>
      <w:r>
        <w:t xml:space="preserve"> </w:t>
      </w:r>
      <w:r>
        <w:t xml:space="preserve">→ ortopedico pediatrico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Ginocchio gonfio senza febbre, rigidità mattutina oltre 30 minuti</w:t>
      </w:r>
      <w:r>
        <w:t xml:space="preserve"> </w:t>
      </w:r>
      <w:r>
        <w:t xml:space="preserve">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Dolore inguinale o profondo d’anca dopo aumento del volume di corsa</w:t>
      </w:r>
      <w:r>
        <w:t xml:space="preserve"> </w:t>
      </w:r>
      <w:r>
        <w:t xml:space="preserve">→ curante, poi ortopedico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Dolore mediale improvviso e notturno con versamento, over-60 od osso fragile</w:t>
      </w:r>
      <w:r>
        <w:t xml:space="preserve"> </w:t>
      </w:r>
      <w:r>
        <w:t xml:space="preserve">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Deviazione angolare fuori norma in età evolutiva → ortopedico pediatrico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ROSSO differito</w:t>
      </w:r>
    </w:p>
    <w:p>
      <w:pPr>
        <w:pStyle w:val="Compact"/>
        <w:numPr>
          <w:ilvl w:val="0"/>
          <w:numId w:val="1001"/>
        </w:numPr>
      </w:pPr>
      <w:r>
        <w:t xml:space="preserve">Deviazione comparsa lentamente nell’adulto, assente nelle vecchie foto → curante, poi ortopedico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ROSSO differito</w:t>
      </w:r>
    </w:p>
    <w:p>
      <w:pPr>
        <w:pStyle w:val="Compact"/>
        <w:numPr>
          <w:ilvl w:val="0"/>
          <w:numId w:val="1001"/>
        </w:numPr>
      </w:pPr>
      <w:r>
        <w:t xml:space="preserve">Deviazione comparsa dopo trauma, frattura pediatrica o malattia → ortopedico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ROSSO differito</w:t>
      </w:r>
    </w:p>
    <w:p>
      <w:pPr>
        <w:pStyle w:val="Compact"/>
        <w:numPr>
          <w:ilvl w:val="0"/>
          <w:numId w:val="1001"/>
        </w:numPr>
      </w:pPr>
      <w:r>
        <w:t xml:space="preserve">Episodi in cui la rotula esce, o apprensione rotulea → ortopedico →</w:t>
      </w:r>
      <w:r>
        <w:t xml:space="preserve"> </w:t>
      </w:r>
      <w:r>
        <w:rPr>
          <w:b/>
          <w:bCs/>
        </w:rPr>
        <w:t xml:space="preserve">GIALLO prioritario</w:t>
      </w:r>
    </w:p>
    <w:p>
      <w:pPr>
        <w:pStyle w:val="Compact"/>
        <w:numPr>
          <w:ilvl w:val="0"/>
          <w:numId w:val="1001"/>
        </w:numPr>
      </w:pPr>
      <w:r>
        <w:t xml:space="preserve">Deviazione nuova in poche settimane, adulto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Osso fragile noto o cortisone prolungato → curante →</w:t>
      </w:r>
      <w:r>
        <w:t xml:space="preserve"> </w:t>
      </w:r>
      <w:r>
        <w:rPr>
          <w:b/>
          <w:bCs/>
        </w:rPr>
        <w:t xml:space="preserve">GIALLO prioritario</w:t>
      </w:r>
    </w:p>
    <w:p>
      <w:pPr>
        <w:pStyle w:val="FirstParagraph"/>
      </w:pPr>
      <w:r>
        <w:t xml:space="preserve">Rete, non filtro: una riga presente ti ferma, tutte assenti non escludono niente. I tre ROSSO differito sono i tre cancelli del blocco 4: nessun ciclo finché lo specialista non si è espresso.</w:t>
      </w:r>
    </w:p>
    <w:bookmarkEnd w:id="14"/>
    <w:bookmarkStart w:id="15" w:name="la-sicurezza-del-gesto-in-tre-righe"/>
    <w:p>
      <w:pPr>
        <w:pStyle w:val="Heading2"/>
      </w:pPr>
      <w:r>
        <w:t xml:space="preserve">7. La sicurezza del gesto, in tre righe</w:t>
      </w:r>
    </w:p>
    <w:p>
      <w:pPr>
        <w:pStyle w:val="FirstParagraph"/>
      </w:pPr>
      <w:r>
        <w:rPr>
          <w:b/>
          <w:bCs/>
        </w:rPr>
        <w:t xml:space="preserve">L’anca del paziente in crescita.</w:t>
      </w:r>
      <w:r>
        <w:t xml:space="preserve"> </w:t>
      </w:r>
      <w:r>
        <w:t xml:space="preserve">Questa Bibbia manda a misurare e a mobilizzare l’anca. Ma in un ragazzo con dolore al ginocchio una rotazione interna ridotta o dolorosa non è un reperto disfunzionale: è il segno di un’epifisiolisi finché una radiografia del bacino non dice il contrario.</w:t>
      </w:r>
      <w:r>
        <w:t xml:space="preserve"> </w:t>
      </w:r>
      <w:r>
        <w:rPr>
          <w:b/>
          <w:bCs/>
        </w:rPr>
        <w:t xml:space="preserve">ROSSO.</w:t>
      </w:r>
      <w:r>
        <w:t xml:space="preserve"> </w:t>
      </w:r>
      <w:r>
        <w:rPr>
          <w:b/>
          <w:bCs/>
        </w:rPr>
        <w:t xml:space="preserve">La cartilagine di accrescimento</w:t>
      </w:r>
      <w:r>
        <w:t xml:space="preserve">, attiva: nessuno stress in valgo o varo forzato su quel ginocchio.</w:t>
      </w:r>
      <w:r>
        <w:t xml:space="preserve"> </w:t>
      </w:r>
      <w:r>
        <w:rPr>
          <w:b/>
          <w:bCs/>
        </w:rPr>
        <w:t xml:space="preserve">GIALLO prioritario.</w:t>
      </w:r>
      <w:r>
        <w:t xml:space="preserve"> </w:t>
      </w:r>
      <w:r>
        <w:rPr>
          <w:b/>
          <w:bCs/>
        </w:rPr>
        <w:t xml:space="preserve">Il polpaccio gonfio da un lato</w:t>
      </w:r>
      <w:r>
        <w:t xml:space="preserve">: non si valuta e non si tratta, si manda.</w:t>
      </w:r>
      <w:r>
        <w:t xml:space="preserve"> </w:t>
      </w:r>
      <w:r>
        <w:rPr>
          <w:b/>
          <w:bCs/>
        </w:rPr>
        <w:t xml:space="preserve">ROSSO.</w:t>
      </w:r>
    </w:p>
    <w:bookmarkEnd w:id="15"/>
    <w:bookmarkStart w:id="16" w:name="come-decidi-e-su-cosa-verifichi"/>
    <w:p>
      <w:pPr>
        <w:pStyle w:val="Heading2"/>
      </w:pPr>
      <w:r>
        <w:t xml:space="preserve">8.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bandiera rossa? → paziente in crescita? → attivazione alta (3 segni su 4)? → quanto valgo compare sotto carico? →</w:t>
      </w:r>
      <w:r>
        <w:t xml:space="preserve"> </w:t>
      </w:r>
      <w:r>
        <w:rPr>
          <w:b/>
          <w:bCs/>
        </w:rPr>
        <w:t xml:space="preserve">quanto crolla allo step-down, e quanto è diverso fra le due gambe?</w:t>
      </w:r>
      <w:r>
        <w:t xml:space="preserve"> </w:t>
      </w:r>
      <w:r>
        <w:t xml:space="preserve">→ quanti gradi ha la caviglia? → quanto carico riceve ogni giorno? → ha già la parte attiva? → cosa considera un risultato?</w:t>
      </w:r>
      <w:r>
        <w:t xml:space="preserve"> </w:t>
      </w:r>
      <w:r>
        <w:t xml:space="preserve">Quando più passi sono positivi, comanda quello più in alto: la gerarchia è un ordine di esclusione.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Variazione minima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Crollo allo step-down (video 2D)</w:t>
            </w:r>
          </w:p>
        </w:tc>
        <w:tc>
          <w:tcPr/>
          <w:p>
            <w:pPr>
              <w:pStyle w:val="Compact"/>
            </w:pPr>
            <w:r>
              <w:t xml:space="preserve">8 gradi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Ripetizioni prima del sintomo</w:t>
            </w:r>
          </w:p>
        </w:tc>
        <w:tc>
          <w:tcPr/>
          <w:p>
            <w:pPr>
              <w:pStyle w:val="Compact"/>
            </w:pPr>
            <w:r>
              <w:t xml:space="preserve">5 ripetizioni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Tolleranza al gesto che provoca</w:t>
            </w:r>
          </w:p>
        </w:tc>
        <w:tc>
          <w:tcPr/>
          <w:p>
            <w:pPr>
              <w:pStyle w:val="Compact"/>
            </w:pPr>
            <w:r>
              <w:t xml:space="preserve">+20% del punto di partenza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Dorsiflessione in carico</w:t>
            </w:r>
          </w:p>
        </w:tc>
        <w:tc>
          <w:tcPr/>
          <w:p>
            <w:pPr>
              <w:pStyle w:val="Compact"/>
            </w:pPr>
            <w:r>
              <w:t xml:space="preserve">5 gradi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interna d’anca in prono (rapporto)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</w:tr>
    </w:tbl>
    <w:p>
      <w:pPr>
        <w:pStyle w:val="BodyText"/>
      </w:pPr>
      <w:r>
        <w:t xml:space="preserve">Nessuna di queste soglie è un valore pubblicato: sono convenzioni di questo documento e vanno dichiarate come tali.</w:t>
      </w:r>
      <w:r>
        <w:t xml:space="preserve"> </w:t>
      </w:r>
      <w:r>
        <w:t xml:space="preserve">Il crollo è un bersaglio pertinente e non un vezzo. Dove il legame è stato misurato, i cambiamenti del movimento sul</w:t>
      </w:r>
      <w:r>
        <w:t xml:space="preserve"> </w:t>
      </w:r>
      <w:r>
        <w:rPr>
          <w:b/>
          <w:bCs/>
        </w:rPr>
        <w:t xml:space="preserve">piano frontale</w:t>
      </w:r>
      <w:r>
        <w:t xml:space="preserve"> </w:t>
      </w:r>
      <w:r>
        <w:t xml:space="preserve">vanno insieme ai cambiamenti di dolore e funzione; sul piano</w:t>
      </w:r>
      <w:r>
        <w:t xml:space="preserve"> </w:t>
      </w:r>
      <w:r>
        <w:rPr>
          <w:b/>
          <w:bCs/>
        </w:rPr>
        <w:t xml:space="preserve">trasversale</w:t>
      </w:r>
      <w:r>
        <w:t xml:space="preserve"> </w:t>
      </w:r>
      <w:r>
        <w:t xml:space="preserve">no (Nunes 2023).</w:t>
      </w:r>
      <w:r>
        <w:t xml:space="preserve"> </w:t>
      </w:r>
      <w:r>
        <w:t xml:space="preserve">Il marker che decide appartiene a un piano che non hai trattato: anca → dorsiflessione; caviglia → rotazione d’anca; carico → ripetizioni e tolleranza al gesto; attivazione → gli stessi marker biomeccanici non trattati.</w:t>
      </w:r>
      <w:r>
        <w:t xml:space="preserve"> </w:t>
      </w:r>
      <w:r>
        <w:rPr>
          <w:b/>
          <w:bCs/>
        </w:rPr>
        <w:t xml:space="preserve">I gradi di asse non sono un marker.</w:t>
      </w:r>
      <w:r>
        <w:t xml:space="preserve"> </w:t>
      </w:r>
      <w:r>
        <w:t xml:space="preserve">Il crollo allo step-down misura l’effetto immediato del</w:t>
      </w:r>
      <w:r>
        <w:t xml:space="preserve"> </w:t>
      </w:r>
      <w:r>
        <w:rPr>
          <w:b/>
          <w:bCs/>
        </w:rPr>
        <w:t xml:space="preserve">trattamento</w:t>
      </w:r>
      <w:r>
        <w:t xml:space="preserve">, non l’esito del ciclo. Se non si muove, cambi piano.</w:t>
      </w:r>
    </w:p>
    <w:bookmarkEnd w:id="16"/>
    <w:bookmarkStart w:id="17" w:name="la-frase-per-il-paziente"/>
    <w:p>
      <w:pPr>
        <w:pStyle w:val="Heading2"/>
      </w:pPr>
      <w:r>
        <w:t xml:space="preserve">9. La frase per il paziente</w:t>
      </w:r>
    </w:p>
    <w:p>
      <w:pPr>
        <w:pStyle w:val="FirstParagraph"/>
      </w:pPr>
      <w:r>
        <w:rPr>
          <w:i/>
          <w:iCs/>
        </w:rPr>
        <w:t xml:space="preserve">«Le sue gambe hanno una forma, e quella non gliela cambio. Ma quando cammina o scende le scale il ginocchio va dentro più di quanto la forma spiegherebbe: quella parte in più dipende da anca e caviglia, e quella si allena. Il conto che il ginocchio paga non è la forma, è il numero di volte.»</w:t>
      </w:r>
    </w:p>
    <w:p>
      <w:pPr>
        <w:pStyle w:val="BodyText"/>
      </w:pPr>
      <w:r>
        <w:t xml:space="preserve">Subito dopo, senza cambiare argomento:</w:t>
      </w:r>
      <w:r>
        <w:t xml:space="preserve"> </w:t>
      </w:r>
      <w:r>
        <w:rPr>
          <w:i/>
          <w:iCs/>
        </w:rPr>
        <w:t xml:space="preserve">«Io lavoro sulla componente meccanica che ho trovato. La forma della gamba va comunque inquadrata dal suo medico, e nel frattempo io non aspetto.»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La leva meglio documentata non è il tocco: negli</w:t>
      </w:r>
      <w:r>
        <w:t xml:space="preserve"> </w:t>
      </w:r>
      <w:r>
        <w:rPr>
          <w:b/>
          <w:bCs/>
        </w:rPr>
        <w:t xml:space="preserve">atleti</w:t>
      </w:r>
      <w:r>
        <w:t xml:space="preserve"> </w:t>
      </w:r>
      <w:r>
        <w:t xml:space="preserve">i programmi di allenamento neuromuscolare riducono il rischio di rottura del crociato a poco più di un terzo (11 studi randomizzati, 16.316 partecipanti). Ti autorizza a mettere la parte attiva al centro del ciclo e a insegnarla tu. Non ti autorizza a chiamarla trattamento manuale, né a trasferire quel numero a chi non pratica uno sport con cambi di direzione.</w:t>
      </w:r>
    </w:p>
    <w:p>
      <w:pPr>
        <w:pStyle w:val="BlockText"/>
      </w:pPr>
      <w:r>
        <w:rPr>
          <w:b/>
          <w:bCs/>
        </w:rPr>
        <w:t xml:space="preserve">Dove il documento si restringe.</w:t>
      </w:r>
      <w:r>
        <w:t xml:space="preserve"> </w:t>
      </w:r>
      <w:r>
        <w:t xml:space="preserve">Sono due bilanci, non uno. Sul</w:t>
      </w:r>
      <w:r>
        <w:t xml:space="preserve"> </w:t>
      </w:r>
      <w:r>
        <w:rPr>
          <w:b/>
          <w:bCs/>
        </w:rPr>
        <w:t xml:space="preserve">valgismo</w:t>
      </w:r>
      <w:r>
        <w:t xml:space="preserve"> </w:t>
      </w:r>
      <w:r>
        <w:t xml:space="preserve">esistono tre studi randomizzati di terapia manuale, piccoli, e sul valgo dinamico il risultato è nullo o contrario: le mani non spostano la traiettoria del ginocchio. Sul</w:t>
      </w:r>
      <w:r>
        <w:t xml:space="preserve"> </w:t>
      </w:r>
      <w:r>
        <w:rPr>
          <w:b/>
          <w:bCs/>
        </w:rPr>
        <w:t xml:space="preserve">dolore</w:t>
      </w:r>
      <w:r>
        <w:t xml:space="preserve">, nella popolazione-ponte del femoro-rotuleo, due meta-analisi mostrano un effetto favorevole a breve termine — con la funzione autoriferita che non raggiunge la rilevanza clinica e un’eterogeneità alta fra gli studi.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Deviazioni dichiarate: blocco 5 (D-011), blocco 7 (D-042), blocco 8 (D-018), quarta uscita GIALLO prioritario (D-048), etichetta spezzata (D-030), ordine didattico dei meccanismi (D-057), tempo del GIALLO contato in calendario (D-060).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2026-08-26T18:24:39Z</dcterms:created>
  <dcterms:modified xsi:type="dcterms:W3CDTF">2026-08-26T18:24:39Z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