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Colpo di Frusta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9" w:name="la-bibbia-del-colpo-di-frusta"/>
    <w:p>
      <w:pPr>
        <w:pStyle w:val="Heading1"/>
      </w:pPr>
      <w:r>
        <w:t xml:space="preserve">La Bibbia del Colpo di Frusta</w:t>
      </w:r>
    </w:p>
    <w:p>
      <w:pPr>
        <w:pStyle w:val="FirstParagraph"/>
      </w:pPr>
      <w:r>
        <w:rPr>
          <w:b/>
          <w:bCs/>
        </w:rPr>
        <w:t xml:space="preserve">Condizione:</w:t>
      </w:r>
      <w:r>
        <w:t xml:space="preserve"> </w:t>
      </w:r>
      <w:r>
        <w:t xml:space="preserve">colpo di frusta — disturbi associati al colpo di frusta (WAD), dalla fase acuta al quadro che dura da mesi</w:t>
      </w:r>
      <w:r>
        <w:t xml:space="preserve"> </w:t>
      </w:r>
      <w:r>
        <w:rPr>
          <w:b/>
          <w:bCs/>
        </w:rPr>
        <w:t xml:space="preserve">Ancora clinica:</w:t>
      </w:r>
      <w:r>
        <w:t xml:space="preserve"> </w:t>
      </w:r>
      <w:r>
        <w:t xml:space="preserve">Michele Sterling, Recover Injury Research Centre, University of Queensland — chi ha misurato perché due colli identici guariscono diversamente</w:t>
      </w:r>
      <w:r>
        <w:t xml:space="preserve"> </w:t>
      </w:r>
      <w:r>
        <w:rPr>
          <w:b/>
          <w:bCs/>
        </w:rPr>
        <w:t xml:space="preserve">Ancora fisiologica:</w:t>
      </w:r>
      <w:r>
        <w:t xml:space="preserve"> </w:t>
      </w:r>
      <w:r>
        <w:t xml:space="preserve">Nikolai Bogduk, professore emerito di Medicina del Dolore, University of Newcastle — chi ha dimostrato, con blocchi controllati con placebo, da dove viene il dolore che la lastra non vede</w:t>
      </w:r>
      <w:r>
        <w:t xml:space="preserve"> </w:t>
      </w:r>
      <w:r>
        <w:rPr>
          <w:b/>
          <w:bCs/>
        </w:rPr>
        <w:t xml:space="preserve">Versione:</w:t>
      </w:r>
      <w:r>
        <w:t xml:space="preserve"> </w:t>
      </w:r>
      <w:r>
        <w:t xml:space="preserve">v7 (dopo il 6º livello di revisione — lingua) ·</w:t>
      </w:r>
      <w:r>
        <w:t xml:space="preserve"> </w:t>
      </w:r>
      <w:r>
        <w:rPr>
          <w:b/>
          <w:bCs/>
        </w:rPr>
        <w:t xml:space="preserve">Data:</w:t>
      </w:r>
      <w:r>
        <w:t xml:space="preserve"> </w:t>
      </w:r>
      <w:r>
        <w:t xml:space="preserve">27 agosto 2026</w:t>
      </w:r>
      <w:r>
        <w:t xml:space="preserve"> </w:t>
      </w:r>
      <w:r>
        <w:rPr>
          <w:b/>
          <w:bCs/>
        </w:rPr>
        <w:t xml:space="preserve">Lunghezza:</w:t>
      </w:r>
      <w:r>
        <w:t xml:space="preserve"> </w:t>
      </w:r>
      <w:r>
        <w:t xml:space="preserve">questo corpo supera il tetto di 13.000 parole. Il residuo è</w:t>
      </w:r>
      <w:r>
        <w:t xml:space="preserve"> </w:t>
      </w:r>
      <w:r>
        <w:rPr>
          <w:b/>
          <w:bCs/>
        </w:rPr>
        <w:t xml:space="preserve">ampiezza, non ridondanza</w:t>
      </w:r>
      <w:r>
        <w:t xml:space="preserve">: cinque meccanismi, cinque modelli, sei sottotipi più un cancello, cinque leve e quattro strumenti attivi. Ognuno porta la propria etichetta e la propria frase-ponte. Non si taglia una frase-ponte, un’etichetta, un PMID, una bandiera rossa o uno slot di chiusura per rientrare in un numero (deviazione D-019).</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colpo di frusta per decidere cosa fare in stanza; il come si fa sta nella Procedura.</w:t>
      </w:r>
    </w:p>
    <w:p>
      <w:pPr>
        <w:pStyle w:val="FirstParagraph"/>
      </w:pPr>
      <w:r>
        <w:rPr>
          <w:b/>
          <w:bCs/>
        </w:rPr>
        <w:t xml:space="preserve">A chi parla.</w:t>
      </w:r>
      <w:r>
        <w:t xml:space="preserve"> </w:t>
      </w:r>
      <w:r>
        <w:t xml:space="preserve">All’osteopata del team. Do per scontata l’anatomia del rachide cervicale: qui trovi cosa fa ciascuna struttura</w:t>
      </w:r>
      <w:r>
        <w:t xml:space="preserve"> </w:t>
      </w:r>
      <w:r>
        <w:rPr>
          <w:i/>
          <w:iCs/>
        </w:rPr>
        <w:t xml:space="preserve">in questa condizione</w:t>
      </w:r>
      <w:r>
        <w:t xml:space="preserve">.</w:t>
      </w:r>
    </w:p>
    <w:p>
      <w:pPr>
        <w:pStyle w:val="BodyText"/>
      </w:pPr>
      <w:r>
        <w:rPr>
          <w:b/>
          <w:bCs/>
        </w:rPr>
        <w:t xml:space="preserve">Cosa c’è qui.</w:t>
      </w:r>
      <w:r>
        <w:t xml:space="preserve"> </w:t>
      </w:r>
      <w:r>
        <w:t xml:space="preserve">Che cos’è il colpo di frusta. Perché in metà dei casi non passa. Quali meccanismi lo tengono acceso, e come si riconoscono i sottotipi. Dove finisce il nostro campo, e quanto sono solide le leve.</w:t>
      </w:r>
    </w:p>
    <w:p>
      <w:pPr>
        <w:pStyle w:val="BodyText"/>
      </w:pPr>
      <w:r>
        <w:rPr>
          <w:b/>
          <w:bCs/>
        </w:rPr>
        <w:t xml:space="preserve">Cosa non c’è qui.</w:t>
      </w:r>
      <w:r>
        <w:t xml:space="preserve"> </w:t>
      </w:r>
      <w:r>
        <w:t xml:space="preserve">Tecniche, dosi, sequenza e piano delle sedute. Stanno nella Procedura: due pagine, altro documento.</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perché le incontrerai trenta volte.</w:t>
      </w:r>
    </w:p>
    <w:p>
      <w:pPr>
        <w:pStyle w:val="Compact"/>
        <w:numPr>
          <w:ilvl w:val="0"/>
          <w:numId w:val="1001"/>
        </w:numPr>
      </w:pPr>
      <w:r>
        <w:rPr>
          <w:b/>
          <w:bCs/>
        </w:rPr>
        <w:t xml:space="preserve">L’etichetta non si declina.</w:t>
      </w:r>
      <w:r>
        <w:t xml:space="preserve"> </w:t>
      </w:r>
      <w:r>
        <w:t xml:space="preserve">Non esistono un «probabile debole» e un «probabile forte». Quando qualcuno ha misurato una cosa e non l’ha trovata, l’etichetta resta IPOTESI e la glossa diventa</w:t>
      </w:r>
      <w:r>
        <w:t xml:space="preserve"> </w:t>
      </w:r>
      <w:r>
        <w:rPr>
          <w:i/>
          <w:iCs/>
        </w:rPr>
        <w:t xml:space="preserve">(meccanismo coerente, prove contrarie)</w:t>
      </w:r>
      <w:r>
        <w:t xml:space="preserve">. È l’unica variante ammessa.</w:t>
      </w:r>
    </w:p>
    <w:p>
      <w:pPr>
        <w:pStyle w:val="Compact"/>
        <w:numPr>
          <w:ilvl w:val="0"/>
          <w:numId w:val="1001"/>
        </w:numPr>
      </w:pPr>
      <w:r>
        <w:rPr>
          <w:b/>
          <w:bCs/>
        </w:rPr>
        <w:t xml:space="preserve">L’etichetta si spezza</w:t>
      </w:r>
      <w:r>
        <w:t xml:space="preserve"> </w:t>
      </w:r>
      <w:r>
        <w:t xml:space="preserve">quando un meccanismo è fatto di pezzi con forza diversa. Ne metti una per pezzo, dentro lo stesso box, ciascuna con la sua glossa.</w:t>
      </w:r>
    </w:p>
    <w:p>
      <w:pPr>
        <w:pStyle w:val="Compact"/>
        <w:numPr>
          <w:ilvl w:val="0"/>
          <w:numId w:val="1001"/>
        </w:numPr>
      </w:pPr>
      <w:r>
        <w:rPr>
          <w:b/>
          <w:bCs/>
        </w:rPr>
        <w:t xml:space="preserve">Quando il dato non è umano, la specie entra nell’etichetta:</w:t>
      </w:r>
      <w:r>
        <w:t xml:space="preserve"> </w:t>
      </w:r>
      <w:r>
        <w:rPr>
          <w:i/>
          <w:iCs/>
        </w:rPr>
        <w:t xml:space="preserve">DIMOSTRATO nel cadavere (studi solidi, ma su preparato anatomico)</w:t>
      </w:r>
      <w:r>
        <w:t xml:space="preserve">.</w:t>
      </w:r>
    </w:p>
    <w:p>
      <w:pPr>
        <w:pStyle w:val="FirstParagraph"/>
      </w:pPr>
      <w:r>
        <w:t xml:space="preserve">Le parole del metodo — marker, reperto disfunzionale, disfunzione somatica, compenso, sistema dominante, lesione primaria — hanno una definizione fissa. La trovi per esteso dove regge una regola di condotta, e sempre nel Glossario.</w:t>
      </w:r>
    </w:p>
    <w:bookmarkEnd w:id="9"/>
    <w:bookmarkStart w:id="10" w:name="come-si-studia-questa-bibbia"/>
    <w:p>
      <w:pPr>
        <w:pStyle w:val="Heading3"/>
      </w:pPr>
      <w:r>
        <w:t xml:space="preserve">Come si studia questa Bibbia</w:t>
      </w:r>
    </w:p>
    <w:p>
      <w:pPr>
        <w:pStyle w:val="FirstParagraph"/>
      </w:pPr>
      <w:r>
        <w:t xml:space="preserve">Prima lettura di fila. Poi una seconda con un paziente vero in testa, su «Cosa si rompe» e «Come ragiono davanti a questo paziente». Poi solo la Mappa: due minuti prima del paziente, e di nuovo a sei mesi.</w:t>
      </w:r>
    </w:p>
    <w:p>
      <w:pPr>
        <w:pStyle w:val="BodyText"/>
      </w:pPr>
      <w:r>
        <w:rPr>
          <w:b/>
          <w:bCs/>
        </w:rPr>
        <w:t xml:space="preserve">La prova che conta: chiudi il documento e parla.</w:t>
      </w:r>
      <w:r>
        <w:t xml:space="preserve"> </w:t>
      </w:r>
      <w:r>
        <w:t xml:space="preserve">Di’ ad alta voce quali sono i cinque meccanismi e da cosa si riconosce ciascuno. Quello che non sai dire non l’hai imparato, e torni solo lì.</w:t>
      </w:r>
    </w:p>
    <w:p>
      <w:pPr>
        <w:pStyle w:val="BodyText"/>
      </w:pPr>
      <w:r>
        <w:rPr>
          <w:b/>
          <w:bCs/>
        </w:rPr>
        <w:t xml:space="preserve">Dopo i primi tre pazienti, rileggi «Dove finisce il nostro campo» e «Cosa dice la scienza».</w:t>
      </w:r>
      <w:r>
        <w:t xml:space="preserve"> </w:t>
      </w:r>
      <w:r>
        <w:t xml:space="preserve">Quei due capitoli dicono una cosa diversa quando hai avuto davanti qualcuno con una pratica assicurativa aperta.</w:t>
      </w:r>
    </w:p>
    <w:p>
      <w:pPr>
        <w:pStyle w:val="BodyText"/>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Il tempo lavora: metà dei pazienti guarisce da sola. Tutto il documento serve a riconoscere presto l’altra metà.</w:t>
      </w:r>
    </w:p>
    <w:p>
      <w:pPr>
        <w:pStyle w:val="Compact"/>
        <w:numPr>
          <w:ilvl w:val="0"/>
          <w:numId w:val="1002"/>
        </w:numPr>
      </w:pPr>
      <w:r>
        <w:t xml:space="preserve">La lastra negativa non è una buona notizia da consegnare: è il punto da cui parte la tua spiegazione.</w:t>
      </w:r>
    </w:p>
    <w:p>
      <w:pPr>
        <w:pStyle w:val="Compact"/>
        <w:numPr>
          <w:ilvl w:val="0"/>
          <w:numId w:val="1002"/>
        </w:numPr>
      </w:pPr>
      <w:r>
        <w:t xml:space="preserve">Il documento che dice cosa fare con le mani è un altro. Questo dice perché.</w:t>
      </w:r>
    </w:p>
    <w:p>
      <w:pPr>
        <w:pStyle w:val="Compact"/>
        <w:numPr>
          <w:ilvl w:val="0"/>
          <w:numId w:val="1002"/>
        </w:numPr>
      </w:pPr>
      <w:r>
        <w:rPr>
          <w:b/>
          <w:bCs/>
        </w:rPr>
        <w:t xml:space="preserve">Perché ci sei tu.</w:t>
      </w:r>
      <w:r>
        <w:t xml:space="preserve"> </w:t>
      </w:r>
      <w:r>
        <w:t xml:space="preserve">La leva meglio documentata non è il tocco: è l’esercizio specifico per il collo. E conta tanto che sia</w:t>
      </w:r>
      <w:r>
        <w:t xml:space="preserve"> </w:t>
      </w:r>
      <w:r>
        <w:rPr>
          <w:b/>
          <w:bCs/>
        </w:rPr>
        <w:t xml:space="preserve">guidato</w:t>
      </w:r>
      <w:r>
        <w:t xml:space="preserve"> </w:t>
      </w:r>
      <w:r>
        <w:t xml:space="preserve">quanto che sia</w:t>
      </w:r>
      <w:r>
        <w:t xml:space="preserve"> </w:t>
      </w:r>
      <w:r>
        <w:rPr>
          <w:b/>
          <w:bCs/>
        </w:rPr>
        <w:t xml:space="preserve">specifico</w:t>
      </w:r>
      <w:r>
        <w:t xml:space="preserve">. Undici studi randomizzati riuniti in meta-analisi danno al guidato una riduzione del dolore (differenza media standardizzata −0,25, cioè misurata in deviazioni standard) e della disabilità (−0,35): effetti piccoli, solo su tempi brevi (Muñoz Lazcano, 2024, PMID 38466196). Ti autorizza a mettere la parte attiva al centro del ciclo e a seguirla tu. Non a chiamarla trattamento manuale, né a presentarla come un effetto grande.</w:t>
      </w:r>
    </w:p>
    <w:p>
      <w:pPr>
        <w:pStyle w:val="FirstParagraph"/>
      </w:pPr>
      <w:r>
        <w:t xml:space="preserve">Buon nutrimento!</w:t>
      </w:r>
    </w:p>
    <w:p>
      <w:r>
        <w:pict>
          <v:rect style="width:0;height:1.5pt" o:hralign="center" o:hrstd="t" o:hr="t"/>
        </w:pict>
      </w:r>
    </w:p>
    <w:bookmarkEnd w:id="10"/>
    <w:bookmarkEnd w:id="11"/>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una data precisa in cui la sua vita si è divisa in due, e una cartella clinica che dice che non è successo niente.</w:t>
      </w:r>
    </w:p>
    <w:bookmarkStart w:id="12" w:name="come-lo-racconta-lui"/>
    <w:p>
      <w:pPr>
        <w:pStyle w:val="Heading3"/>
      </w:pPr>
      <w:r>
        <w:t xml:space="preserve">Come lo racconta lui</w:t>
      </w:r>
    </w:p>
    <w:p>
      <w:pPr>
        <w:pStyle w:val="FirstParagraph"/>
      </w:pPr>
      <w:r>
        <w:t xml:space="preserve">Non dice «ho un disturbo associato al colpo di frusta di grado due». Dice:</w:t>
      </w:r>
    </w:p>
    <w:p>
      <w:pPr>
        <w:pStyle w:val="Compact"/>
        <w:numPr>
          <w:ilvl w:val="0"/>
          <w:numId w:val="1003"/>
        </w:numPr>
      </w:pPr>
      <w:r>
        <w:rPr>
          <w:i/>
          <w:iCs/>
        </w:rPr>
        <w:t xml:space="preserve">«Il giorno stesso stavo bene.»</w:t>
      </w:r>
      <w:r>
        <w:t xml:space="preserve"> </w:t>
      </w:r>
      <w:r>
        <w:t xml:space="preserve">Constatazione amichevole, a casa. La mattina dopo non riusciva più a girare la testa.</w:t>
      </w:r>
    </w:p>
    <w:p>
      <w:pPr>
        <w:pStyle w:val="Compact"/>
        <w:numPr>
          <w:ilvl w:val="0"/>
          <w:numId w:val="1003"/>
        </w:numPr>
      </w:pPr>
      <w:r>
        <w:rPr>
          <w:i/>
          <w:iCs/>
        </w:rPr>
        <w:t xml:space="preserve">«Gli esami sono tutti a posto.»</w:t>
      </w:r>
      <w:r>
        <w:t xml:space="preserve"> </w:t>
      </w:r>
      <w:r>
        <w:t xml:space="preserve">Lastre e TAC negative. Dovrebbe essere sollevato, e invece è lì con lo stesso dolore e nessuna spiegazione.</w:t>
      </w:r>
    </w:p>
    <w:p>
      <w:pPr>
        <w:pStyle w:val="Compact"/>
        <w:numPr>
          <w:ilvl w:val="0"/>
          <w:numId w:val="1003"/>
        </w:numPr>
      </w:pPr>
      <w:r>
        <w:rPr>
          <w:i/>
          <w:iCs/>
        </w:rPr>
        <w:t xml:space="preserve">«Mi gira la testa da quel giorno.»</w:t>
      </w:r>
      <w:r>
        <w:t xml:space="preserve"> </w:t>
      </w:r>
      <w:r>
        <w:t xml:space="preserve">Sbandamenti, testa ovattata, a volte nausea. Nessuno le ha collegate all’incidente.</w:t>
      </w:r>
    </w:p>
    <w:p>
      <w:pPr>
        <w:pStyle w:val="Compact"/>
        <w:numPr>
          <w:ilvl w:val="0"/>
          <w:numId w:val="1003"/>
        </w:numPr>
      </w:pPr>
      <w:r>
        <w:rPr>
          <w:i/>
          <w:iCs/>
        </w:rPr>
        <w:t xml:space="preserve">«Mi fa male la testa da dietro e arriva davanti.»</w:t>
      </w:r>
      <w:r>
        <w:t xml:space="preserve"> </w:t>
      </w:r>
      <w:r>
        <w:t xml:space="preserve">Parte dalla nuca, sale, si ferma dietro l’occhio. Il neurologo non ha trovato niente.</w:t>
      </w:r>
    </w:p>
    <w:p>
      <w:pPr>
        <w:pStyle w:val="Compact"/>
        <w:numPr>
          <w:ilvl w:val="0"/>
          <w:numId w:val="1003"/>
        </w:numPr>
      </w:pPr>
      <w:r>
        <w:rPr>
          <w:i/>
          <w:iCs/>
        </w:rPr>
        <w:t xml:space="preserve">«In macchina mi irrigidisco, e non dormo più.»</w:t>
      </w:r>
      <w:r>
        <w:t xml:space="preserve"> </w:t>
      </w:r>
      <w:r>
        <w:t xml:space="preserve">Guarda lo specchietto ogni due secondi, non trova la posizione, si sveglia, il collo brucia.</w:t>
      </w:r>
    </w:p>
    <w:p>
      <w:pPr>
        <w:pStyle w:val="FirstParagraph"/>
      </w:pPr>
      <w:r>
        <w:t xml:space="preserve">E, quasi sempre, una frase detta a voce più bassa:</w:t>
      </w:r>
      <w:r>
        <w:t xml:space="preserve"> </w:t>
      </w:r>
      <w:r>
        <w:rPr>
          <w:i/>
          <w:iCs/>
        </w:rPr>
        <w:t xml:space="preserve">«Sembra che io lo stia facendo apposta.»</w:t>
      </w:r>
    </w:p>
    <w:p>
      <w:pPr>
        <w:pStyle w:val="BodyText"/>
      </w:pPr>
      <w:r>
        <w:t xml:space="preserve">C’è una parte che non ti dirà, se non gliela chiedi. Ha una pratica assicurativa aperta e una perizia fatta o da fare. Ogni visita medico-legale lo ha lasciato con la sensazione di dover dimostrare qualcosa. Quella sensazione è nella stanza mentre lo valuti, che tu la nomini o no.</w:t>
      </w:r>
    </w:p>
    <w:bookmarkEnd w:id="12"/>
    <w:bookmarkStart w:id="13" w:name="cosa-ha-già-fatto"/>
    <w:p>
      <w:pPr>
        <w:pStyle w:val="Heading3"/>
      </w:pPr>
      <w:r>
        <w:t xml:space="preserve">Cosa ha già fatto</w:t>
      </w:r>
    </w:p>
    <w:p>
      <w:pPr>
        <w:pStyle w:val="FirstParagraph"/>
      </w:pPr>
      <w:r>
        <w:rPr>
          <w:b/>
          <w:bCs/>
        </w:rPr>
        <w:t xml:space="preserve">Collare cervicale</w:t>
      </w:r>
      <w:r>
        <w:t xml:space="preserve"> </w:t>
      </w:r>
      <w:r>
        <w:t xml:space="preserve">dato al pronto soccorso e portato per settimane.</w:t>
      </w:r>
      <w:r>
        <w:t xml:space="preserve"> </w:t>
      </w:r>
      <w:r>
        <w:rPr>
          <w:b/>
          <w:bCs/>
        </w:rPr>
        <w:t xml:space="preserve">Antinfiammatori</w:t>
      </w:r>
      <w:r>
        <w:t xml:space="preserve"> </w:t>
      </w:r>
      <w:r>
        <w:t xml:space="preserve">e</w:t>
      </w:r>
      <w:r>
        <w:t xml:space="preserve"> </w:t>
      </w:r>
      <w:r>
        <w:rPr>
          <w:b/>
          <w:bCs/>
        </w:rPr>
        <w:t xml:space="preserve">miorilassanti</w:t>
      </w:r>
      <w:r>
        <w:t xml:space="preserve">.</w:t>
      </w:r>
      <w:r>
        <w:t xml:space="preserve"> </w:t>
      </w:r>
      <w:r>
        <w:rPr>
          <w:b/>
          <w:bCs/>
        </w:rPr>
        <w:t xml:space="preserve">Radiografia</w:t>
      </w:r>
      <w:r>
        <w:t xml:space="preserve"> </w:t>
      </w:r>
      <w:r>
        <w:t xml:space="preserve">e spesso</w:t>
      </w:r>
      <w:r>
        <w:t xml:space="preserve"> </w:t>
      </w:r>
      <w:r>
        <w:rPr>
          <w:b/>
          <w:bCs/>
        </w:rPr>
        <w:t xml:space="preserve">TAC</w:t>
      </w:r>
      <w:r>
        <w:t xml:space="preserve">, negative, più la</w:t>
      </w:r>
      <w:r>
        <w:t xml:space="preserve"> </w:t>
      </w:r>
      <w:r>
        <w:rPr>
          <w:b/>
          <w:bCs/>
        </w:rPr>
        <w:t xml:space="preserve">risonanza</w:t>
      </w:r>
      <w:r>
        <w:t xml:space="preserve"> </w:t>
      </w:r>
      <w:r>
        <w:t xml:space="preserve">quando i sintomi si sono prolungati.</w:t>
      </w:r>
      <w:r>
        <w:t xml:space="preserve"> </w:t>
      </w:r>
      <w:r>
        <w:rPr>
          <w:b/>
          <w:bCs/>
        </w:rPr>
        <w:t xml:space="preserve">Riposo</w:t>
      </w:r>
      <w:r>
        <w:t xml:space="preserve">, per più giorni di quanti servissero.</w:t>
      </w:r>
      <w:r>
        <w:t xml:space="preserve"> </w:t>
      </w:r>
      <w:r>
        <w:rPr>
          <w:b/>
          <w:bCs/>
        </w:rPr>
        <w:t xml:space="preserve">Fisioterapia</w:t>
      </w:r>
      <w:r>
        <w:t xml:space="preserve"> </w:t>
      </w:r>
      <w:r>
        <w:t xml:space="preserve">sul solo collo.</w:t>
      </w:r>
      <w:r>
        <w:t xml:space="preserve"> </w:t>
      </w:r>
      <w:r>
        <w:rPr>
          <w:b/>
          <w:bCs/>
        </w:rPr>
        <w:t xml:space="preserve">Visita otorinolaringoiatrica</w:t>
      </w:r>
      <w:r>
        <w:t xml:space="preserve">, negativa.</w:t>
      </w:r>
      <w:r>
        <w:t xml:space="preserve"> </w:t>
      </w:r>
      <w:r>
        <w:rPr>
          <w:b/>
          <w:bCs/>
        </w:rPr>
        <w:t xml:space="preserve">Visita medico-legale</w:t>
      </w:r>
      <w:r>
        <w:t xml:space="preserve">, che risponde a una domanda diversa dalla sua.</w:t>
      </w:r>
    </w:p>
    <w:p>
      <w:pPr>
        <w:pStyle w:val="BodyText"/>
      </w:pPr>
      <w:r>
        <w:t xml:space="preserve">E una frase, ripetuta da più persone:</w:t>
      </w:r>
      <w:r>
        <w:t xml:space="preserve"> </w:t>
      </w:r>
      <w:r>
        <w:rPr>
          <w:i/>
          <w:iCs/>
        </w:rPr>
        <w:t xml:space="preserve">«Passa da solo con il tempo.»</w:t>
      </w:r>
      <w:r>
        <w:t xml:space="preserve"> </w:t>
      </w:r>
      <w:r>
        <w:t xml:space="preserve">È vera in metà dei casi. Quando sono passati sei mesi, non è più una strategia.</w:t>
      </w:r>
    </w:p>
    <w:bookmarkEnd w:id="13"/>
    <w:bookmarkStart w:id="14" w:name="cosa-nessuno-ha-guardato"/>
    <w:p>
      <w:pPr>
        <w:pStyle w:val="Heading3"/>
      </w:pPr>
      <w:r>
        <w:t xml:space="preserve">Cosa nessuno ha guardato</w:t>
      </w:r>
    </w:p>
    <w:p>
      <w:pPr>
        <w:pStyle w:val="FirstParagraph"/>
      </w:pPr>
      <w:r>
        <w:t xml:space="preserve">Cinque cose, e stanno tutte nei primi dieci minuti di valutazione.</w:t>
      </w:r>
    </w:p>
    <w:p>
      <w:pPr>
        <w:pStyle w:val="Compact"/>
        <w:numPr>
          <w:ilvl w:val="0"/>
          <w:numId w:val="1004"/>
        </w:numPr>
      </w:pPr>
      <w:r>
        <w:rPr>
          <w:b/>
          <w:bCs/>
        </w:rPr>
        <w:t xml:space="preserve">Come si muove il collo, in gradi.</w:t>
      </w:r>
      <w:r>
        <w:t xml:space="preserve"> </w:t>
      </w:r>
      <w:r>
        <w:t xml:space="preserve">Nessuno ha messo un numero sulla rotazione. Senza numero non c’è né confronto né prova.</w:t>
      </w:r>
    </w:p>
    <w:p>
      <w:pPr>
        <w:pStyle w:val="Compact"/>
        <w:numPr>
          <w:ilvl w:val="0"/>
          <w:numId w:val="1004"/>
        </w:numPr>
      </w:pPr>
      <w:r>
        <w:rPr>
          <w:b/>
          <w:bCs/>
        </w:rPr>
        <w:t xml:space="preserve">Il senso di posizione della testa.</w:t>
      </w:r>
      <w:r>
        <w:t xml:space="preserve"> </w:t>
      </w:r>
      <w:r>
        <w:t xml:space="preserve">Nessuno gli ha chiesto di chiudere gli occhi, ruotare e tornare al punto di partenza. È il reperto che spiega le vertigini quando l’orecchio è a posto.</w:t>
      </w:r>
    </w:p>
    <w:p>
      <w:pPr>
        <w:pStyle w:val="Compact"/>
        <w:numPr>
          <w:ilvl w:val="0"/>
          <w:numId w:val="1004"/>
        </w:numPr>
      </w:pPr>
      <w:r>
        <w:rPr>
          <w:b/>
          <w:bCs/>
        </w:rPr>
        <w:t xml:space="preserve">La mandibola.</w:t>
      </w:r>
      <w:r>
        <w:t xml:space="preserve"> </w:t>
      </w:r>
      <w:r>
        <w:t xml:space="preserve">Nessuno l’ha aperta e misurata, benché il trauma abbia attraversato anche quella.</w:t>
      </w:r>
    </w:p>
    <w:p>
      <w:pPr>
        <w:pStyle w:val="Compact"/>
        <w:numPr>
          <w:ilvl w:val="0"/>
          <w:numId w:val="1004"/>
        </w:numPr>
      </w:pPr>
      <w:r>
        <w:rPr>
          <w:b/>
          <w:bCs/>
        </w:rPr>
        <w:t xml:space="preserve">Il livello di allarme.</w:t>
      </w:r>
      <w:r>
        <w:t xml:space="preserve"> </w:t>
      </w:r>
      <w:r>
        <w:t xml:space="preserve">Nessuno gli ha chiesto come dorme, come guida e se rivede la scena. È il fattore che negli studi predice il decorso meglio della lastra.</w:t>
      </w:r>
    </w:p>
    <w:p>
      <w:pPr>
        <w:pStyle w:val="Compact"/>
        <w:numPr>
          <w:ilvl w:val="0"/>
          <w:numId w:val="1004"/>
        </w:numPr>
      </w:pPr>
      <w:r>
        <w:rPr>
          <w:b/>
          <w:bCs/>
        </w:rPr>
        <w:t xml:space="preserve">Cosa prende, da quanto, chi gliel’ha prescritto, e che altro ha.</w:t>
      </w:r>
      <w:r>
        <w:t xml:space="preserve"> </w:t>
      </w:r>
      <w:r>
        <w:t xml:space="preserve">È la domanda che manca più spesso, e qui decide più delle altre quattro.</w:t>
      </w:r>
      <w:r>
        <w:t xml:space="preserve"> </w:t>
      </w:r>
      <w:r>
        <w:rPr>
          <w:b/>
          <w:bCs/>
        </w:rPr>
        <w:t xml:space="preserve">Anticoagulante o antiaggregante</w:t>
      </w:r>
      <w:r>
        <w:t xml:space="preserve">, sedativi, età, osteoporosi, artrite reumatoide, pregressa chirurgia cervicale, gravidanza: ognuna cambia il cancello del Capitolo 9, e nessuna arriva scritta sul referto.</w:t>
      </w:r>
    </w:p>
    <w:p>
      <w:pPr>
        <w:pStyle w:val="FirstParagraph"/>
      </w:pPr>
      <w:r>
        <w:t xml:space="preserve">Il percorso standard è organizzato per escludere il danno grave, e lo fa bene. Ma qui a cambiare è quasi sempre la funzione, non la struttura. Un sistema costruito per vedere le fratture non vede quello. È il termometro davanti a un dolore: misura bene una cosa sola, e non è quella.</w:t>
      </w:r>
    </w:p>
    <w:p>
      <w:pPr>
        <w:pStyle w:val="BodyText"/>
      </w:pPr>
      <w:r>
        <w:rPr>
          <w:b/>
          <w:bCs/>
        </w:rPr>
        <w:t xml:space="preserve">Le tre cose da ricordare, più una</w:t>
      </w:r>
    </w:p>
    <w:p>
      <w:pPr>
        <w:pStyle w:val="Compact"/>
        <w:numPr>
          <w:ilvl w:val="0"/>
          <w:numId w:val="1005"/>
        </w:numPr>
      </w:pPr>
      <w:r>
        <w:t xml:space="preserve">Arriva con una data e con la sensazione di doversi giustificare: quello che gli cambia la giornata è che qualcuno misuri e gli mostri il numero.</w:t>
      </w:r>
    </w:p>
    <w:p>
      <w:pPr>
        <w:pStyle w:val="Compact"/>
        <w:numPr>
          <w:ilvl w:val="0"/>
          <w:numId w:val="1005"/>
        </w:numPr>
      </w:pPr>
      <w:r>
        <w:t xml:space="preserve">Il ritardo di comparsa — ore o giorni dopo l’urto — è la regola, e va detto perché lui lo legge come prova di essere strano.</w:t>
      </w:r>
    </w:p>
    <w:p>
      <w:pPr>
        <w:pStyle w:val="Compact"/>
        <w:numPr>
          <w:ilvl w:val="0"/>
          <w:numId w:val="1005"/>
        </w:numPr>
      </w:pPr>
      <w:r>
        <w:t xml:space="preserve">Cinque reperti che nessuno ha preso: rotazione in gradi, senso di posizione, mandibola, livello di allarme, e cosa prende.</w:t>
      </w:r>
    </w:p>
    <w:p>
      <w:pPr>
        <w:pStyle w:val="Compact"/>
        <w:numPr>
          <w:ilvl w:val="0"/>
          <w:numId w:val="1005"/>
        </w:numPr>
      </w:pPr>
      <w:r>
        <w:rPr>
          <w:b/>
          <w:bCs/>
        </w:rPr>
        <w:t xml:space="preserve">Perché ci sei tu.</w:t>
      </w:r>
      <w:r>
        <w:t xml:space="preserve"> </w:t>
      </w:r>
      <w:r>
        <w:t xml:space="preserve">Su 6.015 adulti, chi si aspettava di guarire presto ha recuperato</w:t>
      </w:r>
      <w:r>
        <w:t xml:space="preserve"> </w:t>
      </w:r>
      <w:r>
        <w:rPr>
          <w:b/>
          <w:bCs/>
        </w:rPr>
        <w:t xml:space="preserve">3,62 volte più in fretta</w:t>
      </w:r>
      <w:r>
        <w:t xml:space="preserve"> </w:t>
      </w:r>
      <w:r>
        <w:t xml:space="preserve">di chi pensava che non sarebbe guarito mai. Il dato è aggiustato per gravità iniziale, sintomi e caratteristiche dell’incidente (Carroll, 2009, PMID 19228657). Ti autorizza a trattare la prima conversazione come lavoro clinico. Non a promettere il recupero: l’aspettativa è un fattore prognostico, non una tua leva.</w:t>
      </w:r>
    </w:p>
    <w:p>
      <w:r>
        <w:pict>
          <v:rect style="width:0;height:1.5pt" o:hralign="center" o:hrstd="t" o:hr="t"/>
        </w:pict>
      </w:r>
    </w:p>
    <w:bookmarkEnd w:id="14"/>
    <w:bookmarkEnd w:id="15"/>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«colpo di frusta» non è una diagnosi di tessuto, è il nome di un meccanismo di trauma — e ciò che resta dopo si misura in funzione, non in immagini.</w:t>
      </w:r>
    </w:p>
    <w:bookmarkStart w:id="16" w:name="la-definizione-e-cosa-nasconde"/>
    <w:p>
      <w:pPr>
        <w:pStyle w:val="Heading3"/>
      </w:pPr>
      <w:r>
        <w:t xml:space="preserve">La definizione, e cosa nasconde</w:t>
      </w:r>
    </w:p>
    <w:p>
      <w:pPr>
        <w:pStyle w:val="FirstParagraph"/>
      </w:pPr>
      <w:r>
        <w:t xml:space="preserve">Il</w:t>
      </w:r>
      <w:r>
        <w:t xml:space="preserve"> </w:t>
      </w:r>
      <w:r>
        <w:rPr>
          <w:b/>
          <w:bCs/>
        </w:rPr>
        <w:t xml:space="preserve">colpo di frusta</w:t>
      </w:r>
      <w:r>
        <w:t xml:space="preserve"> </w:t>
      </w:r>
      <w:r>
        <w:t xml:space="preserve">è un meccanismo di accelerazione e decelerazione che trasferisce energia al collo, tipicamente in un tamponamento. Ciò che ne segue prende il nome di</w:t>
      </w:r>
      <w:r>
        <w:t xml:space="preserve"> </w:t>
      </w:r>
      <w:r>
        <w:rPr>
          <w:b/>
          <w:bCs/>
        </w:rPr>
        <w:t xml:space="preserve">disturbi associati al colpo di frusta</w:t>
      </w:r>
      <w:r>
        <w:t xml:space="preserve">, abbreviati</w:t>
      </w:r>
      <w:r>
        <w:t xml:space="preserve"> </w:t>
      </w:r>
      <w:r>
        <w:rPr>
          <w:b/>
          <w:bCs/>
        </w:rPr>
        <w:t xml:space="preserve">WAD</w:t>
      </w:r>
      <w:r>
        <w:t xml:space="preserve"> </w:t>
      </w:r>
      <w:r>
        <w:t xml:space="preserve">dall’inglese</w:t>
      </w:r>
      <w:r>
        <w:t xml:space="preserve"> </w:t>
      </w:r>
      <w:r>
        <w:rPr>
          <w:i/>
          <w:iCs/>
        </w:rPr>
        <w:t xml:space="preserve">whiplash-associated disorders</w:t>
      </w:r>
      <w:r>
        <w:t xml:space="preserve">. La definizione e la classificazione vengono dal rapporto della Quebec Task Force (Spitzer,</w:t>
      </w:r>
      <w:r>
        <w:t xml:space="preserve"> </w:t>
      </w:r>
      <w:r>
        <w:rPr>
          <w:i/>
          <w:iCs/>
        </w:rPr>
        <w:t xml:space="preserve">Spine</w:t>
      </w:r>
      <w:r>
        <w:t xml:space="preserve"> </w:t>
      </w:r>
      <w:r>
        <w:t xml:space="preserve">1995, PMID 7604354).</w:t>
      </w:r>
    </w:p>
    <w:p>
      <w:pPr>
        <w:pStyle w:val="BodyText"/>
      </w:pPr>
      <w:r>
        <w:t xml:space="preserve">La classificazione è in gradi, ed è la lingua che parla il referto.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Grado</w:t>
            </w:r>
          </w:p>
        </w:tc>
        <w:tc>
          <w:tcPr/>
          <w:p>
            <w:pPr>
              <w:pStyle w:val="Compact"/>
            </w:pPr>
            <w:r>
              <w:t xml:space="preserve">Cosa c’è</w:t>
            </w:r>
          </w:p>
        </w:tc>
        <w:tc>
          <w:tcPr/>
          <w:p>
            <w:pPr>
              <w:pStyle w:val="Compact"/>
            </w:pPr>
            <w:r>
              <w:t xml:space="preserve">Cosa significa per te</w:t>
            </w:r>
          </w:p>
        </w:tc>
      </w:tr>
      <w:tr>
        <w:tc>
          <w:tcPr/>
          <w:p>
            <w:pPr>
              <w:pStyle w:val="Compact"/>
            </w:pPr>
            <w:r>
              <w:rPr>
                <w:b/>
                <w:bCs/>
              </w:rPr>
              <w:t xml:space="preserve">0</w:t>
            </w:r>
          </w:p>
        </w:tc>
        <w:tc>
          <w:tcPr/>
          <w:p>
            <w:pPr>
              <w:pStyle w:val="Compact"/>
            </w:pPr>
            <w:r>
              <w:t xml:space="preserve">Nessun disturbo, nessun segno</w:t>
            </w:r>
          </w:p>
        </w:tc>
        <w:tc>
          <w:tcPr/>
          <w:p>
            <w:pPr>
              <w:pStyle w:val="Compact"/>
            </w:pPr>
            <w:r>
              <w:t xml:space="preserve">Non è un paziente</w:t>
            </w:r>
          </w:p>
        </w:tc>
      </w:tr>
      <w:tr>
        <w:tc>
          <w:tcPr/>
          <w:p>
            <w:pPr>
              <w:pStyle w:val="Compact"/>
            </w:pPr>
            <w:r>
              <w:rPr>
                <w:b/>
                <w:bCs/>
              </w:rPr>
              <w:t xml:space="preserve">I</w:t>
            </w:r>
          </w:p>
        </w:tc>
        <w:tc>
          <w:tcPr/>
          <w:p>
            <w:pPr>
              <w:pStyle w:val="Compact"/>
            </w:pPr>
            <w:r>
              <w:t xml:space="preserve">Dolore o rigidità, nessun segno</w:t>
            </w:r>
          </w:p>
        </w:tc>
        <w:tc>
          <w:tcPr/>
          <w:p>
            <w:pPr>
              <w:pStyle w:val="Compact"/>
            </w:pPr>
            <w:r>
              <w:t xml:space="preserve">Campo nostro</w:t>
            </w:r>
          </w:p>
        </w:tc>
      </w:tr>
      <w:tr>
        <w:tc>
          <w:tcPr/>
          <w:p>
            <w:pPr>
              <w:pStyle w:val="Compact"/>
            </w:pPr>
            <w:r>
              <w:rPr>
                <w:b/>
                <w:bCs/>
              </w:rPr>
              <w:t xml:space="preserve">II</w:t>
            </w:r>
          </w:p>
        </w:tc>
        <w:tc>
          <w:tcPr/>
          <w:p>
            <w:pPr>
              <w:pStyle w:val="Compact"/>
            </w:pPr>
            <w:r>
              <w:t xml:space="preserve">Dolore più segni muscolo-scheletrici</w:t>
            </w:r>
          </w:p>
        </w:tc>
        <w:tc>
          <w:tcPr/>
          <w:p>
            <w:pPr>
              <w:pStyle w:val="Compact"/>
            </w:pPr>
            <w:r>
              <w:t xml:space="preserve">Campo nostro, è il grosso</w:t>
            </w:r>
          </w:p>
        </w:tc>
      </w:tr>
      <w:tr>
        <w:tc>
          <w:tcPr/>
          <w:p>
            <w:pPr>
              <w:pStyle w:val="Compact"/>
            </w:pPr>
            <w:r>
              <w:rPr>
                <w:b/>
                <w:bCs/>
              </w:rPr>
              <w:t xml:space="preserve">III</w:t>
            </w:r>
          </w:p>
        </w:tc>
        <w:tc>
          <w:tcPr/>
          <w:p>
            <w:pPr>
              <w:pStyle w:val="Compact"/>
            </w:pPr>
            <w:r>
              <w:t xml:space="preserve">Segni neurologici</w:t>
            </w:r>
          </w:p>
        </w:tc>
        <w:tc>
          <w:tcPr/>
          <w:p>
            <w:pPr>
              <w:pStyle w:val="Compact"/>
            </w:pPr>
            <w:r>
              <w:t xml:space="preserve">Inquadramento medico prima</w:t>
            </w:r>
          </w:p>
        </w:tc>
      </w:tr>
      <w:tr>
        <w:tc>
          <w:tcPr/>
          <w:p>
            <w:pPr>
              <w:pStyle w:val="Compact"/>
            </w:pPr>
            <w:r>
              <w:rPr>
                <w:b/>
                <w:bCs/>
              </w:rPr>
              <w:t xml:space="preserve">IV</w:t>
            </w:r>
          </w:p>
        </w:tc>
        <w:tc>
          <w:tcPr/>
          <w:p>
            <w:pPr>
              <w:pStyle w:val="Compact"/>
            </w:pPr>
            <w:r>
              <w:t xml:space="preserve">Frattura o lussazione</w:t>
            </w:r>
          </w:p>
        </w:tc>
        <w:tc>
          <w:tcPr/>
          <w:p>
            <w:pPr>
              <w:pStyle w:val="Compact"/>
            </w:pPr>
            <w:r>
              <w:t xml:space="preserve">Non è nostro</w:t>
            </w:r>
          </w:p>
        </w:tc>
      </w:tr>
    </w:tbl>
    <w:p>
      <w:pPr>
        <w:pStyle w:val="BodyText"/>
      </w:pPr>
      <w:r>
        <w:t xml:space="preserve">Sotto il nome unico convivono due cose che il paziente vede come una sola. Tenerle separate è la prima competenza di questo documento.</w:t>
      </w:r>
    </w:p>
    <w:p>
      <w:pPr>
        <w:pStyle w:val="Compact"/>
        <w:numPr>
          <w:ilvl w:val="0"/>
          <w:numId w:val="1006"/>
        </w:numPr>
      </w:pPr>
      <w:r>
        <w:rPr>
          <w:b/>
          <w:bCs/>
        </w:rPr>
        <w:t xml:space="preserve">Il danno tissutale.</w:t>
      </w:r>
      <w:r>
        <w:t xml:space="preserve"> </w:t>
      </w:r>
      <w:r>
        <w:t xml:space="preserve">Esiste, ed è quasi sempre invisibile agli esami. Ma va detto con precisione, perché qui si sbaglia facilmente. Che il</w:t>
      </w:r>
      <w:r>
        <w:t xml:space="preserve"> </w:t>
      </w:r>
      <w:r>
        <w:rPr>
          <w:b/>
          <w:bCs/>
        </w:rPr>
        <w:t xml:space="preserve">dolore</w:t>
      </w:r>
      <w:r>
        <w:t xml:space="preserve"> </w:t>
      </w:r>
      <w:r>
        <w:t xml:space="preserve">cervicale cronico dopo colpo di frusta nasca dalle</w:t>
      </w:r>
      <w:r>
        <w:t xml:space="preserve"> </w:t>
      </w:r>
      <w:r>
        <w:rPr>
          <w:b/>
          <w:bCs/>
        </w:rPr>
        <w:t xml:space="preserve">articolazioni zigapofisarie</w:t>
      </w:r>
      <w:r>
        <w:t xml:space="preserve"> </w:t>
      </w:r>
      <w:r>
        <w:t xml:space="preserve">— le piccole articolazioni posteriori fra due vertebre — è confermato nell’uomo con blocchi controllati con placebo (Lord,</w:t>
      </w:r>
      <w:r>
        <w:t xml:space="preserve"> </w:t>
      </w:r>
      <w:r>
        <w:rPr>
          <w:i/>
          <w:iCs/>
        </w:rPr>
        <w:t xml:space="preserve">Spine</w:t>
      </w:r>
      <w:r>
        <w:t xml:space="preserve"> </w:t>
      </w:r>
      <w:r>
        <w:t xml:space="preserve">1996, PMID 8855458). Che sotto ci sia una</w:t>
      </w:r>
      <w:r>
        <w:t xml:space="preserve"> </w:t>
      </w:r>
      <w:r>
        <w:rPr>
          <w:b/>
          <w:bCs/>
        </w:rPr>
        <w:t xml:space="preserve">lesione capsulare</w:t>
      </w:r>
      <w:r>
        <w:t xml:space="preserve"> </w:t>
      </w:r>
      <w:r>
        <w:t xml:space="preserve">è un’altra affermazione. La biomeccanica la prevede, il modello animale la valida, e quanto pesi sui sintomi che durano non è noto (Curatolo,</w:t>
      </w:r>
      <w:r>
        <w:t xml:space="preserve"> </w:t>
      </w:r>
      <w:r>
        <w:rPr>
          <w:i/>
          <w:iCs/>
        </w:rPr>
        <w:t xml:space="preserve">Spine</w:t>
      </w:r>
      <w:r>
        <w:t xml:space="preserve"> </w:t>
      </w:r>
      <w:r>
        <w:t xml:space="preserve">2011, PMID 22020601 — è un</w:t>
      </w:r>
      <w:r>
        <w:t xml:space="preserve"> </w:t>
      </w:r>
      <w:r>
        <w:rPr>
          <w:i/>
          <w:iCs/>
        </w:rPr>
        <w:t xml:space="preserve">discussion paper</w:t>
      </w:r>
      <w:r>
        <w:t xml:space="preserve">, e lo dichiara).</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la sorgente del dolore sia articolare in una quota maggioritaria dei cronici.</w:t>
      </w:r>
      <w:r>
        <w:t xml:space="preserve"> </w:t>
      </w:r>
      <w:r>
        <w:rPr>
          <w:b/>
          <w:bCs/>
        </w:rPr>
        <w:t xml:space="preserve">IPOTESI</w:t>
      </w:r>
      <w:r>
        <w:t xml:space="preserve"> </w:t>
      </w:r>
      <w:r>
        <w:rPr>
          <w:i/>
          <w:iCs/>
        </w:rPr>
        <w:t xml:space="preserve">(meccanismo coerente, nessuno studio)</w:t>
      </w:r>
      <w:r>
        <w:t xml:space="preserve"> </w:t>
      </w:r>
      <w:r>
        <w:t xml:space="preserve">che la lesione capsulare sia il determinante dei sintomi persistenti: nessuno l’ha misurato in vivo.</w:t>
      </w:r>
    </w:p>
    <w:p>
      <w:pPr>
        <w:pStyle w:val="Compact"/>
        <w:numPr>
          <w:ilvl w:val="0"/>
          <w:numId w:val="1007"/>
        </w:numPr>
      </w:pPr>
      <w:r>
        <w:rPr>
          <w:b/>
          <w:bCs/>
        </w:rPr>
        <w:t xml:space="preserve">Il cambiamento di funzione.</w:t>
      </w:r>
      <w:r>
        <w:t xml:space="preserve"> </w:t>
      </w:r>
      <w:r>
        <w:t xml:space="preserve">Escursione ridotta, reclutamento cambiato, senso di posizione alterato, soglia abbassata. È quello che misuri in stanza, ed è quello su cui puoi agire.</w:t>
      </w:r>
    </w:p>
    <w:p>
      <w:pPr>
        <w:pStyle w:val="BlockText"/>
      </w:pPr>
      <w:r>
        <w:rPr>
          <w:b/>
          <w:bCs/>
        </w:rPr>
        <w:t xml:space="preserve">Attenzione.</w:t>
      </w:r>
      <w:r>
        <w:t xml:space="preserve"> </w:t>
      </w:r>
      <w:r>
        <w:t xml:space="preserve">«Esami negativi» non vuol dire «nessuna lesione». Vuol dire che le lesioni tipiche di questo trauma non sono visibili con quegli esami. Va detta al paziente in questi termini, senza aggiungere che tu invece la vedi.</w:t>
      </w:r>
    </w:p>
    <w:bookmarkEnd w:id="16"/>
    <w:bookmarkStart w:id="17" w:name="quanto-è-diffuso-e-come-evolve-da-solo"/>
    <w:p>
      <w:pPr>
        <w:pStyle w:val="Heading3"/>
      </w:pPr>
      <w:r>
        <w:t xml:space="preserve">Quanto è diffuso e come evolve da solo</w:t>
      </w:r>
    </w:p>
    <w:p>
      <w:pPr>
        <w:pStyle w:val="FirstParagraph"/>
      </w:pPr>
      <w:r>
        <w:t xml:space="preserve">La domanda che conta non è quanti si fanno male: è quanti restano.</w:t>
      </w:r>
    </w:p>
    <w:p>
      <w:pPr>
        <w:pStyle w:val="BodyText"/>
      </w:pPr>
      <w:r>
        <w:t xml:space="preserve">Circa</w:t>
      </w:r>
      <w:r>
        <w:t xml:space="preserve"> </w:t>
      </w:r>
      <w:r>
        <w:rPr>
          <w:b/>
          <w:bCs/>
        </w:rPr>
        <w:t xml:space="preserve">cinque persone su dieci</w:t>
      </w:r>
      <w:r>
        <w:t xml:space="preserve"> </w:t>
      </w:r>
      <w:r>
        <w:t xml:space="preserve">hanno ancora dolore al collo a un anno. Il numero viene dalla sintesi delle prove della Bone and Joint Decade Task Force, su 47 studi selezionati per merito scientifico (Carroll,</w:t>
      </w:r>
      <w:r>
        <w:t xml:space="preserve"> </w:t>
      </w:r>
      <w:r>
        <w:rPr>
          <w:i/>
          <w:iCs/>
        </w:rPr>
        <w:t xml:space="preserve">Spine</w:t>
      </w:r>
      <w:r>
        <w:t xml:space="preserve"> </w:t>
      </w:r>
      <w:r>
        <w:t xml:space="preserve">2008, PMID 18204405). Uno studio danese su 458 persone arruolate entro dieci giorni arriva a numeri sovrapponibili: a un anno il 48% riferiva ancora dolore importante e il 53% disabilità (Kongsted,</w:t>
      </w:r>
      <w:r>
        <w:t xml:space="preserve"> </w:t>
      </w:r>
      <w:r>
        <w:rPr>
          <w:i/>
          <w:iCs/>
        </w:rPr>
        <w:t xml:space="preserve">Spine</w:t>
      </w:r>
      <w:r>
        <w:t xml:space="preserve"> </w:t>
      </w:r>
      <w:r>
        <w:t xml:space="preserve">2007, PMID 17413465).</w:t>
      </w:r>
    </w:p>
    <w:p>
      <w:pPr>
        <w:pStyle w:val="BodyText"/>
      </w:pPr>
      <w:r>
        <w:t xml:space="preserve">Un secondo numero dice l’opposto, e va messo dopo perché riguarda una popolazione diversa. In Lituania, all’epoca, non esisteva né l’attesa culturale del «colpo di frusta cronico» né un sistema di risarcimento che la sostenesse. Lì 210 vittime di tamponamento sono state seguite per un anno: dolore iniziale nel 47%, durata mediana di</w:t>
      </w:r>
      <w:r>
        <w:t xml:space="preserve"> </w:t>
      </w:r>
      <w:r>
        <w:rPr>
          <w:b/>
          <w:bCs/>
        </w:rPr>
        <w:t xml:space="preserve">tre giorni</w:t>
      </w:r>
      <w:r>
        <w:t xml:space="preserve">, e a un anno nessuna differenza rispetto ai controlli (Obelieniene,</w:t>
      </w:r>
      <w:r>
        <w:t xml:space="preserve"> </w:t>
      </w:r>
      <w:r>
        <w:rPr>
          <w:i/>
          <w:iCs/>
        </w:rPr>
        <w:t xml:space="preserve">J Neurol Neurosurg Psychiatry</w:t>
      </w:r>
      <w:r>
        <w:t xml:space="preserve"> </w:t>
      </w:r>
      <w:r>
        <w:t xml:space="preserve">1999, PMID 10084524).</w:t>
      </w:r>
    </w:p>
    <w:p>
      <w:pPr>
        <w:pStyle w:val="BodyText"/>
      </w:pPr>
      <w:r>
        <w:rPr>
          <w:b/>
          <w:bCs/>
        </w:rPr>
        <w:t xml:space="preserve">Per te:</w:t>
      </w:r>
      <w:r>
        <w:t xml:space="preserve"> </w:t>
      </w:r>
      <w:r>
        <w:t xml:space="preserve">vale il primo numero, perché i tuoi pazienti vengono da quella popolazione. Il numero lituano non dice che il dolore sia inventato. Dice che il contesto pesa quanto il trauma, e quindi che quello che dici tu nella prima seduta è dentro il fattore prognostico.</w:t>
      </w:r>
    </w:p>
    <w:p>
      <w:pPr>
        <w:pStyle w:val="BodyText"/>
      </w:pPr>
      <w:r>
        <w:t xml:space="preserve">E c’è una terza distribuzione, la più utile, perché ti dice in quale terzo di mondo sei: circa</w:t>
      </w:r>
      <w:r>
        <w:t xml:space="preserve"> </w:t>
      </w:r>
      <w:r>
        <w:rPr>
          <w:b/>
          <w:bCs/>
        </w:rPr>
        <w:t xml:space="preserve">il 50% recupera pienamente, il 25% sviluppa dolore e disabilità da moderati a gravi, il 25% resta con sintomi più lievi</w:t>
      </w:r>
      <w:r>
        <w:t xml:space="preserve"> </w:t>
      </w:r>
      <w:r>
        <w:t xml:space="preserve">(Ritchie,</w:t>
      </w:r>
      <w:r>
        <w:t xml:space="preserve"> </w:t>
      </w:r>
      <w:r>
        <w:rPr>
          <w:i/>
          <w:iCs/>
        </w:rPr>
        <w:t xml:space="preserve">Pain</w:t>
      </w:r>
      <w:r>
        <w:t xml:space="preserve"> </w:t>
      </w:r>
      <w:r>
        <w:t xml:space="preserve">2013, PMID 23831865 — è la premessa da cui lo studio parte, non il suo risultato).</w:t>
      </w:r>
    </w:p>
    <w:p>
      <w:pPr>
        <w:pStyle w:val="BodyText"/>
      </w:pPr>
      <w:r>
        <w:rPr>
          <w:b/>
          <w:bCs/>
        </w:rPr>
        <w:t xml:space="preserve">Per te:</w:t>
      </w:r>
      <w:r>
        <w:t xml:space="preserve"> </w:t>
      </w:r>
      <w:r>
        <w:t xml:space="preserve">metà dei pazienti che vedi guarirebbe comunque. Non prenderti meriti che appartengono al tempo: un miglioramento a tre settimane in un WAD I non prova che il tuo modello funziona. E il 25% che resta grave è riconoscibile presto. L’unico modo per non perderlo è stratificare alla prima seduta invece che alla quinta.</w:t>
      </w:r>
    </w:p>
    <w:bookmarkEnd w:id="17"/>
    <w:bookmarkStart w:id="18" w:name="X6820c7f04c7379b5930bec9ad9aa3ee0e127e21"/>
    <w:p>
      <w:pPr>
        <w:pStyle w:val="Heading3"/>
      </w:pPr>
      <w:r>
        <w:t xml:space="preserve">Cosa dicono le etichette che porta, e cosa non dicono</w:t>
      </w:r>
    </w:p>
    <w:p>
      <w:pPr>
        <w:pStyle w:val="Compact"/>
        <w:numPr>
          <w:ilvl w:val="0"/>
          <w:numId w:val="1008"/>
        </w:numPr>
      </w:pPr>
      <w:r>
        <w:rPr>
          <w:b/>
          <w:bCs/>
        </w:rPr>
        <w:t xml:space="preserve">«Rettilineizzazione della lordosi cervicale».</w:t>
      </w:r>
      <w:r>
        <w:t xml:space="preserve"> </w:t>
      </w:r>
      <w:r>
        <w:t xml:space="preserve">Frequente anche in persone senza sintomi. In acuto può riflettere solo la contrattura antalgica. Non è la spiegazione del dolore né il tuo obiettivo.</w:t>
      </w:r>
    </w:p>
    <w:p>
      <w:pPr>
        <w:pStyle w:val="Compact"/>
        <w:numPr>
          <w:ilvl w:val="0"/>
          <w:numId w:val="1008"/>
        </w:numPr>
      </w:pPr>
      <w:r>
        <w:rPr>
          <w:b/>
          <w:bCs/>
        </w:rPr>
        <w:t xml:space="preserve">«Nei limiti di norma».</w:t>
      </w:r>
      <w:r>
        <w:t xml:space="preserve"> </w:t>
      </w:r>
      <w:r>
        <w:t xml:space="preserve">Nessuna frattura, nessuna lussazione, nessun segno di compressione. Non: nessuna causa.</w:t>
      </w:r>
    </w:p>
    <w:p>
      <w:pPr>
        <w:pStyle w:val="Compact"/>
        <w:numPr>
          <w:ilvl w:val="0"/>
          <w:numId w:val="1008"/>
        </w:numPr>
      </w:pPr>
      <w:r>
        <w:rPr>
          <w:b/>
          <w:bCs/>
        </w:rPr>
        <w:t xml:space="preserve">«Distorsione del rachide cervicale».</w:t>
      </w:r>
      <w:r>
        <w:t xml:space="preserve"> </w:t>
      </w:r>
      <w:r>
        <w:t xml:space="preserve">La dicitura del pronto soccorso: descrive il meccanismo, non il tessuto.</w:t>
      </w:r>
    </w:p>
    <w:p>
      <w:pPr>
        <w:pStyle w:val="Compact"/>
        <w:numPr>
          <w:ilvl w:val="0"/>
          <w:numId w:val="1008"/>
        </w:numPr>
      </w:pPr>
      <w:r>
        <w:rPr>
          <w:b/>
          <w:bCs/>
        </w:rPr>
        <w:t xml:space="preserve">Il grado WAD.</w:t>
      </w:r>
      <w:r>
        <w:t xml:space="preserve"> </w:t>
      </w:r>
      <w:r>
        <w:t xml:space="preserve">Se c’è, è l’unica riga del referto che cambia il tuo comportamento.</w:t>
      </w:r>
    </w:p>
    <w:bookmarkEnd w:id="18"/>
    <w:bookmarkStart w:id="19" w:name="cosa-non-è"/>
    <w:p>
      <w:pPr>
        <w:pStyle w:val="Heading3"/>
      </w:pPr>
      <w:r>
        <w:t xml:space="preserve">Cosa non è</w:t>
      </w:r>
    </w:p>
    <w:p>
      <w:pPr>
        <w:pStyle w:val="Compact"/>
        <w:numPr>
          <w:ilvl w:val="0"/>
          <w:numId w:val="1009"/>
        </w:numPr>
      </w:pPr>
      <w:r>
        <w:rPr>
          <w:b/>
          <w:bCs/>
        </w:rPr>
        <w:t xml:space="preserve">Non è una frattura mancata</w:t>
      </w:r>
      <w:r>
        <w:t xml:space="preserve">, se la regola clinica è stata applicata</w:t>
      </w:r>
      <w:r>
        <w:t xml:space="preserve"> </w:t>
      </w:r>
      <w:r>
        <w:rPr>
          <w:b/>
          <w:bCs/>
        </w:rPr>
        <w:t xml:space="preserve">e se il paziente era dentro la popolazione in cui vale</w:t>
      </w:r>
      <w:r>
        <w:t xml:space="preserve">. La regola va applicata, non presunta, e non vale per tutti.</w:t>
      </w:r>
    </w:p>
    <w:p>
      <w:pPr>
        <w:pStyle w:val="Compact"/>
        <w:numPr>
          <w:ilvl w:val="0"/>
          <w:numId w:val="1009"/>
        </w:numPr>
      </w:pPr>
      <w:r>
        <w:rPr>
          <w:b/>
          <w:bCs/>
        </w:rPr>
        <w:t xml:space="preserve">Non è una cervicalgia comune.</w:t>
      </w:r>
      <w:r>
        <w:t xml:space="preserve"> </w:t>
      </w:r>
      <w:r>
        <w:t xml:space="preserve">L’esordio traumatico cambia la prognosi e i fattori che la predicono.</w:t>
      </w:r>
    </w:p>
    <w:p>
      <w:pPr>
        <w:pStyle w:val="Compact"/>
        <w:numPr>
          <w:ilvl w:val="0"/>
          <w:numId w:val="1009"/>
        </w:numPr>
      </w:pPr>
      <w:r>
        <w:rPr>
          <w:b/>
          <w:bCs/>
        </w:rPr>
        <w:t xml:space="preserve">Non è un trauma cranico.</w:t>
      </w:r>
      <w:r>
        <w:t xml:space="preserve"> </w:t>
      </w:r>
      <w:r>
        <w:t xml:space="preserve">Perdita di coscienza, vomito o confusione sono un altro percorso, con un’altra urgenza.</w:t>
      </w:r>
    </w:p>
    <w:p>
      <w:pPr>
        <w:pStyle w:val="Compact"/>
        <w:numPr>
          <w:ilvl w:val="0"/>
          <w:numId w:val="1009"/>
        </w:numPr>
      </w:pPr>
      <w:r>
        <w:rPr>
          <w:b/>
          <w:bCs/>
        </w:rPr>
        <w:t xml:space="preserve">Non è una simulazione.</w:t>
      </w:r>
      <w:r>
        <w:t xml:space="preserve"> </w:t>
      </w:r>
      <w:r>
        <w:t xml:space="preserve">In Saskatchewan è stato abolito il risarcimento per il dolore. Il tempo mediano di chiusura delle pratiche è sceso da 433 a 194 giorni, ma sintomi e funzione restavano fortemente associati al decorso in entrambi i sistemi (Cassidy,</w:t>
      </w:r>
      <w:r>
        <w:t xml:space="preserve"> </w:t>
      </w:r>
      <w:r>
        <w:rPr>
          <w:i/>
          <w:iCs/>
        </w:rPr>
        <w:t xml:space="preserve">N Engl J Med</w:t>
      </w:r>
      <w:r>
        <w:t xml:space="preserve"> </w:t>
      </w:r>
      <w:r>
        <w:t xml:space="preserve">2000, PMID 10770984). Il contenzioso pesa sul decorso; non lo spiega: il traffico allunga il viaggio, non decide dove stai andando.</w:t>
      </w:r>
    </w:p>
    <w:p>
      <w:pPr>
        <w:pStyle w:val="FirstParagraph"/>
      </w:pPr>
      <w:r>
        <w:rPr>
          <w:b/>
          <w:bCs/>
        </w:rPr>
        <w:t xml:space="preserve">Le tre cose da ricordare, più una</w:t>
      </w:r>
    </w:p>
    <w:p>
      <w:pPr>
        <w:pStyle w:val="Compact"/>
        <w:numPr>
          <w:ilvl w:val="0"/>
          <w:numId w:val="1010"/>
        </w:numPr>
      </w:pPr>
      <w:r>
        <w:t xml:space="preserve">Il grado WAD è l’unica riga del referto che cambia il tuo comportamento: cercala, e se non c’è ricostruiscila dai segni.</w:t>
      </w:r>
    </w:p>
    <w:p>
      <w:pPr>
        <w:pStyle w:val="Compact"/>
        <w:numPr>
          <w:ilvl w:val="0"/>
          <w:numId w:val="1010"/>
        </w:numPr>
      </w:pPr>
      <w:r>
        <w:t xml:space="preserve">Metà guarisce da sola: il tuo valore è riconoscere presto l’altra metà, non trattare tutti allo stesso modo.</w:t>
      </w:r>
    </w:p>
    <w:p>
      <w:pPr>
        <w:pStyle w:val="Compact"/>
        <w:numPr>
          <w:ilvl w:val="0"/>
          <w:numId w:val="1010"/>
        </w:numPr>
      </w:pPr>
      <w:r>
        <w:t xml:space="preserve">«Esami negativi» descrive il limite dello strumento, non l’assenza di lesione: detta bene, vale mezza seduta.</w:t>
      </w:r>
    </w:p>
    <w:p>
      <w:pPr>
        <w:pStyle w:val="Compact"/>
        <w:numPr>
          <w:ilvl w:val="0"/>
          <w:numId w:val="1010"/>
        </w:numPr>
      </w:pPr>
      <w:r>
        <w:rPr>
          <w:b/>
          <w:bCs/>
        </w:rPr>
        <w:t xml:space="preserve">Perché ci sei tu.</w:t>
      </w:r>
      <w:r>
        <w:t xml:space="preserve"> </w:t>
      </w:r>
      <w:r>
        <w:t xml:space="preserve">Cinque persone su dieci hanno ancora dolore al collo a un anno, nonostante il percorso standard sia stato fatto (Carroll, 2008, PMID 18204405). Ti autorizza a considerarlo un problema aperto, non una pratica chiusa. Non a dire che senza di te non sarebbe passato: metà sarebbe guarita comunque.</w:t>
      </w:r>
    </w:p>
    <w:p>
      <w:r>
        <w:pict>
          <v:rect style="width:0;height:1.5pt" o:hralign="center" o:hrstd="t" o:hr="t"/>
        </w:pict>
      </w:r>
    </w:p>
    <w:bookmarkEnd w:id="19"/>
    <w:bookmarkEnd w:id="20"/>
    <w:bookmarkStart w:id="28" w:name="capitolo-3-le-strutture-in-gioco"/>
    <w:p>
      <w:pPr>
        <w:pStyle w:val="Heading2"/>
      </w:pPr>
      <w:r>
        <w:t xml:space="preserve">Capitolo 3 — Le strutture in gioco</w:t>
      </w:r>
    </w:p>
    <w:p>
      <w:pPr>
        <w:pStyle w:val="BlockText"/>
      </w:pPr>
      <w:r>
        <w:rPr>
          <w:b/>
          <w:bCs/>
        </w:rPr>
        <w:t xml:space="preserve">In una riga:</w:t>
      </w:r>
      <w:r>
        <w:t xml:space="preserve"> </w:t>
      </w:r>
      <w:r>
        <w:t xml:space="preserve">in questo trauma contano poche strutture, quasi tutte stanno dietro e in alto — dove nessuno guarda perché la lastra le fotografa male — e una sta più in basso di dove fa male.</w:t>
      </w:r>
    </w:p>
    <w:p>
      <w:pPr>
        <w:pStyle w:val="FirstParagraph"/>
      </w:pPr>
      <w:r>
        <w:t xml:space="preserve">Sette strutture. Il criterio di inclusione è uno: compaiono in un meccanismo del capitolo successivo, oppure reggono la verifica del capitolo del ragionamento.</w:t>
      </w:r>
    </w:p>
    <w:bookmarkStart w:id="21" w:name="le-articolazioni-zigapofisarie-cervicali"/>
    <w:p>
      <w:pPr>
        <w:pStyle w:val="Heading3"/>
      </w:pPr>
      <w:r>
        <w:t xml:space="preserve">Le articolazioni zigapofisarie cervicali</w:t>
      </w:r>
    </w:p>
    <w:p>
      <w:pPr>
        <w:pStyle w:val="FirstParagraph"/>
      </w:pPr>
      <w:r>
        <w:rPr>
          <w:b/>
          <w:bCs/>
        </w:rPr>
        <w:t xml:space="preserve">Perché conta qui.</w:t>
      </w:r>
      <w:r>
        <w:t xml:space="preserve"> </w:t>
      </w:r>
      <w:r>
        <w:t xml:space="preserve">Sono innervate dai rami mediali delle branche posteriori, ed è la struttura con la migliore prova di essere la sorgente del dolore che dura. Su 68 pazienti</w:t>
      </w:r>
      <w:r>
        <w:t xml:space="preserve"> </w:t>
      </w:r>
      <w:r>
        <w:rPr>
          <w:b/>
          <w:bCs/>
        </w:rPr>
        <w:t xml:space="preserve">inviati a un centro specialistico del dolore</w:t>
      </w:r>
      <w:r>
        <w:t xml:space="preserve">, la prevalenza di dolore zigapofisario è del 60%, IC 95% 46-73% (Lord,</w:t>
      </w:r>
      <w:r>
        <w:t xml:space="preserve"> </w:t>
      </w:r>
      <w:r>
        <w:rPr>
          <w:i/>
          <w:iCs/>
        </w:rPr>
        <w:t xml:space="preserve">Spine</w:t>
      </w:r>
      <w:r>
        <w:t xml:space="preserve"> </w:t>
      </w:r>
      <w:r>
        <w:t xml:space="preserve">1996, PMID 8855458). Quella popolazione non è la tua: è più selezionata e più grave.</w:t>
      </w:r>
    </w:p>
    <w:p>
      <w:pPr>
        <w:pStyle w:val="BodyText"/>
      </w:pPr>
      <w:r>
        <w:t xml:space="preserve">La biomeccanica spiega perché si lesiona. Nell’urto il collo assume una forma a</w:t>
      </w:r>
      <w:r>
        <w:t xml:space="preserve"> </w:t>
      </w:r>
      <w:r>
        <w:rPr>
          <w:b/>
          <w:bCs/>
        </w:rPr>
        <w:t xml:space="preserve">S</w:t>
      </w:r>
      <w:r>
        <w:t xml:space="preserve">, e le rotazioni di C6-C7 e C7-T1 superano il massimo fisiologico (Grauer,</w:t>
      </w:r>
      <w:r>
        <w:t xml:space="preserve"> </w:t>
      </w:r>
      <w:r>
        <w:rPr>
          <w:i/>
          <w:iCs/>
        </w:rPr>
        <w:t xml:space="preserve">Spine</w:t>
      </w:r>
      <w:r>
        <w:t xml:space="preserve"> </w:t>
      </w:r>
      <w:r>
        <w:t xml:space="preserve">1997, PMID 9383854 — sei preparati, dodici traumi in slitta, senza muscolatura attiva).</w:t>
      </w:r>
    </w:p>
    <w:bookmarkEnd w:id="21"/>
    <w:bookmarkStart w:id="22" w:name="X192ae8939c54b81235aa8aa6287996681edcfbc"/>
    <w:p>
      <w:pPr>
        <w:pStyle w:val="Heading3"/>
      </w:pPr>
      <w:r>
        <w:t xml:space="preserve">I flessori profondi del collo — lungo del collo e lungo della testa</w:t>
      </w:r>
    </w:p>
    <w:p>
      <w:pPr>
        <w:pStyle w:val="FirstParagraph"/>
      </w:pPr>
      <w:r>
        <w:rPr>
          <w:b/>
          <w:bCs/>
        </w:rPr>
        <w:t xml:space="preserve">Perché conta qui.</w:t>
      </w:r>
      <w:r>
        <w:t xml:space="preserve"> </w:t>
      </w:r>
      <w:r>
        <w:t xml:space="preserve">Dopo il trauma il loro lavoro passa ai flessori superficiali — sternocleidomastoideo e scaleni — che sono muscoli di forza, non di controllo. Il cambio si misura con l’elettromiografia già a un mese dall’incidente, ed è stato misurato su 66 pazienti seguiti prospetticamente (Sterling,</w:t>
      </w:r>
      <w:r>
        <w:t xml:space="preserve"> </w:t>
      </w:r>
      <w:r>
        <w:rPr>
          <w:i/>
          <w:iCs/>
        </w:rPr>
        <w:t xml:space="preserve">Pain</w:t>
      </w:r>
      <w:r>
        <w:t xml:space="preserve"> </w:t>
      </w:r>
      <w:r>
        <w:t xml:space="preserve">2003, PMID 12749960).</w:t>
      </w:r>
    </w:p>
    <w:p>
      <w:pPr>
        <w:pStyle w:val="BodyText"/>
      </w:pPr>
      <w:r>
        <w:t xml:space="preserve">E non sono solo un tirante che tiene allineati i segmenti a bassa forza. Fra i muscoli cervicali profondi in cui i</w:t>
      </w:r>
      <w:r>
        <w:t xml:space="preserve"> </w:t>
      </w:r>
      <w:r>
        <w:rPr>
          <w:b/>
          <w:bCs/>
        </w:rPr>
        <w:t xml:space="preserve">fusi neuromuscolari</w:t>
      </w:r>
      <w:r>
        <w:t xml:space="preserve"> </w:t>
      </w:r>
      <w:r>
        <w:t xml:space="preserve">— i sensori di lunghezza dentro il muscolo — sono stati contati con</w:t>
      </w:r>
      <w:r>
        <w:t xml:space="preserve"> </w:t>
      </w:r>
      <w:r>
        <w:rPr>
          <w:b/>
          <w:bCs/>
        </w:rPr>
        <w:t xml:space="preserve">metodo stereologico</w:t>
      </w:r>
      <w:r>
        <w:t xml:space="preserve">, cioè campionando il preparato in modo sistematico, il</w:t>
      </w:r>
      <w:r>
        <w:t xml:space="preserve"> </w:t>
      </w:r>
      <w:r>
        <w:rPr>
          <w:b/>
          <w:bCs/>
        </w:rPr>
        <w:t xml:space="preserve">lungo del collo</w:t>
      </w:r>
      <w:r>
        <w:t xml:space="preserve"> </w:t>
      </w:r>
      <w:r>
        <w:t xml:space="preserve">è quello ad</w:t>
      </w:r>
      <w:r>
        <w:t xml:space="preserve"> </w:t>
      </w:r>
      <w:r>
        <w:rPr>
          <w:b/>
          <w:bCs/>
        </w:rPr>
        <w:t xml:space="preserve">alta densità</w:t>
      </w:r>
      <w:r>
        <w:t xml:space="preserve">: raggruppati e concentrati antero-lateralmente. Il multifido cervicale basso ne ha invece pochi e sparsi (Boyd-Clark,</w:t>
      </w:r>
      <w:r>
        <w:t xml:space="preserve"> </w:t>
      </w:r>
      <w:r>
        <w:rPr>
          <w:i/>
          <w:iCs/>
        </w:rPr>
        <w:t xml:space="preserve">Spine</w:t>
      </w:r>
      <w:r>
        <w:t xml:space="preserve"> </w:t>
      </w:r>
      <w:r>
        <w:t xml:space="preserve">2002, PMID 11923661: blocchi da C5 a C7 su sedici autopsie fra 4 e 77 anni, differenza significativa e stabile con l’età). Il muscolo che il test di flessione cranio-cervicale interroga è anche quello che porta i sensori, ed è il bersaglio dell’esercizio del Capitolo 12.</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il cambio di reclutamento dopo il trauma.</w:t>
      </w:r>
      <w:r>
        <w:t xml:space="preserve"> </w:t>
      </w:r>
      <w:r>
        <w:rPr>
          <w:b/>
          <w:bCs/>
        </w:rPr>
        <w:t xml:space="preserve">DIMOSTRATO nel cadavere</w:t>
      </w:r>
      <w:r>
        <w:t xml:space="preserve"> </w:t>
      </w:r>
      <w:r>
        <w:rPr>
          <w:i/>
          <w:iCs/>
        </w:rPr>
        <w:t xml:space="preserve">(studi solidi, ma su preparato anatomico)</w:t>
      </w:r>
      <w:r>
        <w:t xml:space="preserve"> </w:t>
      </w:r>
      <w:r>
        <w:t xml:space="preserve">la densità di fusi: contati su preparato, dicono quanti sensori ci sono, non quanto bene funzionano dopo un trauma.</w:t>
      </w:r>
    </w:p>
    <w:bookmarkEnd w:id="22"/>
    <w:bookmarkStart w:id="23" w:name="X5bbf1d6b2f2fd1bf20314eea27732312bc7fd15"/>
    <w:p>
      <w:pPr>
        <w:pStyle w:val="Heading3"/>
      </w:pPr>
      <w:r>
        <w:t xml:space="preserve">Gli estensori profondi — multifido e retti posteriori della testa</w:t>
      </w:r>
    </w:p>
    <w:p>
      <w:pPr>
        <w:pStyle w:val="FirstParagraph"/>
      </w:pPr>
      <w:r>
        <w:rPr>
          <w:b/>
          <w:bCs/>
        </w:rPr>
        <w:t xml:space="preserve">Perché conta qui.</w:t>
      </w:r>
      <w:r>
        <w:t xml:space="preserve"> </w:t>
      </w:r>
      <w:r>
        <w:t xml:space="preserve">Due ragioni.</w:t>
      </w:r>
    </w:p>
    <w:p>
      <w:pPr>
        <w:pStyle w:val="BodyText"/>
      </w:pPr>
      <w:r>
        <w:t xml:space="preserve">La prima è il grasso. Nei pazienti con sintomi persistenti questi muscoli mostrano più grasso infiltrato dei sani, con il picco nei retti posteriori e nel multifido a C3. Lo studio è trasversale, su 113 donne fra 18 e 45 anni, e l’infiltrazione risultava</w:t>
      </w:r>
      <w:r>
        <w:t xml:space="preserve"> </w:t>
      </w:r>
      <w:r>
        <w:rPr>
          <w:b/>
          <w:bCs/>
        </w:rPr>
        <w:t xml:space="preserve">indipendente</w:t>
      </w:r>
      <w:r>
        <w:t xml:space="preserve"> </w:t>
      </w:r>
      <w:r>
        <w:t xml:space="preserve">da dolore, disabilità, stato risarcitorio e durata dei sintomi (Elliott,</w:t>
      </w:r>
      <w:r>
        <w:t xml:space="preserve"> </w:t>
      </w:r>
      <w:r>
        <w:rPr>
          <w:i/>
          <w:iCs/>
        </w:rPr>
        <w:t xml:space="preserve">Spine</w:t>
      </w:r>
      <w:r>
        <w:t xml:space="preserve"> </w:t>
      </w:r>
      <w:r>
        <w:t xml:space="preserve">2006, PMID 17047533).</w:t>
      </w:r>
    </w:p>
    <w:p>
      <w:pPr>
        <w:pStyle w:val="BodyText"/>
      </w:pPr>
      <w:r>
        <w:t xml:space="preserve">La seconda sono i sensori. I</w:t>
      </w:r>
      <w:r>
        <w:t xml:space="preserve"> </w:t>
      </w:r>
      <w:r>
        <w:rPr>
          <w:b/>
          <w:bCs/>
        </w:rPr>
        <w:t xml:space="preserve">sub-occipitali</w:t>
      </w:r>
      <w:r>
        <w:t xml:space="preserve"> </w:t>
      </w:r>
      <w:r>
        <w:t xml:space="preserve">sono densissimi di</w:t>
      </w:r>
      <w:r>
        <w:t xml:space="preserve"> </w:t>
      </w:r>
      <w:r>
        <w:rPr>
          <w:b/>
          <w:bCs/>
        </w:rPr>
        <w:t xml:space="preserve">fusi neuromuscolari</w:t>
      </w:r>
      <w:r>
        <w:t xml:space="preserve">, i sensori di lunghezza che dicono al cervello dove sta la testa: 242 fusi per grammo nell’obliquo inferiore, 190 nel superiore, 98 nel retto posteriore, e nessun organo tendineo di Golgi (Kulkarni,</w:t>
      </w:r>
      <w:r>
        <w:t xml:space="preserve"> </w:t>
      </w:r>
      <w:r>
        <w:rPr>
          <w:i/>
          <w:iCs/>
        </w:rPr>
        <w:t xml:space="preserve">Neurol India</w:t>
      </w:r>
      <w:r>
        <w:t xml:space="preserve"> </w:t>
      </w:r>
      <w:r>
        <w:t xml:space="preserve">2001, PMID 11799407 — contati su feti umani nati morti).</w:t>
      </w:r>
      <w:r>
        <w:t xml:space="preserve"> </w:t>
      </w:r>
      <w:r>
        <w:rPr>
          <w:b/>
          <w:bCs/>
        </w:rPr>
        <w:t xml:space="preserve">Il multifido cervicale basso, invece, ne ha pochi.</w:t>
      </w:r>
      <w:r>
        <w:t xml:space="preserve"> </w:t>
      </w:r>
      <w:r>
        <w:t xml:space="preserve">L’argomento del collo come organo di senso poggia sui sub-occipitali e sul lungo del collo, non su tutto lo strato profondo. È il collegamento fra un collo traumatizzato e una testa che gira.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l’infiltrazione di grasso esista e sia misurabile.</w:t>
      </w:r>
      <w:r>
        <w:t xml:space="preserve"> </w:t>
      </w:r>
      <w:r>
        <w:rPr>
          <w:b/>
          <w:bCs/>
        </w:rPr>
        <w:t xml:space="preserve">RAGIONAMENTO</w:t>
      </w:r>
      <w:r>
        <w:t xml:space="preserve"> </w:t>
      </w:r>
      <w:r>
        <w:rPr>
          <w:i/>
          <w:iCs/>
        </w:rPr>
        <w:t xml:space="preserve">(cornice clinica, non una prova)</w:t>
      </w:r>
      <w:r>
        <w:t xml:space="preserve"> </w:t>
      </w:r>
      <w:r>
        <w:t xml:space="preserve">che sia un bersaglio: nello studio trasversale non correlava con dolore né disabilità.</w:t>
      </w:r>
      <w:r>
        <w:t xml:space="preserve"> </w:t>
      </w:r>
      <w:r>
        <w:rPr>
          <w:b/>
          <w:bCs/>
        </w:rPr>
        <w:t xml:space="preserve">DIMOSTRATO nel feto</w:t>
      </w:r>
      <w:r>
        <w:t xml:space="preserve"> </w:t>
      </w:r>
      <w:r>
        <w:rPr>
          <w:i/>
          <w:iCs/>
        </w:rPr>
        <w:t xml:space="preserve">(studi solidi, ma su preparato anatomico fetale)</w:t>
      </w:r>
      <w:r>
        <w:t xml:space="preserve"> </w:t>
      </w:r>
      <w:r>
        <w:t xml:space="preserve">la densità di fusi dei sub-occipitali: la specie è umana, lo stadio non è adulto, e il comparativo «fra le più alte del corpo» in quello studio non c’è.</w:t>
      </w:r>
    </w:p>
    <w:bookmarkEnd w:id="23"/>
    <w:bookmarkStart w:id="24" w:name="Xa23f2393e5e7ac68dda8f67351d74cade98296e"/>
    <w:p>
      <w:pPr>
        <w:pStyle w:val="Heading3"/>
      </w:pPr>
      <w:r>
        <w:t xml:space="preserve">Il complesso cranio-cervicale — occipite, atlante, epistrofeo</w:t>
      </w:r>
    </w:p>
    <w:p>
      <w:pPr>
        <w:pStyle w:val="FirstParagraph"/>
      </w:pPr>
      <w:r>
        <w:rPr>
          <w:b/>
          <w:bCs/>
        </w:rPr>
        <w:t xml:space="preserve">Perché conta qui.</w:t>
      </w:r>
      <w:r>
        <w:t xml:space="preserve"> </w:t>
      </w:r>
      <w:r>
        <w:t xml:space="preserve">Sono le due articolazioni più mobili del rachide, limitate dai legamenti alari e dal trasverso. È il distretto in cui il paziente perde per primo escursione, ed è quello che dà il mal di testa che parte dalla nuca.</w:t>
      </w:r>
    </w:p>
    <w:p>
      <w:pPr>
        <w:pStyle w:val="BodyText"/>
      </w:pPr>
      <w:r>
        <w:t xml:space="preserve">Ed è quello da conoscere prima di toccarlo, per una ragione anatomica precisa. Nel</w:t>
      </w:r>
      <w:r>
        <w:t xml:space="preserve"> </w:t>
      </w:r>
      <w:r>
        <w:rPr>
          <w:b/>
          <w:bCs/>
        </w:rPr>
        <w:t xml:space="preserve">triangolo sub-occipitale</w:t>
      </w:r>
      <w:r>
        <w:t xml:space="preserve">, fra atlante ed epistrofeo, corre il</w:t>
      </w:r>
      <w:r>
        <w:t xml:space="preserve"> </w:t>
      </w:r>
      <w:r>
        <w:rPr>
          <w:b/>
          <w:bCs/>
        </w:rPr>
        <w:t xml:space="preserve">segmento V3 dell’arteria vertebrale</w:t>
      </w:r>
      <w:r>
        <w:t xml:space="preserve">, sede più frequente di dissezione. Non è prudenza generica: è il motivo per cui il Capitolo 9 dedica a questo distretto un cancello suo, diverso da quello della frattura.</w:t>
      </w:r>
    </w:p>
    <w:p>
      <w:pPr>
        <w:pStyle w:val="BlockText"/>
      </w:pPr>
      <w:r>
        <w:rPr>
          <w:b/>
          <w:bCs/>
        </w:rPr>
        <w:t xml:space="preserve">Quanto è solido:</w:t>
      </w:r>
      <w:r>
        <w:t xml:space="preserve"> </w:t>
      </w:r>
      <w:r>
        <w:rPr>
          <w:b/>
          <w:bCs/>
        </w:rPr>
        <w:t xml:space="preserve">IPOTESI</w:t>
      </w:r>
      <w:r>
        <w:t xml:space="preserve"> </w:t>
      </w:r>
      <w:r>
        <w:rPr>
          <w:i/>
          <w:iCs/>
        </w:rPr>
        <w:t xml:space="preserve">(meccanismo coerente, prove contrarie)</w:t>
      </w:r>
      <w:r>
        <w:t xml:space="preserve"> </w:t>
      </w:r>
      <w:r>
        <w:t xml:space="preserve">che il trauma produca una lassità dei legamenti alari riconoscibile in clinica: i segnali di risonanza descritti a suo tempo non sono stati confermati come correlati ai WAD. Nessun test, nessun gesto.</w:t>
      </w:r>
    </w:p>
    <w:bookmarkEnd w:id="24"/>
    <w:bookmarkStart w:id="25" w:name="Xdf4b7de193efcb64d03c6dd174c2114f3d4dadc"/>
    <w:p>
      <w:pPr>
        <w:pStyle w:val="Heading3"/>
      </w:pPr>
      <w:r>
        <w:t xml:space="preserve">Il passaggio cervico-dorsale e la prima costa</w:t>
      </w:r>
    </w:p>
    <w:p>
      <w:pPr>
        <w:pStyle w:val="FirstParagraph"/>
      </w:pPr>
      <w:r>
        <w:rPr>
          <w:b/>
          <w:bCs/>
        </w:rPr>
        <w:t xml:space="preserve">Perché conta qui.</w:t>
      </w:r>
      <w:r>
        <w:t xml:space="preserve"> </w:t>
      </w:r>
      <w:r>
        <w:t xml:space="preserve">Nella meccanica a S sono i livelli bassi ad andare oltre la corsa fisiologica: il carico non finisce dove il paziente indica il dolore. Ed</w:t>
      </w:r>
      <w:r>
        <w:t xml:space="preserve"> </w:t>
      </w:r>
      <w:r>
        <w:rPr>
          <w:b/>
          <w:bCs/>
        </w:rPr>
        <w:t xml:space="preserve">è un piano di escursione indipendente da quello cervicale</w:t>
      </w:r>
      <w:r>
        <w:t xml:space="preserve">. Per questo la rotazione toracica seduto è il marker che ti dice se il piano che hai scelto comandava.</w:t>
      </w:r>
    </w:p>
    <w:p>
      <w:pPr>
        <w:pStyle w:val="BodyText"/>
      </w:pPr>
      <w:r>
        <w:rPr>
          <w:b/>
          <w:bCs/>
        </w:rPr>
        <w:t xml:space="preserve">Il posto che duole e il posto che comanda non coincidono.</w:t>
      </w:r>
      <w:r>
        <w:t xml:space="preserve"> </w:t>
      </w:r>
      <w:r>
        <w:t xml:space="preserve">Vale per il piano che comanda, non per il bersaglio: qui il collo che fa male si tratta (Capitolo 8).</w:t>
      </w:r>
    </w:p>
    <w:bookmarkEnd w:id="25"/>
    <w:bookmarkStart w:id="26" w:name="larticolazione-temporo-mandibolare"/>
    <w:p>
      <w:pPr>
        <w:pStyle w:val="Heading3"/>
      </w:pPr>
      <w:r>
        <w:t xml:space="preserve">L’articolazione temporo-mandibolare</w:t>
      </w:r>
    </w:p>
    <w:p>
      <w:pPr>
        <w:pStyle w:val="FirstParagraph"/>
      </w:pPr>
      <w:r>
        <w:rPr>
          <w:b/>
          <w:bCs/>
        </w:rPr>
        <w:t xml:space="preserve">Perché conta qui.</w:t>
      </w:r>
      <w:r>
        <w:t xml:space="preserve"> </w:t>
      </w:r>
      <w:r>
        <w:t xml:space="preserve">Circa</w:t>
      </w:r>
      <w:r>
        <w:t xml:space="preserve"> </w:t>
      </w:r>
      <w:r>
        <w:rPr>
          <w:b/>
          <w:bCs/>
        </w:rPr>
        <w:t xml:space="preserve">un paziente su cinque</w:t>
      </w:r>
      <w:r>
        <w:t xml:space="preserve"> </w:t>
      </w:r>
      <w:r>
        <w:t xml:space="preserve">ha dolore temporo-mandibolare già nelle prime settimane, e circa</w:t>
      </w:r>
      <w:r>
        <w:t xml:space="preserve"> </w:t>
      </w:r>
      <w:r>
        <w:rPr>
          <w:b/>
          <w:bCs/>
        </w:rPr>
        <w:t xml:space="preserve">uno su quattro</w:t>
      </w:r>
      <w:r>
        <w:t xml:space="preserve"> </w:t>
      </w:r>
      <w:r>
        <w:t xml:space="preserve">quando il quadro dura. I numeri: prevalenza media 18,9% in fase acuta (IC 95% 9,71-29,98) e 26,8% nel cronico (15,07-38,79), contro 5,7% (3,08-8,96) in chi non ha avuto il trauma — quattordici studi, oltre novemila casi (Häggman-Henrikson,</w:t>
      </w:r>
      <w:r>
        <w:t xml:space="preserve"> </w:t>
      </w:r>
      <w:r>
        <w:rPr>
          <w:i/>
          <w:iCs/>
        </w:rPr>
        <w:t xml:space="preserve">Eur J Pain</w:t>
      </w:r>
      <w:r>
        <w:t xml:space="preserve"> </w:t>
      </w:r>
      <w:r>
        <w:t xml:space="preserve">2025, PMID 39921489).</w:t>
      </w:r>
    </w:p>
    <w:p>
      <w:pPr>
        <w:pStyle w:val="BodyText"/>
      </w:pPr>
      <w:r>
        <w:t xml:space="preserve">Gli autori concludono tre cose: la prevalenza è già alta nell’acuto, non cala quando il quadro diventa cronico, e serve una valutazione precoce invece dell’attesa. Perciò la mandibola si misura alla prima seduta. In stanza è la struttura che nessuno ha aperto.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 prevalenza: è misurata dopo il trauma, e dice</w:t>
      </w:r>
      <w:r>
        <w:t xml:space="preserve"> </w:t>
      </w:r>
      <w:r>
        <w:rPr>
          <w:b/>
          <w:bCs/>
        </w:rPr>
        <w:t xml:space="preserve">quanti</w:t>
      </w:r>
      <w:r>
        <w:t xml:space="preserve"> </w:t>
      </w:r>
      <w:r>
        <w:t xml:space="preserve">ce l’hanno — non perché, né che tu possa toglierlo.</w:t>
      </w:r>
      <w:r>
        <w:t xml:space="preserve"> </w:t>
      </w:r>
      <w:r>
        <w:rPr>
          <w:b/>
          <w:bCs/>
        </w:rPr>
        <w:t xml:space="preserve">IPOTESI</w:t>
      </w:r>
      <w:r>
        <w:t xml:space="preserve"> </w:t>
      </w:r>
      <w:r>
        <w:rPr>
          <w:i/>
          <w:iCs/>
        </w:rPr>
        <w:t xml:space="preserve">(meccanismo coerente, nessuno studio)</w:t>
      </w:r>
      <w:r>
        <w:t xml:space="preserve"> </w:t>
      </w:r>
      <w:r>
        <w:t xml:space="preserve">che qui la posizione della testa cambi il lavoro dei masticatori fino a produrre il sintomo: nessuno l’ha misurato, e non esiste una differenza minima rilevabile pubblicata per l’apertura in millimetri.</w:t>
      </w:r>
    </w:p>
    <w:bookmarkEnd w:id="26"/>
    <w:bookmarkStart w:id="27" w:name="X186b619e85aff4d9aacae3db9f647b683fc49bf"/>
    <w:p>
      <w:pPr>
        <w:pStyle w:val="Heading3"/>
      </w:pPr>
      <w:r>
        <w:t xml:space="preserve">La chicca — dove il collo e la faccia si incontrano</w:t>
      </w:r>
    </w:p>
    <w:p>
      <w:pPr>
        <w:pStyle w:val="FirstParagraph"/>
      </w:pPr>
      <w:r>
        <w:rPr>
          <w:b/>
          <w:bCs/>
        </w:rPr>
        <w:t xml:space="preserve">Cos’è e cosa fa.</w:t>
      </w:r>
      <w:r>
        <w:t xml:space="preserve"> </w:t>
      </w:r>
      <w:r>
        <w:t xml:space="preserve">Il</w:t>
      </w:r>
      <w:r>
        <w:t xml:space="preserve"> </w:t>
      </w:r>
      <w:r>
        <w:rPr>
          <w:b/>
          <w:bCs/>
        </w:rPr>
        <w:t xml:space="preserve">nucleo trigemino-cervicale</w:t>
      </w:r>
      <w:r>
        <w:t xml:space="preserve"> </w:t>
      </w:r>
      <w:r>
        <w:t xml:space="preserve">è il punto del tronco encefalico in cui due segnali finiscono sugli</w:t>
      </w:r>
      <w:r>
        <w:t xml:space="preserve"> </w:t>
      </w:r>
      <w:r>
        <w:rPr>
          <w:b/>
          <w:bCs/>
        </w:rPr>
        <w:t xml:space="preserve">stessi neuroni di secondo ordine</w:t>
      </w:r>
      <w:r>
        <w:t xml:space="preserve">: le afferenze nocicettive del trigemino, cioè la sensibilità della faccia, e quelle delle prime tre radici cervicali. Questa è la</w:t>
      </w:r>
      <w:r>
        <w:t xml:space="preserve"> </w:t>
      </w:r>
      <w:r>
        <w:rPr>
          <w:b/>
          <w:bCs/>
        </w:rPr>
        <w:t xml:space="preserve">convergenza trigemino-cervicale</w:t>
      </w:r>
      <w:r>
        <w:t xml:space="preserve">, e rende indistinguibili a valle due segnali che partono da posti diversi. Solo le strutture innervate da C1-C3 producono cefalea per questa via (Bogduk,</w:t>
      </w:r>
      <w:r>
        <w:t xml:space="preserve"> </w:t>
      </w:r>
      <w:r>
        <w:rPr>
          <w:i/>
          <w:iCs/>
        </w:rPr>
        <w:t xml:space="preserve">J Manipulative Physiol Ther</w:t>
      </w:r>
      <w:r>
        <w:t xml:space="preserve"> </w:t>
      </w:r>
      <w:r>
        <w:t xml:space="preserve">1992, PMID 1740655 — l’ancora fisiologica di questa Bibbia).</w:t>
      </w:r>
    </w:p>
    <w:p>
      <w:pPr>
        <w:pStyle w:val="BodyText"/>
      </w:pPr>
      <w:r>
        <w:rPr>
          <w:b/>
          <w:bCs/>
        </w:rPr>
        <w:t xml:space="preserve">Perché conta qui.</w:t>
      </w:r>
      <w:r>
        <w:t xml:space="preserve"> </w:t>
      </w:r>
      <w:r>
        <w:t xml:space="preserve">Spiega in un colpo solo tre cose: perché un collo traumatizzato produce mal di testa, perché quel dolore arriva in fronte e dietro l’occhio, e perché la mandibola entra nel quadro. E cambia dove guardi: l’origine si cerca a</w:t>
      </w:r>
      <w:r>
        <w:t xml:space="preserve"> </w:t>
      </w:r>
      <w:r>
        <w:rPr>
          <w:b/>
          <w:bCs/>
        </w:rPr>
        <w:t xml:space="preserve">C1-C3</w:t>
      </w:r>
      <w:r>
        <w:t xml:space="preserve">, non ai livelli bassi dove sta la lesione capsulare.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 afferenze convergano e che la cefalea da sorgente cervicale alta esista, confermata con blocchi diagnostici controllati (Capitolo 5, meccanismo 1).</w:t>
      </w:r>
      <w:r>
        <w:t xml:space="preserve"> </w:t>
      </w:r>
      <w:r>
        <w:rPr>
          <w:b/>
          <w:bCs/>
        </w:rPr>
        <w:t xml:space="preserve">IPOTESI</w:t>
      </w:r>
      <w:r>
        <w:t xml:space="preserve"> </w:t>
      </w:r>
      <w:r>
        <w:rPr>
          <w:i/>
          <w:iCs/>
        </w:rPr>
        <w:t xml:space="preserve">(meccanismo coerente, nessuno studio)</w:t>
      </w:r>
      <w:r>
        <w:t xml:space="preserve"> </w:t>
      </w:r>
      <w:r>
        <w:t xml:space="preserve">che il tuo esame manuale identifichi il livello.</w:t>
      </w:r>
    </w:p>
    <w:p>
      <w:pPr>
        <w:pStyle w:val="FirstParagraph"/>
      </w:pPr>
      <w:r>
        <w:rPr>
          <w:b/>
          <w:bCs/>
        </w:rPr>
        <w:t xml:space="preserve">Una nota anatomica da tenere in testa.</w:t>
      </w:r>
      <w:r>
        <w:t xml:space="preserve"> </w:t>
      </w:r>
      <w:r>
        <w:t xml:space="preserve">Il</w:t>
      </w:r>
      <w:r>
        <w:t xml:space="preserve"> </w:t>
      </w:r>
      <w:r>
        <w:rPr>
          <w:b/>
          <w:bCs/>
        </w:rPr>
        <w:t xml:space="preserve">retto posteriore minore della testa</w:t>
      </w:r>
      <w:r>
        <w:t xml:space="preserve"> </w:t>
      </w:r>
      <w:r>
        <w:t xml:space="preserve">è collegato alla</w:t>
      </w:r>
      <w:r>
        <w:t xml:space="preserve"> </w:t>
      </w:r>
      <w:r>
        <w:rPr>
          <w:b/>
          <w:bCs/>
        </w:rPr>
        <w:t xml:space="preserve">dura madre</w:t>
      </w:r>
      <w:r>
        <w:t xml:space="preserve"> </w:t>
      </w:r>
      <w:r>
        <w:t xml:space="preserve">dal</w:t>
      </w:r>
      <w:r>
        <w:t xml:space="preserve"> </w:t>
      </w:r>
      <w:r>
        <w:rPr>
          <w:b/>
          <w:bCs/>
        </w:rPr>
        <w:t xml:space="preserve">ponte miodurale</w:t>
      </w:r>
      <w:r>
        <w:t xml:space="preserve">, un tratto di connettivo che attraversa lo spazio fra occipite e atlante.</w:t>
      </w:r>
      <w:r>
        <w:t xml:space="preserve"> </w:t>
      </w:r>
      <w:r>
        <w:rPr>
          <w:b/>
          <w:bCs/>
        </w:rPr>
        <w:t xml:space="preserve">DIMOSTRATO nel cadavere</w:t>
      </w:r>
      <w:r>
        <w:t xml:space="preserve"> </w:t>
      </w:r>
      <w:r>
        <w:rPr>
          <w:i/>
          <w:iCs/>
        </w:rPr>
        <w:t xml:space="preserve">(studi solidi, ma su preparato anatomico)</w:t>
      </w:r>
      <w:r>
        <w:t xml:space="preserve"> </w:t>
      </w:r>
      <w:r>
        <w:t xml:space="preserve">che la connessione esista;</w:t>
      </w:r>
      <w:r>
        <w:t xml:space="preserve"> </w:t>
      </w:r>
      <w:r>
        <w:rPr>
          <w:b/>
          <w:bCs/>
        </w:rPr>
        <w:t xml:space="preserve">IPOTESI</w:t>
      </w:r>
      <w:r>
        <w:t xml:space="preserve"> </w:t>
      </w:r>
      <w:r>
        <w:rPr>
          <w:i/>
          <w:iCs/>
        </w:rPr>
        <w:t xml:space="preserve">(meccanismo coerente, nessuno studio)</w:t>
      </w:r>
      <w:r>
        <w:t xml:space="preserve"> </w:t>
      </w:r>
      <w:r>
        <w:t xml:space="preserve">che modificarne la tensione con le mani cambi qualcosa di misurabile.</w:t>
      </w:r>
    </w:p>
    <w:p>
      <w:pPr>
        <w:pStyle w:val="BodyText"/>
      </w:pPr>
      <w:r>
        <w:rPr>
          <w:b/>
          <w:bCs/>
        </w:rPr>
        <w:t xml:space="preserve">Le tre cose da ricordare, più una</w:t>
      </w:r>
    </w:p>
    <w:p>
      <w:pPr>
        <w:pStyle w:val="Compact"/>
        <w:numPr>
          <w:ilvl w:val="0"/>
          <w:numId w:val="1011"/>
        </w:numPr>
      </w:pPr>
      <w:r>
        <w:t xml:space="preserve">Le strutture che contano stanno dietro e in alto — faccette, estensori profondi, cerniera — più una sotto: il passaggio cervico-dorsale, il piano su cui verifichi di non esserti dato ragione da solo.</w:t>
      </w:r>
    </w:p>
    <w:p>
      <w:pPr>
        <w:pStyle w:val="Compact"/>
        <w:numPr>
          <w:ilvl w:val="0"/>
          <w:numId w:val="1011"/>
        </w:numPr>
      </w:pPr>
      <w:r>
        <w:t xml:space="preserve">Il collo qui è prima di tutto un organo di senso: se il segnale è sporco, il sintomo può essere una testa che gira e non un collo che fa male.</w:t>
      </w:r>
    </w:p>
    <w:p>
      <w:pPr>
        <w:pStyle w:val="Compact"/>
        <w:numPr>
          <w:ilvl w:val="0"/>
          <w:numId w:val="1011"/>
        </w:numPr>
      </w:pPr>
      <w:r>
        <w:t xml:space="preserve">Nel triangolo sub-occipitale passa l’arteria vertebrale, sede più frequente di dissezione: quel distretto si conosce prima di trattarlo.</w:t>
      </w:r>
    </w:p>
    <w:p>
      <w:pPr>
        <w:pStyle w:val="Compact"/>
        <w:numPr>
          <w:ilvl w:val="0"/>
          <w:numId w:val="1011"/>
        </w:numPr>
      </w:pPr>
      <w:r>
        <w:rPr>
          <w:b/>
          <w:bCs/>
        </w:rPr>
        <w:t xml:space="preserve">Perché ci sei tu.</w:t>
      </w:r>
      <w:r>
        <w:t xml:space="preserve"> </w:t>
      </w:r>
      <w:r>
        <w:t xml:space="preserve">Su 68 pazienti inviati a un centro specialistico, sei su dieci avevano un dolore che nasceva dalle articolazioni zigapofisarie, confermato con blocchi controllati con placebo (Lord, 1996, PMID 8855458). Ti autorizza a dire che il bersaglio è una struttura reale. Non a dire quale articolazione è — la distinzione la fa un blocco, non la tua mano — né a trasferire quella percentuale a un paziente non selezionato come quelli.</w:t>
      </w:r>
    </w:p>
    <w:p>
      <w:r>
        <w:pict>
          <v:rect style="width:0;height:1.5pt" o:hralign="center" o:hrstd="t" o:hr="t"/>
        </w:pict>
      </w:r>
    </w:p>
    <w:bookmarkEnd w:id="27"/>
    <w:bookmarkEnd w:id="28"/>
    <w:bookmarkStart w:id="29"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il collo sano fa due mestieri insieme — regge la testa e dice al cervello dove si trova — e il colpo di frusta rompe soprattutto il secondo.</w:t>
      </w:r>
    </w:p>
    <w:p>
      <w:pPr>
        <w:pStyle w:val="FirstParagraph"/>
      </w:pPr>
      <w:r>
        <w:t xml:space="preserve">Sei passaggi, in ordine.</w:t>
      </w:r>
    </w:p>
    <w:p>
      <w:pPr>
        <w:numPr>
          <w:ilvl w:val="0"/>
          <w:numId w:val="1012"/>
        </w:numPr>
      </w:pPr>
      <w:r>
        <w:rPr>
          <w:b/>
          <w:bCs/>
        </w:rPr>
        <w:t xml:space="preserve">I sensori raccolgono.</w:t>
      </w:r>
      <w:r>
        <w:t xml:space="preserve"> </w:t>
      </w:r>
      <w:r>
        <w:t xml:space="preserve">I fusi neuromuscolari dei muscoli profondi del collo misurano in continuo la lunghezza del muscolo. Il segnale è denso e preciso, perché lì i sensori sono tantissimi e le leve corte.</w:t>
      </w:r>
    </w:p>
    <w:p>
      <w:pPr>
        <w:numPr>
          <w:ilvl w:val="0"/>
          <w:numId w:val="1012"/>
        </w:numPr>
      </w:pPr>
      <w:r>
        <w:rPr>
          <w:b/>
          <w:bCs/>
        </w:rPr>
        <w:t xml:space="preserve">Il segnale si somma agli altri due.</w:t>
      </w:r>
      <w:r>
        <w:t xml:space="preserve"> </w:t>
      </w:r>
      <w:r>
        <w:t xml:space="preserve">Il cervello confronta l’informazione del collo con quella dell’orecchio interno e degli occhi.</w:t>
      </w:r>
    </w:p>
    <w:p>
      <w:pPr>
        <w:numPr>
          <w:ilvl w:val="0"/>
          <w:numId w:val="1012"/>
        </w:numPr>
      </w:pPr>
      <w:r>
        <w:rPr>
          <w:b/>
          <w:bCs/>
        </w:rPr>
        <w:t xml:space="preserve">Il controllo motorio lavora su due strati.</w:t>
      </w:r>
      <w:r>
        <w:t xml:space="preserve"> </w:t>
      </w:r>
      <w:r>
        <w:t xml:space="preserve">Il profondo regge i segmenti a bassa forza e in continuo. Il superficiale — sternocleidomastoideo, scaleni, trapezio superiore — entra quando serve forza o velocità. In un collo che funziona i due non si scambiano i ruoli.</w:t>
      </w:r>
    </w:p>
    <w:p>
      <w:pPr>
        <w:numPr>
          <w:ilvl w:val="0"/>
          <w:numId w:val="1012"/>
        </w:numPr>
      </w:pPr>
      <w:r>
        <w:rPr>
          <w:b/>
          <w:bCs/>
        </w:rPr>
        <w:t xml:space="preserve">La protezione è rapida e temporanea.</w:t>
      </w:r>
      <w:r>
        <w:t xml:space="preserve"> </w:t>
      </w:r>
      <w:r>
        <w:t xml:space="preserve">Davanti a un’accelerazione improvvisa i muscoli si contraggono per limitare l’escursione. Nel collo sano quella risposta si spegne quando l’evento è finito.</w:t>
      </w:r>
    </w:p>
    <w:p>
      <w:pPr>
        <w:numPr>
          <w:ilvl w:val="0"/>
          <w:numId w:val="1012"/>
        </w:numPr>
      </w:pPr>
      <w:r>
        <w:rPr>
          <w:b/>
          <w:bCs/>
        </w:rPr>
        <w:t xml:space="preserve">Il freno del dolore funziona.</w:t>
      </w:r>
      <w:r>
        <w:t xml:space="preserve"> </w:t>
      </w:r>
      <w:r>
        <w:t xml:space="preserve">Nel sistema sano esiste una</w:t>
      </w:r>
      <w:r>
        <w:t xml:space="preserve"> </w:t>
      </w:r>
      <w:r>
        <w:rPr>
          <w:b/>
          <w:bCs/>
        </w:rPr>
        <w:t xml:space="preserve">modulazione discendente</w:t>
      </w:r>
      <w:r>
        <w:t xml:space="preserve">: vie che scendono dal tronco encefalico e abbassano il guadagno del segnale doloroso, come la manopola del volume che lascia la canzone identica e cambia quanto la senti. Si accendono con il movimento, con un secondo stimolo, con il contatto. Tienila a mente: è il sistema che nel sottogruppo che non recupera smette di accendersi.</w:t>
      </w:r>
    </w:p>
    <w:p>
      <w:pPr>
        <w:numPr>
          <w:ilvl w:val="0"/>
          <w:numId w:val="1012"/>
        </w:numPr>
      </w:pPr>
      <w:r>
        <w:rPr>
          <w:b/>
          <w:bCs/>
        </w:rPr>
        <w:t xml:space="preserve">La riparazione segue i suoi tempi.</w:t>
      </w:r>
      <w:r>
        <w:t xml:space="preserve"> </w:t>
      </w:r>
      <w:r>
        <w:t xml:space="preserve">Una capsula stirata guarisce in settimane, e nel frattempo il sistema riduce l’escursione per proteggere. È un adattamento con una data di scadenza fisiologica.</w:t>
      </w:r>
    </w:p>
    <w:p>
      <w:pPr>
        <w:pStyle w:val="BlockText"/>
      </w:pPr>
      <w:r>
        <w:rPr>
          <w:b/>
          <w:bCs/>
        </w:rPr>
        <w:t xml:space="preserve">Cosa cambia per te.</w:t>
      </w:r>
      <w:r>
        <w:t xml:space="preserve"> </w:t>
      </w:r>
      <w:r>
        <w:t xml:space="preserve">Due dei sei passaggi decidono la seduta. Se salta il terzo — i due strati che si scambiano i ruoli — hai un bersaglio: restituisci escursione, rimetti il lavoro allo strato profondo, e il marker si muove dentro la seduta. Se salta il quinto — il freno che non si accende — quel bersaglio non c’è: il lavoro locale intenso non è la strada, e la verifica si sposta su un piano che non hai trattato.</w:t>
      </w:r>
    </w:p>
    <w:p>
      <w:pPr>
        <w:pStyle w:val="FirstParagraph"/>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Il collo è un organo di senso prima che una colonna: metà del suo lavoro è dire al cervello dove sta la testa.</w:t>
      </w:r>
    </w:p>
    <w:p>
      <w:pPr>
        <w:pStyle w:val="Compact"/>
        <w:numPr>
          <w:ilvl w:val="0"/>
          <w:numId w:val="1013"/>
        </w:numPr>
      </w:pPr>
      <w:r>
        <w:t xml:space="preserve">I due strati hanno mestieri diversi, e la differenza fra un collo sano e uno traumatizzato è spesso quale strato sta lavorando.</w:t>
      </w:r>
    </w:p>
    <w:p>
      <w:pPr>
        <w:pStyle w:val="Compact"/>
        <w:numPr>
          <w:ilvl w:val="0"/>
          <w:numId w:val="1013"/>
        </w:numPr>
      </w:pPr>
      <w:r>
        <w:t xml:space="preserve">Il freno discendente è una funzione normale, non un’idea: quando non si accende più, cambia tutto quello che puoi aspettarti da una seduta.</w:t>
      </w:r>
    </w:p>
    <w:p>
      <w:pPr>
        <w:pStyle w:val="Compact"/>
        <w:numPr>
          <w:ilvl w:val="0"/>
          <w:numId w:val="1013"/>
        </w:numPr>
      </w:pPr>
      <w:r>
        <w:rPr>
          <w:b/>
          <w:bCs/>
        </w:rPr>
        <w:t xml:space="preserve">Perché ci sei tu.</w:t>
      </w:r>
      <w:r>
        <w:t xml:space="preserve"> </w:t>
      </w:r>
      <w:r>
        <w:t xml:space="preserve">A un mese dall’incidente</w:t>
      </w:r>
      <w:r>
        <w:t xml:space="preserve"> </w:t>
      </w:r>
      <w:r>
        <w:rPr>
          <w:b/>
          <w:bCs/>
        </w:rPr>
        <w:t xml:space="preserve">tutti</w:t>
      </w:r>
      <w:r>
        <w:t xml:space="preserve"> </w:t>
      </w:r>
      <w:r>
        <w:t xml:space="preserve">i pazienti misurati — anche quelli che sarebbero guariti — avevano escursione ridotta e flessori superficiali più attivi rispetto ai controlli sani (Sterling,</w:t>
      </w:r>
      <w:r>
        <w:t xml:space="preserve"> </w:t>
      </w:r>
      <w:r>
        <w:rPr>
          <w:i/>
          <w:iCs/>
        </w:rPr>
        <w:t xml:space="preserve">Pain</w:t>
      </w:r>
      <w:r>
        <w:t xml:space="preserve"> </w:t>
      </w:r>
      <w:r>
        <w:t xml:space="preserve">2003, PMID 12749960). Ti autorizza a trattare una funzione alterata anche con la lastra normale. Non a leggerla come prognosi: ce l’avevano anche i guariti.</w:t>
      </w:r>
    </w:p>
    <w:p>
      <w:r>
        <w:pict>
          <v:rect style="width:0;height:1.5pt" o:hralign="center" o:hrstd="t" o:hr="t"/>
        </w:pict>
      </w:r>
    </w:p>
    <w:bookmarkEnd w:id="29"/>
    <w:bookmarkStart w:id="37"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paziente ne porta quasi sempre due o tre insieme; il tuo lavoro è capire quale comanda oggi.</w:t>
      </w:r>
    </w:p>
    <w:p>
      <w:pPr>
        <w:pStyle w:val="FirstParagraph"/>
      </w:pPr>
      <w:r>
        <w:t xml:space="preserve">I meccanismi sono ordinati</w:t>
      </w:r>
      <w:r>
        <w:t xml:space="preserve"> </w:t>
      </w:r>
      <w:r>
        <w:rPr>
          <w:b/>
          <w:bCs/>
        </w:rPr>
        <w:t xml:space="preserve">per solidità della prova che il meccanismo esiste</w:t>
      </w:r>
      <w:r>
        <w:t xml:space="preserve">, non per solidità della prova che tu possa agirci. Su quest’ultima l’ordine sarebbe diverso, e il quarto verrebbe secondo.</w:t>
      </w:r>
    </w:p>
    <w:bookmarkStart w:id="30" w:name="X9af6f8b718db0b8f48ae03c03ac9d7c601c3f83"/>
    <w:p>
      <w:pPr>
        <w:pStyle w:val="Heading3"/>
      </w:pPr>
      <w:r>
        <w:t xml:space="preserve">Prima dei meccanismi: che tipo di dolore hai davanti</w:t>
      </w:r>
    </w:p>
    <w:p>
      <w:pPr>
        <w:pStyle w:val="FirstParagraph"/>
      </w:pPr>
      <w:r>
        <w:t xml:space="preserve">Tre parole, per non confondere due pazienti che sembrano uguali.</w:t>
      </w:r>
    </w:p>
    <w:p>
      <w:pPr>
        <w:pStyle w:val="Compact"/>
        <w:numPr>
          <w:ilvl w:val="0"/>
          <w:numId w:val="1014"/>
        </w:numPr>
      </w:pPr>
      <w:r>
        <w:rPr>
          <w:b/>
          <w:bCs/>
        </w:rPr>
        <w:t xml:space="preserve">Nocicettivo</w:t>
      </w:r>
      <w:r>
        <w:t xml:space="preserve"> </w:t>
      </w:r>
      <w:r>
        <w:t xml:space="preserve">— da un tessuto danneggiato o sotto carico: ha confini, si riproduce con un movimento.</w:t>
      </w:r>
    </w:p>
    <w:p>
      <w:pPr>
        <w:pStyle w:val="Compact"/>
        <w:numPr>
          <w:ilvl w:val="0"/>
          <w:numId w:val="1014"/>
        </w:numPr>
      </w:pPr>
      <w:r>
        <w:rPr>
          <w:b/>
          <w:bCs/>
        </w:rPr>
        <w:t xml:space="preserve">Neuropatico</w:t>
      </w:r>
      <w:r>
        <w:t xml:space="preserve"> </w:t>
      </w:r>
      <w:r>
        <w:t xml:space="preserve">— da una lesione del sistema nervoso somatosensoriale: segue un nervo o una radice.</w:t>
      </w:r>
    </w:p>
    <w:p>
      <w:pPr>
        <w:pStyle w:val="Compact"/>
        <w:numPr>
          <w:ilvl w:val="0"/>
          <w:numId w:val="1014"/>
        </w:numPr>
      </w:pPr>
      <w:r>
        <w:rPr>
          <w:b/>
          <w:bCs/>
        </w:rPr>
        <w:t xml:space="preserve">Nociplastico</w:t>
      </w:r>
      <w:r>
        <w:t xml:space="preserve"> </w:t>
      </w:r>
      <w:r>
        <w:t xml:space="preserve">— da un’alterazione di come il segnale viene elaborato, senza che un danno tissutale lo spieghi per intero. I criteri minimi sono quattro: oltre tre mesi, distribuzione regionale o diffusa, dolore non spiegabile del tutto dal danno, segni di ipersensibilità nella regione dolorosa (Kosek,</w:t>
      </w:r>
      <w:r>
        <w:t xml:space="preserve"> </w:t>
      </w:r>
      <w:r>
        <w:rPr>
          <w:i/>
          <w:iCs/>
        </w:rPr>
        <w:t xml:space="preserve">Pain</w:t>
      </w:r>
      <w:r>
        <w:t xml:space="preserve"> </w:t>
      </w:r>
      <w:r>
        <w:t xml:space="preserve">2021, PMID 33974577 — fra gli autori c’è Sterling).</w:t>
      </w:r>
    </w:p>
    <w:p>
      <w:pPr>
        <w:pStyle w:val="FirstParagraph"/>
      </w:pPr>
      <w:r>
        <w:rPr>
          <w:b/>
          <w:bCs/>
        </w:rPr>
        <w:t xml:space="preserve">Perché ti serve.</w:t>
      </w:r>
      <w:r>
        <w:t xml:space="preserve"> </w:t>
      </w:r>
      <w:r>
        <w:t xml:space="preserve">I primi due meccanismi producono dolore prevalentemente nocicettivo, il terzo nociplastico, e i due non rispondono alla stessa cosa. Sul primo il carico locale e l’informazione fanno qualcosa; sul secondo l’ingresso arriva in un sistema che non filtra più.</w:t>
      </w:r>
    </w:p>
    <w:p>
      <w:pPr>
        <w:pStyle w:val="BodyText"/>
      </w:pPr>
      <w:r>
        <w:t xml:space="preserve">Una nota che evita un errore frequente. Nel cronico ipoestesia — zone meno sensibili del normale — e ipersensibilità coesistono, anche lontano dal collo (Chien,</w:t>
      </w:r>
      <w:r>
        <w:t xml:space="preserve"> </w:t>
      </w:r>
      <w:r>
        <w:rPr>
          <w:i/>
          <w:iCs/>
        </w:rPr>
        <w:t xml:space="preserve">Man Ther</w:t>
      </w:r>
      <w:r>
        <w:t xml:space="preserve"> </w:t>
      </w:r>
      <w:r>
        <w:t xml:space="preserve">2009, PMID 18294899). Quindi chi riferisce zone «addormentate» non è per forza un radicolare.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profilo di ipersensibilità esista e predica l’esito.</w:t>
      </w:r>
      <w:r>
        <w:t xml:space="preserve"> </w:t>
      </w:r>
      <w:r>
        <w:rPr>
          <w:b/>
          <w:bCs/>
        </w:rPr>
        <w:t xml:space="preserve">RAGIONAMENTO</w:t>
      </w:r>
      <w:r>
        <w:t xml:space="preserve"> </w:t>
      </w:r>
      <w:r>
        <w:rPr>
          <w:i/>
          <w:iCs/>
        </w:rPr>
        <w:t xml:space="preserve">(cornice clinica, non una prova)</w:t>
      </w:r>
      <w:r>
        <w:t xml:space="preserve"> </w:t>
      </w:r>
      <w:r>
        <w:t xml:space="preserve">l’attribuzione di questo paziente a una categoria: i criteri sono di consenso, non una misura.</w:t>
      </w:r>
    </w:p>
    <w:bookmarkEnd w:id="30"/>
    <w:bookmarkStart w:id="32" w:name="Xf2ab38614814ba6969b4c6575bd1b429386e979"/>
    <w:p>
      <w:pPr>
        <w:pStyle w:val="Heading3"/>
      </w:pPr>
      <w:r>
        <w:t xml:space="preserve">1. La crepa che sta dietro l’intonaco — la lesione della faccetta</w:t>
      </w:r>
    </w:p>
    <w:p>
      <w:pPr>
        <w:pStyle w:val="FirstParagraph"/>
      </w:pPr>
      <w:r>
        <w:rPr>
          <w:b/>
          <w:bCs/>
        </w:rPr>
        <w:t xml:space="preserve">La sequenza.</w:t>
      </w:r>
    </w:p>
    <w:p>
      <w:pPr>
        <w:pStyle w:val="Compact"/>
        <w:numPr>
          <w:ilvl w:val="0"/>
          <w:numId w:val="1015"/>
        </w:numPr>
      </w:pPr>
      <w:r>
        <w:t xml:space="preserve">Nell’urto il collo prende per una frazione di secondo una forma a</w:t>
      </w:r>
      <w:r>
        <w:t xml:space="preserve"> </w:t>
      </w:r>
      <w:r>
        <w:rPr>
          <w:b/>
          <w:bCs/>
        </w:rPr>
        <w:t xml:space="preserve">S</w:t>
      </w:r>
      <w:r>
        <w:t xml:space="preserve">. In quella forma le rotazioni fra C6-C7 e C7-T1 superano il massimo di un movimento normale. La capsula dell’articolazione zigapofisaria viene stirata oltre la sua corsa: lesione microscopica, senza frattura né alterazione visibile.</w:t>
      </w:r>
    </w:p>
    <w:p>
      <w:pPr>
        <w:pStyle w:val="Compact"/>
        <w:numPr>
          <w:ilvl w:val="0"/>
          <w:numId w:val="1015"/>
        </w:numPr>
      </w:pPr>
      <w:r>
        <w:t xml:space="preserve">La capsula lesa continua a inviare segnale nocicettivo attraverso il ramo mediale della branca posteriore.</w:t>
      </w:r>
    </w:p>
    <w:p>
      <w:pPr>
        <w:pStyle w:val="Compact"/>
        <w:numPr>
          <w:ilvl w:val="0"/>
          <w:numId w:val="1015"/>
        </w:numPr>
      </w:pPr>
      <w:r>
        <w:t xml:space="preserve">Il dolore è profondo, spesso riferito alla nuca o alla scapola, e non si spegne con il tempo di guarigione atteso.</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 nel cadavere</w:t>
      </w:r>
      <w:r>
        <w:t xml:space="preserve"> </w:t>
      </w:r>
      <w:r>
        <w:rPr>
          <w:i/>
          <w:iCs/>
        </w:rPr>
        <w:t xml:space="preserve">(studi solidi, ma su preparato anatomico)</w:t>
      </w:r>
      <w:r>
        <w:t xml:space="preserve"> </w:t>
      </w:r>
      <w:r>
        <w:t xml:space="preserve">la meccanica a S con iperestensione dei livelli bassi — sei preparati, dodici traumi in slitta (Grauer,</w:t>
      </w:r>
      <w:r>
        <w:t xml:space="preserve"> </w:t>
      </w:r>
      <w:r>
        <w:rPr>
          <w:i/>
          <w:iCs/>
        </w:rPr>
        <w:t xml:space="preserve">Spine</w:t>
      </w:r>
      <w:r>
        <w:t xml:space="preserve"> </w:t>
      </w:r>
      <w:r>
        <w:t xml:space="preserve">1997, PMID 9383854).</w:t>
      </w:r>
      <w:r>
        <w:t xml:space="preserve"> </w:t>
      </w:r>
      <w:r>
        <w:rPr>
          <w:b/>
          <w:bCs/>
        </w:rPr>
        <w:t xml:space="preserve">DIMOSTRATO</w:t>
      </w:r>
      <w:r>
        <w:t xml:space="preserve"> </w:t>
      </w:r>
      <w:r>
        <w:rPr>
          <w:i/>
          <w:iCs/>
        </w:rPr>
        <w:t xml:space="preserve">(studi sull’uomo, solidi)</w:t>
      </w:r>
      <w:r>
        <w:t xml:space="preserve"> </w:t>
      </w:r>
      <w:r>
        <w:t xml:space="preserve">che l’articolazione zigapofisaria sia la sorgente del dolore in una quota maggioritaria dei cronici: 60% su 68 pazienti consecutivi inviati a un centro del dolore, con blocchi anestetici controllati con placebo e in doppio cieco (Lord,</w:t>
      </w:r>
      <w:r>
        <w:t xml:space="preserve"> </w:t>
      </w:r>
      <w:r>
        <w:rPr>
          <w:i/>
          <w:iCs/>
        </w:rPr>
        <w:t xml:space="preserve">Spine</w:t>
      </w:r>
      <w:r>
        <w:t xml:space="preserve"> </w:t>
      </w:r>
      <w:r>
        <w:t xml:space="preserve">1996, PMID 8855458).</w:t>
      </w:r>
      <w:r>
        <w:t xml:space="preserve"> </w:t>
      </w:r>
      <w:r>
        <w:rPr>
          <w:b/>
          <w:bCs/>
        </w:rPr>
        <w:t xml:space="preserve">DIMOSTRATO</w:t>
      </w:r>
      <w:r>
        <w:t xml:space="preserve"> </w:t>
      </w:r>
      <w:r>
        <w:rPr>
          <w:i/>
          <w:iCs/>
        </w:rPr>
        <w:t xml:space="preserve">(studi sull’uomo, solidi)</w:t>
      </w:r>
      <w:r>
        <w:t xml:space="preserve"> </w:t>
      </w:r>
      <w:r>
        <w:t xml:space="preserve">che interrompere il nervo che innerva quell’articolazione tolga il dolore per mesi, in doppio cieco contro una procedura identica a corrente spenta (Lord,</w:t>
      </w:r>
      <w:r>
        <w:t xml:space="preserve"> </w:t>
      </w:r>
      <w:r>
        <w:rPr>
          <w:i/>
          <w:iCs/>
        </w:rPr>
        <w:t xml:space="preserve">N Engl J Med</w:t>
      </w:r>
      <w:r>
        <w:t xml:space="preserve"> </w:t>
      </w:r>
      <w:r>
        <w:t xml:space="preserve">1996, PMID 8929263 — i numeri per esteso nel Capitolo 11). Misurato su una denervazione a radiofrequenza, non su un trattamento manuale: prova che quella sorgente è la sorgente, non che una mano possa fare la stessa cosa.</w:t>
      </w:r>
      <w:r>
        <w:t xml:space="preserve"> </w:t>
      </w:r>
      <w:r>
        <w:rPr>
          <w:b/>
          <w:bCs/>
        </w:rPr>
        <w:t xml:space="preserve">IPOTESI</w:t>
      </w:r>
      <w:r>
        <w:t xml:space="preserve"> </w:t>
      </w:r>
      <w:r>
        <w:rPr>
          <w:i/>
          <w:iCs/>
        </w:rPr>
        <w:t xml:space="preserve">(meccanismo coerente, nessuno studio)</w:t>
      </w:r>
      <w:r>
        <w:t xml:space="preserve"> </w:t>
      </w:r>
      <w:r>
        <w:t xml:space="preserve">che l’esame manuale identifichi quale livello è coinvolto: la conferma passa da un blocco anestetico, e nessuno ha validato la palpazione contro quel riferimento.</w:t>
      </w:r>
    </w:p>
    <w:p>
      <w:pPr>
        <w:pStyle w:val="FirstParagraph"/>
      </w:pPr>
      <w:r>
        <w:rPr>
          <w:b/>
          <w:bCs/>
        </w:rPr>
        <w:t xml:space="preserve">Come si vede addosso al paziente.</w:t>
      </w:r>
      <w:r>
        <w:t xml:space="preserve"> </w:t>
      </w:r>
      <w:r>
        <w:t xml:space="preserve">Indica il dolore con la mano piatta dietro, non con un dito. Il dolore peggiora in estensione e rotazione verso il lato dolente. Nessuna distribuzione radicolare, nessuna risposta netta all’antinfiammatorio, e il quadro è presente da mesi con la stessa qualità.</w:t>
      </w:r>
    </w:p>
    <w:p>
      <w:pPr>
        <w:pStyle w:val="BodyText"/>
      </w:pPr>
      <w:r>
        <w:rPr>
          <w:b/>
          <w:bCs/>
        </w:rPr>
        <w:t xml:space="preserve">La crepa sta dietro l’intonaco: il muro è lesionato, l’intonaco è intatto, e la foto riprende solo l’intonaco.</w:t>
      </w:r>
    </w:p>
    <w:bookmarkStart w:id="31" w:name="Xca4a9774dbee4848be0bf1de817b0a3a3fdc2be"/>
    <w:p>
      <w:pPr>
        <w:pStyle w:val="Heading4"/>
      </w:pPr>
      <w:r>
        <w:t xml:space="preserve">Quando la stessa lesione è alta: la cefalea che parte dal collo</w:t>
      </w:r>
    </w:p>
    <w:p>
      <w:pPr>
        <w:pStyle w:val="FirstParagraph"/>
      </w:pPr>
      <w:r>
        <w:t xml:space="preserve">Stesso meccanismo, altro piano. Va scritto a parte perché è la seconda lamentela dopo il dolore cervicale, ed è quella che manda il paziente dal neurologo e lo riporta indietro senza risposta.</w:t>
      </w:r>
    </w:p>
    <w:p>
      <w:pPr>
        <w:pStyle w:val="BodyText"/>
      </w:pPr>
      <w:r>
        <w:t xml:space="preserve">L’articolazione zigapofisaria</w:t>
      </w:r>
      <w:r>
        <w:t xml:space="preserve"> </w:t>
      </w:r>
      <w:r>
        <w:rPr>
          <w:b/>
          <w:bCs/>
        </w:rPr>
        <w:t xml:space="preserve">C2-C3</w:t>
      </w:r>
      <w:r>
        <w:t xml:space="preserve"> </w:t>
      </w:r>
      <w:r>
        <w:t xml:space="preserve">è innervata dal</w:t>
      </w:r>
      <w:r>
        <w:t xml:space="preserve"> </w:t>
      </w:r>
      <w:r>
        <w:rPr>
          <w:b/>
          <w:bCs/>
        </w:rPr>
        <w:t xml:space="preserve">terzo nervo occipitale</w:t>
      </w:r>
      <w:r>
        <w:t xml:space="preserve">, ramo della branca posteriore di C3. Quando è lei la sorgente, il segnale arriva al</w:t>
      </w:r>
      <w:r>
        <w:t xml:space="preserve"> </w:t>
      </w:r>
      <w:r>
        <w:rPr>
          <w:b/>
          <w:bCs/>
        </w:rPr>
        <w:t xml:space="preserve">nucleo trigemino-cervicale</w:t>
      </w:r>
      <w:r>
        <w:t xml:space="preserve"> </w:t>
      </w:r>
      <w:r>
        <w:t xml:space="preserve">e converge con le afferenze del trigemino. A valle i due non sono più distinguibili: il paziente sente un dolore che parte dalla nuca e si ferma in fronte o dietro l’occhio, dove non c’è niente. Lo stesso punto di convergenza spiega perché la mandibola entra nel quadro.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sorgente esista: su 100 pazienti con dolore cervicale cronico dopo colpo di frusta, cefalea da terzo nervo occipitale nel 27% (IC 95% 18-36). Fra quelli in cui la cefalea era la lamentela dominante, nel</w:t>
      </w:r>
      <w:r>
        <w:t xml:space="preserve"> </w:t>
      </w:r>
      <w:r>
        <w:rPr>
          <w:b/>
          <w:bCs/>
        </w:rPr>
        <w:t xml:space="preserve">53%</w:t>
      </w:r>
      <w:r>
        <w:t xml:space="preserve"> </w:t>
      </w:r>
      <w:r>
        <w:t xml:space="preserve">(IC 95% 37-68). I blocchi diagnostici erano in doppio cieco e controllati (Lord,</w:t>
      </w:r>
      <w:r>
        <w:t xml:space="preserve"> </w:t>
      </w:r>
      <w:r>
        <w:rPr>
          <w:i/>
          <w:iCs/>
        </w:rPr>
        <w:t xml:space="preserve">J Neurol Neurosurg Psychiatry</w:t>
      </w:r>
      <w:r>
        <w:t xml:space="preserve"> </w:t>
      </w:r>
      <w:r>
        <w:t xml:space="preserve">1994, PMID 7931379).</w:t>
      </w:r>
      <w:r>
        <w:t xml:space="preserve"> </w:t>
      </w:r>
      <w:r>
        <w:rPr>
          <w:b/>
          <w:bCs/>
        </w:rPr>
        <w:t xml:space="preserve">IPOTESI</w:t>
      </w:r>
      <w:r>
        <w:t xml:space="preserve"> </w:t>
      </w:r>
      <w:r>
        <w:rPr>
          <w:i/>
          <w:iCs/>
        </w:rPr>
        <w:t xml:space="preserve">(meccanismo coerente, nessuno studio)</w:t>
      </w:r>
      <w:r>
        <w:t xml:space="preserve"> </w:t>
      </w:r>
      <w:r>
        <w:t xml:space="preserve">che l’esame manuale identifichi quel livello: nello stesso studio nessun elemento anamnestico o d’esame prediceva la diagnosi, benché la dolorabilità su C2-C3 fosse maggiore.</w:t>
      </w:r>
    </w:p>
    <w:p>
      <w:pPr>
        <w:pStyle w:val="FirstParagraph"/>
      </w:pPr>
      <w:r>
        <w:rPr>
          <w:b/>
          <w:bCs/>
        </w:rPr>
        <w:t xml:space="preserve">Cosa ti fa fare.</w:t>
      </w:r>
      <w:r>
        <w:t xml:space="preserve"> </w:t>
      </w:r>
      <w:r>
        <w:t xml:space="preserve">Cercare l’origine a C1-C3 e non ai livelli bassi. E</w:t>
      </w:r>
      <w:r>
        <w:t xml:space="preserve"> </w:t>
      </w:r>
      <w:r>
        <w:rPr>
          <w:b/>
          <w:bCs/>
        </w:rPr>
        <w:t xml:space="preserve">prevedere</w:t>
      </w:r>
      <w:r>
        <w:t xml:space="preserve"> </w:t>
      </w:r>
      <w:r>
        <w:t xml:space="preserve">una cosa falsificabile: se il collo alto è la sorgente, i sintomi cranio-facciali si muovono quando si muove il collo alto. Se non si muovono, l’ipotesi era sbagliata.</w:t>
      </w:r>
    </w:p>
    <w:bookmarkEnd w:id="31"/>
    <w:bookmarkEnd w:id="32"/>
    <w:bookmarkStart w:id="33" w:name="X946f54130d72d32b60bd20ebd710a9923387993"/>
    <w:p>
      <w:pPr>
        <w:pStyle w:val="Heading3"/>
      </w:pPr>
      <w:r>
        <w:t xml:space="preserve">2. Il martinetto lasciato sotto la macchina — la difesa motoria che non si spegne</w:t>
      </w:r>
    </w:p>
    <w:p>
      <w:pPr>
        <w:pStyle w:val="FirstParagraph"/>
      </w:pPr>
      <w:r>
        <w:rPr>
          <w:b/>
          <w:bCs/>
        </w:rPr>
        <w:t xml:space="preserve">La sequenza.</w:t>
      </w:r>
    </w:p>
    <w:p>
      <w:pPr>
        <w:pStyle w:val="Compact"/>
        <w:numPr>
          <w:ilvl w:val="0"/>
          <w:numId w:val="1016"/>
        </w:numPr>
      </w:pPr>
      <w:r>
        <w:t xml:space="preserve">Durante e subito dopo l’urto i muscoli superficiali si contraggono per limitare l’escursione: è la protezione, ed è corretta. Passata la fase acuta, in una parte dei pazienti quella distribuzione non torna indietro, e i superficiali continuano a fare il mestiere dei profondi.</w:t>
      </w:r>
    </w:p>
    <w:p>
      <w:pPr>
        <w:pStyle w:val="Compact"/>
        <w:numPr>
          <w:ilvl w:val="0"/>
          <w:numId w:val="1016"/>
        </w:numPr>
      </w:pPr>
      <w:r>
        <w:t xml:space="preserve">Lo strato profondo, non più richiesto, riduce il proprio contributo, e l’escursione resta ridotta anche a tessuto guarito. È un</w:t>
      </w:r>
      <w:r>
        <w:t xml:space="preserve"> </w:t>
      </w:r>
      <w:r>
        <w:rPr>
          <w:b/>
          <w:bCs/>
        </w:rPr>
        <w:t xml:space="preserve">compenso</w:t>
      </w:r>
      <w:r>
        <w:t xml:space="preserve"> </w:t>
      </w:r>
      <w:r>
        <w:t xml:space="preserve">che ha superato la sua utilità: il carico si concentra su muscoli di forza usati in continuo, che si affaticano e diventano dolenti.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il cambio di reclutamento: su 66 pazienti, escursione ridotta e flessori superficiali più attivi a un mese in tutti i gruppi, persistenti a tre mesi in chi restava sintomatico (Sterling,</w:t>
      </w:r>
      <w:r>
        <w:t xml:space="preserve"> </w:t>
      </w:r>
      <w:r>
        <w:rPr>
          <w:i/>
          <w:iCs/>
        </w:rPr>
        <w:t xml:space="preserve">Pain</w:t>
      </w:r>
      <w:r>
        <w:t xml:space="preserve"> </w:t>
      </w:r>
      <w:r>
        <w:t xml:space="preserve">2003, PMID 12749960).</w:t>
      </w:r>
      <w:r>
        <w:t xml:space="preserve"> </w:t>
      </w:r>
      <w:r>
        <w:rPr>
          <w:b/>
          <w:bCs/>
        </w:rPr>
        <w:t xml:space="preserve">IPOTESI</w:t>
      </w:r>
      <w:r>
        <w:t xml:space="preserve"> </w:t>
      </w:r>
      <w:r>
        <w:rPr>
          <w:i/>
          <w:iCs/>
        </w:rPr>
        <w:t xml:space="preserve">(meccanismo coerente, nessuno studio)</w:t>
      </w:r>
      <w:r>
        <w:t xml:space="preserve"> </w:t>
      </w:r>
      <w:r>
        <w:t xml:space="preserve">che il lavoro manuale cambi la composizione del muscolo: nessuno l’ha misurato.</w:t>
      </w:r>
    </w:p>
    <w:p>
      <w:pPr>
        <w:pStyle w:val="FirstParagraph"/>
      </w:pPr>
      <w:r>
        <w:rPr>
          <w:b/>
          <w:bCs/>
        </w:rPr>
        <w:t xml:space="preserve">L’infiltrazione di grasso, e perché non appartiene a questa catena.</w:t>
      </w:r>
      <w:r>
        <w:t xml:space="preserve"> </w:t>
      </w:r>
      <w:r>
        <w:t xml:space="preserve">Nel sottogruppo che non recupera compare nel tempo un’infiltrazione di grasso negli estensori profondi: assente a quattro settimane, presente a tre e sei mesi solo nel gruppo con disabilità da moderata a grave, su 44 soggetti (Elliott,</w:t>
      </w:r>
      <w:r>
        <w:t xml:space="preserve"> </w:t>
      </w:r>
      <w:r>
        <w:rPr>
          <w:i/>
          <w:iCs/>
        </w:rPr>
        <w:t xml:space="preserve">PLoS One</w:t>
      </w:r>
      <w:r>
        <w:t xml:space="preserve"> </w:t>
      </w:r>
      <w:r>
        <w:t xml:space="preserve">2011, PMID 21698170).</w:t>
      </w:r>
      <w:r>
        <w:t xml:space="preserve"> </w:t>
      </w:r>
      <w:r>
        <w:rPr>
          <w:b/>
          <w:bCs/>
        </w:rPr>
        <w:t xml:space="preserve">Ma non è il prodotto del compenso motorio.</w:t>
      </w:r>
      <w:r>
        <w:t xml:space="preserve"> </w:t>
      </w:r>
      <w:r>
        <w:t xml:space="preserve">Nello stesso studio la gravità iniziale dei sintomi post-traumatici media il rapporto fra dolore e infiltrazione a sei mesi. È un marcatore della traiettoria grave, e la strada passa dalla spia accesa. Un argomento in più per il GIALLO prioritario, non un bersaglio per le mani.</w:t>
      </w:r>
    </w:p>
    <w:p>
      <w:pPr>
        <w:pStyle w:val="BodyText"/>
      </w:pPr>
      <w:r>
        <w:rPr>
          <w:b/>
          <w:bCs/>
        </w:rPr>
        <w:t xml:space="preserve">Come si vede addosso al paziente.</w:t>
      </w:r>
      <w:r>
        <w:t xml:space="preserve"> </w:t>
      </w:r>
      <w:r>
        <w:t xml:space="preserve">Rotazione limitata quasi simmetrica. Il collo si muove «tutto insieme», senza dissociazione fra testa e tronco. Al test di flessione cranio-cervicale sostituisce con il mento in avanti. Trapezi duri e dolenti, e il massaggio dà sollievo che dura mezza giornata.</w:t>
      </w:r>
    </w:p>
    <w:p>
      <w:pPr>
        <w:pStyle w:val="BodyText"/>
      </w:pPr>
      <w:r>
        <w:rPr>
          <w:b/>
          <w:bCs/>
        </w:rPr>
        <w:t xml:space="preserve">Come si smentisce.</w:t>
      </w:r>
      <w:r>
        <w:t xml:space="preserve"> </w:t>
      </w:r>
      <w:r>
        <w:t xml:space="preserve">Se comanda il martinetto, il livello al test di flessione cranio-cervicale sale di un gradino dentro la seduta. Se non sale, non comandava.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È il martinetto lasciato sotto la macchina: serviva per cambiare la ruota, ma se resta lì la sospensione non lavora più e tutto il resto si consuma.</w:t>
      </w:r>
    </w:p>
    <w:bookmarkEnd w:id="33"/>
    <w:bookmarkStart w:id="34" w:name="X60340769c29f037b2617d43361423d07d0801b4"/>
    <w:p>
      <w:pPr>
        <w:pStyle w:val="Heading3"/>
      </w:pPr>
      <w:r>
        <w:t xml:space="preserve">3. La mano screpolata — il freno che non si accende</w:t>
      </w:r>
    </w:p>
    <w:p>
      <w:pPr>
        <w:pStyle w:val="FirstParagraph"/>
      </w:pPr>
      <w:r>
        <w:rPr>
          <w:b/>
          <w:bCs/>
        </w:rPr>
        <w:t xml:space="preserve">La sequenza.</w:t>
      </w:r>
    </w:p>
    <w:p>
      <w:pPr>
        <w:pStyle w:val="Compact"/>
        <w:numPr>
          <w:ilvl w:val="0"/>
          <w:numId w:val="1017"/>
        </w:numPr>
      </w:pPr>
      <w:r>
        <w:t xml:space="preserve">Il trauma consegna in pochi decimi di secondo una scarica nocicettiva intensa, insieme a una risposta di allarme.</w:t>
      </w:r>
    </w:p>
    <w:p>
      <w:pPr>
        <w:pStyle w:val="Compact"/>
        <w:numPr>
          <w:ilvl w:val="0"/>
          <w:numId w:val="1017"/>
        </w:numPr>
      </w:pPr>
      <w:r>
        <w:t xml:space="preserve">Nel sottogruppo che non recupera, il sistema che dovrebbe spegnere quel segnale non lo spegne: la</w:t>
      </w:r>
      <w:r>
        <w:t xml:space="preserve"> </w:t>
      </w:r>
      <w:r>
        <w:rPr>
          <w:b/>
          <w:bCs/>
        </w:rPr>
        <w:t xml:space="preserve">modulazione discendente resta inefficace</w:t>
      </w:r>
      <w:r>
        <w:t xml:space="preserve">, e lo stesso ingresso produce più dolore in uscita. Non è un guadagno che sale: è un freno che non si accende. In questi pazienti la modulazione condizionata del dolore non deprime la</w:t>
      </w:r>
      <w:r>
        <w:t xml:space="preserve"> </w:t>
      </w:r>
      <w:r>
        <w:rPr>
          <w:b/>
          <w:bCs/>
        </w:rPr>
        <w:t xml:space="preserve">sommazione temporale</w:t>
      </w:r>
      <w:r>
        <w:t xml:space="preserve">, cioè il dolore che cresce quando lo stesso stimolo si ripete a intervalli brevi. Nei sani la deprime (Daenen,</w:t>
      </w:r>
      <w:r>
        <w:t xml:space="preserve"> </w:t>
      </w:r>
      <w:r>
        <w:rPr>
          <w:i/>
          <w:iCs/>
        </w:rPr>
        <w:t xml:space="preserve">Clin Rheumatol</w:t>
      </w:r>
      <w:r>
        <w:t xml:space="preserve"> </w:t>
      </w:r>
      <w:r>
        <w:t xml:space="preserve">2013, PMID 22983264, 35 pazienti contro 31 controlli).</w:t>
      </w:r>
    </w:p>
    <w:p>
      <w:pPr>
        <w:pStyle w:val="Compact"/>
        <w:numPr>
          <w:ilvl w:val="0"/>
          <w:numId w:val="1017"/>
        </w:numPr>
      </w:pPr>
      <w:r>
        <w:t xml:space="preserve">Il risultato è misurabile</w:t>
      </w:r>
      <w:r>
        <w:t xml:space="preserve"> </w:t>
      </w:r>
      <w:r>
        <w:rPr>
          <w:b/>
          <w:bCs/>
        </w:rPr>
        <w:t xml:space="preserve">entro il primo mese</w:t>
      </w:r>
      <w:r>
        <w:t xml:space="preserve"> </w:t>
      </w:r>
      <w:r>
        <w:t xml:space="preserve">e non cambia dopo: soglia abbassata anche lontano dalla zona lesa e dall’altro lato. Su 76 pazienti, l’ipersensibilità generalizzata era presente entro un mese nel solo gruppo che sarebbe rimasto moderato-grave, e restava invariata a sei mesi. Nei guariti l’iperalgesia locale c’era a un mese e si risolveva entro due (Sterling,</w:t>
      </w:r>
      <w:r>
        <w:t xml:space="preserve"> </w:t>
      </w:r>
      <w:r>
        <w:rPr>
          <w:i/>
          <w:iCs/>
        </w:rPr>
        <w:t xml:space="preserve">Pain</w:t>
      </w:r>
      <w:r>
        <w:t xml:space="preserve"> </w:t>
      </w:r>
      <w:r>
        <w:t xml:space="preserve">2003, PMID 12927623).</w:t>
      </w:r>
    </w:p>
    <w:p>
      <w:pPr>
        <w:pStyle w:val="Compact"/>
        <w:numPr>
          <w:ilvl w:val="0"/>
          <w:numId w:val="1017"/>
        </w:numPr>
      </w:pPr>
      <w:r>
        <w:t xml:space="preserve">Il segno più studiato è l’</w:t>
      </w:r>
      <w:r>
        <w:rPr>
          <w:b/>
          <w:bCs/>
        </w:rPr>
        <w:t xml:space="preserve">iperalgesia al freddo</w:t>
      </w:r>
      <w:r>
        <w:t xml:space="preserve">: che predica il decorso è documentato,</w:t>
      </w:r>
      <w:r>
        <w:t xml:space="preserve"> </w:t>
      </w:r>
      <w:r>
        <w:rPr>
          <w:b/>
          <w:bCs/>
        </w:rPr>
        <w:t xml:space="preserve">perché lo faccia non lo sa nessuno</w:t>
      </w:r>
      <w:r>
        <w:t xml:space="preserve"> </w:t>
      </w:r>
      <w:r>
        <w:t xml:space="preserve">(Goldsmith,</w:t>
      </w:r>
      <w:r>
        <w:t xml:space="preserve"> </w:t>
      </w:r>
      <w:r>
        <w:rPr>
          <w:i/>
          <w:iCs/>
        </w:rPr>
        <w:t xml:space="preserve">Man Ther</w:t>
      </w:r>
      <w:r>
        <w:t xml:space="preserve"> </w:t>
      </w:r>
      <w:r>
        <w:t xml:space="preserve">2012, PMID 22464187). Il paziente riferisce dolore diffuso, intolleranza al freddo, sensibilità a luce e rumore, sonno frammentato.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come fattore prognostico. Su una coorte seguita per due-tre anni, iperalgesia al freddo, disabilità iniziale, età e sintomi post-traumatici restavano predittori dell’esito. Insieme spiegavano più di metà della differenza fra chi guarisce e chi no (Sterling,</w:t>
      </w:r>
      <w:r>
        <w:t xml:space="preserve"> </w:t>
      </w:r>
      <w:r>
        <w:rPr>
          <w:i/>
          <w:iCs/>
        </w:rPr>
        <w:t xml:space="preserve">Pain</w:t>
      </w:r>
      <w:r>
        <w:t xml:space="preserve"> </w:t>
      </w:r>
      <w:r>
        <w:t xml:space="preserve">2006, PMID 16527397). È un modello di derivazione su 65 soggetti, senza validazione esterna, e chi ha ripreso quei fattori chiude chiedendo che lo strumento venga validato (Ritchie, 2013, PMID 23831865). La parte che conta non è la statistica: è che quattro cose misurabili alla prima seduta spiegano più di metà di quella differenza.</w:t>
      </w:r>
    </w:p>
    <w:p>
      <w:pPr>
        <w:pStyle w:val="FirstParagraph"/>
      </w:pPr>
      <w:r>
        <w:rPr>
          <w:b/>
          <w:bCs/>
        </w:rPr>
        <w:t xml:space="preserve">Come si vede addosso al paziente.</w:t>
      </w:r>
      <w:r>
        <w:t xml:space="preserve"> </w:t>
      </w:r>
      <w:r>
        <w:t xml:space="preserve">Il dolore non ha più i confini di prima. Ha freddo al collo, dice che «tutto dà fastidio», e la palpazione è dolente ovunque — anche dove non hai lavorato e dall’altro lato.</w:t>
      </w:r>
    </w:p>
    <w:p>
      <w:pPr>
        <w:pStyle w:val="BodyText"/>
      </w:pPr>
      <w:r>
        <w:rPr>
          <w:b/>
          <w:bCs/>
        </w:rPr>
        <w:t xml:space="preserve">Come si smentisce.</w:t>
      </w:r>
      <w:r>
        <w:t xml:space="preserve"> </w:t>
      </w:r>
      <w:r>
        <w:t xml:space="preserve">Se comanda la soglia, la finestra spesso non si apre affatto. La mancata apertura è il reperto che ti dice che il piano non era quello.</w:t>
      </w:r>
    </w:p>
    <w:p>
      <w:pPr>
        <w:pStyle w:val="BodyText"/>
      </w:pPr>
      <w:r>
        <w:rPr>
          <w:b/>
          <w:bCs/>
        </w:rPr>
        <w:t xml:space="preserve">Conseguenza operativa.</w:t>
      </w:r>
      <w:r>
        <w:t xml:space="preserve"> </w:t>
      </w:r>
      <w:r>
        <w:t xml:space="preserve">Se il profilo c’è dall’inizio, va</w:t>
      </w:r>
      <w:r>
        <w:t xml:space="preserve"> </w:t>
      </w:r>
      <w:r>
        <w:rPr>
          <w:b/>
          <w:bCs/>
        </w:rPr>
        <w:t xml:space="preserve">cercato alla prima seduta</w:t>
      </w:r>
      <w:r>
        <w:t xml:space="preserve">, non atteso alla quinta come segno di cronicizzazione.</w:t>
      </w:r>
    </w:p>
    <w:p>
      <w:pPr>
        <w:pStyle w:val="BodyText"/>
      </w:pPr>
      <w:r>
        <w:rPr>
          <w:b/>
          <w:bCs/>
        </w:rPr>
        <w:t xml:space="preserve">È la mano screpolata: l’acqua che prima era tiepida adesso brucia, e non perché l’acqua sia cambiata.</w:t>
      </w:r>
    </w:p>
    <w:bookmarkEnd w:id="34"/>
    <w:bookmarkStart w:id="35" w:name="X73e6641f7fead72c65477f6d44705bd04989b1f"/>
    <w:p>
      <w:pPr>
        <w:pStyle w:val="Heading3"/>
      </w:pPr>
      <w:r>
        <w:t xml:space="preserve">4. La spia rimasta accesa a motore spento — lo stress post-traumatico che mantiene il quadro</w:t>
      </w:r>
    </w:p>
    <w:p>
      <w:pPr>
        <w:pStyle w:val="FirstParagraph"/>
      </w:pPr>
      <w:r>
        <w:rPr>
          <w:b/>
          <w:bCs/>
        </w:rPr>
        <w:t xml:space="preserve">La sequenza.</w:t>
      </w:r>
    </w:p>
    <w:p>
      <w:pPr>
        <w:pStyle w:val="Compact"/>
        <w:numPr>
          <w:ilvl w:val="0"/>
          <w:numId w:val="1018"/>
        </w:numPr>
      </w:pPr>
      <w:r>
        <w:t xml:space="preserve">L’incidente è un evento potenzialmente traumatico anche con danno fisico minimo. Il sistema di allarme si attiva e in una parte dei pazienti non si spegne: restano ipervigilanza, sonno frammentato, evitamento della guida, rievocazione della scena.</w:t>
      </w:r>
    </w:p>
    <w:p>
      <w:pPr>
        <w:pStyle w:val="Compact"/>
        <w:numPr>
          <w:ilvl w:val="0"/>
          <w:numId w:val="1018"/>
        </w:numPr>
      </w:pPr>
      <w:r>
        <w:t xml:space="preserve">L’attivazione mantenuta non cambia quanto i muscoli tirano: cambia come il segnale viene elaborato. Sposta l’attenzione verso il corpo, abbassa la soglia a cui una sensazione diventa minaccia, e tiene occupato lo stesso sistema di modulazione discendente che dovrebbe spegnere il dolore.</w:t>
      </w:r>
    </w:p>
    <w:p>
      <w:pPr>
        <w:pStyle w:val="Compact"/>
        <w:numPr>
          <w:ilvl w:val="0"/>
          <w:numId w:val="1018"/>
        </w:numPr>
      </w:pPr>
      <w:r>
        <w:t xml:space="preserve">Il sonno frammentato chiude il cerchio: dorme male perché ha male, e la soglia si abbassa perché dorme male (Hendriks,</w:t>
      </w:r>
      <w:r>
        <w:t xml:space="preserve"> </w:t>
      </w:r>
      <w:r>
        <w:rPr>
          <w:i/>
          <w:iCs/>
        </w:rPr>
        <w:t xml:space="preserve">Pain</w:t>
      </w:r>
      <w:r>
        <w:t xml:space="preserve"> </w:t>
      </w:r>
      <w:r>
        <w:t xml:space="preserve">2005, PMID 15777866; Smith,</w:t>
      </w:r>
      <w:r>
        <w:t xml:space="preserve"> </w:t>
      </w:r>
      <w:r>
        <w:rPr>
          <w:i/>
          <w:iCs/>
        </w:rPr>
        <w:t xml:space="preserve">Clin J Pain</w:t>
      </w:r>
      <w:r>
        <w:t xml:space="preserve"> </w:t>
      </w:r>
      <w:r>
        <w:t xml:space="preserve">2022, PMID 36037089). Il secondo anello non è una correlazione clinica: è un esperimento.</w:t>
      </w:r>
      <w:r>
        <w:t xml:space="preserve"> </w:t>
      </w:r>
      <w:r>
        <w:rPr>
          <w:b/>
          <w:bCs/>
        </w:rPr>
        <w:t xml:space="preserve">Una sola notte</w:t>
      </w:r>
      <w:r>
        <w:t xml:space="preserve"> </w:t>
      </w:r>
      <w:r>
        <w:t xml:space="preserve">senza sonno, in quattordici volontari sani con disegno cross-over, produce iperalgesia al calore, alla pressione, agli stimoli puntiformi e</w:t>
      </w:r>
      <w:r>
        <w:t xml:space="preserve"> </w:t>
      </w:r>
      <w:r>
        <w:rPr>
          <w:b/>
          <w:bCs/>
        </w:rPr>
        <w:t xml:space="preserve">al freddo</w:t>
      </w:r>
      <w:r>
        <w:t xml:space="preserve">, mentre le soglie non dolorose restano invariate (Schuh-Hofer,</w:t>
      </w:r>
      <w:r>
        <w:t xml:space="preserve"> </w:t>
      </w:r>
      <w:r>
        <w:rPr>
          <w:i/>
          <w:iCs/>
        </w:rPr>
        <w:t xml:space="preserve">Pain</w:t>
      </w:r>
      <w:r>
        <w:t xml:space="preserve"> </w:t>
      </w:r>
      <w:r>
        <w:t xml:space="preserve">2013, PMID 23707287). Misurato su volontari sani privati del sonno per una notte, non su pazienti con colpo di frusta e non trattando nulla: dice che il sonno muove la soglia, non che tu possa muovere il sonno. E la modalità colpita include il freddo, cioè il segno che qui predice il decorso: è l’aggancio misurato fra questo meccanismo e la mano screpolata.</w:t>
      </w:r>
    </w:p>
    <w:p>
      <w:pPr>
        <w:pStyle w:val="Compact"/>
        <w:numPr>
          <w:ilvl w:val="0"/>
          <w:numId w:val="1018"/>
        </w:numPr>
      </w:pPr>
      <w:r>
        <w:t xml:space="preserve">Il sintomo fisico conferma la minaccia e alimenta l’allarme: i due si sostengono a vicenda.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 traiettoria: su 229 pazienti seguiti a sei mesi, il 75,1% ha un decorso senza sintomi post-traumatici rilevanti, il 10,0% parte alto e recupera, il</w:t>
      </w:r>
      <w:r>
        <w:t xml:space="preserve"> </w:t>
      </w:r>
      <w:r>
        <w:rPr>
          <w:b/>
          <w:bCs/>
        </w:rPr>
        <w:t xml:space="preserve">14,9% parte alto e resta alto</w:t>
      </w:r>
      <w:r>
        <w:t xml:space="preserve">, con più disabilità a sei mesi (Ravn,</w:t>
      </w:r>
      <w:r>
        <w:t xml:space="preserve"> </w:t>
      </w:r>
      <w:r>
        <w:rPr>
          <w:i/>
          <w:iCs/>
        </w:rPr>
        <w:t xml:space="preserve">Eur J Pain</w:t>
      </w:r>
      <w:r>
        <w:t xml:space="preserve"> </w:t>
      </w:r>
      <w:r>
        <w:t xml:space="preserve">2019, PMID 30318773).</w:t>
      </w:r>
      <w:r>
        <w:t xml:space="preserve"> </w:t>
      </w:r>
      <w:r>
        <w:rPr>
          <w:b/>
          <w:bCs/>
        </w:rPr>
        <w:t xml:space="preserve">PROBABILE</w:t>
      </w:r>
      <w:r>
        <w:t xml:space="preserve"> </w:t>
      </w:r>
      <w:r>
        <w:rPr>
          <w:i/>
          <w:iCs/>
        </w:rPr>
        <w:t xml:space="preserve">(razionale forte, prove parziali)</w:t>
      </w:r>
      <w:r>
        <w:t xml:space="preserve"> </w:t>
      </w:r>
      <w:r>
        <w:t xml:space="preserve">che agire su quella componente cambi l’esito. Su questa condizione la base è più larga di quanto si dica di solito: una meta-analisi di</w:t>
      </w:r>
      <w:r>
        <w:t xml:space="preserve"> </w:t>
      </w:r>
      <w:r>
        <w:rPr>
          <w:b/>
          <w:bCs/>
        </w:rPr>
        <w:t xml:space="preserve">undici studi randomizzati</w:t>
      </w:r>
      <w:r>
        <w:t xml:space="preserve"> </w:t>
      </w:r>
      <w:r>
        <w:t xml:space="preserve">di interventi psicologici nel colpo di frusta trova un miglioramento del dolore subito dopo l’intervento e ai controlli a tre-sei mesi e a un anno, più miglioramenti di disabilità, catastrofizzazione e cinesiofobia (Al-Wardat,</w:t>
      </w:r>
      <w:r>
        <w:t xml:space="preserve"> </w:t>
      </w:r>
      <w:r>
        <w:rPr>
          <w:i/>
          <w:iCs/>
        </w:rPr>
        <w:t xml:space="preserve">BMC Psychology</w:t>
      </w:r>
      <w:r>
        <w:t xml:space="preserve"> </w:t>
      </w:r>
      <w:r>
        <w:t xml:space="preserve">2026, PMID 42298620). L’etichetta</w:t>
      </w:r>
      <w:r>
        <w:t xml:space="preserve"> </w:t>
      </w:r>
      <w:r>
        <w:rPr>
          <w:b/>
          <w:bCs/>
        </w:rPr>
        <w:t xml:space="preserve">non sale a DIMOSTRATO</w:t>
      </w:r>
      <w:r>
        <w:t xml:space="preserve">, e i due motivi vanno scritti. Primo: il confronto è con la cura abituale o con nessun intervento, non con un trattamento attivo. Secondo: la differenza media sul dolore — 0,96 su dieci — sta sotto la soglia di rilevanza clinica che questa Bibbia usa altrove. Misurato su interventi psicologici erogati da chi è addestrato a erogarli, non su quello che fai tu: il salto è di erogatore, e resta intero. C’è poi lo studio che ha integrato la gestione dello stress con l’esercizio — 10,1 punti su cento di disabilità in meno a dodici mesi (Sterling,</w:t>
      </w:r>
      <w:r>
        <w:t xml:space="preserve"> </w:t>
      </w:r>
      <w:r>
        <w:rPr>
          <w:i/>
          <w:iCs/>
        </w:rPr>
        <w:t xml:space="preserve">Br J Sports Med</w:t>
      </w:r>
      <w:r>
        <w:t xml:space="preserve"> </w:t>
      </w:r>
      <w:r>
        <w:t xml:space="preserve">2019, PMID 30661011). Resta</w:t>
      </w:r>
      <w:r>
        <w:t xml:space="preserve"> </w:t>
      </w:r>
      <w:r>
        <w:rPr>
          <w:b/>
          <w:bCs/>
        </w:rPr>
        <w:t xml:space="preserve">un solo</w:t>
      </w:r>
      <w:r>
        <w:t xml:space="preserve"> </w:t>
      </w:r>
      <w:r>
        <w:t xml:space="preserve">randomizzato, su 108 pazienti acuti selezionati per rischio elevato, monocentrico e non in cieco: singolo è quello studio, non la leva.</w:t>
      </w:r>
      <w:r>
        <w:t xml:space="preserve"> </w:t>
      </w:r>
      <w:r>
        <w:rPr>
          <w:b/>
          <w:bCs/>
        </w:rPr>
        <w:t xml:space="preserve">IPOTESI</w:t>
      </w:r>
      <w:r>
        <w:t xml:space="preserve"> </w:t>
      </w:r>
      <w:r>
        <w:rPr>
          <w:i/>
          <w:iCs/>
        </w:rPr>
        <w:t xml:space="preserve">(meccanismo coerente, nessuno studio)</w:t>
      </w:r>
      <w:r>
        <w:t xml:space="preserve"> </w:t>
      </w:r>
      <w:r>
        <w:t xml:space="preserve">che il legame fra sonno e soglia sia modificabile con quello che fai tu.</w:t>
      </w:r>
    </w:p>
    <w:p>
      <w:pPr>
        <w:pStyle w:val="FirstParagraph"/>
      </w:pPr>
      <w:r>
        <w:rPr>
          <w:b/>
          <w:bCs/>
        </w:rPr>
        <w:t xml:space="preserve">Come si vede addosso al paziente.</w:t>
      </w:r>
      <w:r>
        <w:t xml:space="preserve"> </w:t>
      </w:r>
      <w:r>
        <w:t xml:space="preserve">Racconta l’incidente al presente. Si irrigidisce al primo contatto. Guida guardando lo specchietto. Dorme male da quel giorno, e la stanchezza è la sua lamentela più grande dopo il dolore.</w:t>
      </w:r>
      <w:r>
        <w:t xml:space="preserve"> </w:t>
      </w:r>
      <w:r>
        <w:rPr>
          <w:b/>
          <w:bCs/>
        </w:rPr>
        <w:t xml:space="preserve">Non</w:t>
      </w:r>
      <w:r>
        <w:t xml:space="preserve"> </w:t>
      </w:r>
      <w:r>
        <w:t xml:space="preserve">lo riconosci dai trapezi duri: quelli sono del martinetto.</w:t>
      </w:r>
    </w:p>
    <w:p>
      <w:pPr>
        <w:pStyle w:val="BodyText"/>
      </w:pPr>
      <w:r>
        <w:rPr>
          <w:b/>
          <w:bCs/>
        </w:rPr>
        <w:t xml:space="preserve">Come si smentisce.</w:t>
      </w:r>
      <w:r>
        <w:t xml:space="preserve"> </w:t>
      </w:r>
      <w:r>
        <w:t xml:space="preserve">Se comanda l’attivazione, dentro la seduta hai un effetto di stato, e la soglia in sede remota si muove in settimane. Se dopo settimane quella soglia è ferma, il dominante era un altro.</w:t>
      </w:r>
    </w:p>
    <w:p>
      <w:pPr>
        <w:pStyle w:val="BodyText"/>
      </w:pPr>
      <w:r>
        <w:rPr>
          <w:b/>
          <w:bCs/>
        </w:rPr>
        <w:t xml:space="preserve">È la spia rimasta accesa a motore spento: l’auto è ferma, la batteria continua a scaricarsi, e la mattina dopo non parte.</w:t>
      </w:r>
    </w:p>
    <w:bookmarkEnd w:id="35"/>
    <w:bookmarkStart w:id="36" w:name="X169f37257b68fafd9d7005ce13ab70c235e602f"/>
    <w:p>
      <w:pPr>
        <w:pStyle w:val="Heading3"/>
      </w:pPr>
      <w:r>
        <w:t xml:space="preserve">5. La bolla della livella spostata — il senso di posizione che non torna</w:t>
      </w:r>
    </w:p>
    <w:p>
      <w:pPr>
        <w:pStyle w:val="FirstParagraph"/>
      </w:pPr>
      <w:r>
        <w:rPr>
          <w:b/>
          <w:bCs/>
        </w:rPr>
        <w:t xml:space="preserve">La sequenza.</w:t>
      </w:r>
    </w:p>
    <w:p>
      <w:pPr>
        <w:pStyle w:val="Compact"/>
        <w:numPr>
          <w:ilvl w:val="0"/>
          <w:numId w:val="1019"/>
        </w:numPr>
      </w:pPr>
      <w:r>
        <w:t xml:space="preserve">Il segnale</w:t>
      </w:r>
      <w:r>
        <w:t xml:space="preserve"> </w:t>
      </w:r>
      <w:r>
        <w:rPr>
          <w:b/>
          <w:bCs/>
        </w:rPr>
        <w:t xml:space="preserve">propriocettivo</w:t>
      </w:r>
      <w:r>
        <w:t xml:space="preserve"> </w:t>
      </w:r>
      <w:r>
        <w:t xml:space="preserve">dei muscoli profondi — l’informazione sulla posizione che arriva da muscoli e articolazioni — è alterato dal trauma e dal cambio di reclutamento. Il confronto fra collo, orecchio interno e occhi non torna più, e il cervello riceve tre versioni che non coincidono.</w:t>
      </w:r>
    </w:p>
    <w:p>
      <w:pPr>
        <w:pStyle w:val="Compact"/>
        <w:numPr>
          <w:ilvl w:val="0"/>
          <w:numId w:val="1019"/>
        </w:numPr>
      </w:pPr>
      <w:r>
        <w:t xml:space="preserve">Il risultato non è la vertigine rotatoria dell’orecchio: è instabilità, testa ovattata, galleggiamento, fatica a leggere.</w:t>
      </w:r>
    </w:p>
    <w:p>
      <w:pPr>
        <w:pStyle w:val="Compact"/>
        <w:numPr>
          <w:ilvl w:val="0"/>
          <w:numId w:val="1019"/>
        </w:numPr>
      </w:pPr>
      <w:r>
        <w:t xml:space="preserve">Il paziente riduce i movimenti della testa per non provocare il sintomo, e quella riduzione peggiora l’informazione in ingresso.</w:t>
      </w:r>
    </w:p>
    <w:p>
      <w:pPr>
        <w:pStyle w:val="Compact"/>
        <w:numPr>
          <w:ilvl w:val="0"/>
          <w:numId w:val="1019"/>
        </w:numPr>
      </w:pPr>
      <w:r>
        <w:t xml:space="preserve">Le misure in stanza sono due: l’errore di riposizionamento — quanto sbaglia a tornare al punto di partenza a occhi chiusi — e l’inseguimento lento dello sguardo con il collo ruotato.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l’informazione dei recettori del collo entri causalmente nel senso di posizione. Se si inietta un anestetico locale nel collo, nell’uomo compaiono tre cose: atassia — movimento scoordinato — con andatura a base allargata e barcollante, ipotonia dell’arto superiore e inferiore omolaterali, e una sensazione forte di cadere o inclinarsi da un lato. La fonte è de Jong,</w:t>
      </w:r>
      <w:r>
        <w:t xml:space="preserve"> </w:t>
      </w:r>
      <w:r>
        <w:rPr>
          <w:i/>
          <w:iCs/>
        </w:rPr>
        <w:t xml:space="preserve">Ann Neurol</w:t>
      </w:r>
      <w:r>
        <w:t xml:space="preserve"> </w:t>
      </w:r>
      <w:r>
        <w:t xml:space="preserve">1977, PMID 407834, DOI 10.1002/ana.410010307 — PubMed non indicizza l’abstract di questo articolo, e la citazione porta anche il DOI per questo. Il nistagmo si è visto nel coniglio e nel gatto, meno nella scimmia, e nell’uomo non è stato indotto. Misurato interrompendo l’afferenza cervicale in volontari e in animali, non in pazienti con colpo di frusta e non trattando niente: dice che quella via esiste e conta, non che la tua mano la ripari.</w:t>
      </w:r>
      <w:r>
        <w:t xml:space="preserve"> </w:t>
      </w:r>
      <w:r>
        <w:rPr>
          <w:b/>
          <w:bCs/>
        </w:rPr>
        <w:t xml:space="preserve">PROBABILE</w:t>
      </w:r>
      <w:r>
        <w:t xml:space="preserve"> </w:t>
      </w:r>
      <w:r>
        <w:rPr>
          <w:i/>
          <w:iCs/>
        </w:rPr>
        <w:t xml:space="preserve">(razionale forte, prove parziali)</w:t>
      </w:r>
      <w:r>
        <w:t xml:space="preserve"> </w:t>
      </w:r>
      <w:r>
        <w:t xml:space="preserve">che nel colpo di frusta quella via sia alterata. Su 102 pazienti con colpo di frusta persistente e 44 controlli, l’errore di riposizionamento era maggiore nei pazienti, e dentro il gruppo maggiore in chi riferiva vertigini (4,5° contro 2,9° dopo rotazione a destra; Treleaven,</w:t>
      </w:r>
      <w:r>
        <w:t xml:space="preserve"> </w:t>
      </w:r>
      <w:r>
        <w:rPr>
          <w:i/>
          <w:iCs/>
        </w:rPr>
        <w:t xml:space="preserve">J Rehabil Med</w:t>
      </w:r>
      <w:r>
        <w:t xml:space="preserve"> </w:t>
      </w:r>
      <w:r>
        <w:t xml:space="preserve">2003, PMID 12610847). Sono confronti trasversali: dicono che le cose vanno insieme, non che la prima produce la seconda. E per l’inseguimento lento non esiste una soglia clinica pubblicata.</w:t>
      </w:r>
    </w:p>
    <w:p>
      <w:pPr>
        <w:pStyle w:val="FirstParagraph"/>
      </w:pPr>
      <w:r>
        <w:rPr>
          <w:b/>
          <w:bCs/>
        </w:rPr>
        <w:t xml:space="preserve">Come si vede addosso al paziente.</w:t>
      </w:r>
      <w:r>
        <w:t xml:space="preserve"> </w:t>
      </w:r>
      <w:r>
        <w:t xml:space="preserve">Vertigini comparse con l’incidente e non prima, che peggiorano girando la testa e non girandosi nel letto. Visita otorinolaringoiatrica negativa. Difficoltà a leggere, fastidio alla luce, fatica a seguire con gli occhi.</w:t>
      </w:r>
    </w:p>
    <w:p>
      <w:pPr>
        <w:pStyle w:val="BodyText"/>
      </w:pPr>
      <w:r>
        <w:rPr>
          <w:b/>
          <w:bCs/>
        </w:rPr>
        <w:t xml:space="preserve">Come si smentisce.</w:t>
      </w:r>
      <w:r>
        <w:t xml:space="preserve"> </w:t>
      </w:r>
      <w:r>
        <w:t xml:space="preserve">Se comanda il senso di posizione, l’errore di riposizionamento scende con l’allenamento in settimane, non dentro la seduta. Se non scende, il dominante era un altro.</w:t>
      </w:r>
    </w:p>
    <w:p>
      <w:pPr>
        <w:pStyle w:val="BodyText"/>
      </w:pPr>
      <w:r>
        <w:rPr>
          <w:b/>
          <w:bCs/>
        </w:rPr>
        <w:t xml:space="preserve">È la bolla della livella spostata: lo strumento dice che il quadro è dritto, e il quadro è storto.</w:t>
      </w:r>
    </w:p>
    <w:p>
      <w:pPr>
        <w:pStyle w:val="BodyText"/>
      </w:pPr>
      <w:r>
        <w:rPr>
          <w:b/>
          <w:bCs/>
        </w:rPr>
        <w:t xml:space="preserve">Le tre cose da ricordare, più una</w:t>
      </w:r>
    </w:p>
    <w:p>
      <w:pPr>
        <w:pStyle w:val="Compact"/>
        <w:numPr>
          <w:ilvl w:val="0"/>
          <w:numId w:val="1020"/>
        </w:numPr>
      </w:pPr>
      <w:r>
        <w:t xml:space="preserve">Il meccanismo più solido è il meno visibile: la faccetta è la sorgente dimostrata del dolore che dura e della cefalea che parte dalla nuca, e non compare in nessun referto.</w:t>
      </w:r>
    </w:p>
    <w:p>
      <w:pPr>
        <w:pStyle w:val="Compact"/>
        <w:numPr>
          <w:ilvl w:val="0"/>
          <w:numId w:val="1020"/>
        </w:numPr>
      </w:pPr>
      <w:r>
        <w:t xml:space="preserve">I meccanismi convivono: il cronico tipico ha il primo, il secondo e uno fra il terzo e il quarto. La domanda non è «quale ha», è «quale comanda».</w:t>
      </w:r>
    </w:p>
    <w:p>
      <w:pPr>
        <w:pStyle w:val="Compact"/>
        <w:numPr>
          <w:ilvl w:val="0"/>
          <w:numId w:val="1020"/>
        </w:numPr>
      </w:pPr>
      <w:r>
        <w:t xml:space="preserve">Il terzo non è un dolore che sale: è un freno che non si accende. Cambia cosa succede quando aggiungi ingresso.</w:t>
      </w:r>
    </w:p>
    <w:p>
      <w:pPr>
        <w:pStyle w:val="Compact"/>
        <w:numPr>
          <w:ilvl w:val="0"/>
          <w:numId w:val="1020"/>
        </w:numPr>
      </w:pPr>
      <w:r>
        <w:rPr>
          <w:b/>
          <w:bCs/>
        </w:rPr>
        <w:t xml:space="preserve">Perché ci sei tu.</w:t>
      </w:r>
      <w:r>
        <w:t xml:space="preserve"> </w:t>
      </w:r>
      <w:r>
        <w:t xml:space="preserve">L’ipersensibilità generalizzata è presente</w:t>
      </w:r>
      <w:r>
        <w:t xml:space="preserve"> </w:t>
      </w:r>
      <w:r>
        <w:rPr>
          <w:b/>
          <w:bCs/>
        </w:rPr>
        <w:t xml:space="preserve">entro il primo mese</w:t>
      </w:r>
      <w:r>
        <w:t xml:space="preserve"> </w:t>
      </w:r>
      <w:r>
        <w:t xml:space="preserve">in chi resterà moderato-grave, e resta invariata a sei mesi (Sterling, 2003, PMID 12927623). Ti autorizza a cercarla alla prima seduta e a stratificare subito. Non a promettere di invertirla.</w:t>
      </w:r>
    </w:p>
    <w:p>
      <w:r>
        <w:pict>
          <v:rect style="width:0;height:1.5pt" o:hralign="center" o:hrstd="t" o:hr="t"/>
        </w:pict>
      </w:r>
    </w:p>
    <w:bookmarkEnd w:id="36"/>
    <w:bookmarkEnd w:id="37"/>
    <w:bookmarkStart w:id="38"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riconoscibili in dieci minuti più un cancello di condotta, e su due pattern il tuo spazio è stretto.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rPr>
                <w:b/>
                <w:bCs/>
              </w:rPr>
              <w:t xml:space="preserve">Il collo che non gira</w:t>
            </w:r>
          </w:p>
        </w:tc>
        <w:tc>
          <w:tcPr/>
          <w:p>
            <w:pPr>
              <w:pStyle w:val="Compact"/>
            </w:pPr>
            <w:r>
              <w:t xml:space="preserve">Rotazione ridotta, dolore locale</w:t>
            </w:r>
          </w:p>
        </w:tc>
        <w:tc>
          <w:tcPr/>
          <w:p>
            <w:pPr>
              <w:pStyle w:val="Compact"/>
            </w:pPr>
            <w:r>
              <w:t xml:space="preserve">La crepa e il martinetto</w:t>
            </w:r>
          </w:p>
        </w:tc>
        <w:tc>
          <w:tcPr/>
          <w:p>
            <w:pPr>
              <w:pStyle w:val="Compact"/>
            </w:pPr>
            <w:r>
              <w:t xml:space="preserve">Molto</w:t>
            </w:r>
          </w:p>
        </w:tc>
      </w:tr>
      <w:tr>
        <w:tc>
          <w:tcPr/>
          <w:p>
            <w:pPr>
              <w:pStyle w:val="Compact"/>
            </w:pPr>
            <w:r>
              <w:rPr>
                <w:b/>
                <w:bCs/>
              </w:rPr>
              <w:t xml:space="preserve">Il collo che non tiene</w:t>
            </w:r>
          </w:p>
        </w:tc>
        <w:tc>
          <w:tcPr/>
          <w:p>
            <w:pPr>
              <w:pStyle w:val="Compact"/>
            </w:pPr>
            <w:r>
              <w:t xml:space="preserve">La testa «pesa», cede</w:t>
            </w:r>
          </w:p>
        </w:tc>
        <w:tc>
          <w:tcPr/>
          <w:p>
            <w:pPr>
              <w:pStyle w:val="Compact"/>
            </w:pPr>
            <w:r>
              <w:t xml:space="preserve">Il martinetto</w:t>
            </w:r>
          </w:p>
        </w:tc>
        <w:tc>
          <w:tcPr/>
          <w:p>
            <w:pPr>
              <w:pStyle w:val="Compact"/>
            </w:pPr>
            <w:r>
              <w:t xml:space="preserve">Molto</w:t>
            </w:r>
          </w:p>
        </w:tc>
      </w:tr>
      <w:tr>
        <w:tc>
          <w:tcPr/>
          <w:p>
            <w:pPr>
              <w:pStyle w:val="Compact"/>
            </w:pPr>
            <w:r>
              <w:rPr>
                <w:b/>
                <w:bCs/>
              </w:rPr>
              <w:t xml:space="preserve">La testa che martella</w:t>
            </w:r>
          </w:p>
        </w:tc>
        <w:tc>
          <w:tcPr/>
          <w:p>
            <w:pPr>
              <w:pStyle w:val="Compact"/>
            </w:pPr>
            <w:r>
              <w:t xml:space="preserve">Cefalea da dietro, arriva in fronte</w:t>
            </w:r>
          </w:p>
        </w:tc>
        <w:tc>
          <w:tcPr/>
          <w:p>
            <w:pPr>
              <w:pStyle w:val="Compact"/>
            </w:pPr>
            <w:r>
              <w:t xml:space="preserve">La crepa, al piano alto</w:t>
            </w:r>
          </w:p>
        </w:tc>
        <w:tc>
          <w:tcPr/>
          <w:p>
            <w:pPr>
              <w:pStyle w:val="Compact"/>
            </w:pPr>
            <w:r>
              <w:t xml:space="preserve">Abbastanza</w:t>
            </w:r>
          </w:p>
        </w:tc>
      </w:tr>
      <w:tr>
        <w:tc>
          <w:tcPr/>
          <w:p>
            <w:pPr>
              <w:pStyle w:val="Compact"/>
            </w:pPr>
            <w:r>
              <w:rPr>
                <w:b/>
                <w:bCs/>
              </w:rPr>
              <w:t xml:space="preserve">La testa che gira</w:t>
            </w:r>
          </w:p>
        </w:tc>
        <w:tc>
          <w:tcPr/>
          <w:p>
            <w:pPr>
              <w:pStyle w:val="Compact"/>
            </w:pPr>
            <w:r>
              <w:t xml:space="preserve">Instabilità dal giorno dell’urto</w:t>
            </w:r>
          </w:p>
        </w:tc>
        <w:tc>
          <w:tcPr/>
          <w:p>
            <w:pPr>
              <w:pStyle w:val="Compact"/>
            </w:pPr>
            <w:r>
              <w:t xml:space="preserve">La bolla della livella</w:t>
            </w:r>
          </w:p>
        </w:tc>
        <w:tc>
          <w:tcPr/>
          <w:p>
            <w:pPr>
              <w:pStyle w:val="Compact"/>
            </w:pPr>
            <w:r>
              <w:t xml:space="preserve">Abbastanza</w:t>
            </w:r>
          </w:p>
        </w:tc>
      </w:tr>
      <w:tr>
        <w:tc>
          <w:tcPr/>
          <w:p>
            <w:pPr>
              <w:pStyle w:val="Compact"/>
            </w:pPr>
            <w:r>
              <w:rPr>
                <w:b/>
                <w:bCs/>
              </w:rPr>
              <w:t xml:space="preserve">Il sistema in allarme</w:t>
            </w:r>
          </w:p>
        </w:tc>
        <w:tc>
          <w:tcPr/>
          <w:p>
            <w:pPr>
              <w:pStyle w:val="Compact"/>
            </w:pPr>
            <w:r>
              <w:t xml:space="preserve">Rievoca, evita, non dorme</w:t>
            </w:r>
          </w:p>
        </w:tc>
        <w:tc>
          <w:tcPr/>
          <w:p>
            <w:pPr>
              <w:pStyle w:val="Compact"/>
            </w:pPr>
            <w:r>
              <w:t xml:space="preserve">La spia accesa</w:t>
            </w:r>
          </w:p>
        </w:tc>
        <w:tc>
          <w:tcPr/>
          <w:p>
            <w:pPr>
              <w:pStyle w:val="Compact"/>
            </w:pPr>
            <w:r>
              <w:t xml:space="preserve">Abbastanza</w:t>
            </w:r>
          </w:p>
        </w:tc>
      </w:tr>
      <w:tr>
        <w:tc>
          <w:tcPr/>
          <w:p>
            <w:pPr>
              <w:pStyle w:val="Compact"/>
            </w:pPr>
            <w:r>
              <w:rPr>
                <w:b/>
                <w:bCs/>
              </w:rPr>
              <w:t xml:space="preserve">La soglia crollata</w:t>
            </w:r>
          </w:p>
        </w:tc>
        <w:tc>
          <w:tcPr/>
          <w:p>
            <w:pPr>
              <w:pStyle w:val="Compact"/>
            </w:pPr>
            <w:r>
              <w:t xml:space="preserve">Dolore diffuso, freddo intollerabile</w:t>
            </w:r>
          </w:p>
        </w:tc>
        <w:tc>
          <w:tcPr/>
          <w:p>
            <w:pPr>
              <w:pStyle w:val="Compact"/>
            </w:pPr>
            <w:r>
              <w:t xml:space="preserve">La mano screpolata</w:t>
            </w:r>
          </w:p>
        </w:tc>
        <w:tc>
          <w:tcPr/>
          <w:p>
            <w:pPr>
              <w:pStyle w:val="Compact"/>
            </w:pPr>
            <w:r>
              <w:t xml:space="preserve">Poco</w:t>
            </w:r>
          </w:p>
        </w:tc>
      </w:tr>
      <w:tr>
        <w:tc>
          <w:tcPr/>
          <w:p>
            <w:pPr>
              <w:pStyle w:val="Compact"/>
            </w:pPr>
            <w:r>
              <w:rPr>
                <w:b/>
                <w:bCs/>
              </w:rPr>
              <w:t xml:space="preserve">Segni neurologici</w:t>
            </w:r>
          </w:p>
        </w:tc>
        <w:tc>
          <w:tcPr/>
          <w:p>
            <w:pPr>
              <w:pStyle w:val="Compact"/>
            </w:pPr>
            <w:r>
              <w:t xml:space="preserve">Forza o sensibilità alterate</w:t>
            </w:r>
          </w:p>
        </w:tc>
        <w:tc>
          <w:tcPr/>
          <w:p>
            <w:pPr>
              <w:pStyle w:val="Compact"/>
            </w:pPr>
            <w:r>
              <w:t xml:space="preserve">Da inquadrare</w:t>
            </w:r>
          </w:p>
        </w:tc>
        <w:tc>
          <w:tcPr/>
          <w:p>
            <w:pPr>
              <w:pStyle w:val="Compact"/>
            </w:pPr>
            <w:r>
              <w:t xml:space="preserve">Niente, invio</w:t>
            </w:r>
          </w:p>
        </w:tc>
      </w:tr>
    </w:tbl>
    <w:p>
      <w:pPr>
        <w:pStyle w:val="BodyText"/>
      </w:pPr>
      <w:r>
        <w:rPr>
          <w:b/>
          <w:bCs/>
        </w:rPr>
        <w:t xml:space="preserve">Sei pattern e un cancello.</w:t>
      </w:r>
      <w:r>
        <w:t xml:space="preserve"> </w:t>
      </w:r>
      <w:r>
        <w:t xml:space="preserve">«Segni neurologici» non è il settimo pattern: è un</w:t>
      </w:r>
      <w:r>
        <w:t xml:space="preserve"> </w:t>
      </w:r>
      <w:r>
        <w:rPr>
          <w:b/>
          <w:bCs/>
        </w:rPr>
        <w:t xml:space="preserve">cancello di condotta</w:t>
      </w:r>
      <w:r>
        <w:t xml:space="preserve">. Non ha un marker perché non apri un ciclo — mandi. Come tutte le regole di condotta di questo documento porta l’etichetta</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La chiave del tipo di dolore.</w:t>
      </w:r>
      <w:r>
        <w:t xml:space="preserve"> </w:t>
      </w:r>
      <w:r>
        <w:t xml:space="preserve">«La soglia crollata» è a predominanza</w:t>
      </w:r>
      <w:r>
        <w:t xml:space="preserve"> </w:t>
      </w:r>
      <w:r>
        <w:rPr>
          <w:b/>
          <w:bCs/>
        </w:rPr>
        <w:t xml:space="preserve">nociplastica</w:t>
      </w:r>
      <w:r>
        <w:t xml:space="preserve">. «Segni neurologici» è quello in cui va inquadrata una componente</w:t>
      </w:r>
      <w:r>
        <w:t xml:space="preserve"> </w:t>
      </w:r>
      <w:r>
        <w:rPr>
          <w:b/>
          <w:bCs/>
        </w:rPr>
        <w:t xml:space="preserve">neuropatica</w:t>
      </w:r>
      <w:r>
        <w:t xml:space="preserve">. Gli altri sono prevalentemente</w:t>
      </w:r>
      <w:r>
        <w:t xml:space="preserve"> </w:t>
      </w:r>
      <w:r>
        <w:rPr>
          <w:b/>
          <w:bCs/>
        </w:rPr>
        <w:t xml:space="preserve">nocicettivi</w:t>
      </w:r>
      <w:r>
        <w:t xml:space="preserve">. È la riga che ti impedisce di trattarli allo stesso modo.</w:t>
      </w:r>
    </w:p>
    <w:p>
      <w:pPr>
        <w:pStyle w:val="BodyText"/>
      </w:pPr>
      <w:r>
        <w:rPr>
          <w:b/>
          <w:bCs/>
        </w:rPr>
        <w:t xml:space="preserve">Il collo che non gira.</w:t>
      </w:r>
      <w:r>
        <w:t xml:space="preserve"> </w:t>
      </w:r>
      <w:r>
        <w:t xml:space="preserve">Il più frequente. È quello senza segni neurologici, con esordio entro 72 ore.</w:t>
      </w:r>
      <w:r>
        <w:t xml:space="preserve"> </w:t>
      </w:r>
      <w:r>
        <w:rPr>
          <w:b/>
          <w:bCs/>
        </w:rPr>
        <w:t xml:space="preserve">Il marker che segui è la rotazione cervicale in gradi:</w:t>
      </w:r>
      <w:r>
        <w:t xml:space="preserve"> </w:t>
      </w:r>
      <w:r>
        <w:t xml:space="preserve">cambia dentro la seduta, e il paziente vede il numero.</w:t>
      </w:r>
    </w:p>
    <w:p>
      <w:pPr>
        <w:pStyle w:val="BodyText"/>
      </w:pPr>
      <w:r>
        <w:rPr>
          <w:b/>
          <w:bCs/>
        </w:rPr>
        <w:t xml:space="preserve">Il collo che non tiene.</w:t>
      </w:r>
      <w:r>
        <w:t xml:space="preserve"> </w:t>
      </w:r>
      <w:r>
        <w:t xml:space="preserve">Meno dolore, più fatica: la testa «pesa», e dopo mezz’ora al computer va appoggiata. Al test di flessione cranio-cervicale sostituisce subito.</w:t>
      </w:r>
      <w:r>
        <w:t xml:space="preserve"> </w:t>
      </w:r>
      <w:r>
        <w:rPr>
          <w:b/>
          <w:bCs/>
        </w:rPr>
        <w:t xml:space="preserve">Quasi non si vede mai puro:</w:t>
      </w:r>
      <w:r>
        <w:t xml:space="preserve"> </w:t>
      </w:r>
      <w:r>
        <w:t xml:space="preserve">convive con il precedente, e il criterio che li separa è il rapporto fra dolore e fatica — il primo fa male, il secondo cede.</w:t>
      </w:r>
      <w:r>
        <w:t xml:space="preserve"> </w:t>
      </w:r>
      <w:r>
        <w:rPr>
          <w:b/>
          <w:bCs/>
        </w:rPr>
        <w:t xml:space="preserve">Il marker che segui è il livello raggiunto al test di flessione cranio-cervicale.</w:t>
      </w:r>
      <w:r>
        <w:t xml:space="preserve"> </w:t>
      </w:r>
      <w:r>
        <w:t xml:space="preserve">È il sottotipo con le prove migliori per la parte attiva, e il peggiore candidato per un ciclo di sole mani.</w:t>
      </w:r>
    </w:p>
    <w:p>
      <w:pPr>
        <w:pStyle w:val="BodyText"/>
      </w:pPr>
      <w:r>
        <w:rPr>
          <w:b/>
          <w:bCs/>
        </w:rPr>
        <w:t xml:space="preserve">La testa che martella.</w:t>
      </w:r>
      <w:r>
        <w:t xml:space="preserve"> </w:t>
      </w:r>
      <w:r>
        <w:t xml:space="preserve">Fra i pazienti in cui la cefalea dominava, il 53% aveva una sorgente confermata nel terzo nervo occipitale (Lord, 1994, PMID 7931379). Comanda</w:t>
      </w:r>
      <w:r>
        <w:t xml:space="preserve"> </w:t>
      </w:r>
      <w:r>
        <w:rPr>
          <w:b/>
          <w:bCs/>
        </w:rPr>
        <w:t xml:space="preserve">la crepa dietro l’intonaco</w:t>
      </w:r>
      <w:r>
        <w:t xml:space="preserve">, al piano alto.</w:t>
      </w:r>
      <w:r>
        <w:t xml:space="preserve"> </w:t>
      </w:r>
      <w:r>
        <w:rPr>
          <w:b/>
          <w:bCs/>
        </w:rPr>
        <w:t xml:space="preserve">Il marker che segui è la rotazione cervicale alta.</w:t>
      </w:r>
      <w:r>
        <w:t xml:space="preserve"> </w:t>
      </w:r>
      <w:r>
        <w:t xml:space="preserve">La verifica è quella del Capitolo 5: se il collo alto è la sorgente, i sintomi cranio-facciali si muovono quando si muove il collo alto.</w:t>
      </w:r>
    </w:p>
    <w:p>
      <w:pPr>
        <w:pStyle w:val="BodyText"/>
      </w:pPr>
      <w:r>
        <w:rPr>
          <w:b/>
          <w:bCs/>
        </w:rPr>
        <w:t xml:space="preserve">La testa che gira.</w:t>
      </w:r>
      <w:r>
        <w:t xml:space="preserve"> </w:t>
      </w:r>
      <w:r>
        <w:t xml:space="preserve">La discriminante è l’esordio con il trauma, con esame otorinolaringoiatrico negativo.</w:t>
      </w:r>
      <w:r>
        <w:t xml:space="preserve"> </w:t>
      </w:r>
      <w:r>
        <w:rPr>
          <w:b/>
          <w:bCs/>
        </w:rPr>
        <w:t xml:space="preserve">Il marker che segui è l’errore di riposizionamento, non il dolore.</w:t>
      </w:r>
      <w:r>
        <w:t xml:space="preserve"> </w:t>
      </w:r>
      <w:r>
        <w:t xml:space="preserve">Lo spazio c’è, ma appartiene al riallenamento più che alla mano (Treleaven,</w:t>
      </w:r>
      <w:r>
        <w:t xml:space="preserve"> </w:t>
      </w:r>
      <w:r>
        <w:rPr>
          <w:i/>
          <w:iCs/>
        </w:rPr>
        <w:t xml:space="preserve">Man Ther</w:t>
      </w:r>
      <w:r>
        <w:t xml:space="preserve"> </w:t>
      </w:r>
      <w:r>
        <w:t xml:space="preserve">2016, PMID 26678652).</w:t>
      </w:r>
    </w:p>
    <w:p>
      <w:pPr>
        <w:pStyle w:val="BodyText"/>
      </w:pPr>
      <w:r>
        <w:rPr>
          <w:b/>
          <w:bCs/>
        </w:rPr>
        <w:t xml:space="preserve">Il sistema in allarme.</w:t>
      </w:r>
      <w:r>
        <w:t xml:space="preserve"> </w:t>
      </w:r>
      <w:r>
        <w:t xml:space="preserve">Non è un capolinea. Ma qui va detto con precisione cosa hai in mano, perché è il punto in cui si sbaglia di più. Il randomizzato a favore riguarda un</w:t>
      </w:r>
      <w:r>
        <w:t xml:space="preserve"> </w:t>
      </w:r>
      <w:r>
        <w:rPr>
          <w:b/>
          <w:bCs/>
        </w:rPr>
        <w:t xml:space="preserve">programma strutturato di gestione dello stress erogato da fisioterapisti addestrati</w:t>
      </w:r>
      <w:r>
        <w:t xml:space="preserve">, e non è tuo. Quello che è tuo si divide in due. L’</w:t>
      </w:r>
      <w:r>
        <w:rPr>
          <w:b/>
          <w:bCs/>
        </w:rPr>
        <w:t xml:space="preserve">informazione corretta e il lavoro sull’aspettativa</w:t>
      </w:r>
      <w:r>
        <w:t xml:space="preserve"> </w:t>
      </w:r>
      <w:r>
        <w:t xml:space="preserve">reggono PROBABILE</w:t>
      </w:r>
      <w:r>
        <w:t xml:space="preserve"> </w:t>
      </w:r>
      <w:r>
        <w:rPr>
          <w:i/>
          <w:iCs/>
        </w:rPr>
        <w:t xml:space="preserve">(razionale forte, prove parziali)</w:t>
      </w:r>
      <w:r>
        <w:t xml:space="preserve">. Il</w:t>
      </w:r>
      <w:r>
        <w:t xml:space="preserve"> </w:t>
      </w:r>
      <w:r>
        <w:rPr>
          <w:b/>
          <w:bCs/>
        </w:rPr>
        <w:t xml:space="preserve">contatto lento, il ritmo del respiro, il tempo dedicato</w:t>
      </w:r>
      <w:r>
        <w:t xml:space="preserve"> </w:t>
      </w:r>
      <w:r>
        <w:t xml:space="preserve">restano IPOTESI —</w:t>
      </w:r>
      <w:r>
        <w:t xml:space="preserve"> </w:t>
      </w:r>
      <w:r>
        <w:rPr>
          <w:i/>
          <w:iCs/>
        </w:rPr>
        <w:t xml:space="preserve">prove contrarie</w:t>
      </w:r>
      <w:r>
        <w:t xml:space="preserve"> </w:t>
      </w:r>
      <w:r>
        <w:t xml:space="preserve">per la mobilizzazione articolare,</w:t>
      </w:r>
      <w:r>
        <w:t xml:space="preserve"> </w:t>
      </w:r>
      <w:r>
        <w:rPr>
          <w:i/>
          <w:iCs/>
        </w:rPr>
        <w:t xml:space="preserve">nessuno studio</w:t>
      </w:r>
      <w:r>
        <w:t xml:space="preserve"> </w:t>
      </w:r>
      <w:r>
        <w:t xml:space="preserve">per il contatto sostenuto (Capitolo 11).</w:t>
      </w:r>
      <w:r>
        <w:t xml:space="preserve"> </w:t>
      </w:r>
      <w:r>
        <w:rPr>
          <w:b/>
          <w:bCs/>
        </w:rPr>
        <w:t xml:space="preserve">Il marker che segui è la soglia pressoria in sede remota.</w:t>
      </w:r>
      <w:r>
        <w:t xml:space="preserve"> </w:t>
      </w:r>
      <w:r>
        <w:t xml:space="preserve">È abbastanza per non mandare via il paziente, non abbastanza per dire che hai un randomizzato in mano.</w:t>
      </w:r>
    </w:p>
    <w:p>
      <w:pPr>
        <w:pStyle w:val="BodyText"/>
      </w:pPr>
      <w:r>
        <w:rPr>
          <w:b/>
          <w:bCs/>
        </w:rPr>
        <w:t xml:space="preserve">La soglia crollata.</w:t>
      </w:r>
      <w:r>
        <w:t xml:space="preserve"> </w:t>
      </w:r>
      <w:r>
        <w:t xml:space="preserve">È il sottotipo su cui il tuo spazio è più stretto, e ora sai perché: il freno discendente non si accende. Dopo esercizio submassimale la soglia pressoria</w:t>
      </w:r>
      <w:r>
        <w:t xml:space="preserve"> </w:t>
      </w:r>
      <w:r>
        <w:rPr>
          <w:b/>
          <w:bCs/>
        </w:rPr>
        <w:t xml:space="preserve">scende</w:t>
      </w:r>
      <w:r>
        <w:t xml:space="preserve"> </w:t>
      </w:r>
      <w:r>
        <w:t xml:space="preserve">in questi pazienti e</w:t>
      </w:r>
      <w:r>
        <w:t xml:space="preserve"> </w:t>
      </w:r>
      <w:r>
        <w:rPr>
          <w:b/>
          <w:bCs/>
        </w:rPr>
        <w:t xml:space="preserve">sale</w:t>
      </w:r>
      <w:r>
        <w:t xml:space="preserve"> </w:t>
      </w:r>
      <w:r>
        <w:t xml:space="preserve">nei controlli sani (Van Oosterwijck,</w:t>
      </w:r>
      <w:r>
        <w:t xml:space="preserve"> </w:t>
      </w:r>
      <w:r>
        <w:rPr>
          <w:i/>
          <w:iCs/>
        </w:rPr>
        <w:t xml:space="preserve">J Pain</w:t>
      </w:r>
      <w:r>
        <w:t xml:space="preserve"> </w:t>
      </w:r>
      <w:r>
        <w:t xml:space="preserve">2012, PMID 22277322). La leva che tiene è esposizione graduata, informazione e gestione dell’attivazione.</w:t>
      </w:r>
      <w:r>
        <w:t xml:space="preserve"> </w:t>
      </w:r>
      <w:r>
        <w:rPr>
          <w:b/>
          <w:bCs/>
        </w:rPr>
        <w:t xml:space="preserve">Il marker che segui è la soglia pressoria in sede remota.</w:t>
      </w:r>
      <w:r>
        <w:t xml:space="preserve"> </w:t>
      </w:r>
      <w:r>
        <w:t xml:space="preserve">Il paziente va inserito in un percorso con il medico, non tenuto in un ciclo manuale che si allunga.</w:t>
      </w:r>
    </w:p>
    <w:p>
      <w:pPr>
        <w:pStyle w:val="BlockText"/>
      </w:pPr>
      <w:r>
        <w:rPr>
          <w:b/>
          <w:bCs/>
        </w:rPr>
        <w:t xml:space="preserve">Cosa cambia per te.</w:t>
      </w:r>
      <w:r>
        <w:t xml:space="preserve"> </w:t>
      </w:r>
      <w:r>
        <w:t xml:space="preserve">È il sottotipo su cui l’errore costa di più: somiglia a un collo rigido e non lo è. Se lo tratti come «il collo che non gira», il movimento che dovrebbe aiutare abbassa la soglia. E tu leggi il peggioramento come una colpa del paziente, invece che come il reperto atteso.</w:t>
      </w:r>
    </w:p>
    <w:p>
      <w:pPr>
        <w:pStyle w:val="FirstParagraph"/>
      </w:pPr>
      <w:r>
        <w:rPr>
          <w:b/>
          <w:bCs/>
        </w:rPr>
        <w:t xml:space="preserve">Segni neurologici.</w:t>
      </w:r>
      <w:r>
        <w:t xml:space="preserve"> </w:t>
      </w:r>
      <w:r>
        <w:t xml:space="preserve">Riduzione di forza, riflessi alterati, deficit radicolare: è un WAD di grado III, e prima passa dal medico. Attenzione al caso che non è radicolare e va più in fretta: un deficit</w:t>
      </w:r>
      <w:r>
        <w:t xml:space="preserve"> </w:t>
      </w:r>
      <w:r>
        <w:rPr>
          <w:b/>
          <w:bCs/>
        </w:rPr>
        <w:t xml:space="preserve">bilaterale o quadrilatero</w:t>
      </w:r>
      <w:r>
        <w:t xml:space="preserve"> </w:t>
      </w:r>
      <w:r>
        <w:t xml:space="preserve">dopo un trauma in iperestensione ha un’altra uscita — vedi la tabella delle bandiere rosse.</w:t>
      </w:r>
    </w:p>
    <w:p>
      <w:pPr>
        <w:pStyle w:val="BodyText"/>
      </w:pPr>
      <w:r>
        <w:rPr>
          <w:b/>
          <w:bCs/>
        </w:rPr>
        <w:t xml:space="preserve">Condizioni spesso associate.</w:t>
      </w:r>
      <w:r>
        <w:t xml:space="preserve"> </w:t>
      </w:r>
      <w:r>
        <w:t xml:space="preserve">Il paziente può avere anche cervicalgia persistente, cefalea che parte dalla nuca, vertigini o disturbi temporo-mandibolari. In quel caso vedi le Bibbie corrispondenti: i quadri condividono l’asse cervico-cranico, la convergenza trigemino-cervicale e il sistema di controllo della posizione della testa.</w:t>
      </w:r>
    </w:p>
    <w:p>
      <w:pPr>
        <w:pStyle w:val="BodyText"/>
      </w:pPr>
      <w:r>
        <w:rPr>
          <w:b/>
          <w:bCs/>
        </w:rPr>
        <w:t xml:space="preserve">Le tre cose da ricordare, più una</w:t>
      </w:r>
    </w:p>
    <w:p>
      <w:pPr>
        <w:pStyle w:val="Compact"/>
        <w:numPr>
          <w:ilvl w:val="0"/>
          <w:numId w:val="1021"/>
        </w:numPr>
      </w:pPr>
      <w:r>
        <w:t xml:space="preserve">Tre dei sei sottotipi si riconoscono da una domanda sola: «le vertigini sono comparse con l’incidente?», «rivedi la scena?», «il mal di testa parte da dietro?».</w:t>
      </w:r>
    </w:p>
    <w:p>
      <w:pPr>
        <w:pStyle w:val="Compact"/>
        <w:numPr>
          <w:ilvl w:val="0"/>
          <w:numId w:val="1021"/>
        </w:numPr>
      </w:pPr>
      <w:r>
        <w:t xml:space="preserve">«La soglia crollata» è quello su cui l’errore costa di più: è dolore nociplastico, e la parola serve a tenerlo separato dal collo rigido.</w:t>
      </w:r>
    </w:p>
    <w:p>
      <w:pPr>
        <w:pStyle w:val="Compact"/>
        <w:numPr>
          <w:ilvl w:val="0"/>
          <w:numId w:val="1021"/>
        </w:numPr>
      </w:pPr>
      <w:r>
        <w:t xml:space="preserve">Se tutti i tuoi pazienti finiscono nel primo sottotipo, non stai classificando: stai confermando.</w:t>
      </w:r>
    </w:p>
    <w:p>
      <w:pPr>
        <w:pStyle w:val="Compact"/>
        <w:numPr>
          <w:ilvl w:val="0"/>
          <w:numId w:val="1021"/>
        </w:numPr>
      </w:pPr>
      <w:r>
        <w:rPr>
          <w:b/>
          <w:bCs/>
        </w:rPr>
        <w:t xml:space="preserve">Perché ci sei tu.</w:t>
      </w:r>
      <w:r>
        <w:t xml:space="preserve"> </w:t>
      </w:r>
      <w:r>
        <w:t xml:space="preserve">Circa quindici persone su cento hanno una traiettoria di stress post-traumatico che parte alta e resta alta a sei mesi (Ravn, 2019, PMID 30318773). Su quel sottotipo non ci sei da solo: ti autorizza a riconoscerlo, nominarlo e attivare il canale, non a trattarlo come un problema di tessuto.</w:t>
      </w:r>
    </w:p>
    <w:p>
      <w:r>
        <w:pict>
          <v:rect style="width:0;height:1.5pt" o:hralign="center" o:hrstd="t" o:hr="t"/>
        </w:pict>
      </w:r>
    </w:p>
    <w:bookmarkEnd w:id="38"/>
    <w:bookmarkStart w:id="4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tre modelli portano quasi tutto il peso, uno va usato a scope ristretto, e dichiararlo è più forte che invocarli tutti e cinque.</w:t>
      </w:r>
    </w:p>
    <w:bookmarkStart w:id="39" w:name="biomeccanico-strutturale"/>
    <w:p>
      <w:pPr>
        <w:pStyle w:val="Heading3"/>
      </w:pPr>
      <w:r>
        <w:t xml:space="preserve">Biomeccanico-Strutturale</w:t>
      </w:r>
    </w:p>
    <w:p>
      <w:pPr>
        <w:pStyle w:val="FirstParagraph"/>
      </w:pPr>
      <w:r>
        <w:rPr>
          <w:b/>
          <w:bCs/>
        </w:rPr>
        <w:t xml:space="preserve">Cosa governa, e con quali attori.</w:t>
      </w:r>
      <w:r>
        <w:t xml:space="preserve"> </w:t>
      </w:r>
      <w:r>
        <w:t xml:space="preserve">Governa l’escursione persa e la distribuzione del lavoro fra strato profondo e superficiale. Gli attori sono le articolazioni zigapofisarie, il complesso occipite-atlante-epistrofeo, i flessori e gli estensori profondi, il passaggio cervico-dorsale.</w:t>
      </w:r>
    </w:p>
    <w:p>
      <w:pPr>
        <w:pStyle w:val="BodyText"/>
      </w:pPr>
      <w:r>
        <w:rPr>
          <w:b/>
          <w:bCs/>
        </w:rPr>
        <w:t xml:space="preserve">I segnali che ti dicono che pesa qui.</w:t>
      </w:r>
      <w:r>
        <w:t xml:space="preserve"> </w:t>
      </w:r>
      <w:r>
        <w:t xml:space="preserve">Sono quelli dei sottotipi «Il collo che non gira» e «Il collo che non tiene» (Capitolo 6).</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reperto esista e sia misurabile (Sterling,</w:t>
      </w:r>
      <w:r>
        <w:t xml:space="preserve"> </w:t>
      </w:r>
      <w:r>
        <w:rPr>
          <w:i/>
          <w:iCs/>
        </w:rPr>
        <w:t xml:space="preserve">Pain</w:t>
      </w:r>
      <w:r>
        <w:t xml:space="preserve"> </w:t>
      </w:r>
      <w:r>
        <w:t xml:space="preserve">2003, PMID 12749960).</w:t>
      </w:r>
      <w:r>
        <w:t xml:space="preserve"> </w:t>
      </w:r>
      <w:r>
        <w:rPr>
          <w:b/>
          <w:bCs/>
        </w:rPr>
        <w:t xml:space="preserve">PROBABILE</w:t>
      </w:r>
      <w:r>
        <w:t xml:space="preserve"> </w:t>
      </w:r>
      <w:r>
        <w:rPr>
          <w:i/>
          <w:iCs/>
        </w:rPr>
        <w:t xml:space="preserve">(razionale forte, prove parziali)</w:t>
      </w:r>
      <w:r>
        <w:t xml:space="preserve"> </w:t>
      </w:r>
      <w:r>
        <w:t xml:space="preserve">che modificarlo con terapia manuale riduca dolore ed escursione persa</w:t>
      </w:r>
      <w:r>
        <w:t xml:space="preserve"> </w:t>
      </w:r>
      <w:r>
        <w:rPr>
          <w:b/>
          <w:bCs/>
        </w:rPr>
        <w:t xml:space="preserve">a breve termine</w:t>
      </w:r>
      <w:r>
        <w:t xml:space="preserve">: la linea guida di riferimento mette la cura multimodale fra le opzioni considerabili per il grado I-II (Côté, 2016, PMID 26984876 — per esteso nel Capitolo 11).</w:t>
      </w:r>
      <w:r>
        <w:t xml:space="preserve"> </w:t>
      </w:r>
      <w:r>
        <w:rPr>
          <w:b/>
          <w:bCs/>
        </w:rPr>
        <w:t xml:space="preserve">IPOTESI</w:t>
      </w:r>
      <w:r>
        <w:t xml:space="preserve"> </w:t>
      </w:r>
      <w:r>
        <w:rPr>
          <w:i/>
          <w:iCs/>
        </w:rPr>
        <w:t xml:space="preserve">(meccanismo coerente, prove contrarie)</w:t>
      </w:r>
      <w:r>
        <w:t xml:space="preserve"> </w:t>
      </w:r>
      <w:r>
        <w:t xml:space="preserve">che modificarlo</w:t>
      </w:r>
      <w:r>
        <w:t xml:space="preserve"> </w:t>
      </w:r>
      <w:r>
        <w:rPr>
          <w:b/>
          <w:bCs/>
        </w:rPr>
        <w:t xml:space="preserve">cambi il decorso</w:t>
      </w:r>
      <w:r>
        <w:t xml:space="preserve">. I due studi che hanno testato direttamente più trattamento contro meno trattamento nel colpo di frusta sono negativi (Jull, 2013, PMID 23726933; Michaleff, 2014, PMID 24703832).</w:t>
      </w:r>
    </w:p>
    <w:bookmarkEnd w:id="39"/>
    <w:bookmarkStart w:id="40" w:name="respiratorio-circolatorio"/>
    <w:p>
      <w:pPr>
        <w:pStyle w:val="Heading3"/>
      </w:pPr>
      <w:r>
        <w:t xml:space="preserve">Respiratorio-Circolatorio</w:t>
      </w:r>
    </w:p>
    <w:p>
      <w:pPr>
        <w:pStyle w:val="FirstParagraph"/>
      </w:pPr>
      <w:r>
        <w:rPr>
          <w:b/>
          <w:bCs/>
        </w:rPr>
        <w:t xml:space="preserve">Cosa governa.</w:t>
      </w:r>
      <w:r>
        <w:t xml:space="preserve"> </w:t>
      </w:r>
      <w:r>
        <w:t xml:space="preserve">Solo la meccanica ventilatoria, con una sovrapposizione da dichiarare invece che nascondere. Scaleni, sternocleidomastoideo, prima costa e diaframma sono gli stessi flessori superficiali del martinetto, la difesa motoria che non si spegne. Il modello non aggiunge un bersaglio: aggiunge una lettura del perché quei muscoli restano ingaggiati. La prima costa è un reperto da valutare, non una struttura da liberare.</w:t>
      </w:r>
    </w:p>
    <w:p>
      <w:pPr>
        <w:pStyle w:val="BodyText"/>
      </w:pPr>
      <w:r>
        <w:rPr>
          <w:b/>
          <w:bCs/>
        </w:rPr>
        <w:t xml:space="preserve">I segnali che sembrano suoi, e dove portano davvero.</w:t>
      </w:r>
      <w:r>
        <w:t xml:space="preserve"> </w:t>
      </w:r>
      <w:r>
        <w:t xml:space="preserve">Respiro alto e corto, scaleni e sternocleidomastoideo ingaggiati anche a riposo, prima costa che non scende. Sembrano i segnali di questo modello, e sono i</w:t>
      </w:r>
      <w:r>
        <w:t xml:space="preserve"> </w:t>
      </w:r>
      <w:r>
        <w:rPr>
          <w:b/>
          <w:bCs/>
        </w:rPr>
        <w:t xml:space="preserve">flessori superficiali del martinetto</w:t>
      </w:r>
      <w:r>
        <w:t xml:space="preserve"> </w:t>
      </w:r>
      <w:r>
        <w:t xml:space="preserve">— la difesa motoria che non si spegne — visti da un’altra finestra. Si registrano lì, e il piano su cui li tratti è quello. È l’unica voce di questo tipo del capitolo: negli altri quattro modelli i segnali appartengono al modello che li elenca, e questa riga c’è perché la casella vuota viene riempita dal lettore.</w:t>
      </w:r>
    </w:p>
    <w:p>
      <w:pPr>
        <w:pStyle w:val="BlockText"/>
      </w:pPr>
      <w:r>
        <w:rPr>
          <w:b/>
          <w:bCs/>
        </w:rPr>
        <w:t xml:space="preserve">Attenzione.</w:t>
      </w:r>
      <w:r>
        <w:t xml:space="preserve"> </w:t>
      </w:r>
      <w:r>
        <w:t xml:space="preserve">Su questo distretto si usa la sola meccanica ventilatoria. La metà circolatoria del modello — ritorno venoso, drenaggio linfatico cervicale, gradienti pressori — qui non è pertinente e non viene invocata: nessuno l’ha misurata prima e dopo un trattamento manuale sul collo. Il modello resta uno dei cinque; è lo scope a essere ristretto, non il modello a essere tolto.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modificare il pattern respiratorio cambi l’esito del colpo di frusta. La connessione anatomica è certa; l’effetto clinico su questa condizione non è stato misurato. E il respiro, per definizione, è la cosa che fa il paziente: quando compare fra gli strumenti dell’osteopata porta questa etichetta, non un’altra presa in prestito.</w:t>
      </w:r>
    </w:p>
    <w:bookmarkEnd w:id="40"/>
    <w:bookmarkStart w:id="41" w:name="neurologico"/>
    <w:p>
      <w:pPr>
        <w:pStyle w:val="Heading3"/>
      </w:pPr>
      <w:r>
        <w:t xml:space="preserve">Neurologico</w:t>
      </w:r>
    </w:p>
    <w:p>
      <w:pPr>
        <w:pStyle w:val="FirstParagraph"/>
      </w:pPr>
      <w:r>
        <w:rPr>
          <w:b/>
          <w:bCs/>
        </w:rPr>
        <w:t xml:space="preserve">Cosa governa, e con quali attori.</w:t>
      </w:r>
      <w:r>
        <w:t xml:space="preserve"> </w:t>
      </w:r>
      <w:r>
        <w:t xml:space="preserve">Governa due cose: la soglia a cui una sensazione diventa sintomo, e l’integrazione fra collo, vestibolo e occhi. Gli attori sono i rami mediali delle branche posteriori, i fusi dei sub-occipitali, il nucleo trigemino-cervicale e le vie discendenti di modulazione. Gli ultimi due non sono decorazione: il nucleo regge la cefalea del meccanismo 1, e le vie discendenti reggono il meccanismo 3 e l’effetto immediato del Capitolo 11.</w:t>
      </w:r>
    </w:p>
    <w:p>
      <w:pPr>
        <w:pStyle w:val="BodyText"/>
      </w:pPr>
      <w:r>
        <w:rPr>
          <w:b/>
          <w:bCs/>
        </w:rPr>
        <w:t xml:space="preserve">I segnali che ti dicono che pesa qui.</w:t>
      </w:r>
      <w:r>
        <w:t xml:space="preserve"> </w:t>
      </w:r>
      <w:r>
        <w:t xml:space="preserve">Sono quelli dei sottotipi «La soglia crollata», «La testa che gira» e «La testa che martella» (Capitolo 6).</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profilo di ipersensibilità esista e predica l’esito (Sterling,</w:t>
      </w:r>
      <w:r>
        <w:t xml:space="preserve"> </w:t>
      </w:r>
      <w:r>
        <w:rPr>
          <w:i/>
          <w:iCs/>
        </w:rPr>
        <w:t xml:space="preserve">Pain</w:t>
      </w:r>
      <w:r>
        <w:t xml:space="preserve"> </w:t>
      </w:r>
      <w:r>
        <w:t xml:space="preserve">2006, PMID 16527397; Sterling,</w:t>
      </w:r>
      <w:r>
        <w:t xml:space="preserve"> </w:t>
      </w:r>
      <w:r>
        <w:rPr>
          <w:i/>
          <w:iCs/>
        </w:rPr>
        <w:t xml:space="preserve">Pain</w:t>
      </w:r>
      <w:r>
        <w:t xml:space="preserve"> </w:t>
      </w:r>
      <w:r>
        <w:t xml:space="preserve">2003, PMID 12927623).</w:t>
      </w:r>
      <w:r>
        <w:t xml:space="preserve"> </w:t>
      </w:r>
      <w:r>
        <w:rPr>
          <w:b/>
          <w:bCs/>
        </w:rPr>
        <w:t xml:space="preserve">IPOTESI</w:t>
      </w:r>
      <w:r>
        <w:t xml:space="preserve"> </w:t>
      </w:r>
      <w:r>
        <w:rPr>
          <w:i/>
          <w:iCs/>
        </w:rPr>
        <w:t xml:space="preserve">(meccanismo coerente, prove contrarie)</w:t>
      </w:r>
      <w:r>
        <w:t xml:space="preserve"> </w:t>
      </w:r>
      <w:r>
        <w:t xml:space="preserve">che il tocco sposti il profilo verso la calma: dove è stata misurata sulla cervicale, contro placebo e in doppio cieco, la</w:t>
      </w:r>
      <w:r>
        <w:t xml:space="preserve"> </w:t>
      </w:r>
      <w:r>
        <w:rPr>
          <w:b/>
          <w:bCs/>
        </w:rPr>
        <w:t xml:space="preserve">conduttanza cutanea</w:t>
      </w:r>
      <w:r>
        <w:t xml:space="preserve"> </w:t>
      </w:r>
      <w:r>
        <w:t xml:space="preserve">— quanto la pelle conduce corrente, un indice di attivazione simpatica —</w:t>
      </w:r>
      <w:r>
        <w:t xml:space="preserve"> </w:t>
      </w:r>
      <w:r>
        <w:rPr>
          <w:b/>
          <w:bCs/>
        </w:rPr>
        <w:t xml:space="preserve">aumenta</w:t>
      </w:r>
      <w:r>
        <w:t xml:space="preserve">, e la temperatura cutanea scende, cioè nella direzione dell’attivazione, insieme però a un aumento della soglia dolorosa (Sterling,</w:t>
      </w:r>
      <w:r>
        <w:t xml:space="preserve"> </w:t>
      </w:r>
      <w:r>
        <w:rPr>
          <w:i/>
          <w:iCs/>
        </w:rPr>
        <w:t xml:space="preserve">Man Ther</w:t>
      </w:r>
      <w:r>
        <w:t xml:space="preserve"> </w:t>
      </w:r>
      <w:r>
        <w:t xml:space="preserve">2001, PMID 11414776).</w:t>
      </w:r>
    </w:p>
    <w:bookmarkEnd w:id="41"/>
    <w:bookmarkStart w:id="42" w:name="metabolico-energetico"/>
    <w:p>
      <w:pPr>
        <w:pStyle w:val="Heading3"/>
      </w:pPr>
      <w:r>
        <w:t xml:space="preserve">Metabolico-Energetico</w:t>
      </w:r>
    </w:p>
    <w:p>
      <w:pPr>
        <w:pStyle w:val="FirstParagraph"/>
      </w:pPr>
      <w:r>
        <w:rPr>
          <w:b/>
          <w:bCs/>
        </w:rPr>
        <w:t xml:space="preserve">Cosa governa, e con quali attori.</w:t>
      </w:r>
      <w:r>
        <w:t xml:space="preserve"> </w:t>
      </w:r>
      <w:r>
        <w:t xml:space="preserve">Governa sonno, carico di fatica e farmaci in corso. Gli attori sono l’architettura del sonno, l’asse dello stress e il metabolismo dei sedativi che il paziente assume. Nessuno di questi attori si lavora con le mani: si valutano, si nominano, si rinviano.</w:t>
      </w:r>
    </w:p>
    <w:p>
      <w:pPr>
        <w:pStyle w:val="BodyText"/>
      </w:pPr>
      <w:r>
        <w:rPr>
          <w:b/>
          <w:bCs/>
        </w:rPr>
        <w:t xml:space="preserve">I segnali che ti dicono che pesa qui.</w:t>
      </w:r>
      <w:r>
        <w:t xml:space="preserve"> </w:t>
      </w:r>
      <w:r>
        <w:t xml:space="preserve">La stanchezza prevale sul dolore (Capitolo 5, meccanismo 4), e i sedativi sono in corso da tempo.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Che il sonno frammentato accompagni il quadro e si associ a un recupero peggiore è documentato (Hendriks,</w:t>
      </w:r>
      <w:r>
        <w:t xml:space="preserve"> </w:t>
      </w:r>
      <w:r>
        <w:rPr>
          <w:i/>
          <w:iCs/>
        </w:rPr>
        <w:t xml:space="preserve">Pain</w:t>
      </w:r>
      <w:r>
        <w:t xml:space="preserve"> </w:t>
      </w:r>
      <w:r>
        <w:t xml:space="preserve">2005, PMID 15777866; Smith,</w:t>
      </w:r>
      <w:r>
        <w:t xml:space="preserve"> </w:t>
      </w:r>
      <w:r>
        <w:rPr>
          <w:i/>
          <w:iCs/>
        </w:rPr>
        <w:t xml:space="preserve">Clin J Pain</w:t>
      </w:r>
      <w:r>
        <w:t xml:space="preserve"> </w:t>
      </w:r>
      <w:r>
        <w:t xml:space="preserve">2022, PMID 36037089). Che modificarlo cambi il decorso del colpo di frusta non è stato misurato, e comunque non è un atto nostro.</w:t>
      </w:r>
    </w:p>
    <w:bookmarkEnd w:id="42"/>
    <w:bookmarkStart w:id="43" w:name="comportamentale-biopsicosociale"/>
    <w:p>
      <w:pPr>
        <w:pStyle w:val="Heading3"/>
      </w:pPr>
      <w:r>
        <w:t xml:space="preserve">Comportamentale-Biopsicosociale</w:t>
      </w:r>
    </w:p>
    <w:p>
      <w:pPr>
        <w:pStyle w:val="FirstParagraph"/>
      </w:pPr>
      <w:r>
        <w:rPr>
          <w:b/>
          <w:bCs/>
        </w:rPr>
        <w:t xml:space="preserve">Cosa governa.</w:t>
      </w:r>
      <w:r>
        <w:t xml:space="preserve"> </w:t>
      </w:r>
      <w:r>
        <w:t xml:space="preserve">Aspettativa di guarigione, paura del movimento, significato dato all’incidente, contesto assicurativo, aderenza al lavoro attivo. E la</w:t>
      </w:r>
      <w:r>
        <w:t xml:space="preserve"> </w:t>
      </w:r>
      <w:r>
        <w:rPr>
          <w:b/>
          <w:bCs/>
        </w:rPr>
        <w:t xml:space="preserve">guida del programma</w:t>
      </w:r>
      <w:r>
        <w:t xml:space="preserve">: negli studi sull’esercizio la variabile che separa i bracci è la supervisione, che è un fatto comportamentale, non biomeccanico.</w:t>
      </w:r>
    </w:p>
    <w:p>
      <w:pPr>
        <w:pStyle w:val="BodyText"/>
      </w:pPr>
      <w:r>
        <w:rPr>
          <w:b/>
          <w:bCs/>
        </w:rPr>
        <w:t xml:space="preserve">I segnali che ti dicono che pesa qui.</w:t>
      </w:r>
      <w:r>
        <w:t xml:space="preserve"> </w:t>
      </w:r>
      <w:r>
        <w:t xml:space="preserve">Sono quelli del sottotipo «Il sistema in allarme» (Capitolo 6), più una risposta: alla domanda «secondo lei quando starà meglio?» risponde «mai».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l’aspettativa sia un fattore prognostico: su 6.015 adulti, chi si aspettava di guarire presto ha recuperato più in fretta (Carroll,</w:t>
      </w:r>
      <w:r>
        <w:t xml:space="preserve"> </w:t>
      </w:r>
      <w:r>
        <w:rPr>
          <w:i/>
          <w:iCs/>
        </w:rPr>
        <w:t xml:space="preserve">J Rheumatol</w:t>
      </w:r>
      <w:r>
        <w:t xml:space="preserve"> </w:t>
      </w:r>
      <w:r>
        <w:t xml:space="preserve">2009, PMID 19228657).</w:t>
      </w:r>
      <w:r>
        <w:t xml:space="preserve"> </w:t>
      </w:r>
      <w:r>
        <w:rPr>
          <w:b/>
          <w:bCs/>
        </w:rPr>
        <w:t xml:space="preserve">PROBABILE</w:t>
      </w:r>
      <w:r>
        <w:t xml:space="preserve"> </w:t>
      </w:r>
      <w:r>
        <w:rPr>
          <w:i/>
          <w:iCs/>
        </w:rPr>
        <w:t xml:space="preserve">(razionale forte, prove parziali)</w:t>
      </w:r>
      <w:r>
        <w:t xml:space="preserve"> </w:t>
      </w:r>
      <w:r>
        <w:t xml:space="preserve">che modificarla cambi l’esito: lo studio che ha lavorato su stress e aspettative insieme all’esercizio ha migliorato la disabilità a dodici mesi (Sterling, 2019, PMID 30661011), con il salto dichiarato — quel programma era erogato da fisioterapisti addestrati a un protocollo specifico, non da un colloquio generico.</w:t>
      </w:r>
    </w:p>
    <w:p>
      <w:pPr>
        <w:pStyle w:val="FirstParagraph"/>
      </w:pPr>
      <w:r>
        <w:rPr>
          <w:b/>
          <w:bCs/>
        </w:rPr>
        <w:t xml:space="preserve">Le tre cose da ricordare, più una</w:t>
      </w:r>
    </w:p>
    <w:p>
      <w:pPr>
        <w:pStyle w:val="Compact"/>
        <w:numPr>
          <w:ilvl w:val="0"/>
          <w:numId w:val="1022"/>
        </w:numPr>
      </w:pPr>
      <w:r>
        <w:t xml:space="preserve">I modelli che portano il peso sono tre: Biomeccanico, Comportamentale e Neurologico. Dichiararne due lascia fuori i sottotipi vertiginoso e nociplastico.</w:t>
      </w:r>
    </w:p>
    <w:p>
      <w:pPr>
        <w:pStyle w:val="Compact"/>
        <w:numPr>
          <w:ilvl w:val="0"/>
          <w:numId w:val="1022"/>
        </w:numPr>
      </w:pPr>
      <w:r>
        <w:t xml:space="preserve">Il Respiratorio-Circolatorio entra a metà, e la metà che entra ridescrive muscoli già assegnati: dirlo è più solido che invocarlo intero.</w:t>
      </w:r>
    </w:p>
    <w:p>
      <w:pPr>
        <w:pStyle w:val="Compact"/>
        <w:numPr>
          <w:ilvl w:val="0"/>
          <w:numId w:val="1022"/>
        </w:numPr>
      </w:pPr>
      <w:r>
        <w:t xml:space="preserve">Il Neurologico fa due cose diverse — stratifica sulla soglia, genera un intervento sul versante sensomotorio — e la mano non è la leva di nessuno dei due.</w:t>
      </w:r>
    </w:p>
    <w:p>
      <w:pPr>
        <w:pStyle w:val="Compact"/>
        <w:numPr>
          <w:ilvl w:val="0"/>
          <w:numId w:val="1022"/>
        </w:numPr>
      </w:pPr>
      <w:r>
        <w:rPr>
          <w:b/>
          <w:bCs/>
        </w:rPr>
        <w:t xml:space="preserve">Perché ci sei tu.</w:t>
      </w:r>
      <w:r>
        <w:t xml:space="preserve"> </w:t>
      </w:r>
      <w:r>
        <w:t xml:space="preserve">Su 458 pazienti randomizzati entro dieci giorni, collare rigido, «fare vita normale» e mobilizzazione attiva hanno dato lo stesso risultato a un anno (Kongsted, 2007, PMID 17413465). Ti autorizza a dire che gli studi non mostrano vantaggi dell’immobilizzazione, a non temere il movimento e a scriverlo al prescrittore.</w:t>
      </w:r>
      <w:r>
        <w:t xml:space="preserve"> </w:t>
      </w:r>
      <w:r>
        <w:rPr>
          <w:b/>
          <w:bCs/>
        </w:rPr>
        <w:t xml:space="preserve">Non a togliere il collare:</w:t>
      </w:r>
      <w:r>
        <w:t xml:space="preserve"> </w:t>
      </w:r>
      <w:r>
        <w:t xml:space="preserve">è un presidio prescritto da un altro, e la sospensione la decide chi l’ha prescritta, dopo lo screening per la frattura. Né a dire che il tuo trattamento cambia la prognosi a un anno: quel confronto lo abbiamo perso tutti.</w:t>
      </w:r>
    </w:p>
    <w:p>
      <w:r>
        <w:pict>
          <v:rect style="width:0;height:1.5pt" o:hralign="center" o:hrstd="t" o:hr="t"/>
        </w:pict>
      </w:r>
    </w:p>
    <w:bookmarkEnd w:id="43"/>
    <w:bookmarkEnd w:id="44"/>
    <w:bookmarkStart w:id="50"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sintomo è uno, i sommersi sono cinque, e la domanda che apre la seduta è «quale di questi sta consumando più capacità di adattamento oggi».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si decide, non ciò che si dimostra.</w:t>
      </w:r>
    </w:p>
    <w:bookmarkStart w:id="45" w:name="la-punta-e-il-sommerso"/>
    <w:p>
      <w:pPr>
        <w:pStyle w:val="Heading3"/>
      </w:pPr>
      <w:r>
        <w:t xml:space="preserve">La punta e il sommerso</w:t>
      </w:r>
    </w:p>
    <w:p>
      <w:pPr>
        <w:pStyle w:val="FirstParagraph"/>
      </w:pPr>
      <w:r>
        <w:t xml:space="preserve">Tre pazienti con la stessa frase —</w:t>
      </w:r>
      <w:r>
        <w:t xml:space="preserve"> </w:t>
      </w:r>
      <w:r>
        <w:rPr>
          <w:i/>
          <w:iCs/>
        </w:rPr>
        <w:t xml:space="preserve">«il collo non gira più»</w:t>
      </w:r>
      <w:r>
        <w:t xml:space="preserve"> </w:t>
      </w:r>
      <w:r>
        <w:t xml:space="preserve">— e tre sommersi diversi.</w:t>
      </w:r>
    </w:p>
    <w:p>
      <w:pPr>
        <w:pStyle w:val="BodyText"/>
      </w:pPr>
      <w:r>
        <w:rPr>
          <w:b/>
          <w:bCs/>
        </w:rPr>
        <w:t xml:space="preserve">Paziente A, «il collo che non gira» — sei settimane dall’urto, trentadue anni, nessun sintomo fuori dal collo.</w:t>
      </w:r>
      <w:r>
        <w:t xml:space="preserve"> </w:t>
      </w:r>
      <w:r>
        <w:t xml:space="preserve">Rotazione limitata a destra, dolore riprodotto in estensione e rotazione destra, sostituzione immediata al test di flessione cranio-cervicale. Sonno normale, aspettativa positiva, nessuna dolorabilità controlaterale né intolleranza al freddo. Il dominante è il piano biomeccanico.</w:t>
      </w:r>
      <w:r>
        <w:t xml:space="preserve"> </w:t>
      </w:r>
      <w:r>
        <w:rPr>
          <w:b/>
          <w:bCs/>
        </w:rPr>
        <w:t xml:space="preserve">Cosa fai:</w:t>
      </w:r>
      <w:r>
        <w:t xml:space="preserve"> </w:t>
      </w:r>
      <w:r>
        <w:t xml:space="preserve">lavori sul distretto cervicale e sul passaggio cervico-dorsale, misuri la rotazione prima e dopo, e imposti da subito la parte attiva sui flessori profondi.</w:t>
      </w:r>
      <w:r>
        <w:t xml:space="preserve"> </w:t>
      </w:r>
      <w:r>
        <w:rPr>
          <w:b/>
          <w:bCs/>
        </w:rPr>
        <w:t xml:space="preserve">Il marker che decide:</w:t>
      </w:r>
      <w:r>
        <w:t xml:space="preserve"> </w:t>
      </w:r>
      <w:r>
        <w:t xml:space="preserve">hai trattato il torace, quindi la rotazione toracica non vale. Resta la</w:t>
      </w:r>
      <w:r>
        <w:t xml:space="preserve"> </w:t>
      </w:r>
      <w:r>
        <w:rPr>
          <w:b/>
          <w:bCs/>
        </w:rPr>
        <w:t xml:space="preserve">soglia pressoria in sede remota</w:t>
      </w:r>
      <w:r>
        <w:t xml:space="preserve"> </w:t>
      </w:r>
      <w:r>
        <w:t xml:space="preserve">— avambraccio controlaterale o tibiale.</w:t>
      </w:r>
    </w:p>
    <w:p>
      <w:pPr>
        <w:pStyle w:val="BodyText"/>
      </w:pPr>
      <w:r>
        <w:rPr>
          <w:b/>
          <w:bCs/>
        </w:rPr>
        <w:t xml:space="preserve">Lo stesso paziente A, con due differenze.</w:t>
      </w:r>
      <w:r>
        <w:t xml:space="preserve"> </w:t>
      </w:r>
      <w:r>
        <w:t xml:space="preserve">Il freddo gli è diventato intollerabile, e la palpazione è dolente anche all’avambraccio opposto. Adesso due piani sono alti insieme, escursione e soglia, e la gerarchia dice che la soglia sta sopra. Quindi il lavoro locale intenso non è il bersaglio, e la verifica si sposta più in là. L’osservazione che scioglie il dubbio non è la rotazione: è la dolorabilità controlaterale.</w:t>
      </w:r>
    </w:p>
    <w:p>
      <w:pPr>
        <w:pStyle w:val="BodyText"/>
      </w:pPr>
      <w:r>
        <w:rPr>
          <w:b/>
          <w:bCs/>
        </w:rPr>
        <w:t xml:space="preserve">Paziente B, «la testa che gira» — sette mesi dall’urto, quarantacinque anni, vertigini e testa ovattata.</w:t>
      </w:r>
      <w:r>
        <w:t xml:space="preserve"> </w:t>
      </w:r>
      <w:r>
        <w:t xml:space="preserve">Rotazione ridotta ma non molto, esame otorinolaringoiatrico negativo, errore di riposizionamento alto, fatica a leggere.</w:t>
      </w:r>
      <w:r>
        <w:t xml:space="preserve"> </w:t>
      </w:r>
      <w:r>
        <w:rPr>
          <w:b/>
          <w:bCs/>
        </w:rPr>
        <w:t xml:space="preserve">Dorme bene, non rievoca la scena, guida senza problemi, il dolore ha ancora i suoi confini e non c’è dolorabilità controlaterale:</w:t>
      </w:r>
      <w:r>
        <w:t xml:space="preserve"> </w:t>
      </w:r>
      <w:r>
        <w:t xml:space="preserve">i piani alti sono esclusi, e per questo il dominante è il controllo sensomotorio — non perché il sintomo sia la vertigine.</w:t>
      </w:r>
      <w:r>
        <w:t xml:space="preserve"> </w:t>
      </w:r>
      <w:r>
        <w:rPr>
          <w:b/>
          <w:bCs/>
        </w:rPr>
        <w:t xml:space="preserve">Cosa fai:</w:t>
      </w:r>
      <w:r>
        <w:t xml:space="preserve"> </w:t>
      </w:r>
      <w:r>
        <w:t xml:space="preserve">tratti il collo alto e il passaggio cervico-dorsale per restituire escursione, e imposti il lavoro di riposizionamento e coordinazione occhio-testa, che su questo sottotipo ha un randomizzato a favore. Il marker che segui è l’errore di riposizionamento, non il dolore.</w:t>
      </w:r>
      <w:r>
        <w:t xml:space="preserve"> </w:t>
      </w:r>
      <w:r>
        <w:rPr>
          <w:b/>
          <w:bCs/>
        </w:rPr>
        <w:t xml:space="preserve">Il marker che decide:</w:t>
      </w:r>
      <w:r>
        <w:t xml:space="preserve"> </w:t>
      </w:r>
      <w:r>
        <w:t xml:space="preserve">anche qui il torace è stato trattato, quindi la soglia pressoria in sede remota.</w:t>
      </w:r>
    </w:p>
    <w:p>
      <w:pPr>
        <w:pStyle w:val="BodyText"/>
      </w:pPr>
      <w:r>
        <w:rPr>
          <w:b/>
          <w:bCs/>
        </w:rPr>
        <w:t xml:space="preserve">Paziente C, «il sistema in allarme» — quattro mesi dall’urto, trentotto anni, non guida più.</w:t>
      </w:r>
      <w:r>
        <w:t xml:space="preserve"> </w:t>
      </w:r>
      <w:r>
        <w:t xml:space="preserve">Dolore diffuso oltre il collo, sonno frammentato da quel giorno, rievoca la scena, si irrigidisce al primo contatto. Sull’aspettativa risponde «non passerà». Il dominante è il livello di attivazione.</w:t>
      </w:r>
      <w:r>
        <w:t xml:space="preserve"> </w:t>
      </w:r>
      <w:r>
        <w:rPr>
          <w:b/>
          <w:bCs/>
        </w:rPr>
        <w:t xml:space="preserve">Cosa fai:</w:t>
      </w:r>
      <w:r>
        <w:t xml:space="preserve"> </w:t>
      </w:r>
      <w:r>
        <w:t xml:space="preserve">lavori sull’attivazione, che qui è il bersaglio e non un ostacolo — contatto lento, ritmo del respiro, tempo dedicato, informazione corretta sulla prognosi. E in parallelo attivi per iscritto il canale medico per la componente post-traumatica. Il lavoro sul collo resta, ma il lavoro locale intenso non è il bersaglio, e la verifica si sposta più in là. Su questo paziente hai</w:t>
      </w:r>
      <w:r>
        <w:t xml:space="preserve"> </w:t>
      </w:r>
      <w:r>
        <w:rPr>
          <w:b/>
          <w:bCs/>
        </w:rPr>
        <w:t xml:space="preserve">più</w:t>
      </w:r>
      <w:r>
        <w:t xml:space="preserve"> </w:t>
      </w:r>
      <w:r>
        <w:t xml:space="preserve">da fare, non meno.</w:t>
      </w:r>
    </w:p>
    <w:p>
      <w:pPr>
        <w:pStyle w:val="BodyText"/>
      </w:pPr>
      <w:r>
        <w:rPr>
          <w:b/>
          <w:bCs/>
        </w:rPr>
        <w:t xml:space="preserve">Qui è più facile prendersi un merito che non è tuo, e conviene dire cosa hai in mano.</w:t>
      </w:r>
      <w:r>
        <w:t xml:space="preserve"> </w:t>
      </w:r>
      <w:r>
        <w:t xml:space="preserve">Il randomizzato riguarda un</w:t>
      </w:r>
      <w:r>
        <w:t xml:space="preserve"> </w:t>
      </w:r>
      <w:r>
        <w:rPr>
          <w:b/>
          <w:bCs/>
        </w:rPr>
        <w:t xml:space="preserve">programma strutturato di gestione dello stress che non eroghi tu</w:t>
      </w:r>
      <w:r>
        <w:t xml:space="preserve">. Quello che eroghi tu si divide in due. L’</w:t>
      </w:r>
      <w:r>
        <w:rPr>
          <w:b/>
          <w:bCs/>
        </w:rPr>
        <w:t xml:space="preserve">informazione corretta e il lavoro sull’aspettativa</w:t>
      </w:r>
      <w:r>
        <w:t xml:space="preserve"> </w:t>
      </w:r>
      <w:r>
        <w:t xml:space="preserve">reggono</w:t>
      </w:r>
      <w:r>
        <w:t xml:space="preserve"> </w:t>
      </w:r>
      <w:r>
        <w:rPr>
          <w:b/>
          <w:bCs/>
        </w:rPr>
        <w:t xml:space="preserve">PROBABILE</w:t>
      </w:r>
      <w:r>
        <w:t xml:space="preserve"> </w:t>
      </w:r>
      <w:r>
        <w:rPr>
          <w:i/>
          <w:iCs/>
        </w:rPr>
        <w:t xml:space="preserve">(razionale forte, prove parziali)</w:t>
      </w:r>
      <w:r>
        <w:t xml:space="preserve">. Il</w:t>
      </w:r>
      <w:r>
        <w:t xml:space="preserve"> </w:t>
      </w:r>
      <w:r>
        <w:rPr>
          <w:b/>
          <w:bCs/>
        </w:rPr>
        <w:t xml:space="preserve">contatto lento, il ritmo del respiro, il tempo dedicato</w:t>
      </w:r>
      <w:r>
        <w:t xml:space="preserve"> </w:t>
      </w:r>
      <w:r>
        <w:t xml:space="preserve">restano</w:t>
      </w:r>
      <w:r>
        <w:t xml:space="preserve"> </w:t>
      </w:r>
      <w:r>
        <w:rPr>
          <w:b/>
          <w:bCs/>
        </w:rPr>
        <w:t xml:space="preserve">IPOTESI</w:t>
      </w:r>
      <w:r>
        <w:t xml:space="preserve"> </w:t>
      </w:r>
      <w:r>
        <w:t xml:space="preserve">—</w:t>
      </w:r>
      <w:r>
        <w:t xml:space="preserve"> </w:t>
      </w:r>
      <w:r>
        <w:rPr>
          <w:i/>
          <w:iCs/>
        </w:rPr>
        <w:t xml:space="preserve">prove contrarie</w:t>
      </w:r>
      <w:r>
        <w:t xml:space="preserve"> </w:t>
      </w:r>
      <w:r>
        <w:t xml:space="preserve">per la mobilizzazione articolare,</w:t>
      </w:r>
      <w:r>
        <w:t xml:space="preserve"> </w:t>
      </w:r>
      <w:r>
        <w:rPr>
          <w:i/>
          <w:iCs/>
        </w:rPr>
        <w:t xml:space="preserve">nessuno studio</w:t>
      </w:r>
      <w:r>
        <w:t xml:space="preserve"> </w:t>
      </w:r>
      <w:r>
        <w:t xml:space="preserve">per il contatto sostenuto (Capitolo 11). Tempi reali: effetto di stato dentro la seduta, spostamento della soglia in settimane, e solo se l’informazione viaggia insieme al contatto.</w:t>
      </w:r>
      <w:r>
        <w:t xml:space="preserve"> </w:t>
      </w:r>
      <w:r>
        <w:rPr>
          <w:b/>
          <w:bCs/>
        </w:rPr>
        <w:t xml:space="preserve">Il marker che decide:</w:t>
      </w:r>
      <w:r>
        <w:t xml:space="preserve"> </w:t>
      </w:r>
      <w:r>
        <w:t xml:space="preserve">qui il torace non l’hai trattato, quindi la rotazione toracica regge.</w:t>
      </w:r>
    </w:p>
    <w:bookmarkEnd w:id="45"/>
    <w:bookmarkStart w:id="46" w:name="quale-piano-comanda"/>
    <w:p>
      <w:pPr>
        <w:pStyle w:val="Heading3"/>
      </w:pPr>
      <w:r>
        <w:t xml:space="preserve">Quale piano comanda</w:t>
      </w:r>
    </w:p>
    <w:p>
      <w:pPr>
        <w:pStyle w:val="FirstParagraph"/>
      </w:pPr>
      <w:r>
        <w:t xml:space="preserve">Il corpo sacrifica il comfort per proteggere le funzioni vitali. Da qui viene la gerarchia dei piani,</w:t>
      </w:r>
      <w:r>
        <w:t xml:space="preserve"> </w:t>
      </w:r>
      <w:r>
        <w:rPr>
          <w:b/>
          <w:bCs/>
        </w:rPr>
        <w:t xml:space="preserve">per convenzione di metodo e non per deduzione</w:t>
      </w:r>
      <w:r>
        <w:t xml:space="preserve">: il piano più alto, quando è disfunzionale, condiziona quelli sotto ed è il primo bersaglio. «Alto» non è una coordinata anatomica — non significa «parti dal cranio» — ed è la stessa scala che ordina la Road Map.</w:t>
      </w:r>
    </w:p>
    <w:p>
      <w:pPr>
        <w:pStyle w:val="BodyText"/>
      </w:pPr>
      <w:r>
        <w:rPr>
          <w:b/>
          <w:bCs/>
        </w:rPr>
        <w:t xml:space="preserve">Dove stanno i cinque meccanismi.</w:t>
      </w:r>
      <w:r>
        <w:t xml:space="preserve"> </w:t>
      </w:r>
      <w:r>
        <w:t xml:space="preserve">Attivazione è la spia accesa. Soglia è la mano screpolata. Senso di posizione è la bolla della livella.</w:t>
      </w:r>
      <w:r>
        <w:t xml:space="preserve"> </w:t>
      </w:r>
      <w:r>
        <w:rPr>
          <w:b/>
          <w:bCs/>
        </w:rPr>
        <w:t xml:space="preserve">Controllo motorio ed escursione è il piano su cui si maneggiano la crepa e il martinetto</w:t>
      </w:r>
      <w:r>
        <w:t xml:space="preserve">, e i suoi strumenti sono la rotazione in gradi e la provocazione in estensione-rotazione.</w:t>
      </w:r>
    </w:p>
    <w:bookmarkEnd w:id="46"/>
    <w:bookmarkStart w:id="47"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Tratti in prova il piano che sospetti dominante, poi rivaluti. Il dettaglio che distingue una verifica da un auto-inganno è uno:</w:t>
      </w:r>
      <w:r>
        <w:t xml:space="preserve"> </w:t>
      </w:r>
      <w:r>
        <w:rPr>
          <w:b/>
          <w:bCs/>
        </w:rPr>
        <w:t xml:space="preserve">il marker che decide deve appartenere a un piano che non hai trattato.</w:t>
      </w:r>
      <w:r>
        <w:t xml:space="preserve"> </w:t>
      </w:r>
      <w:r>
        <w:t xml:space="preserve">Altrimenti è come chiedere l’ora a un orologio che hai appena regolato tu.</w:t>
      </w:r>
    </w:p>
    <w:p>
      <w:pPr>
        <w:pStyle w:val="BodyText"/>
      </w:pPr>
      <w:r>
        <w:rPr>
          <w:b/>
          <w:bCs/>
        </w:rPr>
        <w:t xml:space="preserve">Le quattro condizioni di un marker che funziona.</w:t>
      </w:r>
    </w:p>
    <w:p>
      <w:pPr>
        <w:pStyle w:val="Compact"/>
        <w:numPr>
          <w:ilvl w:val="0"/>
          <w:numId w:val="1023"/>
        </w:numPr>
      </w:pPr>
      <w:r>
        <w:rPr>
          <w:b/>
          <w:bCs/>
        </w:rPr>
        <w:t xml:space="preserve">Misurabile in stanza</w:t>
      </w:r>
      <w:r>
        <w:t xml:space="preserve">, in meno di un minuto, con lo stesso metodo prima e dopo. Qui pesa più che altrove: l’algometro è l’unico dei cinque strumenti che molti studi non hanno.</w:t>
      </w:r>
    </w:p>
    <w:p>
      <w:pPr>
        <w:pStyle w:val="Compact"/>
        <w:numPr>
          <w:ilvl w:val="0"/>
          <w:numId w:val="1023"/>
        </w:numPr>
      </w:pPr>
      <w:r>
        <w:rPr>
          <w:b/>
          <w:bCs/>
        </w:rPr>
        <w:t xml:space="preserve">Scelto prima di trattare</w:t>
      </w:r>
      <w:r>
        <w:t xml:space="preserve">, non dopo aver visto il paziente stare meglio.</w:t>
      </w:r>
    </w:p>
    <w:p>
      <w:pPr>
        <w:pStyle w:val="Compact"/>
        <w:numPr>
          <w:ilvl w:val="0"/>
          <w:numId w:val="1023"/>
        </w:numPr>
      </w:pPr>
      <w:r>
        <w:rPr>
          <w:b/>
          <w:bCs/>
        </w:rPr>
        <w:t xml:space="preserve">Su un piano che non hai trattato</w:t>
      </w:r>
      <w:r>
        <w:t xml:space="preserve">, quando serve a decidere se il piano scelto comandava.</w:t>
      </w:r>
    </w:p>
    <w:p>
      <w:pPr>
        <w:pStyle w:val="Compact"/>
        <w:numPr>
          <w:ilvl w:val="0"/>
          <w:numId w:val="1023"/>
        </w:numPr>
      </w:pPr>
      <w:r>
        <w:rPr>
          <w:b/>
          <w:bCs/>
        </w:rPr>
        <w:t xml:space="preserve">Con una soglia dichiarata, e con la sua provenienza</w:t>
      </w:r>
      <w:r>
        <w:t xml:space="preserve"> </w:t>
      </w:r>
      <w:r>
        <w:t xml:space="preserve">— le quattro provenienze sono più sotto.</w:t>
      </w:r>
    </w:p>
    <w:p>
      <w:pPr>
        <w:pStyle w:val="FirstParagraph"/>
      </w:pPr>
      <w:r>
        <w:rPr>
          <w:b/>
          <w:bCs/>
        </w:rPr>
        <w:t xml:space="preserve">I marker, e a cosa servono.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Cambiamento che conta</w:t>
            </w:r>
          </w:p>
        </w:tc>
        <w:tc>
          <w:tcPr/>
          <w:p>
            <w:pPr>
              <w:pStyle w:val="Compact"/>
            </w:pPr>
            <w:r>
              <w:t xml:space="preserve">Valore alterato</w:t>
            </w:r>
          </w:p>
        </w:tc>
      </w:tr>
      <w:tr>
        <w:tc>
          <w:tcPr/>
          <w:p>
            <w:pPr>
              <w:pStyle w:val="Compact"/>
            </w:pPr>
            <w:r>
              <w:t xml:space="preserve">Rotazione cervicale attiva</w:t>
            </w:r>
          </w:p>
        </w:tc>
        <w:tc>
          <w:tcPr/>
          <w:p>
            <w:pPr>
              <w:pStyle w:val="Compact"/>
            </w:pPr>
            <w:r>
              <w:t xml:space="preserve">Goniometro, somma dei due lati</w:t>
            </w:r>
          </w:p>
        </w:tc>
        <w:tc>
          <w:tcPr/>
          <w:p>
            <w:pPr>
              <w:pStyle w:val="Compact"/>
            </w:pPr>
            <w:r>
              <w:t xml:space="preserve">10 gradi</w:t>
            </w:r>
          </w:p>
        </w:tc>
        <w:tc>
          <w:tcPr/>
          <w:p>
            <w:pPr>
              <w:pStyle w:val="Compact"/>
            </w:pPr>
            <w:r>
              <w:t xml:space="preserve">Non stabilito</w:t>
            </w:r>
          </w:p>
        </w:tc>
      </w:tr>
      <w:tr>
        <w:tc>
          <w:tcPr/>
          <w:p>
            <w:pPr>
              <w:pStyle w:val="Compact"/>
            </w:pPr>
            <w:r>
              <w:t xml:space="preserve">Flessione cranio-cervicale</w:t>
            </w:r>
          </w:p>
        </w:tc>
        <w:tc>
          <w:tcPr/>
          <w:p>
            <w:pPr>
              <w:pStyle w:val="Compact"/>
            </w:pPr>
            <w:r>
              <w:t xml:space="preserve">Livello raggiunto, sfigmomanometro</w:t>
            </w:r>
          </w:p>
        </w:tc>
        <w:tc>
          <w:tcPr/>
          <w:p>
            <w:pPr>
              <w:pStyle w:val="Compact"/>
            </w:pPr>
            <w:r>
              <w:t xml:space="preserve">2 mmHg (un gradino)</w:t>
            </w:r>
          </w:p>
        </w:tc>
        <w:tc>
          <w:tcPr/>
          <w:p>
            <w:pPr>
              <w:pStyle w:val="Compact"/>
            </w:pPr>
            <w:r>
              <w:t xml:space="preserve">Non stabilito</w:t>
            </w:r>
          </w:p>
        </w:tc>
      </w:tr>
      <w:tr>
        <w:tc>
          <w:tcPr/>
          <w:p>
            <w:pPr>
              <w:pStyle w:val="Compact"/>
            </w:pPr>
            <w:r>
              <w:t xml:space="preserve">Riposizionamento della testa</w:t>
            </w:r>
          </w:p>
        </w:tc>
        <w:tc>
          <w:tcPr/>
          <w:p>
            <w:pPr>
              <w:pStyle w:val="Compact"/>
            </w:pPr>
            <w:r>
              <w:t xml:space="preserve">Errore medio su tre prove</w:t>
            </w:r>
          </w:p>
        </w:tc>
        <w:tc>
          <w:tcPr/>
          <w:p>
            <w:pPr>
              <w:pStyle w:val="Compact"/>
            </w:pPr>
            <w:r>
              <w:t xml:space="preserve">Non stabilito</w:t>
            </w:r>
          </w:p>
        </w:tc>
        <w:tc>
          <w:tcPr/>
          <w:p>
            <w:pPr>
              <w:pStyle w:val="Compact"/>
            </w:pPr>
            <w:r>
              <w:t xml:space="preserve">Oltre 4,5 gradi</w:t>
            </w:r>
          </w:p>
        </w:tc>
      </w:tr>
      <w:tr>
        <w:tc>
          <w:tcPr/>
          <w:p>
            <w:pPr>
              <w:pStyle w:val="Compact"/>
            </w:pPr>
            <w:r>
              <w:t xml:space="preserve">Rotazione toracica seduto</w:t>
            </w:r>
          </w:p>
        </w:tc>
        <w:tc>
          <w:tcPr/>
          <w:p>
            <w:pPr>
              <w:pStyle w:val="Compact"/>
            </w:pPr>
            <w:r>
              <w:t xml:space="preserve">Goniometro o inclinometro</w:t>
            </w:r>
          </w:p>
        </w:tc>
        <w:tc>
          <w:tcPr/>
          <w:p>
            <w:pPr>
              <w:pStyle w:val="Compact"/>
            </w:pPr>
            <w:r>
              <w:t xml:space="preserve">10 gradi</w:t>
            </w:r>
          </w:p>
        </w:tc>
        <w:tc>
          <w:tcPr/>
          <w:p>
            <w:pPr>
              <w:pStyle w:val="Compact"/>
            </w:pPr>
            <w:r>
              <w:t xml:space="preserve">Non stabilito</w:t>
            </w:r>
          </w:p>
        </w:tc>
      </w:tr>
      <w:tr>
        <w:tc>
          <w:tcPr/>
          <w:p>
            <w:pPr>
              <w:pStyle w:val="Compact"/>
            </w:pPr>
            <w:r>
              <w:t xml:space="preserve">Soglia pressoria in sede remota</w:t>
            </w:r>
          </w:p>
        </w:tc>
        <w:tc>
          <w:tcPr/>
          <w:p>
            <w:pPr>
              <w:pStyle w:val="Compact"/>
            </w:pPr>
            <w:r>
              <w:t xml:space="preserve">Algometro, avambraccio o tibiale</w:t>
            </w:r>
          </w:p>
        </w:tc>
        <w:tc>
          <w:tcPr/>
          <w:p>
            <w:pPr>
              <w:pStyle w:val="Compact"/>
            </w:pPr>
            <w:r>
              <w:t xml:space="preserve">Errore dello strumento raddoppiato</w:t>
            </w:r>
          </w:p>
        </w:tc>
        <w:tc>
          <w:tcPr/>
          <w:p>
            <w:pPr>
              <w:pStyle w:val="Compact"/>
            </w:pPr>
            <w:r>
              <w:t xml:space="preserve">Non stabilito</w:t>
            </w:r>
          </w:p>
        </w:tc>
      </w:tr>
    </w:tbl>
    <w:p>
      <w:pPr>
        <w:pStyle w:val="BodyText"/>
      </w:pPr>
      <w:r>
        <w:rPr>
          <w:b/>
          <w:bCs/>
        </w:rPr>
        <w:t xml:space="preserve">Le due colonne non rispondono alla stessa domanda, ed è l’errore più comune.</w:t>
      </w:r>
      <w:r>
        <w:t xml:space="preserve"> </w:t>
      </w:r>
      <w:r>
        <w:t xml:space="preserve">«Cambiamento che conta» dice quanto deve muoversi il numero perché tu ci creda. «Valore alterato» dice quando il paziente è fuori norma. Un errore di riposizionamento di 4,5 gradi non è un miglioramento: è la soglia oltre la quale è alterato.</w:t>
      </w:r>
    </w:p>
    <w:p>
      <w:pPr>
        <w:pStyle w:val="BodyText"/>
      </w:pPr>
      <w:r>
        <w:t xml:space="preserve">Ogni soglia porta la sua provenienza, perché una soglia senza provenienza è un numero inventato e vale meno dell’assenza di soglia.</w:t>
      </w:r>
    </w:p>
    <w:p>
      <w:pPr>
        <w:pStyle w:val="Compact"/>
        <w:numPr>
          <w:ilvl w:val="0"/>
          <w:numId w:val="1024"/>
        </w:numPr>
      </w:pPr>
      <w:r>
        <w:t xml:space="preserve">I</w:t>
      </w:r>
      <w:r>
        <w:t xml:space="preserve"> </w:t>
      </w:r>
      <w:r>
        <w:rPr>
          <w:b/>
          <w:bCs/>
        </w:rPr>
        <w:t xml:space="preserve">10 gradi</w:t>
      </w:r>
      <w:r>
        <w:t xml:space="preserve"> </w:t>
      </w:r>
      <w:r>
        <w:t xml:space="preserve">delle due goniometrie vengono dall’errore tipico raddoppiato, non da uno studio sul colpo di frusta, e sono dichiarati per questo.</w:t>
      </w:r>
    </w:p>
    <w:p>
      <w:pPr>
        <w:pStyle w:val="Compact"/>
        <w:numPr>
          <w:ilvl w:val="0"/>
          <w:numId w:val="1024"/>
        </w:numPr>
      </w:pPr>
      <w:r>
        <w:t xml:space="preserve">I</w:t>
      </w:r>
      <w:r>
        <w:t xml:space="preserve"> </w:t>
      </w:r>
      <w:r>
        <w:rPr>
          <w:b/>
          <w:bCs/>
        </w:rPr>
        <w:t xml:space="preserve">2 mmHg</w:t>
      </w:r>
      <w:r>
        <w:t xml:space="preserve"> </w:t>
      </w:r>
      <w:r>
        <w:t xml:space="preserve">sono l’unità dello strumento: il test sale a gradini di due.</w:t>
      </w:r>
    </w:p>
    <w:p>
      <w:pPr>
        <w:pStyle w:val="Compact"/>
        <w:numPr>
          <w:ilvl w:val="0"/>
          <w:numId w:val="1024"/>
        </w:numPr>
      </w:pPr>
      <w:r>
        <w:t xml:space="preserve">I</w:t>
      </w:r>
      <w:r>
        <w:t xml:space="preserve"> </w:t>
      </w:r>
      <w:r>
        <w:rPr>
          <w:b/>
          <w:bCs/>
        </w:rPr>
        <w:t xml:space="preserve">4,5 gradi</w:t>
      </w:r>
      <w:r>
        <w:t xml:space="preserve"> </w:t>
      </w:r>
      <w:r>
        <w:t xml:space="preserve">vengono dallo studio che ha validato la misura, dove l’82% dei cervicalgici stava oltre quel valore (Revel,</w:t>
      </w:r>
      <w:r>
        <w:t xml:space="preserve"> </w:t>
      </w:r>
      <w:r>
        <w:rPr>
          <w:i/>
          <w:iCs/>
        </w:rPr>
        <w:t xml:space="preserve">Arch Phys Med Rehabil</w:t>
      </w:r>
      <w:r>
        <w:t xml:space="preserve"> </w:t>
      </w:r>
      <w:r>
        <w:t xml:space="preserve">1994, PMID 8053797) — su una popolazione</w:t>
      </w:r>
      <w:r>
        <w:t xml:space="preserve"> </w:t>
      </w:r>
      <w:r>
        <w:rPr>
          <w:b/>
          <w:bCs/>
        </w:rPr>
        <w:t xml:space="preserve">non traumatica</w:t>
      </w:r>
      <w:r>
        <w:t xml:space="preserve">.</w:t>
      </w:r>
    </w:p>
    <w:p>
      <w:pPr>
        <w:pStyle w:val="Compact"/>
        <w:numPr>
          <w:ilvl w:val="0"/>
          <w:numId w:val="1024"/>
        </w:numPr>
      </w:pPr>
      <w:r>
        <w:t xml:space="preserve">Per la</w:t>
      </w:r>
      <w:r>
        <w:t xml:space="preserve"> </w:t>
      </w:r>
      <w:r>
        <w:rPr>
          <w:b/>
          <w:bCs/>
        </w:rPr>
        <w:t xml:space="preserve">soglia pressoria</w:t>
      </w:r>
      <w:r>
        <w:t xml:space="preserve"> </w:t>
      </w:r>
      <w:r>
        <w:t xml:space="preserve">non esiste un riferimento pubblicato su questa condizione. La soglia si costruisce con la stessa regola dei 10 gradi:</w:t>
      </w:r>
      <w:r>
        <w:t xml:space="preserve"> </w:t>
      </w:r>
      <w:r>
        <w:rPr>
          <w:b/>
          <w:bCs/>
        </w:rPr>
        <w:t xml:space="preserve">l’errore dello strumento raddoppiato</w:t>
      </w:r>
      <w:r>
        <w:t xml:space="preserve">. Prima di trattare prendi tre letture sullo stesso punto. La differenza fra la più alta e la più bassa, moltiplicata per due, è il cambiamento minimo che puoi leggere come reale. Viene dallo strumento e non da uno studio, e va dichiarato così ogni volta che lo usi. Il</w:t>
      </w:r>
      <w:r>
        <w:t xml:space="preserve"> </w:t>
      </w:r>
      <w:r>
        <w:rPr>
          <w:b/>
          <w:bCs/>
        </w:rPr>
        <w:t xml:space="preserve">valore alterato</w:t>
      </w:r>
      <w:r>
        <w:t xml:space="preserve"> </w:t>
      </w:r>
      <w:r>
        <w:t xml:space="preserve">resta non stabilito: qui il confronto è del paziente con sé stesso.</w:t>
      </w:r>
    </w:p>
    <w:p>
      <w:pPr>
        <w:pStyle w:val="FirstParagraph"/>
      </w:pPr>
      <w:r>
        <w:rPr>
          <w:b/>
          <w:bCs/>
        </w:rPr>
        <w:t xml:space="preserve">La misura che mancava.</w:t>
      </w:r>
      <w:r>
        <w:t xml:space="preserve"> </w:t>
      </w:r>
      <w:r>
        <w:t xml:space="preserve">I due meccanismi che questo documento dichiara prognostici — soglia e attivazione — non avevano marker, e nei pazienti-tipo la prova della chiave di volta poggiava su un piano già trattato. La</w:t>
      </w:r>
      <w:r>
        <w:t xml:space="preserve"> </w:t>
      </w:r>
      <w:r>
        <w:rPr>
          <w:b/>
          <w:bCs/>
        </w:rPr>
        <w:t xml:space="preserve">soglia pressoria in sede remota</w:t>
      </w:r>
      <w:r>
        <w:t xml:space="preserve"> </w:t>
      </w:r>
      <w:r>
        <w:t xml:space="preserve">lo chiude. Se la via che hai mosso è la modulazione discendente, la soglia sale</w:t>
      </w:r>
      <w:r>
        <w:t xml:space="preserve"> </w:t>
      </w:r>
      <w:r>
        <w:rPr>
          <w:b/>
          <w:bCs/>
        </w:rPr>
        <w:t xml:space="preserve">anche lontano dal collo</w:t>
      </w:r>
      <w:r>
        <w:t xml:space="preserve">; se sale solo dove hai lavorato, l’effetto è locale. Serve a falsificare, ed è il suo mestiere.</w:t>
      </w:r>
    </w:p>
    <w:p>
      <w:pPr>
        <w:pStyle w:val="BlockText"/>
      </w:pPr>
      <w:r>
        <w:rPr>
          <w:b/>
          <w:bCs/>
        </w:rPr>
        <w:t xml:space="preserve">Cosa cambia per te.</w:t>
      </w:r>
      <w:r>
        <w:t xml:space="preserve"> </w:t>
      </w:r>
      <w:r>
        <w:t xml:space="preserve">I primi marker dicono se il tuo gesto ha fatto qualcosa adesso. Solo il marker fuori piano dice se il piano che hai scelto comandava. Confonderli è il modo più comune di credere di aver trovato la</w:t>
      </w:r>
      <w:r>
        <w:t xml:space="preserve"> </w:t>
      </w:r>
      <w:r>
        <w:rPr>
          <w:b/>
          <w:bCs/>
        </w:rPr>
        <w:t xml:space="preserve">lesione primaria</w:t>
      </w:r>
      <w:r>
        <w:t xml:space="preserve"> </w:t>
      </w:r>
      <w:r>
        <w:t xml:space="preserve">— la disfunzione che nella ricostruzione clinica ha innescato le altre — mentre stavi misurando l’effetto meccanico della manovra appena fatta. È una ricostruzione a posteriori: si scrive come ipotesi, mai come fatto.</w:t>
      </w:r>
    </w:p>
    <w:p>
      <w:pPr>
        <w:pStyle w:val="FirstParagraph"/>
      </w:pPr>
      <w:r>
        <w:rPr>
          <w:b/>
          <w:bCs/>
        </w:rPr>
        <w:t xml:space="preserve">Nota sulla mandibola.</w:t>
      </w:r>
      <w:r>
        <w:t xml:space="preserve"> </w:t>
      </w:r>
      <w:r>
        <w:t xml:space="preserve">L’apertura in millimetri vale la pena prenderla, perché nessuno la prende. Ma</w:t>
      </w:r>
      <w:r>
        <w:t xml:space="preserve"> </w:t>
      </w:r>
      <w:r>
        <w:rPr>
          <w:b/>
          <w:bCs/>
        </w:rPr>
        <w:t xml:space="preserve">non è un marker</w:t>
      </w:r>
      <w:r>
        <w:t xml:space="preserve">: non esiste una differenza minima rilevabile pubblicata, e la soglia dei 5 millimetri che circola non ha provenienza.</w:t>
      </w:r>
    </w:p>
    <w:p>
      <w:pPr>
        <w:pStyle w:val="BodyText"/>
      </w:pPr>
      <w:r>
        <w:rPr>
          <w:b/>
          <w:bCs/>
        </w:rPr>
        <w:t xml:space="preserve">Una regola del metodo che qui non c’è, e non per dimenticanza.</w:t>
      </w:r>
      <w:r>
        <w:t xml:space="preserve"> </w:t>
      </w:r>
      <w:r>
        <w:t xml:space="preserve">La regola «non trattare il punto in cui il paziente sente» non si applica alla scelta del bersaglio, e non viene attenuata: viene</w:t>
      </w:r>
      <w:r>
        <w:t xml:space="preserve"> </w:t>
      </w:r>
      <w:r>
        <w:rPr>
          <w:b/>
          <w:bCs/>
        </w:rPr>
        <w:t xml:space="preserve">tolta</w:t>
      </w:r>
      <w:r>
        <w:t xml:space="preserve">. Il motivo è un fatto: su questa condizione gli interventi con le prove migliori si applicano proprio sul collo e sul movimento che fa male. Quello che resta, intatto e con potere di discriminare, è la regola di verifica: il marker con cui rivaluti appartiene a un piano che non hai trattato (deviazione D-020).</w:t>
      </w:r>
    </w:p>
    <w:bookmarkEnd w:id="47"/>
    <w:bookmarkStart w:id="48" w:name="la-road-map"/>
    <w:p>
      <w:pPr>
        <w:pStyle w:val="Heading3"/>
      </w:pPr>
      <w:r>
        <w:t xml:space="preserve">La Road Map</w:t>
      </w:r>
    </w:p>
    <w:p>
      <w:pPr>
        <w:pStyle w:val="FirstParagraph"/>
      </w:pPr>
      <w:r>
        <w:t xml:space="preserve">Sei passi, in ordine di priorità.</w:t>
      </w:r>
    </w:p>
    <w:p>
      <w:pPr>
        <w:pStyle w:val="Compact"/>
        <w:numPr>
          <w:ilvl w:val="0"/>
          <w:numId w:val="1025"/>
        </w:numPr>
      </w:pPr>
      <w:r>
        <w:rPr>
          <w:b/>
          <w:bCs/>
        </w:rPr>
        <w:t xml:space="preserve">Il cancello.</w:t>
      </w:r>
      <w:r>
        <w:t xml:space="preserve"> </w:t>
      </w:r>
      <w:r>
        <w:t xml:space="preserve">Bandiere rosse, grado WAD, regola clinica per la frattura</w:t>
      </w:r>
      <w:r>
        <w:t xml:space="preserve"> </w:t>
      </w:r>
      <w:r>
        <w:rPr>
          <w:b/>
          <w:bCs/>
        </w:rPr>
        <w:t xml:space="preserve">se applicabile</w:t>
      </w:r>
      <w:r>
        <w:t xml:space="preserve">. Prima di tutto il resto.</w:t>
      </w:r>
    </w:p>
    <w:p>
      <w:pPr>
        <w:pStyle w:val="Compact"/>
        <w:numPr>
          <w:ilvl w:val="0"/>
          <w:numId w:val="1025"/>
        </w:numPr>
      </w:pPr>
      <w:r>
        <w:rPr>
          <w:b/>
          <w:bCs/>
        </w:rPr>
        <w:t xml:space="preserve">Il tempo dall’evento.</w:t>
      </w:r>
      <w:r>
        <w:t xml:space="preserve"> </w:t>
      </w:r>
      <w:r>
        <w:t xml:space="preserve">Settimane o mesi? Cambia la prognosi attesa, il peso della componente tissutale e cosa dici al paziente. Nelle prime settimane il reperto motorio c’è anche in chi guarirà e non è prognostico; oltre i tre mesi comandano soglia e attivazione.</w:t>
      </w:r>
    </w:p>
    <w:p>
      <w:pPr>
        <w:pStyle w:val="Compact"/>
        <w:numPr>
          <w:ilvl w:val="0"/>
          <w:numId w:val="1025"/>
        </w:numPr>
      </w:pPr>
      <w:r>
        <w:rPr>
          <w:b/>
          <w:bCs/>
        </w:rPr>
        <w:t xml:space="preserve">Il livello di attivazione.</w:t>
      </w:r>
      <w:r>
        <w:t xml:space="preserve"> </w:t>
      </w:r>
      <w:r>
        <w:t xml:space="preserve">Come dorme, se guida, se rivede la scena, cosa si aspetta. Se è alto, è il primo bersaglio e va detto.</w:t>
      </w:r>
    </w:p>
    <w:p>
      <w:pPr>
        <w:pStyle w:val="Compact"/>
        <w:numPr>
          <w:ilvl w:val="0"/>
          <w:numId w:val="1025"/>
        </w:numPr>
      </w:pPr>
      <w:r>
        <w:rPr>
          <w:b/>
          <w:bCs/>
        </w:rPr>
        <w:t xml:space="preserve">La soglia.</w:t>
      </w:r>
      <w:r>
        <w:t xml:space="preserve"> </w:t>
      </w:r>
      <w:r>
        <w:t xml:space="preserve">Il dolore ha ancora confini? Dolorabilità controlaterale? Intolleranza al freddo? Se sì, il lavoro locale intenso non è il bersaglio e la verifica si sposta più in là.</w:t>
      </w:r>
    </w:p>
    <w:p>
      <w:pPr>
        <w:pStyle w:val="Compact"/>
        <w:numPr>
          <w:ilvl w:val="0"/>
          <w:numId w:val="1025"/>
        </w:numPr>
      </w:pPr>
      <w:r>
        <w:rPr>
          <w:b/>
          <w:bCs/>
        </w:rPr>
        <w:t xml:space="preserve">Il controllo motorio e l’escursione.</w:t>
      </w:r>
      <w:r>
        <w:t xml:space="preserve"> </w:t>
      </w:r>
      <w:r>
        <w:t xml:space="preserve">Gradi di rotazione, test di flessione cranio-cervicale, dissociazione fra testa e tronco.</w:t>
      </w:r>
    </w:p>
    <w:p>
      <w:pPr>
        <w:pStyle w:val="Compact"/>
        <w:numPr>
          <w:ilvl w:val="0"/>
          <w:numId w:val="1025"/>
        </w:numPr>
      </w:pPr>
      <w:r>
        <w:rPr>
          <w:b/>
          <w:bCs/>
        </w:rPr>
        <w:t xml:space="preserve">Il senso di posizione e lo sguardo.</w:t>
      </w:r>
      <w:r>
        <w:t xml:space="preserve"> </w:t>
      </w:r>
      <w:r>
        <w:t xml:space="preserve">Errore di riposizionamento, movimenti oculari, sintomi visivi: se è alterato, il ciclo cambia contenuto.</w:t>
      </w:r>
    </w:p>
    <w:p>
      <w:pPr>
        <w:pStyle w:val="FirstParagraph"/>
      </w:pPr>
      <w:r>
        <w:rPr>
          <w:b/>
          <w:bCs/>
        </w:rPr>
        <w:t xml:space="preserve">E quando due piani sono alti insieme</w:t>
      </w:r>
      <w:r>
        <w:t xml:space="preserve"> </w:t>
      </w:r>
      <w:r>
        <w:t xml:space="preserve">— la situazione che questo documento dichiara tipica —</w:t>
      </w:r>
      <w:r>
        <w:t xml:space="preserve"> </w:t>
      </w:r>
      <w:r>
        <w:rPr>
          <w:b/>
          <w:bCs/>
        </w:rPr>
        <w:t xml:space="preserve">a parità di alterazione vince il piano più alto della gerarchia</w:t>
      </w:r>
      <w:r>
        <w:t xml:space="preserve">. Se restano pari, vince quello per cui hai un marker fuori piano che regge.</w:t>
      </w:r>
    </w:p>
    <w:bookmarkEnd w:id="48"/>
    <w:bookmarkStart w:id="49" w:name="lo-stato-del-paziente"/>
    <w:p>
      <w:pPr>
        <w:pStyle w:val="Heading3"/>
      </w:pPr>
      <w:r>
        <w:t xml:space="preserve">Lo stato del paziente</w:t>
      </w:r>
    </w:p>
    <w:p>
      <w:pPr>
        <w:pStyle w:val="FirstParagraph"/>
      </w:pPr>
      <w:r>
        <w:rPr>
          <w:b/>
          <w:bCs/>
        </w:rPr>
        <w:t xml:space="preserve">Emotivo</w:t>
      </w:r>
      <w:r>
        <w:t xml:space="preserve"> </w:t>
      </w:r>
      <w:r>
        <w:t xml:space="preserve">— racconta l’incidente e cerca ascolto. Qui è frequentissimo, e spesso indica che comanda la spia accesa.</w:t>
      </w:r>
    </w:p>
    <w:p>
      <w:pPr>
        <w:pStyle w:val="BodyText"/>
      </w:pPr>
      <w:r>
        <w:rPr>
          <w:b/>
          <w:bCs/>
        </w:rPr>
        <w:t xml:space="preserve">Le tre cose da ricordare, più una</w:t>
      </w:r>
    </w:p>
    <w:p>
      <w:pPr>
        <w:pStyle w:val="Compact"/>
        <w:numPr>
          <w:ilvl w:val="0"/>
          <w:numId w:val="1026"/>
        </w:numPr>
      </w:pPr>
      <w:r>
        <w:t xml:space="preserve">Il primo passo non è un test manuale: è il cancello, e poi il tempo trascorso dall’evento.</w:t>
      </w:r>
    </w:p>
    <w:p>
      <w:pPr>
        <w:pStyle w:val="Compact"/>
        <w:numPr>
          <w:ilvl w:val="0"/>
          <w:numId w:val="1026"/>
        </w:numPr>
      </w:pPr>
      <w:r>
        <w:t xml:space="preserve">Il paziente in cui comanda l’attivazione è quello in cui hai più da fare, e quello in cui devi essere più preciso su quale pezzo di quel lavoro ha una prova.</w:t>
      </w:r>
    </w:p>
    <w:p>
      <w:pPr>
        <w:pStyle w:val="Compact"/>
        <w:numPr>
          <w:ilvl w:val="0"/>
          <w:numId w:val="1026"/>
        </w:numPr>
      </w:pPr>
      <w:r>
        <w:t xml:space="preserve">Il marker che ti dà ragione non può essere quello su cui hai appena lavorato: se hai trattato il torace, resta la soglia in sede remota.</w:t>
      </w:r>
    </w:p>
    <w:p>
      <w:pPr>
        <w:pStyle w:val="Compact"/>
        <w:numPr>
          <w:ilvl w:val="0"/>
          <w:numId w:val="1026"/>
        </w:numPr>
      </w:pPr>
      <w:r>
        <w:rPr>
          <w:b/>
          <w:bCs/>
        </w:rPr>
        <w:t xml:space="preserve">Perché ci sei tu.</w:t>
      </w:r>
      <w:r>
        <w:t xml:space="preserve"> </w:t>
      </w:r>
      <w:r>
        <w:t xml:space="preserve">Iperalgesia al freddo, disabilità iniziale, età e sintomi post-traumatici restano predittori dell’esito a due-tre anni (Sterling, 2006, PMID 16527397). Ti autorizza a stratificare alla prima seduta, con quattro domande e un test. Non a usarli come diagnosi: sono probabilità di gruppo derivate su una coorte piccola e non validate altrove.</w:t>
      </w:r>
    </w:p>
    <w:p>
      <w:r>
        <w:pict>
          <v:rect style="width:0;height:1.5pt" o:hralign="center" o:hrstd="t" o:hr="t"/>
        </w:pict>
      </w:r>
    </w:p>
    <w:bookmarkEnd w:id="49"/>
    <w:bookmarkEnd w:id="50"/>
    <w:bookmarkStart w:id="56"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perimetro non è solo clinico — è anche vascolare e medico-legale, e il modo in cui scrivi in cartella può finire in un fascicolo.</w:t>
      </w:r>
    </w:p>
    <w:bookmarkStart w:id="51" w:name="le-bandiere-rosse"/>
    <w:p>
      <w:pPr>
        <w:pStyle w:val="Heading3"/>
      </w:pPr>
      <w:r>
        <w:t xml:space="preserve">Le bandiere rosse</w:t>
      </w:r>
    </w:p>
    <w:p>
      <w:pPr>
        <w:pStyle w:val="FirstParagraph"/>
      </w:pPr>
      <w:r>
        <w:t xml:space="preserve">Prima della tabella, il regime d’uso. Sul dolore cervicale le liste di bandiere rosse non concordano fra loro. Su 29 linee guida esaminate, dodici ne contenevano per un totale di 114 voci, con accordo mediano pari a zero su quali usare. Gli autori concludono che non si possono dare raccomandazioni specifiche, eccetto la</w:t>
      </w:r>
      <w:r>
        <w:t xml:space="preserve"> </w:t>
      </w:r>
      <w:r>
        <w:rPr>
          <w:b/>
          <w:bCs/>
        </w:rPr>
        <w:t xml:space="preserve">Canadian C-Spine Rule</w:t>
      </w:r>
      <w:r>
        <w:t xml:space="preserve"> </w:t>
      </w:r>
      <w:r>
        <w:t xml:space="preserve">per le fratture post-traumatiche (Feller,</w:t>
      </w:r>
      <w:r>
        <w:t xml:space="preserve"> </w:t>
      </w:r>
      <w:r>
        <w:rPr>
          <w:i/>
          <w:iCs/>
        </w:rPr>
        <w:t xml:space="preserve">Arch Physiother</w:t>
      </w:r>
      <w:r>
        <w:t xml:space="preserve"> </w:t>
      </w:r>
      <w:r>
        <w:t xml:space="preserve">2024, PMID 39639931).</w:t>
      </w:r>
    </w:p>
    <w:p>
      <w:pPr>
        <w:pStyle w:val="BlockText"/>
      </w:pPr>
      <w:r>
        <w:rPr>
          <w:b/>
          <w:bCs/>
        </w:rPr>
        <w:t xml:space="preserve">Attenzione.</w:t>
      </w:r>
      <w:r>
        <w:t xml:space="preserve"> </w:t>
      </w:r>
      <w:r>
        <w:t xml:space="preserve">Questa è la lista migliore disponibile, e non è uno strumento validato nel suo insieme. La usi come</w:t>
      </w:r>
      <w:r>
        <w:t xml:space="preserve"> </w:t>
      </w:r>
      <w:r>
        <w:rPr>
          <w:b/>
          <w:bCs/>
        </w:rPr>
        <w:t xml:space="preserve">rete</w:t>
      </w:r>
      <w:r>
        <w:t xml:space="preserve">, non come</w:t>
      </w:r>
      <w:r>
        <w:t xml:space="preserve"> </w:t>
      </w:r>
      <w:r>
        <w:rPr>
          <w:b/>
          <w:bCs/>
        </w:rPr>
        <w:t xml:space="preserve">filtro</w:t>
      </w:r>
      <w:r>
        <w:t xml:space="preserve">: 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Come e quando</w:t>
            </w:r>
          </w:p>
        </w:tc>
        <w:tc>
          <w:tcPr/>
          <w:p>
            <w:pPr>
              <w:pStyle w:val="Compact"/>
            </w:pPr>
            <w:r>
              <w:t xml:space="preserve">Uscita</w:t>
            </w:r>
          </w:p>
        </w:tc>
      </w:tr>
      <w:tr>
        <w:tc>
          <w:tcPr/>
          <w:p>
            <w:pPr>
              <w:pStyle w:val="Compact"/>
            </w:pPr>
            <w:r>
              <w:t xml:space="preserve">Perdita di coscienza, vomito, confusione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Deficit neurologico progressivo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Cefalea o cervicalgia nuova e diversa, ± Horner</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Vertigine con diplopia o disartria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Segni mielopatici o di instabilità alta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Deficit bilaterale o quadrilatero agli arti</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Disfagia, voce cambiata, gonfiore del collo, stridore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Cefalea nuova in peggioramento rapido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Canadian C-Spine Rule positiva</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Dolore mediano cervicale intenso con impossibilità a ruotare</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Formicolii o ipostenia monoradicolari agli arti</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Vertigine invalidante persistente</w:t>
            </w:r>
          </w:p>
        </w:tc>
        <w:tc>
          <w:tcPr/>
          <w:p>
            <w:pPr>
              <w:pStyle w:val="Compact"/>
            </w:pPr>
            <w:r>
              <w:t xml:space="preserve">Otorinolaringoiatra</w:t>
            </w:r>
          </w:p>
        </w:tc>
        <w:tc>
          <w:tcPr/>
          <w:p>
            <w:pPr>
              <w:pStyle w:val="Compact"/>
            </w:pPr>
            <w:r>
              <w:t xml:space="preserve">Invio</w:t>
            </w:r>
          </w:p>
        </w:tc>
        <w:tc>
          <w:tcPr/>
          <w:p>
            <w:pPr>
              <w:pStyle w:val="Compact"/>
            </w:pPr>
            <w:r>
              <w:t xml:space="preserve">GIALLO prioritario</w:t>
            </w:r>
          </w:p>
        </w:tc>
      </w:tr>
      <w:tr>
        <w:tc>
          <w:tcPr/>
          <w:p>
            <w:pPr>
              <w:pStyle w:val="Compact"/>
            </w:pPr>
            <w:r>
              <w:t xml:space="preserve">Sintomi post-traumatici marcati</w:t>
            </w:r>
          </w:p>
        </w:tc>
        <w:tc>
          <w:tcPr/>
          <w:p>
            <w:pPr>
              <w:pStyle w:val="Compact"/>
            </w:pPr>
            <w:r>
              <w:t xml:space="preserve">Medico curante</w:t>
            </w:r>
          </w:p>
        </w:tc>
        <w:tc>
          <w:tcPr/>
          <w:p>
            <w:pPr>
              <w:pStyle w:val="Compact"/>
            </w:pPr>
            <w:r>
              <w:t xml:space="preserve">Invio</w:t>
            </w:r>
          </w:p>
        </w:tc>
        <w:tc>
          <w:tcPr/>
          <w:p>
            <w:pPr>
              <w:pStyle w:val="Compact"/>
            </w:pPr>
            <w:r>
              <w:t xml:space="preserve">GIALLO prioritario</w:t>
            </w:r>
          </w:p>
        </w:tc>
      </w:tr>
    </w:tbl>
    <w:p>
      <w:pPr>
        <w:pStyle w:val="BodyText"/>
      </w:pPr>
      <w:r>
        <w:rPr>
          <w:b/>
          <w:bCs/>
        </w:rPr>
        <w:t xml:space="preserve">Sei righe, per esteso.</w:t>
      </w:r>
    </w:p>
    <w:p>
      <w:pPr>
        <w:pStyle w:val="Compact"/>
        <w:numPr>
          <w:ilvl w:val="0"/>
          <w:numId w:val="1027"/>
        </w:numPr>
      </w:pPr>
      <w:r>
        <w:rPr>
          <w:b/>
          <w:bCs/>
        </w:rPr>
        <w:t xml:space="preserve">Cervicalgia o cefalea nuova, diversa da ogni altra.</w:t>
      </w:r>
      <w:r>
        <w:t xml:space="preserve"> </w:t>
      </w:r>
      <w:r>
        <w:t xml:space="preserve">È la</w:t>
      </w:r>
      <w:r>
        <w:t xml:space="preserve"> </w:t>
      </w:r>
      <w:r>
        <w:rPr>
          <w:b/>
          <w:bCs/>
        </w:rPr>
        <w:t xml:space="preserve">dissezione arteriosa cervicale in fase precoce</w:t>
      </w:r>
      <w:r>
        <w:t xml:space="preserve">, e non ha segni neurologici. Si presenta come dolore cervicale o occipitale nuovo, improvviso, quasi sempre da un lato, diverso da qualunque cosa il paziente abbia avuto prima. Spesso porta con sé la</w:t>
      </w:r>
      <w:r>
        <w:t xml:space="preserve"> </w:t>
      </w:r>
      <w:r>
        <w:rPr>
          <w:b/>
          <w:bCs/>
        </w:rPr>
        <w:t xml:space="preserve">sindrome di Horner</w:t>
      </w:r>
      <w:r>
        <w:t xml:space="preserve"> </w:t>
      </w:r>
      <w:r>
        <w:t xml:space="preserve">— palpebra che cade e pupilla più piccola dallo stesso lato — o un tinnito pulsante. Compare giorni o settimane dopo il trauma, nella finestra in cui questo paziente ti arriva. Su 500 pazienti con colpo di frusta, 8 dissezioni entro dodici mesi (1,6%), 7 complicate da infarto cerebrale, con rischio ancora aumentato fra il quarto e il dodicesimo mese (Hauser,</w:t>
      </w:r>
      <w:r>
        <w:t xml:space="preserve"> </w:t>
      </w:r>
      <w:r>
        <w:rPr>
          <w:i/>
          <w:iCs/>
        </w:rPr>
        <w:t xml:space="preserve">Eur Neurol</w:t>
      </w:r>
      <w:r>
        <w:t xml:space="preserve"> </w:t>
      </w:r>
      <w:r>
        <w:t xml:space="preserve">2010, PMID 20720428: raro in assoluto, due-tre ordini di grandezza sopra il basale).</w:t>
      </w:r>
    </w:p>
    <w:p>
      <w:pPr>
        <w:pStyle w:val="Compact"/>
        <w:numPr>
          <w:ilvl w:val="0"/>
          <w:numId w:val="1027"/>
        </w:numPr>
      </w:pPr>
      <w:r>
        <w:rPr>
          <w:b/>
          <w:bCs/>
        </w:rPr>
        <w:t xml:space="preserve">Segni mielopatici o di instabilità alta.</w:t>
      </w:r>
      <w:r>
        <w:t xml:space="preserve"> </w:t>
      </w:r>
      <w:r>
        <w:t xml:space="preserve">Andatura instabile, mani goffe, segno di Lhermitte, disturbi sfinterici, parestesie bilaterali o facciali, drop attack, sensazione che la testa non stia su. Nessuna compare sulla radiografia.</w:t>
      </w:r>
    </w:p>
    <w:p>
      <w:pPr>
        <w:pStyle w:val="Compact"/>
        <w:numPr>
          <w:ilvl w:val="0"/>
          <w:numId w:val="1027"/>
        </w:numPr>
      </w:pPr>
      <w:r>
        <w:rPr>
          <w:b/>
          <w:bCs/>
        </w:rPr>
        <w:t xml:space="preserve">Disfagia, voce cambiata, gonfiore del collo, stridore.</w:t>
      </w:r>
      <w:r>
        <w:t xml:space="preserve"> </w:t>
      </w:r>
      <w:r>
        <w:t xml:space="preserve">È l’</w:t>
      </w:r>
      <w:r>
        <w:rPr>
          <w:b/>
          <w:bCs/>
        </w:rPr>
        <w:t xml:space="preserve">ematoma retrofaringeo e cervicale profondo</w:t>
      </w:r>
      <w:r>
        <w:t xml:space="preserve">, il modo in cui il colpo di frusta uccide un paziente scoagulato. Arriva camminando, con gli esami del pronto soccorso negativi: età mediana 69 anni, 27% in terapia antiaggregante o anticoagulante, 6,3% morti in ricovero (Shiba,</w:t>
      </w:r>
      <w:r>
        <w:t xml:space="preserve"> </w:t>
      </w:r>
      <w:r>
        <w:rPr>
          <w:i/>
          <w:iCs/>
        </w:rPr>
        <w:t xml:space="preserve">Eur J Trauma Emerg Surg</w:t>
      </w:r>
      <w:r>
        <w:t xml:space="preserve"> </w:t>
      </w:r>
      <w:r>
        <w:t xml:space="preserve">2023, PMID 36585980).</w:t>
      </w:r>
      <w:r>
        <w:t xml:space="preserve"> </w:t>
      </w:r>
      <w:r>
        <w:rPr>
          <w:b/>
          <w:bCs/>
        </w:rPr>
        <w:t xml:space="preserve">In terapia anticoagulante questa riga vale anche a settimane di distanza e con esami iniziali negativi.</w:t>
      </w:r>
    </w:p>
    <w:p>
      <w:pPr>
        <w:pStyle w:val="Compact"/>
        <w:numPr>
          <w:ilvl w:val="0"/>
          <w:numId w:val="1027"/>
        </w:numPr>
      </w:pPr>
      <w:r>
        <w:rPr>
          <w:b/>
          <w:bCs/>
        </w:rPr>
        <w:t xml:space="preserve">Canadian C-Spine Rule positiva.</w:t>
      </w:r>
      <w:r>
        <w:t xml:space="preserve"> </w:t>
      </w:r>
      <w:r>
        <w:t xml:space="preserve">Tre parti. Primo: c’è un fattore ad alto rischio che impone la radiografia — età pari o superiore a 65 anni, meccanismo pericoloso, parestesie agli arti? Secondo: c’è un fattore a basso rischio che consente di valutare il movimento — tamponamento semplice, paziente seduto, deambulante, dolore comparso in ritardo, nessuna dolorabilità mediana? Terzo: ruota attivamente di 45 gradi da entrambi i lati? La regola è derivata su 8.924 traumatizzati vigili e stabili, 151 dei quali (1,7%) con lesione cervicale importante, con sensibilità del 100% in validazione incrociata (Stiell,</w:t>
      </w:r>
      <w:r>
        <w:t xml:space="preserve"> </w:t>
      </w:r>
      <w:r>
        <w:rPr>
          <w:i/>
          <w:iCs/>
        </w:rPr>
        <w:t xml:space="preserve">JAMA</w:t>
      </w:r>
      <w:r>
        <w:t xml:space="preserve"> </w:t>
      </w:r>
      <w:r>
        <w:t xml:space="preserve">2001, PMID 11597285). Applicala per intero, e leggi il blocco qui sotto prima di usarla.</w:t>
      </w:r>
    </w:p>
    <w:p>
      <w:pPr>
        <w:pStyle w:val="Compact"/>
        <w:numPr>
          <w:ilvl w:val="0"/>
          <w:numId w:val="1027"/>
        </w:numPr>
      </w:pPr>
      <w:r>
        <w:rPr>
          <w:b/>
          <w:bCs/>
        </w:rPr>
        <w:t xml:space="preserve">Dolore mediano cervicale intenso con impossibilità a ruotare.</w:t>
      </w:r>
      <w:r>
        <w:t xml:space="preserve"> </w:t>
      </w:r>
      <w:r>
        <w:t xml:space="preserve">La dolorabilità mediana toglie il fattore a basso rischio e rende la regola positiva; l’impossibilità a ruotare impedisce di completarla. L’accertamento va fatto</w:t>
      </w:r>
      <w:r>
        <w:t xml:space="preserve"> </w:t>
      </w:r>
      <w:r>
        <w:rPr>
          <w:b/>
          <w:bCs/>
        </w:rPr>
        <w:t xml:space="preserve">prima di qualunque test di movimento</w:t>
      </w:r>
      <w:r>
        <w:t xml:space="preserve">, e il curante va informato contestualmente: informarlo non sostituisce l’accertamento.</w:t>
      </w:r>
    </w:p>
    <w:p>
      <w:pPr>
        <w:pStyle w:val="Compact"/>
        <w:numPr>
          <w:ilvl w:val="0"/>
          <w:numId w:val="1027"/>
        </w:numPr>
      </w:pPr>
      <w:r>
        <w:rPr>
          <w:b/>
          <w:bCs/>
        </w:rPr>
        <w:t xml:space="preserve">Formicolii o ipostenia agli arti.</w:t>
      </w:r>
      <w:r>
        <w:t xml:space="preserve"> </w:t>
      </w:r>
      <w:r>
        <w:t xml:space="preserve">Monoradicolare e stabile è il grado III: non «non trattare mai», ma non trattare</w:t>
      </w:r>
      <w:r>
        <w:t xml:space="preserve"> </w:t>
      </w:r>
      <w:r>
        <w:rPr>
          <w:b/>
          <w:bCs/>
        </w:rPr>
        <w:t xml:space="preserve">prima</w:t>
      </w:r>
      <w:r>
        <w:t xml:space="preserve"> </w:t>
      </w:r>
      <w:r>
        <w:t xml:space="preserve">dell’inquadramento.</w:t>
      </w:r>
      <w:r>
        <w:t xml:space="preserve"> </w:t>
      </w:r>
      <w:r>
        <w:rPr>
          <w:b/>
          <w:bCs/>
        </w:rPr>
        <w:t xml:space="preserve">Bilaterale o quadrilatero</w:t>
      </w:r>
      <w:r>
        <w:t xml:space="preserve"> </w:t>
      </w:r>
      <w:r>
        <w:t xml:space="preserve">dopo un trauma in iperestensione — la sindrome centromidollare dell’anziano con spondilosi — è un’altra cosa, e sta due righe più su.</w:t>
      </w:r>
    </w:p>
    <w:p>
      <w:pPr>
        <w:pStyle w:val="Compact"/>
        <w:numPr>
          <w:ilvl w:val="0"/>
          <w:numId w:val="1027"/>
        </w:numPr>
      </w:pPr>
      <w:r>
        <w:rPr>
          <w:b/>
          <w:bCs/>
        </w:rPr>
        <w:t xml:space="preserve">Sintomi post-traumatici marcati.</w:t>
      </w:r>
      <w:r>
        <w:t xml:space="preserve"> </w:t>
      </w:r>
      <w:r>
        <w:t xml:space="preserve">Rievocazione, evitamento, ipervigilanza, sonno assente. Non è un’urgenza, ed è la riga che più spesso non viene scritta, benché identifichi il sottogruppo con la prognosi peggiore.</w:t>
      </w:r>
    </w:p>
    <w:p>
      <w:pPr>
        <w:pStyle w:val="BlockText"/>
      </w:pPr>
      <w:r>
        <w:rPr>
          <w:b/>
          <w:bCs/>
        </w:rPr>
        <w:t xml:space="preserve">Attenzione.</w:t>
      </w:r>
      <w:r>
        <w:t xml:space="preserve"> </w:t>
      </w:r>
      <w:r>
        <w:t xml:space="preserve">La Canadian C-Spine Rule ha una finestra, e fuori da quella non è applicabile. È stata derivata e validata su adulti vigili con GCS 15, cioè pienamente coscienti, e con parametri stabili, giunti in pronto soccorso</w:t>
      </w:r>
      <w:r>
        <w:t xml:space="preserve"> </w:t>
      </w:r>
      <w:r>
        <w:rPr>
          <w:b/>
          <w:bCs/>
        </w:rPr>
        <w:t xml:space="preserve">entro 48 ore</w:t>
      </w:r>
      <w:r>
        <w:t xml:space="preserve"> </w:t>
      </w:r>
      <w:r>
        <w:t xml:space="preserve">da un trauma contusivo. Servivano anche: età pari o superiore a 16 anni, nessuna gravidanza, nessuna patologia vertebrale nota — artrite reumatoide, spondilite anchilosante, stenosi, pregressa chirurgia cervicale — nessun trauma penetrante e nessuna paralisi acuta. Il tuo paziente tipico arriva mesi dopo:</w:t>
      </w:r>
      <w:r>
        <w:t xml:space="preserve"> </w:t>
      </w:r>
      <w:r>
        <w:rPr>
          <w:b/>
          <w:bCs/>
        </w:rPr>
        <w:t xml:space="preserve">per lui la regola non è applicabile.</w:t>
      </w:r>
    </w:p>
    <w:p>
      <w:pPr>
        <w:pStyle w:val="BlockText"/>
      </w:pPr>
      <w:r>
        <w:t xml:space="preserve">E non applicabile non significa negativa. Significa che la domanda sulla frattura resta aperta e resta del medico, e che lì il GIALLO non si apre finché quella domanda non ha una risposta scritta. Due cose da aggiungere. Nell’anziano la frattura cervicale arriva a bassa energia: circa il 90% delle fratture dell’odontoide in questa fascia segue traumi a bassa energia (Lenga,</w:t>
      </w:r>
      <w:r>
        <w:t xml:space="preserve"> </w:t>
      </w:r>
      <w:r>
        <w:rPr>
          <w:i/>
          <w:iCs/>
        </w:rPr>
        <w:t xml:space="preserve">Global Spine J</w:t>
      </w:r>
      <w:r>
        <w:t xml:space="preserve"> </w:t>
      </w:r>
      <w:r>
        <w:t xml:space="preserve">2023, PMID 35344677). E la regola è tarata sulla</w:t>
      </w:r>
      <w:r>
        <w:t xml:space="preserve"> </w:t>
      </w:r>
      <w:r>
        <w:rPr>
          <w:b/>
          <w:bCs/>
        </w:rPr>
        <w:t xml:space="preserve">frattura</w:t>
      </w:r>
      <w:r>
        <w:t xml:space="preserve">: non vede la lesione legamentosa e non dice niente sull’arteria.</w:t>
      </w:r>
    </w:p>
    <w:bookmarkEnd w:id="51"/>
    <w:bookmarkStart w:id="52" w:name="X7ed5e8bfa8894ed9c13ef998b1bfd4f49737984"/>
    <w:p>
      <w:pPr>
        <w:pStyle w:val="Heading3"/>
      </w:pPr>
      <w:r>
        <w:t xml:space="preserve">Il cancello vascolare, che è un cancello diverso</w:t>
      </w:r>
    </w:p>
    <w:p>
      <w:pPr>
        <w:pStyle w:val="FirstParagraph"/>
      </w:pPr>
      <w:r>
        <w:rPr>
          <w:b/>
          <w:bCs/>
        </w:rPr>
        <w:t xml:space="preserve">La regola per la frattura non è uno screening vascolare.</w:t>
      </w:r>
      <w:r>
        <w:t xml:space="preserve"> </w:t>
      </w:r>
      <w:r>
        <w:t xml:space="preserve">Dice che non serve una radiografia; sull’arteria tace. Lo screening vascolare prima di un intervento manuale ha un riferimento suo, l’</w:t>
      </w:r>
      <w:r>
        <w:rPr>
          <w:b/>
          <w:bCs/>
        </w:rPr>
        <w:t xml:space="preserve">International IFOMPT Cervical Framework</w:t>
      </w:r>
      <w:r>
        <w:t xml:space="preserve"> </w:t>
      </w:r>
      <w:r>
        <w:t xml:space="preserve">(Rushton,</w:t>
      </w:r>
      <w:r>
        <w:t xml:space="preserve"> </w:t>
      </w:r>
      <w:r>
        <w:rPr>
          <w:i/>
          <w:iCs/>
        </w:rPr>
        <w:t xml:space="preserve">J Orthop Sports Phys Ther</w:t>
      </w:r>
      <w:r>
        <w:t xml:space="preserve"> </w:t>
      </w:r>
      <w:r>
        <w:t xml:space="preserve">2023, PMID 36099171). È quello, non la regola per la frattura, il cancello che precede una tecnica ad alta velocità su questo collo. Il come si applica è materia di Procedura. Qui ti serve sapere due cose: che quel cancello esiste ed è un altro, e che il rischio che conta non è quello che introduci tu — è quello che il trauma può aver già prodotto.</w:t>
      </w:r>
    </w:p>
    <w:bookmarkEnd w:id="52"/>
    <w:bookmarkStart w:id="53"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 avere qualcosa da trattare oggi — non nasce dalla diagnosi medica. 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Tutto questo sta nella cornice del profilo dell’osteopata (DPR 131/2021). Quando l’inquadramento manca, il canale medico si attiva contestualmente al tuo lavoro, non dopo.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 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w:t>
      </w:r>
      <w:r>
        <w:t xml:space="preserve"> </w:t>
      </w:r>
      <w:r>
        <w:rPr>
          <w:b/>
          <w:bCs/>
        </w:rPr>
        <w:t xml:space="preserve">un reperto positivo giustifica il tuo lavoro, non sostituisce l’inquadramento medico.</w:t>
      </w:r>
      <w:r>
        <w:t xml:space="preserve"> </w:t>
      </w:r>
      <w:r>
        <w:t xml:space="preserve">Trovare una rotazione ridotta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t xml:space="preserve">Non qualunque cosa tu senta con le mani fonda il mandato. Reggono: escursione</w:t>
      </w:r>
      <w:r>
        <w:t xml:space="preserve"> </w:t>
      </w:r>
      <w:r>
        <w:rPr>
          <w:b/>
          <w:bCs/>
        </w:rPr>
        <w:t xml:space="preserve">regionale</w:t>
      </w:r>
      <w:r>
        <w:t xml:space="preserve"> </w:t>
      </w:r>
      <w:r>
        <w:t xml:space="preserve">in gradi, provocazione del dolore con un carico definito, livello al test di flessione cranio-cervicale, errore di riposizionamento, tempo di tolleranza su un compito. La palpazione dei tessuti molli e la mobilità</w:t>
      </w:r>
      <w:r>
        <w:t xml:space="preserve"> </w:t>
      </w:r>
      <w:r>
        <w:rPr>
          <w:b/>
          <w:bCs/>
        </w:rPr>
        <w:t xml:space="preserve">segmentale</w:t>
      </w:r>
      <w:r>
        <w:t xml:space="preserve"> </w:t>
      </w:r>
      <w:r>
        <w:t xml:space="preserve">restano parte dell’esame, ma non fondano il mandato e non funzionano da marker.</w:t>
      </w:r>
    </w:p>
    <w:p>
      <w:pPr>
        <w:pStyle w:val="BodyText"/>
      </w:pPr>
      <w:r>
        <w:rPr>
          <w:b/>
          <w:bCs/>
        </w:rPr>
        <w:t xml:space="preserve">🔴 ROSSO — Stop.</w:t>
      </w:r>
      <w:r>
        <w:t xml:space="preserve"> </w:t>
      </w:r>
      <w:r>
        <w:t xml:space="preserve">Basta una sola bandiera rossa. Non si apre un ciclo e non si rimanda alla prossima seduta: il paziente esce con un’indicazione medica esplicita e</w:t>
      </w:r>
      <w:r>
        <w:t xml:space="preserve"> </w:t>
      </w:r>
      <w:r>
        <w:rPr>
          <w:b/>
          <w:bCs/>
        </w:rPr>
        <w:t xml:space="preserve">scritta</w:t>
      </w:r>
      <w:r>
        <w:t xml:space="preserve">, e con i tempi dichiarati. Se coesiste una disfunzione somatica autonoma altrove la si può trattare. Ma in cartella si dichiara che il sintomo cervicale è in attesa di inquadramento e</w:t>
      </w:r>
      <w:r>
        <w:t xml:space="preserve"> </w:t>
      </w:r>
      <w:r>
        <w:rPr>
          <w:b/>
          <w:bCs/>
        </w:rPr>
        <w:t xml:space="preserve">non è il bersaglio</w:t>
      </w:r>
      <w:r>
        <w:t xml:space="preserve">.</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 È la situazione più frequente — il paziente che arriva mesi dopo con la lastra del pronto soccorso e nient’altro — e non è un motivo per rimandarlo fuori. Si lavora a quattro condizioni, tutte verificabili.</w:t>
      </w:r>
    </w:p>
    <w:p>
      <w:pPr>
        <w:pStyle w:val="Compact"/>
        <w:numPr>
          <w:ilvl w:val="0"/>
          <w:numId w:val="1028"/>
        </w:numPr>
      </w:pPr>
      <w:r>
        <w:rPr>
          <w:b/>
          <w:bCs/>
        </w:rPr>
        <w:t xml:space="preserve">Un reperto tuo, positivo e scritto in cartella</w:t>
      </w:r>
      <w:r>
        <w:t xml:space="preserve">, fra quelli che reggono il mandato. Non «il paziente ha un colpo di frusta», ma il numero che hai misurato.</w:t>
      </w:r>
    </w:p>
    <w:p>
      <w:pPr>
        <w:pStyle w:val="Compact"/>
        <w:numPr>
          <w:ilvl w:val="0"/>
          <w:numId w:val="1028"/>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e misurato. Il quadro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 una comunicazione scritta al curante, non un rinvio del paziente. Il paziente resta con te; l’informazione va da chi di dovere.</w:t>
      </w:r>
    </w:p>
    <w:p>
      <w:pPr>
        <w:pStyle w:val="Compact"/>
        <w:numPr>
          <w:ilvl w:val="0"/>
          <w:numId w:val="1028"/>
        </w:numPr>
      </w:pPr>
      <w:r>
        <w:rPr>
          <w:b/>
          <w:bCs/>
        </w:rPr>
        <w:t xml:space="preserve">Tempo definito, contato in calendario e non in sedute.</w:t>
      </w:r>
      <w:r>
        <w:t xml:space="preserve"> </w:t>
      </w:r>
      <w:r>
        <w:t xml:space="preserve">La data della revisione si scrive in cartella il giorno in cui si apre il GIALLO. Cade entro sei settimane dalla prima seduta, qualunque sia il numero di sedute: chi dirada gli appuntamenti non fa scadere niente. Nel GIALLO prioritario il tetto scende a tre settimane.</w:t>
      </w:r>
    </w:p>
    <w:p>
      <w:pPr>
        <w:pStyle w:val="FirstParagraph"/>
      </w:pPr>
      <w:r>
        <w:rPr>
          <w:b/>
          <w:bCs/>
        </w:rPr>
        <w:t xml:space="preserve">🟡 GIALLO prioritario.</w:t>
      </w:r>
      <w:r>
        <w:t xml:space="preserve"> </w:t>
      </w:r>
      <w:r>
        <w:t xml:space="preserve">Stesse quattro condizioni, più due. Primo: canale medico attivato</w:t>
      </w:r>
      <w:r>
        <w:t xml:space="preserve"> </w:t>
      </w:r>
      <w:r>
        <w:rPr>
          <w:b/>
          <w:bCs/>
        </w:rPr>
        <w:t xml:space="preserve">entro la seduta in cui il quadro emerge, e comunque prima di aprire il ciclo</w:t>
      </w:r>
      <w:r>
        <w:t xml:space="preserve">. Secondo: motivo della priorità scritto in cartella. Ci finiscono due gruppi.</w:t>
      </w:r>
    </w:p>
    <w:p>
      <w:pPr>
        <w:pStyle w:val="Compact"/>
        <w:numPr>
          <w:ilvl w:val="0"/>
          <w:numId w:val="1029"/>
        </w:numPr>
      </w:pPr>
      <w:r>
        <w:rPr>
          <w:b/>
          <w:bCs/>
        </w:rPr>
        <w:t xml:space="preserve">Per il quadro:</w:t>
      </w:r>
      <w:r>
        <w:t xml:space="preserve"> </w:t>
      </w:r>
      <w:r>
        <w:t xml:space="preserve">vertigine invalidante persistente, sintomi post-traumatici marcati e il quadro a soglia crollata — dolore che ha perso i confini, intolleranza al freddo, dolorabilità controlaterale. In tutti e tre la leva efficace sta fuori dalle tue mani e il ritardo costa. Sulla soglia crollata la leva che tiene non è manuale, e un ciclo che si allunga è tempo tolto al percorso che serve. I sintomi post-traumatici emergono durante la prima seduta, dalle domande che questo documento ti insegna a fare: per questo il canale si attiva lì, non prima.</w:t>
      </w:r>
    </w:p>
    <w:p>
      <w:pPr>
        <w:pStyle w:val="Compact"/>
        <w:numPr>
          <w:ilvl w:val="0"/>
          <w:numId w:val="1029"/>
        </w:numPr>
      </w:pPr>
      <w:r>
        <w:rPr>
          <w:b/>
          <w:bCs/>
        </w:rPr>
        <w:t xml:space="preserve">Per la persona:</w:t>
      </w:r>
      <w:r>
        <w:t xml:space="preserve"> </w:t>
      </w:r>
      <w:r>
        <w:t xml:space="preserve">età pari o superiore a 65 anni, terapia anticoagulante o antiaggregante, patologia vertebrale nota (artrite reumatoide, spondilite anchilosante, stenosi, pregressa chirurgia cervicale), osteoporosi, gravidanza. In tutti questi la domanda sulla frattura</w:t>
      </w:r>
      <w:r>
        <w:t xml:space="preserve"> </w:t>
      </w:r>
      <w:r>
        <w:rPr>
          <w:b/>
          <w:bCs/>
        </w:rPr>
        <w:t xml:space="preserve">non è chiudibile con la Canadian C-Spine Rule</w:t>
      </w:r>
      <w:r>
        <w:t xml:space="preserve">, e sei settimane di parallelo non sono la stessa esposizione che per un trentottenne.</w:t>
      </w:r>
    </w:p>
    <w:p>
      <w:pPr>
        <w:pStyle w:val="FirstParagraph"/>
      </w:pPr>
      <w:r>
        <w:rPr>
          <w:b/>
          <w:bCs/>
        </w:rPr>
        <w:t xml:space="preserve">Se il tempo scade e il marker non si è mosso</w:t>
      </w:r>
      <w:r>
        <w:t xml:space="preserve">, non è una rinuncia: è un’informazione. Il tuo reperto non era quello che comandava, e il canale medico da parallelo diventa prioritario.</w:t>
      </w:r>
    </w:p>
    <w:p>
      <w:pPr>
        <w:pStyle w:val="BodyText"/>
      </w:pPr>
      <w:r>
        <w:rPr>
          <w:b/>
          <w:bCs/>
        </w:rPr>
        <w:t xml:space="preserve">🟢 VERDE — Si procede.</w:t>
      </w:r>
      <w:r>
        <w:t xml:space="preserve"> </w:t>
      </w:r>
      <w:r>
        <w:t xml:space="preserve">Nessuna bandiera rossa e una fra: paziente già valutato dal medico con grado WAD assegnato; accertamenti negativi o coerenti; ciclo riabilitativo in corso o concluso.</w:t>
      </w:r>
    </w:p>
    <w:p>
      <w:pPr>
        <w:pStyle w:val="BodyText"/>
      </w:pPr>
      <w:r>
        <w:rPr>
          <w:b/>
          <w:bCs/>
        </w:rPr>
        <w:t xml:space="preserve">Perché questo cancello protegge più di un cancello binario.</w:t>
      </w:r>
      <w:r>
        <w:t xml:space="preserve"> </w:t>
      </w:r>
      <w:r>
        <w:t xml:space="preserve">Una regola scritta e disattesa vale meno di nessuna regola, perché fa credere che un controllo esista. Un cancello che risponde solo «sì o no» viene aggirato in silenzio. E qui l’aggiramento ha un lettore in più: il paziente arriva con un fascicolo assicurativo aperto, e una scelta non documentata non si difende a distanza di due anni. Il GIALLO non è una concessione, è lo standard più alto dei tre: chiede quattro cose verificabili dove il cancello binario non ne chiedeva nessuna.</w:t>
      </w:r>
    </w:p>
    <w:p>
      <w:pPr>
        <w:pStyle w:val="BodyText"/>
      </w:pPr>
      <w:r>
        <w:rPr>
          <w:b/>
          <w:bCs/>
        </w:rPr>
        <w:t xml:space="preserve">La scadenza.</w:t>
      </w:r>
      <w:r>
        <w:t xml:space="preserve"> </w:t>
      </w:r>
      <w:r>
        <w:t xml:space="preserve">Qualunque sia l’uscita, l’inquadramento decade se il sintomo cambia carattere, sede o intensità rispetto all’ultima valutazione medica. Un quadro che cambia forma torna al triage. Qui succede spesso, perché il post-traumatico evolve nelle prime settimane.</w:t>
      </w:r>
    </w:p>
    <w:bookmarkEnd w:id="53"/>
    <w:bookmarkStart w:id="54" w:name="cosa-fanno-i-farmaci-che-prende"/>
    <w:p>
      <w:pPr>
        <w:pStyle w:val="Heading3"/>
      </w:pPr>
      <w:r>
        <w:t xml:space="preserve">Cosa fanno i farmaci che prende</w:t>
      </w:r>
    </w:p>
    <w:p>
      <w:pPr>
        <w:pStyle w:val="FirstParagraph"/>
      </w:pPr>
      <w:r>
        <w:t xml:space="preserve">Non li commenti mai: decide il prescrittore. Ma devi sapere cosa fanno, perché è a te che il paziente chiede.</w:t>
      </w:r>
    </w:p>
    <w:p>
      <w:pPr>
        <w:pStyle w:val="Compact"/>
        <w:numPr>
          <w:ilvl w:val="0"/>
          <w:numId w:val="1030"/>
        </w:numPr>
      </w:pPr>
      <w:r>
        <w:rPr>
          <w:b/>
          <w:bCs/>
        </w:rPr>
        <w:t xml:space="preserve">Antinfiammatori non steroidei</w:t>
      </w:r>
      <w:r>
        <w:t xml:space="preserve">, nei primi giorni. Aggiunti a un anticoagulante orale aumentano il rischio di sanguinamento maggiore in modo misurabile (RE-LY, PMID 30012318; ARISTOTLE, PMID 31747786). Ogni «posso prenderne uno in più?» torna al prescrittore, e adesso sai perché.</w:t>
      </w:r>
    </w:p>
    <w:p>
      <w:pPr>
        <w:pStyle w:val="Compact"/>
        <w:numPr>
          <w:ilvl w:val="0"/>
          <w:numId w:val="1030"/>
        </w:numPr>
      </w:pPr>
      <w:r>
        <w:rPr>
          <w:b/>
          <w:bCs/>
        </w:rPr>
        <w:t xml:space="preserve">Miorilassanti</w:t>
      </w:r>
      <w:r>
        <w:t xml:space="preserve">: in Italia quasi sempre</w:t>
      </w:r>
      <w:r>
        <w:t xml:space="preserve"> </w:t>
      </w:r>
      <w:r>
        <w:rPr>
          <w:b/>
          <w:bCs/>
        </w:rPr>
        <w:t xml:space="preserve">tiocolchicoside</w:t>
      </w:r>
      <w:r>
        <w:t xml:space="preserve">. EMA e AIFA ne hanno limitato l’uso nel 2014 per rischio di aneuploidia di un metabolita: solo terapia aggiuntiva, dai 16 anni,</w:t>
      </w:r>
      <w:r>
        <w:t xml:space="preserve"> </w:t>
      </w:r>
      <w:r>
        <w:rPr>
          <w:b/>
          <w:bCs/>
        </w:rPr>
        <w:t xml:space="preserve">massimo 7 giorni per via orale</w:t>
      </w:r>
      <w:r>
        <w:t xml:space="preserve"> </w:t>
      </w:r>
      <w:r>
        <w:t xml:space="preserve">e 5 per via intramuscolare, controindicato in gravidanza, allattamento e nelle donne in età fertile senza contraccezione efficace. Qui la soglia non è «oltre il previsto»: è un numero.</w:t>
      </w:r>
    </w:p>
    <w:p>
      <w:pPr>
        <w:pStyle w:val="Compact"/>
        <w:numPr>
          <w:ilvl w:val="0"/>
          <w:numId w:val="1030"/>
        </w:numPr>
      </w:pPr>
      <w:r>
        <w:rPr>
          <w:b/>
          <w:bCs/>
        </w:rPr>
        <w:t xml:space="preserve">Paracetamolo</w:t>
      </w:r>
      <w:r>
        <w:t xml:space="preserve">, quando il quadro si prolunga: analgesico, senza effetto sul sanguinamento.</w:t>
      </w:r>
    </w:p>
    <w:p>
      <w:pPr>
        <w:pStyle w:val="Compact"/>
        <w:numPr>
          <w:ilvl w:val="0"/>
          <w:numId w:val="1030"/>
        </w:numPr>
      </w:pPr>
      <w:r>
        <w:rPr>
          <w:b/>
          <w:bCs/>
        </w:rPr>
        <w:t xml:space="preserve">Benzodiazepine</w:t>
      </w:r>
      <w:r>
        <w:t xml:space="preserve"> </w:t>
      </w:r>
      <w:r>
        <w:t xml:space="preserve">a basso dosaggio: sedano, e sono associate a un aumento del rischio di incidente stradale.</w:t>
      </w:r>
    </w:p>
    <w:p>
      <w:pPr>
        <w:pStyle w:val="FirstParagraph"/>
      </w:pPr>
      <w:r>
        <w:t xml:space="preserve">Una sola cosa la scrivi in cartella e la comunichi al curante:</w:t>
      </w:r>
      <w:r>
        <w:t xml:space="preserve"> </w:t>
      </w:r>
      <w:r>
        <w:rPr>
          <w:b/>
          <w:bCs/>
        </w:rPr>
        <w:t xml:space="preserve">da quando il paziente riferisce di assumere ciascun farmaco</w:t>
      </w:r>
      <w:r>
        <w:t xml:space="preserve">, con le sue parole e la sua data. È un dato riferito, non una valutazione della terapia.</w:t>
      </w:r>
    </w:p>
    <w:bookmarkEnd w:id="54"/>
    <w:bookmarkStart w:id="55" w:name="il-perimetro-per-questa-condizione"/>
    <w:p>
      <w:pPr>
        <w:pStyle w:val="Heading3"/>
      </w:pPr>
      <w:r>
        <w:t xml:space="preserve">Il perimetro, per questa condizione</w:t>
      </w:r>
    </w:p>
    <w:p>
      <w:pPr>
        <w:pStyle w:val="FirstParagraph"/>
      </w:pPr>
      <w:r>
        <w:rPr>
          <w:b/>
          <w:bCs/>
        </w:rPr>
        <w:t xml:space="preserve">Cosa dichiari nel consenso, qui e non altrove.</w:t>
      </w:r>
      <w:r>
        <w:t xml:space="preserve"> </w:t>
      </w:r>
      <w:r>
        <w:t xml:space="preserve">Quattro righe che su un’altra condizione non scriveresti.</w:t>
      </w:r>
    </w:p>
    <w:p>
      <w:pPr>
        <w:pStyle w:val="Compact"/>
        <w:numPr>
          <w:ilvl w:val="0"/>
          <w:numId w:val="1031"/>
        </w:numPr>
      </w:pPr>
      <w:r>
        <w:t xml:space="preserve">Che l’oggetto del trattamento è la disfunzione muscolo-scheletrica documentata,</w:t>
      </w:r>
      <w:r>
        <w:t xml:space="preserve"> </w:t>
      </w:r>
      <w:r>
        <w:rPr>
          <w:b/>
          <w:bCs/>
        </w:rPr>
        <w:t xml:space="preserve">non</w:t>
      </w:r>
      <w:r>
        <w:t xml:space="preserve"> </w:t>
      </w:r>
      <w:r>
        <w:t xml:space="preserve">la certificazione né la quantificazione di una lesione da trauma.</w:t>
      </w:r>
    </w:p>
    <w:p>
      <w:pPr>
        <w:pStyle w:val="Compact"/>
        <w:numPr>
          <w:ilvl w:val="0"/>
          <w:numId w:val="1031"/>
        </w:numPr>
      </w:pPr>
      <w:r>
        <w:t xml:space="preserve">Che nessun documento prodotto qui costituisce accertamento del nesso causale, che è atto medico-legale.</w:t>
      </w:r>
    </w:p>
    <w:p>
      <w:pPr>
        <w:pStyle w:val="Compact"/>
        <w:numPr>
          <w:ilvl w:val="0"/>
          <w:numId w:val="1031"/>
        </w:numPr>
      </w:pPr>
      <w:r>
        <w:t xml:space="preserve">Che il trattamento si affianca al percorso medico e non lo sostituisce, e che la componente post-traumatica ha un canale suo.</w:t>
      </w:r>
    </w:p>
    <w:p>
      <w:pPr>
        <w:pStyle w:val="Compact"/>
        <w:numPr>
          <w:ilvl w:val="0"/>
          <w:numId w:val="1031"/>
        </w:numPr>
      </w:pPr>
      <w:r>
        <w:t xml:space="preserve">Che le eventuali tecniche ad alta velocità sul rachide cervicale si applicano solo dopo screening negativo per la frattura, con grado WAD noto e dopo lo screening vascolare. E che quel gesto ha un profilo di rischio proprio, illustrato prima.</w:t>
      </w:r>
    </w:p>
    <w:p>
      <w:pPr>
        <w:pStyle w:val="FirstParagraph"/>
      </w:pPr>
      <w:r>
        <w:rPr>
          <w:b/>
          <w:bCs/>
        </w:rPr>
        <w:t xml:space="preserve">Il confine di atto.</w:t>
      </w:r>
      <w:r>
        <w:t xml:space="preserve"> </w:t>
      </w:r>
      <w:r>
        <w:t xml:space="preserve">È il punto in cui il colpo di frusta è diverso da tutte le altre condizioni che tratti, perché qui esiste un terzo lettore dei tuoi documenti.</w:t>
      </w:r>
    </w:p>
    <w:p>
      <w:pPr>
        <w:pStyle w:val="Compact"/>
        <w:numPr>
          <w:ilvl w:val="0"/>
          <w:numId w:val="1032"/>
        </w:numPr>
      </w:pPr>
      <w:r>
        <w:rPr>
          <w:b/>
          <w:bCs/>
        </w:rPr>
        <w:t xml:space="preserve">Attestare il nesso causale.</w:t>
      </w:r>
      <w:r>
        <w:t xml:space="preserve"> </w:t>
      </w:r>
      <w:r>
        <w:t xml:space="preserve">«Esiti di trauma distorsivo da incidente stradale del [data]» è una diagnosi eziologica. Si scrive quello che hai misurato e quando:</w:t>
      </w:r>
      <w:r>
        <w:t xml:space="preserve"> </w:t>
      </w:r>
      <w:r>
        <w:rPr>
          <w:i/>
          <w:iCs/>
        </w:rPr>
        <w:t xml:space="preserve">«rotazione attiva totale 95 gradi, riferita comparsa dei sintomi il [data]»</w:t>
      </w:r>
      <w:r>
        <w:t xml:space="preserve">. La differenza fra «esiti di» e «riferisce comparsa» è la differenza fra un atto medico e il tuo.</w:t>
      </w:r>
    </w:p>
    <w:p>
      <w:pPr>
        <w:pStyle w:val="Compact"/>
        <w:numPr>
          <w:ilvl w:val="0"/>
          <w:numId w:val="1032"/>
        </w:numPr>
      </w:pPr>
      <w:r>
        <w:rPr>
          <w:b/>
          <w:bCs/>
        </w:rPr>
        <w:t xml:space="preserve">Quantificare il danno.</w:t>
      </w:r>
      <w:r>
        <w:t xml:space="preserve"> </w:t>
      </w:r>
      <w:r>
        <w:t xml:space="preserve">Nessuna percentuale, nessuna prognosi in giorni, nessuna valutazione di postumi. Se il paziente o il suo legale lo chiedono, è atto medico-legale: tu fornisci la documentazione dei reperti e delle date.</w:t>
      </w:r>
    </w:p>
    <w:p>
      <w:pPr>
        <w:pStyle w:val="Compact"/>
        <w:numPr>
          <w:ilvl w:val="0"/>
          <w:numId w:val="1032"/>
        </w:numPr>
      </w:pPr>
      <w:r>
        <w:rPr>
          <w:b/>
          <w:bCs/>
        </w:rPr>
        <w:t xml:space="preserve">Escludere.</w:t>
      </w:r>
      <w:r>
        <w:t xml:space="preserve"> </w:t>
      </w:r>
      <w:r>
        <w:t xml:space="preserve">«Non è niente di grave» non è una frase nostra. La forma corretta è:</w:t>
      </w:r>
      <w:r>
        <w:t xml:space="preserve"> </w:t>
      </w:r>
      <w:r>
        <w:rPr>
          <w:i/>
          <w:iCs/>
        </w:rPr>
        <w:t xml:space="preserve">«nei test che ho fatto non ho trovato segnali che impongano di fermarci; l’esclusione della lesione la fa il medico.»</w:t>
      </w:r>
    </w:p>
    <w:p>
      <w:pPr>
        <w:pStyle w:val="Compact"/>
        <w:numPr>
          <w:ilvl w:val="0"/>
          <w:numId w:val="1032"/>
        </w:numPr>
      </w:pPr>
      <w:r>
        <w:rPr>
          <w:b/>
          <w:bCs/>
        </w:rPr>
        <w:t xml:space="preserve">Sospendere un presidio prescritto.</w:t>
      </w:r>
      <w:r>
        <w:t xml:space="preserve"> </w:t>
      </w:r>
      <w:r>
        <w:t xml:space="preserve">Vale per il collare come per un farmaco. Se ritieni che non abbia più indicazione, lo scrivi al prescrittore nella comunicazione che apre il GIALLO. Nel frattempo il paziente lo tiene.</w:t>
      </w:r>
    </w:p>
    <w:p>
      <w:pPr>
        <w:pStyle w:val="Compact"/>
        <w:numPr>
          <w:ilvl w:val="0"/>
          <w:numId w:val="1032"/>
        </w:numPr>
      </w:pPr>
      <w:r>
        <w:rPr>
          <w:b/>
          <w:bCs/>
        </w:rPr>
        <w:t xml:space="preserve">Giudicare l’idoneità alla guida.</w:t>
      </w:r>
      <w:r>
        <w:t xml:space="preserve"> </w:t>
      </w:r>
      <w:r>
        <w:t xml:space="preserve">In presenza di vertigine, instabilità provocata dal movimento del capo o terapia sedativa, la ripresa della guida non è un consiglio che dai tu. Quella valutazione spetta al medico, e lo si scrive in cartella.</w:t>
      </w:r>
    </w:p>
    <w:p>
      <w:pPr>
        <w:pStyle w:val="FirstParagraph"/>
      </w:pPr>
      <w:r>
        <w:t xml:space="preserve">La comunicazione al curante ha qui un contenuto che altrove non ha: data dell’evento, grado WAD se assegnato, reperti misurati con i loro numeri, farmaci riferiti con le date, data della revisione.</w:t>
      </w:r>
    </w:p>
    <w:p>
      <w:pPr>
        <w:pStyle w:val="BodyText"/>
      </w:pPr>
      <w:r>
        <w:t xml:space="preserve">Un WAD III trattato come un WAD II ritarda un accertamento. Una frase sul nesso causale entra in un fascicolo e ci resta. Nessuna delle due si corregge dopo.</w:t>
      </w:r>
    </w:p>
    <w:p>
      <w:pPr>
        <w:pStyle w:val="BodyText"/>
      </w:pPr>
      <w:r>
        <w:rPr>
          <w:b/>
          <w:bCs/>
        </w:rPr>
        <w:t xml:space="preserve">Le tre cose da ricordare, più una</w:t>
      </w:r>
    </w:p>
    <w:p>
      <w:pPr>
        <w:pStyle w:val="Compact"/>
        <w:numPr>
          <w:ilvl w:val="0"/>
          <w:numId w:val="1033"/>
        </w:numPr>
      </w:pPr>
      <w:r>
        <w:t xml:space="preserve">La Canadian C-Spine Rule è l’unico strumento con accuratezza misurata, e vale solo dentro la sua finestra: fuori, «non applicabile» non vuol dire «negativa».</w:t>
      </w:r>
    </w:p>
    <w:p>
      <w:pPr>
        <w:pStyle w:val="Compact"/>
        <w:numPr>
          <w:ilvl w:val="0"/>
          <w:numId w:val="1033"/>
        </w:numPr>
      </w:pPr>
      <w:r>
        <w:t xml:space="preserve">Il cancello della frattura e quello vascolare sono due cancelli diversi, e il primo non risponde per il secondo.</w:t>
      </w:r>
    </w:p>
    <w:p>
      <w:pPr>
        <w:pStyle w:val="Compact"/>
        <w:numPr>
          <w:ilvl w:val="0"/>
          <w:numId w:val="1033"/>
        </w:numPr>
      </w:pPr>
      <w:r>
        <w:t xml:space="preserve">Quello che scrivi ha un secondo lettore: descrivi reperti e date, mai cause e postumi.</w:t>
      </w:r>
    </w:p>
    <w:p>
      <w:pPr>
        <w:pStyle w:val="Compact"/>
        <w:numPr>
          <w:ilvl w:val="0"/>
          <w:numId w:val="1033"/>
        </w:numPr>
      </w:pPr>
      <w:r>
        <w:rPr>
          <w:b/>
          <w:bCs/>
        </w:rPr>
        <w:t xml:space="preserve">Perché ci sei tu.</w:t>
      </w:r>
      <w:r>
        <w:t xml:space="preserve"> </w:t>
      </w:r>
      <w:r>
        <w:t xml:space="preserve">Su 500 pazienti con colpo di frusta, 8 dissezioni arteriose cervicali entro dodici mesi, 7 complicate da infarto (Hauser, 2010, PMID 20720428). Ti autorizza a leggere una cefalea nuova e diversa come bandiera rossa e non come sintomo del quadro. Non a spaventare il paziente: è raro, e la tua parte è saperlo vedere, non annunciarlo.</w:t>
      </w:r>
    </w:p>
    <w:p>
      <w:r>
        <w:pict>
          <v:rect style="width:0;height:1.5pt" o:hralign="center" o:hrstd="t" o:hr="t"/>
        </w:pict>
      </w:r>
    </w:p>
    <w:bookmarkEnd w:id="55"/>
    <w:bookmarkEnd w:id="56"/>
    <w:bookmarkStart w:id="62"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le prove sono abbondanti e scomode — sappiamo molto su chi guarisce e poco su cosa funziona.</w:t>
      </w:r>
    </w:p>
    <w:bookmarkStart w:id="57" w:name="le-due-ancore"/>
    <w:p>
      <w:pPr>
        <w:pStyle w:val="Heading3"/>
      </w:pPr>
      <w:r>
        <w:t xml:space="preserve">Le due ancore</w:t>
      </w:r>
    </w:p>
    <w:p>
      <w:pPr>
        <w:pStyle w:val="FirstParagraph"/>
      </w:pPr>
      <w:r>
        <w:rPr>
          <w:b/>
          <w:bCs/>
        </w:rPr>
        <w:t xml:space="preserve">Perché due e non una.</w:t>
      </w:r>
      <w:r>
        <w:t xml:space="preserve"> </w:t>
      </w:r>
      <w:r>
        <w:t xml:space="preserve">L’architettura di queste Bibbie prevede un’ancora sola. Qui il razionale fisiologico e le prove cliniche hanno due paternità distinte e verificabili. Fonderle in un nome solo costringerebbe a scegliere fra chi regge il razionale e chi regge la stratificazione. La doppia ancora è dichiarata come deviazione, e ciascuna porta il proprio mandato e il proprio limite.</w:t>
      </w:r>
    </w:p>
    <w:p>
      <w:pPr>
        <w:pStyle w:val="BodyText"/>
      </w:pPr>
      <w:r>
        <w:rPr>
          <w:b/>
          <w:bCs/>
        </w:rPr>
        <w:t xml:space="preserve">L’ancora clinica: Michele Sterling</w:t>
      </w:r>
      <w:r>
        <w:t xml:space="preserve">, Recover Injury Research Centre, University of Queensland. Fisioterapista e ricercatrice, ha costruito la maggior parte di quello che si sa sul decorso del colpo di frusta.</w:t>
      </w:r>
    </w:p>
    <w:p>
      <w:pPr>
        <w:pStyle w:val="BodyText"/>
      </w:pPr>
      <w:r>
        <w:t xml:space="preserve">Il suo contributo ha cambiato il campo. Il colpo di frusta non è una condizione omogenea, e ciò che separa chi guarisce da chi non guarisce si misura nelle prime settimane: escursione, reclutamento muscolare, soglia al freddo e sintomi post-traumatici distinguono le traiettorie meglio di qualunque immagine. È l’autrice dell’unico randomizzato che ha battuto l’esercizio raccomandato dalle linee guida, ed è fra gli autori dei criteri di consenso sul dolore nociplastico.</w:t>
      </w:r>
    </w:p>
    <w:p>
      <w:pPr>
        <w:pStyle w:val="BodyText"/>
      </w:pPr>
      <w:r>
        <w:t xml:space="preserve">I suoi limiti, dichiarati: la maggior parte dei suoi lavori è prognostica, non terapeutica. Sapere chi peggiorerà non è sapere come impedirlo.</w:t>
      </w:r>
    </w:p>
    <w:p>
      <w:pPr>
        <w:pStyle w:val="BodyText"/>
      </w:pPr>
      <w:r>
        <w:rPr>
          <w:b/>
          <w:bCs/>
        </w:rPr>
        <w:t xml:space="preserve">L’ancora fisiologica: Nikolai Bogduk</w:t>
      </w:r>
      <w:r>
        <w:t xml:space="preserve">, professore emerito di Medicina del Dolore alla University of Newcastle. Con Lord e Barnsley ha stabilito due cose, con blocchi controllati con placebo e in doppio cieco: che il dolore cervicale cronico dopo colpo di frusta ha una sorgente articolare identificabile nella maggioranza dei pazienti, e che una quota rilevante delle cefalee nasce da C2-C3.</w:t>
      </w:r>
    </w:p>
    <w:bookmarkEnd w:id="57"/>
    <w:bookmarkStart w:id="58"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Lord, 1996 e 1994 (8855458, 7931379)</w:t>
            </w:r>
          </w:p>
        </w:tc>
        <w:tc>
          <w:tcPr/>
          <w:p>
            <w:pPr>
              <w:pStyle w:val="Compact"/>
            </w:pPr>
            <w:r>
              <w:t xml:space="preserve">Sorgente del dolore e della cefalea</w:t>
            </w:r>
          </w:p>
        </w:tc>
        <w:tc>
          <w:tcPr/>
          <w:p>
            <w:pPr>
              <w:pStyle w:val="Compact"/>
            </w:pPr>
            <w:r>
              <w:t xml:space="preserve">Dire il bersaglio articolare, cercarlo a C2-C3</w:t>
            </w:r>
          </w:p>
        </w:tc>
      </w:tr>
      <w:tr>
        <w:tc>
          <w:tcPr/>
          <w:p>
            <w:pPr>
              <w:pStyle w:val="Compact"/>
            </w:pPr>
            <w:r>
              <w:t xml:space="preserve">Sterling, 2003 (12749960)</w:t>
            </w:r>
          </w:p>
        </w:tc>
        <w:tc>
          <w:tcPr/>
          <w:p>
            <w:pPr>
              <w:pStyle w:val="Compact"/>
            </w:pPr>
            <w:r>
              <w:t xml:space="preserve">Escursione ed EMG nel tempo</w:t>
            </w:r>
          </w:p>
        </w:tc>
        <w:tc>
          <w:tcPr/>
          <w:p>
            <w:pPr>
              <w:pStyle w:val="Compact"/>
            </w:pPr>
            <w:r>
              <w:t xml:space="preserve">Misurare la funzione, non l’immagine</w:t>
            </w:r>
          </w:p>
        </w:tc>
      </w:tr>
      <w:tr>
        <w:tc>
          <w:tcPr/>
          <w:p>
            <w:pPr>
              <w:pStyle w:val="Compact"/>
            </w:pPr>
            <w:r>
              <w:t xml:space="preserve">Sterling, 2003 (12927623)</w:t>
            </w:r>
          </w:p>
        </w:tc>
        <w:tc>
          <w:tcPr/>
          <w:p>
            <w:pPr>
              <w:pStyle w:val="Compact"/>
            </w:pPr>
            <w:r>
              <w:t xml:space="preserve">Quando compare l’ipersensibilità</w:t>
            </w:r>
          </w:p>
        </w:tc>
        <w:tc>
          <w:tcPr/>
          <w:p>
            <w:pPr>
              <w:pStyle w:val="Compact"/>
            </w:pPr>
            <w:r>
              <w:t xml:space="preserve">Cercarla e stratificare alla prima seduta</w:t>
            </w:r>
          </w:p>
        </w:tc>
      </w:tr>
      <w:tr>
        <w:tc>
          <w:tcPr/>
          <w:p>
            <w:pPr>
              <w:pStyle w:val="Compact"/>
            </w:pPr>
            <w:r>
              <w:t xml:space="preserve">Sterling, 2006 (16527397)</w:t>
            </w:r>
          </w:p>
        </w:tc>
        <w:tc>
          <w:tcPr/>
          <w:p>
            <w:pPr>
              <w:pStyle w:val="Compact"/>
            </w:pPr>
            <w:r>
              <w:t xml:space="preserve">Predittori a due-tre anni</w:t>
            </w:r>
          </w:p>
        </w:tc>
        <w:tc>
          <w:tcPr/>
          <w:p>
            <w:pPr>
              <w:pStyle w:val="Compact"/>
            </w:pPr>
            <w:r>
              <w:t xml:space="preserve">Sapere chi peggiorerà</w:t>
            </w:r>
          </w:p>
        </w:tc>
      </w:tr>
      <w:tr>
        <w:tc>
          <w:tcPr/>
          <w:p>
            <w:pPr>
              <w:pStyle w:val="Compact"/>
            </w:pPr>
            <w:r>
              <w:t xml:space="preserve">Carroll, 2009 (19228657)</w:t>
            </w:r>
          </w:p>
        </w:tc>
        <w:tc>
          <w:tcPr/>
          <w:p>
            <w:pPr>
              <w:pStyle w:val="Compact"/>
            </w:pPr>
            <w:r>
              <w:t xml:space="preserve">Aspettativa e recupero</w:t>
            </w:r>
          </w:p>
        </w:tc>
        <w:tc>
          <w:tcPr/>
          <w:p>
            <w:pPr>
              <w:pStyle w:val="Compact"/>
            </w:pPr>
            <w:r>
              <w:t xml:space="preserve">Curare la prima conversazione</w:t>
            </w:r>
          </w:p>
        </w:tc>
      </w:tr>
      <w:tr>
        <w:tc>
          <w:tcPr/>
          <w:p>
            <w:pPr>
              <w:pStyle w:val="Compact"/>
            </w:pPr>
            <w:r>
              <w:t xml:space="preserve">Sterling, 2019 (30661011)</w:t>
            </w:r>
          </w:p>
        </w:tc>
        <w:tc>
          <w:tcPr/>
          <w:p>
            <w:pPr>
              <w:pStyle w:val="Compact"/>
            </w:pPr>
            <w:r>
              <w:t xml:space="preserve">Stress più esercizio</w:t>
            </w:r>
          </w:p>
        </w:tc>
        <w:tc>
          <w:tcPr/>
          <w:p>
            <w:pPr>
              <w:pStyle w:val="Compact"/>
            </w:pPr>
            <w:r>
              <w:t xml:space="preserve">Non separare corpo e allarme</w:t>
            </w:r>
          </w:p>
        </w:tc>
      </w:tr>
      <w:tr>
        <w:tc>
          <w:tcPr/>
          <w:p>
            <w:pPr>
              <w:pStyle w:val="Compact"/>
            </w:pPr>
            <w:r>
              <w:t xml:space="preserve">Ludvigsson, 2015-2016 (24918474, 26031995)</w:t>
            </w:r>
          </w:p>
        </w:tc>
        <w:tc>
          <w:tcPr/>
          <w:p>
            <w:pPr>
              <w:pStyle w:val="Compact"/>
            </w:pPr>
            <w:r>
              <w:t xml:space="preserve">Esercizio specifico guidato</w:t>
            </w:r>
          </w:p>
        </w:tc>
        <w:tc>
          <w:tcPr/>
          <w:p>
            <w:pPr>
              <w:pStyle w:val="Compact"/>
            </w:pPr>
            <w:r>
              <w:t xml:space="preserve">Mettere la parte attiva al centro</w:t>
            </w:r>
          </w:p>
        </w:tc>
      </w:tr>
      <w:tr>
        <w:tc>
          <w:tcPr/>
          <w:p>
            <w:pPr>
              <w:pStyle w:val="Compact"/>
            </w:pPr>
            <w:r>
              <w:t xml:space="preserve">Larios-Ortega, 2026 (41696847)</w:t>
            </w:r>
          </w:p>
        </w:tc>
        <w:tc>
          <w:tcPr/>
          <w:p>
            <w:pPr>
              <w:pStyle w:val="Compact"/>
            </w:pPr>
            <w:r>
              <w:t xml:space="preserve">Trattamento osteopatico in WAD II</w:t>
            </w:r>
          </w:p>
        </w:tc>
        <w:tc>
          <w:tcPr/>
          <w:p>
            <w:pPr>
              <w:pStyle w:val="Compact"/>
            </w:pPr>
            <w:r>
              <w:t xml:space="preserve">Non citare l’osteopatia come confermata</w:t>
            </w:r>
          </w:p>
        </w:tc>
      </w:tr>
      <w:tr>
        <w:tc>
          <w:tcPr/>
          <w:p>
            <w:pPr>
              <w:pStyle w:val="Compact"/>
            </w:pPr>
            <w:r>
              <w:t xml:space="preserve">Wong, 2016 (26707074)</w:t>
            </w:r>
          </w:p>
        </w:tc>
        <w:tc>
          <w:tcPr/>
          <w:p>
            <w:pPr>
              <w:pStyle w:val="Compact"/>
            </w:pPr>
            <w:r>
              <w:t xml:space="preserve">Terapie manuali nel dolore cervicale</w:t>
            </w:r>
          </w:p>
        </w:tc>
        <w:tc>
          <w:tcPr/>
          <w:p>
            <w:pPr>
              <w:pStyle w:val="Compact"/>
            </w:pPr>
            <w:r>
              <w:t xml:space="preserve">Sapere cosa non va offerto</w:t>
            </w:r>
          </w:p>
        </w:tc>
      </w:tr>
    </w:tbl>
    <w:bookmarkEnd w:id="58"/>
    <w:bookmarkStart w:id="59"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4"/>
        </w:numPr>
      </w:pPr>
      <w:r>
        <w:t xml:space="preserve">Che nella maggioranza dei cronici il dolore ha una sorgente articolare reale, dimostrata con blocchi controllati con placebo, e che in metà di quelli con cefalea dominante la sorgente è C2-C3.</w:t>
      </w:r>
    </w:p>
    <w:p>
      <w:pPr>
        <w:pStyle w:val="Compact"/>
        <w:numPr>
          <w:ilvl w:val="0"/>
          <w:numId w:val="1034"/>
        </w:numPr>
      </w:pPr>
      <w:r>
        <w:t xml:space="preserve">Che escursione ridotta e cambio di reclutamento sono misurabili già a un mese, e che l’ipersensibilità generalizzata è presente entro il primo mese in chi resterà grave.</w:t>
      </w:r>
    </w:p>
    <w:p>
      <w:pPr>
        <w:pStyle w:val="Compact"/>
        <w:numPr>
          <w:ilvl w:val="0"/>
          <w:numId w:val="1034"/>
        </w:numPr>
      </w:pPr>
      <w:r>
        <w:t xml:space="preserve">Che l’esercizio specifico</w:t>
      </w:r>
      <w:r>
        <w:t xml:space="preserve"> </w:t>
      </w:r>
      <w:r>
        <w:rPr>
          <w:b/>
          <w:bCs/>
        </w:rPr>
        <w:t xml:space="preserve">guidato</w:t>
      </w:r>
      <w:r>
        <w:t xml:space="preserve"> </w:t>
      </w:r>
      <w:r>
        <w:t xml:space="preserve">batte lo stesso esercizio non guidato o generico, con effetti piccoli e su tempi brevi.</w:t>
      </w:r>
    </w:p>
    <w:p>
      <w:pPr>
        <w:pStyle w:val="Compact"/>
        <w:numPr>
          <w:ilvl w:val="0"/>
          <w:numId w:val="1034"/>
        </w:numPr>
      </w:pPr>
      <w:r>
        <w:t xml:space="preserve">Che l’aspettativa del paziente è fra i predittori più forti del recupero, su oltre seimila persone.</w:t>
      </w:r>
    </w:p>
    <w:p>
      <w:pPr>
        <w:pStyle w:val="Compact"/>
        <w:numPr>
          <w:ilvl w:val="0"/>
          <w:numId w:val="1034"/>
        </w:numPr>
      </w:pPr>
      <w:r>
        <w:t xml:space="preserve">Che lavorare sullo stress insieme all’esercizio migliora la disabilità a dodici mesi nei pazienti acuti a rischio, in un solo randomizzato. E che gli interventi psicologici, su undici randomizzati in meta-analisi, migliorano dolore e disabilità con effetti sotto la soglia di rilevanza clinica e comparatore inerte (Al-Wardat, 2026, PMID 42298620).</w:t>
      </w:r>
    </w:p>
    <w:p>
      <w:pPr>
        <w:pStyle w:val="Compact"/>
        <w:numPr>
          <w:ilvl w:val="0"/>
          <w:numId w:val="1034"/>
        </w:numPr>
      </w:pPr>
      <w:r>
        <w:t xml:space="preserve">Che il collare non serve, e che i tre approcci precoci confrontati danno lo stesso risultato a un anno.</w:t>
      </w:r>
    </w:p>
    <w:p>
      <w:pPr>
        <w:pStyle w:val="FirstParagraph"/>
      </w:pPr>
      <w:r>
        <w:rPr>
          <w:b/>
          <w:bCs/>
        </w:rPr>
        <w:t xml:space="preserve">Non possiamo dire:</w:t>
      </w:r>
    </w:p>
    <w:p>
      <w:pPr>
        <w:pStyle w:val="Compact"/>
        <w:numPr>
          <w:ilvl w:val="0"/>
          <w:numId w:val="1035"/>
        </w:numPr>
      </w:pPr>
      <w:r>
        <w:t xml:space="preserve">Che il trattamento manuale cambi la prognosi a un anno del colpo di frusta. Nessuno studio lo ha dimostrato.</w:t>
      </w:r>
    </w:p>
    <w:p>
      <w:pPr>
        <w:pStyle w:val="Compact"/>
        <w:numPr>
          <w:ilvl w:val="0"/>
          <w:numId w:val="1035"/>
        </w:numPr>
      </w:pPr>
      <w:r>
        <w:t xml:space="preserve">Che un programma riabilitativo intensivo batta un consiglio ben dato nel colpo di frusta cronico: uno studio randomizzato su 172 pazienti ha trovato una differenza di</w:t>
      </w:r>
      <w:r>
        <w:t xml:space="preserve"> </w:t>
      </w:r>
      <w:r>
        <w:rPr>
          <w:b/>
          <w:bCs/>
        </w:rPr>
        <w:t xml:space="preserve">zero</w:t>
      </w:r>
      <w:r>
        <w:t xml:space="preserve"> </w:t>
      </w:r>
      <w:r>
        <w:t xml:space="preserve">sulla scala del dolore a quattordici settimane (Michaleff,</w:t>
      </w:r>
      <w:r>
        <w:t xml:space="preserve"> </w:t>
      </w:r>
      <w:r>
        <w:rPr>
          <w:i/>
          <w:iCs/>
        </w:rPr>
        <w:t xml:space="preserve">Lancet</w:t>
      </w:r>
      <w:r>
        <w:t xml:space="preserve"> </w:t>
      </w:r>
      <w:r>
        <w:t xml:space="preserve">2014, PMID 24703832).</w:t>
      </w:r>
    </w:p>
    <w:p>
      <w:pPr>
        <w:pStyle w:val="Compact"/>
        <w:numPr>
          <w:ilvl w:val="0"/>
          <w:numId w:val="1035"/>
        </w:numPr>
      </w:pPr>
      <w:r>
        <w:t xml:space="preserve">Che l’organizzazione precoce di cure multidisciplinari riduca la cronicizzazione: su 101 pazienti trattati entro quattro settimane, nessuna differenza rispetto alla cura abituale (Jull,</w:t>
      </w:r>
      <w:r>
        <w:t xml:space="preserve"> </w:t>
      </w:r>
      <w:r>
        <w:rPr>
          <w:i/>
          <w:iCs/>
        </w:rPr>
        <w:t xml:space="preserve">Pain</w:t>
      </w:r>
      <w:r>
        <w:t xml:space="preserve"> </w:t>
      </w:r>
      <w:r>
        <w:t xml:space="preserve">2013, PMID 23726933).</w:t>
      </w:r>
    </w:p>
    <w:p>
      <w:pPr>
        <w:pStyle w:val="Compact"/>
        <w:numPr>
          <w:ilvl w:val="0"/>
          <w:numId w:val="1035"/>
        </w:numPr>
      </w:pPr>
      <w:r>
        <w:t xml:space="preserve">Che l’effetto misurato dell’esercizio specifico superi la differenza minima clinicamente importante sulle scale usate. Gli effetti sono piccoli (differenza media standardizzata −0,25 sul dolore e −0,35 sulla disabilità), e il vantaggio di 1,1 punti su dieci misurato in un altro studio sta sotto la soglia di rilevanza clinica abitualmente citata, che è di circa due punti.</w:t>
      </w:r>
    </w:p>
    <w:p>
      <w:pPr>
        <w:pStyle w:val="Compact"/>
        <w:numPr>
          <w:ilvl w:val="0"/>
          <w:numId w:val="1035"/>
        </w:numPr>
      </w:pPr>
      <w:r>
        <w:t xml:space="preserve">Che l’esame manuale identifichi quale articolazione è la sorgente del dolore.</w:t>
      </w:r>
    </w:p>
    <w:p>
      <w:pPr>
        <w:pStyle w:val="Compact"/>
        <w:numPr>
          <w:ilvl w:val="0"/>
          <w:numId w:val="1035"/>
        </w:numPr>
      </w:pPr>
      <w:r>
        <w:t xml:space="preserve">Che il trattamento manuale «rimetta a posto» la rettilineizzazione, o che quella sia l’obiettivo.</w:t>
      </w:r>
    </w:p>
    <w:p>
      <w:pPr>
        <w:pStyle w:val="Compact"/>
        <w:numPr>
          <w:ilvl w:val="0"/>
          <w:numId w:val="1035"/>
        </w:numPr>
      </w:pPr>
      <w:r>
        <w:t xml:space="preserve">Che la terapia manuale spinale produca un effetto ipoalgesico immediato affidabile sulla soglia pressoria: una revisione sistematica su 22 studi non lo ha trovato (Jung,</w:t>
      </w:r>
      <w:r>
        <w:t xml:space="preserve"> </w:t>
      </w:r>
      <w:r>
        <w:rPr>
          <w:i/>
          <w:iCs/>
        </w:rPr>
        <w:t xml:space="preserve">Phys Ther</w:t>
      </w:r>
      <w:r>
        <w:t xml:space="preserve"> </w:t>
      </w:r>
      <w:r>
        <w:t xml:space="preserve">2023, PMID 37172128).</w:t>
      </w:r>
    </w:p>
    <w:p>
      <w:pPr>
        <w:pStyle w:val="Compact"/>
        <w:numPr>
          <w:ilvl w:val="0"/>
          <w:numId w:val="1035"/>
        </w:numPr>
      </w:pPr>
      <w:r>
        <w:t xml:space="preserve">Che gli studi confermino l’osteopatia in questa condizione. Due studi controllati — uno con esiti discordanti nello stesso abstract, uno negativo su un effetto immediato — non sono una base per quella frase.</w:t>
      </w:r>
    </w:p>
    <w:p>
      <w:pPr>
        <w:pStyle w:val="Compact"/>
        <w:numPr>
          <w:ilvl w:val="0"/>
          <w:numId w:val="1035"/>
        </w:numPr>
      </w:pPr>
      <w:r>
        <w:t xml:space="preserve">Che aggiungere l’informazione all’esercizio produca un vantaggio clinicamente rilevante. La meta-analisi che ha fatto esattamente quel confronto su 386 pazienti con colpo di frusta non lo trova, né sul dolore né sulla disabilità, con certezza delle prove molto bassa (Muñoz-Bustos,</w:t>
      </w:r>
      <w:r>
        <w:t xml:space="preserve"> </w:t>
      </w:r>
      <w:r>
        <w:rPr>
          <w:i/>
          <w:iCs/>
        </w:rPr>
        <w:t xml:space="preserve">J Man Manip Ther</w:t>
      </w:r>
      <w:r>
        <w:t xml:space="preserve"> </w:t>
      </w:r>
      <w:r>
        <w:t xml:space="preserve">2025, PMID 40134097).</w:t>
      </w:r>
      <w:r>
        <w:t xml:space="preserve"> </w:t>
      </w:r>
      <w:r>
        <w:rPr>
          <w:b/>
          <w:bCs/>
        </w:rPr>
        <w:t xml:space="preserve">Che l’aspettativa predica il recupero è dimostrato; che modificarla lo cambi è quello che questa meta-analisi non trova</w:t>
      </w:r>
      <w:r>
        <w:t xml:space="preserve">, e le due affermazioni non si sommano.</w:t>
      </w:r>
    </w:p>
    <w:p>
      <w:pPr>
        <w:pStyle w:val="Compact"/>
        <w:numPr>
          <w:ilvl w:val="0"/>
          <w:numId w:val="1035"/>
        </w:numPr>
      </w:pPr>
      <w:r>
        <w:t xml:space="preserve">Che il pacchetto manuale sia stato confrontato con qualcosa di attivo e ne sia uscito meglio. La revisione più ampia sul dolore cervicale conclude che mobilizzazione, manipolazione e massaggio clinico sono efficaci</w:t>
      </w:r>
      <w:r>
        <w:t xml:space="preserve"> </w:t>
      </w:r>
      <w:r>
        <w:rPr>
          <w:b/>
          <w:bCs/>
        </w:rPr>
        <w:t xml:space="preserve">sul dolore cervicale in generale</w:t>
      </w:r>
      <w:r>
        <w:t xml:space="preserve">. Ma per il colpo di frusta trova soprattutto risultati nulli, e mette lo</w:t>
      </w:r>
      <w:r>
        <w:t xml:space="preserve"> </w:t>
      </w:r>
      <w:r>
        <w:rPr>
          <w:i/>
          <w:iCs/>
        </w:rPr>
        <w:t xml:space="preserve">strain-counterstrain</w:t>
      </w:r>
      <w:r>
        <w:t xml:space="preserve"> </w:t>
      </w:r>
      <w:r>
        <w:t xml:space="preserve">fra gli interventi da non usare (Wong,</w:t>
      </w:r>
      <w:r>
        <w:t xml:space="preserve"> </w:t>
      </w:r>
      <w:r>
        <w:rPr>
          <w:i/>
          <w:iCs/>
        </w:rPr>
        <w:t xml:space="preserve">Spine J</w:t>
      </w:r>
      <w:r>
        <w:t xml:space="preserve"> </w:t>
      </w:r>
      <w:r>
        <w:t xml:space="preserve">2016, PMID 26707074). La revisione distingue il WAD dove i dati lo permettono: dove non lo distingue, il risultato è sul dolore cervicale, non su questi pazienti.</w:t>
      </w:r>
    </w:p>
    <w:p>
      <w:pPr>
        <w:pStyle w:val="Compact"/>
        <w:numPr>
          <w:ilvl w:val="0"/>
          <w:numId w:val="1035"/>
        </w:numPr>
      </w:pPr>
      <w:r>
        <w:t xml:space="preserve">Che la faccetta sia un bersaglio nostro solo perché è la sorgente dimostrata: l’unico trattamento con un randomizzato controllato con placebo su quella sorgente è una denervazione a radiofrequenza (Lord, 1996, PMID 8929263).</w:t>
      </w:r>
    </w:p>
    <w:p>
      <w:pPr>
        <w:pStyle w:val="Compact"/>
        <w:numPr>
          <w:ilvl w:val="0"/>
          <w:numId w:val="1035"/>
        </w:numPr>
      </w:pPr>
      <w:r>
        <w:t xml:space="preserve">Che addestrare il personale del pronto soccorso a un consulto attivo cambi la disabilità a dodici mesi: su 3.851 pazienti in quindici pronto soccorso non l’ha cambiata (Lamb,</w:t>
      </w:r>
      <w:r>
        <w:t xml:space="preserve"> </w:t>
      </w:r>
      <w:r>
        <w:rPr>
          <w:i/>
          <w:iCs/>
        </w:rPr>
        <w:t xml:space="preserve">Lancet</w:t>
      </w:r>
      <w:r>
        <w:t xml:space="preserve"> </w:t>
      </w:r>
      <w:r>
        <w:t xml:space="preserve">2013, PMID 23260167).</w:t>
      </w:r>
    </w:p>
    <w:p>
      <w:pPr>
        <w:pStyle w:val="FirstParagraph"/>
      </w:pPr>
      <w:r>
        <w:rPr>
          <w:b/>
          <w:bCs/>
        </w:rPr>
        <w:t xml:space="preserve">Una riga che conviene scrivere prima che la trovi qualcun altro.</w:t>
      </w:r>
      <w:r>
        <w:t xml:space="preserve"> </w:t>
      </w:r>
      <w:r>
        <w:t xml:space="preserve">Lo</w:t>
      </w:r>
      <w:r>
        <w:t xml:space="preserve"> </w:t>
      </w:r>
      <w:r>
        <w:rPr>
          <w:i/>
          <w:iCs/>
        </w:rPr>
        <w:t xml:space="preserve">strain-counterstrain</w:t>
      </w:r>
      <w:r>
        <w:t xml:space="preserve"> </w:t>
      </w:r>
      <w:r>
        <w:t xml:space="preserve">è una tecnica osteopatica. La stessa linea guida che elenca la cura multimodale fra le opzioni per il grado I-II lo mette fra gli interventi da</w:t>
      </w:r>
      <w:r>
        <w:t xml:space="preserve"> </w:t>
      </w:r>
      <w:r>
        <w:rPr>
          <w:b/>
          <w:bCs/>
        </w:rPr>
        <w:t xml:space="preserve">non</w:t>
      </w:r>
      <w:r>
        <w:t xml:space="preserve"> </w:t>
      </w:r>
      <w:r>
        <w:t xml:space="preserve">offrire (Côté, 2016, PMID 26984876). La revisione sistematica da cui quella linea guida deriva dice la stessa cosa, e scende al livello del colpo di frusta (Wong, 2016, PMID 26707074).</w:t>
      </w:r>
    </w:p>
    <w:bookmarkEnd w:id="59"/>
    <w:bookmarkStart w:id="60" w:name="quando-la-scienza-tace"/>
    <w:p>
      <w:pPr>
        <w:pStyle w:val="Heading3"/>
      </w:pPr>
      <w:r>
        <w:t xml:space="preserve">Quando la scienza tace</w:t>
      </w:r>
    </w:p>
    <w:p>
      <w:pPr>
        <w:pStyle w:val="FirstParagraph"/>
      </w:pPr>
      <w:r>
        <w:t xml:space="preserve">Il cerchio 1 — trattamento manuale osteopatico su questa condizione — è povero. Esistono due studi controllati, e vanno letti insieme.</w:t>
      </w:r>
    </w:p>
    <w:p>
      <w:pPr>
        <w:pStyle w:val="BodyText"/>
      </w:pPr>
      <w:r>
        <w:t xml:space="preserve">Il primo è randomizzato su 52 pazienti con WAD di grado II, e ha trovato miglioramenti a favore del gruppo osteopatico su dolore, sedi dolorose e disabilità a quattro settimane.</w:t>
      </w:r>
      <w:r>
        <w:t xml:space="preserve"> </w:t>
      </w:r>
      <w:r>
        <w:rPr>
          <w:b/>
          <w:bCs/>
        </w:rPr>
        <w:t xml:space="preserve">Lo stesso studio riporta però un esito discordante:</w:t>
      </w:r>
      <w:r>
        <w:t xml:space="preserve"> </w:t>
      </w:r>
      <w:r>
        <w:t xml:space="preserve">sullo stesso questionario di disabilità, a ventun giorni, il gruppo di controllo era migliorato di più (−88,0 contro −62,0; p=0,035). Il confronto è con il solo protocollo ospedaliero, senza placebo e senza cieco, e il follow-up si ferma a quattro settimane (Larios-Ortega,</w:t>
      </w:r>
      <w:r>
        <w:t xml:space="preserve"> </w:t>
      </w:r>
      <w:r>
        <w:rPr>
          <w:i/>
          <w:iCs/>
        </w:rPr>
        <w:t xml:space="preserve">J Osteopath Med</w:t>
      </w:r>
      <w:r>
        <w:t xml:space="preserve"> </w:t>
      </w:r>
      <w:r>
        <w:t xml:space="preserve">2026, PMID 41696847). Regge PROBABILE su un effetto a breve, non di più.</w:t>
      </w:r>
    </w:p>
    <w:p>
      <w:pPr>
        <w:pStyle w:val="BodyText"/>
      </w:pPr>
      <w:r>
        <w:t xml:space="preserve">Il secondo è randomizzato e controllato con placebo su 53 pazienti, e non ha trovato nessun effetto immediato di una singola manipolazione della prima costa (Peña-Salinas,</w:t>
      </w:r>
      <w:r>
        <w:t xml:space="preserve"> </w:t>
      </w:r>
      <w:r>
        <w:rPr>
          <w:i/>
          <w:iCs/>
        </w:rPr>
        <w:t xml:space="preserve">J Back Musculoskelet Rehabil</w:t>
      </w:r>
      <w:r>
        <w:t xml:space="preserve"> </w:t>
      </w:r>
      <w:r>
        <w:t xml:space="preserve">2017, PMID 28372320).</w:t>
      </w:r>
    </w:p>
    <w:p>
      <w:pPr>
        <w:pStyle w:val="BodyText"/>
      </w:pPr>
      <w:r>
        <w:t xml:space="preserve">Cinque punti, e nessuno è una scusa.</w:t>
      </w:r>
    </w:p>
    <w:p>
      <w:pPr>
        <w:pStyle w:val="BodyText"/>
      </w:pPr>
      <w:r>
        <w:rPr>
          <w:b/>
          <w:bCs/>
        </w:rPr>
        <w:t xml:space="preserve">1. Assenza di prove non è prova di assenza.</w:t>
      </w:r>
      <w:r>
        <w:t xml:space="preserve"> </w:t>
      </w:r>
      <w:r>
        <w:t xml:space="preserve">Che nessuno abbia misurato l’effetto del trattamento osteopatico sul colpo di frusta a dodici mesi non dice niente su quell’effetto: dice che nessuno l’ha misurato. Sono due affermazioni diverse, e confonderle è un errore di logica, non un eccesso di prudenza: è la differenza fra «nel cassetto ho guardato e non c’era» e «nel cassetto non ho guardato».</w:t>
      </w:r>
    </w:p>
    <w:p>
      <w:pPr>
        <w:pStyle w:val="BodyText"/>
      </w:pPr>
      <w:r>
        <w:rPr>
          <w:b/>
          <w:bCs/>
        </w:rPr>
        <w:t xml:space="preserve">2. Perché quella letteratura non esiste — e perché qui la frase va detta al contrario.</w:t>
      </w:r>
      <w:r>
        <w:t xml:space="preserve"> </w:t>
      </w:r>
      <w:r>
        <w:t xml:space="preserve">Su moltissime condizioni gli studi mancano perché nessuno li ha fatti. Qui no: sul colpo di frusta i trial ci sono, e diversi sono negativi o nulli. Il programma intensivo contro il consiglio, le cure multidisciplinari precoci, il consulto attivo in pronto soccorso, la manipolazione della prima costa contro placebo, l’aggiunta dell’informazione all’esercizio, il riposizionamento dopo terapia manuale.</w:t>
      </w:r>
    </w:p>
    <w:p>
      <w:pPr>
        <w:pStyle w:val="BodyText"/>
      </w:pPr>
      <w:r>
        <w:t xml:space="preserve">Quello che manca è la misura del</w:t>
      </w:r>
      <w:r>
        <w:t xml:space="preserve"> </w:t>
      </w:r>
      <w:r>
        <w:rPr>
          <w:b/>
          <w:bCs/>
        </w:rPr>
        <w:t xml:space="preserve">nostro pacchetto</w:t>
      </w:r>
      <w:r>
        <w:t xml:space="preserve">, per tre ragioni. Primo: non esiste un placebo credibile per il tocco, e qui l’aspettativa pesa troppo perché sia un dettaglio. Secondo: metà dei pazienti guarisce da sola, quindi servono campioni grandi. Terzo: il contesto assicurativo rende difficile seguire i pazienti senza che il contenzioso influenzi gli esiti riferiti. La differenza conta: qui non stai riempiendo un silenzio, stai lavorando accanto a una letteratura che ha già detto di no a parecchie cose.</w:t>
      </w:r>
    </w:p>
    <w:p>
      <w:pPr>
        <w:pStyle w:val="BodyText"/>
      </w:pPr>
      <w:r>
        <w:rPr>
          <w:b/>
          <w:bCs/>
        </w:rPr>
        <w:t xml:space="preserve">3. Su cosa ti basi allora.</w:t>
      </w:r>
      <w:r>
        <w:t xml:space="preserve"> </w:t>
      </w:r>
      <w:r>
        <w:t xml:space="preserve">In ordine di forza. Primo: il</w:t>
      </w:r>
      <w:r>
        <w:t xml:space="preserve"> </w:t>
      </w:r>
      <w:r>
        <w:rPr>
          <w:b/>
          <w:bCs/>
        </w:rPr>
        <w:t xml:space="preserve">meccanismo</w:t>
      </w:r>
      <w:r>
        <w:t xml:space="preserve">, qui più solido della media — sorgente articolare dimostrata, sorgente cefalalgica dimostrata, cambio di controllo motorio dimostrato. Secondo: il</w:t>
      </w:r>
      <w:r>
        <w:t xml:space="preserve"> </w:t>
      </w:r>
      <w:r>
        <w:rPr>
          <w:b/>
          <w:bCs/>
        </w:rPr>
        <w:t xml:space="preserve">ragionamento clinico</w:t>
      </w:r>
      <w:r>
        <w:t xml:space="preserve">, dichiarato come tale. Terzo: la</w:t>
      </w:r>
      <w:r>
        <w:t xml:space="preserve"> </w:t>
      </w:r>
      <w:r>
        <w:rPr>
          <w:b/>
          <w:bCs/>
        </w:rPr>
        <w:t xml:space="preserve">verifica sul singolo paziente</w:t>
      </w:r>
      <w:r>
        <w:t xml:space="preserve">, con un marker scelto prima di trattare, con la soglia dichiarata e su un piano che non hai trattato.</w:t>
      </w:r>
    </w:p>
    <w:p>
      <w:pPr>
        <w:pStyle w:val="BodyText"/>
      </w:pPr>
      <w:r>
        <w:rPr>
          <w:b/>
          <w:bCs/>
        </w:rPr>
        <w:t xml:space="preserve">4. Cosa separa questo dal pensiero magico.</w:t>
      </w:r>
      <w:r>
        <w:t xml:space="preserve"> </w:t>
      </w:r>
      <w:r>
        <w:t xml:space="preserve">La verifica, e solo quella. Scegliere il marker prima di iniziare, misurarlo, trattare e rimisurarlo è scienza applicata a un caso singolo. Sceglierlo dopo aver visto il paziente stare meglio, no.</w:t>
      </w:r>
    </w:p>
    <w:p>
      <w:pPr>
        <w:pStyle w:val="BodyText"/>
      </w:pPr>
      <w:r>
        <w:rPr>
          <w:b/>
          <w:bCs/>
        </w:rPr>
        <w:t xml:space="preserve">5. Cosa questo non autorizza.</w:t>
      </w:r>
      <w:r>
        <w:t xml:space="preserve"> </w:t>
      </w:r>
      <w:r>
        <w:t xml:space="preserve">Non a promettere un esito, non a scrivere DIMOSTRATO dove c’è IPOTESI, non a dire che «gli studi lo confermano». Qui gli studi confermano l’esercizio guidato e il lavoro sull’allarme, non le mani.</w:t>
      </w:r>
    </w:p>
    <w:bookmarkEnd w:id="60"/>
    <w:bookmarkStart w:id="61" w:name="i-tre-cerchi-e-dove-passa-il-ponte"/>
    <w:p>
      <w:pPr>
        <w:pStyle w:val="Heading3"/>
      </w:pPr>
      <w:r>
        <w:t xml:space="preserve">I tre cerchi, e dove passa il ponte</w:t>
      </w:r>
    </w:p>
    <w:p>
      <w:pPr>
        <w:pStyle w:val="Compact"/>
        <w:numPr>
          <w:ilvl w:val="0"/>
          <w:numId w:val="1036"/>
        </w:numPr>
      </w:pPr>
      <w:r>
        <w:rPr>
          <w:b/>
          <w:bCs/>
        </w:rPr>
        <w:t xml:space="preserve">Cerchio 1 — specifico, e qui va diviso in due.</w:t>
      </w:r>
      <w:r>
        <w:t xml:space="preserve"> </w:t>
      </w:r>
      <w:r>
        <w:t xml:space="preserve">Sul</w:t>
      </w:r>
      <w:r>
        <w:t xml:space="preserve"> </w:t>
      </w:r>
      <w:r>
        <w:rPr>
          <w:b/>
          <w:bCs/>
        </w:rPr>
        <w:t xml:space="preserve">campo</w:t>
      </w:r>
      <w:r>
        <w:t xml:space="preserve"> </w:t>
      </w:r>
      <w:r>
        <w:t xml:space="preserve">è il più ricco di tutte le Bibbie di questa libreria: quarantacinque fonti su questa esatta condizione, molte prognostiche, alcune controllate con placebo e in doppio cieco. Sul</w:t>
      </w:r>
      <w:r>
        <w:t xml:space="preserve"> </w:t>
      </w:r>
      <w:r>
        <w:rPr>
          <w:b/>
          <w:bCs/>
        </w:rPr>
        <w:t xml:space="preserve">nostro pacchetto</w:t>
      </w:r>
      <w:r>
        <w:t xml:space="preserve"> </w:t>
      </w:r>
      <w:r>
        <w:t xml:space="preserve">è povero (vedi sopra). Regge PROBABILE su una leva, non di più.</w:t>
      </w:r>
    </w:p>
    <w:p>
      <w:pPr>
        <w:pStyle w:val="Compact"/>
        <w:numPr>
          <w:ilvl w:val="0"/>
          <w:numId w:val="1036"/>
        </w:numPr>
      </w:pPr>
      <w:r>
        <w:rPr>
          <w:b/>
          <w:bCs/>
        </w:rPr>
        <w:t xml:space="preserve">Cerchio 2 — trasversale sul meccanismo.</w:t>
      </w:r>
      <w:r>
        <w:t xml:space="preserve"> </w:t>
      </w:r>
      <w:r>
        <w:t xml:space="preserve">La mobilizzazione cervicale aumenta la soglia dolorosa alla pressione e riduce l’attività dei flessori superficiali durante il test di flessione cranio-cervicale, in doppio cieco e contro placebo su 30 soggetti (Sterling,</w:t>
      </w:r>
      <w:r>
        <w:t xml:space="preserve"> </w:t>
      </w:r>
      <w:r>
        <w:rPr>
          <w:i/>
          <w:iCs/>
        </w:rPr>
        <w:t xml:space="preserve">Man Ther</w:t>
      </w:r>
      <w:r>
        <w:t xml:space="preserve"> </w:t>
      </w:r>
      <w:r>
        <w:t xml:space="preserve">2001, PMID 11414776). Il salto è di</w:t>
      </w:r>
      <w:r>
        <w:t xml:space="preserve"> </w:t>
      </w:r>
      <w:r>
        <w:rPr>
          <w:b/>
          <w:bCs/>
        </w:rPr>
        <w:t xml:space="preserve">popolazione</w:t>
      </w:r>
      <w:r>
        <w:t xml:space="preserve">: dolore cervicale a esordio insidioso, non colpo di frusta. E il limite va accanto: su 22 studi quella famiglia di effetti immediati non risulta costante (Jung, 2023, PMID 37172128).</w:t>
      </w:r>
    </w:p>
    <w:p>
      <w:pPr>
        <w:pStyle w:val="Compact"/>
        <w:numPr>
          <w:ilvl w:val="0"/>
          <w:numId w:val="1036"/>
        </w:numPr>
      </w:pPr>
      <w:r>
        <w:rPr>
          <w:b/>
          <w:bCs/>
        </w:rPr>
        <w:t xml:space="preserve">Quanto è largo quel salto, misurato.</w:t>
      </w:r>
      <w:r>
        <w:t xml:space="preserve"> </w:t>
      </w:r>
      <w:r>
        <w:t xml:space="preserve">Non costa lo stesso su tutti i meccanismi. Rispetto a chi ha cervicalgia cronica non traumatica, chi ha un colpo di frusta cronico ha disabilità più alta in modo clinicamente rilevante: 11,15 punti su cento all’indice di disabilità cervicale. Ha anche più sensibilità al freddo in sede remota, più sensibilità pressoria locale e remota, meno flessione e meno estensione cervicale. Il dato viene da 61 studi, 45 dei quali in meta-analisi, con certezza delle prove prevalentemente moderata (Chen,</w:t>
      </w:r>
      <w:r>
        <w:t xml:space="preserve"> </w:t>
      </w:r>
      <w:r>
        <w:rPr>
          <w:i/>
          <w:iCs/>
        </w:rPr>
        <w:t xml:space="preserve">Pain</w:t>
      </w:r>
      <w:r>
        <w:t xml:space="preserve"> </w:t>
      </w:r>
      <w:r>
        <w:t xml:space="preserve">2025, PMID 40198728, con Sterling autrice senior).</w:t>
      </w:r>
      <w:r>
        <w:t xml:space="preserve"> </w:t>
      </w:r>
      <w:r>
        <w:rPr>
          <w:b/>
          <w:bCs/>
        </w:rPr>
        <w:t xml:space="preserve">Ma su sintomi vertiginosi, equilibrio, ansia e stress i due gruppi non differiscono.</w:t>
      </w:r>
      <w:r>
        <w:t xml:space="preserve"> </w:t>
      </w:r>
      <w:r>
        <w:t xml:space="preserve">Misurato confrontando due popolazioni di pazienti cronici, non testando un trattamento: dice quanto distano i due gruppi, non che una tecnica funzioni sull’uno o sull’altro. Per te: sulla soglia e sulla disabilità trasferire un effetto costa; sul versante sensomotorio costa meno.</w:t>
      </w:r>
    </w:p>
    <w:p>
      <w:pPr>
        <w:pStyle w:val="Compact"/>
        <w:numPr>
          <w:ilvl w:val="0"/>
          <w:numId w:val="1036"/>
        </w:numPr>
      </w:pPr>
      <w:r>
        <w:rPr>
          <w:b/>
          <w:bCs/>
        </w:rPr>
        <w:t xml:space="preserve">Cerchio 3 — fisiologico.</w:t>
      </w:r>
      <w:r>
        <w:t xml:space="preserve"> </w:t>
      </w:r>
      <w:r>
        <w:t xml:space="preserve">La meccanica a S su sei preparati cadaverici (Grauer, 1997, PMID 9383854) e la convergenza trigemino-cervicale (Bogduk, 1992, PMID 1740655). Reggono il razionale, mai l’efficacia.</w:t>
      </w:r>
    </w:p>
    <w:p>
      <w:pPr>
        <w:pStyle w:val="BlockText"/>
      </w:pPr>
      <w:r>
        <w:rPr>
          <w:b/>
          <w:bCs/>
        </w:rPr>
        <w:t xml:space="preserve">Attenzione.</w:t>
      </w:r>
      <w:r>
        <w:t xml:space="preserve"> </w:t>
      </w:r>
      <w:r>
        <w:t xml:space="preserve">Le prove del cerchio 2 alzano l’etichetta del</w:t>
      </w:r>
      <w:r>
        <w:t xml:space="preserve"> </w:t>
      </w:r>
      <w:r>
        <w:rPr>
          <w:b/>
          <w:bCs/>
        </w:rPr>
        <w:t xml:space="preserve">meccanismo</w:t>
      </w:r>
      <w:r>
        <w:t xml:space="preserve">. Con la frase-ponte accanto, alzano anche quella dell’</w:t>
      </w:r>
      <w:r>
        <w:rPr>
          <w:b/>
          <w:bCs/>
        </w:rPr>
        <w:t xml:space="preserve">effetto a breve</w:t>
      </w:r>
      <w:r>
        <w:t xml:space="preserve"> </w:t>
      </w:r>
      <w:r>
        <w:t xml:space="preserve">di una leva.</w:t>
      </w:r>
      <w:r>
        <w:t xml:space="preserve"> </w:t>
      </w:r>
      <w:r>
        <w:rPr>
          <w:b/>
          <w:bCs/>
        </w:rPr>
        <w:t xml:space="preserve">Mai</w:t>
      </w:r>
      <w:r>
        <w:t xml:space="preserve"> </w:t>
      </w:r>
      <w:r>
        <w:t xml:space="preserve">quella di una leva sul</w:t>
      </w:r>
      <w:r>
        <w:t xml:space="preserve"> </w:t>
      </w:r>
      <w:r>
        <w:rPr>
          <w:b/>
          <w:bCs/>
        </w:rPr>
        <w:t xml:space="preserve">decorso</w:t>
      </w:r>
      <w:r>
        <w:t xml:space="preserve"> </w:t>
      </w:r>
      <w:r>
        <w:t xml:space="preserve">di questa condizione. Che una mobilizzazione cervicale riduca l’attività dei flessori superficiali in un collo dolente non dimostra che il tuo ciclo cambi il decorso di un colpo di frusta.</w:t>
      </w:r>
    </w:p>
    <w:p>
      <w:pPr>
        <w:pStyle w:val="FirstParagraph"/>
      </w:pPr>
      <w:r>
        <w:rPr>
          <w:b/>
          <w:bCs/>
        </w:rPr>
        <w:t xml:space="preserve">Le tre cose da ricordare, più una</w:t>
      </w:r>
    </w:p>
    <w:p>
      <w:pPr>
        <w:pStyle w:val="Compact"/>
        <w:numPr>
          <w:ilvl w:val="0"/>
          <w:numId w:val="1037"/>
        </w:numPr>
      </w:pPr>
      <w:r>
        <w:t xml:space="preserve">Sappiamo molto sulla prognosi e poco sul trattamento: è il contrario di quello che ti aspetti, e cambia cosa prometti.</w:t>
      </w:r>
    </w:p>
    <w:p>
      <w:pPr>
        <w:pStyle w:val="Compact"/>
        <w:numPr>
          <w:ilvl w:val="0"/>
          <w:numId w:val="1037"/>
        </w:numPr>
      </w:pPr>
      <w:r>
        <w:t xml:space="preserve">L’unico studio osteopatico positivo contiene nel suo abstract un risultato che va nell’altra direzione: citarne metà è il modo più rapido di perdere un lettore evidence-based.</w:t>
      </w:r>
    </w:p>
    <w:p>
      <w:pPr>
        <w:pStyle w:val="Compact"/>
        <w:numPr>
          <w:ilvl w:val="0"/>
          <w:numId w:val="1037"/>
        </w:numPr>
      </w:pPr>
      <w:r>
        <w:t xml:space="preserve">Quando due studi sull’esercizio sembrano contraddirsi, guarda il comparatore: «guidato contro non guidato» e «molto contro poco» sono due domande diverse.</w:t>
      </w:r>
    </w:p>
    <w:p>
      <w:pPr>
        <w:pStyle w:val="Compact"/>
        <w:numPr>
          <w:ilvl w:val="0"/>
          <w:numId w:val="1037"/>
        </w:numPr>
      </w:pPr>
      <w:r>
        <w:rPr>
          <w:b/>
          <w:bCs/>
        </w:rPr>
        <w:t xml:space="preserve">Perché ci sei tu.</w:t>
      </w:r>
      <w:r>
        <w:t xml:space="preserve"> </w:t>
      </w:r>
      <w:r>
        <w:t xml:space="preserve">La revisione Cochrane sui trattamenti conservativi ha incluso 23 studi e 2.344 partecipanti, e solo 8 soddisfacevano un criterio di alta qualità (Verhagen, 2007, PMID 17443525). Ti autorizza a dichiarare al paziente che l’incertezza è del campo, non tua — e la revisione più ampia e più recente non ha cambiato quel quadro (Wong, 2016, PMID 26707074). Non a riempirla con quello che ti conviene.</w:t>
      </w:r>
    </w:p>
    <w:p>
      <w:r>
        <w:pict>
          <v:rect style="width:0;height:1.5pt" o:hralign="center" o:hrstd="t" o:hr="t"/>
        </w:pict>
      </w:r>
    </w:p>
    <w:bookmarkEnd w:id="61"/>
    <w:bookmarkEnd w:id="62"/>
    <w:bookmarkStart w:id="6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una leva PROBABILE su due meccanismi e, con le parole, su un terzo; una leva indiretta sul quinto; e su uno solo aprono una finestra che spesso non si apre — e dirlo in quest’ordine è ciò che rende credibile la prima parte.</w:t>
      </w:r>
    </w:p>
    <w:bookmarkStart w:id="63" w:name="X7b24e6ae9a1bd1d2ae9eefaef88af03186ef945"/>
    <w:p>
      <w:pPr>
        <w:pStyle w:val="Heading3"/>
      </w:pPr>
      <w:r>
        <w:t xml:space="preserve">Cosa NON possono fare le mani, detto per primo</w:t>
      </w:r>
    </w:p>
    <w:p>
      <w:pPr>
        <w:pStyle w:val="FirstParagraph"/>
      </w:pPr>
      <w:r>
        <w:t xml:space="preserve">Non possono modificare la lesione capsulare prodotta dal trauma. E sul bersaglio meglio dimostrato di tutta questa Bibbia esiste un trattamento con un randomizzato controllato con placebo, che non è il nostro: la neurotomia a radiofrequenza del ramo mediale, 263 giorni contro 8 prima che il dolore torni a metà del livello di partenza (Lord,</w:t>
      </w:r>
      <w:r>
        <w:t xml:space="preserve"> </w:t>
      </w:r>
      <w:r>
        <w:rPr>
          <w:i/>
          <w:iCs/>
        </w:rPr>
        <w:t xml:space="preserve">N Engl J Med</w:t>
      </w:r>
      <w:r>
        <w:t xml:space="preserve"> </w:t>
      </w:r>
      <w:r>
        <w:t xml:space="preserve">1996, PMID 8929263). Prova che quella sorgente è la sorgente, non che una mano possa fare la stessa cosa.</w:t>
      </w:r>
    </w:p>
    <w:p>
      <w:pPr>
        <w:pStyle w:val="BodyText"/>
      </w:pPr>
      <w:r>
        <w:t xml:space="preserve">Non possono invertire l’infiltrazione di grasso negli estensori profondi. E non solo perché nessuno l’ha misurato: quell’infiltrazione non correlava con dolore né disabilità, e la sua strada passa dalla traiettoria post-traumatica, non dal disuso.</w:t>
      </w:r>
    </w:p>
    <w:p>
      <w:pPr>
        <w:pStyle w:val="BodyText"/>
      </w:pPr>
      <w:r>
        <w:t xml:space="preserve">Non possono cambiare la prognosi a un anno né sostituire la parte attiva del ciclo.</w:t>
      </w:r>
    </w:p>
    <w:bookmarkEnd w:id="63"/>
    <w:bookmarkStart w:id="64" w:name="Xdce6afac514ec0f61efee0ebf51a6d670839a56"/>
    <w:p>
      <w:pPr>
        <w:pStyle w:val="Heading3"/>
      </w:pPr>
      <w:r>
        <w:t xml:space="preserve">Meccanismo 1 — la faccetta, e la cefalea che ne viene</w:t>
      </w:r>
    </w:p>
    <w:p>
      <w:pPr>
        <w:pStyle w:val="FirstParagraph"/>
      </w:pPr>
      <w:r>
        <w:rPr>
          <w:b/>
          <w:bCs/>
        </w:rPr>
        <w:t xml:space="preserve">Su cosa può agire, e con che effetto atteso.</w:t>
      </w:r>
      <w:r>
        <w:t xml:space="preserve"> </w:t>
      </w:r>
      <w:r>
        <w:t xml:space="preserve">Sul segmento e sui tessuti periarticolari, sulla mobilità del passaggio cervico-dorsale che lo carica, e sul piano alto C1-C3 quando domina la cefalea. Ci si aspetta un innalzamento della soglia dolorosa e un recupero di escursione. Non la riparazione della capsula.</w:t>
      </w:r>
    </w:p>
    <w:p>
      <w:pPr>
        <w:pStyle w:val="BodyText"/>
      </w:pPr>
      <w:r>
        <w:rPr>
          <w:b/>
          <w:bCs/>
        </w:rPr>
        <w:t xml:space="preserve">Attenzione a come leggi il tuo stesso risultato.</w:t>
      </w:r>
      <w:r>
        <w:t xml:space="preserve"> </w:t>
      </w:r>
      <w:r>
        <w:t xml:space="preserve">L’effetto immediato atteso è mediato dalle</w:t>
      </w:r>
      <w:r>
        <w:t xml:space="preserve"> </w:t>
      </w:r>
      <w:r>
        <w:rPr>
          <w:b/>
          <w:bCs/>
        </w:rPr>
        <w:t xml:space="preserve">vie discendenti di modulazione del dolore</w:t>
      </w:r>
      <w:r>
        <w:t xml:space="preserve">: non è locale, e</w:t>
      </w:r>
      <w:r>
        <w:t xml:space="preserve"> </w:t>
      </w:r>
      <w:r>
        <w:rPr>
          <w:b/>
          <w:bCs/>
        </w:rPr>
        <w:t xml:space="preserve">non è necessariamente limitato alla regione trattata</w:t>
      </w:r>
      <w:r>
        <w:t xml:space="preserve">. È proprio così che quella letteratura separa un effetto centrale da uno locale. Conseguenza:</w:t>
      </w:r>
      <w:r>
        <w:t xml:space="preserve"> </w:t>
      </w:r>
      <w:r>
        <w:rPr>
          <w:b/>
          <w:bCs/>
        </w:rPr>
        <w:t xml:space="preserve">una soglia che sale dove hai appena lavorato non prova che hai trovato il livello giusto.</w:t>
      </w:r>
      <w:r>
        <w:t xml:space="preserve"> </w:t>
      </w:r>
      <w:r>
        <w:t xml:space="preserve">È l’interruttore generale di casa: si accende la luce anche nelle stanze in cui non sei entrato.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l’effetto a breve termine su soglia ed escursione. La linea guida di riferimento include la cura multimodale — esercizio con manipolazione o mobilizzazione — fra le opzioni che si possono considerare per il dolore cervicale di grado I-II (Côté,</w:t>
      </w:r>
      <w:r>
        <w:t xml:space="preserve"> </w:t>
      </w:r>
      <w:r>
        <w:rPr>
          <w:i/>
          <w:iCs/>
        </w:rPr>
        <w:t xml:space="preserve">Eur Spine J</w:t>
      </w:r>
      <w:r>
        <w:t xml:space="preserve"> </w:t>
      </w:r>
      <w:r>
        <w:t xml:space="preserve">2016, PMID 26984876). L’effetto ipoalgesico immediato della mobilizzazione cervicale è misurato in cieco e contro placebo, su dolore cervicale insidioso e non su colpo di frusta (Sterling,</w:t>
      </w:r>
      <w:r>
        <w:t xml:space="preserve"> </w:t>
      </w:r>
      <w:r>
        <w:rPr>
          <w:i/>
          <w:iCs/>
        </w:rPr>
        <w:t xml:space="preserve">Man Ther</w:t>
      </w:r>
      <w:r>
        <w:t xml:space="preserve"> </w:t>
      </w:r>
      <w:r>
        <w:t xml:space="preserve">2001, PMID 11414776). Il contrappeso è una revisione su 22 studi, che non trova quell’effetto in modo costante (Jung,</w:t>
      </w:r>
      <w:r>
        <w:t xml:space="preserve"> </w:t>
      </w:r>
      <w:r>
        <w:rPr>
          <w:i/>
          <w:iCs/>
        </w:rPr>
        <w:t xml:space="preserve">Phys Ther</w:t>
      </w:r>
      <w:r>
        <w:t xml:space="preserve"> </w:t>
      </w:r>
      <w:r>
        <w:t xml:space="preserve">2023, PMID 37172128).</w:t>
      </w:r>
    </w:p>
    <w:p>
      <w:pPr>
        <w:pStyle w:val="FirstParagraph"/>
      </w:pPr>
      <w:r>
        <w:rPr>
          <w:b/>
          <w:bCs/>
        </w:rPr>
        <w:t xml:space="preserve">In quanto tempo si vedrebbe, e quando si spegne.</w:t>
      </w:r>
      <w:r>
        <w:t xml:space="preserve"> </w:t>
      </w:r>
      <w:r>
        <w:t xml:space="preserve">Dentro la seduta, e si esaurisce in ore. Se il marker non si muove, l’ipotesi era sbagliata. Se si muove e torna indietro, hai un effetto di stato, non un cambiamento.</w:t>
      </w:r>
    </w:p>
    <w:bookmarkEnd w:id="64"/>
    <w:bookmarkStart w:id="65" w:name="meccanismo-2-la-difesa-motoria"/>
    <w:p>
      <w:pPr>
        <w:pStyle w:val="Heading3"/>
      </w:pPr>
      <w:r>
        <w:t xml:space="preserve">Meccanismo 2 — la difesa motoria</w:t>
      </w:r>
    </w:p>
    <w:p>
      <w:pPr>
        <w:pStyle w:val="FirstParagraph"/>
      </w:pPr>
      <w:r>
        <w:rPr>
          <w:b/>
          <w:bCs/>
        </w:rPr>
        <w:t xml:space="preserve">Su cosa può agire, e con che effetto atteso.</w:t>
      </w:r>
      <w:r>
        <w:t xml:space="preserve"> </w:t>
      </w:r>
      <w:r>
        <w:t xml:space="preserve">Sul tono dei flessori superficiali e sull’escursione disponibile: la condizione perché il lavoro attivo sui profondi sia possibile. Effetto atteso: riduzione dell’attività dei superficiali durante il test di flessione cranio-cervicale, cioè il ritorno del lavoro allo strato che gli compete.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È l’unico effetto del capitolo che è stato misurato direttamente come variabile, in doppio cieco e contro placebo, con riduzione dell’attività dei flessori superficiali ai livelli bassi del test (Sterling,</w:t>
      </w:r>
      <w:r>
        <w:t xml:space="preserve"> </w:t>
      </w:r>
      <w:r>
        <w:rPr>
          <w:i/>
          <w:iCs/>
        </w:rPr>
        <w:t xml:space="preserve">Man Ther</w:t>
      </w:r>
      <w:r>
        <w:t xml:space="preserve"> </w:t>
      </w:r>
      <w:r>
        <w:t xml:space="preserve">2001, PMID 11414776). Il salto è di popolazione: dolore cervicale insidioso, non colpo di frusta.</w:t>
      </w:r>
    </w:p>
    <w:p>
      <w:pPr>
        <w:pStyle w:val="FirstParagraph"/>
      </w:pPr>
      <w:r>
        <w:rPr>
          <w:b/>
          <w:bCs/>
        </w:rPr>
        <w:t xml:space="preserve">In quanto tempo.</w:t>
      </w:r>
      <w:r>
        <w:t xml:space="preserve"> </w:t>
      </w:r>
      <w:r>
        <w:t xml:space="preserve">Dentro la seduta l’effetto immediato. In settimane il cambiamento stabile, che appartiene alla ripetizione dell’esercizio e non alla tecnica. Se questa distinzione salta, si conclude che «su questa condizione non funziona niente».</w:t>
      </w:r>
    </w:p>
    <w:bookmarkEnd w:id="65"/>
    <w:bookmarkStart w:id="66" w:name="meccanismo-3-la-soglia-abbassata"/>
    <w:p>
      <w:pPr>
        <w:pStyle w:val="Heading3"/>
      </w:pPr>
      <w:r>
        <w:t xml:space="preserve">Meccanismo 3 — la soglia abbassata</w:t>
      </w:r>
    </w:p>
    <w:p>
      <w:pPr>
        <w:pStyle w:val="FirstParagraph"/>
      </w:pPr>
      <w:r>
        <w:rPr>
          <w:b/>
          <w:bCs/>
        </w:rPr>
        <w:t xml:space="preserve">Su cosa può agire, e con che effetto atteso.</w:t>
      </w:r>
      <w:r>
        <w:t xml:space="preserve"> </w:t>
      </w:r>
      <w:r>
        <w:t xml:space="preserve">Sull’ingresso nocicettivo e sulla tolleranza al contatto. Onestamente:</w:t>
      </w:r>
      <w:r>
        <w:t xml:space="preserve"> </w:t>
      </w:r>
      <w:r>
        <w:rPr>
          <w:b/>
          <w:bCs/>
        </w:rPr>
        <w:t xml:space="preserve">spesso nessuno.</w:t>
      </w:r>
      <w:r>
        <w:t xml:space="preserve"> </w:t>
      </w:r>
      <w:r>
        <w:t xml:space="preserve">Questo sottotipo è definito dal fatto che il freno discendente non si accende, ed è quel freno la via da cui passerebbe l’effetto. L’attesa realistica non è «una finestra breve»: è che</w:t>
      </w:r>
      <w:r>
        <w:t xml:space="preserve"> </w:t>
      </w:r>
      <w:r>
        <w:rPr>
          <w:b/>
          <w:bCs/>
        </w:rPr>
        <w:t xml:space="preserve">spesso non si apra affatto</w:t>
      </w:r>
      <w:r>
        <w:t xml:space="preserve">, e la mancata apertura è il reperto che ti dice che il piano non era quello.</w:t>
      </w:r>
    </w:p>
    <w:p>
      <w:pPr>
        <w:pStyle w:val="BlockText"/>
      </w:pPr>
      <w:r>
        <w:rPr>
          <w:b/>
          <w:bCs/>
        </w:rPr>
        <w:t xml:space="preserve">Quanto è solido:</w:t>
      </w:r>
      <w:r>
        <w:t xml:space="preserve"> </w:t>
      </w:r>
      <w:r>
        <w:rPr>
          <w:b/>
          <w:bCs/>
        </w:rPr>
        <w:t xml:space="preserve">IPOTESI</w:t>
      </w:r>
      <w:r>
        <w:t xml:space="preserve"> </w:t>
      </w:r>
      <w:r>
        <w:rPr>
          <w:i/>
          <w:iCs/>
        </w:rPr>
        <w:t xml:space="preserve">(meccanismo coerente, prove contrarie)</w:t>
      </w:r>
      <w:r>
        <w:t xml:space="preserve">. Su questo sottotipo l’unico dato diretto disponibile va nella direzione opposta a quella attesa: un programma riabilitativo intensivo non ha battuto il semplice consiglio, e la presenza di iperattività del sistema nervoso centrale</w:t>
      </w:r>
      <w:r>
        <w:t xml:space="preserve"> </w:t>
      </w:r>
      <w:r>
        <w:rPr>
          <w:b/>
          <w:bCs/>
        </w:rPr>
        <w:t xml:space="preserve">non</w:t>
      </w:r>
      <w:r>
        <w:t xml:space="preserve"> </w:t>
      </w:r>
      <w:r>
        <w:t xml:space="preserve">modificava l’effetto del trattamento (Michaleff,</w:t>
      </w:r>
      <w:r>
        <w:t xml:space="preserve"> </w:t>
      </w:r>
      <w:r>
        <w:rPr>
          <w:i/>
          <w:iCs/>
        </w:rPr>
        <w:t xml:space="preserve">Lancet</w:t>
      </w:r>
      <w:r>
        <w:t xml:space="preserve"> </w:t>
      </w:r>
      <w:r>
        <w:t xml:space="preserve">2014, PMID 24703832). E il freno che dovrebbe portare l’effetto è quello che in questi pazienti non si accende (Daenen, 2013, PMID 22983264).</w:t>
      </w:r>
    </w:p>
    <w:p>
      <w:pPr>
        <w:pStyle w:val="FirstParagraph"/>
      </w:pPr>
      <w:r>
        <w:rPr>
          <w:b/>
          <w:bCs/>
        </w:rPr>
        <w:t xml:space="preserve">In quanto tempo.</w:t>
      </w:r>
      <w:r>
        <w:t xml:space="preserve"> </w:t>
      </w:r>
      <w:r>
        <w:t xml:space="preserve">Se si vede, dentro la seduta e per poche ore.</w:t>
      </w:r>
    </w:p>
    <w:bookmarkEnd w:id="66"/>
    <w:bookmarkStart w:id="67" w:name="meccanismo-4-il-livello-di-attivazione"/>
    <w:p>
      <w:pPr>
        <w:pStyle w:val="Heading3"/>
      </w:pPr>
      <w:r>
        <w:t xml:space="preserve">Meccanismo 4 — il livello di attivazione</w:t>
      </w:r>
    </w:p>
    <w:p>
      <w:pPr>
        <w:pStyle w:val="FirstParagraph"/>
      </w:pPr>
      <w:r>
        <w:t xml:space="preserve">Qui la leva non è una: sono tre, con tre etichette diverse. Tenerle insieme è l’errore che fa credere di avere in mano un randomizzato.</w:t>
      </w:r>
    </w:p>
    <w:p>
      <w:pPr>
        <w:pStyle w:val="BodyText"/>
      </w:pPr>
      <w:r>
        <w:rPr>
          <w:b/>
          <w:bCs/>
        </w:rPr>
        <w:t xml:space="preserve">a) Il contatto manuale lento, il ritmo, la prevedibilità.</w:t>
      </w:r>
      <w:r>
        <w:t xml:space="preserve"> </w:t>
      </w:r>
      <w:r>
        <w:t xml:space="preserve">Non è «lavoro locale»: è lavoro manuale a tutti gli effetti, mirato altrove. Effetto atteso: meno reattività al contatto dentro la seduta.</w:t>
      </w:r>
    </w:p>
    <w:p>
      <w:pPr>
        <w:pStyle w:val="BlockText"/>
      </w:pPr>
      <w:r>
        <w:rPr>
          <w:b/>
          <w:bCs/>
        </w:rPr>
        <w:t xml:space="preserve">Quanto è solido:</w:t>
      </w:r>
      <w:r>
        <w:t xml:space="preserve"> </w:t>
      </w:r>
      <w:r>
        <w:t xml:space="preserve">l’etichetta si spezza, perché gli oggetti sono due e nessuno dei due è stato misurato bene.</w:t>
      </w:r>
      <w:r>
        <w:t xml:space="preserve"> </w:t>
      </w:r>
      <w:r>
        <w:rPr>
          <w:b/>
          <w:bCs/>
        </w:rPr>
        <w:t xml:space="preserve">IPOTESI</w:t>
      </w:r>
      <w:r>
        <w:t xml:space="preserve"> </w:t>
      </w:r>
      <w:r>
        <w:rPr>
          <w:i/>
          <w:iCs/>
        </w:rPr>
        <w:t xml:space="preserve">(meccanismo coerente, prove contrarie)</w:t>
      </w:r>
      <w:r>
        <w:t xml:space="preserve"> </w:t>
      </w:r>
      <w:r>
        <w:t xml:space="preserve">che una</w:t>
      </w:r>
      <w:r>
        <w:t xml:space="preserve"> </w:t>
      </w:r>
      <w:r>
        <w:rPr>
          <w:b/>
          <w:bCs/>
        </w:rPr>
        <w:t xml:space="preserve">mobilizzazione articolare cervicale</w:t>
      </w:r>
      <w:r>
        <w:t xml:space="preserve"> </w:t>
      </w:r>
      <w:r>
        <w:t xml:space="preserve">sposti l’attivazione verso la calma: dove è stata misurata, contro placebo e in cieco, la conduttanza cutanea</w:t>
      </w:r>
      <w:r>
        <w:t xml:space="preserve"> </w:t>
      </w:r>
      <w:r>
        <w:rPr>
          <w:b/>
          <w:bCs/>
        </w:rPr>
        <w:t xml:space="preserve">aumenta</w:t>
      </w:r>
      <w:r>
        <w:t xml:space="preserve"> </w:t>
      </w:r>
      <w:r>
        <w:t xml:space="preserve">e la temperatura scende (Sterling,</w:t>
      </w:r>
      <w:r>
        <w:t xml:space="preserve"> </w:t>
      </w:r>
      <w:r>
        <w:rPr>
          <w:i/>
          <w:iCs/>
        </w:rPr>
        <w:t xml:space="preserve">Man Ther</w:t>
      </w:r>
      <w:r>
        <w:t xml:space="preserve"> </w:t>
      </w:r>
      <w:r>
        <w:t xml:space="preserve">2001, PMID 11414776).</w:t>
      </w:r>
      <w:r>
        <w:t xml:space="preserve"> </w:t>
      </w:r>
      <w:r>
        <w:rPr>
          <w:b/>
          <w:bCs/>
        </w:rPr>
        <w:t xml:space="preserve">IPOTESI</w:t>
      </w:r>
      <w:r>
        <w:t xml:space="preserve"> </w:t>
      </w:r>
      <w:r>
        <w:rPr>
          <w:i/>
          <w:iCs/>
        </w:rPr>
        <w:t xml:space="preserve">(meccanismo coerente, nessuno studio)</w:t>
      </w:r>
      <w:r>
        <w:t xml:space="preserve"> </w:t>
      </w:r>
      <w:r>
        <w:t xml:space="preserve">che il</w:t>
      </w:r>
      <w:r>
        <w:t xml:space="preserve"> </w:t>
      </w:r>
      <w:r>
        <w:rPr>
          <w:b/>
          <w:bCs/>
        </w:rPr>
        <w:t xml:space="preserve">contatto lento sostenuto</w:t>
      </w:r>
      <w:r>
        <w:t xml:space="preserve"> </w:t>
      </w:r>
      <w:r>
        <w:t xml:space="preserve">lo faccia: nessuno l’ha misurato su questa condizione, ed è un ingresso afferente diverso da quello testato in quello studio.</w:t>
      </w:r>
    </w:p>
    <w:p>
      <w:pPr>
        <w:pStyle w:val="BlockText"/>
      </w:pPr>
      <w:r>
        <w:rPr>
          <w:b/>
          <w:bCs/>
        </w:rPr>
        <w:t xml:space="preserve">Attenzione.</w:t>
      </w:r>
      <w:r>
        <w:t xml:space="preserve"> </w:t>
      </w:r>
      <w:r>
        <w:t xml:space="preserve">Il dato simpatico va letto nel verso giusto, e non è una smentita. Nella modulazione discendente dal grigio periacqueduttale, ipoalgesia ed eccitazione simpatica</w:t>
      </w:r>
      <w:r>
        <w:t xml:space="preserve"> </w:t>
      </w:r>
      <w:r>
        <w:rPr>
          <w:b/>
          <w:bCs/>
        </w:rPr>
        <w:t xml:space="preserve">non sono in conflitto: sono la firma della stessa risposta</w:t>
      </w:r>
      <w:r>
        <w:t xml:space="preserve">, e sono state trovate correlate e superiori a placebo (Vicenzino,</w:t>
      </w:r>
      <w:r>
        <w:t xml:space="preserve"> </w:t>
      </w:r>
      <w:r>
        <w:rPr>
          <w:i/>
          <w:iCs/>
        </w:rPr>
        <w:t xml:space="preserve">J Manipulative Physiol Ther</w:t>
      </w:r>
      <w:r>
        <w:t xml:space="preserve"> </w:t>
      </w:r>
      <w:r>
        <w:t xml:space="preserve">1998, PMID 9777544). La conduttanza che sale non dice che il tocco ha fallito: dice che si è accesa una via centrale. Resta il lucchetto:</w:t>
      </w:r>
      <w:r>
        <w:t xml:space="preserve"> </w:t>
      </w:r>
      <w:r>
        <w:rPr>
          <w:b/>
          <w:bCs/>
        </w:rPr>
        <w:t xml:space="preserve">che la via esista non dice che la tua mano la muova abbastanza</w:t>
      </w:r>
      <w:r>
        <w:t xml:space="preserve">, e su 22 studi l’effetto immediato non è costante (Jung, 2023, PMID 37172128). Per questo l’etichetta non sale, e «effetto calmante» resta una parola che non si usa.</w:t>
      </w:r>
    </w:p>
    <w:p>
      <w:pPr>
        <w:pStyle w:val="FirstParagraph"/>
      </w:pPr>
      <w:r>
        <w:rPr>
          <w:b/>
          <w:bCs/>
        </w:rPr>
        <w:t xml:space="preserve">b) L’informazione corretta e il lavoro sull’aspettativa.</w:t>
      </w:r>
      <w:r>
        <w:t xml:space="preserve"> </w:t>
      </w:r>
      <w:r>
        <w:t xml:space="preserve">Effetto atteso: uno spostamento, in settimane, della soglia a cui una sensazione diventa minaccia.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L’aspettativa è un predittore dimostrato (Carroll, 2009, PMID 19228657). Che modificarla cambi l’esito è sostenuto indirettamente dallo studio su stress ed esercizio, con il salto di erogatore dichiarato, e più largamente da undici randomizzati di interventi psicologici riuniti in meta-analisi (Al-Wardat, 2026, PMID 42298620). Il contrappeso va scritto accanto: la forma in cui questa leva arriva davvero al tuo paziente — informazione</w:t>
      </w:r>
      <w:r>
        <w:t xml:space="preserve"> </w:t>
      </w:r>
      <w:r>
        <w:rPr>
          <w:b/>
          <w:bCs/>
        </w:rPr>
        <w:t xml:space="preserve">aggiunta</w:t>
      </w:r>
      <w:r>
        <w:t xml:space="preserve"> </w:t>
      </w:r>
      <w:r>
        <w:t xml:space="preserve">all’esercizio — è stata testata su questa condizione e non produce un vantaggio clinicamente rilevante (Muñoz-Bustos, 2025, PMID 40134097). Non è una leva manuale: è comportamentale, ed è tua lo stesso.</w:t>
      </w:r>
    </w:p>
    <w:p>
      <w:pPr>
        <w:pStyle w:val="FirstParagraph"/>
      </w:pPr>
      <w:r>
        <w:rPr>
          <w:b/>
          <w:bCs/>
        </w:rPr>
        <w:t xml:space="preserve">c) L’addestramento strutturato alla gestione dello stress.</w:t>
      </w:r>
      <w:r>
        <w:t xml:space="preserve"> </w:t>
      </w:r>
      <w:r>
        <w:rPr>
          <w:b/>
          <w:bCs/>
        </w:rPr>
        <w:t xml:space="preserve">Non è una leva di questo capitolo:</w:t>
      </w:r>
      <w:r>
        <w:t xml:space="preserve"> </w:t>
      </w:r>
      <w:r>
        <w:t xml:space="preserve">ha la prova migliore del quadro e non la eroghi tu. Sta nel Capitolo 12. Quello che è tuo è riconoscere chi ne beneficerebbe e attivare il canale.</w:t>
      </w:r>
    </w:p>
    <w:p>
      <w:pPr>
        <w:pStyle w:val="BodyText"/>
      </w:pPr>
      <w:r>
        <w:rPr>
          <w:b/>
          <w:bCs/>
        </w:rPr>
        <w:t xml:space="preserve">In quanto tempo.</w:t>
      </w:r>
      <w:r>
        <w:t xml:space="preserve"> </w:t>
      </w:r>
      <w:r>
        <w:t xml:space="preserve">L’effetto di stato dentro la seduta. La soglia in settimane, e solo se l’informazione corretta viaggia insieme al contatto.</w:t>
      </w:r>
    </w:p>
    <w:bookmarkEnd w:id="67"/>
    <w:bookmarkStart w:id="68" w:name="meccanismo-5-il-senso-di-posizione"/>
    <w:p>
      <w:pPr>
        <w:pStyle w:val="Heading3"/>
      </w:pPr>
      <w:r>
        <w:t xml:space="preserve">Meccanismo 5 — il senso di posizione</w:t>
      </w:r>
    </w:p>
    <w:p>
      <w:pPr>
        <w:pStyle w:val="FirstParagraph"/>
      </w:pPr>
      <w:r>
        <w:rPr>
          <w:b/>
          <w:bCs/>
        </w:rPr>
        <w:t xml:space="preserve">Su cosa può agire, e con che effetto atteso.</w:t>
      </w:r>
      <w:r>
        <w:t xml:space="preserve"> </w:t>
      </w:r>
      <w:r>
        <w:t xml:space="preserve">Sull’escursione della cerniera cranio-cervicale, da cui viene il segnale propriocettivo: la mano crea la condizione, non produce il riapprendimento. Nessun cambiamento diretto dell’errore di riposizionamento, che si muove con l’allenamento.</w:t>
      </w:r>
    </w:p>
    <w:p>
      <w:pPr>
        <w:pStyle w:val="BlockText"/>
      </w:pPr>
      <w:r>
        <w:rPr>
          <w:b/>
          <w:bCs/>
        </w:rPr>
        <w:t xml:space="preserve">Quanto è solido:</w:t>
      </w:r>
      <w:r>
        <w:t xml:space="preserve"> </w:t>
      </w:r>
      <w:r>
        <w:rPr>
          <w:b/>
          <w:bCs/>
        </w:rPr>
        <w:t xml:space="preserve">IPOTESI</w:t>
      </w:r>
      <w:r>
        <w:t xml:space="preserve"> </w:t>
      </w:r>
      <w:r>
        <w:rPr>
          <w:i/>
          <w:iCs/>
        </w:rPr>
        <w:t xml:space="preserve">(meccanismo coerente, prove contrarie)</w:t>
      </w:r>
      <w:r>
        <w:t xml:space="preserve"> </w:t>
      </w:r>
      <w:r>
        <w:t xml:space="preserve">che il trattamento manuale modifichi l’errore di riposizionamento. Lo studio esiste ed è negativo: su 86 pazienti con vertigine cervicogenica randomizzati a tre bracci, la terapia manuale ha migliorato l’escursione e l’ha mantenuta a dodici settimane, ma</w:t>
      </w:r>
      <w:r>
        <w:t xml:space="preserve"> </w:t>
      </w:r>
      <w:r>
        <w:rPr>
          <w:b/>
          <w:bCs/>
        </w:rPr>
        <w:t xml:space="preserve">non</w:t>
      </w:r>
      <w:r>
        <w:t xml:space="preserve"> </w:t>
      </w:r>
      <w:r>
        <w:t xml:space="preserve">ha cambiato equilibrio e accuratezza di riposizionamento (Reid,</w:t>
      </w:r>
      <w:r>
        <w:t xml:space="preserve"> </w:t>
      </w:r>
      <w:r>
        <w:rPr>
          <w:i/>
          <w:iCs/>
        </w:rPr>
        <w:t xml:space="preserve">Arch Phys Med Rehabil</w:t>
      </w:r>
      <w:r>
        <w:t xml:space="preserve"> </w:t>
      </w:r>
      <w:r>
        <w:t xml:space="preserve">2014, PMID 24792139). Il salto è di</w:t>
      </w:r>
      <w:r>
        <w:t xml:space="preserve"> </w:t>
      </w:r>
      <w:r>
        <w:rPr>
          <w:b/>
          <w:bCs/>
        </w:rPr>
        <w:t xml:space="preserve">popolazione</w:t>
      </w:r>
      <w:r>
        <w:t xml:space="preserve">: vertigine cervicogenica, non colpo di frusta. Ed è il salto meno costoso di tutto il documento, perché su sintomi vertiginosi ed equilibrio le due popolazioni non differiscono (Chen, 2025, PMID 40198728). Quella somiglianza qui rafforza la conclusione invece di indebolirla: quel risultato negativo pesa</w:t>
      </w:r>
      <w:r>
        <w:t xml:space="preserve"> </w:t>
      </w:r>
      <w:r>
        <w:rPr>
          <w:b/>
          <w:bCs/>
        </w:rPr>
        <w:t xml:space="preserve">di più</w:t>
      </w:r>
      <w:r>
        <w:t xml:space="preserve">, non di meno. Quello che ha una prova è l’allenamento (Revel, 1994, PMID 8053797; Treleaven, 2016, PMID 26678652).</w:t>
      </w:r>
    </w:p>
    <w:p>
      <w:pPr>
        <w:pStyle w:val="FirstParagraph"/>
      </w:pPr>
      <w:r>
        <w:rPr>
          <w:b/>
          <w:bCs/>
        </w:rPr>
        <w:t xml:space="preserve">In quanto tempo.</w:t>
      </w:r>
      <w:r>
        <w:t xml:space="preserve"> </w:t>
      </w:r>
      <w:r>
        <w:t xml:space="preserve">Settimane, sul marker dedicato: non nella tua seduta.</w:t>
      </w:r>
    </w:p>
    <w:p>
      <w:pPr>
        <w:pStyle w:val="BlockText"/>
      </w:pPr>
      <w:r>
        <w:rPr>
          <w:b/>
          <w:bCs/>
        </w:rPr>
        <w:t xml:space="preserve">Attenzione.</w:t>
      </w:r>
      <w:r>
        <w:t xml:space="preserve"> </w:t>
      </w:r>
      <w:r>
        <w:t xml:space="preserve">La letteratura sul rischio va letta nel verso giusto. Sul rachide cervicale il rischio che devi conoscere non è soprattutto quello che introduci tu. Sulla manipolazione cervicale una meta-analisi ha trovato un’associazione piccola con la dissezione arteriosa: odds ratio 1,74. È un rischio quasi doppio rispetto a un rischio di base che nella popolazione generale è di pochi casi ogni centomila persone all’anno. La qualità delle prove è molto bassa, non c’è nessuna dimostrazione di causalità, e gli autori danno una spiegazione alternativa: il dolore al collo è insieme un sintomo precoce della dissezione e il motivo per cui una persona si rivolge a un terapista manuale (Church,</w:t>
      </w:r>
      <w:r>
        <w:t xml:space="preserve"> </w:t>
      </w:r>
      <w:r>
        <w:rPr>
          <w:i/>
          <w:iCs/>
        </w:rPr>
        <w:t xml:space="preserve">Cureus</w:t>
      </w:r>
      <w:r>
        <w:t xml:space="preserve"> </w:t>
      </w:r>
      <w:r>
        <w:t xml:space="preserve">2016, PMID 27014532).</w:t>
      </w:r>
      <w:r>
        <w:t xml:space="preserve"> </w:t>
      </w:r>
      <w:r>
        <w:rPr>
          <w:b/>
          <w:bCs/>
        </w:rPr>
        <w:t xml:space="preserve">In questa popolazione quella spiegazione non rassicura: descrive il rischio.</w:t>
      </w:r>
      <w:r>
        <w:t xml:space="preserve"> </w:t>
      </w:r>
      <w:r>
        <w:t xml:space="preserve">Qui il trauma che ha prodotto il dolore è lo stesso che può aver prodotto la lesione intimale, e il paziente arriva dentro la finestra (Hauser, 2010, PMID 20720428). Il come si dosa è materia di Procedura. Qui devi sapere che il collo che stai caricando ha appena subito un’accelerazione oltre la corsa fisiologica; la dissezione precoce e lo screening vascolare stanno nel Capitolo 9.</w:t>
      </w:r>
    </w:p>
    <w:p>
      <w:pPr>
        <w:pStyle w:val="FirstParagraph"/>
      </w:pPr>
      <w:r>
        <w:rPr>
          <w:b/>
          <w:bCs/>
        </w:rPr>
        <w:t xml:space="preserve">Il come si fa non è qui. Sta nella Procedura di colpo di frusta: due pagine, tecniche, dosi e piano delle sedute.</w:t>
      </w:r>
    </w:p>
    <w:p>
      <w:pPr>
        <w:pStyle w:val="BodyText"/>
      </w:pPr>
      <w:r>
        <w:rPr>
          <w:b/>
          <w:bCs/>
        </w:rPr>
        <w:t xml:space="preserve">Le tre cose da ricordare, più una</w:t>
      </w:r>
    </w:p>
    <w:p>
      <w:pPr>
        <w:pStyle w:val="Compact"/>
        <w:numPr>
          <w:ilvl w:val="0"/>
          <w:numId w:val="1038"/>
        </w:numPr>
      </w:pPr>
      <w:r>
        <w:t xml:space="preserve">L’unico effetto delle mani misurato in cieco su questo distretto è l’ipoalgesia con riduzione dei flessori superficiali: è poco, ha un contrappeso, ed è più di quanto molti colleghi possano citare.</w:t>
      </w:r>
    </w:p>
    <w:p>
      <w:pPr>
        <w:pStyle w:val="Compact"/>
        <w:numPr>
          <w:ilvl w:val="0"/>
          <w:numId w:val="1038"/>
        </w:numPr>
      </w:pPr>
      <w:r>
        <w:t xml:space="preserve">L’effetto della seduta e quello della ripetizione sono cose diverse: attribuire alla tecnica un guadagno che appartiene all’allenamento porta a conclusioni sbagliate su tutto.</w:t>
      </w:r>
    </w:p>
    <w:p>
      <w:pPr>
        <w:pStyle w:val="Compact"/>
        <w:numPr>
          <w:ilvl w:val="0"/>
          <w:numId w:val="1038"/>
        </w:numPr>
      </w:pPr>
      <w:r>
        <w:t xml:space="preserve">Una soglia che sale dove hai lavorato non prova che hai trovato il livello: se la via è discendente sale anche altrove, e per questo il marker che decide sta fuori dal piano trattato.</w:t>
      </w:r>
    </w:p>
    <w:p>
      <w:pPr>
        <w:pStyle w:val="Compact"/>
        <w:numPr>
          <w:ilvl w:val="0"/>
          <w:numId w:val="1038"/>
        </w:numPr>
      </w:pPr>
      <w:r>
        <w:rPr>
          <w:b/>
          <w:bCs/>
        </w:rPr>
        <w:t xml:space="preserve">Perché ci sei tu.</w:t>
      </w:r>
      <w:r>
        <w:t xml:space="preserve"> </w:t>
      </w:r>
      <w:r>
        <w:t xml:space="preserve">Dopo una mobilizzazione cervicale, in doppio cieco e contro placebo, la soglia dolorosa alla pressione sale e i flessori superficiali si attivano meno durante il test (Sterling, 2001, PMID 11414776). Ti autorizza a usare la mano per aprire la finestra in cui il lavoro attivo diventa possibile. Non a chiamarlo effetto calmante: nello stesso studio la conduttanza cutanea è aumentata.</w:t>
      </w:r>
    </w:p>
    <w:p>
      <w:r>
        <w:pict>
          <v:rect style="width:0;height:1.5pt" o:hralign="center" o:hrstd="t" o:hr="t"/>
        </w:pict>
      </w:r>
    </w:p>
    <w:bookmarkEnd w:id="68"/>
    <w:bookmarkEnd w:id="69"/>
    <w:bookmarkStart w:id="7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nelle tue mani ma nelle sue, e il tuo compito è insegnarla bene e seguirla, invece di aggiungerla in fondo.</w:t>
      </w:r>
    </w:p>
    <w:p>
      <w:pPr>
        <w:pStyle w:val="FirstParagraph"/>
      </w:pPr>
      <w:r>
        <w:t xml:space="preserve">Quattro strumenti, ciascuno con la sua base, più un quinto che non è tuo. Sulla</w:t>
      </w:r>
      <w:r>
        <w:t xml:space="preserve"> </w:t>
      </w:r>
      <w:r>
        <w:rPr>
          <w:b/>
          <w:bCs/>
        </w:rPr>
        <w:t xml:space="preserve">crepa</w:t>
      </w:r>
      <w:r>
        <w:t xml:space="preserve"> </w:t>
      </w:r>
      <w:r>
        <w:t xml:space="preserve">nessuno dei quattro agisce: quella sorgente non è un bersaglio del lavoro attivo, e la casella vuota è dichiarata, non dimenticata.</w:t>
      </w:r>
    </w:p>
    <w:p>
      <w:pPr>
        <w:pStyle w:val="BodyText"/>
      </w:pPr>
      <w:r>
        <w:t xml:space="preserve">Questo capitolo pesa più delle 600-900 parole prescritte, e la ragione è dichiarata. Su questa condizione la leva con le prove migliori sta qui e non nel capitolo delle mani, e gli strumenti da qualificare sono quattro più uno che non eroghi tu (deviazione D-065).</w:t>
      </w:r>
    </w:p>
    <w:bookmarkStart w:id="70" w:name="X890498da2c4f38ab3fb991d9574170c1a6dae90"/>
    <w:p>
      <w:pPr>
        <w:pStyle w:val="Heading3"/>
      </w:pPr>
      <w:r>
        <w:t xml:space="preserve">1. L’esercizio specifico per il collo, guidato</w:t>
      </w:r>
    </w:p>
    <w:p>
      <w:pPr>
        <w:pStyle w:val="FirstParagraph"/>
      </w:pPr>
      <w:r>
        <w:rPr>
          <w:b/>
          <w:bCs/>
        </w:rPr>
        <w:t xml:space="preserve">Cos’è.</w:t>
      </w:r>
      <w:r>
        <w:t xml:space="preserve"> </w:t>
      </w:r>
      <w:r>
        <w:t xml:space="preserve">Un lavoro a basso carico sui muscoli profondi del collo — annuire senza sollevare la testa — con esercizi per la muscolatura scapolo-toracica,</w:t>
      </w:r>
      <w:r>
        <w:t xml:space="preserve"> </w:t>
      </w:r>
      <w:r>
        <w:rPr>
          <w:b/>
          <w:bCs/>
        </w:rPr>
        <w:t xml:space="preserve">seguito da un professionista</w:t>
      </w:r>
      <w:r>
        <w:t xml:space="preserve">. Non è ginnastica generica e non è una scheda consegnata: sono due condizioni, non una. È la differenza fra una ricetta lasciata sul tavolo e qualcuno che ti sta accanto ai fornelli.</w:t>
      </w:r>
    </w:p>
    <w:p>
      <w:pPr>
        <w:pStyle w:val="BodyText"/>
      </w:pPr>
      <w:r>
        <w:rPr>
          <w:b/>
          <w:bCs/>
        </w:rPr>
        <w:t xml:space="preserve">Su quale meccanismo agisce.</w:t>
      </w:r>
      <w:r>
        <w:t xml:space="preserve"> </w:t>
      </w:r>
      <w:r>
        <w:t xml:space="preserve">Su due, e la doppia appartenenza è la parte che si perde più spesso. Sul</w:t>
      </w:r>
      <w:r>
        <w:t xml:space="preserve"> </w:t>
      </w:r>
      <w:r>
        <w:rPr>
          <w:b/>
          <w:bCs/>
        </w:rPr>
        <w:t xml:space="preserve">martinetto</w:t>
      </w:r>
      <w:r>
        <w:t xml:space="preserve"> </w:t>
      </w:r>
      <w:r>
        <w:t xml:space="preserve">— la difesa motoria — per il bersaglio muscolare. Sulla</w:t>
      </w:r>
      <w:r>
        <w:t xml:space="preserve"> </w:t>
      </w:r>
      <w:r>
        <w:rPr>
          <w:b/>
          <w:bCs/>
        </w:rPr>
        <w:t xml:space="preserve">spia accesa</w:t>
      </w:r>
      <w:r>
        <w:t xml:space="preserve"> </w:t>
      </w:r>
      <w:r>
        <w:t xml:space="preserve">— il livello di attivazione — per il canale che porta l’effetto, perché negli studi il braccio che perde è quello</w:t>
      </w:r>
      <w:r>
        <w:t xml:space="preserve"> </w:t>
      </w:r>
      <w:r>
        <w:rPr>
          <w:b/>
          <w:bCs/>
        </w:rPr>
        <w:t xml:space="preserve">non guidato</w:t>
      </w:r>
      <w:r>
        <w:t xml:space="preserve">, non quello meno specifico.</w:t>
      </w:r>
    </w:p>
    <w:p>
      <w:pPr>
        <w:pStyle w:val="BodyText"/>
      </w:pPr>
      <w:r>
        <w:rPr>
          <w:b/>
          <w:bCs/>
        </w:rPr>
        <w:t xml:space="preserve">Cosa hanno misurato gli studi.</w:t>
      </w:r>
      <w:r>
        <w:t xml:space="preserve"> </w:t>
      </w:r>
      <w:r>
        <w:t xml:space="preserve">Una meta-analisi di 11 studi randomizzati ha confrontato l’esercizio specifico</w:t>
      </w:r>
      <w:r>
        <w:t xml:space="preserve"> </w:t>
      </w:r>
      <w:r>
        <w:rPr>
          <w:b/>
          <w:bCs/>
        </w:rPr>
        <w:t xml:space="preserve">guidato</w:t>
      </w:r>
      <w:r>
        <w:t xml:space="preserve"> </w:t>
      </w:r>
      <w:r>
        <w:t xml:space="preserve">con un esercizio diverso o con lo stesso esercizio</w:t>
      </w:r>
      <w:r>
        <w:t xml:space="preserve"> </w:t>
      </w:r>
      <w:r>
        <w:rPr>
          <w:b/>
          <w:bCs/>
        </w:rPr>
        <w:t xml:space="preserve">non guidato</w:t>
      </w:r>
      <w:r>
        <w:t xml:space="preserve">. Risultato: riduzione maggiore del dolore (differenza media standardizzata −0,25) e della disabilità (−0,35), cioè effetti piccoli per convenzione, e solo su tempi brevi. I risultati positivi comparivano soprattutto con interventi oltre le sei settimane e almeno due sedute settimanali, e gli autori attribuiscono il vantaggio del guidato a motivazione e</w:t>
      </w:r>
      <w:r>
        <w:t xml:space="preserve"> </w:t>
      </w:r>
      <w:r>
        <w:rPr>
          <w:b/>
          <w:bCs/>
        </w:rPr>
        <w:t xml:space="preserve">aderenza</w:t>
      </w:r>
      <w:r>
        <w:t xml:space="preserve"> </w:t>
      </w:r>
      <w:r>
        <w:t xml:space="preserve">(Muñoz Lazcano,</w:t>
      </w:r>
      <w:r>
        <w:t xml:space="preserve"> </w:t>
      </w:r>
      <w:r>
        <w:rPr>
          <w:i/>
          <w:iCs/>
        </w:rPr>
        <w:t xml:space="preserve">Am J Phys Med Rehabil</w:t>
      </w:r>
      <w:r>
        <w:t xml:space="preserve"> </w:t>
      </w:r>
      <w:r>
        <w:t xml:space="preserve">2024, PMID 38466196).</w:t>
      </w:r>
    </w:p>
    <w:p>
      <w:pPr>
        <w:pStyle w:val="BodyText"/>
      </w:pPr>
      <w:r>
        <w:t xml:space="preserve">La coorte viene da uno studio randomizzato multicentrico su 216 pazienti cronici, con valutatore in cieco (Ludvigsson,</w:t>
      </w:r>
      <w:r>
        <w:t xml:space="preserve"> </w:t>
      </w:r>
      <w:r>
        <w:rPr>
          <w:i/>
          <w:iCs/>
        </w:rPr>
        <w:t xml:space="preserve">Clin J Pain</w:t>
      </w:r>
      <w:r>
        <w:t xml:space="preserve"> </w:t>
      </w:r>
      <w:r>
        <w:t xml:space="preserve">2015, PMID 24918474). Un’analisi secondaria su 202 pazienti ha trovato che chi era nel gruppo</w:t>
      </w:r>
      <w:r>
        <w:t xml:space="preserve"> </w:t>
      </w:r>
      <w:r>
        <w:rPr>
          <w:b/>
          <w:bCs/>
        </w:rPr>
        <w:t xml:space="preserve">seguito dal fisioterapista</w:t>
      </w:r>
      <w:r>
        <w:t xml:space="preserve"> </w:t>
      </w:r>
      <w:r>
        <w:t xml:space="preserve">aveva fino a 5,3 volte le probabilità di ridurre la disabilità, rispetto a chi riceveva la sola prescrizione di attività fisica. «Fino a» è l’estremo alto di un intervallo, e il confronto è con un braccio senza supervisione (Ludvigsson,</w:t>
      </w:r>
      <w:r>
        <w:t xml:space="preserve"> </w:t>
      </w:r>
      <w:r>
        <w:rPr>
          <w:i/>
          <w:iCs/>
        </w:rPr>
        <w:t xml:space="preserve">Eur J Pain</w:t>
      </w:r>
      <w:r>
        <w:t xml:space="preserve"> </w:t>
      </w:r>
      <w:r>
        <w:t xml:space="preserve">2016, PMID 26031995).</w:t>
      </w:r>
    </w:p>
    <w:p>
      <w:pPr>
        <w:pStyle w:val="BodyText"/>
      </w:pPr>
      <w:r>
        <w:rPr>
          <w:b/>
          <w:bCs/>
        </w:rPr>
        <w:t xml:space="preserve">Quanto dura.</w:t>
      </w:r>
      <w:r>
        <w:t xml:space="preserve"> </w:t>
      </w:r>
      <w:r>
        <w:t xml:space="preserve">È la voce che spiega le ricadute, e mancava. Su 216 pazienti, i gruppi di esercizio specifico mantenevano più miglioramento sulla disabilità</w:t>
      </w:r>
      <w:r>
        <w:t xml:space="preserve"> </w:t>
      </w:r>
      <w:r>
        <w:rPr>
          <w:b/>
          <w:bCs/>
        </w:rPr>
        <w:t xml:space="preserve">a uno e a due anni</w:t>
      </w:r>
      <w:r>
        <w:t xml:space="preserve">. A un anno il 61% riferiva almeno il 50% di riduzione del dolore, contro il 26% del gruppo attività fisica; la differenza non era più significativa a due anni (Landén Ludvigsson,</w:t>
      </w:r>
      <w:r>
        <w:t xml:space="preserve"> </w:t>
      </w:r>
      <w:r>
        <w:rPr>
          <w:i/>
          <w:iCs/>
        </w:rPr>
        <w:t xml:space="preserve">J Rehabil Med</w:t>
      </w:r>
      <w:r>
        <w:t xml:space="preserve"> </w:t>
      </w:r>
      <w:r>
        <w:t xml:space="preserve">2016, PMID 26660722). La disabilità tiene a due anni, il dolore si assottiglia dopo il primo.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l’esercizio specifico</w:t>
      </w:r>
      <w:r>
        <w:t xml:space="preserve"> </w:t>
      </w:r>
      <w:r>
        <w:rPr>
          <w:b/>
          <w:bCs/>
        </w:rPr>
        <w:t xml:space="preserve">guidato</w:t>
      </w:r>
      <w:r>
        <w:t xml:space="preserve"> </w:t>
      </w:r>
      <w:r>
        <w:t xml:space="preserve">superi quello</w:t>
      </w:r>
      <w:r>
        <w:t xml:space="preserve"> </w:t>
      </w:r>
      <w:r>
        <w:rPr>
          <w:b/>
          <w:bCs/>
        </w:rPr>
        <w:t xml:space="preserve">non guidato o generico</w:t>
      </w:r>
      <w:r>
        <w:t xml:space="preserve"> </w:t>
      </w:r>
      <w:r>
        <w:t xml:space="preserve">su dolore e disabilità nel colpo di frusta cronico, con effetti di dimensione piccola sui tempi brevi che restano sotto le differenze minime clinicamente rilevanti abitualmente citate, e con la tenuta a uno-due anni misurata sulla disabilità.</w:t>
      </w:r>
    </w:p>
    <w:p>
      <w:pPr>
        <w:pStyle w:val="FirstParagraph"/>
      </w:pPr>
      <w:r>
        <w:rPr>
          <w:b/>
          <w:bCs/>
        </w:rPr>
        <w:t xml:space="preserve">Cosa NON fa.</w:t>
      </w:r>
      <w:r>
        <w:t xml:space="preserve"> </w:t>
      </w:r>
      <w:r>
        <w:t xml:space="preserve">Non riporta la composizione del muscolo a quella di prima. Non funziona nella forma «tre esercizi spiegati a voce»: l’effetto misurato è quello di un programma seguito per settimane, e la variabile che lo spiega è l’</w:t>
      </w:r>
      <w:r>
        <w:rPr>
          <w:b/>
          <w:bCs/>
        </w:rPr>
        <w:t xml:space="preserve">aderenza</w:t>
      </w:r>
      <w:r>
        <w:t xml:space="preserve">. Che da sola però non basta: alzarla con promemoria giornalieri ha migliorato aderenza e catastrofismo senza cambiare dolore, disabilità e recupero percepito (Barun,</w:t>
      </w:r>
      <w:r>
        <w:t xml:space="preserve"> </w:t>
      </w:r>
      <w:r>
        <w:rPr>
          <w:i/>
          <w:iCs/>
        </w:rPr>
        <w:t xml:space="preserve">Diagnostics</w:t>
      </w:r>
      <w:r>
        <w:t xml:space="preserve"> </w:t>
      </w:r>
      <w:r>
        <w:t xml:space="preserve">2024, PMID 39682637). E non batte un consiglio ben dato: ciò che gli studi separano è</w:t>
      </w:r>
      <w:r>
        <w:t xml:space="preserve"> </w:t>
      </w:r>
      <w:r>
        <w:rPr>
          <w:i/>
          <w:iCs/>
        </w:rPr>
        <w:t xml:space="preserve">guidato contro non guidato</w:t>
      </w:r>
      <w:r>
        <w:t xml:space="preserve">, non</w:t>
      </w:r>
      <w:r>
        <w:t xml:space="preserve"> </w:t>
      </w:r>
      <w:r>
        <w:rPr>
          <w:i/>
          <w:iCs/>
        </w:rPr>
        <w:t xml:space="preserve">molto contro poco</w:t>
      </w:r>
      <w:r>
        <w:t xml:space="preserve"> </w:t>
      </w:r>
      <w:r>
        <w:t xml:space="preserve">(Michaleff, 2014, PMID 24703832).</w:t>
      </w:r>
    </w:p>
    <w:bookmarkEnd w:id="70"/>
    <w:bookmarkStart w:id="71" w:name="Xdf5b7fb5607ff71223cfa9291af897757e16e9f"/>
    <w:p>
      <w:pPr>
        <w:pStyle w:val="Heading3"/>
      </w:pPr>
      <w:r>
        <w:t xml:space="preserve">2. Il riallenamento del senso di posizione e dello sguardo</w:t>
      </w:r>
    </w:p>
    <w:p>
      <w:pPr>
        <w:pStyle w:val="FirstParagraph"/>
      </w:pPr>
      <w:r>
        <w:rPr>
          <w:b/>
          <w:bCs/>
        </w:rPr>
        <w:t xml:space="preserve">Cos’è.</w:t>
      </w:r>
      <w:r>
        <w:t xml:space="preserve"> </w:t>
      </w:r>
      <w:r>
        <w:t xml:space="preserve">Riposizionamento della testa a occhi chiusi e coordinazione fra occhi e collo. È lo strumento che mancava, ed è l’unico che copre il meccanismo su cui le mani non arrivano:</w:t>
      </w:r>
      <w:r>
        <w:t xml:space="preserve"> </w:t>
      </w:r>
      <w:r>
        <w:rPr>
          <w:b/>
          <w:bCs/>
        </w:rPr>
        <w:t xml:space="preserve">la bolla della livella</w:t>
      </w:r>
      <w:r>
        <w:t xml:space="preserve">, il senso di posizione.</w:t>
      </w:r>
    </w:p>
    <w:p>
      <w:pPr>
        <w:pStyle w:val="BodyText"/>
      </w:pPr>
      <w:r>
        <w:rPr>
          <w:b/>
          <w:bCs/>
        </w:rPr>
        <w:t xml:space="preserve">Cosa hanno misurato gli studi.</w:t>
      </w:r>
      <w:r>
        <w:t xml:space="preserve"> </w:t>
      </w:r>
      <w:r>
        <w:t xml:space="preserve">Su 60 pazienti con dolore cervicale, un programma centrato sull’accoppiamento occhio-testa ha ridotto l’errore di riposizionamento più del controllo (Revel,</w:t>
      </w:r>
      <w:r>
        <w:t xml:space="preserve"> </w:t>
      </w:r>
      <w:r>
        <w:rPr>
          <w:i/>
          <w:iCs/>
        </w:rPr>
        <w:t xml:space="preserve">Arch Phys Med Rehabil</w:t>
      </w:r>
      <w:r>
        <w:t xml:space="preserve"> </w:t>
      </w:r>
      <w:r>
        <w:t xml:space="preserve">1994, PMID 8053797). Su 140 pazienti cronici con vertigini, l’esercizio specifico</w:t>
      </w:r>
      <w:r>
        <w:t xml:space="preserve"> </w:t>
      </w:r>
      <w:r>
        <w:rPr>
          <w:b/>
          <w:bCs/>
        </w:rPr>
        <w:t xml:space="preserve">con approccio comportamentale</w:t>
      </w:r>
      <w:r>
        <w:t xml:space="preserve"> </w:t>
      </w:r>
      <w:r>
        <w:t xml:space="preserve">ha ridotto la vertigine durante l’attività più della prescrizione di attività fisica (Treleaven,</w:t>
      </w:r>
      <w:r>
        <w:t xml:space="preserve"> </w:t>
      </w:r>
      <w:r>
        <w:rPr>
          <w:i/>
          <w:iCs/>
        </w:rPr>
        <w:t xml:space="preserve">Man Ther</w:t>
      </w:r>
      <w:r>
        <w:t xml:space="preserve"> </w:t>
      </w:r>
      <w:r>
        <w:t xml:space="preserve">2016, PMID 26678652). Un lavoro successivo ha migliorato l’indice di disabilità da vertigine (Peolsson, 2024, PMID 39374216).</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riallenamento sensomotorio riduca errore di riposizionamento e vertigine nel colpo di frusta cronico. È riallenamento, non tocco: la mano crea la condizione, la ripetizione produce il cambiamento.</w:t>
      </w:r>
    </w:p>
    <w:p>
      <w:pPr>
        <w:pStyle w:val="FirstParagraph"/>
      </w:pPr>
      <w:r>
        <w:rPr>
          <w:b/>
          <w:bCs/>
        </w:rPr>
        <w:t xml:space="preserve">Cosa NON fa.</w:t>
      </w:r>
      <w:r>
        <w:t xml:space="preserve"> </w:t>
      </w:r>
      <w:r>
        <w:t xml:space="preserve">Non risolve tutti — negli studi una quota rilevante resta sintomatica — e non si misura sul dolore: il marker è l’errore di riposizionamento.</w:t>
      </w:r>
    </w:p>
    <w:bookmarkEnd w:id="71"/>
    <w:bookmarkStart w:id="72" w:name="linformazione-e-laspettativa"/>
    <w:p>
      <w:pPr>
        <w:pStyle w:val="Heading3"/>
      </w:pPr>
      <w:r>
        <w:t xml:space="preserve">3. L’informazione e l’aspettativa</w:t>
      </w:r>
    </w:p>
    <w:p>
      <w:pPr>
        <w:pStyle w:val="FirstParagraph"/>
      </w:pPr>
      <w:r>
        <w:rPr>
          <w:b/>
          <w:bCs/>
        </w:rPr>
        <w:t xml:space="preserve">Cos’è, e su quale meccanismo agisce.</w:t>
      </w:r>
      <w:r>
        <w:t xml:space="preserve"> </w:t>
      </w:r>
      <w:r>
        <w:t xml:space="preserve">È quello che il paziente sa e crede: cosa dice davvero una lastra negativa, perché i sintomi sono comparsi il giorno dopo, cosa aspettarsi, e che il movimento non sta danneggiando niente. Agisce sulla</w:t>
      </w:r>
      <w:r>
        <w:t xml:space="preserve"> </w:t>
      </w:r>
      <w:r>
        <w:rPr>
          <w:b/>
          <w:bCs/>
        </w:rPr>
        <w:t xml:space="preserve">spia accesa</w:t>
      </w:r>
      <w:r>
        <w:t xml:space="preserve"> </w:t>
      </w:r>
      <w:r>
        <w:t xml:space="preserve">— il livello di attivazione — e, attraverso quella, sulla</w:t>
      </w:r>
      <w:r>
        <w:t xml:space="preserve"> </w:t>
      </w:r>
      <w:r>
        <w:rPr>
          <w:b/>
          <w:bCs/>
        </w:rPr>
        <w:t xml:space="preserve">mano screpolata</w:t>
      </w:r>
      <w:r>
        <w:t xml:space="preserve">.</w:t>
      </w:r>
    </w:p>
    <w:p>
      <w:pPr>
        <w:pStyle w:val="BodyText"/>
      </w:pPr>
      <w:r>
        <w:rPr>
          <w:b/>
          <w:bCs/>
        </w:rPr>
        <w:t xml:space="preserve">Cosa hanno misurato gli studi.</w:t>
      </w:r>
      <w:r>
        <w:t xml:space="preserve"> </w:t>
      </w:r>
      <w:r>
        <w:t xml:space="preserve">Su 6.015 adulti, chi si aspettava di guarire presto ha recuperato più in fretta (Carroll,</w:t>
      </w:r>
      <w:r>
        <w:t xml:space="preserve"> </w:t>
      </w:r>
      <w:r>
        <w:rPr>
          <w:i/>
          <w:iCs/>
        </w:rPr>
        <w:t xml:space="preserve">J Rheumatol</w:t>
      </w:r>
      <w:r>
        <w:t xml:space="preserve"> </w:t>
      </w:r>
      <w:r>
        <w:t xml:space="preserve">2009, PMID 19228657). La linea guida raccomanda l’educazione strutturata</w:t>
      </w:r>
      <w:r>
        <w:t xml:space="preserve"> </w:t>
      </w:r>
      <w:r>
        <w:rPr>
          <w:b/>
          <w:bCs/>
        </w:rPr>
        <w:t xml:space="preserve">insieme</w:t>
      </w:r>
      <w:r>
        <w:t xml:space="preserve"> </w:t>
      </w:r>
      <w:r>
        <w:t xml:space="preserve">all’esercizio, e sconsiglia l’educazione da sola e il collare (Côté,</w:t>
      </w:r>
      <w:r>
        <w:t xml:space="preserve"> </w:t>
      </w:r>
      <w:r>
        <w:rPr>
          <w:i/>
          <w:iCs/>
        </w:rPr>
        <w:t xml:space="preserve">Eur Spine J</w:t>
      </w:r>
      <w:r>
        <w:t xml:space="preserve"> </w:t>
      </w:r>
      <w:r>
        <w:t xml:space="preserve">2016, PMID 26984876). Ma quella combinazione è stata poi testata direttamente, su questa condizione: sei trial, 386 pazienti, e</w:t>
      </w:r>
      <w:r>
        <w:t xml:space="preserve"> </w:t>
      </w:r>
      <w:r>
        <w:rPr>
          <w:b/>
          <w:bCs/>
        </w:rPr>
        <w:t xml:space="preserve">nessuna differenza clinicamente importante</w:t>
      </w:r>
      <w:r>
        <w:t xml:space="preserve"> </w:t>
      </w:r>
      <w:r>
        <w:t xml:space="preserve">fra esercizio più informazione ed esercizio da solo, né sul dolore né sulla disabilità, con certezza delle prove molto bassa (Muñoz-Bustos,</w:t>
      </w:r>
      <w:r>
        <w:t xml:space="preserve"> </w:t>
      </w:r>
      <w:r>
        <w:rPr>
          <w:i/>
          <w:iCs/>
        </w:rPr>
        <w:t xml:space="preserve">J Man Manip Ther</w:t>
      </w:r>
      <w:r>
        <w:t xml:space="preserve"> </w:t>
      </w:r>
      <w:r>
        <w:t xml:space="preserve">2025, PMID 40134097).</w:t>
      </w:r>
    </w:p>
    <w:p>
      <w:pPr>
        <w:pStyle w:val="BlockText"/>
      </w:pPr>
      <w:r>
        <w:rPr>
          <w:b/>
          <w:bCs/>
        </w:rPr>
        <w:t xml:space="preserve">Quanto è solido:</w:t>
      </w:r>
      <w:r>
        <w:t xml:space="preserve"> </w:t>
      </w:r>
      <w:r>
        <w:t xml:space="preserve">l’etichetta si spezza, perché le affermazioni sono tre e non una.</w:t>
      </w:r>
      <w:r>
        <w:t xml:space="preserve"> </w:t>
      </w:r>
      <w:r>
        <w:rPr>
          <w:b/>
          <w:bCs/>
        </w:rPr>
        <w:t xml:space="preserve">DIMOSTRATO</w:t>
      </w:r>
      <w:r>
        <w:t xml:space="preserve"> </w:t>
      </w:r>
      <w:r>
        <w:rPr>
          <w:i/>
          <w:iCs/>
        </w:rPr>
        <w:t xml:space="preserve">(studi sull’uomo, solidi)</w:t>
      </w:r>
      <w:r>
        <w:t xml:space="preserve"> </w:t>
      </w:r>
      <w:r>
        <w:t xml:space="preserve">che l’aspettativa</w:t>
      </w:r>
      <w:r>
        <w:t xml:space="preserve"> </w:t>
      </w:r>
      <w:r>
        <w:rPr>
          <w:b/>
          <w:bCs/>
        </w:rPr>
        <w:t xml:space="preserve">predica</w:t>
      </w:r>
      <w:r>
        <w:t xml:space="preserve"> </w:t>
      </w:r>
      <w:r>
        <w:t xml:space="preserve">il recupero.</w:t>
      </w:r>
      <w:r>
        <w:t xml:space="preserve"> </w:t>
      </w:r>
      <w:r>
        <w:rPr>
          <w:b/>
          <w:bCs/>
        </w:rPr>
        <w:t xml:space="preserve">IPOTESI</w:t>
      </w:r>
      <w:r>
        <w:t xml:space="preserve"> </w:t>
      </w:r>
      <w:r>
        <w:rPr>
          <w:i/>
          <w:iCs/>
        </w:rPr>
        <w:t xml:space="preserve">(meccanismo coerente, prove contrarie)</w:t>
      </w:r>
      <w:r>
        <w:t xml:space="preserve"> </w:t>
      </w:r>
      <w:r>
        <w:t xml:space="preserve">che aggiungere l’informazione all’esercizio produca un vantaggio clinicamente rilevante: qualcuno l’ha misurato su questa condizione e non l’ha trovato.</w:t>
      </w:r>
      <w:r>
        <w:t xml:space="preserve"> </w:t>
      </w:r>
      <w:r>
        <w:rPr>
          <w:b/>
          <w:bCs/>
        </w:rPr>
        <w:t xml:space="preserve">PROBABILE</w:t>
      </w:r>
      <w:r>
        <w:t xml:space="preserve"> </w:t>
      </w:r>
      <w:r>
        <w:rPr>
          <w:i/>
          <w:iCs/>
        </w:rPr>
        <w:t xml:space="preserve">(razionale forte, prove parziali)</w:t>
      </w:r>
      <w:r>
        <w:t xml:space="preserve"> </w:t>
      </w:r>
      <w:r>
        <w:t xml:space="preserve">che lavorare su stress e aspettativa dentro un programma strutturato cambi l’esito, con il salto di erogatore dichiarato.</w:t>
      </w:r>
      <w:r>
        <w:t xml:space="preserve"> </w:t>
      </w:r>
      <w:r>
        <w:t xml:space="preserve">Che l’aspettativa predica il recupero è dimostrato; che modificarla lo cambi è quello che quella meta-analisi non trova. Sono due affermazioni diverse, e DIMOSTRATO ne regge solo una.</w:t>
      </w:r>
    </w:p>
    <w:p>
      <w:pPr>
        <w:pStyle w:val="FirstParagraph"/>
      </w:pPr>
      <w:r>
        <w:rPr>
          <w:b/>
          <w:bCs/>
        </w:rPr>
        <w:t xml:space="preserve">Cosa NON fa.</w:t>
      </w:r>
      <w:r>
        <w:t xml:space="preserve"> </w:t>
      </w:r>
      <w:r>
        <w:t xml:space="preserve">Non produce un vantaggio misurabile per il solo fatto di affiancare l’esercizio: la meta-analisi che ha fatto quel confronto non lo trova. Come intervento isolato la linea guida la sconsiglia. E non è rassicurazione generica: dire «non è niente» produce l’effetto opposto in un paziente che sente male.</w:t>
      </w:r>
    </w:p>
    <w:bookmarkEnd w:id="72"/>
    <w:bookmarkStart w:id="73" w:name="il-ritorno-graduale-alle-attività"/>
    <w:p>
      <w:pPr>
        <w:pStyle w:val="Heading3"/>
      </w:pPr>
      <w:r>
        <w:t xml:space="preserve">4. Il ritorno graduale alle attività</w:t>
      </w:r>
    </w:p>
    <w:p>
      <w:pPr>
        <w:pStyle w:val="FirstParagraph"/>
      </w:pPr>
      <w:r>
        <w:rPr>
          <w:b/>
          <w:bCs/>
        </w:rPr>
        <w:t xml:space="preserve">Cos’è, e su quale meccanismo agisce.</w:t>
      </w:r>
      <w:r>
        <w:t xml:space="preserve"> </w:t>
      </w:r>
      <w:r>
        <w:t xml:space="preserve">Riprendere progressivamente le attività sospese, invece di attendere che il sintomo sparisca. Agisce sul</w:t>
      </w:r>
      <w:r>
        <w:t xml:space="preserve"> </w:t>
      </w:r>
      <w:r>
        <w:rPr>
          <w:b/>
          <w:bCs/>
        </w:rPr>
        <w:t xml:space="preserve">martinetto</w:t>
      </w:r>
      <w:r>
        <w:t xml:space="preserve"> </w:t>
      </w:r>
      <w:r>
        <w:t xml:space="preserve">e sulla</w:t>
      </w:r>
      <w:r>
        <w:t xml:space="preserve"> </w:t>
      </w:r>
      <w:r>
        <w:rPr>
          <w:b/>
          <w:bCs/>
        </w:rPr>
        <w:t xml:space="preserve">spia accesa</w:t>
      </w:r>
      <w:r>
        <w:t xml:space="preserve">: il movimento restituisce carico e informazione, l’esposizione riduce l’evitamento. E, con una cautela, sulla</w:t>
      </w:r>
      <w:r>
        <w:t xml:space="preserve"> </w:t>
      </w:r>
      <w:r>
        <w:rPr>
          <w:b/>
          <w:bCs/>
        </w:rPr>
        <w:t xml:space="preserve">mano screpolata</w:t>
      </w:r>
      <w:r>
        <w:t xml:space="preserve">: lì il movimento può abbassare la soglia invece di alzarla, e il peggioramento è un reperto atteso, non una colpa del paziente (Capitolo 6).</w:t>
      </w:r>
    </w:p>
    <w:p>
      <w:pPr>
        <w:pStyle w:val="BodyText"/>
      </w:pPr>
      <w:r>
        <w:rPr>
          <w:b/>
          <w:bCs/>
        </w:rPr>
        <w:t xml:space="preserve">Cosa hanno misurato gli studi.</w:t>
      </w:r>
      <w:r>
        <w:t xml:space="preserve"> </w:t>
      </w:r>
      <w:r>
        <w:t xml:space="preserve">458 pazienti randomizzati entro dieci giorni a collare rigido, «vita normale» o mobilizzazione attiva: a un anno nessuna differenza (Kongsted,</w:t>
      </w:r>
      <w:r>
        <w:t xml:space="preserve"> </w:t>
      </w:r>
      <w:r>
        <w:rPr>
          <w:i/>
          <w:iCs/>
        </w:rPr>
        <w:t xml:space="preserve">Spine</w:t>
      </w:r>
      <w:r>
        <w:t xml:space="preserve"> </w:t>
      </w:r>
      <w:r>
        <w:t xml:space="preserve">2007, PMID 17413465). Nel cronico, esercizio più consiglio ha battuto il solo consiglio a sei settimane di 1,1 punti su dieci — sotto la soglia di rilevanza clinica abituale — e la differenza non c’era più a dodici mesi (Stewart,</w:t>
      </w:r>
      <w:r>
        <w:t xml:space="preserve"> </w:t>
      </w:r>
      <w:r>
        <w:rPr>
          <w:i/>
          <w:iCs/>
        </w:rPr>
        <w:t xml:space="preserve">Pain</w:t>
      </w:r>
      <w:r>
        <w:t xml:space="preserve"> </w:t>
      </w:r>
      <w:r>
        <w:t xml:space="preserve">2007, PMID 17029788).</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l’immobilizzazione prolungata non porti vantaggi rispetto al movimento.</w:t>
      </w:r>
      <w:r>
        <w:t xml:space="preserve"> </w:t>
      </w:r>
      <w:r>
        <w:rPr>
          <w:b/>
          <w:bCs/>
        </w:rPr>
        <w:t xml:space="preserve">PROBABILE</w:t>
      </w:r>
      <w:r>
        <w:t xml:space="preserve"> </w:t>
      </w:r>
      <w:r>
        <w:rPr>
          <w:i/>
          <w:iCs/>
        </w:rPr>
        <w:t xml:space="preserve">(razionale forte, prove parziali)</w:t>
      </w:r>
      <w:r>
        <w:t xml:space="preserve"> </w:t>
      </w:r>
      <w:r>
        <w:t xml:space="preserve">che l’esposizione graduata acceleri il recupero: il vantaggio misurato è a breve termine, piccolo, e non si mantiene a un anno.</w:t>
      </w:r>
      <w:r>
        <w:t xml:space="preserve"> </w:t>
      </w:r>
      <w:r>
        <w:rPr>
          <w:b/>
          <w:bCs/>
        </w:rPr>
        <w:t xml:space="preserve">RAGIONAMENTO</w:t>
      </w:r>
      <w:r>
        <w:t xml:space="preserve"> </w:t>
      </w:r>
      <w:r>
        <w:rPr>
          <w:i/>
          <w:iCs/>
        </w:rPr>
        <w:t xml:space="preserve">(cornice clinica, non una prova)</w:t>
      </w:r>
      <w:r>
        <w:t xml:space="preserve"> </w:t>
      </w:r>
      <w:r>
        <w:t xml:space="preserve">per il</w:t>
      </w:r>
      <w:r>
        <w:t xml:space="preserve"> </w:t>
      </w:r>
      <w:r>
        <w:rPr>
          <w:b/>
          <w:bCs/>
        </w:rPr>
        <w:t xml:space="preserve">ritorno alla guida</w:t>
      </w:r>
      <w:r>
        <w:t xml:space="preserve">: nessuno dei due studi ha misurato la guida come esito, e non esistono studi sull’esposizione graduata alla guida in questa condizione. È ragionamento clinico sull’evitamento, e va detto così.</w:t>
      </w:r>
    </w:p>
    <w:p>
      <w:pPr>
        <w:pStyle w:val="FirstParagraph"/>
      </w:pPr>
      <w:r>
        <w:rPr>
          <w:b/>
          <w:bCs/>
        </w:rPr>
        <w:t xml:space="preserve">Cosa NON fa.</w:t>
      </w:r>
      <w:r>
        <w:t xml:space="preserve"> </w:t>
      </w:r>
      <w:r>
        <w:t xml:space="preserve">Non cambia il risultato a dodici mesi. E non copre la guida: quella valutazione spetta al medico, non a te (Capitolo 9).</w:t>
      </w:r>
    </w:p>
    <w:p>
      <w:pPr>
        <w:pStyle w:val="BodyText"/>
      </w:pPr>
      <w:r>
        <w:rPr>
          <w:b/>
          <w:bCs/>
        </w:rPr>
        <w:t xml:space="preserve">Un quinto strumento che non è tuo.</w:t>
      </w:r>
      <w:r>
        <w:t xml:space="preserve"> </w:t>
      </w:r>
      <w:r>
        <w:t xml:space="preserve">L’addestramento strutturato alla gestione dello stress agisce sulla</w:t>
      </w:r>
      <w:r>
        <w:t xml:space="preserve"> </w:t>
      </w:r>
      <w:r>
        <w:rPr>
          <w:b/>
          <w:bCs/>
        </w:rPr>
        <w:t xml:space="preserve">spia accesa</w:t>
      </w:r>
      <w:r>
        <w:t xml:space="preserve">, il livello di attivazione. Integrato con l’esercizio, ha migliorato la disabilità a dodici mesi di 10,1 punti su cento (Sterling, 2019, PMID 30661011). Il salto è di erogatore: lo erogavano fisioterapisti addestrati a quel protocollo. Devi sapere che esiste e attivare il canale.</w:t>
      </w:r>
    </w:p>
    <w:p>
      <w:pPr>
        <w:pStyle w:val="BodyText"/>
      </w:pPr>
      <w:r>
        <w:rPr>
          <w:i/>
          <w:iCs/>
        </w:rPr>
        <w:t xml:space="preserve">Come e quando consegnarlo al tuo paziente sta nella Procedura.</w:t>
      </w:r>
    </w:p>
    <w:p>
      <w:pPr>
        <w:pStyle w:val="BodyText"/>
      </w:pPr>
      <w:r>
        <w:rPr>
          <w:b/>
          <w:bCs/>
        </w:rPr>
        <w:t xml:space="preserve">Le tre cose da ricordare, più una</w:t>
      </w:r>
    </w:p>
    <w:p>
      <w:pPr>
        <w:pStyle w:val="Compact"/>
        <w:numPr>
          <w:ilvl w:val="0"/>
          <w:numId w:val="1039"/>
        </w:numPr>
      </w:pPr>
      <w:r>
        <w:t xml:space="preserve">Le parole che portano l’effetto sono due —</w:t>
      </w:r>
      <w:r>
        <w:t xml:space="preserve"> </w:t>
      </w:r>
      <w:r>
        <w:rPr>
          <w:i/>
          <w:iCs/>
        </w:rPr>
        <w:t xml:space="preserve">specifico</w:t>
      </w:r>
      <w:r>
        <w:t xml:space="preserve"> </w:t>
      </w:r>
      <w:r>
        <w:t xml:space="preserve">e</w:t>
      </w:r>
      <w:r>
        <w:t xml:space="preserve"> </w:t>
      </w:r>
      <w:r>
        <w:rPr>
          <w:i/>
          <w:iCs/>
        </w:rPr>
        <w:t xml:space="preserve">guidato</w:t>
      </w:r>
      <w:r>
        <w:t xml:space="preserve"> </w:t>
      </w:r>
      <w:r>
        <w:t xml:space="preserve">— e negli studi la seconda separa i bracci.</w:t>
      </w:r>
    </w:p>
    <w:p>
      <w:pPr>
        <w:pStyle w:val="Compact"/>
        <w:numPr>
          <w:ilvl w:val="0"/>
          <w:numId w:val="1039"/>
        </w:numPr>
      </w:pPr>
      <w:r>
        <w:t xml:space="preserve">L’informazione da sola la linea guida la sconsiglia, e attaccata all’esercizio non ha prodotto un vantaggio clinicamente rilevante dove è stata misurata: quello che regge è l’aspettativa come predittore, non come leva.</w:t>
      </w:r>
    </w:p>
    <w:p>
      <w:pPr>
        <w:pStyle w:val="Compact"/>
        <w:numPr>
          <w:ilvl w:val="0"/>
          <w:numId w:val="1039"/>
        </w:numPr>
      </w:pPr>
      <w:r>
        <w:t xml:space="preserve">Sulla disabilità il vantaggio tiene a due anni, sul dolore si assottiglia dopo il primo: dire quale dura rende credibile il resto.</w:t>
      </w:r>
    </w:p>
    <w:p>
      <w:pPr>
        <w:pStyle w:val="Compact"/>
        <w:numPr>
          <w:ilvl w:val="0"/>
          <w:numId w:val="1039"/>
        </w:numPr>
      </w:pPr>
      <w:r>
        <w:rPr>
          <w:b/>
          <w:bCs/>
        </w:rPr>
        <w:t xml:space="preserve">Perché ci sei tu.</w:t>
      </w:r>
      <w:r>
        <w:t xml:space="preserve"> </w:t>
      </w:r>
      <w:r>
        <w:t xml:space="preserve">Su 202 pazienti cronici, chi era</w:t>
      </w:r>
      <w:r>
        <w:t xml:space="preserve"> </w:t>
      </w:r>
      <w:r>
        <w:rPr>
          <w:b/>
          <w:bCs/>
        </w:rPr>
        <w:t xml:space="preserve">seguito</w:t>
      </w:r>
      <w:r>
        <w:t xml:space="preserve"> </w:t>
      </w:r>
      <w:r>
        <w:t xml:space="preserve">in un programma di esercizio specifico aveva fino a 5,3 volte le probabilità di ridurre la disabilità, rispetto a chi riceveva la sola prescrizione di attività fisica (Ludvigsson, 2016, PMID 26031995). Ti autorizza a insegnare e seguire l’esercizio specifico. Non a chiamare «guidato» una scheda consegnata.</w:t>
      </w:r>
    </w:p>
    <w:p>
      <w:r>
        <w:pict>
          <v:rect style="width:0;height:1.5pt" o:hralign="center" o:hrstd="t" o:hr="t"/>
        </w:pict>
      </w:r>
    </w:p>
    <w:bookmarkEnd w:id="73"/>
    <w:bookmarkEnd w:id="74"/>
    <w:bookmarkStart w:id="79" w:name="capitolo-13-cosa-dire-al-paziente"/>
    <w:p>
      <w:pPr>
        <w:pStyle w:val="Heading2"/>
      </w:pPr>
      <w:r>
        <w:t xml:space="preserve">Capitolo 13 — Cosa dire al paziente</w:t>
      </w:r>
    </w:p>
    <w:p>
      <w:pPr>
        <w:pStyle w:val="BlockText"/>
      </w:pPr>
      <w:r>
        <w:rPr>
          <w:b/>
          <w:bCs/>
        </w:rPr>
        <w:t xml:space="preserve">In una riga:</w:t>
      </w:r>
      <w:r>
        <w:t xml:space="preserve"> </w:t>
      </w:r>
      <w:r>
        <w:t xml:space="preserve">su questa condizione le parole sono un fattore prognostico misurato, e conviene sceglierle prima di entrare in stanza.</w:t>
      </w:r>
    </w:p>
    <w:bookmarkStart w:id="75" w:name="lo-script-di-spiegazione"/>
    <w:p>
      <w:pPr>
        <w:pStyle w:val="Heading3"/>
      </w:pPr>
      <w:r>
        <w:t xml:space="preserve">Lo script di spiegazione</w:t>
      </w:r>
    </w:p>
    <w:p>
      <w:pPr>
        <w:pStyle w:val="FirstParagraph"/>
      </w:pPr>
      <w:r>
        <w:rPr>
          <w:i/>
          <w:iCs/>
        </w:rPr>
        <w:t xml:space="preserve">«Nell’urto il collo si è mosso più in fretta di quanto potesse controllare. È come una crepa dietro l’intonaco: il muro è lesionato, l’intonaco è intatto, e la foto riprende solo l’intonaco. La lastra vede le ossa rotte, e ossa rotte non ce ne sono: è una buona notizia, e non è una spiegazione. Quello che è cambiato è come il collo lavora — quanto gira, quali muscoli fanno il lavoro. Lo misuro con dei numeri, e lo rimisuro alla fine. Sul suo collo si può lavorare, e la parte più importante la farà lei, con me che la seguo.»</w:t>
      </w:r>
    </w:p>
    <w:bookmarkEnd w:id="75"/>
    <w:bookmarkStart w:id="76" w:name="Xe25051bdc9f579936d11011291efc056e21ed36"/>
    <w:p>
      <w:pPr>
        <w:pStyle w:val="Heading3"/>
      </w:pPr>
      <w:r>
        <w:t xml:space="preserve">Cosa deve farla tornare, e cosa deve mandarla al pronto soccorso</w:t>
      </w:r>
    </w:p>
    <w:p>
      <w:pPr>
        <w:pStyle w:val="FirstParagraph"/>
      </w:pPr>
      <w:r>
        <w:t xml:space="preserve">Questo blocco è l’unico del documento che il paziente si porta a casa, e finora non c’era. Va detto a voce e consegnato scritto, in quattro righe.</w:t>
      </w:r>
    </w:p>
    <w:p>
      <w:pPr>
        <w:pStyle w:val="BodyText"/>
      </w:pPr>
      <w:r>
        <w:rPr>
          <w:i/>
          <w:iCs/>
        </w:rPr>
        <w:t xml:space="preserve">«Se le succede una di queste cose, non aspetti la prossima seduta e vada al pronto soccorso.»</w:t>
      </w:r>
    </w:p>
    <w:p>
      <w:pPr>
        <w:pStyle w:val="Compact"/>
        <w:numPr>
          <w:ilvl w:val="0"/>
          <w:numId w:val="1040"/>
        </w:numPr>
      </w:pPr>
      <w:r>
        <w:t xml:space="preserve">Un dolore al collo o alla nuca</w:t>
      </w:r>
      <w:r>
        <w:t xml:space="preserve"> </w:t>
      </w:r>
      <w:r>
        <w:rPr>
          <w:b/>
          <w:bCs/>
        </w:rPr>
        <w:t xml:space="preserve">nuovo, improvviso e diverso</w:t>
      </w:r>
      <w:r>
        <w:t xml:space="preserve"> </w:t>
      </w:r>
      <w:r>
        <w:t xml:space="preserve">da quello di adesso.</w:t>
      </w:r>
    </w:p>
    <w:p>
      <w:pPr>
        <w:pStyle w:val="Compact"/>
        <w:numPr>
          <w:ilvl w:val="0"/>
          <w:numId w:val="1040"/>
        </w:numPr>
      </w:pPr>
      <w:r>
        <w:t xml:space="preserve">Una</w:t>
      </w:r>
      <w:r>
        <w:t xml:space="preserve"> </w:t>
      </w:r>
      <w:r>
        <w:rPr>
          <w:b/>
          <w:bCs/>
        </w:rPr>
        <w:t xml:space="preserve">palpebra che cade</w:t>
      </w:r>
      <w:r>
        <w:t xml:space="preserve"> </w:t>
      </w:r>
      <w:r>
        <w:t xml:space="preserve">o una</w:t>
      </w:r>
      <w:r>
        <w:t xml:space="preserve"> </w:t>
      </w:r>
      <w:r>
        <w:rPr>
          <w:b/>
          <w:bCs/>
        </w:rPr>
        <w:t xml:space="preserve">pupilla più piccola</w:t>
      </w:r>
      <w:r>
        <w:t xml:space="preserve"> </w:t>
      </w:r>
      <w:r>
        <w:t xml:space="preserve">dell’altra.</w:t>
      </w:r>
    </w:p>
    <w:p>
      <w:pPr>
        <w:pStyle w:val="Compact"/>
        <w:numPr>
          <w:ilvl w:val="0"/>
          <w:numId w:val="1040"/>
        </w:numPr>
      </w:pPr>
      <w:r>
        <w:rPr>
          <w:b/>
          <w:bCs/>
        </w:rPr>
        <w:t xml:space="preserve">Visione doppia, parola impastata, instabilità nuova, mani improvvisamente goffe, o una scossa lungo la schiena quando piega il collo.</w:t>
      </w:r>
    </w:p>
    <w:p>
      <w:pPr>
        <w:pStyle w:val="Compact"/>
        <w:numPr>
          <w:ilvl w:val="0"/>
          <w:numId w:val="1040"/>
        </w:numPr>
      </w:pPr>
      <w:r>
        <w:rPr>
          <w:b/>
          <w:bCs/>
        </w:rPr>
        <w:t xml:space="preserve">Forza o sensibilità che cambiano</w:t>
      </w:r>
      <w:r>
        <w:t xml:space="preserve"> </w:t>
      </w:r>
      <w:r>
        <w:t xml:space="preserve">in un arto; oppure difficoltà a</w:t>
      </w:r>
      <w:r>
        <w:t xml:space="preserve"> </w:t>
      </w:r>
      <w:r>
        <w:rPr>
          <w:b/>
          <w:bCs/>
        </w:rPr>
        <w:t xml:space="preserve">deglutire</w:t>
      </w:r>
      <w:r>
        <w:t xml:space="preserve">, voce cambiata, gonfiore del collo.</w:t>
      </w:r>
    </w:p>
    <w:p>
      <w:pPr>
        <w:pStyle w:val="FirstParagraph"/>
      </w:pPr>
      <w:r>
        <w:rPr>
          <w:i/>
          <w:iCs/>
        </w:rPr>
        <w:t xml:space="preserve">«È raro, e non è quello che mi aspetto. Ma può comparire anche giorni dopo un trauma al collo, e in quel momento c’è lei, non io.»</w:t>
      </w:r>
    </w:p>
    <w:bookmarkEnd w:id="76"/>
    <w:bookmarkStart w:id="77" w:name="le-obiezioni-e-le-risposte-oneste"/>
    <w:p>
      <w:pPr>
        <w:pStyle w:val="Heading3"/>
      </w:pPr>
      <w:r>
        <w:t xml:space="preserve">Le obiezioni, e le risposte oneste</w:t>
      </w:r>
    </w:p>
    <w:p>
      <w:pPr>
        <w:pStyle w:val="FirstParagraph"/>
      </w:pPr>
      <w:r>
        <w:rPr>
          <w:b/>
          <w:bCs/>
        </w:rPr>
        <w:t xml:space="preserve">«Gli esami sono a posto: allora cos’ho?»</w:t>
      </w:r>
      <w:r>
        <w:t xml:space="preserve"> </w:t>
      </w:r>
      <w:r>
        <w:t xml:space="preserve">Quello che si misura è come funziona il collo, e quei numeri li prendiamo oggi. Il quadro va comunque inquadrato dal suo medico: io lavoro sulla parte meccanica che trovo, e intanto non aspetto.</w:t>
      </w:r>
    </w:p>
    <w:p>
      <w:pPr>
        <w:pStyle w:val="BodyText"/>
      </w:pPr>
      <w:r>
        <w:rPr>
          <w:b/>
          <w:bCs/>
        </w:rPr>
        <w:t xml:space="preserve">«L’incidente era una sciocchezza.»</w:t>
      </w:r>
      <w:r>
        <w:t xml:space="preserve"> </w:t>
      </w:r>
      <w:r>
        <w:t xml:space="preserve">Il collo non segue le regole del paraurti. Negli studi a predire il decorso non è la gravità dell’urto: sono le cose che si misurano su di lei nelle prime settimane. Non vuol dire che il suo caso sia grave: vuol dire che l’aspetto della macchina non ci serve.</w:t>
      </w:r>
    </w:p>
    <w:p>
      <w:pPr>
        <w:pStyle w:val="BodyText"/>
      </w:pPr>
      <w:r>
        <w:rPr>
          <w:b/>
          <w:bCs/>
        </w:rPr>
        <w:t xml:space="preserve">«Ho portato il collare e sto peggio.»</w:t>
      </w:r>
      <w:r>
        <w:t xml:space="preserve"> </w:t>
      </w:r>
      <w:r>
        <w:t xml:space="preserve">È coerente con gli studi: a un anno chi l’ha portato non sta né meglio né peggio di chi ha ripreso a muoversi subito, e la linea guida sconsiglia esplicitamente il collare. Ma gliel’ha prescritto un medico, e toglierlo lo decide lui: io scrivo al suo curante quello che ho trovato. Il lavoro nostro, intanto, è restituire il movimento perso, per gradi, misurando quanto torna.</w:t>
      </w:r>
    </w:p>
    <w:p>
      <w:pPr>
        <w:pStyle w:val="BodyText"/>
      </w:pPr>
      <w:r>
        <w:rPr>
          <w:b/>
          <w:bCs/>
        </w:rPr>
        <w:t xml:space="preserve">«Sono passati mesi: non è tardi?»</w:t>
      </w:r>
      <w:r>
        <w:t xml:space="preserve"> </w:t>
      </w:r>
      <w:r>
        <w:t xml:space="preserve">No: gli studi sull’esercizio specifico sono stati fatti proprio su persone con sintomi da mesi, e non tutti rispondono allo stesso modo. Le dico anche il limite: più tempo è passato, più il risultato dipende da quello che fa lei fra una seduta e l’altra. La prima visita serve a capire cosa è rimasto e a scegliere i due numeri su cui ci misuriamo.</w:t>
      </w:r>
    </w:p>
    <w:p>
      <w:pPr>
        <w:pStyle w:val="BodyText"/>
      </w:pPr>
      <w:r>
        <w:rPr>
          <w:b/>
          <w:bCs/>
        </w:rPr>
        <w:t xml:space="preserve">«Se il lavoro lo faccio io, lei a cosa serve?»</w:t>
      </w:r>
      <w:r>
        <w:t xml:space="preserve"> </w:t>
      </w:r>
      <w:r>
        <w:t xml:space="preserve">Negli studi il vantaggio non è dell’esercizio in sé: è dell’esercizio</w:t>
      </w:r>
      <w:r>
        <w:t xml:space="preserve"> </w:t>
      </w:r>
      <w:r>
        <w:rPr>
          <w:b/>
          <w:bCs/>
        </w:rPr>
        <w:t xml:space="preserve">seguito</w:t>
      </w:r>
      <w:r>
        <w:t xml:space="preserve">, rispetto allo stesso esercizio fatto da soli. Il mio lavoro è scegliere quale esercizio, correggerlo mentre lo fa, misurare se cambia qualcosa e cambiarlo quando non cambia — più la parte con le mani, che le apre lo spazio per farlo.</w:t>
      </w:r>
    </w:p>
    <w:bookmarkEnd w:id="77"/>
    <w:bookmarkStart w:id="78" w:name="cosa-non-promettere-mai"/>
    <w:p>
      <w:pPr>
        <w:pStyle w:val="Heading3"/>
      </w:pPr>
      <w:r>
        <w:t xml:space="preserve">Cosa non promettere mai</w:t>
      </w:r>
    </w:p>
    <w:p>
      <w:pPr>
        <w:pStyle w:val="FirstParagraph"/>
      </w:pPr>
      <w:r>
        <w:t xml:space="preserve">Non promettere che il dolore sparirà, e non promettere una durata. Non dire «non è niente di grave»: l’esclusione la fa il medico, e quella frase, detta a chi sente male, chiude la conversazione invece di aprirla. E non dare il via libera alla guida:</w:t>
      </w:r>
      <w:r>
        <w:t xml:space="preserve"> </w:t>
      </w:r>
      <w:r>
        <w:rPr>
          <w:i/>
          <w:iCs/>
        </w:rPr>
        <w:t xml:space="preserve">«se ha vertigini, instabilità o prende sedativi, quando riprendere a guidare lo decide il suo medico; io le scrivo cosa ho misurato.»</w:t>
      </w:r>
    </w:p>
    <w:p>
      <w:pPr>
        <w:pStyle w:val="BodyText"/>
      </w:pPr>
      <w:r>
        <w:rPr>
          <w:b/>
          <w:bCs/>
        </w:rPr>
        <w:t xml:space="preserve">Le tre cose da ricordare, più una</w:t>
      </w:r>
    </w:p>
    <w:p>
      <w:pPr>
        <w:pStyle w:val="Compact"/>
        <w:numPr>
          <w:ilvl w:val="0"/>
          <w:numId w:val="1041"/>
        </w:numPr>
      </w:pPr>
      <w:r>
        <w:t xml:space="preserve">La prima conversazione è un intervento, non un preambolo: è l’unico punto in cui l’aspettativa si può ancora spostare.</w:t>
      </w:r>
    </w:p>
    <w:p>
      <w:pPr>
        <w:pStyle w:val="Compact"/>
        <w:numPr>
          <w:ilvl w:val="0"/>
          <w:numId w:val="1041"/>
        </w:numPr>
      </w:pPr>
      <w:r>
        <w:t xml:space="preserve">Il limite dichiarato — «dipende anche da quello che fa lei» — rende credibile tutto il resto.</w:t>
      </w:r>
    </w:p>
    <w:p>
      <w:pPr>
        <w:pStyle w:val="Compact"/>
        <w:numPr>
          <w:ilvl w:val="0"/>
          <w:numId w:val="1041"/>
        </w:numPr>
      </w:pPr>
      <w:r>
        <w:t xml:space="preserve">Il paziente esce con quattro segnali d’allarme scritti: è l’unica parte del documento che lavora quando tu non ci sei.</w:t>
      </w:r>
    </w:p>
    <w:p>
      <w:pPr>
        <w:pStyle w:val="Compact"/>
        <w:numPr>
          <w:ilvl w:val="0"/>
          <w:numId w:val="1041"/>
        </w:numPr>
      </w:pPr>
      <w:r>
        <w:rPr>
          <w:b/>
          <w:bCs/>
        </w:rPr>
        <w:t xml:space="preserve">Perché ci sei tu.</w:t>
      </w:r>
      <w:r>
        <w:t xml:space="preserve"> </w:t>
      </w:r>
      <w:r>
        <w:t xml:space="preserve">Circa un paziente su cinque ha dolore temporo-mandibolare già nelle prime settimane, e circa uno su quattro quando il quadro dura, contro il 5,7% di chi non ha avuto il trauma (Häggman-Henrikson, 2025, PMID 39921489). Ti autorizza a misurare la mandibola in ogni paziente, e alla prima seduta. Non a dirgli che il trauma gliel’ha causata: è una prevalenza misurata dopo il trauma, non un meccanismo dimostrato su di lui.</w:t>
      </w:r>
    </w:p>
    <w:p>
      <w:r>
        <w:pict>
          <v:rect style="width:0;height:1.5pt" o:hralign="center" o:hrstd="t" o:hr="t"/>
        </w:pict>
      </w:r>
    </w:p>
    <w:bookmarkEnd w:id="78"/>
    <w:bookmarkEnd w:id="79"/>
    <w:bookmarkStart w:id="80" w:name="capitolo-14-cosa-fare-adesso"/>
    <w:p>
      <w:pPr>
        <w:pStyle w:val="Heading2"/>
      </w:pPr>
      <w:r>
        <w:t xml:space="preserve">Capitolo 14 — Cosa fare adesso</w:t>
      </w:r>
    </w:p>
    <w:p>
      <w:pPr>
        <w:pStyle w:val="BlockText"/>
      </w:pPr>
      <w:r>
        <w:rPr>
          <w:b/>
          <w:bCs/>
        </w:rPr>
        <w:t xml:space="preserve">In una riga:</w:t>
      </w:r>
      <w:r>
        <w:t xml:space="preserve"> </w:t>
      </w:r>
      <w:r>
        <w:t xml:space="preserve">hai davanti una persona con una data precisa, esami normali e metà probabilità di guarire da sola — e il tuo lavoro è capire in quale metà è, e agire di conseguenza.</w:t>
      </w:r>
    </w:p>
    <w:p>
      <w:pPr>
        <w:pStyle w:val="FirstParagraph"/>
      </w:pPr>
      <w:r>
        <w:t xml:space="preserve">Il filo è questo. Il colpo di frusta lascia lesioni vere e invisibili, e una funzione cambiata che invece si misura. Metà guarisce comunque. L’altra metà si riconosce presto, da cinque cose che nessuno guarda: gradi di rotazione, test di flessione cranio-cervicale, senso di posizione della testa, livello di allarme, e cosa prende. La sorgente del dolore che dura è quasi sempre articolare, e quando la lamentela è la cefalea sta in alto, a C2-C3. Le mani aprono la finestra; quello che la tiene aperta è l’esercizio specifico e guidato, che insegni e segui tu. E il campo finisce dove compaiono una bandiera rossa, un dolore nuovo e diverso da ogni altro, o una domanda sul nesso causale: le prime due si mandano, la terza non è nostra.</w:t>
      </w:r>
    </w:p>
    <w:p>
      <w:pPr>
        <w:pStyle w:val="BodyText"/>
      </w:pPr>
      <w:r>
        <w:rPr>
          <w:b/>
          <w:bCs/>
        </w:rPr>
        <w:t xml:space="preserve">Le tre cose che cambi da lunedì.</w:t>
      </w:r>
    </w:p>
    <w:p>
      <w:pPr>
        <w:pStyle w:val="Compact"/>
        <w:numPr>
          <w:ilvl w:val="0"/>
          <w:numId w:val="1042"/>
        </w:numPr>
      </w:pPr>
      <w:r>
        <w:rPr>
          <w:b/>
          <w:bCs/>
        </w:rPr>
        <w:t xml:space="preserve">Guarda il senso di posizione della testa, dopo il cancello.</w:t>
      </w:r>
      <w:r>
        <w:t xml:space="preserve"> </w:t>
      </w:r>
      <w:r>
        <w:t xml:space="preserve">Occhi chiusi, rotazione, ritorno al punto di partenza, media di tre prove. È il reperto che spiega le vertigini quando l’orecchio è a posto, e nessuno prima di te l’ha preso.</w:t>
      </w:r>
    </w:p>
    <w:p>
      <w:pPr>
        <w:pStyle w:val="Compact"/>
        <w:numPr>
          <w:ilvl w:val="0"/>
          <w:numId w:val="1042"/>
        </w:numPr>
      </w:pPr>
      <w:r>
        <w:rPr>
          <w:b/>
          <w:bCs/>
        </w:rPr>
        <w:t xml:space="preserve">Di’ la frase sulla lastra.</w:t>
      </w:r>
      <w:r>
        <w:t xml:space="preserve"> </w:t>
      </w:r>
      <w:r>
        <w:rPr>
          <w:i/>
          <w:iCs/>
        </w:rPr>
        <w:t xml:space="preserve">«Gli esami servono a escludere una frattura e l’hanno esclusa; le lesioni di questo trauma quegli esami non le vedono.»</w:t>
      </w:r>
      <w:r>
        <w:t xml:space="preserve"> </w:t>
      </w:r>
      <w:r>
        <w:t xml:space="preserve">È il limite dello strumento, non l’assenza di causa.</w:t>
      </w:r>
    </w:p>
    <w:p>
      <w:pPr>
        <w:pStyle w:val="Compact"/>
        <w:numPr>
          <w:ilvl w:val="0"/>
          <w:numId w:val="1042"/>
        </w:numPr>
      </w:pPr>
      <w:r>
        <w:rPr>
          <w:b/>
          <w:bCs/>
        </w:rPr>
        <w:t xml:space="preserve">Smetti di scrivere «esiti di trauma distorsivo».</w:t>
      </w:r>
      <w:r>
        <w:t xml:space="preserve"> </w:t>
      </w:r>
      <w:r>
        <w:t xml:space="preserve">In cartella vanno i reperti misurati e le date che il paziente riferisce: il nesso causale è atto medico-legale, e quello che scrivi ha un secondo lettore.</w:t>
      </w:r>
    </w:p>
    <w:p>
      <w:pPr>
        <w:pStyle w:val="FirstParagraph"/>
      </w:pPr>
      <w:r>
        <w:rPr>
          <w:i/>
          <w:iCs/>
        </w:rPr>
        <w:t xml:space="preserve">Su questa condizione non arriverai a dire che gli studi confermano le tue mani, perché non lo fanno. Arriverai a dire una cosa più difficile e più solida: che sai chi hai davanti, su cosa stai agendo, e che hai scelto prima di iniziare il numero che ti darà torto. Sai di averla imparata quando distingui senza esitare «il collo che non gira» dalla «soglia crollata», quando riconosci il paziente su cui puoi poco e glielo dici, e quando sai spiegare a un medico cosa possiamo e cosa non possiamo affermare su questa condizione. Poche condizioni permettono di lavorare con questa chiarezza. Questa sì.</w:t>
      </w:r>
    </w:p>
    <w:p>
      <w:pPr>
        <w:pStyle w:val="BodyText"/>
      </w:pPr>
      <w:r>
        <w:rPr>
          <w:b/>
          <w:bCs/>
        </w:rPr>
        <w:t xml:space="preserve">Le tre cose da ricordare, più una</w:t>
      </w:r>
    </w:p>
    <w:p>
      <w:pPr>
        <w:pStyle w:val="Compact"/>
        <w:numPr>
          <w:ilvl w:val="0"/>
          <w:numId w:val="1043"/>
        </w:numPr>
      </w:pPr>
      <w:r>
        <w:t xml:space="preserve">Guarda il senso di posizione della testa in ogni paziente, dopo il cancello.</w:t>
      </w:r>
    </w:p>
    <w:p>
      <w:pPr>
        <w:pStyle w:val="Compact"/>
        <w:numPr>
          <w:ilvl w:val="0"/>
          <w:numId w:val="1043"/>
        </w:numPr>
      </w:pPr>
      <w:r>
        <w:t xml:space="preserve">Di’ la frase sulla lastra, con quelle parole.</w:t>
      </w:r>
    </w:p>
    <w:p>
      <w:pPr>
        <w:pStyle w:val="Compact"/>
        <w:numPr>
          <w:ilvl w:val="0"/>
          <w:numId w:val="1043"/>
        </w:numPr>
      </w:pPr>
      <w:r>
        <w:t xml:space="preserve">Smetti di scrivere il nesso causale in cartella.</w:t>
      </w:r>
    </w:p>
    <w:p>
      <w:pPr>
        <w:pStyle w:val="Compact"/>
        <w:numPr>
          <w:ilvl w:val="0"/>
          <w:numId w:val="1043"/>
        </w:numPr>
      </w:pPr>
      <w:r>
        <w:rPr>
          <w:b/>
          <w:bCs/>
        </w:rPr>
        <w:t xml:space="preserve">Perché ci sei tu.</w:t>
      </w:r>
      <w:r>
        <w:t xml:space="preserve"> </w:t>
      </w:r>
      <w:r>
        <w:t xml:space="preserve">Un paziente su quattro sviluppa dolore e disabilità da moderati a gravi, e un altro quarto resta con sintomi più lievi (Ritchie, 2013, PMID 23831865). Ti autorizza a non trattare tutti allo stesso modo e a stratificare alla prima seduta, che è l’unico momento in cui quel quarto si riconosce ancora. Non a promettere che il tuo ciclo cambi la prognosi a un anno: quel confronto non lo ha vinto nessuno, nemmeno il consulto attivo organizzato in quindici pronto soccorso.</w:t>
      </w:r>
    </w:p>
    <w:p>
      <w:r>
        <w:pict>
          <v:rect style="width:0;height:1.5pt" o:hralign="center" o:hrstd="t" o:hr="t"/>
        </w:pict>
      </w:r>
    </w:p>
    <w:bookmarkEnd w:id="80"/>
    <w:bookmarkStart w:id="81" w:name="appendice-a-glossario"/>
    <w:p>
      <w:pPr>
        <w:pStyle w:val="Heading2"/>
      </w:pPr>
      <w:r>
        <w:t xml:space="preserve">Appendice A — Glossario</w:t>
      </w:r>
    </w:p>
    <w:p>
      <w:pPr>
        <w:pStyle w:val="Compact"/>
        <w:numPr>
          <w:ilvl w:val="0"/>
          <w:numId w:val="1044"/>
        </w:numPr>
      </w:pPr>
      <w:r>
        <w:rPr>
          <w:b/>
          <w:bCs/>
        </w:rPr>
        <w:t xml:space="preserve">Aderenza</w:t>
      </w:r>
      <w:r>
        <w:t xml:space="preserve"> </w:t>
      </w:r>
      <w:r>
        <w:t xml:space="preserve">— quanto il paziente fa davvero quello che è stato concordato. Negli studi sull’esercizio è la variabile che spiega perché il guidato batte il non guidato.</w:t>
      </w:r>
    </w:p>
    <w:p>
      <w:pPr>
        <w:pStyle w:val="Compact"/>
        <w:numPr>
          <w:ilvl w:val="0"/>
          <w:numId w:val="1044"/>
        </w:numPr>
      </w:pPr>
      <w:r>
        <w:rPr>
          <w:b/>
          <w:bCs/>
        </w:rPr>
        <w:t xml:space="preserve">Algometro</w:t>
      </w:r>
      <w:r>
        <w:t xml:space="preserve"> </w:t>
      </w:r>
      <w:r>
        <w:t xml:space="preserve">— strumento a punta che applica una pressione crescente e misura a quanti chilopascal quella pressione diventa dolorosa. È lo strumento con cui si prende la soglia pressoria, ed è l’unico dei cinque di questo documento che molti studi non hanno.</w:t>
      </w:r>
    </w:p>
    <w:p>
      <w:pPr>
        <w:pStyle w:val="Compact"/>
        <w:numPr>
          <w:ilvl w:val="0"/>
          <w:numId w:val="1044"/>
        </w:numPr>
      </w:pPr>
      <w:r>
        <w:rPr>
          <w:b/>
          <w:bCs/>
        </w:rPr>
        <w:t xml:space="preserve">Articolazione zigapofisaria</w:t>
      </w:r>
      <w:r>
        <w:t xml:space="preserve"> </w:t>
      </w:r>
      <w:r>
        <w:t xml:space="preserve">— la piccola articolazione posteriore fra due vertebre. Nel colpo di frusta è la sorgente dimostrata del dolore che dura.</w:t>
      </w:r>
    </w:p>
    <w:p>
      <w:pPr>
        <w:pStyle w:val="Compact"/>
        <w:numPr>
          <w:ilvl w:val="0"/>
          <w:numId w:val="1044"/>
        </w:numPr>
      </w:pPr>
      <w:r>
        <w:rPr>
          <w:b/>
          <w:bCs/>
        </w:rPr>
        <w:t xml:space="preserve">Canadian C-Spine Rule</w:t>
      </w:r>
      <w:r>
        <w:t xml:space="preserve"> </w:t>
      </w:r>
      <w:r>
        <w:t xml:space="preserve">— regola clinica di tre domande che stabilisce se serve una radiografia cervicale dopo un trauma. Vale in paziente vigile e stabile, entro 48 ore, senza patologia vertebrale nota.</w:t>
      </w:r>
    </w:p>
    <w:p>
      <w:pPr>
        <w:pStyle w:val="Compact"/>
        <w:numPr>
          <w:ilvl w:val="0"/>
          <w:numId w:val="1044"/>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4"/>
        </w:numPr>
      </w:pPr>
      <w:r>
        <w:rPr>
          <w:b/>
          <w:bCs/>
        </w:rPr>
        <w:t xml:space="preserve">Conduttanza cutanea</w:t>
      </w:r>
      <w:r>
        <w:t xml:space="preserve"> </w:t>
      </w:r>
      <w:r>
        <w:t xml:space="preserve">— quanto la pelle conduce corrente. Sale quando le ghiandole sudoripare si attivano, ed è un indice di attivazione simpatica.</w:t>
      </w:r>
    </w:p>
    <w:p>
      <w:pPr>
        <w:pStyle w:val="Compact"/>
        <w:numPr>
          <w:ilvl w:val="0"/>
          <w:numId w:val="1044"/>
        </w:numPr>
      </w:pPr>
      <w:r>
        <w:rPr>
          <w:b/>
          <w:bCs/>
        </w:rPr>
        <w:t xml:space="preserve">Cornice professionale</w:t>
      </w:r>
      <w:r>
        <w:t xml:space="preserve"> </w:t>
      </w:r>
      <w:r>
        <w:t xml:space="preserve">— il perimetro dell’atto disegnato dal profilo dell’osteopata (DPR 131/2021): tecniche esclusivamente manuali, non invasive ed esterne, in riferimento alla diagnosi di competenza medica.</w:t>
      </w:r>
    </w:p>
    <w:p>
      <w:pPr>
        <w:pStyle w:val="Compact"/>
        <w:numPr>
          <w:ilvl w:val="0"/>
          <w:numId w:val="1044"/>
        </w:numPr>
      </w:pPr>
      <w:r>
        <w:rPr>
          <w:b/>
          <w:bCs/>
        </w:rPr>
        <w:t xml:space="preserve">Convergenza trigemino-cervicale</w:t>
      </w:r>
      <w:r>
        <w:t xml:space="preserve"> </w:t>
      </w:r>
      <w:r>
        <w:t xml:space="preserve">— il punto del tronco encefalico in cui le afferenze del trigemino e delle prime tre radici cervicali finiscono sugli stessi neuroni. Spiega perché un collo può far male in fronte.</w:t>
      </w:r>
    </w:p>
    <w:p>
      <w:pPr>
        <w:pStyle w:val="Compact"/>
        <w:numPr>
          <w:ilvl w:val="0"/>
          <w:numId w:val="1044"/>
        </w:numPr>
      </w:pPr>
      <w:r>
        <w:rPr>
          <w:b/>
          <w:bCs/>
        </w:rPr>
        <w:t xml:space="preserve">Differenza media standardizzata</w:t>
      </w:r>
      <w:r>
        <w:t xml:space="preserve"> </w:t>
      </w:r>
      <w:r>
        <w:t xml:space="preserve">— misura di quanto due gruppi differiscono, espressa in deviazioni standard. Per convenzione 0,2 è un effetto piccolo, 0,5 medio, 0,8 grande.</w:t>
      </w:r>
    </w:p>
    <w:p>
      <w:pPr>
        <w:pStyle w:val="Compact"/>
        <w:numPr>
          <w:ilvl w:val="0"/>
          <w:numId w:val="1044"/>
        </w:numPr>
      </w:pPr>
      <w:r>
        <w:rPr>
          <w:b/>
          <w:bCs/>
        </w:rPr>
        <w:t xml:space="preserve">Differenza minima clinicamente importante</w:t>
      </w:r>
      <w:r>
        <w:t xml:space="preserve"> </w:t>
      </w:r>
      <w:r>
        <w:t xml:space="preserve">— il cambiamento più piccolo che il paziente percepisce come un miglioramento reale. Sulla scala del dolore 0-10 è di circa due punti.</w:t>
      </w:r>
    </w:p>
    <w:p>
      <w:pPr>
        <w:pStyle w:val="Compact"/>
        <w:numPr>
          <w:ilvl w:val="0"/>
          <w:numId w:val="1044"/>
        </w:numPr>
      </w:pPr>
      <w:r>
        <w:rPr>
          <w:b/>
          <w:bCs/>
        </w:rPr>
        <w:t xml:space="preserve">Etichette di solidità</w:t>
      </w:r>
      <w:r>
        <w:t xml:space="preserve"> </w:t>
      </w:r>
      <w:r>
        <w:t xml:space="preserve">— le quattro, e nessuna quinta.</w:t>
      </w:r>
      <w:r>
        <w:t xml:space="preserve"> </w:t>
      </w:r>
      <w:r>
        <w:rPr>
          <w:b/>
          <w:bCs/>
        </w:rPr>
        <w:t xml:space="preserve">DIMOSTRATO</w:t>
      </w:r>
      <w:r>
        <w:t xml:space="preserve">: studi sull’uomo, solidi.</w:t>
      </w:r>
      <w:r>
        <w:t xml:space="preserve"> </w:t>
      </w:r>
      <w:r>
        <w:rPr>
          <w:b/>
          <w:bCs/>
        </w:rPr>
        <w:t xml:space="preserve">PROBABILE</w:t>
      </w:r>
      <w:r>
        <w:t xml:space="preserve">: razionale forte, prove parziali.</w:t>
      </w:r>
      <w:r>
        <w:t xml:space="preserve"> </w:t>
      </w:r>
      <w:r>
        <w:rPr>
          <w:b/>
          <w:bCs/>
        </w:rPr>
        <w:t xml:space="preserve">IPOTESI</w:t>
      </w:r>
      <w:r>
        <w:t xml:space="preserve">: meccanismo coerente, nessuno studio; variante ammessa</w:t>
      </w:r>
      <w:r>
        <w:t xml:space="preserve"> </w:t>
      </w:r>
      <w:r>
        <w:rPr>
          <w:i/>
          <w:iCs/>
        </w:rPr>
        <w:t xml:space="preserve">meccanismo coerente, prove contrarie</w:t>
      </w:r>
      <w:r>
        <w:t xml:space="preserve">.</w:t>
      </w:r>
      <w:r>
        <w:t xml:space="preserve"> </w:t>
      </w:r>
      <w:r>
        <w:rPr>
          <w:b/>
          <w:bCs/>
        </w:rPr>
        <w:t xml:space="preserve">RAGIONAMENTO</w:t>
      </w:r>
      <w:r>
        <w:t xml:space="preserve">: cornice clinica, non una prova. Quando il dato non è umano o non è adulto, la specie o lo stadio entrano nell’etichetta:</w:t>
      </w:r>
      <w:r>
        <w:t xml:space="preserve"> </w:t>
      </w:r>
      <w:r>
        <w:rPr>
          <w:i/>
          <w:iCs/>
        </w:rPr>
        <w:t xml:space="preserve">DIMOSTRATO nel cadavere</w:t>
      </w:r>
      <w:r>
        <w:t xml:space="preserve">,</w:t>
      </w:r>
      <w:r>
        <w:t xml:space="preserve"> </w:t>
      </w:r>
      <w:r>
        <w:rPr>
          <w:i/>
          <w:iCs/>
        </w:rPr>
        <w:t xml:space="preserve">DIMOSTRATO nel feto</w:t>
      </w:r>
      <w:r>
        <w:t xml:space="preserve">.</w:t>
      </w:r>
    </w:p>
    <w:p>
      <w:pPr>
        <w:pStyle w:val="Compact"/>
        <w:numPr>
          <w:ilvl w:val="0"/>
          <w:numId w:val="1044"/>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44"/>
        </w:numPr>
      </w:pPr>
      <w:r>
        <w:rPr>
          <w:b/>
          <w:bCs/>
        </w:rPr>
        <w:t xml:space="preserve">Dissezione arteriosa cervicale</w:t>
      </w:r>
      <w:r>
        <w:t xml:space="preserve"> </w:t>
      </w:r>
      <w:r>
        <w:t xml:space="preserve">— lacerazione della parete interna di un’arteria del collo, che può formare un coagulo e produrre un ictus. Nella fase precoce si manifesta solo come dolore nuovo e diverso.</w:t>
      </w:r>
    </w:p>
    <w:p>
      <w:pPr>
        <w:pStyle w:val="Compact"/>
        <w:numPr>
          <w:ilvl w:val="0"/>
          <w:numId w:val="1044"/>
        </w:numPr>
      </w:pPr>
      <w:r>
        <w:rPr>
          <w:b/>
          <w:bCs/>
        </w:rPr>
        <w:t xml:space="preserve">Errore di riposizionamento della testa</w:t>
      </w:r>
      <w:r>
        <w:t xml:space="preserve"> </w:t>
      </w:r>
      <w:r>
        <w:t xml:space="preserve">— quanti gradi il paziente sbaglia tornando al punto di partenza a occhi chiusi dopo una rotazione.</w:t>
      </w:r>
    </w:p>
    <w:p>
      <w:pPr>
        <w:pStyle w:val="Compact"/>
        <w:numPr>
          <w:ilvl w:val="0"/>
          <w:numId w:val="1044"/>
        </w:numPr>
      </w:pPr>
      <w:r>
        <w:rPr>
          <w:b/>
          <w:bCs/>
        </w:rPr>
        <w:t xml:space="preserve">Esposizione graduata</w:t>
      </w:r>
      <w:r>
        <w:t xml:space="preserve"> </w:t>
      </w:r>
      <w:r>
        <w:t xml:space="preserve">— ripresa progressiva di un’attività evitata, per gradi scelti insieme al paziente, senza aspettare che il sintomo sparisca.</w:t>
      </w:r>
    </w:p>
    <w:p>
      <w:pPr>
        <w:pStyle w:val="Compact"/>
        <w:numPr>
          <w:ilvl w:val="0"/>
          <w:numId w:val="1044"/>
        </w:numPr>
      </w:pPr>
      <w:r>
        <w:rPr>
          <w:b/>
          <w:bCs/>
        </w:rPr>
        <w:t xml:space="preserve">Flessione cranio-cervicale (test di)</w:t>
      </w:r>
      <w:r>
        <w:t xml:space="preserve"> </w:t>
      </w:r>
      <w:r>
        <w:t xml:space="preserve">— test a gradini di pressione che misura la capacità dei flessori profondi di annuire senza sostituzione dei superficiali.</w:t>
      </w:r>
    </w:p>
    <w:p>
      <w:pPr>
        <w:pStyle w:val="Compact"/>
        <w:numPr>
          <w:ilvl w:val="0"/>
          <w:numId w:val="1044"/>
        </w:numPr>
      </w:pPr>
      <w:r>
        <w:rPr>
          <w:b/>
          <w:bCs/>
        </w:rPr>
        <w:t xml:space="preserve">Fusi neuromuscolari</w:t>
      </w:r>
      <w:r>
        <w:t xml:space="preserve"> </w:t>
      </w:r>
      <w:r>
        <w:t xml:space="preserve">— i sensori di lunghezza dentro il muscolo. Contati su preparato anatomico, sono densissimi nei sub-occipitali e nel lungo del collo, e scarsi nel multifido cervicale basso.</w:t>
      </w:r>
    </w:p>
    <w:p>
      <w:pPr>
        <w:pStyle w:val="Compact"/>
        <w:numPr>
          <w:ilvl w:val="0"/>
          <w:numId w:val="1044"/>
        </w:numPr>
      </w:pPr>
      <w:r>
        <w:rPr>
          <w:b/>
          <w:bCs/>
        </w:rPr>
        <w:t xml:space="preserve">IFOMPT Cervical Framework</w:t>
      </w:r>
      <w:r>
        <w:t xml:space="preserve"> </w:t>
      </w:r>
      <w:r>
        <w:t xml:space="preserve">— documento internazionale di consenso per lo screening vascolare del rachide cervicale prima di un intervento manuale.</w:t>
      </w:r>
    </w:p>
    <w:p>
      <w:pPr>
        <w:pStyle w:val="Compact"/>
        <w:numPr>
          <w:ilvl w:val="0"/>
          <w:numId w:val="1044"/>
        </w:numPr>
      </w:pPr>
      <w:r>
        <w:rPr>
          <w:b/>
          <w:bCs/>
        </w:rPr>
        <w:t xml:space="preserve">Iperalgesia al freddo</w:t>
      </w:r>
      <w:r>
        <w:t xml:space="preserve"> </w:t>
      </w:r>
      <w:r>
        <w:t xml:space="preserve">— soglia abbassata a cui il freddo diventa doloroso. Nel colpo di frusta è un predittore di decorso peggiore, con meccanismo ignoto.</w:t>
      </w:r>
    </w:p>
    <w:p>
      <w:pPr>
        <w:pStyle w:val="Compact"/>
        <w:numPr>
          <w:ilvl w:val="0"/>
          <w:numId w:val="1044"/>
        </w:numPr>
      </w:pPr>
      <w:r>
        <w:rPr>
          <w:b/>
          <w:bCs/>
        </w:rPr>
        <w:t xml:space="preserve">Ipoalgesia</w:t>
      </w:r>
      <w:r>
        <w:t xml:space="preserve"> </w:t>
      </w:r>
      <w:r>
        <w:t xml:space="preserve">— innalzamento della soglia del dolore, cioè il contrario dell’iperalgesia: serve più stimolo perché faccia male.</w:t>
      </w:r>
    </w:p>
    <w:p>
      <w:pPr>
        <w:pStyle w:val="Compact"/>
        <w:numPr>
          <w:ilvl w:val="0"/>
          <w:numId w:val="1044"/>
        </w:numPr>
      </w:pPr>
      <w:r>
        <w:rPr>
          <w:b/>
          <w:bCs/>
        </w:rPr>
        <w:t xml:space="preserve">Grigio periacqueduttale</w:t>
      </w:r>
      <w:r>
        <w:t xml:space="preserve"> </w:t>
      </w:r>
      <w:r>
        <w:t xml:space="preserve">— nucleo del tronco encefalico da cui partono le vie discendenti che abbassano il guadagno del dolore. È anche il punto in cui ipoalgesia ed eccitazione simpatica partono insieme.</w:t>
      </w:r>
    </w:p>
    <w:p>
      <w:pPr>
        <w:pStyle w:val="Compact"/>
        <w:numPr>
          <w:ilvl w:val="0"/>
          <w:numId w:val="1044"/>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44"/>
        </w:numPr>
      </w:pPr>
      <w:r>
        <w:rPr>
          <w:b/>
          <w:bCs/>
        </w:rPr>
        <w:t xml:space="preserve">Mandato clinico</w:t>
      </w:r>
      <w:r>
        <w:t xml:space="preserve"> </w:t>
      </w:r>
      <w:r>
        <w:t xml:space="preserve">— l’avere qualcosa da trattare oggi: un reperto disfunzionale documentato e un marker che si muove. Non coincide con la diagnosi medica e non la sostituisce.</w:t>
      </w:r>
    </w:p>
    <w:p>
      <w:pPr>
        <w:pStyle w:val="Compact"/>
        <w:numPr>
          <w:ilvl w:val="0"/>
          <w:numId w:val="1044"/>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4"/>
        </w:numPr>
      </w:pPr>
      <w:r>
        <w:rPr>
          <w:b/>
          <w:bCs/>
        </w:rPr>
        <w:t xml:space="preserve">Modulazione discendente del dolore</w:t>
      </w:r>
      <w:r>
        <w:t xml:space="preserve"> </w:t>
      </w:r>
      <w:r>
        <w:t xml:space="preserve">— le vie che scendono dal tronco encefalico e abbassano il guadagno del segnale doloroso. È il freno che nel colpo di frusta cronico non si accende. Si misura con la</w:t>
      </w:r>
      <w:r>
        <w:t xml:space="preserve"> </w:t>
      </w:r>
      <w:r>
        <w:rPr>
          <w:b/>
          <w:bCs/>
        </w:rPr>
        <w:t xml:space="preserve">modulazione condizionata del dolore</w:t>
      </w:r>
      <w:r>
        <w:t xml:space="preserve">, cioè quanto un secondo stimolo doloroso riduce la percezione del primo. Quello che dovrebbe deprimere è la</w:t>
      </w:r>
      <w:r>
        <w:t xml:space="preserve"> </w:t>
      </w:r>
      <w:r>
        <w:rPr>
          <w:b/>
          <w:bCs/>
        </w:rPr>
        <w:t xml:space="preserve">sommazione temporale</w:t>
      </w:r>
      <w:r>
        <w:t xml:space="preserve">: l’aumento progressivo del dolore quando lo stesso stimolo si ripete a intervalli brevi.</w:t>
      </w:r>
    </w:p>
    <w:p>
      <w:pPr>
        <w:pStyle w:val="Compact"/>
        <w:numPr>
          <w:ilvl w:val="0"/>
          <w:numId w:val="1044"/>
        </w:numPr>
      </w:pPr>
      <w:r>
        <w:rPr>
          <w:b/>
          <w:bCs/>
        </w:rPr>
        <w:t xml:space="preserve">Neuropatico</w:t>
      </w:r>
      <w:r>
        <w:t xml:space="preserve"> </w:t>
      </w:r>
      <w:r>
        <w:t xml:space="preserve">— dolore prodotto da lesione o malattia del sistema nervoso somatosensoriale. Segue la distribuzione di un nervo o di una radice.</w:t>
      </w:r>
    </w:p>
    <w:p>
      <w:pPr>
        <w:pStyle w:val="Compact"/>
        <w:numPr>
          <w:ilvl w:val="0"/>
          <w:numId w:val="1044"/>
        </w:numPr>
      </w:pPr>
      <w:r>
        <w:rPr>
          <w:b/>
          <w:bCs/>
        </w:rPr>
        <w:t xml:space="preserve">Nocicettivo</w:t>
      </w:r>
      <w:r>
        <w:t xml:space="preserve"> </w:t>
      </w:r>
      <w:r>
        <w:t xml:space="preserve">— dolore che nasce da un tessuto danneggiato o sotto carico: ha confini e si riproduce con un movimento.</w:t>
      </w:r>
    </w:p>
    <w:p>
      <w:pPr>
        <w:pStyle w:val="Compact"/>
        <w:numPr>
          <w:ilvl w:val="0"/>
          <w:numId w:val="1044"/>
        </w:numPr>
      </w:pPr>
      <w:r>
        <w:rPr>
          <w:b/>
          <w:bCs/>
        </w:rPr>
        <w:t xml:space="preserve">Nociplastico</w:t>
      </w:r>
      <w:r>
        <w:t xml:space="preserve"> </w:t>
      </w:r>
      <w:r>
        <w:t xml:space="preserve">— dolore che nasce da un’alterazione dell’elaborazione del segnale, non spiegabile per intero da un danno tissutale.</w:t>
      </w:r>
    </w:p>
    <w:p>
      <w:pPr>
        <w:pStyle w:val="Compact"/>
        <w:numPr>
          <w:ilvl w:val="0"/>
          <w:numId w:val="1044"/>
        </w:numPr>
      </w:pPr>
      <w:r>
        <w:rPr>
          <w:b/>
          <w:bCs/>
        </w:rPr>
        <w:t xml:space="preserve">Odds ratio</w:t>
      </w:r>
      <w:r>
        <w:t xml:space="preserve"> </w:t>
      </w:r>
      <w:r>
        <w:t xml:space="preserve">— quante volte è più probabile un evento in un gruppo rispetto a un altro. Va sempre letto insieme a quanto è frequente l’evento di partenza.</w:t>
      </w:r>
    </w:p>
    <w:p>
      <w:pPr>
        <w:pStyle w:val="Compact"/>
        <w:numPr>
          <w:ilvl w:val="0"/>
          <w:numId w:val="1044"/>
        </w:numPr>
      </w:pPr>
      <w:r>
        <w:rPr>
          <w:b/>
          <w:bCs/>
        </w:rPr>
        <w:t xml:space="preserve">Ponte miodurale</w:t>
      </w:r>
      <w:r>
        <w:t xml:space="preserve"> </w:t>
      </w:r>
      <w:r>
        <w:t xml:space="preserve">— connessione di tessuto connettivo fra il retto posteriore minore della testa e la dura madre, dimostrata su preparato anatomico.</w:t>
      </w:r>
    </w:p>
    <w:p>
      <w:pPr>
        <w:pStyle w:val="Compact"/>
        <w:numPr>
          <w:ilvl w:val="0"/>
          <w:numId w:val="1044"/>
        </w:numPr>
      </w:pPr>
      <w:r>
        <w:rPr>
          <w:b/>
          <w:bCs/>
        </w:rPr>
        <w:t xml:space="preserve">Propriocettivo</w:t>
      </w:r>
      <w:r>
        <w:t xml:space="preserve"> </w:t>
      </w:r>
      <w:r>
        <w:t xml:space="preserve">— relativo all’informazione sulla posizione del corpo che arriva da muscoli e articolazioni.</w:t>
      </w:r>
    </w:p>
    <w:p>
      <w:pPr>
        <w:pStyle w:val="Compact"/>
        <w:numPr>
          <w:ilvl w:val="0"/>
          <w:numId w:val="1044"/>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4"/>
        </w:numPr>
      </w:pPr>
      <w:r>
        <w:rPr>
          <w:b/>
          <w:bCs/>
        </w:rPr>
        <w:t xml:space="preserve">Rettilineizzazione</w:t>
      </w:r>
      <w:r>
        <w:t xml:space="preserve"> </w:t>
      </w:r>
      <w:r>
        <w:t xml:space="preserve">— perdita della curva cervicale su radiografia. Reperto frequente anche in persone senza sintomi.</w:t>
      </w:r>
    </w:p>
    <w:p>
      <w:pPr>
        <w:pStyle w:val="Compact"/>
        <w:numPr>
          <w:ilvl w:val="0"/>
          <w:numId w:val="1044"/>
        </w:numPr>
      </w:pPr>
      <w:r>
        <w:rPr>
          <w:b/>
          <w:bCs/>
        </w:rPr>
        <w:t xml:space="preserve">Segni mielopatici</w:t>
      </w:r>
      <w:r>
        <w:t xml:space="preserve"> </w:t>
      </w:r>
      <w:r>
        <w:t xml:space="preserve">— i segni di sofferenza del midollo: andatura instabile, mani goffe, disturbi sfinterici, e il</w:t>
      </w:r>
      <w:r>
        <w:t xml:space="preserve"> </w:t>
      </w:r>
      <w:r>
        <w:rPr>
          <w:b/>
          <w:bCs/>
        </w:rPr>
        <w:t xml:space="preserve">segno di Lhermitte</w:t>
      </w:r>
      <w:r>
        <w:t xml:space="preserve">, la scossa elettrica lungo la schiena quando si flette il collo. Rientra qui il</w:t>
      </w:r>
      <w:r>
        <w:t xml:space="preserve"> </w:t>
      </w:r>
      <w:r>
        <w:rPr>
          <w:b/>
          <w:bCs/>
        </w:rPr>
        <w:t xml:space="preserve">drop attack</w:t>
      </w:r>
      <w:r>
        <w:t xml:space="preserve">, la caduta improvvisa senza perdita di coscienza. La</w:t>
      </w:r>
      <w:r>
        <w:t xml:space="preserve"> </w:t>
      </w:r>
      <w:r>
        <w:rPr>
          <w:b/>
          <w:bCs/>
        </w:rPr>
        <w:t xml:space="preserve">sindrome centromidollare</w:t>
      </w:r>
      <w:r>
        <w:t xml:space="preserve"> </w:t>
      </w:r>
      <w:r>
        <w:t xml:space="preserve">è la forma che segue un trauma in iperestensione nell’anziano con spondilosi: deficit più marcato agli arti superiori che agli inferiori, bilaterale, e va al pronto soccorso.</w:t>
      </w:r>
    </w:p>
    <w:p>
      <w:pPr>
        <w:pStyle w:val="Compact"/>
        <w:numPr>
          <w:ilvl w:val="0"/>
          <w:numId w:val="1044"/>
        </w:numPr>
      </w:pPr>
      <w:r>
        <w:rPr>
          <w:b/>
          <w:bCs/>
        </w:rPr>
        <w:t xml:space="preserve">Sfigmomanometro</w:t>
      </w:r>
      <w:r>
        <w:t xml:space="preserve"> </w:t>
      </w:r>
      <w:r>
        <w:t xml:space="preserve">— il bracciale della pressione. Nel test di flessione cranio-cervicale si mette sotto la nuca e misura, a gradini di 2 mmHg, fino a che livello il paziente annuisce senza sostituire con i superficiali.</w:t>
      </w:r>
    </w:p>
    <w:p>
      <w:pPr>
        <w:pStyle w:val="Compact"/>
        <w:numPr>
          <w:ilvl w:val="0"/>
          <w:numId w:val="1044"/>
        </w:numPr>
      </w:pPr>
      <w:r>
        <w:rPr>
          <w:b/>
          <w:bCs/>
        </w:rPr>
        <w:t xml:space="preserve">Sindrome di Horner</w:t>
      </w:r>
      <w:r>
        <w:t xml:space="preserve"> </w:t>
      </w:r>
      <w:r>
        <w:t xml:space="preserve">— palpebra che cade e pupilla ristretta dallo stesso lato. Segno precoce di dissezione arteriosa cervicale.</w:t>
      </w:r>
    </w:p>
    <w:p>
      <w:pPr>
        <w:pStyle w:val="Compact"/>
        <w:numPr>
          <w:ilvl w:val="0"/>
          <w:numId w:val="1044"/>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4"/>
        </w:numPr>
      </w:pPr>
      <w:r>
        <w:rPr>
          <w:b/>
          <w:bCs/>
        </w:rPr>
        <w:t xml:space="preserve">Soglia pressoria</w:t>
      </w:r>
      <w:r>
        <w:t xml:space="preserve"> </w:t>
      </w:r>
      <w:r>
        <w:t xml:space="preserve">— la pressione a cui uno stimolo diventa doloroso, misurata con un algometro.</w:t>
      </w:r>
    </w:p>
    <w:p>
      <w:pPr>
        <w:pStyle w:val="Compact"/>
        <w:numPr>
          <w:ilvl w:val="0"/>
          <w:numId w:val="1044"/>
        </w:numPr>
      </w:pPr>
      <w:r>
        <w:rPr>
          <w:b/>
          <w:bCs/>
        </w:rPr>
        <w:t xml:space="preserve">Stress post-traumatico</w:t>
      </w:r>
      <w:r>
        <w:t xml:space="preserve"> </w:t>
      </w:r>
      <w:r>
        <w:t xml:space="preserve">— insieme di rievocazione, evitamento e ipervigilanza dopo un evento potenzialmente traumatico. Nel colpo di frusta segue traiettorie misurate.</w:t>
      </w:r>
    </w:p>
    <w:p>
      <w:pPr>
        <w:pStyle w:val="Compact"/>
        <w:numPr>
          <w:ilvl w:val="0"/>
          <w:numId w:val="1044"/>
        </w:numPr>
      </w:pPr>
      <w:r>
        <w:rPr>
          <w:b/>
          <w:bCs/>
        </w:rPr>
        <w:t xml:space="preserve">Terzo nervo occipitale</w:t>
      </w:r>
      <w:r>
        <w:t xml:space="preserve"> </w:t>
      </w:r>
      <w:r>
        <w:t xml:space="preserve">— ramo della branca posteriore di C3 che innerva l’articolazione C2-C3. Sorgente dimostrata di una quota rilevante delle cefalee post-traumatiche.</w:t>
      </w:r>
    </w:p>
    <w:p>
      <w:pPr>
        <w:pStyle w:val="Compact"/>
        <w:numPr>
          <w:ilvl w:val="0"/>
          <w:numId w:val="1044"/>
        </w:numPr>
      </w:pPr>
      <w:r>
        <w:rPr>
          <w:b/>
          <w:bCs/>
        </w:rPr>
        <w:t xml:space="preserve">WAD</w:t>
      </w:r>
      <w:r>
        <w:t xml:space="preserve"> </w:t>
      </w:r>
      <w:r>
        <w:t xml:space="preserve">—</w:t>
      </w:r>
      <w:r>
        <w:t xml:space="preserve"> </w:t>
      </w:r>
      <w:r>
        <w:rPr>
          <w:i/>
          <w:iCs/>
        </w:rPr>
        <w:t xml:space="preserve">whiplash-associated disorders</w:t>
      </w:r>
      <w:r>
        <w:t xml:space="preserve">, disturbi associati al colpo di frusta. Classificati in gradi da 0 a IV.</w:t>
      </w:r>
    </w:p>
    <w:p>
      <w:r>
        <w:pict>
          <v:rect style="width:0;height:1.5pt" o:hralign="center" o:hrstd="t" o:hr="t"/>
        </w:pict>
      </w:r>
    </w:p>
    <w:bookmarkEnd w:id="81"/>
    <w:bookmarkStart w:id="148" w:name="appendice-b-le-fonti"/>
    <w:p>
      <w:pPr>
        <w:pStyle w:val="Heading2"/>
      </w:pPr>
      <w:r>
        <w:t xml:space="preserve">Appendice B — Le fonti</w:t>
      </w:r>
    </w:p>
    <w:p>
      <w:pPr>
        <w:pStyle w:val="FirstParagraph"/>
      </w:pPr>
      <w:r>
        <w:t xml:space="preserve">Nell’ordine in cui compaiono nel testo.</w:t>
      </w:r>
    </w:p>
    <w:p>
      <w:pPr>
        <w:pStyle w:val="Compact"/>
        <w:numPr>
          <w:ilvl w:val="0"/>
          <w:numId w:val="1045"/>
        </w:numPr>
      </w:pPr>
      <w:r>
        <w:t xml:space="preserve">Muñoz Lazcano P, Rojano Ortega D, Fernández López I.</w:t>
      </w:r>
      <w:r>
        <w:t xml:space="preserve"> </w:t>
      </w:r>
      <w:r>
        <w:rPr>
          <w:i/>
          <w:iCs/>
        </w:rPr>
        <w:t xml:space="preserve">Effects of a Guided Neck-Specific Exercise Therapy on Recovery After a Whiplash: A Systematic Review and Meta-analysis.</w:t>
      </w:r>
      <w:r>
        <w:t xml:space="preserve"> </w:t>
      </w:r>
      <w:r>
        <w:t xml:space="preserve">Am J Phys Med Rehabil, 2024.</w:t>
      </w:r>
      <w:r>
        <w:t xml:space="preserve"> </w:t>
      </w:r>
      <w:hyperlink r:id="rId82">
        <w:r>
          <w:rPr>
            <w:rStyle w:val="Hyperlink"/>
          </w:rPr>
          <w:t xml:space="preserve">PMID 38466196</w:t>
        </w:r>
      </w:hyperlink>
    </w:p>
    <w:p>
      <w:pPr>
        <w:pStyle w:val="Compact"/>
        <w:numPr>
          <w:ilvl w:val="0"/>
          <w:numId w:val="1045"/>
        </w:numPr>
      </w:pPr>
      <w:r>
        <w:t xml:space="preserve">Carroll LJ, Holm LW, Ferrari R, Ozegovic D, Cassidy JD.</w:t>
      </w:r>
      <w:r>
        <w:t xml:space="preserve"> </w:t>
      </w:r>
      <w:r>
        <w:rPr>
          <w:i/>
          <w:iCs/>
        </w:rPr>
        <w:t xml:space="preserve">Recovery in whiplash-associated disorders: do you get what you expect?</w:t>
      </w:r>
      <w:r>
        <w:t xml:space="preserve"> </w:t>
      </w:r>
      <w:r>
        <w:t xml:space="preserve">J Rheumatol, 2009.</w:t>
      </w:r>
      <w:r>
        <w:t xml:space="preserve"> </w:t>
      </w:r>
      <w:hyperlink r:id="rId83">
        <w:r>
          <w:rPr>
            <w:rStyle w:val="Hyperlink"/>
          </w:rPr>
          <w:t xml:space="preserve">PMID 19228657</w:t>
        </w:r>
      </w:hyperlink>
    </w:p>
    <w:p>
      <w:pPr>
        <w:pStyle w:val="Compact"/>
        <w:numPr>
          <w:ilvl w:val="0"/>
          <w:numId w:val="1045"/>
        </w:numPr>
      </w:pPr>
      <w:r>
        <w:t xml:space="preserve">Spitzer WO, Skovron ML, Salmi LR, et al. </w:t>
      </w:r>
      <w:r>
        <w:rPr>
          <w:i/>
          <w:iCs/>
        </w:rPr>
        <w:t xml:space="preserve">Scientific monograph of the Quebec Task Force on Whiplash-Associated Disorders: redefining</w:t>
      </w:r>
      <w:r>
        <w:rPr>
          <w:i/>
          <w:iCs/>
        </w:rPr>
        <w:t xml:space="preserve"> </w:t>
      </w:r>
      <w:r>
        <w:rPr>
          <w:i/>
          <w:iCs/>
        </w:rPr>
        <w:t xml:space="preserve">“whiplash”</w:t>
      </w:r>
      <w:r>
        <w:rPr>
          <w:i/>
          <w:iCs/>
        </w:rPr>
        <w:t xml:space="preserve"> </w:t>
      </w:r>
      <w:r>
        <w:rPr>
          <w:i/>
          <w:iCs/>
        </w:rPr>
        <w:t xml:space="preserve">and its management.</w:t>
      </w:r>
      <w:r>
        <w:t xml:space="preserve"> </w:t>
      </w:r>
      <w:r>
        <w:t xml:space="preserve">Spine, 1995.</w:t>
      </w:r>
      <w:r>
        <w:t xml:space="preserve"> </w:t>
      </w:r>
      <w:hyperlink r:id="rId84">
        <w:r>
          <w:rPr>
            <w:rStyle w:val="Hyperlink"/>
          </w:rPr>
          <w:t xml:space="preserve">PMID 7604354</w:t>
        </w:r>
      </w:hyperlink>
    </w:p>
    <w:p>
      <w:pPr>
        <w:pStyle w:val="Compact"/>
        <w:numPr>
          <w:ilvl w:val="0"/>
          <w:numId w:val="1045"/>
        </w:numPr>
      </w:pPr>
      <w:r>
        <w:t xml:space="preserve">Lord SM, Barnsley L, Wallis BJ, Bogduk N.</w:t>
      </w:r>
      <w:r>
        <w:t xml:space="preserve"> </w:t>
      </w:r>
      <w:r>
        <w:rPr>
          <w:i/>
          <w:iCs/>
        </w:rPr>
        <w:t xml:space="preserve">Chronic cervical zygapophysial joint pain after whiplash. A placebo-controlled prevalence study.</w:t>
      </w:r>
      <w:r>
        <w:t xml:space="preserve"> </w:t>
      </w:r>
      <w:r>
        <w:t xml:space="preserve">Spine, 1996.</w:t>
      </w:r>
      <w:r>
        <w:t xml:space="preserve"> </w:t>
      </w:r>
      <w:hyperlink r:id="rId85">
        <w:r>
          <w:rPr>
            <w:rStyle w:val="Hyperlink"/>
          </w:rPr>
          <w:t xml:space="preserve">PMID 8855458</w:t>
        </w:r>
      </w:hyperlink>
    </w:p>
    <w:p>
      <w:pPr>
        <w:pStyle w:val="Compact"/>
        <w:numPr>
          <w:ilvl w:val="0"/>
          <w:numId w:val="1045"/>
        </w:numPr>
      </w:pPr>
      <w:r>
        <w:t xml:space="preserve">Curatolo M, Bogduk N, Ivancic PC, McLean SA, Siegmund GP, Winkelstein BA.</w:t>
      </w:r>
      <w:r>
        <w:t xml:space="preserve"> </w:t>
      </w:r>
      <w:r>
        <w:rPr>
          <w:i/>
          <w:iCs/>
        </w:rPr>
        <w:t xml:space="preserve">The role of tissue damage in whiplash-associated disorders: discussion paper 1.</w:t>
      </w:r>
      <w:r>
        <w:t xml:space="preserve"> </w:t>
      </w:r>
      <w:r>
        <w:t xml:space="preserve">Spine, 2011.</w:t>
      </w:r>
      <w:r>
        <w:t xml:space="preserve"> </w:t>
      </w:r>
      <w:hyperlink r:id="rId86">
        <w:r>
          <w:rPr>
            <w:rStyle w:val="Hyperlink"/>
          </w:rPr>
          <w:t xml:space="preserve">PMID 22020601</w:t>
        </w:r>
      </w:hyperlink>
    </w:p>
    <w:p>
      <w:pPr>
        <w:pStyle w:val="Compact"/>
        <w:numPr>
          <w:ilvl w:val="0"/>
          <w:numId w:val="1045"/>
        </w:numPr>
      </w:pPr>
      <w:r>
        <w:t xml:space="preserve">Carroll LJ, Holm LW, Hogg-Johnson S, et al. </w:t>
      </w:r>
      <w:r>
        <w:rPr>
          <w:i/>
          <w:iCs/>
        </w:rPr>
        <w:t xml:space="preserve">Course and prognostic factors for neck pain in whiplash-associated disorders (WAD).</w:t>
      </w:r>
      <w:r>
        <w:t xml:space="preserve"> </w:t>
      </w:r>
      <w:r>
        <w:t xml:space="preserve">Spine, 2008.</w:t>
      </w:r>
      <w:r>
        <w:t xml:space="preserve"> </w:t>
      </w:r>
      <w:hyperlink r:id="rId87">
        <w:r>
          <w:rPr>
            <w:rStyle w:val="Hyperlink"/>
          </w:rPr>
          <w:t xml:space="preserve">PMID 18204405</w:t>
        </w:r>
      </w:hyperlink>
    </w:p>
    <w:p>
      <w:pPr>
        <w:pStyle w:val="Compact"/>
        <w:numPr>
          <w:ilvl w:val="0"/>
          <w:numId w:val="1045"/>
        </w:numPr>
      </w:pPr>
      <w:r>
        <w:t xml:space="preserve">Kongsted A, Qerama E, Kasch H, et al. </w:t>
      </w:r>
      <w:r>
        <w:rPr>
          <w:i/>
          <w:iCs/>
        </w:rPr>
        <w:t xml:space="preserve">Neck collar,</w:t>
      </w:r>
      <w:r>
        <w:rPr>
          <w:i/>
          <w:iCs/>
        </w:rPr>
        <w:t xml:space="preserve"> </w:t>
      </w:r>
      <w:r>
        <w:rPr>
          <w:i/>
          <w:iCs/>
        </w:rPr>
        <w:t xml:space="preserve">“act-as-usual”</w:t>
      </w:r>
      <w:r>
        <w:rPr>
          <w:i/>
          <w:iCs/>
        </w:rPr>
        <w:t xml:space="preserve"> </w:t>
      </w:r>
      <w:r>
        <w:rPr>
          <w:i/>
          <w:iCs/>
        </w:rPr>
        <w:t xml:space="preserve">or active mobilization for whiplash injury? A randomized parallel-group trial.</w:t>
      </w:r>
      <w:r>
        <w:t xml:space="preserve"> </w:t>
      </w:r>
      <w:r>
        <w:t xml:space="preserve">Spine, 2007.</w:t>
      </w:r>
      <w:r>
        <w:t xml:space="preserve"> </w:t>
      </w:r>
      <w:hyperlink r:id="rId88">
        <w:r>
          <w:rPr>
            <w:rStyle w:val="Hyperlink"/>
          </w:rPr>
          <w:t xml:space="preserve">PMID 17413465</w:t>
        </w:r>
      </w:hyperlink>
    </w:p>
    <w:p>
      <w:pPr>
        <w:pStyle w:val="Compact"/>
        <w:numPr>
          <w:ilvl w:val="0"/>
          <w:numId w:val="1045"/>
        </w:numPr>
      </w:pPr>
      <w:r>
        <w:t xml:space="preserve">Obelieniene D, Schrader H, Bovim G, Miseviciene I, Sand T.</w:t>
      </w:r>
      <w:r>
        <w:t xml:space="preserve"> </w:t>
      </w:r>
      <w:r>
        <w:rPr>
          <w:i/>
          <w:iCs/>
        </w:rPr>
        <w:t xml:space="preserve">Pain after whiplash: a prospective controlled inception cohort study.</w:t>
      </w:r>
      <w:r>
        <w:t xml:space="preserve"> </w:t>
      </w:r>
      <w:r>
        <w:t xml:space="preserve">J Neurol Neurosurg Psychiatry, 1999.</w:t>
      </w:r>
      <w:r>
        <w:t xml:space="preserve"> </w:t>
      </w:r>
      <w:hyperlink r:id="rId89">
        <w:r>
          <w:rPr>
            <w:rStyle w:val="Hyperlink"/>
          </w:rPr>
          <w:t xml:space="preserve">PMID 10084524</w:t>
        </w:r>
      </w:hyperlink>
    </w:p>
    <w:p>
      <w:pPr>
        <w:pStyle w:val="Compact"/>
        <w:numPr>
          <w:ilvl w:val="0"/>
          <w:numId w:val="1045"/>
        </w:numPr>
      </w:pPr>
      <w:r>
        <w:t xml:space="preserve">Ritchie C, Hendrikz J, Kenardy J, Sterling M.</w:t>
      </w:r>
      <w:r>
        <w:t xml:space="preserve"> </w:t>
      </w:r>
      <w:r>
        <w:rPr>
          <w:i/>
          <w:iCs/>
        </w:rPr>
        <w:t xml:space="preserve">Derivation of a clinical prediction rule to identify both chronic moderate/severe disability and full recovery following whiplash injury.</w:t>
      </w:r>
      <w:r>
        <w:t xml:space="preserve"> </w:t>
      </w:r>
      <w:r>
        <w:t xml:space="preserve">Pain, 2013.</w:t>
      </w:r>
      <w:r>
        <w:t xml:space="preserve"> </w:t>
      </w:r>
      <w:hyperlink r:id="rId90">
        <w:r>
          <w:rPr>
            <w:rStyle w:val="Hyperlink"/>
          </w:rPr>
          <w:t xml:space="preserve">PMID 23831865</w:t>
        </w:r>
      </w:hyperlink>
    </w:p>
    <w:p>
      <w:pPr>
        <w:pStyle w:val="Compact"/>
        <w:numPr>
          <w:ilvl w:val="0"/>
          <w:numId w:val="1045"/>
        </w:numPr>
      </w:pPr>
      <w:r>
        <w:t xml:space="preserve">Cassidy JD, Carroll LJ, Côté P, Lemstra M, Berglund A, Nygren A.</w:t>
      </w:r>
      <w:r>
        <w:t xml:space="preserve"> </w:t>
      </w:r>
      <w:r>
        <w:rPr>
          <w:i/>
          <w:iCs/>
        </w:rPr>
        <w:t xml:space="preserve">Effect of eliminating compensation for pain and suffering on the outcome of insurance claims for whiplash injury.</w:t>
      </w:r>
      <w:r>
        <w:t xml:space="preserve"> </w:t>
      </w:r>
      <w:r>
        <w:t xml:space="preserve">N Engl J Med, 2000.</w:t>
      </w:r>
      <w:r>
        <w:t xml:space="preserve"> </w:t>
      </w:r>
      <w:hyperlink r:id="rId91">
        <w:r>
          <w:rPr>
            <w:rStyle w:val="Hyperlink"/>
          </w:rPr>
          <w:t xml:space="preserve">PMID 10770984</w:t>
        </w:r>
      </w:hyperlink>
    </w:p>
    <w:p>
      <w:pPr>
        <w:pStyle w:val="Compact"/>
        <w:numPr>
          <w:ilvl w:val="0"/>
          <w:numId w:val="1045"/>
        </w:numPr>
      </w:pPr>
      <w:r>
        <w:t xml:space="preserve">Grauer JN, Panjabi MM, Cholewicki J, Nibu K, Dvorak J.</w:t>
      </w:r>
      <w:r>
        <w:t xml:space="preserve"> </w:t>
      </w:r>
      <w:r>
        <w:rPr>
          <w:i/>
          <w:iCs/>
        </w:rPr>
        <w:t xml:space="preserve">Whiplash produces an S-shaped curvature of the neck with hyperextension at lower levels.</w:t>
      </w:r>
      <w:r>
        <w:t xml:space="preserve"> </w:t>
      </w:r>
      <w:r>
        <w:t xml:space="preserve">Spine, 1997.</w:t>
      </w:r>
      <w:r>
        <w:t xml:space="preserve"> </w:t>
      </w:r>
      <w:hyperlink r:id="rId92">
        <w:r>
          <w:rPr>
            <w:rStyle w:val="Hyperlink"/>
          </w:rPr>
          <w:t xml:space="preserve">PMID 9383854</w:t>
        </w:r>
      </w:hyperlink>
    </w:p>
    <w:p>
      <w:pPr>
        <w:pStyle w:val="Compact"/>
        <w:numPr>
          <w:ilvl w:val="0"/>
          <w:numId w:val="1045"/>
        </w:numPr>
      </w:pPr>
      <w:r>
        <w:t xml:space="preserve">Sterling M, Jull G, Vicenzino B, Kenardy J, Darnell R.</w:t>
      </w:r>
      <w:r>
        <w:t xml:space="preserve"> </w:t>
      </w:r>
      <w:r>
        <w:rPr>
          <w:i/>
          <w:iCs/>
        </w:rPr>
        <w:t xml:space="preserve">Development of motor system dysfunction following whiplash injury.</w:t>
      </w:r>
      <w:r>
        <w:t xml:space="preserve"> </w:t>
      </w:r>
      <w:r>
        <w:t xml:space="preserve">Pain, 2003.</w:t>
      </w:r>
      <w:r>
        <w:t xml:space="preserve"> </w:t>
      </w:r>
      <w:hyperlink r:id="rId93">
        <w:r>
          <w:rPr>
            <w:rStyle w:val="Hyperlink"/>
          </w:rPr>
          <w:t xml:space="preserve">PMID 12749960</w:t>
        </w:r>
      </w:hyperlink>
    </w:p>
    <w:p>
      <w:pPr>
        <w:pStyle w:val="Compact"/>
        <w:numPr>
          <w:ilvl w:val="0"/>
          <w:numId w:val="1045"/>
        </w:numPr>
      </w:pPr>
      <w:r>
        <w:t xml:space="preserve">Boyd-Clark LC, Briggs CA, Galea MP.</w:t>
      </w:r>
      <w:r>
        <w:t xml:space="preserve"> </w:t>
      </w:r>
      <w:r>
        <w:rPr>
          <w:i/>
          <w:iCs/>
        </w:rPr>
        <w:t xml:space="preserve">Muscle spindle distribution, morphology, and density in longus colli and multifidus muscles of the cervical spine.</w:t>
      </w:r>
      <w:r>
        <w:t xml:space="preserve"> </w:t>
      </w:r>
      <w:r>
        <w:t xml:space="preserve">Spine, 2002.</w:t>
      </w:r>
      <w:r>
        <w:t xml:space="preserve"> </w:t>
      </w:r>
      <w:hyperlink r:id="rId94">
        <w:r>
          <w:rPr>
            <w:rStyle w:val="Hyperlink"/>
          </w:rPr>
          <w:t xml:space="preserve">PMID 11923661</w:t>
        </w:r>
      </w:hyperlink>
    </w:p>
    <w:p>
      <w:pPr>
        <w:pStyle w:val="Compact"/>
        <w:numPr>
          <w:ilvl w:val="0"/>
          <w:numId w:val="1045"/>
        </w:numPr>
      </w:pPr>
      <w:r>
        <w:t xml:space="preserve">Elliott J, Jull G, Noteboom JT, Darnell R, Galloway G, Gibbon WW.</w:t>
      </w:r>
      <w:r>
        <w:t xml:space="preserve"> </w:t>
      </w:r>
      <w:r>
        <w:rPr>
          <w:i/>
          <w:iCs/>
        </w:rPr>
        <w:t xml:space="preserve">Fatty infiltration in the cervical extensor muscles in persistent whiplash-associated disorders: a magnetic resonance imaging analysis.</w:t>
      </w:r>
      <w:r>
        <w:t xml:space="preserve"> </w:t>
      </w:r>
      <w:r>
        <w:t xml:space="preserve">Spine, 2006.</w:t>
      </w:r>
      <w:r>
        <w:t xml:space="preserve"> </w:t>
      </w:r>
      <w:hyperlink r:id="rId95">
        <w:r>
          <w:rPr>
            <w:rStyle w:val="Hyperlink"/>
          </w:rPr>
          <w:t xml:space="preserve">PMID 17047533</w:t>
        </w:r>
      </w:hyperlink>
    </w:p>
    <w:p>
      <w:pPr>
        <w:pStyle w:val="Compact"/>
        <w:numPr>
          <w:ilvl w:val="0"/>
          <w:numId w:val="1045"/>
        </w:numPr>
      </w:pPr>
      <w:r>
        <w:t xml:space="preserve">Kulkarni V, Chandy MJ, Babu KS.</w:t>
      </w:r>
      <w:r>
        <w:t xml:space="preserve"> </w:t>
      </w:r>
      <w:r>
        <w:rPr>
          <w:i/>
          <w:iCs/>
        </w:rPr>
        <w:t xml:space="preserve">Quantitative study of muscle spindles in suboccipital muscles of human foetuses.</w:t>
      </w:r>
      <w:r>
        <w:t xml:space="preserve"> </w:t>
      </w:r>
      <w:r>
        <w:t xml:space="preserve">Neurol India, 2001.</w:t>
      </w:r>
      <w:r>
        <w:t xml:space="preserve"> </w:t>
      </w:r>
      <w:hyperlink r:id="rId96">
        <w:r>
          <w:rPr>
            <w:rStyle w:val="Hyperlink"/>
          </w:rPr>
          <w:t xml:space="preserve">PMID 11799407</w:t>
        </w:r>
      </w:hyperlink>
    </w:p>
    <w:p>
      <w:pPr>
        <w:pStyle w:val="Compact"/>
        <w:numPr>
          <w:ilvl w:val="0"/>
          <w:numId w:val="1045"/>
        </w:numPr>
      </w:pPr>
      <w:r>
        <w:t xml:space="preserve">Häggman-Henrikson B, Lövgren A, Wu WY, Peck C, Westergren H, List T.</w:t>
      </w:r>
      <w:r>
        <w:t xml:space="preserve"> </w:t>
      </w:r>
      <w:r>
        <w:rPr>
          <w:i/>
          <w:iCs/>
        </w:rPr>
        <w:t xml:space="preserve">Prevalence of Temporomandibular Disorder Symptoms After Whiplash Trauma — A Systematic Review and Meta-Analysis.</w:t>
      </w:r>
      <w:r>
        <w:t xml:space="preserve"> </w:t>
      </w:r>
      <w:r>
        <w:t xml:space="preserve">Eur J Pain, 2025.</w:t>
      </w:r>
      <w:r>
        <w:t xml:space="preserve"> </w:t>
      </w:r>
      <w:hyperlink r:id="rId97">
        <w:r>
          <w:rPr>
            <w:rStyle w:val="Hyperlink"/>
          </w:rPr>
          <w:t xml:space="preserve">PMID 39921489</w:t>
        </w:r>
      </w:hyperlink>
    </w:p>
    <w:p>
      <w:pPr>
        <w:pStyle w:val="Compact"/>
        <w:numPr>
          <w:ilvl w:val="0"/>
          <w:numId w:val="1045"/>
        </w:numPr>
      </w:pPr>
      <w:r>
        <w:t xml:space="preserve">Bogduk N.</w:t>
      </w:r>
      <w:r>
        <w:t xml:space="preserve"> </w:t>
      </w:r>
      <w:r>
        <w:rPr>
          <w:i/>
          <w:iCs/>
        </w:rPr>
        <w:t xml:space="preserve">The anatomical basis for cervicogenic headache.</w:t>
      </w:r>
      <w:r>
        <w:t xml:space="preserve"> </w:t>
      </w:r>
      <w:r>
        <w:t xml:space="preserve">J Manipulative Physiol Ther, 1992.</w:t>
      </w:r>
      <w:r>
        <w:t xml:space="preserve"> </w:t>
      </w:r>
      <w:hyperlink r:id="rId98">
        <w:r>
          <w:rPr>
            <w:rStyle w:val="Hyperlink"/>
          </w:rPr>
          <w:t xml:space="preserve">PMID 1740655</w:t>
        </w:r>
      </w:hyperlink>
    </w:p>
    <w:p>
      <w:pPr>
        <w:pStyle w:val="Compact"/>
        <w:numPr>
          <w:ilvl w:val="0"/>
          <w:numId w:val="1045"/>
        </w:numPr>
      </w:pPr>
      <w:r>
        <w:t xml:space="preserve">Kosek E, Clauw D, Nijs J, et al. </w:t>
      </w:r>
      <w:r>
        <w:rPr>
          <w:i/>
          <w:iCs/>
        </w:rPr>
        <w:t xml:space="preserve">Chronic nociplastic pain affecting the musculoskeletal system: clinical criteria and grading system.</w:t>
      </w:r>
      <w:r>
        <w:t xml:space="preserve"> </w:t>
      </w:r>
      <w:r>
        <w:t xml:space="preserve">Pain, 2021.</w:t>
      </w:r>
      <w:r>
        <w:t xml:space="preserve"> </w:t>
      </w:r>
      <w:hyperlink r:id="rId99">
        <w:r>
          <w:rPr>
            <w:rStyle w:val="Hyperlink"/>
          </w:rPr>
          <w:t xml:space="preserve">PMID 33974577</w:t>
        </w:r>
      </w:hyperlink>
    </w:p>
    <w:p>
      <w:pPr>
        <w:pStyle w:val="Compact"/>
        <w:numPr>
          <w:ilvl w:val="0"/>
          <w:numId w:val="1045"/>
        </w:numPr>
      </w:pPr>
      <w:r>
        <w:t xml:space="preserve">Chien A, Eliav E, Sterling M.</w:t>
      </w:r>
      <w:r>
        <w:t xml:space="preserve"> </w:t>
      </w:r>
      <w:r>
        <w:rPr>
          <w:i/>
          <w:iCs/>
        </w:rPr>
        <w:t xml:space="preserve">Hypoaesthesia occurs with sensory hypersensitivity in chronic whiplash.</w:t>
      </w:r>
      <w:r>
        <w:t xml:space="preserve"> </w:t>
      </w:r>
      <w:r>
        <w:t xml:space="preserve">Man Ther, 2009.</w:t>
      </w:r>
      <w:r>
        <w:t xml:space="preserve"> </w:t>
      </w:r>
      <w:hyperlink r:id="rId100">
        <w:r>
          <w:rPr>
            <w:rStyle w:val="Hyperlink"/>
          </w:rPr>
          <w:t xml:space="preserve">PMID 18294899</w:t>
        </w:r>
      </w:hyperlink>
    </w:p>
    <w:p>
      <w:pPr>
        <w:pStyle w:val="Compact"/>
        <w:numPr>
          <w:ilvl w:val="0"/>
          <w:numId w:val="1045"/>
        </w:numPr>
      </w:pPr>
      <w:r>
        <w:t xml:space="preserve">Lord SM, Barnsley L, Wallis BJ, Bogduk N.</w:t>
      </w:r>
      <w:r>
        <w:t xml:space="preserve"> </w:t>
      </w:r>
      <w:r>
        <w:rPr>
          <w:i/>
          <w:iCs/>
        </w:rPr>
        <w:t xml:space="preserve">Third occipital nerve headache: a prevalence study.</w:t>
      </w:r>
      <w:r>
        <w:t xml:space="preserve"> </w:t>
      </w:r>
      <w:r>
        <w:t xml:space="preserve">J Neurol Neurosurg Psychiatry, 1994.</w:t>
      </w:r>
      <w:r>
        <w:t xml:space="preserve"> </w:t>
      </w:r>
      <w:hyperlink r:id="rId101">
        <w:r>
          <w:rPr>
            <w:rStyle w:val="Hyperlink"/>
          </w:rPr>
          <w:t xml:space="preserve">PMID 7931379</w:t>
        </w:r>
      </w:hyperlink>
    </w:p>
    <w:p>
      <w:pPr>
        <w:pStyle w:val="Compact"/>
        <w:numPr>
          <w:ilvl w:val="0"/>
          <w:numId w:val="1045"/>
        </w:numPr>
      </w:pPr>
      <w:r>
        <w:t xml:space="preserve">Lord SM, Barnsley L, Wallis BJ, McDonald GJ, Bogduk N.</w:t>
      </w:r>
      <w:r>
        <w:t xml:space="preserve"> </w:t>
      </w:r>
      <w:r>
        <w:rPr>
          <w:i/>
          <w:iCs/>
        </w:rPr>
        <w:t xml:space="preserve">Percutaneous radio-frequency neurotomy for chronic cervical zygapophyseal-joint pain.</w:t>
      </w:r>
      <w:r>
        <w:t xml:space="preserve"> </w:t>
      </w:r>
      <w:r>
        <w:t xml:space="preserve">N Engl J Med, 1996.</w:t>
      </w:r>
      <w:r>
        <w:t xml:space="preserve"> </w:t>
      </w:r>
      <w:hyperlink r:id="rId102">
        <w:r>
          <w:rPr>
            <w:rStyle w:val="Hyperlink"/>
          </w:rPr>
          <w:t xml:space="preserve">PMID 8929263</w:t>
        </w:r>
      </w:hyperlink>
    </w:p>
    <w:p>
      <w:pPr>
        <w:pStyle w:val="Compact"/>
        <w:numPr>
          <w:ilvl w:val="0"/>
          <w:numId w:val="1045"/>
        </w:numPr>
      </w:pPr>
      <w:r>
        <w:t xml:space="preserve">Elliott J, Pedler A, Kenardy J, Galloway G, Jull G, Sterling M.</w:t>
      </w:r>
      <w:r>
        <w:t xml:space="preserve"> </w:t>
      </w:r>
      <w:r>
        <w:rPr>
          <w:i/>
          <w:iCs/>
        </w:rPr>
        <w:t xml:space="preserve">The temporal development of fatty infiltrates in the neck muscles following whiplash injury: an association with pain and posttraumatic stress.</w:t>
      </w:r>
      <w:r>
        <w:t xml:space="preserve"> </w:t>
      </w:r>
      <w:r>
        <w:t xml:space="preserve">PLoS One, 2011.</w:t>
      </w:r>
      <w:r>
        <w:t xml:space="preserve"> </w:t>
      </w:r>
      <w:hyperlink r:id="rId103">
        <w:r>
          <w:rPr>
            <w:rStyle w:val="Hyperlink"/>
          </w:rPr>
          <w:t xml:space="preserve">PMID 21698170</w:t>
        </w:r>
      </w:hyperlink>
    </w:p>
    <w:p>
      <w:pPr>
        <w:pStyle w:val="Compact"/>
        <w:numPr>
          <w:ilvl w:val="0"/>
          <w:numId w:val="1045"/>
        </w:numPr>
      </w:pPr>
      <w:r>
        <w:t xml:space="preserve">Daenen L, Nijs J, Roussel N, et al. </w:t>
      </w:r>
      <w:r>
        <w:rPr>
          <w:i/>
          <w:iCs/>
        </w:rPr>
        <w:t xml:space="preserve">Dysfunctional pain inhibition in patients with chronic whiplash-associated disorders.</w:t>
      </w:r>
      <w:r>
        <w:t xml:space="preserve"> </w:t>
      </w:r>
      <w:r>
        <w:t xml:space="preserve">Clin Rheumatol, 2013.</w:t>
      </w:r>
      <w:r>
        <w:t xml:space="preserve"> </w:t>
      </w:r>
      <w:hyperlink r:id="rId104">
        <w:r>
          <w:rPr>
            <w:rStyle w:val="Hyperlink"/>
          </w:rPr>
          <w:t xml:space="preserve">PMID 22983264</w:t>
        </w:r>
      </w:hyperlink>
    </w:p>
    <w:p>
      <w:pPr>
        <w:pStyle w:val="Compact"/>
        <w:numPr>
          <w:ilvl w:val="0"/>
          <w:numId w:val="1045"/>
        </w:numPr>
      </w:pPr>
      <w:r>
        <w:t xml:space="preserve">Sterling M, Jull G, Vicenzino B, Kenardy J.</w:t>
      </w:r>
      <w:r>
        <w:t xml:space="preserve"> </w:t>
      </w:r>
      <w:r>
        <w:rPr>
          <w:i/>
          <w:iCs/>
        </w:rPr>
        <w:t xml:space="preserve">Sensory hypersensitivity occurs soon after whiplash injury and is associated with poor recovery.</w:t>
      </w:r>
      <w:r>
        <w:t xml:space="preserve"> </w:t>
      </w:r>
      <w:r>
        <w:t xml:space="preserve">Pain, 2003.</w:t>
      </w:r>
      <w:r>
        <w:t xml:space="preserve"> </w:t>
      </w:r>
      <w:hyperlink r:id="rId105">
        <w:r>
          <w:rPr>
            <w:rStyle w:val="Hyperlink"/>
          </w:rPr>
          <w:t xml:space="preserve">PMID 12927623</w:t>
        </w:r>
      </w:hyperlink>
    </w:p>
    <w:p>
      <w:pPr>
        <w:pStyle w:val="Compact"/>
        <w:numPr>
          <w:ilvl w:val="0"/>
          <w:numId w:val="1045"/>
        </w:numPr>
      </w:pPr>
      <w:r>
        <w:t xml:space="preserve">Goldsmith R, Wright C, Bell SF, Rushton A.</w:t>
      </w:r>
      <w:r>
        <w:t xml:space="preserve"> </w:t>
      </w:r>
      <w:r>
        <w:rPr>
          <w:i/>
          <w:iCs/>
        </w:rPr>
        <w:t xml:space="preserve">Cold hyperalgesia as a prognostic factor in whiplash associated disorders: a systematic review.</w:t>
      </w:r>
      <w:r>
        <w:t xml:space="preserve"> </w:t>
      </w:r>
      <w:r>
        <w:t xml:space="preserve">Man Ther, 2012.</w:t>
      </w:r>
      <w:r>
        <w:t xml:space="preserve"> </w:t>
      </w:r>
      <w:hyperlink r:id="rId106">
        <w:r>
          <w:rPr>
            <w:rStyle w:val="Hyperlink"/>
          </w:rPr>
          <w:t xml:space="preserve">PMID 22464187</w:t>
        </w:r>
      </w:hyperlink>
    </w:p>
    <w:p>
      <w:pPr>
        <w:pStyle w:val="Compact"/>
        <w:numPr>
          <w:ilvl w:val="0"/>
          <w:numId w:val="1045"/>
        </w:numPr>
      </w:pPr>
      <w:r>
        <w:t xml:space="preserve">Sterling M, Jull G, Kenardy J.</w:t>
      </w:r>
      <w:r>
        <w:t xml:space="preserve"> </w:t>
      </w:r>
      <w:r>
        <w:rPr>
          <w:i/>
          <w:iCs/>
        </w:rPr>
        <w:t xml:space="preserve">Physical and psychological factors maintain long-term predictive capacity post-whiplash injury.</w:t>
      </w:r>
      <w:r>
        <w:t xml:space="preserve"> </w:t>
      </w:r>
      <w:r>
        <w:t xml:space="preserve">Pain, 2006.</w:t>
      </w:r>
      <w:r>
        <w:t xml:space="preserve"> </w:t>
      </w:r>
      <w:hyperlink r:id="rId107">
        <w:r>
          <w:rPr>
            <w:rStyle w:val="Hyperlink"/>
          </w:rPr>
          <w:t xml:space="preserve">PMID 16527397</w:t>
        </w:r>
      </w:hyperlink>
    </w:p>
    <w:p>
      <w:pPr>
        <w:pStyle w:val="Compact"/>
        <w:numPr>
          <w:ilvl w:val="0"/>
          <w:numId w:val="1045"/>
        </w:numPr>
      </w:pPr>
      <w:r>
        <w:t xml:space="preserve">Ravn SL, Karstoft KI, Sterling M, Andersen TE.</w:t>
      </w:r>
      <w:r>
        <w:t xml:space="preserve"> </w:t>
      </w:r>
      <w:r>
        <w:rPr>
          <w:i/>
          <w:iCs/>
        </w:rPr>
        <w:t xml:space="preserve">Trajectories of posttraumatic stress symptoms after whiplash: A prospective cohort study.</w:t>
      </w:r>
      <w:r>
        <w:t xml:space="preserve"> </w:t>
      </w:r>
      <w:r>
        <w:t xml:space="preserve">Eur J Pain, 2019.</w:t>
      </w:r>
      <w:r>
        <w:t xml:space="preserve"> </w:t>
      </w:r>
      <w:hyperlink r:id="rId108">
        <w:r>
          <w:rPr>
            <w:rStyle w:val="Hyperlink"/>
          </w:rPr>
          <w:t xml:space="preserve">PMID 30318773</w:t>
        </w:r>
      </w:hyperlink>
    </w:p>
    <w:p>
      <w:pPr>
        <w:pStyle w:val="Compact"/>
        <w:numPr>
          <w:ilvl w:val="0"/>
          <w:numId w:val="1045"/>
        </w:numPr>
      </w:pPr>
      <w:r>
        <w:t xml:space="preserve">Sterling M, Smeets R, Keijzers G, Warren J, Kenardy J.</w:t>
      </w:r>
      <w:r>
        <w:t xml:space="preserve"> </w:t>
      </w:r>
      <w:r>
        <w:rPr>
          <w:i/>
          <w:iCs/>
        </w:rPr>
        <w:t xml:space="preserve">Physiotherapist-delivered stress inoculation training integrated with exercise versus physiotherapy exercise alone for acute whiplash-associated disorder (StressModex): a randomised controlled trial.</w:t>
      </w:r>
      <w:r>
        <w:t xml:space="preserve"> </w:t>
      </w:r>
      <w:r>
        <w:t xml:space="preserve">Br J Sports Med, 2019.</w:t>
      </w:r>
      <w:r>
        <w:t xml:space="preserve"> </w:t>
      </w:r>
      <w:hyperlink r:id="rId109">
        <w:r>
          <w:rPr>
            <w:rStyle w:val="Hyperlink"/>
          </w:rPr>
          <w:t xml:space="preserve">PMID 30661011</w:t>
        </w:r>
      </w:hyperlink>
    </w:p>
    <w:p>
      <w:pPr>
        <w:pStyle w:val="Compact"/>
        <w:numPr>
          <w:ilvl w:val="0"/>
          <w:numId w:val="1045"/>
        </w:numPr>
      </w:pPr>
      <w:r>
        <w:t xml:space="preserve">Al-Wardat M, Al Rjoub T, Alrawashdeh A, et al. </w:t>
      </w:r>
      <w:r>
        <w:rPr>
          <w:i/>
          <w:iCs/>
        </w:rPr>
        <w:t xml:space="preserve">The effectiveness of psychological interventions on pain, disability, and psychological symptoms in whiplash-associated disorders: a systematic review and meta-analysis.</w:t>
      </w:r>
      <w:r>
        <w:t xml:space="preserve"> </w:t>
      </w:r>
      <w:r>
        <w:t xml:space="preserve">BMC Psychology, 2026.</w:t>
      </w:r>
      <w:r>
        <w:t xml:space="preserve"> </w:t>
      </w:r>
      <w:hyperlink r:id="rId110">
        <w:r>
          <w:rPr>
            <w:rStyle w:val="Hyperlink"/>
          </w:rPr>
          <w:t xml:space="preserve">PMID 42298620</w:t>
        </w:r>
      </w:hyperlink>
    </w:p>
    <w:p>
      <w:pPr>
        <w:pStyle w:val="Compact"/>
        <w:numPr>
          <w:ilvl w:val="0"/>
          <w:numId w:val="1045"/>
        </w:numPr>
      </w:pPr>
      <w:r>
        <w:t xml:space="preserve">Hendriks EJ, Scholten-Peeters GG, van der Windt DA, Neeleman-van der Steen CW, Oostendorp RA, Verhagen AP.</w:t>
      </w:r>
      <w:r>
        <w:t xml:space="preserve"> </w:t>
      </w:r>
      <w:r>
        <w:rPr>
          <w:i/>
          <w:iCs/>
        </w:rPr>
        <w:t xml:space="preserve">Prognostic factors for poor recovery in acute whiplash patients.</w:t>
      </w:r>
      <w:r>
        <w:t xml:space="preserve"> </w:t>
      </w:r>
      <w:r>
        <w:t xml:space="preserve">Pain, 2005.</w:t>
      </w:r>
      <w:r>
        <w:t xml:space="preserve"> </w:t>
      </w:r>
      <w:hyperlink r:id="rId111">
        <w:r>
          <w:rPr>
            <w:rStyle w:val="Hyperlink"/>
          </w:rPr>
          <w:t xml:space="preserve">PMID 15777866</w:t>
        </w:r>
      </w:hyperlink>
    </w:p>
    <w:p>
      <w:pPr>
        <w:pStyle w:val="Compact"/>
        <w:numPr>
          <w:ilvl w:val="0"/>
          <w:numId w:val="1045"/>
        </w:numPr>
      </w:pPr>
      <w:r>
        <w:t xml:space="preserve">Smith A, Andruski B, Deng G, Burnham R.</w:t>
      </w:r>
      <w:r>
        <w:t xml:space="preserve"> </w:t>
      </w:r>
      <w:r>
        <w:rPr>
          <w:i/>
          <w:iCs/>
        </w:rPr>
        <w:t xml:space="preserve">Cervical Spine Facet-Mediated Pain and Sleep in Chronic Whiplash.</w:t>
      </w:r>
      <w:r>
        <w:t xml:space="preserve"> </w:t>
      </w:r>
      <w:r>
        <w:t xml:space="preserve">Clin J Pain, 2022.</w:t>
      </w:r>
      <w:r>
        <w:t xml:space="preserve"> </w:t>
      </w:r>
      <w:hyperlink r:id="rId112">
        <w:r>
          <w:rPr>
            <w:rStyle w:val="Hyperlink"/>
          </w:rPr>
          <w:t xml:space="preserve">PMID 36037089</w:t>
        </w:r>
      </w:hyperlink>
    </w:p>
    <w:p>
      <w:pPr>
        <w:pStyle w:val="Compact"/>
        <w:numPr>
          <w:ilvl w:val="0"/>
          <w:numId w:val="1045"/>
        </w:numPr>
      </w:pPr>
      <w:r>
        <w:t xml:space="preserve">Schuh-Hofer S, Wodarski R, Pfau DB, et al. </w:t>
      </w:r>
      <w:r>
        <w:rPr>
          <w:i/>
          <w:iCs/>
        </w:rPr>
        <w:t xml:space="preserve">One night of total sleep deprivation promotes a state of generalized hyperalgesia.</w:t>
      </w:r>
      <w:r>
        <w:t xml:space="preserve"> </w:t>
      </w:r>
      <w:r>
        <w:t xml:space="preserve">Pain, 2013.</w:t>
      </w:r>
      <w:r>
        <w:t xml:space="preserve"> </w:t>
      </w:r>
      <w:hyperlink r:id="rId113">
        <w:r>
          <w:rPr>
            <w:rStyle w:val="Hyperlink"/>
          </w:rPr>
          <w:t xml:space="preserve">PMID 23707287</w:t>
        </w:r>
      </w:hyperlink>
    </w:p>
    <w:p>
      <w:pPr>
        <w:pStyle w:val="Compact"/>
        <w:numPr>
          <w:ilvl w:val="0"/>
          <w:numId w:val="1045"/>
        </w:numPr>
      </w:pPr>
      <w:r>
        <w:t xml:space="preserve">Treleaven J, Jull G, Sterling M.</w:t>
      </w:r>
      <w:r>
        <w:t xml:space="preserve"> </w:t>
      </w:r>
      <w:r>
        <w:rPr>
          <w:i/>
          <w:iCs/>
        </w:rPr>
        <w:t xml:space="preserve">Dizziness and unsteadiness following whiplash injury: characteristic features and relationship with cervical joint position error.</w:t>
      </w:r>
      <w:r>
        <w:t xml:space="preserve"> </w:t>
      </w:r>
      <w:r>
        <w:t xml:space="preserve">J Rehabil Med, 2003.</w:t>
      </w:r>
      <w:r>
        <w:t xml:space="preserve"> </w:t>
      </w:r>
      <w:hyperlink r:id="rId114">
        <w:r>
          <w:rPr>
            <w:rStyle w:val="Hyperlink"/>
          </w:rPr>
          <w:t xml:space="preserve">PMID 12610847</w:t>
        </w:r>
      </w:hyperlink>
    </w:p>
    <w:p>
      <w:pPr>
        <w:pStyle w:val="Compact"/>
        <w:numPr>
          <w:ilvl w:val="0"/>
          <w:numId w:val="1045"/>
        </w:numPr>
      </w:pPr>
      <w:r>
        <w:t xml:space="preserve">de Jong PTVM, de Jong JMBV, Cohen B, Jongkees LBW.</w:t>
      </w:r>
      <w:r>
        <w:t xml:space="preserve"> </w:t>
      </w:r>
      <w:r>
        <w:rPr>
          <w:i/>
          <w:iCs/>
        </w:rPr>
        <w:t xml:space="preserve">Ataxia and nystagmus induced by injection of local anesthetics in the neck.</w:t>
      </w:r>
      <w:r>
        <w:t xml:space="preserve"> </w:t>
      </w:r>
      <w:r>
        <w:t xml:space="preserve">Ann Neurol, 1977.</w:t>
      </w:r>
      <w:r>
        <w:t xml:space="preserve"> </w:t>
      </w:r>
      <w:hyperlink r:id="rId115">
        <w:r>
          <w:rPr>
            <w:rStyle w:val="Hyperlink"/>
          </w:rPr>
          <w:t xml:space="preserve">PMID 407834</w:t>
        </w:r>
      </w:hyperlink>
      <w:r>
        <w:t xml:space="preserve"> </w:t>
      </w:r>
      <w:r>
        <w:t xml:space="preserve">· DOI 10.1002/ana.410010307 — PubMed non indicizza l’abstract: verificato sul sito dell’editore.</w:t>
      </w:r>
    </w:p>
    <w:p>
      <w:pPr>
        <w:pStyle w:val="Compact"/>
        <w:numPr>
          <w:ilvl w:val="0"/>
          <w:numId w:val="1045"/>
        </w:numPr>
      </w:pPr>
      <w:r>
        <w:t xml:space="preserve">Treleaven J, Peterson G, Ludvigsson ML, Kammerlind AS, Peolsson A.</w:t>
      </w:r>
      <w:r>
        <w:t xml:space="preserve"> </w:t>
      </w:r>
      <w:r>
        <w:rPr>
          <w:i/>
          <w:iCs/>
        </w:rPr>
        <w:t xml:space="preserve">Balance, dizziness and proprioception in patients with chronic whiplash associated disorders complaining of dizziness: A prospective randomized study comparing three exercise programs.</w:t>
      </w:r>
      <w:r>
        <w:t xml:space="preserve"> </w:t>
      </w:r>
      <w:r>
        <w:t xml:space="preserve">Man Ther, 2016.</w:t>
      </w:r>
      <w:r>
        <w:t xml:space="preserve"> </w:t>
      </w:r>
      <w:hyperlink r:id="rId116">
        <w:r>
          <w:rPr>
            <w:rStyle w:val="Hyperlink"/>
          </w:rPr>
          <w:t xml:space="preserve">PMID 26678652</w:t>
        </w:r>
      </w:hyperlink>
    </w:p>
    <w:p>
      <w:pPr>
        <w:pStyle w:val="Compact"/>
        <w:numPr>
          <w:ilvl w:val="0"/>
          <w:numId w:val="1045"/>
        </w:numPr>
      </w:pPr>
      <w:r>
        <w:t xml:space="preserve">Van Oosterwijck J, Nijs J, Meeus M, Van Loo M, Paul L.</w:t>
      </w:r>
      <w:r>
        <w:t xml:space="preserve"> </w:t>
      </w:r>
      <w:r>
        <w:rPr>
          <w:i/>
          <w:iCs/>
        </w:rPr>
        <w:t xml:space="preserve">Lack of endogenous pain inhibition during exercise in people with chronic whiplash associated disorders: an experimental study.</w:t>
      </w:r>
      <w:r>
        <w:t xml:space="preserve"> </w:t>
      </w:r>
      <w:r>
        <w:t xml:space="preserve">J Pain, 2012.</w:t>
      </w:r>
      <w:r>
        <w:t xml:space="preserve"> </w:t>
      </w:r>
      <w:hyperlink r:id="rId117">
        <w:r>
          <w:rPr>
            <w:rStyle w:val="Hyperlink"/>
          </w:rPr>
          <w:t xml:space="preserve">PMID 22277322</w:t>
        </w:r>
      </w:hyperlink>
    </w:p>
    <w:p>
      <w:pPr>
        <w:pStyle w:val="Compact"/>
        <w:numPr>
          <w:ilvl w:val="0"/>
          <w:numId w:val="1045"/>
        </w:numPr>
      </w:pPr>
      <w:r>
        <w:t xml:space="preserve">Côté P, Wong JJ, Sutton D, et al. </w:t>
      </w:r>
      <w:r>
        <w:rPr>
          <w:i/>
          <w:iCs/>
        </w:rPr>
        <w:t xml:space="preserve">Management of neck pain and associated disorders: A clinical practice guideline from the Ontario Protocol for Traffic Injury Management (OPTIMa) Collaboration.</w:t>
      </w:r>
      <w:r>
        <w:t xml:space="preserve"> </w:t>
      </w:r>
      <w:r>
        <w:t xml:space="preserve">Eur Spine J, 2016.</w:t>
      </w:r>
      <w:r>
        <w:t xml:space="preserve"> </w:t>
      </w:r>
      <w:hyperlink r:id="rId118">
        <w:r>
          <w:rPr>
            <w:rStyle w:val="Hyperlink"/>
          </w:rPr>
          <w:t xml:space="preserve">PMID 26984876</w:t>
        </w:r>
      </w:hyperlink>
    </w:p>
    <w:p>
      <w:pPr>
        <w:pStyle w:val="Compact"/>
        <w:numPr>
          <w:ilvl w:val="0"/>
          <w:numId w:val="1045"/>
        </w:numPr>
      </w:pPr>
      <w:r>
        <w:t xml:space="preserve">Muñoz-Bustos M, Soto-Martínez A, Carrasco-Uribarren A, Ceballos-Laita L.</w:t>
      </w:r>
      <w:r>
        <w:t xml:space="preserve"> </w:t>
      </w:r>
      <w:r>
        <w:rPr>
          <w:i/>
          <w:iCs/>
        </w:rPr>
        <w:t xml:space="preserve">Is the integration of education with exercise beneficial for whiplash-associated disorders? A systematic review and meta-analysis.</w:t>
      </w:r>
      <w:r>
        <w:t xml:space="preserve"> </w:t>
      </w:r>
      <w:r>
        <w:t xml:space="preserve">J Man Manip Ther, 2025.</w:t>
      </w:r>
      <w:r>
        <w:t xml:space="preserve"> </w:t>
      </w:r>
      <w:hyperlink r:id="rId119">
        <w:r>
          <w:rPr>
            <w:rStyle w:val="Hyperlink"/>
          </w:rPr>
          <w:t xml:space="preserve">PMID 40134097</w:t>
        </w:r>
      </w:hyperlink>
    </w:p>
    <w:p>
      <w:pPr>
        <w:pStyle w:val="Compact"/>
        <w:numPr>
          <w:ilvl w:val="0"/>
          <w:numId w:val="1045"/>
        </w:numPr>
      </w:pPr>
      <w:r>
        <w:t xml:space="preserve">Jull G, Kenardy J, Hendrikz J, Cohen M, Sterling M.</w:t>
      </w:r>
      <w:r>
        <w:t xml:space="preserve"> </w:t>
      </w:r>
      <w:r>
        <w:rPr>
          <w:i/>
          <w:iCs/>
        </w:rPr>
        <w:t xml:space="preserve">Management of acute whiplash: a randomized controlled trial of multidisciplinary stratified treatments.</w:t>
      </w:r>
      <w:r>
        <w:t xml:space="preserve"> </w:t>
      </w:r>
      <w:r>
        <w:t xml:space="preserve">Pain, 2013.</w:t>
      </w:r>
      <w:r>
        <w:t xml:space="preserve"> </w:t>
      </w:r>
      <w:hyperlink r:id="rId120">
        <w:r>
          <w:rPr>
            <w:rStyle w:val="Hyperlink"/>
          </w:rPr>
          <w:t xml:space="preserve">PMID 23726933</w:t>
        </w:r>
      </w:hyperlink>
    </w:p>
    <w:p>
      <w:pPr>
        <w:pStyle w:val="Compact"/>
        <w:numPr>
          <w:ilvl w:val="0"/>
          <w:numId w:val="1045"/>
        </w:numPr>
      </w:pPr>
      <w:r>
        <w:t xml:space="preserve">Michaleff ZA, Maher CG, Lin CW, et al. </w:t>
      </w:r>
      <w:r>
        <w:rPr>
          <w:i/>
          <w:iCs/>
        </w:rPr>
        <w:t xml:space="preserve">Comprehensive physiotherapy exercise programme or advice for chronic whiplash (PROMISE): a pragmatic randomised controlled trial.</w:t>
      </w:r>
      <w:r>
        <w:t xml:space="preserve"> </w:t>
      </w:r>
      <w:r>
        <w:t xml:space="preserve">Lancet, 2014.</w:t>
      </w:r>
      <w:r>
        <w:t xml:space="preserve"> </w:t>
      </w:r>
      <w:hyperlink r:id="rId121">
        <w:r>
          <w:rPr>
            <w:rStyle w:val="Hyperlink"/>
          </w:rPr>
          <w:t xml:space="preserve">PMID 24703832</w:t>
        </w:r>
      </w:hyperlink>
    </w:p>
    <w:p>
      <w:pPr>
        <w:pStyle w:val="Compact"/>
        <w:numPr>
          <w:ilvl w:val="0"/>
          <w:numId w:val="1045"/>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w:t>
      </w:r>
      <w:r>
        <w:t xml:space="preserve"> </w:t>
      </w:r>
      <w:hyperlink r:id="rId122">
        <w:r>
          <w:rPr>
            <w:rStyle w:val="Hyperlink"/>
          </w:rPr>
          <w:t xml:space="preserve">PMID 11414776</w:t>
        </w:r>
      </w:hyperlink>
    </w:p>
    <w:p>
      <w:pPr>
        <w:pStyle w:val="Compact"/>
        <w:numPr>
          <w:ilvl w:val="0"/>
          <w:numId w:val="1045"/>
        </w:numPr>
      </w:pPr>
      <w:r>
        <w:t xml:space="preserve">Chen J, Farrell SF, Huang WI, Cagnie B, Murillo C, Sterling M.</w:t>
      </w:r>
      <w:r>
        <w:t xml:space="preserve"> </w:t>
      </w:r>
      <w:r>
        <w:rPr>
          <w:i/>
          <w:iCs/>
        </w:rPr>
        <w:t xml:space="preserve">Differences in the clinical presentation of chronic whiplash-associated disorders and nontraumatic neck pain: a systematic review and meta-analysis.</w:t>
      </w:r>
      <w:r>
        <w:t xml:space="preserve"> </w:t>
      </w:r>
      <w:r>
        <w:t xml:space="preserve">Pain, 2025.</w:t>
      </w:r>
      <w:r>
        <w:t xml:space="preserve"> </w:t>
      </w:r>
      <w:hyperlink r:id="rId123">
        <w:r>
          <w:rPr>
            <w:rStyle w:val="Hyperlink"/>
          </w:rPr>
          <w:t xml:space="preserve">PMID 40198728</w:t>
        </w:r>
      </w:hyperlink>
    </w:p>
    <w:p>
      <w:pPr>
        <w:pStyle w:val="Compact"/>
        <w:numPr>
          <w:ilvl w:val="0"/>
          <w:numId w:val="1045"/>
        </w:numPr>
      </w:pPr>
      <w:r>
        <w:t xml:space="preserve">Revel M, Minguet M, Gregoy P, Vaillant J, Manuel JL.</w:t>
      </w:r>
      <w:r>
        <w:t xml:space="preserve"> </w:t>
      </w:r>
      <w:r>
        <w:rPr>
          <w:i/>
          <w:iCs/>
        </w:rPr>
        <w:t xml:space="preserve">Changes in cervicocephalic kinesthesia after a proprioceptive rehabilitation program in patients with neck pain: a randomized controlled study.</w:t>
      </w:r>
      <w:r>
        <w:t xml:space="preserve"> </w:t>
      </w:r>
      <w:r>
        <w:t xml:space="preserve">Arch Phys Med Rehabil, 1994.</w:t>
      </w:r>
      <w:r>
        <w:t xml:space="preserve"> </w:t>
      </w:r>
      <w:hyperlink r:id="rId124">
        <w:r>
          <w:rPr>
            <w:rStyle w:val="Hyperlink"/>
          </w:rPr>
          <w:t xml:space="preserve">PMID 8053797</w:t>
        </w:r>
      </w:hyperlink>
    </w:p>
    <w:p>
      <w:pPr>
        <w:pStyle w:val="Compact"/>
        <w:numPr>
          <w:ilvl w:val="0"/>
          <w:numId w:val="1045"/>
        </w:numPr>
      </w:pPr>
      <w:r>
        <w:t xml:space="preserve">Feller D, Chiarotto A, Koes B, Maselli F, Mourad F.</w:t>
      </w:r>
      <w:r>
        <w:t xml:space="preserve"> </w:t>
      </w:r>
      <w:r>
        <w:rPr>
          <w:i/>
          <w:iCs/>
        </w:rPr>
        <w:t xml:space="preserve">Red flags for potential serious pathologies in people with neck pain: a systematic review of clinical practice guidelines.</w:t>
      </w:r>
      <w:r>
        <w:t xml:space="preserve"> </w:t>
      </w:r>
      <w:r>
        <w:t xml:space="preserve">Arch Physiother, 2024.</w:t>
      </w:r>
      <w:r>
        <w:t xml:space="preserve"> </w:t>
      </w:r>
      <w:hyperlink r:id="rId125">
        <w:r>
          <w:rPr>
            <w:rStyle w:val="Hyperlink"/>
          </w:rPr>
          <w:t xml:space="preserve">PMID 39639931</w:t>
        </w:r>
      </w:hyperlink>
    </w:p>
    <w:p>
      <w:pPr>
        <w:pStyle w:val="Compact"/>
        <w:numPr>
          <w:ilvl w:val="0"/>
          <w:numId w:val="1045"/>
        </w:numPr>
      </w:pPr>
      <w:r>
        <w:t xml:space="preserve">Stiell IG, Wells GA, Vandemheen KL, et al. </w:t>
      </w:r>
      <w:r>
        <w:rPr>
          <w:i/>
          <w:iCs/>
        </w:rPr>
        <w:t xml:space="preserve">The Canadian C-spine rule for radiography in alert and stable trauma patients.</w:t>
      </w:r>
      <w:r>
        <w:t xml:space="preserve"> </w:t>
      </w:r>
      <w:r>
        <w:t xml:space="preserve">JAMA, 2001.</w:t>
      </w:r>
      <w:r>
        <w:t xml:space="preserve"> </w:t>
      </w:r>
      <w:hyperlink r:id="rId126">
        <w:r>
          <w:rPr>
            <w:rStyle w:val="Hyperlink"/>
          </w:rPr>
          <w:t xml:space="preserve">PMID 11597285</w:t>
        </w:r>
      </w:hyperlink>
    </w:p>
    <w:p>
      <w:pPr>
        <w:pStyle w:val="Compact"/>
        <w:numPr>
          <w:ilvl w:val="0"/>
          <w:numId w:val="1045"/>
        </w:numPr>
      </w:pPr>
      <w:r>
        <w:t xml:space="preserve">Hauser V, Zangger P, Winter Y, Oertel W, Kesselring J.</w:t>
      </w:r>
      <w:r>
        <w:t xml:space="preserve"> </w:t>
      </w:r>
      <w:r>
        <w:rPr>
          <w:i/>
          <w:iCs/>
        </w:rPr>
        <w:t xml:space="preserve">Late sequelae of whiplash injury with dissection of cervical arteries.</w:t>
      </w:r>
      <w:r>
        <w:t xml:space="preserve"> </w:t>
      </w:r>
      <w:r>
        <w:t xml:space="preserve">Eur Neurol, 2010.</w:t>
      </w:r>
      <w:r>
        <w:t xml:space="preserve"> </w:t>
      </w:r>
      <w:hyperlink r:id="rId127">
        <w:r>
          <w:rPr>
            <w:rStyle w:val="Hyperlink"/>
          </w:rPr>
          <w:t xml:space="preserve">PMID 20720428</w:t>
        </w:r>
      </w:hyperlink>
    </w:p>
    <w:p>
      <w:pPr>
        <w:pStyle w:val="Compact"/>
        <w:numPr>
          <w:ilvl w:val="0"/>
          <w:numId w:val="1045"/>
        </w:numPr>
      </w:pPr>
      <w:r>
        <w:t xml:space="preserve">Shiba J, et al. </w:t>
      </w:r>
      <w:r>
        <w:rPr>
          <w:i/>
          <w:iCs/>
        </w:rPr>
        <w:t xml:space="preserve">Traumatic retropharyngeal hematoma without cervical fracture or spinal cord injury.</w:t>
      </w:r>
      <w:r>
        <w:t xml:space="preserve"> </w:t>
      </w:r>
      <w:r>
        <w:t xml:space="preserve">Eur J Trauma Emerg Surg, 2023.</w:t>
      </w:r>
      <w:r>
        <w:t xml:space="preserve"> </w:t>
      </w:r>
      <w:hyperlink r:id="rId128">
        <w:r>
          <w:rPr>
            <w:rStyle w:val="Hyperlink"/>
          </w:rPr>
          <w:t xml:space="preserve">PMID 36585980</w:t>
        </w:r>
      </w:hyperlink>
    </w:p>
    <w:p>
      <w:pPr>
        <w:pStyle w:val="Compact"/>
        <w:numPr>
          <w:ilvl w:val="0"/>
          <w:numId w:val="1045"/>
        </w:numPr>
      </w:pPr>
      <w:r>
        <w:t xml:space="preserve">Lenga P, et al. </w:t>
      </w:r>
      <w:r>
        <w:rPr>
          <w:i/>
          <w:iCs/>
        </w:rPr>
        <w:t xml:space="preserve">Odontoid fractures in the elderly after low-energy trauma.</w:t>
      </w:r>
      <w:r>
        <w:t xml:space="preserve"> </w:t>
      </w:r>
      <w:r>
        <w:t xml:space="preserve">Global Spine J, 2023.</w:t>
      </w:r>
      <w:r>
        <w:t xml:space="preserve"> </w:t>
      </w:r>
      <w:hyperlink r:id="rId129">
        <w:r>
          <w:rPr>
            <w:rStyle w:val="Hyperlink"/>
          </w:rPr>
          <w:t xml:space="preserve">PMID 35344677</w:t>
        </w:r>
      </w:hyperlink>
    </w:p>
    <w:p>
      <w:pPr>
        <w:pStyle w:val="Compact"/>
        <w:numPr>
          <w:ilvl w:val="0"/>
          <w:numId w:val="1045"/>
        </w:numPr>
      </w:pPr>
      <w:r>
        <w:t xml:space="preserve">Rushton A, Carlesso LC, Flynn T, et al. </w:t>
      </w:r>
      <w:r>
        <w:rPr>
          <w:i/>
          <w:iCs/>
        </w:rPr>
        <w:t xml:space="preserve">International Framework for Examination of the Cervical Region for Potential of Vascular Pathologies of the Neck Prior to Musculoskeletal Intervention: International IFOMPT Cervical Framework.</w:t>
      </w:r>
      <w:r>
        <w:t xml:space="preserve"> </w:t>
      </w:r>
      <w:r>
        <w:t xml:space="preserve">J Orthop Sports Phys Ther, 2023.</w:t>
      </w:r>
      <w:r>
        <w:t xml:space="preserve"> </w:t>
      </w:r>
      <w:hyperlink r:id="rId130">
        <w:r>
          <w:rPr>
            <w:rStyle w:val="Hyperlink"/>
          </w:rPr>
          <w:t xml:space="preserve">PMID 36099171</w:t>
        </w:r>
      </w:hyperlink>
    </w:p>
    <w:p>
      <w:pPr>
        <w:pStyle w:val="Compact"/>
        <w:numPr>
          <w:ilvl w:val="0"/>
          <w:numId w:val="1045"/>
        </w:numPr>
      </w:pPr>
      <w:r>
        <w:t xml:space="preserve">Ludvigsson ML, Peterson G, O’Leary S, Dedering Å, Peolsson A.</w:t>
      </w:r>
      <w:r>
        <w:t xml:space="preserve"> </w:t>
      </w:r>
      <w:r>
        <w:rPr>
          <w:i/>
          <w:iCs/>
        </w:rPr>
        <w:t xml:space="preserve">The effect of neck-specific exercise with, or without a behavioral approach, on pain, disability, and self-efficacy in chronic whiplash-associated disorders: a randomized clinical trial.</w:t>
      </w:r>
      <w:r>
        <w:t xml:space="preserve"> </w:t>
      </w:r>
      <w:r>
        <w:t xml:space="preserve">Clin J Pain, 2015.</w:t>
      </w:r>
      <w:r>
        <w:t xml:space="preserve"> </w:t>
      </w:r>
      <w:hyperlink r:id="rId131">
        <w:r>
          <w:rPr>
            <w:rStyle w:val="Hyperlink"/>
          </w:rPr>
          <w:t xml:space="preserve">PMID 24918474</w:t>
        </w:r>
      </w:hyperlink>
    </w:p>
    <w:p>
      <w:pPr>
        <w:pStyle w:val="Compact"/>
        <w:numPr>
          <w:ilvl w:val="0"/>
          <w:numId w:val="1045"/>
        </w:numPr>
      </w:pPr>
      <w:r>
        <w:t xml:space="preserve">Ludvigsson ML, Peterson G, Dedering Å, Falla D, Peolsson A.</w:t>
      </w:r>
      <w:r>
        <w:t xml:space="preserve"> </w:t>
      </w:r>
      <w:r>
        <w:rPr>
          <w:i/>
          <w:iCs/>
        </w:rPr>
        <w:t xml:space="preserve">Factors associated with pain and disability reduction following exercise interventions in chronic whiplash.</w:t>
      </w:r>
      <w:r>
        <w:t xml:space="preserve"> </w:t>
      </w:r>
      <w:r>
        <w:t xml:space="preserve">Eur J Pain, 2016.</w:t>
      </w:r>
      <w:r>
        <w:t xml:space="preserve"> </w:t>
      </w:r>
      <w:hyperlink r:id="rId132">
        <w:r>
          <w:rPr>
            <w:rStyle w:val="Hyperlink"/>
          </w:rPr>
          <w:t xml:space="preserve">PMID 26031995</w:t>
        </w:r>
      </w:hyperlink>
    </w:p>
    <w:p>
      <w:pPr>
        <w:pStyle w:val="Compact"/>
        <w:numPr>
          <w:ilvl w:val="0"/>
          <w:numId w:val="1045"/>
        </w:numPr>
      </w:pPr>
      <w:r>
        <w:t xml:space="preserve">Landén Ludvigsson M, Peterson G, Dedering Å, Peolsson A.</w:t>
      </w:r>
      <w:r>
        <w:t xml:space="preserve"> </w:t>
      </w:r>
      <w:r>
        <w:rPr>
          <w:i/>
          <w:iCs/>
        </w:rPr>
        <w:t xml:space="preserve">One- and two-year follow-up of a randomized trial of neck-specific exercise with or without a behavioural approach compared with prescription of physical activity in chronic whiplash disorder.</w:t>
      </w:r>
      <w:r>
        <w:t xml:space="preserve"> </w:t>
      </w:r>
      <w:r>
        <w:t xml:space="preserve">J Rehabil Med, 2016.</w:t>
      </w:r>
      <w:r>
        <w:t xml:space="preserve"> </w:t>
      </w:r>
      <w:hyperlink r:id="rId133">
        <w:r>
          <w:rPr>
            <w:rStyle w:val="Hyperlink"/>
          </w:rPr>
          <w:t xml:space="preserve">PMID 26660722</w:t>
        </w:r>
      </w:hyperlink>
    </w:p>
    <w:p>
      <w:pPr>
        <w:pStyle w:val="Compact"/>
        <w:numPr>
          <w:ilvl w:val="0"/>
          <w:numId w:val="1045"/>
        </w:numPr>
      </w:pPr>
      <w:r>
        <w:t xml:space="preserve">Peolsson A, et al. </w:t>
      </w:r>
      <w:r>
        <w:rPr>
          <w:i/>
          <w:iCs/>
        </w:rPr>
        <w:t xml:space="preserve">Neck-specific exercise for dizziness in chronic whiplash-associated disorders.</w:t>
      </w:r>
      <w:r>
        <w:t xml:space="preserve"> </w:t>
      </w:r>
      <w:r>
        <w:t xml:space="preserve">2024.</w:t>
      </w:r>
      <w:r>
        <w:t xml:space="preserve"> </w:t>
      </w:r>
      <w:hyperlink r:id="rId134">
        <w:r>
          <w:rPr>
            <w:rStyle w:val="Hyperlink"/>
          </w:rPr>
          <w:t xml:space="preserve">PMID 39374216</w:t>
        </w:r>
      </w:hyperlink>
    </w:p>
    <w:p>
      <w:pPr>
        <w:pStyle w:val="Compact"/>
        <w:numPr>
          <w:ilvl w:val="0"/>
          <w:numId w:val="1045"/>
        </w:numPr>
      </w:pPr>
      <w:r>
        <w:t xml:space="preserve">Barun B, et al. </w:t>
      </w:r>
      <w:r>
        <w:rPr>
          <w:i/>
          <w:iCs/>
        </w:rPr>
        <w:t xml:space="preserve">Daily reminders and home exercise adherence after whiplash injury: a randomized controlled trial.</w:t>
      </w:r>
      <w:r>
        <w:t xml:space="preserve"> </w:t>
      </w:r>
      <w:r>
        <w:t xml:space="preserve">Diagnostics, 2024.</w:t>
      </w:r>
      <w:r>
        <w:t xml:space="preserve"> </w:t>
      </w:r>
      <w:hyperlink r:id="rId135">
        <w:r>
          <w:rPr>
            <w:rStyle w:val="Hyperlink"/>
          </w:rPr>
          <w:t xml:space="preserve">PMID 39682637</w:t>
        </w:r>
      </w:hyperlink>
    </w:p>
    <w:p>
      <w:pPr>
        <w:pStyle w:val="Compact"/>
        <w:numPr>
          <w:ilvl w:val="0"/>
          <w:numId w:val="1045"/>
        </w:numPr>
      </w:pPr>
      <w:r>
        <w:t xml:space="preserve">Larios-Ortega J, Díaz-Acuña AM, Colón-Fraile MT, Rivera-Sequeiros A, Albornoz-Cabello M, Ruiz-Romero MV.</w:t>
      </w:r>
      <w:r>
        <w:t xml:space="preserve"> </w:t>
      </w:r>
      <w:r>
        <w:rPr>
          <w:i/>
          <w:iCs/>
        </w:rPr>
        <w:t xml:space="preserve">The effectiveness of osteopathic treatment in cervical whiplash: a randomized controlled trial.</w:t>
      </w:r>
      <w:r>
        <w:t xml:space="preserve"> </w:t>
      </w:r>
      <w:r>
        <w:t xml:space="preserve">J Osteopath Med, 2026.</w:t>
      </w:r>
      <w:r>
        <w:t xml:space="preserve"> </w:t>
      </w:r>
      <w:hyperlink r:id="rId136">
        <w:r>
          <w:rPr>
            <w:rStyle w:val="Hyperlink"/>
          </w:rPr>
          <w:t xml:space="preserve">PMID 41696847</w:t>
        </w:r>
      </w:hyperlink>
    </w:p>
    <w:p>
      <w:pPr>
        <w:pStyle w:val="Compact"/>
        <w:numPr>
          <w:ilvl w:val="0"/>
          <w:numId w:val="1045"/>
        </w:numPr>
      </w:pPr>
      <w:r>
        <w:t xml:space="preserve">Peña-Salinas M, Oliva-Pascual-Vaca J, Heredia-Rizo AM, Rodriguez-Blanco C, Ricard F, Oliva-Pascual-Vaca Á.</w:t>
      </w:r>
      <w:r>
        <w:t xml:space="preserve"> </w:t>
      </w:r>
      <w:r>
        <w:rPr>
          <w:i/>
          <w:iCs/>
        </w:rPr>
        <w:t xml:space="preserve">No immediate changes on neural and muscular mechanosensitivity after first rib manipulation in subjects with cervical whiplash: A randomized controlled trial.</w:t>
      </w:r>
      <w:r>
        <w:t xml:space="preserve"> </w:t>
      </w:r>
      <w:r>
        <w:t xml:space="preserve">J Back Musculoskelet Rehabil, 2017.</w:t>
      </w:r>
      <w:r>
        <w:t xml:space="preserve"> </w:t>
      </w:r>
      <w:hyperlink r:id="rId137">
        <w:r>
          <w:rPr>
            <w:rStyle w:val="Hyperlink"/>
          </w:rPr>
          <w:t xml:space="preserve">PMID 28372320</w:t>
        </w:r>
      </w:hyperlink>
    </w:p>
    <w:p>
      <w:pPr>
        <w:pStyle w:val="Compact"/>
        <w:numPr>
          <w:ilvl w:val="0"/>
          <w:numId w:val="1045"/>
        </w:numPr>
      </w:pPr>
      <w:r>
        <w:t xml:space="preserve">Verhagen AP, Scholten-Peeters GG, van Wijngaarden S, de Bie RA, Bierma-Zeinstra SM.</w:t>
      </w:r>
      <w:r>
        <w:t xml:space="preserve"> </w:t>
      </w:r>
      <w:r>
        <w:rPr>
          <w:i/>
          <w:iCs/>
        </w:rPr>
        <w:t xml:space="preserve">Conservative treatments for whiplash.</w:t>
      </w:r>
      <w:r>
        <w:t xml:space="preserve"> </w:t>
      </w:r>
      <w:r>
        <w:t xml:space="preserve">Cochrane Database Syst Rev, 2007.</w:t>
      </w:r>
      <w:r>
        <w:t xml:space="preserve"> </w:t>
      </w:r>
      <w:hyperlink r:id="rId138">
        <w:r>
          <w:rPr>
            <w:rStyle w:val="Hyperlink"/>
          </w:rPr>
          <w:t xml:space="preserve">PMID 17443525</w:t>
        </w:r>
      </w:hyperlink>
    </w:p>
    <w:p>
      <w:pPr>
        <w:pStyle w:val="Compact"/>
        <w:numPr>
          <w:ilvl w:val="0"/>
          <w:numId w:val="1045"/>
        </w:numPr>
      </w:pPr>
      <w:r>
        <w:t xml:space="preserve">Wong JJ, Shearer HM, Mior S, et al. </w:t>
      </w:r>
      <w:r>
        <w:rPr>
          <w:i/>
          <w:iCs/>
        </w:rPr>
        <w:t xml:space="preserve">Are manual therapies, passive physical modalities, or acupuncture effective for the management of patients with whiplash-associated disorders or neck pain and associated disorders?</w:t>
      </w:r>
      <w:r>
        <w:t xml:space="preserve"> </w:t>
      </w:r>
      <w:r>
        <w:t xml:space="preserve">Spine J, 2016.</w:t>
      </w:r>
      <w:r>
        <w:t xml:space="preserve"> </w:t>
      </w:r>
      <w:hyperlink r:id="rId139">
        <w:r>
          <w:rPr>
            <w:rStyle w:val="Hyperlink"/>
          </w:rPr>
          <w:t xml:space="preserve">PMID 26707074</w:t>
        </w:r>
      </w:hyperlink>
    </w:p>
    <w:p>
      <w:pPr>
        <w:pStyle w:val="Compact"/>
        <w:numPr>
          <w:ilvl w:val="0"/>
          <w:numId w:val="1045"/>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w:t>
      </w:r>
      <w:r>
        <w:t xml:space="preserve"> </w:t>
      </w:r>
      <w:hyperlink r:id="rId140">
        <w:r>
          <w:rPr>
            <w:rStyle w:val="Hyperlink"/>
          </w:rPr>
          <w:t xml:space="preserve">PMID 9777544</w:t>
        </w:r>
      </w:hyperlink>
    </w:p>
    <w:p>
      <w:pPr>
        <w:pStyle w:val="Compact"/>
        <w:numPr>
          <w:ilvl w:val="0"/>
          <w:numId w:val="1045"/>
        </w:numPr>
      </w:pPr>
      <w:r>
        <w:t xml:space="preserve">Jung A, Adamczyk WM, Ahrens M, et al. </w:t>
      </w:r>
      <w:r>
        <w:rPr>
          <w:i/>
          <w:iCs/>
        </w:rPr>
        <w:t xml:space="preserve">No Sufficient Evidence for an Immediate Hypoalgesic Effect of Spinal Manual Therapy on Pressure Pain Thresholds.</w:t>
      </w:r>
      <w:r>
        <w:t xml:space="preserve"> </w:t>
      </w:r>
      <w:r>
        <w:t xml:space="preserve">Phys Ther, 2023.</w:t>
      </w:r>
      <w:r>
        <w:t xml:space="preserve"> </w:t>
      </w:r>
      <w:hyperlink r:id="rId141">
        <w:r>
          <w:rPr>
            <w:rStyle w:val="Hyperlink"/>
          </w:rPr>
          <w:t xml:space="preserve">PMID 37172128</w:t>
        </w:r>
      </w:hyperlink>
    </w:p>
    <w:p>
      <w:pPr>
        <w:pStyle w:val="Compact"/>
        <w:numPr>
          <w:ilvl w:val="0"/>
          <w:numId w:val="1045"/>
        </w:numPr>
      </w:pPr>
      <w:r>
        <w:t xml:space="preserve">Reid SA, Callister R, Katekar MG, Rivett DA.</w:t>
      </w:r>
      <w:r>
        <w:t xml:space="preserve"> </w:t>
      </w:r>
      <w:r>
        <w:rPr>
          <w:i/>
          <w:iCs/>
        </w:rPr>
        <w:t xml:space="preserve">Effects of Cervical Spine Manual Therapy on Range of Motion, Head Repositioning, and Balance in Participants With Cervicogenic Dizziness: A Randomized Controlled Trial.</w:t>
      </w:r>
      <w:r>
        <w:t xml:space="preserve"> </w:t>
      </w:r>
      <w:r>
        <w:t xml:space="preserve">Arch Phys Med Rehabil, 2014.</w:t>
      </w:r>
      <w:r>
        <w:t xml:space="preserve"> </w:t>
      </w:r>
      <w:hyperlink r:id="rId142">
        <w:r>
          <w:rPr>
            <w:rStyle w:val="Hyperlink"/>
          </w:rPr>
          <w:t xml:space="preserve">PMID 24792139</w:t>
        </w:r>
      </w:hyperlink>
    </w:p>
    <w:p>
      <w:pPr>
        <w:pStyle w:val="Compact"/>
        <w:numPr>
          <w:ilvl w:val="0"/>
          <w:numId w:val="1045"/>
        </w:numPr>
      </w:pPr>
      <w:r>
        <w:t xml:space="preserve">Church EW, Sieg EP, Zalatimo O, Hussain NS, Glantz M, Harbaugh RE.</w:t>
      </w:r>
      <w:r>
        <w:t xml:space="preserve"> </w:t>
      </w:r>
      <w:r>
        <w:rPr>
          <w:i/>
          <w:iCs/>
        </w:rPr>
        <w:t xml:space="preserve">Systematic Review and Meta-analysis of Chiropractic Care and Cervical Artery Dissection: No Evidence for Causation.</w:t>
      </w:r>
      <w:r>
        <w:t xml:space="preserve"> </w:t>
      </w:r>
      <w:r>
        <w:t xml:space="preserve">Cureus, 2016.</w:t>
      </w:r>
      <w:r>
        <w:t xml:space="preserve"> </w:t>
      </w:r>
      <w:hyperlink r:id="rId143">
        <w:r>
          <w:rPr>
            <w:rStyle w:val="Hyperlink"/>
          </w:rPr>
          <w:t xml:space="preserve">PMID 27014532</w:t>
        </w:r>
      </w:hyperlink>
    </w:p>
    <w:p>
      <w:pPr>
        <w:pStyle w:val="Compact"/>
        <w:numPr>
          <w:ilvl w:val="0"/>
          <w:numId w:val="1045"/>
        </w:numPr>
      </w:pPr>
      <w:r>
        <w:t xml:space="preserve">Stewart MJ, Maher CG, Refshauge KM, Herbert RD, Bogduk N, Nicholas M.</w:t>
      </w:r>
      <w:r>
        <w:t xml:space="preserve"> </w:t>
      </w:r>
      <w:r>
        <w:rPr>
          <w:i/>
          <w:iCs/>
        </w:rPr>
        <w:t xml:space="preserve">Randomized controlled trial of exercise for chronic whiplash-associated disorders.</w:t>
      </w:r>
      <w:r>
        <w:t xml:space="preserve"> </w:t>
      </w:r>
      <w:r>
        <w:t xml:space="preserve">Pain, 2007.</w:t>
      </w:r>
      <w:r>
        <w:t xml:space="preserve"> </w:t>
      </w:r>
      <w:hyperlink r:id="rId144">
        <w:r>
          <w:rPr>
            <w:rStyle w:val="Hyperlink"/>
          </w:rPr>
          <w:t xml:space="preserve">PMID 17029788</w:t>
        </w:r>
      </w:hyperlink>
    </w:p>
    <w:p>
      <w:pPr>
        <w:pStyle w:val="Compact"/>
        <w:numPr>
          <w:ilvl w:val="0"/>
          <w:numId w:val="1045"/>
        </w:numPr>
      </w:pPr>
      <w:r>
        <w:t xml:space="preserve">Lamb SE, Gates S, Williams MA, et al. </w:t>
      </w:r>
      <w:r>
        <w:rPr>
          <w:i/>
          <w:iCs/>
        </w:rPr>
        <w:t xml:space="preserve">Emergency department treatments and physiotherapy for acute whiplash: a pragmatic, two-step, randomised controlled trial.</w:t>
      </w:r>
      <w:r>
        <w:t xml:space="preserve"> </w:t>
      </w:r>
      <w:r>
        <w:t xml:space="preserve">Lancet, 2013.</w:t>
      </w:r>
      <w:r>
        <w:t xml:space="preserve"> </w:t>
      </w:r>
      <w:hyperlink r:id="rId145">
        <w:r>
          <w:rPr>
            <w:rStyle w:val="Hyperlink"/>
          </w:rPr>
          <w:t xml:space="preserve">PMID 23260167</w:t>
        </w:r>
      </w:hyperlink>
    </w:p>
    <w:p>
      <w:pPr>
        <w:pStyle w:val="Compact"/>
        <w:numPr>
          <w:ilvl w:val="0"/>
          <w:numId w:val="1045"/>
        </w:numPr>
      </w:pPr>
      <w:r>
        <w:t xml:space="preserve">Kent AP, Brueckmann M, Fraessdorf M, et al. </w:t>
      </w:r>
      <w:r>
        <w:rPr>
          <w:i/>
          <w:iCs/>
        </w:rPr>
        <w:t xml:space="preserve">Concomitant Oral Anticoagulant and Nonsteroidal Anti-Inflammatory Drug Therapy in Patients With Atrial Fibrillation (RE-LY).</w:t>
      </w:r>
      <w:r>
        <w:t xml:space="preserve"> </w:t>
      </w:r>
      <w:r>
        <w:t xml:space="preserve">J Am Coll Cardiol, 2018.</w:t>
      </w:r>
      <w:r>
        <w:t xml:space="preserve"> </w:t>
      </w:r>
      <w:hyperlink r:id="rId146">
        <w:r>
          <w:rPr>
            <w:rStyle w:val="Hyperlink"/>
          </w:rPr>
          <w:t xml:space="preserve">PMID 30012318</w:t>
        </w:r>
      </w:hyperlink>
    </w:p>
    <w:p>
      <w:pPr>
        <w:pStyle w:val="Compact"/>
        <w:numPr>
          <w:ilvl w:val="0"/>
          <w:numId w:val="1045"/>
        </w:numPr>
      </w:pPr>
      <w:r>
        <w:t xml:space="preserve">Dalgaard F, Mulder H, Wojdyla DM, et al. </w:t>
      </w:r>
      <w:r>
        <w:rPr>
          <w:i/>
          <w:iCs/>
        </w:rPr>
        <w:t xml:space="preserve">Patients With Atrial Fibrillation Taking Nonsteroidal Anti-Inflammatory Drugs and Oral Anticoagulants in the ARISTOTLE Trial.</w:t>
      </w:r>
      <w:r>
        <w:t xml:space="preserve"> </w:t>
      </w:r>
      <w:r>
        <w:t xml:space="preserve">Circulation, 2020.</w:t>
      </w:r>
      <w:r>
        <w:t xml:space="preserve"> </w:t>
      </w:r>
      <w:hyperlink r:id="rId147">
        <w:r>
          <w:rPr>
            <w:rStyle w:val="Hyperlink"/>
          </w:rPr>
          <w:t xml:space="preserve">PMID 31747786</w:t>
        </w:r>
      </w:hyperlink>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 Target="https://pubmed.ncbi.nlm.nih.gov/10084524/" TargetMode="External" /><Relationship Type="http://schemas.openxmlformats.org/officeDocument/2006/relationships/hyperlink" Id="rId91" Target="https://pubmed.ncbi.nlm.nih.gov/10770984/" TargetMode="External" /><Relationship Type="http://schemas.openxmlformats.org/officeDocument/2006/relationships/hyperlink" Id="rId122" Target="https://pubmed.ncbi.nlm.nih.gov/11414776/" TargetMode="External" /><Relationship Type="http://schemas.openxmlformats.org/officeDocument/2006/relationships/hyperlink" Id="rId126" Target="https://pubmed.ncbi.nlm.nih.gov/11597285/" TargetMode="External" /><Relationship Type="http://schemas.openxmlformats.org/officeDocument/2006/relationships/hyperlink" Id="rId96" Target="https://pubmed.ncbi.nlm.nih.gov/11799407/" TargetMode="External" /><Relationship Type="http://schemas.openxmlformats.org/officeDocument/2006/relationships/hyperlink" Id="rId94" Target="https://pubmed.ncbi.nlm.nih.gov/11923661/" TargetMode="External" /><Relationship Type="http://schemas.openxmlformats.org/officeDocument/2006/relationships/hyperlink" Id="rId114" Target="https://pubmed.ncbi.nlm.nih.gov/12610847/" TargetMode="External" /><Relationship Type="http://schemas.openxmlformats.org/officeDocument/2006/relationships/hyperlink" Id="rId93" Target="https://pubmed.ncbi.nlm.nih.gov/12749960/" TargetMode="External" /><Relationship Type="http://schemas.openxmlformats.org/officeDocument/2006/relationships/hyperlink" Id="rId105" Target="https://pubmed.ncbi.nlm.nih.gov/12927623/" TargetMode="External" /><Relationship Type="http://schemas.openxmlformats.org/officeDocument/2006/relationships/hyperlink" Id="rId111" Target="https://pubmed.ncbi.nlm.nih.gov/15777866/" TargetMode="External" /><Relationship Type="http://schemas.openxmlformats.org/officeDocument/2006/relationships/hyperlink" Id="rId107" Target="https://pubmed.ncbi.nlm.nih.gov/16527397/" TargetMode="External" /><Relationship Type="http://schemas.openxmlformats.org/officeDocument/2006/relationships/hyperlink" Id="rId144" Target="https://pubmed.ncbi.nlm.nih.gov/17029788/" TargetMode="External" /><Relationship Type="http://schemas.openxmlformats.org/officeDocument/2006/relationships/hyperlink" Id="rId95" Target="https://pubmed.ncbi.nlm.nih.gov/17047533/" TargetMode="External" /><Relationship Type="http://schemas.openxmlformats.org/officeDocument/2006/relationships/hyperlink" Id="rId98" Target="https://pubmed.ncbi.nlm.nih.gov/1740655/" TargetMode="External" /><Relationship Type="http://schemas.openxmlformats.org/officeDocument/2006/relationships/hyperlink" Id="rId88" Target="https://pubmed.ncbi.nlm.nih.gov/17413465/" TargetMode="External" /><Relationship Type="http://schemas.openxmlformats.org/officeDocument/2006/relationships/hyperlink" Id="rId138" Target="https://pubmed.ncbi.nlm.nih.gov/17443525/" TargetMode="External" /><Relationship Type="http://schemas.openxmlformats.org/officeDocument/2006/relationships/hyperlink" Id="rId87" Target="https://pubmed.ncbi.nlm.nih.gov/18204405/" TargetMode="External" /><Relationship Type="http://schemas.openxmlformats.org/officeDocument/2006/relationships/hyperlink" Id="rId100" Target="https://pubmed.ncbi.nlm.nih.gov/18294899/" TargetMode="External" /><Relationship Type="http://schemas.openxmlformats.org/officeDocument/2006/relationships/hyperlink" Id="rId83" Target="https://pubmed.ncbi.nlm.nih.gov/19228657/" TargetMode="External" /><Relationship Type="http://schemas.openxmlformats.org/officeDocument/2006/relationships/hyperlink" Id="rId127" Target="https://pubmed.ncbi.nlm.nih.gov/20720428/" TargetMode="External" /><Relationship Type="http://schemas.openxmlformats.org/officeDocument/2006/relationships/hyperlink" Id="rId103" Target="https://pubmed.ncbi.nlm.nih.gov/21698170/" TargetMode="External" /><Relationship Type="http://schemas.openxmlformats.org/officeDocument/2006/relationships/hyperlink" Id="rId86" Target="https://pubmed.ncbi.nlm.nih.gov/22020601/" TargetMode="External" /><Relationship Type="http://schemas.openxmlformats.org/officeDocument/2006/relationships/hyperlink" Id="rId117" Target="https://pubmed.ncbi.nlm.nih.gov/22277322/" TargetMode="External" /><Relationship Type="http://schemas.openxmlformats.org/officeDocument/2006/relationships/hyperlink" Id="rId106" Target="https://pubmed.ncbi.nlm.nih.gov/22464187/" TargetMode="External" /><Relationship Type="http://schemas.openxmlformats.org/officeDocument/2006/relationships/hyperlink" Id="rId104" Target="https://pubmed.ncbi.nlm.nih.gov/22983264/" TargetMode="External" /><Relationship Type="http://schemas.openxmlformats.org/officeDocument/2006/relationships/hyperlink" Id="rId145" Target="https://pubmed.ncbi.nlm.nih.gov/23260167/" TargetMode="External" /><Relationship Type="http://schemas.openxmlformats.org/officeDocument/2006/relationships/hyperlink" Id="rId113" Target="https://pubmed.ncbi.nlm.nih.gov/23707287/" TargetMode="External" /><Relationship Type="http://schemas.openxmlformats.org/officeDocument/2006/relationships/hyperlink" Id="rId120" Target="https://pubmed.ncbi.nlm.nih.gov/23726933/" TargetMode="External" /><Relationship Type="http://schemas.openxmlformats.org/officeDocument/2006/relationships/hyperlink" Id="rId90" Target="https://pubmed.ncbi.nlm.nih.gov/23831865/" TargetMode="External" /><Relationship Type="http://schemas.openxmlformats.org/officeDocument/2006/relationships/hyperlink" Id="rId121" Target="https://pubmed.ncbi.nlm.nih.gov/24703832/" TargetMode="External" /><Relationship Type="http://schemas.openxmlformats.org/officeDocument/2006/relationships/hyperlink" Id="rId142" Target="https://pubmed.ncbi.nlm.nih.gov/24792139/" TargetMode="External" /><Relationship Type="http://schemas.openxmlformats.org/officeDocument/2006/relationships/hyperlink" Id="rId131" Target="https://pubmed.ncbi.nlm.nih.gov/24918474/" TargetMode="External" /><Relationship Type="http://schemas.openxmlformats.org/officeDocument/2006/relationships/hyperlink" Id="rId132" Target="https://pubmed.ncbi.nlm.nih.gov/26031995/" TargetMode="External" /><Relationship Type="http://schemas.openxmlformats.org/officeDocument/2006/relationships/hyperlink" Id="rId133" Target="https://pubmed.ncbi.nlm.nih.gov/26660722/" TargetMode="External" /><Relationship Type="http://schemas.openxmlformats.org/officeDocument/2006/relationships/hyperlink" Id="rId116" Target="https://pubmed.ncbi.nlm.nih.gov/26678652/" TargetMode="External" /><Relationship Type="http://schemas.openxmlformats.org/officeDocument/2006/relationships/hyperlink" Id="rId139" Target="https://pubmed.ncbi.nlm.nih.gov/26707074/" TargetMode="External" /><Relationship Type="http://schemas.openxmlformats.org/officeDocument/2006/relationships/hyperlink" Id="rId118" Target="https://pubmed.ncbi.nlm.nih.gov/26984876/" TargetMode="External" /><Relationship Type="http://schemas.openxmlformats.org/officeDocument/2006/relationships/hyperlink" Id="rId143" Target="https://pubmed.ncbi.nlm.nih.gov/27014532/" TargetMode="External" /><Relationship Type="http://schemas.openxmlformats.org/officeDocument/2006/relationships/hyperlink" Id="rId137" Target="https://pubmed.ncbi.nlm.nih.gov/28372320/" TargetMode="External" /><Relationship Type="http://schemas.openxmlformats.org/officeDocument/2006/relationships/hyperlink" Id="rId146" Target="https://pubmed.ncbi.nlm.nih.gov/30012318/" TargetMode="External" /><Relationship Type="http://schemas.openxmlformats.org/officeDocument/2006/relationships/hyperlink" Id="rId108" Target="https://pubmed.ncbi.nlm.nih.gov/30318773/" TargetMode="External" /><Relationship Type="http://schemas.openxmlformats.org/officeDocument/2006/relationships/hyperlink" Id="rId109" Target="https://pubmed.ncbi.nlm.nih.gov/30661011/" TargetMode="External" /><Relationship Type="http://schemas.openxmlformats.org/officeDocument/2006/relationships/hyperlink" Id="rId147" Target="https://pubmed.ncbi.nlm.nih.gov/31747786/" TargetMode="External" /><Relationship Type="http://schemas.openxmlformats.org/officeDocument/2006/relationships/hyperlink" Id="rId99" Target="https://pubmed.ncbi.nlm.nih.gov/33974577/" TargetMode="External" /><Relationship Type="http://schemas.openxmlformats.org/officeDocument/2006/relationships/hyperlink" Id="rId129" Target="https://pubmed.ncbi.nlm.nih.gov/35344677/" TargetMode="External" /><Relationship Type="http://schemas.openxmlformats.org/officeDocument/2006/relationships/hyperlink" Id="rId112" Target="https://pubmed.ncbi.nlm.nih.gov/36037089/" TargetMode="External" /><Relationship Type="http://schemas.openxmlformats.org/officeDocument/2006/relationships/hyperlink" Id="rId130" Target="https://pubmed.ncbi.nlm.nih.gov/36099171/" TargetMode="External" /><Relationship Type="http://schemas.openxmlformats.org/officeDocument/2006/relationships/hyperlink" Id="rId128" Target="https://pubmed.ncbi.nlm.nih.gov/36585980/" TargetMode="External" /><Relationship Type="http://schemas.openxmlformats.org/officeDocument/2006/relationships/hyperlink" Id="rId141" Target="https://pubmed.ncbi.nlm.nih.gov/37172128/" TargetMode="External" /><Relationship Type="http://schemas.openxmlformats.org/officeDocument/2006/relationships/hyperlink" Id="rId82" Target="https://pubmed.ncbi.nlm.nih.gov/38466196/" TargetMode="External" /><Relationship Type="http://schemas.openxmlformats.org/officeDocument/2006/relationships/hyperlink" Id="rId134" Target="https://pubmed.ncbi.nlm.nih.gov/39374216/" TargetMode="External" /><Relationship Type="http://schemas.openxmlformats.org/officeDocument/2006/relationships/hyperlink" Id="rId125" Target="https://pubmed.ncbi.nlm.nih.gov/39639931/" TargetMode="External" /><Relationship Type="http://schemas.openxmlformats.org/officeDocument/2006/relationships/hyperlink" Id="rId135" Target="https://pubmed.ncbi.nlm.nih.gov/39682637/" TargetMode="External" /><Relationship Type="http://schemas.openxmlformats.org/officeDocument/2006/relationships/hyperlink" Id="rId97" Target="https://pubmed.ncbi.nlm.nih.gov/39921489/" TargetMode="External" /><Relationship Type="http://schemas.openxmlformats.org/officeDocument/2006/relationships/hyperlink" Id="rId119" Target="https://pubmed.ncbi.nlm.nih.gov/40134097/" TargetMode="External" /><Relationship Type="http://schemas.openxmlformats.org/officeDocument/2006/relationships/hyperlink" Id="rId123" Target="https://pubmed.ncbi.nlm.nih.gov/40198728/" TargetMode="External" /><Relationship Type="http://schemas.openxmlformats.org/officeDocument/2006/relationships/hyperlink" Id="rId115" Target="https://pubmed.ncbi.nlm.nih.gov/407834/" TargetMode="External" /><Relationship Type="http://schemas.openxmlformats.org/officeDocument/2006/relationships/hyperlink" Id="rId136" Target="https://pubmed.ncbi.nlm.nih.gov/41696847/" TargetMode="External" /><Relationship Type="http://schemas.openxmlformats.org/officeDocument/2006/relationships/hyperlink" Id="rId110" Target="https://pubmed.ncbi.nlm.nih.gov/42298620/" TargetMode="External" /><Relationship Type="http://schemas.openxmlformats.org/officeDocument/2006/relationships/hyperlink" Id="rId84" Target="https://pubmed.ncbi.nlm.nih.gov/7604354/" TargetMode="External" /><Relationship Type="http://schemas.openxmlformats.org/officeDocument/2006/relationships/hyperlink" Id="rId101" Target="https://pubmed.ncbi.nlm.nih.gov/7931379/" TargetMode="External" /><Relationship Type="http://schemas.openxmlformats.org/officeDocument/2006/relationships/hyperlink" Id="rId124" Target="https://pubmed.ncbi.nlm.nih.gov/8053797/" TargetMode="External" /><Relationship Type="http://schemas.openxmlformats.org/officeDocument/2006/relationships/hyperlink" Id="rId85" Target="https://pubmed.ncbi.nlm.nih.gov/8855458/" TargetMode="External" /><Relationship Type="http://schemas.openxmlformats.org/officeDocument/2006/relationships/hyperlink" Id="rId102" Target="https://pubmed.ncbi.nlm.nih.gov/8929263/" TargetMode="External" /><Relationship Type="http://schemas.openxmlformats.org/officeDocument/2006/relationships/hyperlink" Id="rId92" Target="https://pubmed.ncbi.nlm.nih.gov/9383854/" TargetMode="External" /><Relationship Type="http://schemas.openxmlformats.org/officeDocument/2006/relationships/hyperlink" Id="rId140"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89" Target="https://pubmed.ncbi.nlm.nih.gov/10084524/" TargetMode="External" /><Relationship Type="http://schemas.openxmlformats.org/officeDocument/2006/relationships/hyperlink" Id="rId91" Target="https://pubmed.ncbi.nlm.nih.gov/10770984/" TargetMode="External" /><Relationship Type="http://schemas.openxmlformats.org/officeDocument/2006/relationships/hyperlink" Id="rId122" Target="https://pubmed.ncbi.nlm.nih.gov/11414776/" TargetMode="External" /><Relationship Type="http://schemas.openxmlformats.org/officeDocument/2006/relationships/hyperlink" Id="rId126" Target="https://pubmed.ncbi.nlm.nih.gov/11597285/" TargetMode="External" /><Relationship Type="http://schemas.openxmlformats.org/officeDocument/2006/relationships/hyperlink" Id="rId96" Target="https://pubmed.ncbi.nlm.nih.gov/11799407/" TargetMode="External" /><Relationship Type="http://schemas.openxmlformats.org/officeDocument/2006/relationships/hyperlink" Id="rId94" Target="https://pubmed.ncbi.nlm.nih.gov/11923661/" TargetMode="External" /><Relationship Type="http://schemas.openxmlformats.org/officeDocument/2006/relationships/hyperlink" Id="rId114" Target="https://pubmed.ncbi.nlm.nih.gov/12610847/" TargetMode="External" /><Relationship Type="http://schemas.openxmlformats.org/officeDocument/2006/relationships/hyperlink" Id="rId93" Target="https://pubmed.ncbi.nlm.nih.gov/12749960/" TargetMode="External" /><Relationship Type="http://schemas.openxmlformats.org/officeDocument/2006/relationships/hyperlink" Id="rId105" Target="https://pubmed.ncbi.nlm.nih.gov/12927623/" TargetMode="External" /><Relationship Type="http://schemas.openxmlformats.org/officeDocument/2006/relationships/hyperlink" Id="rId111" Target="https://pubmed.ncbi.nlm.nih.gov/15777866/" TargetMode="External" /><Relationship Type="http://schemas.openxmlformats.org/officeDocument/2006/relationships/hyperlink" Id="rId107" Target="https://pubmed.ncbi.nlm.nih.gov/16527397/" TargetMode="External" /><Relationship Type="http://schemas.openxmlformats.org/officeDocument/2006/relationships/hyperlink" Id="rId144" Target="https://pubmed.ncbi.nlm.nih.gov/17029788/" TargetMode="External" /><Relationship Type="http://schemas.openxmlformats.org/officeDocument/2006/relationships/hyperlink" Id="rId95" Target="https://pubmed.ncbi.nlm.nih.gov/17047533/" TargetMode="External" /><Relationship Type="http://schemas.openxmlformats.org/officeDocument/2006/relationships/hyperlink" Id="rId98" Target="https://pubmed.ncbi.nlm.nih.gov/1740655/" TargetMode="External" /><Relationship Type="http://schemas.openxmlformats.org/officeDocument/2006/relationships/hyperlink" Id="rId88" Target="https://pubmed.ncbi.nlm.nih.gov/17413465/" TargetMode="External" /><Relationship Type="http://schemas.openxmlformats.org/officeDocument/2006/relationships/hyperlink" Id="rId138" Target="https://pubmed.ncbi.nlm.nih.gov/17443525/" TargetMode="External" /><Relationship Type="http://schemas.openxmlformats.org/officeDocument/2006/relationships/hyperlink" Id="rId87" Target="https://pubmed.ncbi.nlm.nih.gov/18204405/" TargetMode="External" /><Relationship Type="http://schemas.openxmlformats.org/officeDocument/2006/relationships/hyperlink" Id="rId100" Target="https://pubmed.ncbi.nlm.nih.gov/18294899/" TargetMode="External" /><Relationship Type="http://schemas.openxmlformats.org/officeDocument/2006/relationships/hyperlink" Id="rId83" Target="https://pubmed.ncbi.nlm.nih.gov/19228657/" TargetMode="External" /><Relationship Type="http://schemas.openxmlformats.org/officeDocument/2006/relationships/hyperlink" Id="rId127" Target="https://pubmed.ncbi.nlm.nih.gov/20720428/" TargetMode="External" /><Relationship Type="http://schemas.openxmlformats.org/officeDocument/2006/relationships/hyperlink" Id="rId103" Target="https://pubmed.ncbi.nlm.nih.gov/21698170/" TargetMode="External" /><Relationship Type="http://schemas.openxmlformats.org/officeDocument/2006/relationships/hyperlink" Id="rId86" Target="https://pubmed.ncbi.nlm.nih.gov/22020601/" TargetMode="External" /><Relationship Type="http://schemas.openxmlformats.org/officeDocument/2006/relationships/hyperlink" Id="rId117" Target="https://pubmed.ncbi.nlm.nih.gov/22277322/" TargetMode="External" /><Relationship Type="http://schemas.openxmlformats.org/officeDocument/2006/relationships/hyperlink" Id="rId106" Target="https://pubmed.ncbi.nlm.nih.gov/22464187/" TargetMode="External" /><Relationship Type="http://schemas.openxmlformats.org/officeDocument/2006/relationships/hyperlink" Id="rId104" Target="https://pubmed.ncbi.nlm.nih.gov/22983264/" TargetMode="External" /><Relationship Type="http://schemas.openxmlformats.org/officeDocument/2006/relationships/hyperlink" Id="rId145" Target="https://pubmed.ncbi.nlm.nih.gov/23260167/" TargetMode="External" /><Relationship Type="http://schemas.openxmlformats.org/officeDocument/2006/relationships/hyperlink" Id="rId113" Target="https://pubmed.ncbi.nlm.nih.gov/23707287/" TargetMode="External" /><Relationship Type="http://schemas.openxmlformats.org/officeDocument/2006/relationships/hyperlink" Id="rId120" Target="https://pubmed.ncbi.nlm.nih.gov/23726933/" TargetMode="External" /><Relationship Type="http://schemas.openxmlformats.org/officeDocument/2006/relationships/hyperlink" Id="rId90" Target="https://pubmed.ncbi.nlm.nih.gov/23831865/" TargetMode="External" /><Relationship Type="http://schemas.openxmlformats.org/officeDocument/2006/relationships/hyperlink" Id="rId121" Target="https://pubmed.ncbi.nlm.nih.gov/24703832/" TargetMode="External" /><Relationship Type="http://schemas.openxmlformats.org/officeDocument/2006/relationships/hyperlink" Id="rId142" Target="https://pubmed.ncbi.nlm.nih.gov/24792139/" TargetMode="External" /><Relationship Type="http://schemas.openxmlformats.org/officeDocument/2006/relationships/hyperlink" Id="rId131" Target="https://pubmed.ncbi.nlm.nih.gov/24918474/" TargetMode="External" /><Relationship Type="http://schemas.openxmlformats.org/officeDocument/2006/relationships/hyperlink" Id="rId132" Target="https://pubmed.ncbi.nlm.nih.gov/26031995/" TargetMode="External" /><Relationship Type="http://schemas.openxmlformats.org/officeDocument/2006/relationships/hyperlink" Id="rId133" Target="https://pubmed.ncbi.nlm.nih.gov/26660722/" TargetMode="External" /><Relationship Type="http://schemas.openxmlformats.org/officeDocument/2006/relationships/hyperlink" Id="rId116" Target="https://pubmed.ncbi.nlm.nih.gov/26678652/" TargetMode="External" /><Relationship Type="http://schemas.openxmlformats.org/officeDocument/2006/relationships/hyperlink" Id="rId139" Target="https://pubmed.ncbi.nlm.nih.gov/26707074/" TargetMode="External" /><Relationship Type="http://schemas.openxmlformats.org/officeDocument/2006/relationships/hyperlink" Id="rId118" Target="https://pubmed.ncbi.nlm.nih.gov/26984876/" TargetMode="External" /><Relationship Type="http://schemas.openxmlformats.org/officeDocument/2006/relationships/hyperlink" Id="rId143" Target="https://pubmed.ncbi.nlm.nih.gov/27014532/" TargetMode="External" /><Relationship Type="http://schemas.openxmlformats.org/officeDocument/2006/relationships/hyperlink" Id="rId137" Target="https://pubmed.ncbi.nlm.nih.gov/28372320/" TargetMode="External" /><Relationship Type="http://schemas.openxmlformats.org/officeDocument/2006/relationships/hyperlink" Id="rId146" Target="https://pubmed.ncbi.nlm.nih.gov/30012318/" TargetMode="External" /><Relationship Type="http://schemas.openxmlformats.org/officeDocument/2006/relationships/hyperlink" Id="rId108" Target="https://pubmed.ncbi.nlm.nih.gov/30318773/" TargetMode="External" /><Relationship Type="http://schemas.openxmlformats.org/officeDocument/2006/relationships/hyperlink" Id="rId109" Target="https://pubmed.ncbi.nlm.nih.gov/30661011/" TargetMode="External" /><Relationship Type="http://schemas.openxmlformats.org/officeDocument/2006/relationships/hyperlink" Id="rId147" Target="https://pubmed.ncbi.nlm.nih.gov/31747786/" TargetMode="External" /><Relationship Type="http://schemas.openxmlformats.org/officeDocument/2006/relationships/hyperlink" Id="rId99" Target="https://pubmed.ncbi.nlm.nih.gov/33974577/" TargetMode="External" /><Relationship Type="http://schemas.openxmlformats.org/officeDocument/2006/relationships/hyperlink" Id="rId129" Target="https://pubmed.ncbi.nlm.nih.gov/35344677/" TargetMode="External" /><Relationship Type="http://schemas.openxmlformats.org/officeDocument/2006/relationships/hyperlink" Id="rId112" Target="https://pubmed.ncbi.nlm.nih.gov/36037089/" TargetMode="External" /><Relationship Type="http://schemas.openxmlformats.org/officeDocument/2006/relationships/hyperlink" Id="rId130" Target="https://pubmed.ncbi.nlm.nih.gov/36099171/" TargetMode="External" /><Relationship Type="http://schemas.openxmlformats.org/officeDocument/2006/relationships/hyperlink" Id="rId128" Target="https://pubmed.ncbi.nlm.nih.gov/36585980/" TargetMode="External" /><Relationship Type="http://schemas.openxmlformats.org/officeDocument/2006/relationships/hyperlink" Id="rId141" Target="https://pubmed.ncbi.nlm.nih.gov/37172128/" TargetMode="External" /><Relationship Type="http://schemas.openxmlformats.org/officeDocument/2006/relationships/hyperlink" Id="rId82" Target="https://pubmed.ncbi.nlm.nih.gov/38466196/" TargetMode="External" /><Relationship Type="http://schemas.openxmlformats.org/officeDocument/2006/relationships/hyperlink" Id="rId134" Target="https://pubmed.ncbi.nlm.nih.gov/39374216/" TargetMode="External" /><Relationship Type="http://schemas.openxmlformats.org/officeDocument/2006/relationships/hyperlink" Id="rId125" Target="https://pubmed.ncbi.nlm.nih.gov/39639931/" TargetMode="External" /><Relationship Type="http://schemas.openxmlformats.org/officeDocument/2006/relationships/hyperlink" Id="rId135" Target="https://pubmed.ncbi.nlm.nih.gov/39682637/" TargetMode="External" /><Relationship Type="http://schemas.openxmlformats.org/officeDocument/2006/relationships/hyperlink" Id="rId97" Target="https://pubmed.ncbi.nlm.nih.gov/39921489/" TargetMode="External" /><Relationship Type="http://schemas.openxmlformats.org/officeDocument/2006/relationships/hyperlink" Id="rId119" Target="https://pubmed.ncbi.nlm.nih.gov/40134097/" TargetMode="External" /><Relationship Type="http://schemas.openxmlformats.org/officeDocument/2006/relationships/hyperlink" Id="rId123" Target="https://pubmed.ncbi.nlm.nih.gov/40198728/" TargetMode="External" /><Relationship Type="http://schemas.openxmlformats.org/officeDocument/2006/relationships/hyperlink" Id="rId115" Target="https://pubmed.ncbi.nlm.nih.gov/407834/" TargetMode="External" /><Relationship Type="http://schemas.openxmlformats.org/officeDocument/2006/relationships/hyperlink" Id="rId136" Target="https://pubmed.ncbi.nlm.nih.gov/41696847/" TargetMode="External" /><Relationship Type="http://schemas.openxmlformats.org/officeDocument/2006/relationships/hyperlink" Id="rId110" Target="https://pubmed.ncbi.nlm.nih.gov/42298620/" TargetMode="External" /><Relationship Type="http://schemas.openxmlformats.org/officeDocument/2006/relationships/hyperlink" Id="rId84" Target="https://pubmed.ncbi.nlm.nih.gov/7604354/" TargetMode="External" /><Relationship Type="http://schemas.openxmlformats.org/officeDocument/2006/relationships/hyperlink" Id="rId101" Target="https://pubmed.ncbi.nlm.nih.gov/7931379/" TargetMode="External" /><Relationship Type="http://schemas.openxmlformats.org/officeDocument/2006/relationships/hyperlink" Id="rId124" Target="https://pubmed.ncbi.nlm.nih.gov/8053797/" TargetMode="External" /><Relationship Type="http://schemas.openxmlformats.org/officeDocument/2006/relationships/hyperlink" Id="rId85" Target="https://pubmed.ncbi.nlm.nih.gov/8855458/" TargetMode="External" /><Relationship Type="http://schemas.openxmlformats.org/officeDocument/2006/relationships/hyperlink" Id="rId102" Target="https://pubmed.ncbi.nlm.nih.gov/8929263/" TargetMode="External" /><Relationship Type="http://schemas.openxmlformats.org/officeDocument/2006/relationships/hyperlink" Id="rId92" Target="https://pubmed.ncbi.nlm.nih.gov/9383854/" TargetMode="External" /><Relationship Type="http://schemas.openxmlformats.org/officeDocument/2006/relationships/hyperlink" Id="rId140"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Colpo di Frusta</dc:title>
  <dc:creator>Mobilitas — Direzione Osteopatica</dc:creator>
  <dc:language>it-IT</dc:language>
  <cp:keywords/>
  <dcterms:created xsi:type="dcterms:W3CDTF">2026-08-27T14:34:11Z</dcterms:created>
  <dcterms:modified xsi:type="dcterms:W3CDTF">2026-08-27T14:34:11Z</dcterms:modified>
</cp:coreProperties>
</file>

<file path=docProps/custom.xml><?xml version="1.0" encoding="utf-8"?>
<Properties xmlns="http://schemas.openxmlformats.org/officeDocument/2006/custom-properties" xmlns:vt="http://schemas.openxmlformats.org/officeDocument/2006/docPropsVTypes"/>
</file>