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9" w:name="mappa-concettuale-colpo-di-frusta"/>
    <w:p>
      <w:pPr>
        <w:pStyle w:val="Heading1"/>
      </w:pPr>
      <w:r>
        <w:t xml:space="preserve">Mappa concettuale — Colpo di frusta</w:t>
      </w:r>
    </w:p>
    <w:p>
      <w:pPr>
        <w:pStyle w:val="FirstParagraph"/>
      </w:pPr>
      <w:r>
        <w:rPr>
          <w:b/>
          <w:bCs/>
        </w:rPr>
        <w:t xml:space="preserve">Condizione:</w:t>
      </w:r>
      <w:r>
        <w:t xml:space="preserve"> </w:t>
      </w:r>
      <w:r>
        <w:t xml:space="preserve">colpo di frusta (WAD) ·</w:t>
      </w:r>
      <w:r>
        <w:t xml:space="preserve"> </w:t>
      </w:r>
      <w:r>
        <w:rPr>
          <w:b/>
          <w:bCs/>
        </w:rPr>
        <w:t xml:space="preserve">Ancora clinica:</w:t>
      </w:r>
      <w:r>
        <w:t xml:space="preserve"> </w:t>
      </w:r>
      <w:r>
        <w:t xml:space="preserve">Michele Sterling, University of Queensland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Nikolai Bogduk, University of Newcastle ·</w:t>
      </w:r>
      <w:r>
        <w:t xml:space="preserve"> </w:t>
      </w:r>
      <w:r>
        <w:rPr>
          <w:b/>
          <w:bCs/>
        </w:rPr>
        <w:t xml:space="preserve">Versione:</w:t>
      </w:r>
      <w:r>
        <w:t xml:space="preserve"> </w:t>
      </w:r>
      <w:r>
        <w:t xml:space="preserve">v7 lingua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27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1. La condizione in tre righe</w:t>
      </w:r>
    </w:p>
    <w:p>
      <w:pPr>
        <w:pStyle w:val="FirstParagraph"/>
      </w:pPr>
      <w:r>
        <w:t xml:space="preserve">Trauma di accelerazione e decelerazione del collo, tipicamente da tamponamento. I sintomi compaiono nelle 24-72 ore successive.</w:t>
      </w:r>
      <w:r>
        <w:t xml:space="preserve"> </w:t>
      </w:r>
      <w:r>
        <w:t xml:space="preserve">Colpisce chi ha avuto un incidente stradale, a qualunque velocità: la gravità dell’urto non predice il decorso.</w:t>
      </w:r>
      <w:r>
        <w:t xml:space="preserve"> </w:t>
      </w:r>
      <w:r>
        <w:t xml:space="preserve">Da solo: circa metà recupera pienamente, un quarto resta con disabilità da moderata a grave, un quarto con sintomi lievi.</w:t>
      </w:r>
    </w:p>
    <w:p>
      <w:r>
        <w:pict>
          <v:rect style="width:0;height:1.5pt" o:hralign="center" o:hrstd="t" o:hr="t"/>
        </w:pict>
      </w:r>
    </w:p>
    <w:bookmarkEnd w:id="9"/>
    <w:bookmarkStart w:id="10" w:name="la-sequenza-causale"/>
    <w:p>
      <w:pPr>
        <w:pStyle w:val="Heading2"/>
      </w:pPr>
      <w:r>
        <w:t xml:space="preserve">2. La sequenza causale</w:t>
      </w:r>
    </w:p>
    <w:p>
      <w:pPr>
        <w:pStyle w:val="FirstParagraph"/>
      </w:pPr>
      <w:r>
        <w:rPr>
          <w:rStyle w:val="VerbatimChar"/>
        </w:rPr>
        <w:t xml:space="preserve">urto → forma a S del rachide, livelli bassi oltre la corsa fisiologica → lesione capsulare invisibile agli esami → difesa muscolare che non si spegne, e in chi non recupera un freno discendente del dolore che non si accende → collo che non gira, testa che martella, testa che gira, allarme che resta acceso</w:t>
      </w:r>
    </w:p>
    <w:p>
      <w:r>
        <w:pict>
          <v:rect style="width:0;height:1.5pt" o:hralign="center" o:hrstd="t" o:hr="t"/>
        </w:pict>
      </w:r>
    </w:p>
    <w:bookmarkEnd w:id="10"/>
    <w:bookmarkStart w:id="11" w:name="X06fa26c480084ea6a9e36d7818f146d365c0e60"/>
    <w:p>
      <w:pPr>
        <w:pStyle w:val="Heading2"/>
      </w:pPr>
      <w:r>
        <w:t xml:space="preserve">3. I meccanismi, quanto sono solidi, che tipo di dolore fanno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 crepa dietro l’intonaco</w:t>
            </w:r>
            <w:r>
              <w:t xml:space="preserve"> </w:t>
            </w:r>
            <w:r>
              <w:t xml:space="preserve">— faccetta</w:t>
            </w:r>
          </w:p>
        </w:tc>
        <w:tc>
          <w:tcPr/>
          <w:p>
            <w:pPr>
              <w:pStyle w:val="Compact"/>
            </w:pPr>
            <w:r>
              <w:t xml:space="preserve">Dolore profondo, peggiora in estensione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 crepa in alto</w:t>
            </w:r>
            <w:r>
              <w:t xml:space="preserve"> </w:t>
            </w:r>
            <w:r>
              <w:t xml:space="preserve">— cefalea da C2-C3</w:t>
            </w:r>
          </w:p>
        </w:tc>
        <w:tc>
          <w:tcPr/>
          <w:p>
            <w:pPr>
              <w:pStyle w:val="Compact"/>
            </w:pPr>
            <w:r>
              <w:t xml:space="preserve">Parte dalla nuca, arriva in fronte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 martinetto</w:t>
            </w:r>
            <w:r>
              <w:t xml:space="preserve"> </w:t>
            </w:r>
            <w:r>
              <w:t xml:space="preserve">— difesa motoria</w:t>
            </w:r>
          </w:p>
        </w:tc>
        <w:tc>
          <w:tcPr/>
          <w:p>
            <w:pPr>
              <w:pStyle w:val="Compact"/>
            </w:pPr>
            <w:r>
              <w:t xml:space="preserve">Collo che si muove tutto insieme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 mano screpolata</w:t>
            </w:r>
            <w:r>
              <w:t xml:space="preserve"> </w:t>
            </w:r>
            <w:r>
              <w:t xml:space="preserve">— freno che non si accende</w:t>
            </w:r>
          </w:p>
        </w:tc>
        <w:tc>
          <w:tcPr/>
          <w:p>
            <w:pPr>
              <w:pStyle w:val="Compact"/>
            </w:pPr>
            <w:r>
              <w:t xml:space="preserve">Dolore diffuso, freddo intollerabile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 spia accesa</w:t>
            </w:r>
            <w:r>
              <w:t xml:space="preserve"> </w:t>
            </w:r>
            <w:r>
              <w:t xml:space="preserve">— stress post-traumatico</w:t>
            </w:r>
          </w:p>
        </w:tc>
        <w:tc>
          <w:tcPr/>
          <w:p>
            <w:pPr>
              <w:pStyle w:val="Compact"/>
            </w:pPr>
            <w:r>
              <w:t xml:space="preserve">Rievoca, evita la guida, non dorme</w:t>
            </w:r>
          </w:p>
        </w:tc>
        <w:tc>
          <w:tcPr/>
          <w:p>
            <w:pPr>
              <w:pStyle w:val="Compact"/>
            </w:pPr>
            <w:r>
              <w:t xml:space="preserve">DIMOSTRATO (traiettoria)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 bolla della livella</w:t>
            </w:r>
            <w:r>
              <w:t xml:space="preserve"> </w:t>
            </w:r>
            <w:r>
              <w:t xml:space="preserve">— senso di posizione</w:t>
            </w:r>
          </w:p>
        </w:tc>
        <w:tc>
          <w:tcPr/>
          <w:p>
            <w:pPr>
              <w:pStyle w:val="Compact"/>
            </w:pPr>
            <w:r>
              <w:t xml:space="preserve">Instabilità dal giorno dell’urto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Nocicettivo:</w:t>
      </w:r>
      <w:r>
        <w:t xml:space="preserve"> </w:t>
      </w:r>
      <w:r>
        <w:t xml:space="preserve">la crepa e il martinetto.</w:t>
      </w:r>
      <w:r>
        <w:t xml:space="preserve"> </w:t>
      </w:r>
      <w:r>
        <w:rPr>
          <w:b/>
          <w:bCs/>
        </w:rPr>
        <w:t xml:space="preserve">Nociplastico:</w:t>
      </w:r>
      <w:r>
        <w:t xml:space="preserve"> </w:t>
      </w:r>
      <w:r>
        <w:t xml:space="preserve">la mano screpolata, cioè il sottotipo «soglia crollata».</w:t>
      </w:r>
      <w:r>
        <w:t xml:space="preserve"> </w:t>
      </w:r>
      <w:r>
        <w:rPr>
          <w:b/>
          <w:bCs/>
        </w:rPr>
        <w:t xml:space="preserve">Neuropatico:</w:t>
      </w:r>
      <w:r>
        <w:t xml:space="preserve"> </w:t>
      </w:r>
      <w:r>
        <w:t xml:space="preserve">segni neurologici, da inquadrare. Sul primo il carico locale e l’informazione fanno qualcosa. Sul secondo l’ingresso arriva in un sistema che non filtra più, e il movimento può abbassare la soglia invece di alzarla.</w:t>
      </w:r>
    </w:p>
    <w:p>
      <w:pPr>
        <w:pStyle w:val="BodyText"/>
      </w:pPr>
      <w:r>
        <w:rPr>
          <w:i/>
          <w:iCs/>
        </w:rPr>
        <w:t xml:space="preserve">Che agire sulla spia accesa cambi l’esito è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PROBABILE</w:t>
      </w:r>
      <w:r>
        <w:rPr>
          <w:i/>
          <w:iCs/>
        </w:rPr>
        <w:t xml:space="preserve">: undici randomizzati in meta-analisi, ma con comparatore inerte ed effetto sotto la soglia di rilevanza clinica. E il programma con la prova migliore non lo eroghi tu.</w:t>
      </w:r>
    </w:p>
    <w:p>
      <w:r>
        <w:pict>
          <v:rect style="width:0;height:1.5pt" o:hralign="center" o:hrstd="t" o:hr="t"/>
        </w:pict>
      </w:r>
    </w:p>
    <w:bookmarkEnd w:id="11"/>
    <w:bookmarkStart w:id="12" w:name="Xeab65beadc95a89cefea220c12ad76a5b9efde9"/>
    <w:p>
      <w:pPr>
        <w:pStyle w:val="Heading2"/>
      </w:pPr>
      <w:r>
        <w:t xml:space="preserve">4. I sottotipi, chi comanda, quale numero segui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Meccanismo che comanda</w:t>
            </w:r>
          </w:p>
        </w:tc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collo che non gira</w:t>
            </w:r>
          </w:p>
        </w:tc>
        <w:tc>
          <w:tcPr/>
          <w:p>
            <w:pPr>
              <w:pStyle w:val="Compact"/>
            </w:pPr>
            <w:r>
              <w:t xml:space="preserve">La crepa e il martinetto</w:t>
            </w:r>
          </w:p>
        </w:tc>
        <w:tc>
          <w:tcPr/>
          <w:p>
            <w:pPr>
              <w:pStyle w:val="Compact"/>
            </w:pPr>
            <w:r>
              <w:t xml:space="preserve">Rotazione cervicale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collo che non tiene</w:t>
            </w:r>
          </w:p>
        </w:tc>
        <w:tc>
          <w:tcPr/>
          <w:p>
            <w:pPr>
              <w:pStyle w:val="Compact"/>
            </w:pPr>
            <w:r>
              <w:t xml:space="preserve">Il martinetto</w:t>
            </w:r>
          </w:p>
        </w:tc>
        <w:tc>
          <w:tcPr/>
          <w:p>
            <w:pPr>
              <w:pStyle w:val="Compact"/>
            </w:pPr>
            <w:r>
              <w:t xml:space="preserve">Flessione cranio-cervicale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testa che martella</w:t>
            </w:r>
          </w:p>
        </w:tc>
        <w:tc>
          <w:tcPr/>
          <w:p>
            <w:pPr>
              <w:pStyle w:val="Compact"/>
            </w:pPr>
            <w:r>
              <w:t xml:space="preserve">La crepa, al piano alto</w:t>
            </w:r>
          </w:p>
        </w:tc>
        <w:tc>
          <w:tcPr/>
          <w:p>
            <w:pPr>
              <w:pStyle w:val="Compact"/>
            </w:pPr>
            <w:r>
              <w:t xml:space="preserve">Rotazione cervicale alta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testa che gira</w:t>
            </w:r>
          </w:p>
        </w:tc>
        <w:tc>
          <w:tcPr/>
          <w:p>
            <w:pPr>
              <w:pStyle w:val="Compact"/>
            </w:pPr>
            <w:r>
              <w:t xml:space="preserve">La bolla della livella</w:t>
            </w:r>
          </w:p>
        </w:tc>
        <w:tc>
          <w:tcPr/>
          <w:p>
            <w:pPr>
              <w:pStyle w:val="Compact"/>
            </w:pPr>
            <w:r>
              <w:t xml:space="preserve">Riposizionamento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sistema in allarme</w:t>
            </w:r>
          </w:p>
        </w:tc>
        <w:tc>
          <w:tcPr/>
          <w:p>
            <w:pPr>
              <w:pStyle w:val="Compact"/>
            </w:pPr>
            <w:r>
              <w:t xml:space="preserve">La spia accesa</w:t>
            </w:r>
          </w:p>
        </w:tc>
        <w:tc>
          <w:tcPr/>
          <w:p>
            <w:pPr>
              <w:pStyle w:val="Compact"/>
            </w:pPr>
            <w:r>
              <w:t xml:space="preserve">Soglia pressoria remota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soglia crollata</w:t>
            </w:r>
          </w:p>
        </w:tc>
        <w:tc>
          <w:tcPr/>
          <w:p>
            <w:pPr>
              <w:pStyle w:val="Compact"/>
            </w:pPr>
            <w:r>
              <w:t xml:space="preserve">La mano screpolata</w:t>
            </w:r>
          </w:p>
        </w:tc>
        <w:tc>
          <w:tcPr/>
          <w:p>
            <w:pPr>
              <w:pStyle w:val="Compact"/>
            </w:pPr>
            <w:r>
              <w:t xml:space="preserve">Soglia pressoria remota</w:t>
            </w:r>
          </w:p>
        </w:tc>
        <w:tc>
          <w:tcPr/>
          <w:p>
            <w:pPr>
              <w:pStyle w:val="Compact"/>
            </w:pPr>
            <w:r>
              <w:t xml:space="preserve">Poco</w:t>
            </w:r>
          </w:p>
        </w:tc>
      </w:tr>
    </w:tbl>
    <w:p>
      <w:pPr>
        <w:pStyle w:val="BodyText"/>
      </w:pPr>
      <w:r>
        <w:rPr>
          <w:b/>
          <w:bCs/>
        </w:rPr>
        <w:t xml:space="preserve">Segni neurologici non è un settimo pattern: è un cancello di condotta.</w:t>
      </w:r>
      <w:r>
        <w:t xml:space="preserve"> </w:t>
      </w:r>
      <w:r>
        <w:t xml:space="preserve">Nessun marker, nessun ciclo, invio — etichetta RAGIONAMENTO.</w:t>
      </w:r>
    </w:p>
    <w:p>
      <w:r>
        <w:pict>
          <v:rect style="width:0;height:1.5pt" o:hralign="center" o:hrstd="t" o:hr="t"/>
        </w:pict>
      </w:r>
    </w:p>
    <w:bookmarkEnd w:id="12"/>
    <w:bookmarkStart w:id="13" w:name="le-bandiere-rosse"/>
    <w:p>
      <w:pPr>
        <w:pStyle w:val="Heading2"/>
      </w:pPr>
      <w:r>
        <w:t xml:space="preserve">5. Le bandiere rosse</w:t>
      </w:r>
    </w:p>
    <w:p>
      <w:pPr>
        <w:pStyle w:val="FirstParagraph"/>
      </w:pPr>
      <w:r>
        <w:t xml:space="preserve">Regime d’uso: rete, non filtro. Una riga presente ti ferma; tutte assenti non escludono niente.</w:t>
      </w:r>
    </w:p>
    <w:p>
      <w:pPr>
        <w:pStyle w:val="Compact"/>
        <w:numPr>
          <w:ilvl w:val="0"/>
          <w:numId w:val="1001"/>
        </w:numPr>
      </w:pPr>
      <w:r>
        <w:t xml:space="preserve">Perdita di coscienza, vomito, confusione → pronto soccorso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Deficit neurologico progressivo → pronto soccorso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Cefalea o cervicalgia nuova e diversa, ± Horner</w:t>
      </w:r>
      <w:r>
        <w:t xml:space="preserve"> </w:t>
      </w:r>
      <w:r>
        <w:t xml:space="preserve">→ pronto soccorso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Vertigine con diplopia o disartria → pronto soccorso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Segni mielopatici o di instabilità alta</w:t>
      </w:r>
      <w:r>
        <w:t xml:space="preserve"> </w:t>
      </w:r>
      <w:r>
        <w:t xml:space="preserve">→ pronto soccorso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Deficit bilaterale o quadrilatero agli arti</w:t>
      </w:r>
      <w:r>
        <w:t xml:space="preserve"> </w:t>
      </w:r>
      <w:r>
        <w:t xml:space="preserve">→ pronto soccorso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Disfagia, voce cambiata, gonfiore del collo, stridore</w:t>
      </w:r>
      <w:r>
        <w:t xml:space="preserve"> </w:t>
      </w:r>
      <w:r>
        <w:t xml:space="preserve">→ pronto soccorso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Cefalea nuova in peggioramento rapido → pronto soccorso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Canadian C-Spine Rule positiva → pronto soccorso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Dolore mediano cervicale intenso, non ruota</w:t>
      </w:r>
      <w:r>
        <w:t xml:space="preserve"> </w:t>
      </w:r>
      <w:r>
        <w:t xml:space="preserve">→ pronto soccorso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Formicolii o ipostenia monoradicolari → medico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Vertigine invalidante persistente → otorinolaringoiatra →</w:t>
      </w:r>
      <w:r>
        <w:t xml:space="preserve"> </w:t>
      </w:r>
      <w:r>
        <w:rPr>
          <w:b/>
          <w:bCs/>
        </w:rPr>
        <w:t xml:space="preserve">Invio</w:t>
      </w:r>
      <w:r>
        <w:t xml:space="preserve"> </w:t>
      </w:r>
      <w:r>
        <w:t xml:space="preserve">(GIALLO prioritario)</w:t>
      </w:r>
    </w:p>
    <w:p>
      <w:pPr>
        <w:pStyle w:val="Compact"/>
        <w:numPr>
          <w:ilvl w:val="0"/>
          <w:numId w:val="1001"/>
        </w:numPr>
      </w:pPr>
      <w:r>
        <w:t xml:space="preserve">Sintomi post-traumatici marcati → medico curante →</w:t>
      </w:r>
      <w:r>
        <w:t xml:space="preserve"> </w:t>
      </w:r>
      <w:r>
        <w:rPr>
          <w:b/>
          <w:bCs/>
        </w:rPr>
        <w:t xml:space="preserve">Invio</w:t>
      </w:r>
      <w:r>
        <w:t xml:space="preserve"> </w:t>
      </w:r>
      <w:r>
        <w:t xml:space="preserve">(GIALLO prioritario)</w:t>
      </w:r>
    </w:p>
    <w:p>
      <w:r>
        <w:pict>
          <v:rect style="width:0;height:1.5pt" o:hralign="center" o:hrstd="t" o:hr="t"/>
        </w:pict>
      </w:r>
    </w:p>
    <w:bookmarkEnd w:id="13"/>
    <w:bookmarkStart w:id="14" w:name="i-due-cancelli-che-sono-due"/>
    <w:p>
      <w:pPr>
        <w:pStyle w:val="Heading2"/>
      </w:pPr>
      <w:r>
        <w:t xml:space="preserve">6. I due cancelli, che sono due</w:t>
      </w:r>
    </w:p>
    <w:p>
      <w:pPr>
        <w:pStyle w:val="FirstParagraph"/>
      </w:pPr>
      <w:r>
        <w:rPr>
          <w:b/>
          <w:bCs/>
        </w:rPr>
        <w:t xml:space="preserve">Frattura.</w:t>
      </w:r>
      <w:r>
        <w:t xml:space="preserve"> </w:t>
      </w:r>
      <w:r>
        <w:t xml:space="preserve">La Canadian C-Spine Rule vale solo entro 48 ore dal trauma, in paziente vigile e stabile, dai 16 anni, non gravido, senza patologia vertebrale nota.</w:t>
      </w:r>
      <w:r>
        <w:t xml:space="preserve"> </w:t>
      </w:r>
      <w:r>
        <w:rPr>
          <w:b/>
          <w:bCs/>
        </w:rPr>
        <w:t xml:space="preserve">Fuori da lì non è applicabile — e non applicabile non significa negativa:</w:t>
      </w:r>
      <w:r>
        <w:t xml:space="preserve"> </w:t>
      </w:r>
      <w:r>
        <w:t xml:space="preserve">la domanda resta aperta e resta del medico.</w:t>
      </w:r>
    </w:p>
    <w:p>
      <w:pPr>
        <w:pStyle w:val="BodyText"/>
      </w:pPr>
      <w:r>
        <w:rPr>
          <w:b/>
          <w:bCs/>
        </w:rPr>
        <w:t xml:space="preserve">Vascolare.</w:t>
      </w:r>
      <w:r>
        <w:t xml:space="preserve"> </w:t>
      </w:r>
      <w:r>
        <w:t xml:space="preserve">La regola per la frattura non dice niente sull’arteria. Lo screening vascolare ha un riferimento suo, l’International IFOMPT Cervical Framework, ed è quello a precedere una tecnica ad alta velocità. Nel colpo di frusta il rischio che conta non è quello che introduci tu: è quello che il trauma può aver già prodotto.</w:t>
      </w:r>
    </w:p>
    <w:p>
      <w:pPr>
        <w:pStyle w:val="BodyText"/>
      </w:pPr>
      <w:r>
        <w:rPr>
          <w:b/>
          <w:bCs/>
        </w:rPr>
        <w:t xml:space="preserve">GIALLO prioritario per il quadro:</w:t>
      </w:r>
      <w:r>
        <w:t xml:space="preserve"> </w:t>
      </w:r>
      <w:r>
        <w:t xml:space="preserve">vertigine invalidante persistente, sintomi post-traumatici marcati, soglia crollata. In tutti e tre la leva che tiene sta fuori dalle tue mani e il ritardo costa.</w:t>
      </w:r>
    </w:p>
    <w:p>
      <w:pPr>
        <w:pStyle w:val="BodyText"/>
      </w:pPr>
      <w:r>
        <w:rPr>
          <w:b/>
          <w:bCs/>
        </w:rPr>
        <w:t xml:space="preserve">GIALLO prioritario per la persona:</w:t>
      </w:r>
      <w:r>
        <w:t xml:space="preserve"> </w:t>
      </w:r>
      <w:r>
        <w:t xml:space="preserve">≥65 anni, anticoagulante o antiaggregante, patologia vertebrale nota, osteoporosi, gravidanza.</w:t>
      </w:r>
    </w:p>
    <w:p>
      <w:pPr>
        <w:pStyle w:val="BodyText"/>
      </w:pPr>
      <w:r>
        <w:rPr>
          <w:b/>
          <w:bCs/>
        </w:rPr>
        <w:t xml:space="preserve">Perché il GIALLO protegge più di un cancello binario:</w:t>
      </w:r>
      <w:r>
        <w:t xml:space="preserve"> </w:t>
      </w:r>
      <w:r>
        <w:t xml:space="preserve">una regola scritta e disattesa vale meno di nessuna regola. Qui l’aggiramento ha un lettore in più — il fascicolo assicurativo.</w:t>
      </w:r>
    </w:p>
    <w:p>
      <w:pPr>
        <w:pStyle w:val="BodyText"/>
      </w:pPr>
      <w:r>
        <w:rPr>
          <w:b/>
          <w:bCs/>
        </w:rPr>
        <w:t xml:space="preserve">Confine di atto:</w:t>
      </w:r>
      <w:r>
        <w:t xml:space="preserve"> </w:t>
      </w:r>
      <w:r>
        <w:t xml:space="preserve">mai attestare il nesso causale, mai quantificare il danno, mai dire «non è niente di grave», mai sospendere un presidio prescritto (collare compreso), mai giudicare l’idoneità alla guida.</w:t>
      </w:r>
    </w:p>
    <w:p>
      <w:r>
        <w:pict>
          <v:rect style="width:0;height:1.5pt" o:hralign="center" o:hrstd="t" o:hr="t"/>
        </w:pict>
      </w:r>
    </w:p>
    <w:bookmarkEnd w:id="14"/>
    <w:bookmarkStart w:id="15" w:name="come-decidi-i-marker"/>
    <w:p>
      <w:pPr>
        <w:pStyle w:val="Heading2"/>
      </w:pPr>
      <w:r>
        <w:t xml:space="preserve">7. Come decidi — i marker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Cambiamento che conta</w:t>
            </w:r>
          </w:p>
        </w:tc>
        <w:tc>
          <w:tcPr/>
          <w:p>
            <w:pPr>
              <w:pStyle w:val="Compact"/>
            </w:pPr>
            <w:r>
              <w:t xml:space="preserve">Valore alterato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Rotazione cervicale attiva</w:t>
            </w:r>
          </w:p>
        </w:tc>
        <w:tc>
          <w:tcPr/>
          <w:p>
            <w:pPr>
              <w:pStyle w:val="Compact"/>
            </w:pPr>
            <w:r>
              <w:t xml:space="preserve">10 gradi</w:t>
            </w:r>
          </w:p>
        </w:tc>
        <w:tc>
          <w:tcPr/>
          <w:p>
            <w:pPr>
              <w:pStyle w:val="Compact"/>
            </w:pPr>
            <w:r>
              <w:t xml:space="preserve">Non stabilito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Flessione cranio-cervicale</w:t>
            </w:r>
          </w:p>
        </w:tc>
        <w:tc>
          <w:tcPr/>
          <w:p>
            <w:pPr>
              <w:pStyle w:val="Compact"/>
            </w:pPr>
            <w:r>
              <w:t xml:space="preserve">2 mmHg (un gradino)</w:t>
            </w:r>
          </w:p>
        </w:tc>
        <w:tc>
          <w:tcPr/>
          <w:p>
            <w:pPr>
              <w:pStyle w:val="Compact"/>
            </w:pPr>
            <w:r>
              <w:t xml:space="preserve">Non stabilito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Riposizionamento della testa</w:t>
            </w:r>
          </w:p>
        </w:tc>
        <w:tc>
          <w:tcPr/>
          <w:p>
            <w:pPr>
              <w:pStyle w:val="Compact"/>
            </w:pPr>
            <w:r>
              <w:t xml:space="preserve">Non stabilito</w:t>
            </w:r>
          </w:p>
        </w:tc>
        <w:tc>
          <w:tcPr/>
          <w:p>
            <w:pPr>
              <w:pStyle w:val="Compact"/>
            </w:pPr>
            <w:r>
              <w:t xml:space="preserve">Oltre 4,5 gradi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Rotazione toracica seduto</w:t>
            </w:r>
          </w:p>
        </w:tc>
        <w:tc>
          <w:tcPr/>
          <w:p>
            <w:pPr>
              <w:pStyle w:val="Compact"/>
            </w:pPr>
            <w:r>
              <w:t xml:space="preserve">10 gradi</w:t>
            </w:r>
          </w:p>
        </w:tc>
        <w:tc>
          <w:tcPr/>
          <w:p>
            <w:pPr>
              <w:pStyle w:val="Compact"/>
            </w:pPr>
            <w:r>
              <w:t xml:space="preserve">Non stabilito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pressoria in sede remota</w:t>
            </w:r>
          </w:p>
        </w:tc>
        <w:tc>
          <w:tcPr/>
          <w:p>
            <w:pPr>
              <w:pStyle w:val="Compact"/>
            </w:pPr>
            <w:r>
              <w:t xml:space="preserve">Errore dello strumento raddoppiato</w:t>
            </w:r>
          </w:p>
        </w:tc>
        <w:tc>
          <w:tcPr/>
          <w:p>
            <w:pPr>
              <w:pStyle w:val="Compact"/>
            </w:pPr>
            <w:r>
              <w:t xml:space="preserve">Non stabilito</w:t>
            </w:r>
          </w:p>
        </w:tc>
      </w:tr>
    </w:tbl>
    <w:p>
      <w:pPr>
        <w:pStyle w:val="BodyText"/>
      </w:pPr>
      <w:r>
        <w:t xml:space="preserve">Le soglie dei 10 gradi e dell’algometria vengono dall’</w:t>
      </w:r>
      <w:r>
        <w:rPr>
          <w:b/>
          <w:bCs/>
        </w:rPr>
        <w:t xml:space="preserve">errore dello strumento raddoppiato</w:t>
      </w:r>
      <w:r>
        <w:t xml:space="preserve">, non da uno studio, e si dichiarano così. I 4,5 gradi vengono da Revel 1994, su popolazione non traumatica.</w:t>
      </w:r>
      <w:r>
        <w:t xml:space="preserve"> </w:t>
      </w:r>
      <w:r>
        <w:t xml:space="preserve">Il marker che ti dà ragione non può essere quello su cui hai appena lavorato. Se hai trattato il torace, resta la soglia pressoria in sede remota.</w:t>
      </w:r>
      <w:r>
        <w:t xml:space="preserve"> </w:t>
      </w:r>
      <w:r>
        <w:t xml:space="preserve">Gerarchia dei piani:</w:t>
      </w:r>
      <w:r>
        <w:t xml:space="preserve"> </w:t>
      </w:r>
      <w:r>
        <w:rPr>
          <w:b/>
          <w:bCs/>
        </w:rPr>
        <w:t xml:space="preserve">attivazione → soglia → controllo motorio ed escursione → senso di posizione.</w:t>
      </w:r>
      <w:r>
        <w:t xml:space="preserve"> </w:t>
      </w:r>
      <w:r>
        <w:t xml:space="preserve">A parità, vince il piano più alto.</w:t>
      </w:r>
      <w:r>
        <w:t xml:space="preserve"> </w:t>
      </w:r>
      <w:r>
        <w:t xml:space="preserve">Dove stanno i meccanismi: attivazione = la spia accesa; soglia = la mano screpolata;</w:t>
      </w:r>
      <w:r>
        <w:t xml:space="preserve"> </w:t>
      </w:r>
      <w:r>
        <w:rPr>
          <w:b/>
          <w:bCs/>
        </w:rPr>
        <w:t xml:space="preserve">controllo motorio ed escursione = la crepa e il martinetto</w:t>
      </w:r>
      <w:r>
        <w:t xml:space="preserve">; senso di posizione = la bolla della livella.</w:t>
      </w:r>
    </w:p>
    <w:p>
      <w:r>
        <w:pict>
          <v:rect style="width:0;height:1.5pt" o:hralign="center" o:hrstd="t" o:hr="t"/>
        </w:pict>
      </w:r>
    </w:p>
    <w:bookmarkEnd w:id="15"/>
    <w:bookmarkStart w:id="16" w:name="gli-strumenti-attivi"/>
    <w:p>
      <w:pPr>
        <w:pStyle w:val="Heading2"/>
      </w:pPr>
      <w:r>
        <w:t xml:space="preserve">8. Gli strumenti attivi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Strumento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Esercizio specifico</w:t>
            </w:r>
            <w:r>
              <w:t xml:space="preserve"> </w:t>
            </w:r>
            <w:r>
              <w:rPr>
                <w:b/>
                <w:bCs/>
              </w:rPr>
              <w:t xml:space="preserve">guidato</w:t>
            </w:r>
          </w:p>
        </w:tc>
        <w:tc>
          <w:tcPr/>
          <w:p>
            <w:pPr>
              <w:pStyle w:val="Compact"/>
            </w:pPr>
            <w:r>
              <w:t xml:space="preserve">DIMOSTRATO contro non guidato o generico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Riallenamento del senso di posizione e dello sguardo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Informazione e aspettativa</w:t>
            </w:r>
          </w:p>
        </w:tc>
        <w:tc>
          <w:tcPr/>
          <w:p>
            <w:pPr>
              <w:pStyle w:val="Compact"/>
            </w:pPr>
            <w:r>
              <w:t xml:space="preserve">DIMOSTRATO come predittore; IPOTESI</w:t>
            </w:r>
            <w:r>
              <w:t xml:space="preserve"> </w:t>
            </w:r>
            <w:r>
              <w:rPr>
                <w:i/>
                <w:iCs/>
              </w:rPr>
              <w:t xml:space="preserve">(prove contrarie)</w:t>
            </w:r>
            <w:r>
              <w:t xml:space="preserve"> </w:t>
            </w:r>
            <w:r>
              <w:t xml:space="preserve">aggiunta all’esercizio; PROBABILE dentro un programma strutturato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Ritorno graduale alle attività</w:t>
            </w:r>
          </w:p>
        </w:tc>
        <w:tc>
          <w:tcPr/>
          <w:p>
            <w:pPr>
              <w:pStyle w:val="Compact"/>
            </w:pPr>
            <w:r>
              <w:t xml:space="preserve">DIMOSTRATO contro l’immobilizzazione; RAGIONAMENTO per la guida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Gestione strutturata dello stress</w:t>
            </w:r>
          </w:p>
        </w:tc>
        <w:tc>
          <w:tcPr/>
          <w:p>
            <w:pPr>
              <w:pStyle w:val="Compact"/>
            </w:pPr>
            <w:r>
              <w:t xml:space="preserve">PROBABILE,</w:t>
            </w:r>
            <w:r>
              <w:t xml:space="preserve"> </w:t>
            </w:r>
            <w:r>
              <w:rPr>
                <w:b/>
                <w:bCs/>
              </w:rPr>
              <w:t xml:space="preserve">e non è tuo</w:t>
            </w:r>
          </w:p>
        </w:tc>
      </w:tr>
    </w:tbl>
    <w:p>
      <w:pPr>
        <w:pStyle w:val="BodyText"/>
      </w:pPr>
      <w:r>
        <w:t xml:space="preserve">Le parole che portano l’effetto sono due:</w:t>
      </w:r>
      <w:r>
        <w:t xml:space="preserve"> </w:t>
      </w:r>
      <w:r>
        <w:rPr>
          <w:i/>
          <w:iCs/>
        </w:rPr>
        <w:t xml:space="preserve">specifico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guidato</w:t>
      </w:r>
      <w:r>
        <w:t xml:space="preserve">. Effetti piccoli, su tempi brevi. La disabilità tiene a due anni, il dolore si assottiglia dopo il primo.</w:t>
      </w:r>
    </w:p>
    <w:p>
      <w:r>
        <w:pict>
          <v:rect style="width:0;height:1.5pt" o:hralign="center" o:hrstd="t" o:hr="t"/>
        </w:pict>
      </w:r>
    </w:p>
    <w:bookmarkEnd w:id="16"/>
    <w:bookmarkStart w:id="17" w:name="Xe0ffc55dac02ac419b3ab9e513b3982de14c2f1"/>
    <w:p>
      <w:pPr>
        <w:pStyle w:val="Heading2"/>
      </w:pPr>
      <w:r>
        <w:t xml:space="preserve">9. La frase per il paziente, e i quattro segnali</w:t>
      </w:r>
    </w:p>
    <w:p>
      <w:pPr>
        <w:pStyle w:val="FirstParagraph"/>
      </w:pPr>
      <w:r>
        <w:rPr>
          <w:i/>
          <w:iCs/>
        </w:rPr>
        <w:t xml:space="preserve">«Nell’urto il suo collo si è mosso più in fretta di quanto potesse controllare. È come una crepa dietro l’intonaco: il muro è lesionato, l’intonaco è intatto, e la foto riprende solo l’intonaco.»</w:t>
      </w:r>
    </w:p>
    <w:p>
      <w:pPr>
        <w:pStyle w:val="BodyText"/>
      </w:pPr>
      <w:r>
        <w:rPr>
          <w:b/>
          <w:bCs/>
        </w:rPr>
        <w:t xml:space="preserve">Cosa deve mandarla al pronto soccorso:</w:t>
      </w:r>
      <w:r>
        <w:t xml:space="preserve"> </w:t>
      </w:r>
      <w:r>
        <w:t xml:space="preserve">un dolore al collo o alla nuca nuovo, improvviso e diverso da quello di adesso; una palpebra che cade o una pupilla più piccola; visione doppia, parola impastata, instabilità nuova, mani improvvisamente goffe o una scossa lungo la schiena quando piega il collo; forza o sensibilità che cambiano in un arto, o difficoltà a deglutire.</w:t>
      </w:r>
    </w:p>
    <w:p>
      <w:r>
        <w:pict>
          <v:rect style="width:0;height:1.5pt" o:hralign="center" o:hrstd="t" o:hr="t"/>
        </w:pict>
      </w:r>
    </w:p>
    <w:bookmarkEnd w:id="17"/>
    <w:bookmarkStart w:id="18" w:name="perché-ci-sei-tu"/>
    <w:p>
      <w:pPr>
        <w:pStyle w:val="Heading2"/>
      </w:pPr>
      <w:r>
        <w:t xml:space="preserve">Perché ci sei tu</w: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Circa cinque persone su dieci hanno ancora dolore al collo a un anno dall’incidente (Carroll, 2008, PMID 18204405). E su 6.015 adulti, chi si aspettava di guarire presto ha recuperato 3,62 volte più in fretta (Carroll, 2009, PMID 19228657). Quel doppio dato ti autorizza a misurare, a stratificare alla prima seduta e a insegnare — e seguire — l’esercizio specifico. Non ti autorizza a dire che senza di te non sarebbe passato: metà di quelli che vedi sarebbe guarita comunque.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(variante:</w:t>
      </w:r>
      <w:r>
        <w:t xml:space="preserve"> </w:t>
      </w:r>
      <w:r>
        <w:rPr>
          <w:i/>
          <w:iCs/>
        </w:rPr>
        <w:t xml:space="preserve">prove contrarie</w:t>
      </w:r>
      <w:r>
        <w:t xml:space="preserve">)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 ·</w:t>
      </w:r>
      <w:r>
        <w:t xml:space="preserve"> </w:t>
      </w:r>
      <w:r>
        <w:rPr>
          <w:b/>
          <w:bCs/>
        </w:rPr>
        <w:t xml:space="preserve">DIMOSTRATO nel cadavere</w:t>
      </w:r>
      <w:r>
        <w:t xml:space="preserve"> </w:t>
      </w:r>
      <w:r>
        <w:t xml:space="preserve">studi solidi, ma su preparato anatomico ·</w:t>
      </w:r>
      <w:r>
        <w:t xml:space="preserve"> </w:t>
      </w:r>
      <w:r>
        <w:rPr>
          <w:b/>
          <w:bCs/>
        </w:rPr>
        <w:t xml:space="preserve">DIMOSTRATO nel feto</w:t>
      </w:r>
      <w:r>
        <w:t xml:space="preserve"> </w:t>
      </w:r>
      <w:r>
        <w:t xml:space="preserve">studi solidi, ma su preparato anatomico fetale</w:t>
      </w:r>
    </w:p>
    <w:p>
      <w:pPr>
        <w:pStyle w:val="FirstParagraph"/>
      </w:pPr>
      <w:r>
        <w:rPr>
          <w:i/>
          <w:iCs/>
        </w:rPr>
        <w:t xml:space="preserve">Deviazioni dichiarate: blocco sicurezza del gesto (D-042), blocco ragionamento clinico (D-018), blocco strumenti attivi (D-011), variante di glossa IPOTESI (D-044), etichetta qualificata per specie e stadio (D-037), doppia ancora scientifica (D-067).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2026-08-27T14:34:16Z</dcterms:created>
  <dcterms:modified xsi:type="dcterms:W3CDTF">2026-08-27T14:34:16Z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