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Artrite</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6" w:name="bibbia-teorica-artrite"/>
    <w:p>
      <w:pPr>
        <w:pStyle w:val="Heading1"/>
      </w:pPr>
      <w:r>
        <w:t xml:space="preserve">Bibbia Teorica — Artrite</w:t>
      </w:r>
    </w:p>
    <w:p>
      <w:pPr>
        <w:pStyle w:val="FirstParagraph"/>
      </w:pPr>
      <w:r>
        <w:rPr>
          <w:b/>
          <w:bCs/>
        </w:rPr>
        <w:t xml:space="preserve">Condizione:</w:t>
      </w:r>
      <w:r>
        <w:t xml:space="preserve"> </w:t>
      </w:r>
      <w:r>
        <w:t xml:space="preserve">artrite (forma di riferimento: artrite reumatoide)</w:t>
      </w:r>
      <w:r>
        <w:t xml:space="preserve"> </w:t>
      </w:r>
      <w:r>
        <w:rPr>
          <w:b/>
          <w:bCs/>
        </w:rPr>
        <w:t xml:space="preserve">Ancora clinica sulla leva attiva:</w:t>
      </w:r>
      <w:r>
        <w:t xml:space="preserve"> </w:t>
      </w:r>
      <w:r>
        <w:t xml:space="preserve">Sarah E. Lamb — Nuffield Department of Orthopaedics, Rheumatology and Musculoskeletal Sciences, University of Oxford</w:t>
      </w:r>
      <w:r>
        <w:t xml:space="preserve"> </w:t>
      </w:r>
      <w:r>
        <w:rPr>
          <w:b/>
          <w:bCs/>
        </w:rPr>
        <w:t xml:space="preserve">Ancora fisiologica:</w:t>
      </w:r>
      <w:r>
        <w:t xml:space="preserve"> </w:t>
      </w:r>
      <w:r>
        <w:t xml:space="preserve">Kevin J. Tracey — Feinstein Institutes for Medical Research, Manhasset, New York</w:t>
      </w:r>
      <w:r>
        <w:t xml:space="preserve"> </w:t>
      </w:r>
      <w:r>
        <w:rPr>
          <w:b/>
          <w:bCs/>
        </w:rPr>
        <w:t xml:space="preserve">Versione:</w:t>
      </w:r>
      <w:r>
        <w:t xml:space="preserve"> </w:t>
      </w:r>
      <w:r>
        <w:t xml:space="preserve">v7 (revisione di lingua, 6º livello — versione finale) ·</w:t>
      </w:r>
      <w:r>
        <w:t xml:space="preserve"> </w:t>
      </w:r>
      <w:r>
        <w:rPr>
          <w:b/>
          <w:bCs/>
        </w:rPr>
        <w:t xml:space="preserve">Data:</w:t>
      </w:r>
      <w:r>
        <w:t xml:space="preserve"> </w:t>
      </w:r>
      <w:r>
        <w:t xml:space="preserve">4 settembre 2026</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questo documento ti dice cosa fa la malattia, cosa fa il corpo intorno alla malattia, e perché solo la seconda delle due è materia tua.</w:t>
      </w:r>
    </w:p>
    <w:p>
      <w:pPr>
        <w:pStyle w:val="FirstParagraph"/>
      </w:pPr>
      <w:r>
        <w:rPr>
          <w:b/>
          <w:bCs/>
        </w:rPr>
        <w:t xml:space="preserve">A chi parla.</w:t>
      </w:r>
      <w:r>
        <w:t xml:space="preserve"> </w:t>
      </w:r>
      <w:r>
        <w:t xml:space="preserve">All’osteopata del team. Non al paziente, non al reumatologo.</w:t>
      </w:r>
    </w:p>
    <w:p>
      <w:pPr>
        <w:pStyle w:val="BodyText"/>
      </w:pPr>
      <w:r>
        <w:rPr>
          <w:b/>
          <w:bCs/>
        </w:rPr>
        <w:t xml:space="preserve">Cosa c’è qui e cosa no.</w:t>
      </w:r>
      <w:r>
        <w:t xml:space="preserve"> </w:t>
      </w:r>
      <w:r>
        <w:t xml:space="preserve">Qui trovi che cos’è, perché succede, quali meccanismi la tengono in piedi e quanto è solido ciascuno. Trovi anche perché le mani possono agire su qualcosa. Tecniche, dosi, minuti e piano delle sedute stanno nella Procedura di Artrite.</w:t>
      </w:r>
    </w:p>
    <w:p>
      <w:pPr>
        <w:pStyle w:val="BodyText"/>
      </w:pPr>
      <w:r>
        <w:rPr>
          <w:b/>
          <w:bCs/>
        </w:rPr>
        <w:t xml:space="preserve">Una parola sul nome.</w:t>
      </w:r>
      <w:r>
        <w:t xml:space="preserve"> </w:t>
      </w:r>
      <w:r>
        <w:t xml:space="preserve">«Artrite» è la parola con cui il paziente si presenta, e resta nel titolo. Nel testo si usa</w:t>
      </w:r>
      <w:r>
        <w:t xml:space="preserve"> </w:t>
      </w:r>
      <w:r>
        <w:rPr>
          <w:b/>
          <w:bCs/>
        </w:rPr>
        <w:t xml:space="preserve">artrite reumatoide</w:t>
      </w:r>
      <w:r>
        <w:t xml:space="preserve">, la forma su cui il documento è costruito. Dove un’altra artrite cambia la tua condotta, è nominata.</w:t>
      </w:r>
    </w:p>
    <w:bookmarkStart w:id="9" w:name="come-si-leggono-le-etichette"/>
    <w:p>
      <w:pPr>
        <w:pStyle w:val="Heading3"/>
      </w:pPr>
      <w:r>
        <w:t xml:space="preserve">Come si leggono le etichette</w:t>
      </w:r>
    </w:p>
    <w:p>
      <w:pPr>
        <w:pStyle w:val="FirstParagraph"/>
      </w:pPr>
      <w:r>
        <w:t xml:space="preserve">Ogni affermazione importante porta un box con una di quattro etichette. La glossa fra parentesi è sempre la stessa.</w:t>
      </w:r>
    </w:p>
    <w:p>
      <w:pPr>
        <w:pStyle w:val="Compact"/>
        <w:numPr>
          <w:ilvl w:val="0"/>
          <w:numId w:val="1001"/>
        </w:numPr>
      </w:pPr>
      <w:r>
        <w:rPr>
          <w:b/>
          <w:bCs/>
        </w:rPr>
        <w:t xml:space="preserve">DIMOSTRATO</w:t>
      </w:r>
      <w:r>
        <w:t xml:space="preserve"> </w:t>
      </w:r>
      <w:r>
        <w:rPr>
          <w:i/>
          <w:iCs/>
        </w:rPr>
        <w:t xml:space="preserve">(studi sull’uomo, solidi)</w:t>
      </w:r>
    </w:p>
    <w:p>
      <w:pPr>
        <w:pStyle w:val="Compact"/>
        <w:numPr>
          <w:ilvl w:val="0"/>
          <w:numId w:val="1001"/>
        </w:numPr>
      </w:pPr>
      <w:r>
        <w:rPr>
          <w:b/>
          <w:bCs/>
        </w:rPr>
        <w:t xml:space="preserve">PROBABILE</w:t>
      </w:r>
      <w:r>
        <w:t xml:space="preserve"> </w:t>
      </w:r>
      <w:r>
        <w:rPr>
          <w:i/>
          <w:iCs/>
        </w:rPr>
        <w:t xml:space="preserve">(razionale forte, prove parziali)</w:t>
      </w:r>
    </w:p>
    <w:p>
      <w:pPr>
        <w:pStyle w:val="Compact"/>
        <w:numPr>
          <w:ilvl w:val="0"/>
          <w:numId w:val="1001"/>
        </w:numPr>
      </w:pPr>
      <w:r>
        <w:rPr>
          <w:b/>
          <w:bCs/>
        </w:rPr>
        <w:t xml:space="preserve">IPOTESI</w:t>
      </w:r>
      <w:r>
        <w:t xml:space="preserve"> </w:t>
      </w:r>
      <w:r>
        <w:rPr>
          <w:i/>
          <w:iCs/>
        </w:rPr>
        <w:t xml:space="preserve">(meccanismo coerente, nessuno studio)</w:t>
      </w:r>
    </w:p>
    <w:p>
      <w:pPr>
        <w:pStyle w:val="Compact"/>
        <w:numPr>
          <w:ilvl w:val="0"/>
          <w:numId w:val="1001"/>
        </w:numPr>
      </w:pPr>
      <w:r>
        <w:rPr>
          <w:b/>
          <w:bCs/>
        </w:rPr>
        <w:t xml:space="preserve">RAGIONAMENTO</w:t>
      </w:r>
      <w:r>
        <w:t xml:space="preserve"> </w:t>
      </w:r>
      <w:r>
        <w:rPr>
          <w:i/>
          <w:iCs/>
        </w:rPr>
        <w:t xml:space="preserve">(cornice clinica, non una prova)</w:t>
      </w:r>
    </w:p>
    <w:p>
      <w:pPr>
        <w:pStyle w:val="FirstParagraph"/>
      </w:pPr>
      <w:r>
        <w:t xml:space="preserve">Due regole che qui contano più che altrove.</w:t>
      </w:r>
    </w:p>
    <w:p>
      <w:pPr>
        <w:pStyle w:val="BodyText"/>
      </w:pPr>
      <w:r>
        <w:rPr>
          <w:b/>
          <w:bCs/>
        </w:rPr>
        <w:t xml:space="preserve">L’etichetta non si declina, e non si salva aggiungendo una qualifica.</w:t>
      </w:r>
      <w:r>
        <w:t xml:space="preserve"> </w:t>
      </w:r>
      <w:r>
        <w:t xml:space="preserve">La prova contraria si scrive</w:t>
      </w:r>
      <w:r>
        <w:t xml:space="preserve"> </w:t>
      </w:r>
      <w:r>
        <w:rPr>
          <w:b/>
          <w:bCs/>
        </w:rPr>
        <w:t xml:space="preserve">nella frase</w:t>
      </w:r>
      <w:r>
        <w:t xml:space="preserve">, nominata e citata. Ma se la qualità delle prove è bassa, l’etichetta scende: la qualità è ciò che l’etichetta misura.</w:t>
      </w:r>
    </w:p>
    <w:p>
      <w:pPr>
        <w:pStyle w:val="BodyText"/>
      </w:pPr>
      <w:r>
        <w:rPr>
          <w:b/>
          <w:bCs/>
        </w:rPr>
        <w:t xml:space="preserve">L’etichetta si spezza quando i pezzi non hanno la stessa forza.</w:t>
      </w:r>
      <w:r>
        <w:t xml:space="preserve"> </w:t>
      </w:r>
      <w:r>
        <w:t xml:space="preserve">Qui capita spesso che un meccanismo abbia un anello misurato benissimo e un anello mai misurato. Un’etichetta sola sui due è per forza sbagliata: la più alta gonfia il claim, la più bassa butta via una misura vera.</w:t>
      </w:r>
    </w:p>
    <w:bookmarkEnd w:id="9"/>
    <w:bookmarkStart w:id="10" w:name="come-si-studia-questa-bibbia"/>
    <w:p>
      <w:pPr>
        <w:pStyle w:val="Heading3"/>
      </w:pPr>
      <w:r>
        <w:t xml:space="preserve">Come si studia questa Bibbia</w:t>
      </w:r>
    </w:p>
    <w:p>
      <w:pPr>
        <w:pStyle w:val="FirstParagraph"/>
      </w:pPr>
      <w:r>
        <w:t xml:space="preserve">Sei passi, in quest’ordine. Non c’è un percorso breve: se un capitolo fosse saltabile, lo toglieremmo.</w:t>
      </w:r>
    </w:p>
    <w:p>
      <w:pPr>
        <w:pStyle w:val="Compact"/>
        <w:numPr>
          <w:ilvl w:val="0"/>
          <w:numId w:val="1002"/>
        </w:numPr>
      </w:pPr>
      <w:r>
        <w:rPr>
          <w:b/>
          <w:bCs/>
        </w:rPr>
        <w:t xml:space="preserve">Prima lettura tutta di fila, senza appunti.</w:t>
      </w:r>
      <w:r>
        <w:t xml:space="preserve"> </w:t>
      </w:r>
      <w:r>
        <w:t xml:space="preserve">Serve la mappa d’insieme. Quello che non torna si segna e si lascia lì.</w:t>
      </w:r>
    </w:p>
    <w:p>
      <w:pPr>
        <w:pStyle w:val="Compact"/>
        <w:numPr>
          <w:ilvl w:val="0"/>
          <w:numId w:val="1002"/>
        </w:numPr>
      </w:pPr>
      <w:r>
        <w:rPr>
          <w:b/>
          <w:bCs/>
        </w:rPr>
        <w:t xml:space="preserve">Seconda passata con un paziente vero in testa.</w:t>
      </w:r>
      <w:r>
        <w:t xml:space="preserve"> </w:t>
      </w:r>
      <w:r>
        <w:t xml:space="preserve">Rileggi «Cosa si rompe» e «Come ragiono davanti a questo paziente». Su ogni meccanismo chiediti: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i cinque meccanismi, e da cosa riconosci ciascuno.</w:t>
      </w:r>
      <w:r>
        <w:t xml:space="preserve"> </w:t>
      </w:r>
      <w:r>
        <w:rPr>
          <w:b/>
          <w:bCs/>
        </w:rPr>
        <w:t xml:space="preserve">Le tre cose da ricordare in fondo a ogni capitolo sono la traccia di questa prova, non un riassunto.</w:t>
      </w:r>
      <w:r>
        <w:t xml:space="preserve"> </w:t>
      </w:r>
      <w:r>
        <w:t xml:space="preserve">È una prova di richiamo: si supera avendo studiato. La soglia vera è in fondo al Capitolo 14.</w:t>
      </w:r>
    </w:p>
    <w:p>
      <w:pPr>
        <w:pStyle w:val="Compact"/>
        <w:numPr>
          <w:ilvl w:val="0"/>
          <w:numId w:val="1002"/>
        </w:numPr>
      </w:pPr>
      <w:r>
        <w:rPr>
          <w:b/>
          <w:bCs/>
        </w:rPr>
        <w:t xml:space="preserve">Prima del primo paziente: la Mappa, due minuti.</w:t>
      </w:r>
      <w:r>
        <w:t xml:space="preserve"> </w:t>
      </w:r>
      <w:r>
        <w:t xml:space="preserve">Non la Bibbia.</w:t>
      </w:r>
    </w:p>
    <w:p>
      <w:pPr>
        <w:pStyle w:val="Compact"/>
        <w:numPr>
          <w:ilvl w:val="0"/>
          <w:numId w:val="1002"/>
        </w:numPr>
      </w:pPr>
      <w:r>
        <w:rPr>
          <w:b/>
          <w:bCs/>
        </w:rPr>
        <w:t xml:space="preserve">Dopo i primi tre pazienti: rileggi «Dove finisce il nostro campo» e «Cosa dice la scienza».</w:t>
      </w:r>
      <w:r>
        <w:t xml:space="preserve"> </w:t>
      </w:r>
      <w:r>
        <w:t xml:space="preserve">Dicono una cosa diversa quando hai avuto qualcuno davanti. Il perimetro smette di essere teorico. E quanto poco regga il tuo gesto si legge in un altro modo davanti alla persona su cui deve reggere.</w:t>
      </w:r>
    </w:p>
    <w:p>
      <w:pPr>
        <w:pStyle w:val="Compact"/>
        <w:numPr>
          <w:ilvl w:val="0"/>
          <w:numId w:val="1002"/>
        </w:numPr>
      </w:pPr>
      <w:r>
        <w:rPr>
          <w:b/>
          <w:bCs/>
        </w:rPr>
        <w:t xml:space="preserve">A sei mesi: solo la Mappa.</w:t>
      </w:r>
      <w:r>
        <w:t xml:space="preserve"> </w:t>
      </w:r>
      <w:r>
        <w:t xml:space="preserve">Se un blocco non ti riaccende il capitolo, quello è il capitolo da rileggere.</w:t>
      </w:r>
    </w:p>
    <w:p>
      <w:pPr>
        <w:pStyle w:val="FirstParagraph"/>
      </w:pP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3"/>
        </w:numPr>
      </w:pPr>
      <w:r>
        <w:t xml:space="preserve">Le quattro etichette portano sempre la loro glossa, e non si declinano: la prova contraria sta nella frase.</w:t>
      </w:r>
    </w:p>
    <w:p>
      <w:pPr>
        <w:pStyle w:val="Compact"/>
        <w:numPr>
          <w:ilvl w:val="0"/>
          <w:numId w:val="1003"/>
        </w:numPr>
      </w:pPr>
      <w:r>
        <w:t xml:space="preserve">La Bibbia arriva al razionale della leva e si ferma lì. Il gesto è nella Procedura.</w:t>
      </w:r>
    </w:p>
    <w:p>
      <w:pPr>
        <w:pStyle w:val="Compact"/>
        <w:numPr>
          <w:ilvl w:val="0"/>
          <w:numId w:val="1003"/>
        </w:numPr>
      </w:pPr>
      <w:r>
        <w:t xml:space="preserve">Qui la malattia e il corpo intorno alla malattia sono due oggetti diversi, e vanno tenuti separati in ogni frase che scrivi e che dici.</w:t>
      </w:r>
    </w:p>
    <w:p>
      <w:pPr>
        <w:pStyle w:val="Compact"/>
        <w:numPr>
          <w:ilvl w:val="0"/>
          <w:numId w:val="1003"/>
        </w:numPr>
      </w:pPr>
      <w:r>
        <w:rPr>
          <w:b/>
          <w:bCs/>
        </w:rPr>
        <w:t xml:space="preserve">Perché ci sei tu.</w:t>
      </w:r>
      <w:r>
        <w:t xml:space="preserve"> </w:t>
      </w:r>
      <w:r>
        <w:t xml:space="preserve">La panoramica più ampia delle revisioni sulle tecniche osteopatiche copre nove indicazioni cliniche, e l’artrite reumatoide non è fra queste (Zipp, 2025, PMID 40325655). Questo ti autorizza a leggere il resto del documento sapendo già una cosa: il tuo gesto, qui, non ha una sintesi che lo sostenga. Non ti autorizza a dire a un paziente o a un medico che «l’osteopatia funziona sull’artrite».</w:t>
      </w:r>
    </w:p>
    <w:p>
      <w:pPr>
        <w:pStyle w:val="FirstParagraph"/>
      </w:pPr>
      <w:r>
        <w:t xml:space="preserve">Buon nutrimento!</w:t>
      </w:r>
    </w:p>
    <w:p>
      <w:r>
        <w:pict>
          <v:rect style="width:0;height:1.5pt" o:hralign="center" o:hrstd="t" o:hr="t"/>
        </w:pict>
      </w:r>
    </w:p>
    <w:bookmarkEnd w:id="10"/>
    <w:bookmarkEnd w:id="11"/>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una persona che ha una diagnosi vera, una terapia che funziona sui valori, e un corpo che nessuno ha più guardato da quando è arrivata la parola.</w:t>
      </w:r>
    </w:p>
    <w:bookmarkStart w:id="12" w:name="come-lo-racconta-lui"/>
    <w:p>
      <w:pPr>
        <w:pStyle w:val="Heading3"/>
      </w:pPr>
      <w:r>
        <w:t xml:space="preserve">Come lo racconta lui</w:t>
      </w:r>
    </w:p>
    <w:p>
      <w:pPr>
        <w:pStyle w:val="FirstParagraph"/>
      </w:pPr>
      <w:r>
        <w:t xml:space="preserve">Le frasi che senti in stanza sono quasi sempre queste.</w:t>
      </w:r>
    </w:p>
    <w:p>
      <w:pPr>
        <w:pStyle w:val="Compact"/>
        <w:numPr>
          <w:ilvl w:val="0"/>
          <w:numId w:val="1004"/>
        </w:numPr>
      </w:pPr>
      <w:r>
        <w:rPr>
          <w:i/>
          <w:iCs/>
        </w:rPr>
        <w:t xml:space="preserve">«Le mani sono gonfie. Le dita non chiudono, e la mattina me le guardo per capire come sarà la giornata.»</w:t>
      </w:r>
    </w:p>
    <w:p>
      <w:pPr>
        <w:pStyle w:val="Compact"/>
        <w:numPr>
          <w:ilvl w:val="0"/>
          <w:numId w:val="1004"/>
        </w:numPr>
      </w:pPr>
      <w:r>
        <w:rPr>
          <w:i/>
          <w:iCs/>
        </w:rPr>
        <w:t xml:space="preserve">«Non sono cinque minuti di rigidità: è un’ora, a volte di più. La mia giornata comincia sempre in ritardo.»</w:t>
      </w:r>
    </w:p>
    <w:p>
      <w:pPr>
        <w:pStyle w:val="Compact"/>
        <w:numPr>
          <w:ilvl w:val="0"/>
          <w:numId w:val="1004"/>
        </w:numPr>
      </w:pPr>
      <w:r>
        <w:rPr>
          <w:i/>
          <w:iCs/>
        </w:rPr>
        <w:t xml:space="preserve">«Aprire un barattolo, girare una chiave, allacciare un bottone. Sono diventati il modo in cui misuro come sto.»</w:t>
      </w:r>
    </w:p>
    <w:p>
      <w:pPr>
        <w:pStyle w:val="Compact"/>
        <w:numPr>
          <w:ilvl w:val="0"/>
          <w:numId w:val="1004"/>
        </w:numPr>
      </w:pPr>
      <w:r>
        <w:rPr>
          <w:i/>
          <w:iCs/>
        </w:rPr>
        <w:t xml:space="preserve">«Ho visto le foto delle mani deformate. E ogni volta che guardo le mie mi chiedo se finirò così.»</w:t>
      </w:r>
    </w:p>
    <w:p>
      <w:pPr>
        <w:pStyle w:val="Compact"/>
        <w:numPr>
          <w:ilvl w:val="0"/>
          <w:numId w:val="1004"/>
        </w:numPr>
      </w:pPr>
      <w:r>
        <w:rPr>
          <w:i/>
          <w:iCs/>
        </w:rPr>
        <w:t xml:space="preserve">«Sono sempre stanca. Non è il dolore: è una spossatezza che il riposo non toglie. Non la racconto, perché sembra una scusa.»</w:t>
      </w:r>
    </w:p>
    <w:p>
      <w:pPr>
        <w:pStyle w:val="Compact"/>
        <w:numPr>
          <w:ilvl w:val="0"/>
          <w:numId w:val="1004"/>
        </w:numPr>
      </w:pPr>
      <w:r>
        <w:rPr>
          <w:i/>
          <w:iCs/>
        </w:rPr>
        <w:t xml:space="preserve">«Non so mai come sarò domani. E questo, più del dolore, mi toglie il controllo.»</w:t>
      </w:r>
    </w:p>
    <w:p>
      <w:pPr>
        <w:pStyle w:val="FirstParagraph"/>
      </w:pPr>
      <w:r>
        <w:t xml:space="preserve">L’ultima frase è il centro. Il paziente non ha perso una funzione: ha perso la</w:t>
      </w:r>
      <w:r>
        <w:t xml:space="preserve"> </w:t>
      </w:r>
      <w:r>
        <w:rPr>
          <w:b/>
          <w:bCs/>
        </w:rPr>
        <w:t xml:space="preserve">prevedibilità</w:t>
      </w:r>
      <w:r>
        <w:t xml:space="preserve">. Con lei ha perso la possibilità di dire di sì a una cena, a un weekend, a un impegno di lavoro. È il turno che ti comunicano la sera prima: non prometti niente a nessuno. Le disdette pesano più del gonfiore.</w:t>
      </w:r>
    </w:p>
    <w:p>
      <w:pPr>
        <w:pStyle w:val="BodyText"/>
      </w:pPr>
      <w:r>
        <w:t xml:space="preserve">C’è poi una paura che quasi nessuno dice per primo: i farmaci spaventano quanto la malattia. Il paziente legge il foglietto illustrativo, si spaventa, e li prende lo stesso perché senza sta peggio.</w:t>
      </w:r>
    </w:p>
    <w:p>
      <w:pPr>
        <w:pStyle w:val="BodyText"/>
      </w:pPr>
      <w:r>
        <w:rPr>
          <w:b/>
          <w:bCs/>
        </w:rPr>
        <w:t xml:space="preserve">E c’è chi non parla così, perché ha trent’anni di più.</w:t>
      </w:r>
      <w:r>
        <w:t xml:space="preserve"> </w:t>
      </w:r>
      <w:r>
        <w:t xml:space="preserve">Nelle coorti recenti il picco di incidenza è nelle donne fra i settantacinque e gli ottantaquattro anni. Quel quadro non somiglia a questo, e lo trovi fra i sottotipi. Se hai in testa solo «mani e piedi, simmetria, piccole articolazioni per prime», non lo riconosci.</w:t>
      </w:r>
    </w:p>
    <w:bookmarkEnd w:id="12"/>
    <w:bookmarkStart w:id="13" w:name="cosa-ha-già-fatto"/>
    <w:p>
      <w:pPr>
        <w:pStyle w:val="Heading3"/>
      </w:pPr>
      <w:r>
        <w:t xml:space="preserve">Cosa ha già fatto</w:t>
      </w:r>
    </w:p>
    <w:p>
      <w:pPr>
        <w:pStyle w:val="FirstParagraph"/>
      </w:pPr>
      <w:r>
        <w:t xml:space="preserve">Il percorso medico, quando funziona, è denso e corretto. Comincia dagli esami del sangue — VES, PCR, fattore reumatoide, anti-CCP — che sono il vero cardine diagnostico, più degli esami per immagini. Poi la radiografia di mani e piedi, per le erosioni. Spesso anche un’ecografia con power Doppler, che vede l’infiammazione della sinovia prima che l’osso si rompa. Infine la terapia, descritta nel capitolo sui limiti di campo insieme alla regola di non commentarla.</w:t>
      </w:r>
    </w:p>
    <w:p>
      <w:pPr>
        <w:pStyle w:val="BodyText"/>
      </w:pPr>
      <w:r>
        <w:t xml:space="preserve">Accanto al percorso medico ci sono i tentativi. La fisioterapia, proposta tardi. L’attività fisica dolce, la cosa più protettiva e la più difficile da tenere in riacutizzazione. Caldo, freddo e terapie fisiche, che danno qualche ora di sollievo. Integratori e diete. Tutori e ausili, che riducono il carico e non toccano il modo in cui il resto del corpo si sta adattando.</w:t>
      </w:r>
    </w:p>
    <w:bookmarkEnd w:id="13"/>
    <w:bookmarkStart w:id="14" w:name="cosa-nessuno-ha-guardato"/>
    <w:p>
      <w:pPr>
        <w:pStyle w:val="Heading3"/>
      </w:pPr>
      <w:r>
        <w:t xml:space="preserve">Cosa nessuno ha guardato</w:t>
      </w:r>
    </w:p>
    <w:p>
      <w:pPr>
        <w:pStyle w:val="FirstParagraph"/>
      </w:pPr>
      <w:r>
        <w:t xml:space="preserve">Tre buchi ricorrenti. Nessuno è colpa di chi ha condotto il percorso: sono fuori dal mandato di ciascuno.</w:t>
      </w:r>
    </w:p>
    <w:p>
      <w:pPr>
        <w:pStyle w:val="BodyText"/>
      </w:pPr>
      <w:r>
        <w:rPr>
          <w:b/>
          <w:bCs/>
        </w:rPr>
        <w:t xml:space="preserve">Il corpo intorno alle articolazioni malate.</w:t>
      </w:r>
      <w:r>
        <w:t xml:space="preserve"> </w:t>
      </w:r>
      <w:r>
        <w:t xml:space="preserve">Il reumatologo conta le articolazioni gonfie e legge la PCR, ed è il lavoro che salva le articolazioni. Nessuno conta quanta escursione ha perso la spalla in due anni di mani che non chiudono. Nessuno misura quanta forza globale è andata, né come è cambiato il passo.</w:t>
      </w:r>
    </w:p>
    <w:p>
      <w:pPr>
        <w:pStyle w:val="BodyText"/>
      </w:pPr>
      <w:r>
        <w:rPr>
          <w:b/>
          <w:bCs/>
        </w:rPr>
        <w:t xml:space="preserve">La stanchezza, presa come oggetto.</w:t>
      </w:r>
      <w:r>
        <w:t xml:space="preserve"> </w:t>
      </w:r>
      <w:r>
        <w:t xml:space="preserve">Compare in cartella come sintomo e sparisce come bersaglio. Quante ore dorme, quante volte si sveglia, quanto costa una giornata piena: non lo chiede nessuno.</w:t>
      </w:r>
    </w:p>
    <w:p>
      <w:pPr>
        <w:pStyle w:val="BodyText"/>
      </w:pPr>
      <w:r>
        <w:rPr>
          <w:b/>
          <w:bCs/>
        </w:rPr>
        <w:t xml:space="preserve">Il respiro e il sonno.</w:t>
      </w:r>
      <w:r>
        <w:t xml:space="preserve"> </w:t>
      </w:r>
      <w:r>
        <w:t xml:space="preserve">Chi ha dolore notturno dorme a pezzi. Il giorno dopo ha un respiro alto e una soglia del dolore più bassa. È un anello, e non sta in nessun referto.</w:t>
      </w:r>
    </w:p>
    <w:bookmarkEnd w:id="14"/>
    <w:bookmarkStart w:id="15" w:name="le-quattro-domande-che-ti-farà"/>
    <w:p>
      <w:pPr>
        <w:pStyle w:val="Heading3"/>
      </w:pPr>
      <w:r>
        <w:t xml:space="preserve">Le quattro domande che ti farà</w:t>
      </w:r>
    </w:p>
    <w:p>
      <w:pPr>
        <w:pStyle w:val="FirstParagraph"/>
      </w:pPr>
      <w:r>
        <w:t xml:space="preserve">Tre te le fa quasi sempre: cosa potete fare voi su una malattia autoimmune, se toccarlo peggiora l’infiammazione, se deve dirlo al reumatologo. Le risposte, con le parole da usare, stanno in «Cosa dire al paziente».</w:t>
      </w:r>
    </w:p>
    <w:p>
      <w:pPr>
        <w:pStyle w:val="BodyText"/>
      </w:pPr>
      <w:r>
        <w:t xml:space="preserve">La quarta è diversa.</w:t>
      </w:r>
      <w:r>
        <w:t xml:space="preserve"> </w:t>
      </w:r>
      <w:r>
        <w:rPr>
          <w:b/>
          <w:bCs/>
        </w:rPr>
        <w:t xml:space="preserve">«Finirò con le mani come quelle delle foto?»</w:t>
      </w:r>
      <w:r>
        <w:t xml:space="preserve"> </w:t>
      </w:r>
      <w:r>
        <w:t xml:space="preserve">Te la fa a mezza voce, quasi sempre alla fine, ed è quella che decide se torna. Hai due risposte vere. Sul danno consolidato si guadagna funzione e non forma. E muoversi non aumenta il danno radiografico, salvo in chi parte con grandi articolazioni già rovinate (de Jong, 2003, PMID 13130460).</w:t>
      </w:r>
    </w:p>
    <w:p>
      <w:pPr>
        <w:pStyle w:val="BodyText"/>
      </w:pPr>
      <w:r>
        <w:rPr>
          <w:b/>
          <w:bCs/>
        </w:rPr>
        <w:t xml:space="preserve">Le tre cose da ricordare, più una</w:t>
      </w:r>
    </w:p>
    <w:p>
      <w:pPr>
        <w:pStyle w:val="Compact"/>
        <w:numPr>
          <w:ilvl w:val="0"/>
          <w:numId w:val="1005"/>
        </w:numPr>
      </w:pPr>
      <w:r>
        <w:t xml:space="preserve">Chi arriva ha già la diagnosi e la terapia: il tuo valore non è aggiungere un esame, è guardare il corpo che nessun esame misura.</w:t>
      </w:r>
    </w:p>
    <w:p>
      <w:pPr>
        <w:pStyle w:val="Compact"/>
        <w:numPr>
          <w:ilvl w:val="0"/>
          <w:numId w:val="1005"/>
        </w:numPr>
      </w:pPr>
      <w:r>
        <w:t xml:space="preserve">Quello che il paziente ha perso non è solo la funzione, è la prevedibilità delle giornate.</w:t>
      </w:r>
    </w:p>
    <w:p>
      <w:pPr>
        <w:pStyle w:val="Compact"/>
        <w:numPr>
          <w:ilvl w:val="0"/>
          <w:numId w:val="1005"/>
        </w:numPr>
      </w:pPr>
      <w:r>
        <w:t xml:space="preserve">La stanchezza è parte del quadro, non una scusa, e il paziente ha smesso di raccontarla perché non è stata creduta.</w:t>
      </w:r>
    </w:p>
    <w:p>
      <w:pPr>
        <w:pStyle w:val="Compact"/>
        <w:numPr>
          <w:ilvl w:val="0"/>
          <w:numId w:val="1005"/>
        </w:numPr>
      </w:pPr>
      <w:r>
        <w:rPr>
          <w:b/>
          <w:bCs/>
        </w:rPr>
        <w:t xml:space="preserve">Perché ci sei tu.</w:t>
      </w:r>
      <w:r>
        <w:t xml:space="preserve"> </w:t>
      </w:r>
      <w:r>
        <w:rPr>
          <w:b/>
          <w:bCs/>
        </w:rPr>
        <w:t xml:space="preserve">Una su tre</w:t>
      </w:r>
      <w:r>
        <w:t xml:space="preserve"> </w:t>
      </w:r>
      <w:r>
        <w:t xml:space="preserve">ha ancora un dolore che giudica inaccettabile a cinque anni, e quel dolore si era fermato dopo i primi sei mesi di terapia (Eberhard, 2021, PMID 34127054).</w:t>
      </w:r>
      <w:r>
        <w:t xml:space="preserve"> </w:t>
      </w:r>
      <w:r>
        <w:rPr>
          <w:b/>
          <w:bCs/>
        </w:rPr>
        <w:t xml:space="preserve">Per te:</w:t>
      </w:r>
      <w:r>
        <w:t xml:space="preserve"> </w:t>
      </w:r>
      <w:r>
        <w:t xml:space="preserve">non è il paziente in cui il farmaco ha fallito. È quello in cui il farmaco ha vinto sulla malattia e il dolore è rimasto. Questo ti autorizza a prendere in carico quel dolore residuo come oggetto tuo. Non ti autorizza a presentarti come alternativa alla terapia che lo ha già ridotto della quota maggiore.</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è una malattia autoimmune sistemica che attacca la membrana che riveste le articolazioni, e la sua cura è farmacologica.</w:t>
      </w:r>
    </w:p>
    <w:bookmarkStart w:id="17" w:name="la-definizione"/>
    <w:p>
      <w:pPr>
        <w:pStyle w:val="Heading3"/>
      </w:pPr>
      <w:r>
        <w:t xml:space="preserve">La definizione</w:t>
      </w:r>
    </w:p>
    <w:p>
      <w:pPr>
        <w:pStyle w:val="FirstParagraph"/>
      </w:pPr>
      <w:r>
        <w:t xml:space="preserve">È una malattia infiammatoria cronica a base autoimmune. Il bersaglio è la</w:t>
      </w:r>
      <w:r>
        <w:t xml:space="preserve"> </w:t>
      </w:r>
      <w:r>
        <w:rPr>
          <w:b/>
          <w:bCs/>
        </w:rPr>
        <w:t xml:space="preserve">membrana sinoviale</w:t>
      </w:r>
      <w:r>
        <w:t xml:space="preserve">, il rivestimento interno dell’articolazione. Quella membrana si infiamma, prolifera e diventa un tessuto che erode cartilagine e osso.</w:t>
      </w:r>
    </w:p>
    <w:p>
      <w:pPr>
        <w:pStyle w:val="BodyText"/>
      </w:pPr>
      <w:r>
        <w:t xml:space="preserve">La classificazione di riferimento è quella congiunta ACR/EULAR del 2010. Chiede tre cose: sinovite confermata in almeno un’articolazione, nessuna diagnosi alternativa che la spieghi meglio, e almeno 6 punti su 10. I punti si contano su articolazioni coinvolte, autoanticorpi, indici di infiammazione e durata dei sintomi (Aletaha, 2010, PMID 20872595).</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criteri adottati come standard internazionale.</w:t>
      </w:r>
    </w:p>
    <w:p>
      <w:pPr>
        <w:pStyle w:val="FirstParagraph"/>
      </w:pPr>
      <w:r>
        <w:rPr>
          <w:b/>
          <w:bCs/>
        </w:rPr>
        <w:t xml:space="preserve">«Sistemica» non è un aggettivo di stile: significa che colpisce organi.</w:t>
      </w:r>
      <w:r>
        <w:t xml:space="preserve"> </w:t>
      </w:r>
      <w:r>
        <w:t xml:space="preserve">Il polmone per primo. L’interstiziopatia associata a questa malattia ha una prevalenza aggregata del 18,7% su 56 studi (Wang, 2024, PMID 38547537), ed è la seconda causa di morte dopo quella cardiovascolare. Il rischio cardiovascolare, a sua volta, è aumentato di circa il 50% (Aviña-Zubieta, 2008, PMID 19035419). Come esordisce l’interstiziopatia, e cosa ne fai, sta in «Dove finisce il nostro campo». Poi vengono occhio secco e sclerite, noduli, vasculite.</w:t>
      </w:r>
      <w:r>
        <w:t xml:space="preserve"> </w:t>
      </w:r>
      <w:r>
        <w:rPr>
          <w:b/>
          <w:bCs/>
        </w:rPr>
        <w:t xml:space="preserve">Per te:</w:t>
      </w:r>
      <w:r>
        <w:t xml:space="preserve"> </w:t>
      </w:r>
      <w:r>
        <w:t xml:space="preserve">nessuna di queste è materia tua, e tutte cambiano cosa fai davanti a un segno respiratorio.</w:t>
      </w:r>
    </w:p>
    <w:p>
      <w:pPr>
        <w:pStyle w:val="BodyText"/>
      </w:pPr>
      <w:r>
        <w:rPr>
          <w:b/>
          <w:bCs/>
        </w:rPr>
        <w:t xml:space="preserve">La rigidità mattutina non è più un criterio diagnostico.</w:t>
      </w:r>
      <w:r>
        <w:t xml:space="preserve"> </w:t>
      </w:r>
      <w:r>
        <w:t xml:space="preserve">Era nei criteri del 1987 ed è uscita nel 2010. Resta il sintomo su cui il paziente misura la giornata, ed è per quello che ti riguarda. Ma non prova che la malattia è attiva.</w:t>
      </w:r>
    </w:p>
    <w:bookmarkEnd w:id="17"/>
    <w:bookmarkStart w:id="18" w:name="quanto-è-diffusa"/>
    <w:p>
      <w:pPr>
        <w:pStyle w:val="Heading3"/>
      </w:pPr>
      <w:r>
        <w:t xml:space="preserve">Quanto è diffusa</w:t>
      </w:r>
    </w:p>
    <w:p>
      <w:pPr>
        <w:pStyle w:val="FirstParagraph"/>
      </w:pPr>
      <w:r>
        <w:t xml:space="preserve">Nel 2020, nel mondo, avevano l’artrite reumatoide</w:t>
      </w:r>
      <w:r>
        <w:t xml:space="preserve"> </w:t>
      </w:r>
      <w:r>
        <w:rPr>
          <w:b/>
          <w:bCs/>
        </w:rPr>
        <w:t xml:space="preserve">17,6 milioni di persone</w:t>
      </w:r>
      <w:r>
        <w:t xml:space="preserve">, circa</w:t>
      </w:r>
      <w:r>
        <w:t xml:space="preserve"> </w:t>
      </w:r>
      <w:r>
        <w:rPr>
          <w:b/>
          <w:bCs/>
        </w:rPr>
        <w:t xml:space="preserve">due su mille</w:t>
      </w:r>
      <w:r>
        <w:t xml:space="preserve">. Le donne sono due volte e mezzo più colpite degli uomini. Dal 1990 il numero assoluto di malati è passato da circa 11 a 17,6 milioni, e la proiezione è di 31,7 milioni nel 2050 (GBD 2021 Rheumatoid Arthritis Collaborators, 2023, PMID 37795020).</w:t>
      </w:r>
    </w:p>
    <w:p>
      <w:pPr>
        <w:pStyle w:val="BodyText"/>
      </w:pPr>
      <w:r>
        <w:rPr>
          <w:b/>
          <w:bCs/>
        </w:rPr>
        <w:t xml:space="preserve">Per te:</w:t>
      </w:r>
      <w:r>
        <w:t xml:space="preserve"> </w:t>
      </w:r>
      <w:r>
        <w:t xml:space="preserve">la malattia uccide meno e dura di più. Il tuo paziente-tipo non è una persona in fase acuta: è una persona che ci convive per decenni. Il tuo lavoro si misura su quanto corpo funzionante conserva a dieci anni, non su una riacutizzazione.</w:t>
      </w:r>
    </w:p>
    <w:bookmarkEnd w:id="18"/>
    <w:bookmarkStart w:id="19" w:name="come-evolve-se-non-fai-nulla"/>
    <w:p>
      <w:pPr>
        <w:pStyle w:val="Heading3"/>
      </w:pPr>
      <w:r>
        <w:t xml:space="preserve">Come evolve se non fai nulla</w:t>
      </w:r>
    </w:p>
    <w:p>
      <w:pPr>
        <w:pStyle w:val="FirstParagraph"/>
      </w:pPr>
      <w:r>
        <w:t xml:space="preserve">Non trattata, progredisce verso l’erosione e la deformità. Ma non è così che la vedrai. La strategia corrente si chiama</w:t>
      </w:r>
      <w:r>
        <w:t xml:space="preserve"> </w:t>
      </w:r>
      <w:r>
        <w:rPr>
          <w:b/>
          <w:bCs/>
        </w:rPr>
        <w:t xml:space="preserve">treat-to-target</w:t>
      </w:r>
      <w:r>
        <w:t xml:space="preserve">: punta alla remissione, con farmaci di fondo aggiustati fino all’obiettivo (Smolen, 2026, PMID 41826212). Su 499 pazienti seguiti in media nove anni, il 31,5% raggiunge una remissione che dura almeno cinque anni (Khabbazi, 2023, PMID 36800137).</w:t>
      </w:r>
      <w:r>
        <w:t xml:space="preserve"> </w:t>
      </w:r>
      <w:r>
        <w:rPr>
          <w:b/>
          <w:bCs/>
        </w:rPr>
        <w:t xml:space="preserve">Per te:</w:t>
      </w:r>
      <w:r>
        <w:t xml:space="preserve"> </w:t>
      </w:r>
      <w:r>
        <w:t xml:space="preserve">il paziente davanti a te può essere davvero in remissione. Se sta male comunque, non stai guardando una malattia mal controllata. Stai guardando il dolore che è rimasto, ed è il tuo terreno.</w:t>
      </w:r>
    </w:p>
    <w:p>
      <w:pPr>
        <w:pStyle w:val="BodyText"/>
      </w:pPr>
      <w:r>
        <w:t xml:space="preserve">Quello che i farmaci non controllano</w:t>
      </w:r>
      <w:r>
        <w:t xml:space="preserve"> </w:t>
      </w:r>
      <w:r>
        <w:rPr>
          <w:b/>
          <w:bCs/>
        </w:rPr>
        <w:t xml:space="preserve">oscilla</w:t>
      </w:r>
      <w:r>
        <w:t xml:space="preserve">. Su 650 pazienti seguiti in media dieci anni, erano in riacutizzazione al</w:t>
      </w:r>
      <w:r>
        <w:t xml:space="preserve"> </w:t>
      </w:r>
      <w:r>
        <w:rPr>
          <w:b/>
          <w:bCs/>
        </w:rPr>
        <w:t xml:space="preserve">17% delle visite</w:t>
      </w:r>
      <w:r>
        <w:t xml:space="preserve">, cioè una su sei (Raheel, 2017, PMID 28968703).</w:t>
      </w:r>
      <w:r>
        <w:t xml:space="preserve"> </w:t>
      </w:r>
      <w:r>
        <w:rPr>
          <w:b/>
          <w:bCs/>
        </w:rPr>
        <w:t xml:space="preserve">Per te:</w:t>
      </w:r>
      <w:r>
        <w:t xml:space="preserve"> </w:t>
      </w:r>
      <w:r>
        <w:t xml:space="preserve">è il fondo su cui leggerai ogni tuo risultato, in entrambe le direzioni. Un peggioramento fra due sedute può essere la malattia. Un miglioramento può essere l’uscita da una riacutizzazione. Per questo il marker si legge sempre contro la fase dichiarata, mai da solo.</w:t>
      </w:r>
    </w:p>
    <w:bookmarkEnd w:id="19"/>
    <w:bookmarkStart w:id="20" w:name="Xb5f2e7e18ce40a5a2cae1d17102a7526f8db060"/>
    <w:p>
      <w:pPr>
        <w:pStyle w:val="Heading3"/>
      </w:pPr>
      <w:r>
        <w:t xml:space="preserve">Cosa dicono le etichette che il paziente porta, e cosa non dicono</w:t>
      </w:r>
    </w:p>
    <w:p>
      <w:pPr>
        <w:pStyle w:val="FirstParagraph"/>
      </w:pPr>
      <w:r>
        <w:t xml:space="preserve">Il paziente arriva con dei numeri e li usa per raccontarti come sta. La diagnosi è atto medico: a te serve leggere un referto, non scriverne uno.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Cosa porta</w:t>
            </w:r>
          </w:p>
        </w:tc>
        <w:tc>
          <w:tcPr/>
          <w:p>
            <w:pPr>
              <w:pStyle w:val="Compact"/>
            </w:pPr>
            <w:r>
              <w:t xml:space="preserve">Cosa dice</w:t>
            </w:r>
          </w:p>
        </w:tc>
        <w:tc>
          <w:tcPr/>
          <w:p>
            <w:pPr>
              <w:pStyle w:val="Compact"/>
            </w:pPr>
            <w:r>
              <w:t xml:space="preserve">Cosa non dice</w:t>
            </w:r>
          </w:p>
        </w:tc>
      </w:tr>
      <w:tr>
        <w:tc>
          <w:tcPr/>
          <w:p>
            <w:pPr>
              <w:pStyle w:val="Compact"/>
            </w:pPr>
            <w:r>
              <w:t xml:space="preserve">Fattore reumatoide</w:t>
            </w:r>
          </w:p>
        </w:tc>
        <w:tc>
          <w:tcPr/>
          <w:p>
            <w:pPr>
              <w:pStyle w:val="Compact"/>
            </w:pPr>
            <w:r>
              <w:t xml:space="preserve">Rischio di malattia più aggressiva</w:t>
            </w:r>
          </w:p>
        </w:tc>
        <w:tc>
          <w:tcPr/>
          <w:p>
            <w:pPr>
              <w:pStyle w:val="Compact"/>
            </w:pPr>
            <w:r>
              <w:t xml:space="preserve">Non è specifico, positivo anche in sani</w:t>
            </w:r>
          </w:p>
        </w:tc>
      </w:tr>
      <w:tr>
        <w:tc>
          <w:tcPr/>
          <w:p>
            <w:pPr>
              <w:pStyle w:val="Compact"/>
            </w:pPr>
            <w:r>
              <w:t xml:space="preserve">Anti-CCP</w:t>
            </w:r>
          </w:p>
        </w:tc>
        <w:tc>
          <w:tcPr/>
          <w:p>
            <w:pPr>
              <w:pStyle w:val="Compact"/>
            </w:pPr>
            <w:r>
              <w:t xml:space="preserve">Molto specifico per questa malattia</w:t>
            </w:r>
          </w:p>
        </w:tc>
        <w:tc>
          <w:tcPr/>
          <w:p>
            <w:pPr>
              <w:pStyle w:val="Compact"/>
            </w:pPr>
            <w:r>
              <w:t xml:space="preserve">Non misura l’attività di oggi</w:t>
            </w:r>
          </w:p>
        </w:tc>
      </w:tr>
      <w:tr>
        <w:tc>
          <w:tcPr/>
          <w:p>
            <w:pPr>
              <w:pStyle w:val="Compact"/>
            </w:pPr>
            <w:r>
              <w:t xml:space="preserve">VES e PCR</w:t>
            </w:r>
          </w:p>
        </w:tc>
        <w:tc>
          <w:tcPr/>
          <w:p>
            <w:pPr>
              <w:pStyle w:val="Compact"/>
            </w:pPr>
            <w:r>
              <w:t xml:space="preserve">Infiammazione in corso, adesso</w:t>
            </w:r>
          </w:p>
        </w:tc>
        <w:tc>
          <w:tcPr/>
          <w:p>
            <w:pPr>
              <w:pStyle w:val="Compact"/>
            </w:pPr>
            <w:r>
              <w:t xml:space="preserve">Non dicono dove né quanto male fa</w:t>
            </w:r>
          </w:p>
        </w:tc>
      </w:tr>
      <w:tr>
        <w:tc>
          <w:tcPr/>
          <w:p>
            <w:pPr>
              <w:pStyle w:val="Compact"/>
            </w:pPr>
            <w:r>
              <w:t xml:space="preserve">DAS28</w:t>
            </w:r>
          </w:p>
        </w:tc>
        <w:tc>
          <w:tcPr/>
          <w:p>
            <w:pPr>
              <w:pStyle w:val="Compact"/>
            </w:pPr>
            <w:r>
              <w:t xml:space="preserve">Attività di malattia composita</w:t>
            </w:r>
          </w:p>
        </w:tc>
        <w:tc>
          <w:tcPr/>
          <w:p>
            <w:pPr>
              <w:pStyle w:val="Compact"/>
            </w:pPr>
            <w:r>
              <w:t xml:space="preserve">Contiene la valutazione soggettiva del paziente</w:t>
            </w:r>
          </w:p>
        </w:tc>
      </w:tr>
      <w:tr>
        <w:tc>
          <w:tcPr/>
          <w:p>
            <w:pPr>
              <w:pStyle w:val="Compact"/>
            </w:pPr>
            <w:r>
              <w:t xml:space="preserve">Radiografia mani e piedi</w:t>
            </w:r>
          </w:p>
        </w:tc>
        <w:tc>
          <w:tcPr/>
          <w:p>
            <w:pPr>
              <w:pStyle w:val="Compact"/>
            </w:pPr>
            <w:r>
              <w:t xml:space="preserve">Danno già avvenuto</w:t>
            </w:r>
          </w:p>
        </w:tc>
        <w:tc>
          <w:tcPr/>
          <w:p>
            <w:pPr>
              <w:pStyle w:val="Compact"/>
            </w:pPr>
            <w:r>
              <w:t xml:space="preserve">Non vede l’infiammazione attiva</w:t>
            </w:r>
          </w:p>
        </w:tc>
      </w:tr>
      <w:tr>
        <w:tc>
          <w:tcPr/>
          <w:p>
            <w:pPr>
              <w:pStyle w:val="Compact"/>
            </w:pPr>
            <w:r>
              <w:t xml:space="preserve">Ecografia con power Doppler</w:t>
            </w:r>
          </w:p>
        </w:tc>
        <w:tc>
          <w:tcPr/>
          <w:p>
            <w:pPr>
              <w:pStyle w:val="Compact"/>
            </w:pPr>
            <w:r>
              <w:t xml:space="preserve">Infiammazione della sinovia, adesso</w:t>
            </w:r>
          </w:p>
        </w:tc>
        <w:tc>
          <w:tcPr/>
          <w:p>
            <w:pPr>
              <w:pStyle w:val="Compact"/>
            </w:pPr>
            <w:r>
              <w:t xml:space="preserve">Non predice il dolore del paziente</w:t>
            </w:r>
          </w:p>
        </w:tc>
      </w:tr>
    </w:tbl>
    <w:p>
      <w:pPr>
        <w:pStyle w:val="BodyText"/>
      </w:pPr>
      <w:r>
        <w:t xml:space="preserve">Il</w:t>
      </w:r>
      <w:r>
        <w:t xml:space="preserve"> </w:t>
      </w:r>
      <w:r>
        <w:rPr>
          <w:b/>
          <w:bCs/>
        </w:rPr>
        <w:t xml:space="preserve">DAS28</w:t>
      </w:r>
      <w:r>
        <w:t xml:space="preserve"> </w:t>
      </w:r>
      <w:r>
        <w:t xml:space="preserve">contiene la valutazione globale che il paziente dà della propria malattia. Chi ha dolore diffuso e sonno rotto può quindi avere un punteggio alto</w:t>
      </w:r>
      <w:r>
        <w:t xml:space="preserve"> </w:t>
      </w:r>
      <w:r>
        <w:rPr>
          <w:b/>
          <w:bCs/>
        </w:rPr>
        <w:t xml:space="preserve">senza sinovite corrispondente</w:t>
      </w:r>
      <w:r>
        <w:t xml:space="preserve">. Riconoscere quella discordanza e descriverla al curante è materia tua. Cosa se ne fa il prescrittore non lo è, e non lo commenti.</w:t>
      </w:r>
    </w:p>
    <w:bookmarkEnd w:id="20"/>
    <w:bookmarkStart w:id="21" w:name="cosa-non-è"/>
    <w:p>
      <w:pPr>
        <w:pStyle w:val="Heading3"/>
      </w:pPr>
      <w:r>
        <w:t xml:space="preserve">Cosa non è</w:t>
      </w:r>
    </w:p>
    <w:p>
      <w:pPr>
        <w:pStyle w:val="FirstParagraph"/>
      </w:pPr>
      <w:r>
        <w:rPr>
          <w:b/>
          <w:bCs/>
        </w:rPr>
        <w:t xml:space="preserve">Non è artrosi.</w:t>
      </w:r>
      <w:r>
        <w:t xml:space="preserve"> </w:t>
      </w:r>
      <w:r>
        <w:t xml:space="preserve">L’artrosi ha rigidità di pochi minuti, peggiora con l’uso, migliora col riposo ed è asimmetrica. Qui la rigidità supera l’ora, il dolore c’è anche a riposo e di notte, e il movimento leggero</w:t>
      </w:r>
      <w:r>
        <w:t xml:space="preserve"> </w:t>
      </w:r>
      <w:r>
        <w:rPr>
          <w:b/>
          <w:bCs/>
        </w:rPr>
        <w:t xml:space="preserve">allevia</w:t>
      </w:r>
      <w:r>
        <w:t xml:space="preserve">. Vedi la Bibbia di Artrosi.</w:t>
      </w:r>
    </w:p>
    <w:p>
      <w:pPr>
        <w:pStyle w:val="BodyText"/>
      </w:pPr>
      <w:r>
        <w:rPr>
          <w:b/>
          <w:bCs/>
        </w:rPr>
        <w:t xml:space="preserve">Non è fibromialgia</w:t>
      </w:r>
      <w:r>
        <w:t xml:space="preserve">, ma le due convivono spesso. Su 130 pazienti valutati con i criteri 2016, il</w:t>
      </w:r>
      <w:r>
        <w:t xml:space="preserve"> </w:t>
      </w:r>
      <w:r>
        <w:rPr>
          <w:b/>
          <w:bCs/>
        </w:rPr>
        <w:t xml:space="preserve">40%</w:t>
      </w:r>
      <w:r>
        <w:t xml:space="preserve"> </w:t>
      </w:r>
      <w:r>
        <w:t xml:space="preserve">soddisfaceva anche quelli per la fibromialgia, con punteggi di attività di malattia più alti (Shresher, 2019, PMID 31377829).</w:t>
      </w:r>
      <w:r>
        <w:t xml:space="preserve"> </w:t>
      </w:r>
      <w:r>
        <w:rPr>
          <w:b/>
          <w:bCs/>
        </w:rPr>
        <w:t xml:space="preserve">Per te:</w:t>
      </w:r>
      <w:r>
        <w:t xml:space="preserve"> </w:t>
      </w:r>
      <w:r>
        <w:t xml:space="preserve">se non lo cerchi, attribuirai all’artrite un dolore diffuso che l’artrite non genera. Sbaglierai bersaglio dalla prima seduta. Vedi la Bibbia di Fibromialgia.</w:t>
      </w:r>
    </w:p>
    <w:p>
      <w:pPr>
        <w:pStyle w:val="BodyText"/>
      </w:pPr>
      <w:r>
        <w:rPr>
          <w:b/>
          <w:bCs/>
        </w:rPr>
        <w:t xml:space="preserve">Non è un’artrite settica.</w:t>
      </w:r>
      <w:r>
        <w:t xml:space="preserve"> </w:t>
      </w:r>
      <w:r>
        <w:t xml:space="preserve">Quella è un’urgenza medica, sta come prima riga nel capitolo sui limiti di campo, e in questo paziente si presenta in modo più subdolo di quanto il nome suggerisca.</w:t>
      </w:r>
    </w:p>
    <w:p>
      <w:pPr>
        <w:pStyle w:val="BodyText"/>
      </w:pPr>
      <w:r>
        <w:rPr>
          <w:b/>
          <w:bCs/>
        </w:rPr>
        <w:t xml:space="preserve">Non è polimialgia reumatica, non è artrite psoriasica, non è gotta.</w:t>
      </w:r>
      <w:r>
        <w:t xml:space="preserve"> </w:t>
      </w:r>
      <w:r>
        <w:t xml:space="preserve">Ognuna ha un percorso e un prescrittore, e nessuna la distingui tu.</w:t>
      </w:r>
    </w:p>
    <w:p>
      <w:pPr>
        <w:pStyle w:val="BodyText"/>
      </w:pPr>
      <w:r>
        <w:rPr>
          <w:b/>
          <w:bCs/>
        </w:rPr>
        <w:t xml:space="preserve">Le tre cose da ricordare, più una</w:t>
      </w:r>
    </w:p>
    <w:p>
      <w:pPr>
        <w:pStyle w:val="Compact"/>
        <w:numPr>
          <w:ilvl w:val="0"/>
          <w:numId w:val="1006"/>
        </w:numPr>
      </w:pPr>
      <w:r>
        <w:t xml:space="preserve">La rigidità mattutina non è più un criterio diagnostico, e resta il sintomo su cui il paziente misura la giornata.</w:t>
      </w:r>
    </w:p>
    <w:p>
      <w:pPr>
        <w:pStyle w:val="Compact"/>
        <w:numPr>
          <w:ilvl w:val="0"/>
          <w:numId w:val="1006"/>
        </w:numPr>
      </w:pPr>
      <w:r>
        <w:t xml:space="preserve">Il DAS28 contiene la valutazione del paziente: può salire per il dolore diffuso senza che la sinovia sia attiva.</w:t>
      </w:r>
    </w:p>
    <w:p>
      <w:pPr>
        <w:pStyle w:val="Compact"/>
        <w:numPr>
          <w:ilvl w:val="0"/>
          <w:numId w:val="1006"/>
        </w:numPr>
      </w:pPr>
      <w:r>
        <w:t xml:space="preserve">Quattro pazienti su dieci con questa diagnosi soddisfano anche i criteri della fibromialgia.</w:t>
      </w:r>
    </w:p>
    <w:p>
      <w:pPr>
        <w:pStyle w:val="Compact"/>
        <w:numPr>
          <w:ilvl w:val="0"/>
          <w:numId w:val="1006"/>
        </w:numPr>
      </w:pPr>
      <w:r>
        <w:rPr>
          <w:b/>
          <w:bCs/>
        </w:rPr>
        <w:t xml:space="preserve">Perché ci sei tu.</w:t>
      </w:r>
      <w:r>
        <w:t xml:space="preserve"> </w:t>
      </w:r>
      <w:r>
        <w:t xml:space="preserve">Il</w:t>
      </w:r>
      <w:r>
        <w:t xml:space="preserve"> </w:t>
      </w:r>
      <w:r>
        <w:rPr>
          <w:b/>
          <w:bCs/>
        </w:rPr>
        <w:t xml:space="preserve">tasso</w:t>
      </w:r>
      <w:r>
        <w:t xml:space="preserve"> </w:t>
      </w:r>
      <w:r>
        <w:t xml:space="preserve">di mortalità è sceso del 23,8% e quello di prevalenza è salito del 14,1%. Sono tassi, non conteggi di persone (GBD, 2023, PMID 37795020). Questo ti autorizza a posizionarti su una condizione che dura decenni e che ha bisogno di qualcuno che guardi la funzione nel tempo. Non ti autorizza a leggere il miglioramento della prognosi come merito di qualcosa che non siano i farmaci di fondo.</w:t>
      </w:r>
    </w:p>
    <w:p>
      <w:r>
        <w:pict>
          <v:rect style="width:0;height:1.5pt" o:hralign="center" o:hrstd="t" o:hr="t"/>
        </w:pict>
      </w:r>
    </w:p>
    <w:bookmarkEnd w:id="21"/>
    <w:bookmarkEnd w:id="22"/>
    <w:bookmarkStart w:id="31" w:name="capitolo-3-le-strutture-in-gioco"/>
    <w:p>
      <w:pPr>
        <w:pStyle w:val="Heading2"/>
      </w:pPr>
      <w:r>
        <w:t xml:space="preserve">Capitolo 3 — Le strutture in gioco</w:t>
      </w:r>
    </w:p>
    <w:p>
      <w:pPr>
        <w:pStyle w:val="BlockText"/>
      </w:pPr>
      <w:r>
        <w:rPr>
          <w:b/>
          <w:bCs/>
        </w:rPr>
        <w:t xml:space="preserve">In una riga:</w:t>
      </w:r>
      <w:r>
        <w:t xml:space="preserve"> </w:t>
      </w:r>
      <w:r>
        <w:t xml:space="preserve">la struttura malata è una sola, la membrana sinoviale, e tutte le altre di questo capitolo sono quelle che pagano il conto.</w:t>
      </w:r>
    </w:p>
    <w:bookmarkStart w:id="23" w:name="la-membrana-sinoviale"/>
    <w:p>
      <w:pPr>
        <w:pStyle w:val="Heading3"/>
      </w:pPr>
      <w:r>
        <w:t xml:space="preserve">La membrana sinoviale</w:t>
      </w:r>
    </w:p>
    <w:p>
      <w:pPr>
        <w:pStyle w:val="FirstParagraph"/>
      </w:pPr>
      <w:r>
        <w:rPr>
          <w:b/>
          <w:bCs/>
        </w:rPr>
        <w:t xml:space="preserve">Cos’è:</w:t>
      </w:r>
      <w:r>
        <w:t xml:space="preserve"> </w:t>
      </w:r>
      <w:r>
        <w:t xml:space="preserve">il rivestimento interno della capsula articolare, spesso poche cellule, che produce il liquido sinoviale.</w:t>
      </w:r>
      <w:r>
        <w:t xml:space="preserve"> </w:t>
      </w:r>
      <w:r>
        <w:rPr>
          <w:b/>
          <w:bCs/>
        </w:rPr>
        <w:t xml:space="preserve">Cosa fa:</w:t>
      </w:r>
      <w:r>
        <w:t xml:space="preserve"> </w:t>
      </w:r>
      <w:r>
        <w:t xml:space="preserve">lubrifica e nutre la cartilagine, che non ha vasi propri.</w:t>
      </w:r>
      <w:r>
        <w:t xml:space="preserve"> </w:t>
      </w:r>
      <w:r>
        <w:rPr>
          <w:b/>
          <w:bCs/>
        </w:rPr>
        <w:t xml:space="preserve">Perché conta qui:</w:t>
      </w:r>
      <w:r>
        <w:t xml:space="preserve"> </w:t>
      </w:r>
      <w:r>
        <w:t xml:space="preserve">è il bersaglio della malattia. Quando si infiamma forma il</w:t>
      </w:r>
      <w:r>
        <w:t xml:space="preserve"> </w:t>
      </w:r>
      <w:r>
        <w:rPr>
          <w:b/>
          <w:bCs/>
        </w:rPr>
        <w:t xml:space="preserve">panno sinoviale</w:t>
      </w:r>
      <w:r>
        <w:t xml:space="preserve">, il tessuto che invade e distrugge cartilagine e osso ai margini dell’articolazione. È l’unica struttura del capitolo su cui non hai accesso e non hai leva.</w:t>
      </w:r>
    </w:p>
    <w:bookmarkEnd w:id="23"/>
    <w:bookmarkStart w:id="24" w:name="X2594a7ca3d0d1f26fc7165064b1206a8c305e66"/>
    <w:p>
      <w:pPr>
        <w:pStyle w:val="Heading3"/>
      </w:pPr>
      <w:r>
        <w:t xml:space="preserve">Le articolazioni metacarpo-falangee e interfalangee prossimali</w:t>
      </w:r>
    </w:p>
    <w:p>
      <w:pPr>
        <w:pStyle w:val="FirstParagraph"/>
      </w:pPr>
      <w:r>
        <w:rPr>
          <w:b/>
          <w:bCs/>
        </w:rPr>
        <w:t xml:space="preserve">Cosa sono:</w:t>
      </w:r>
      <w:r>
        <w:t xml:space="preserve"> </w:t>
      </w:r>
      <w:r>
        <w:t xml:space="preserve">le nocche e le prime articolazioni delle dita.</w:t>
      </w:r>
      <w:r>
        <w:t xml:space="preserve"> </w:t>
      </w:r>
      <w:r>
        <w:rPr>
          <w:b/>
          <w:bCs/>
        </w:rPr>
        <w:t xml:space="preserve">Cosa fanno:</w:t>
      </w:r>
      <w:r>
        <w:t xml:space="preserve"> </w:t>
      </w:r>
      <w:r>
        <w:t xml:space="preserve">reggono la presa di forza e quella di precisione.</w:t>
      </w:r>
      <w:r>
        <w:t xml:space="preserve"> </w:t>
      </w:r>
      <w:r>
        <w:rPr>
          <w:b/>
          <w:bCs/>
        </w:rPr>
        <w:t xml:space="preserve">Perché contano qui:</w:t>
      </w:r>
      <w:r>
        <w:t xml:space="preserve"> </w:t>
      </w:r>
      <w:r>
        <w:t xml:space="preserve">sono le prime a essere colpite, e simmetricamente. Non è una perdita di gradi: è la perdita della</w:t>
      </w:r>
      <w:r>
        <w:t xml:space="preserve"> </w:t>
      </w:r>
      <w:r>
        <w:rPr>
          <w:b/>
          <w:bCs/>
        </w:rPr>
        <w:t xml:space="preserve">presa</w:t>
      </w:r>
      <w:r>
        <w:t xml:space="preserve">, la funzione con cui una persona apre, gira e allaccia. Il paziente misura la malattia lì.</w:t>
      </w:r>
    </w:p>
    <w:bookmarkEnd w:id="24"/>
    <w:bookmarkStart w:id="25" w:name="le-articolazioni-dellavampiede"/>
    <w:p>
      <w:pPr>
        <w:pStyle w:val="Heading3"/>
      </w:pPr>
      <w:r>
        <w:t xml:space="preserve">Le articolazioni dell’avampiede</w:t>
      </w:r>
    </w:p>
    <w:p>
      <w:pPr>
        <w:pStyle w:val="FirstParagraph"/>
      </w:pPr>
      <w:r>
        <w:rPr>
          <w:b/>
          <w:bCs/>
        </w:rPr>
        <w:t xml:space="preserve">Cosa sono:</w:t>
      </w:r>
      <w:r>
        <w:t xml:space="preserve"> </w:t>
      </w:r>
      <w:r>
        <w:t xml:space="preserve">le metatarso-falangee, cioè le nocche del piede.</w:t>
      </w:r>
      <w:r>
        <w:t xml:space="preserve"> </w:t>
      </w:r>
      <w:r>
        <w:rPr>
          <w:b/>
          <w:bCs/>
        </w:rPr>
        <w:t xml:space="preserve">Cosa fanno:</w:t>
      </w:r>
      <w:r>
        <w:t xml:space="preserve"> </w:t>
      </w:r>
      <w:r>
        <w:t xml:space="preserve">reggono la spinta finale del passo. Distribuiscono il carico sotto le teste metatarsali, protette da un cuscinetto di grasso.</w:t>
      </w:r>
      <w:r>
        <w:t xml:space="preserve"> </w:t>
      </w:r>
      <w:r>
        <w:rPr>
          <w:b/>
          <w:bCs/>
        </w:rPr>
        <w:t xml:space="preserve">Perché contano qui:</w:t>
      </w:r>
      <w:r>
        <w:t xml:space="preserve"> </w:t>
      </w:r>
      <w:r>
        <w:t xml:space="preserve">sono fra le prime sedi colpite, e stanno nei criteri di classificazione insieme alle mani (Aletaha, 2010, PMID 20872595). Quando le teste metatarsali si abbassano, il cuscinetto plantare</w:t>
      </w:r>
      <w:r>
        <w:t xml:space="preserve"> </w:t>
      </w:r>
      <w:r>
        <w:rPr>
          <w:b/>
          <w:bCs/>
        </w:rPr>
        <w:t xml:space="preserve">migra in avanti</w:t>
      </w:r>
      <w:r>
        <w:t xml:space="preserve"> </w:t>
      </w:r>
      <w:r>
        <w:t xml:space="preserve">e il paziente cammina «sui sassi». Allora accorcia il passo, perde la spinta, sposta il carico su ginocchio, anca e dorso. In molti pazienti di lunga durata è da qui che la vita comincia a restringersi, e nessuno lo guarda: il paziente parla delle mani, e la scarpa resta ai piedi.</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per la catena di compenso lungo l’arto inferiore, come per la sua gemella in alto. La sede colpita, invece, è nei criteri.</w:t>
      </w:r>
    </w:p>
    <w:bookmarkEnd w:id="25"/>
    <w:bookmarkStart w:id="26" w:name="Xca3ad0bb5b93ee0c3c29e9706decf612e2f3eee"/>
    <w:p>
      <w:pPr>
        <w:pStyle w:val="Heading3"/>
      </w:pPr>
      <w:r>
        <w:t xml:space="preserve">I tendini estensori e i loro tunnel al polso</w:t>
      </w:r>
    </w:p>
    <w:p>
      <w:pPr>
        <w:pStyle w:val="FirstParagraph"/>
      </w:pPr>
      <w:r>
        <w:rPr>
          <w:b/>
          <w:bCs/>
        </w:rPr>
        <w:t xml:space="preserve">Cosa sono:</w:t>
      </w:r>
      <w:r>
        <w:t xml:space="preserve"> </w:t>
      </w:r>
      <w:r>
        <w:t xml:space="preserve">i tendini che aprono le dita. Al polso passano dentro guaine rivestite di sinovia.</w:t>
      </w:r>
      <w:r>
        <w:t xml:space="preserve"> </w:t>
      </w:r>
      <w:r>
        <w:rPr>
          <w:b/>
          <w:bCs/>
        </w:rPr>
        <w:t xml:space="preserve">Cosa fanno:</w:t>
      </w:r>
      <w:r>
        <w:t xml:space="preserve"> </w:t>
      </w:r>
      <w:r>
        <w:t xml:space="preserve">portano la forza dall’avambraccio alle dita.</w:t>
      </w:r>
      <w:r>
        <w:t xml:space="preserve"> </w:t>
      </w:r>
      <w:r>
        <w:rPr>
          <w:b/>
          <w:bCs/>
        </w:rPr>
        <w:t xml:space="preserve">Perché contano qui:</w:t>
      </w:r>
      <w:r>
        <w:t xml:space="preserve"> </w:t>
      </w:r>
      <w:r>
        <w:t xml:space="preserve">e qui c’è la chicca. Quelle guaine hanno la</w:t>
      </w:r>
      <w:r>
        <w:t xml:space="preserve"> </w:t>
      </w:r>
      <w:r>
        <w:rPr>
          <w:b/>
          <w:bCs/>
        </w:rPr>
        <w:t xml:space="preserve">stessa membrana sinoviale</w:t>
      </w:r>
      <w:r>
        <w:t xml:space="preserve"> </w:t>
      </w:r>
      <w:r>
        <w:t xml:space="preserve">dell’articolazione, e si ammalano allo stesso modo. Una tenosinovite al polso può dare gonfiore e perdita di forza</w:t>
      </w:r>
      <w:r>
        <w:t xml:space="preserve"> </w:t>
      </w:r>
      <w:r>
        <w:rPr>
          <w:b/>
          <w:bCs/>
        </w:rPr>
        <w:t xml:space="preserve">senza che l’articolazione sotto sia malata</w:t>
      </w:r>
      <w:r>
        <w:t xml:space="preserve">. Può anche portare alla rottura di un tendine estensore in un polso che alla radiografia sembra ancora accettabile. Un dito che smette di estendersi non è una contrattura: è una rottura tendinea fino a prova contraria.</w:t>
      </w:r>
    </w:p>
    <w:p>
      <w:pPr>
        <w:pStyle w:val="BodyText"/>
      </w:pPr>
      <w:r>
        <w:rPr>
          <w:b/>
          <w:bCs/>
        </w:rPr>
        <w:t xml:space="preserve">Il polso conta anche per un’altra ragione.</w:t>
      </w:r>
      <w:r>
        <w:t xml:space="preserve"> </w:t>
      </w:r>
      <w:r>
        <w:t xml:space="preserve">La deviazione delle dita verso il mignolo sta a valle di un polso già ceduto nella direzione opposta. È il segmento su cui resta escursione da guadagnare, ed è quello che decide</w:t>
      </w:r>
      <w:r>
        <w:t xml:space="preserve"> </w:t>
      </w:r>
      <w:r>
        <w:rPr>
          <w:b/>
          <w:bCs/>
        </w:rPr>
        <w:t xml:space="preserve">quale presa gli rimane</w:t>
      </w:r>
      <w:r>
        <w:t xml:space="preserve">. Senza quella lettura, «sostituire una presa impossibile con una possibile» è un proposito senza contenuto.</w:t>
      </w:r>
    </w:p>
    <w:bookmarkEnd w:id="26"/>
    <w:bookmarkStart w:id="27" w:name="la-cerniera-cranio-cervicale-c0-c1-c2"/>
    <w:p>
      <w:pPr>
        <w:pStyle w:val="Heading3"/>
      </w:pPr>
      <w:r>
        <w:t xml:space="preserve">La cerniera cranio-cervicale (C0-C1-C2)</w:t>
      </w:r>
    </w:p>
    <w:p>
      <w:pPr>
        <w:pStyle w:val="FirstParagraph"/>
      </w:pPr>
      <w:r>
        <w:rPr>
          <w:b/>
          <w:bCs/>
        </w:rPr>
        <w:t xml:space="preserve">Cos’è:</w:t>
      </w:r>
      <w:r>
        <w:t xml:space="preserve"> </w:t>
      </w:r>
      <w:r>
        <w:t xml:space="preserve">l’articolazione fra occipite, atlante ed epistrofeo, tenuta dal legamento trasverso che trattiene il dente dell’epistrofeo.</w:t>
      </w:r>
      <w:r>
        <w:t xml:space="preserve"> </w:t>
      </w:r>
      <w:r>
        <w:rPr>
          <w:b/>
          <w:bCs/>
        </w:rPr>
        <w:t xml:space="preserve">Cosa fa:</w:t>
      </w:r>
      <w:r>
        <w:t xml:space="preserve"> </w:t>
      </w:r>
      <w:r>
        <w:t xml:space="preserve">regge la testa e produce metà della rotazione del collo.</w:t>
      </w:r>
      <w:r>
        <w:t xml:space="preserve"> </w:t>
      </w:r>
      <w:r>
        <w:rPr>
          <w:b/>
          <w:bCs/>
        </w:rPr>
        <w:t xml:space="preserve">Perché conta qui:</w:t>
      </w:r>
      <w:r>
        <w:t xml:space="preserve"> </w:t>
      </w:r>
      <w:r>
        <w:t xml:space="preserve">il legamento trasverso e le articolazioni fra atlante ed epistrofeo hanno sinovia, e possono ammalarsi. Il risultato è l’</w:t>
      </w:r>
      <w:r>
        <w:rPr>
          <w:b/>
          <w:bCs/>
        </w:rPr>
        <w:t xml:space="preserve">instabilità atlanto-assiale</w:t>
      </w:r>
      <w:r>
        <w:t xml:space="preserve">: il dente si allontana dall’arco anteriore dell’atlante e può comprimere il midollo.</w:t>
      </w:r>
    </w:p>
    <w:p>
      <w:pPr>
        <w:pStyle w:val="BodyText"/>
      </w:pPr>
      <w:r>
        <w:t xml:space="preserve">Le stime non sono vicine fra loro. Su 240 pazienti consecutivi con dieci anni medi di malattia, la sublussazione atlanto-assiale anteriore era del 10,4%, misurata come distanza superiore a 3 mm</w:t>
      </w:r>
      <w:r>
        <w:t xml:space="preserve"> </w:t>
      </w:r>
      <w:r>
        <w:rPr>
          <w:b/>
          <w:bCs/>
        </w:rPr>
        <w:t xml:space="preserve">in flessione</w:t>
      </w:r>
      <w:r>
        <w:t xml:space="preserve"> </w:t>
      </w:r>
      <w:r>
        <w:t xml:space="preserve">(Alp, 2024, PMID 38261795). Su 220 pazienti nell’era dei biologici, valutati con radiografia e risonanza, l’instabilità cervicale in senso lato era del 42% (Takahashi, 2014, PMID 24670133). Su 40 pazienti valutati con sole radiografie dinamiche era del 42,5% (Younes, 2014, PMID 25775286). La revisione più recente conferma due cose: i farmaci moderni riducono il coinvolgimento senza annullarlo, e molti pazienti hanno instabilità radiografica</w:t>
      </w:r>
      <w:r>
        <w:t xml:space="preserve"> </w:t>
      </w:r>
      <w:r>
        <w:rPr>
          <w:b/>
          <w:bCs/>
        </w:rPr>
        <w:t xml:space="preserve">senza alcun deficit neurologico</w:t>
      </w:r>
      <w:r>
        <w:t xml:space="preserve"> </w:t>
      </w:r>
      <w:r>
        <w:t xml:space="preserve">(Song, 2026, PMID 42292559).</w:t>
      </w:r>
    </w:p>
    <w:p>
      <w:pPr>
        <w:pStyle w:val="BodyText"/>
      </w:pPr>
      <w:r>
        <w:rPr>
          <w:b/>
          <w:bCs/>
        </w:rPr>
        <w:t xml:space="preserve">Il dato su cui poggia la tua condotta non è la frequenza: è il silenzio.</w:t>
      </w:r>
      <w:r>
        <w:t xml:space="preserve"> </w:t>
      </w:r>
      <w:r>
        <w:t xml:space="preserve">Un paziente su tre con la sublussazione non ha nemmeno dolore al collo. La regola resta identica al 10% e al 42%, perché non dipende da quanto spesso la incontri. Dipende dal fatto che, quando c’è, non te lo dice.</w:t>
      </w:r>
      <w:r>
        <w:t xml:space="preserve"> </w:t>
      </w:r>
      <w:r>
        <w:rPr>
          <w:b/>
          <w:bCs/>
        </w:rPr>
        <w:t xml:space="preserve">Per te:</w:t>
      </w:r>
      <w:r>
        <w:t xml:space="preserve"> </w:t>
      </w:r>
      <w:r>
        <w:t xml:space="preserve">qualunque sia la stima vera, davanti a un paziente con qualche anno di malattia ti comporti come se ci fosse. Nessuna tecnica a leva sul collo, nessuna flessione sostenuta del collo alto, e la domanda neurologica posta e scritta prima di ogni contatto cervicale.</w:t>
      </w:r>
    </w:p>
    <w:bookmarkEnd w:id="27"/>
    <w:bookmarkStart w:id="28" w:name="il-diaframma-e-la-gabbia-costale"/>
    <w:p>
      <w:pPr>
        <w:pStyle w:val="Heading3"/>
      </w:pPr>
      <w:r>
        <w:t xml:space="preserve">Il diaframma e la gabbia costale</w:t>
      </w:r>
    </w:p>
    <w:p>
      <w:pPr>
        <w:pStyle w:val="FirstParagraph"/>
      </w:pPr>
      <w:r>
        <w:rPr>
          <w:b/>
          <w:bCs/>
        </w:rPr>
        <w:t xml:space="preserve">Cos’è:</w:t>
      </w:r>
      <w:r>
        <w:t xml:space="preserve"> </w:t>
      </w:r>
      <w:r>
        <w:t xml:space="preserve">il muscolo della respirazione, con le inserzioni costali e vertebrali.</w:t>
      </w:r>
      <w:r>
        <w:t xml:space="preserve"> </w:t>
      </w:r>
      <w:r>
        <w:rPr>
          <w:b/>
          <w:bCs/>
        </w:rPr>
        <w:t xml:space="preserve">Cosa fa:</w:t>
      </w:r>
      <w:r>
        <w:t xml:space="preserve"> </w:t>
      </w:r>
      <w:r>
        <w:t xml:space="preserve">genera il volume corrente e regola la pressione fra torace e addome.</w:t>
      </w:r>
      <w:r>
        <w:t xml:space="preserve"> </w:t>
      </w:r>
      <w:r>
        <w:rPr>
          <w:b/>
          <w:bCs/>
        </w:rPr>
        <w:t xml:space="preserve">Perché conta qui:</w:t>
      </w:r>
      <w:r>
        <w:t xml:space="preserve"> </w:t>
      </w:r>
      <w:r>
        <w:t xml:space="preserve">chi ha dolore cronico, sonno frammentato e giornate imprevedibili respira alto e corto. E le costo-vertebrali possono essere coinvolte dalla malattia: allora la corsa costale si riduce per una ragione che non è muscolare.</w:t>
      </w:r>
    </w:p>
    <w:p>
      <w:pPr>
        <w:pStyle w:val="BlockText"/>
      </w:pPr>
      <w:r>
        <w:rPr>
          <w:b/>
          <w:bCs/>
        </w:rPr>
        <w:t xml:space="preserve">Attenzione.</w:t>
      </w:r>
      <w:r>
        <w:t xml:space="preserve"> </w:t>
      </w:r>
      <w:r>
        <w:t xml:space="preserve">Il dorso medio,</w:t>
      </w:r>
      <w:r>
        <w:t xml:space="preserve"> </w:t>
      </w:r>
      <w:r>
        <w:rPr>
          <w:b/>
          <w:bCs/>
        </w:rPr>
        <w:t xml:space="preserve">T4-T10</w:t>
      </w:r>
      <w:r>
        <w:t xml:space="preserve">, è due cose insieme: il distretto su cui lavorerai di più, e la sede in cui questi pazienti si fratturano. Le fratture vertebrali riguardano il 32,3% dei pazienti con artrite reumatoide contro il 12,0% di controlli con</w:t>
      </w:r>
      <w:r>
        <w:t xml:space="preserve"> </w:t>
      </w:r>
      <w:r>
        <w:rPr>
          <w:b/>
          <w:bCs/>
        </w:rPr>
        <w:t xml:space="preserve">gonartrosi</w:t>
      </w:r>
      <w:r>
        <w:t xml:space="preserve">, e si addensano proprio lì (Zenitani, 2026, PMID 42174297). L’osteoporosi al rachide riguarda circa un terzo dei pazienti, e la frattura vertebrale il 13,0% (Wang, 2020, PMID 32291467). La fragilità</w:t>
      </w:r>
      <w:r>
        <w:t xml:space="preserve"> </w:t>
      </w:r>
      <w:r>
        <w:rPr>
          <w:b/>
          <w:bCs/>
        </w:rPr>
        <w:t xml:space="preserve">non è solo del cortisone: è della malattia</w:t>
      </w:r>
      <w:r>
        <w:t xml:space="preserve">. E della maggior parte di quelle fratture nessuno si era accorto: su 551 donne in terapia glucocorticoide cronica, oltre un terzo era del tutto asintomatica, senza rapporto con la dose cumulativa (Angeli, 2006, PMID 16574519) — misurato su donne in postmenopausa in terapia glucocorticoide cronica, non su pazienti con artrite reumatoide; qui la fragilità è anche della malattia, e questo rende quel silenzio più probabile, non meno. L’evento avverso da conoscere ha due nomi:</w:t>
      </w:r>
      <w:r>
        <w:t xml:space="preserve"> </w:t>
      </w:r>
      <w:r>
        <w:rPr>
          <w:b/>
          <w:bCs/>
        </w:rPr>
        <w:t xml:space="preserve">frattura vertebrale da compressione</w:t>
      </w:r>
      <w:r>
        <w:t xml:space="preserve"> </w:t>
      </w:r>
      <w:r>
        <w:t xml:space="preserve">e</w:t>
      </w:r>
      <w:r>
        <w:t xml:space="preserve"> </w:t>
      </w:r>
      <w:r>
        <w:rPr>
          <w:b/>
          <w:bCs/>
        </w:rPr>
        <w:t xml:space="preserve">frattura costale</w:t>
      </w:r>
      <w:r>
        <w:t xml:space="preserve">.</w:t>
      </w:r>
      <w:r>
        <w:t xml:space="preserve"> </w:t>
      </w:r>
      <w:r>
        <w:rPr>
          <w:b/>
          <w:bCs/>
        </w:rPr>
        <w:t xml:space="preserve">Per te:</w:t>
      </w:r>
      <w:r>
        <w:t xml:space="preserve"> </w:t>
      </w:r>
      <w:r>
        <w:t xml:space="preserve">la pressione ammissibile su questo dorso la decidi prima di appoggiare le mani, non mentre le appoggi. E un dolore dorsale nuovo e focale non è mai il tuo primo bersaglio.</w:t>
      </w:r>
    </w:p>
    <w:bookmarkEnd w:id="28"/>
    <w:bookmarkStart w:id="29" w:name="i-muscoli-come-massa-e-come-forza"/>
    <w:p>
      <w:pPr>
        <w:pStyle w:val="Heading3"/>
      </w:pPr>
      <w:r>
        <w:t xml:space="preserve">I muscoli, come massa e come forza</w:t>
      </w:r>
    </w:p>
    <w:p>
      <w:pPr>
        <w:pStyle w:val="FirstParagraph"/>
      </w:pPr>
      <w:r>
        <w:rPr>
          <w:b/>
          <w:bCs/>
        </w:rPr>
        <w:t xml:space="preserve">Cosa sono:</w:t>
      </w:r>
      <w:r>
        <w:t xml:space="preserve"> </w:t>
      </w:r>
      <w:r>
        <w:t xml:space="preserve">il tessuto che l’infiammazione cronica consuma.</w:t>
      </w:r>
      <w:r>
        <w:t xml:space="preserve"> </w:t>
      </w:r>
      <w:r>
        <w:rPr>
          <w:b/>
          <w:bCs/>
        </w:rPr>
        <w:t xml:space="preserve">Cosa fanno:</w:t>
      </w:r>
      <w:r>
        <w:t xml:space="preserve"> </w:t>
      </w:r>
      <w:r>
        <w:t xml:space="preserve">proteggono le articolazioni distribuendo il carico, e reggono l’autonomia.</w:t>
      </w:r>
      <w:r>
        <w:t xml:space="preserve"> </w:t>
      </w:r>
      <w:r>
        <w:rPr>
          <w:b/>
          <w:bCs/>
        </w:rPr>
        <w:t xml:space="preserve">Perché contano qui:</w:t>
      </w:r>
      <w:r>
        <w:t xml:space="preserve"> </w:t>
      </w:r>
      <w:r>
        <w:t xml:space="preserve">la perdita di massa e forza non è solo disuso. È anche un effetto sistemico dell’infiammazione, e il paziente arriva più debole di quanto la sua età spieghi. È inoltre la struttura</w:t>
      </w:r>
      <w:r>
        <w:t xml:space="preserve"> </w:t>
      </w:r>
      <w:r>
        <w:rPr>
          <w:b/>
          <w:bCs/>
        </w:rPr>
        <w:t xml:space="preserve">più reversibile</w:t>
      </w:r>
      <w:r>
        <w:t xml:space="preserve"> </w:t>
      </w:r>
      <w:r>
        <w:t xml:space="preserve">dell’intero documento: l’unica voce del bilancio su cui puoi ancora mettere mano.</w:t>
      </w:r>
    </w:p>
    <w:bookmarkEnd w:id="29"/>
    <w:bookmarkStart w:id="30" w:name="il-nervo-vago"/>
    <w:p>
      <w:pPr>
        <w:pStyle w:val="Heading3"/>
      </w:pPr>
      <w:r>
        <w:t xml:space="preserve">Il nervo vago</w:t>
      </w:r>
    </w:p>
    <w:p>
      <w:pPr>
        <w:pStyle w:val="FirstParagraph"/>
      </w:pPr>
      <w:r>
        <w:rPr>
          <w:b/>
          <w:bCs/>
        </w:rPr>
        <w:t xml:space="preserve">Cos’è:</w:t>
      </w:r>
      <w:r>
        <w:t xml:space="preserve"> </w:t>
      </w:r>
      <w:r>
        <w:t xml:space="preserve">il decimo nervo cranico, la via principale del parasimpatico.</w:t>
      </w:r>
      <w:r>
        <w:t xml:space="preserve"> </w:t>
      </w:r>
      <w:r>
        <w:rPr>
          <w:b/>
          <w:bCs/>
        </w:rPr>
        <w:t xml:space="preserve">Cosa fa:</w:t>
      </w:r>
      <w:r>
        <w:t xml:space="preserve"> </w:t>
      </w:r>
      <w:r>
        <w:t xml:space="preserve">regola frequenza cardiaca, respiro e tono viscerale.</w:t>
      </w:r>
      <w:r>
        <w:t xml:space="preserve"> </w:t>
      </w:r>
      <w:r>
        <w:rPr>
          <w:b/>
          <w:bCs/>
        </w:rPr>
        <w:t xml:space="preserve">Perché conta qui:</w:t>
      </w:r>
      <w:r>
        <w:t xml:space="preserve"> </w:t>
      </w:r>
      <w:r>
        <w:t xml:space="preserve">qui la sua attività è</w:t>
      </w:r>
      <w:r>
        <w:t xml:space="preserve"> </w:t>
      </w:r>
      <w:r>
        <w:rPr>
          <w:b/>
          <w:bCs/>
        </w:rPr>
        <w:t xml:space="preserve">misurabilmente ridotta</w:t>
      </w:r>
      <w:r>
        <w:t xml:space="preserve">, ed è collegata all’infiammazione. È la struttura su cui si regge il razionale più elegante e più fragile del documento.</w:t>
      </w:r>
    </w:p>
    <w:p>
      <w:pPr>
        <w:pStyle w:val="BlockText"/>
      </w:pPr>
      <w:r>
        <w:rPr>
          <w:b/>
          <w:bCs/>
        </w:rPr>
        <w:t xml:space="preserve">Attenzione.</w:t>
      </w:r>
      <w:r>
        <w:t xml:space="preserve"> </w:t>
      </w:r>
      <w:r>
        <w:t xml:space="preserve">Il vago</w:t>
      </w:r>
      <w:r>
        <w:t xml:space="preserve"> </w:t>
      </w:r>
      <w:r>
        <w:rPr>
          <w:b/>
          <w:bCs/>
        </w:rPr>
        <w:t xml:space="preserve">non ha una via manuale</w:t>
      </w:r>
      <w:r>
        <w:t xml:space="preserve">. Le due regioni in cui verrebbe spontaneo cercarlo sono due, e nessuna è disponibile. La prima è il collo anteriore, cioè carotide e barocettori, che non è un bersaglio osteopatico. La seconda è la zona sotto-occipitale, in questo paziente già esclusa per l’instabilità. Negli studi il vago è stato raggiunto con un elettrodo. Anche la stimolazione dell’orecchio è un dispositivo elettrico: più piccolo, non più nostro.</w:t>
      </w:r>
    </w:p>
    <w:p>
      <w:pPr>
        <w:pStyle w:val="FirstParagraph"/>
      </w:pPr>
      <w:r>
        <w:rPr>
          <w:b/>
          <w:bCs/>
        </w:rPr>
        <w:t xml:space="preserve">Le tre cose da ricordare, più una</w:t>
      </w:r>
    </w:p>
    <w:p>
      <w:pPr>
        <w:pStyle w:val="Compact"/>
        <w:numPr>
          <w:ilvl w:val="0"/>
          <w:numId w:val="1007"/>
        </w:numPr>
      </w:pPr>
      <w:r>
        <w:t xml:space="preserve">La sinovia riveste anche le guaine tendinee: un dito che smette di estendersi è una rottura tendinea fino a prova contraria.</w:t>
      </w:r>
    </w:p>
    <w:p>
      <w:pPr>
        <w:pStyle w:val="Compact"/>
        <w:numPr>
          <w:ilvl w:val="0"/>
          <w:numId w:val="1007"/>
        </w:numPr>
      </w:pPr>
      <w:r>
        <w:t xml:space="preserve">Il collo alto può essere instabile senza sintomi, e questo cambia il tuo perimetro prima di ogni altra cosa.</w:t>
      </w:r>
    </w:p>
    <w:p>
      <w:pPr>
        <w:pStyle w:val="Compact"/>
        <w:numPr>
          <w:ilvl w:val="0"/>
          <w:numId w:val="1007"/>
        </w:numPr>
      </w:pPr>
      <w:r>
        <w:t xml:space="preserve">Il dorso medio è insieme il distretto che tratterai di più e quello in cui questo paziente si frattura.</w:t>
      </w:r>
    </w:p>
    <w:p>
      <w:pPr>
        <w:pStyle w:val="Compact"/>
        <w:numPr>
          <w:ilvl w:val="0"/>
          <w:numId w:val="1007"/>
        </w:numPr>
      </w:pPr>
      <w:r>
        <w:rPr>
          <w:b/>
          <w:bCs/>
        </w:rPr>
        <w:t xml:space="preserve">Perché ci sei tu.</w:t>
      </w:r>
      <w:r>
        <w:t xml:space="preserve"> </w:t>
      </w:r>
      <w:r>
        <w:t xml:space="preserve">Fra i pazienti con sublussazione atlanto-assiale,</w:t>
      </w:r>
      <w:r>
        <w:t xml:space="preserve"> </w:t>
      </w:r>
      <w:r>
        <w:rPr>
          <w:b/>
          <w:bCs/>
        </w:rPr>
        <w:t xml:space="preserve">uno su tre non ha nemmeno dolore al collo</w:t>
      </w:r>
      <w:r>
        <w:t xml:space="preserve"> </w:t>
      </w:r>
      <w:r>
        <w:t xml:space="preserve">(Alp, 2024, PMID 38261795; Song, 2026, PMID 42292559).</w:t>
      </w:r>
      <w:r>
        <w:t xml:space="preserve"> </w:t>
      </w:r>
      <w:r>
        <w:rPr>
          <w:b/>
          <w:bCs/>
        </w:rPr>
        <w:t xml:space="preserve">Per te:</w:t>
      </w:r>
      <w:r>
        <w:t xml:space="preserve"> </w:t>
      </w:r>
      <w:r>
        <w:t xml:space="preserve">il segnale su cui ti fideresti — «il collo non gli fa male» — non è un segnale. Questo ti autorizza a essere il professionista che pone la domanda sul collo prima di toccarlo, spesso il primo. Non ti autorizza a trattare quel collo con tecniche a leva o ad alta velocità, mai, nemmeno con una radiografia negativa in mano.</w:t>
      </w:r>
    </w:p>
    <w:p>
      <w:r>
        <w:pict>
          <v:rect style="width:0;height:1.5pt" o:hralign="center" o:hrstd="t" o:hr="t"/>
        </w:pict>
      </w:r>
    </w:p>
    <w:bookmarkEnd w:id="30"/>
    <w:bookmarkEnd w:id="31"/>
    <w:bookmarkStart w:id="32"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un’articolazione sana è un sistema chiuso che si lubrifica da solo e che si protegge attraverso il muscolo, non attraverso la rigidità.</w:t>
      </w:r>
    </w:p>
    <w:p>
      <w:pPr>
        <w:pStyle w:val="FirstParagraph"/>
      </w:pPr>
      <w:r>
        <w:t xml:space="preserve">Prima del guasto, la catena normale. Sei passaggi.</w:t>
      </w:r>
    </w:p>
    <w:p>
      <w:pPr>
        <w:numPr>
          <w:ilvl w:val="0"/>
          <w:numId w:val="1008"/>
        </w:numPr>
      </w:pPr>
      <w:r>
        <w:rPr>
          <w:b/>
          <w:bCs/>
        </w:rPr>
        <w:t xml:space="preserve">La capsula chiude, la sinovia produce.</w:t>
      </w:r>
      <w:r>
        <w:t xml:space="preserve"> </w:t>
      </w:r>
      <w:r>
        <w:t xml:space="preserve">La membrana sinoviale, spessa poche cellule, secerne il liquido sinoviale: pochi millilitri in un ginocchio, una frazione di millilitro in una nocca.</w:t>
      </w:r>
    </w:p>
    <w:p>
      <w:pPr>
        <w:numPr>
          <w:ilvl w:val="0"/>
          <w:numId w:val="1008"/>
        </w:numPr>
      </w:pPr>
      <w:r>
        <w:rPr>
          <w:b/>
          <w:bCs/>
        </w:rPr>
        <w:t xml:space="preserve">Il liquido nutre e lubrifica.</w:t>
      </w:r>
      <w:r>
        <w:t xml:space="preserve"> </w:t>
      </w:r>
      <w:r>
        <w:t xml:space="preserve">La cartilagine non ha vasi: vive di diffusione dal liquido sinoviale. Quella diffusione è</w:t>
      </w:r>
      <w:r>
        <w:t xml:space="preserve"> </w:t>
      </w:r>
      <w:r>
        <w:rPr>
          <w:b/>
          <w:bCs/>
        </w:rPr>
        <w:t xml:space="preserve">guidata dal movimento</w:t>
      </w:r>
      <w:r>
        <w:t xml:space="preserve">, perché il carico alternato spreme e riassorbe, come una spugna. Un’articolazione ferma si nutre peggio.</w:t>
      </w:r>
    </w:p>
    <w:p>
      <w:pPr>
        <w:numPr>
          <w:ilvl w:val="0"/>
          <w:numId w:val="1008"/>
        </w:numPr>
      </w:pPr>
      <w:r>
        <w:rPr>
          <w:b/>
          <w:bCs/>
        </w:rPr>
        <w:t xml:space="preserve">Il muscolo assorbe il carico prima dell’osso.</w:t>
      </w:r>
      <w:r>
        <w:t xml:space="preserve"> </w:t>
      </w:r>
      <w:r>
        <w:t xml:space="preserve">La forza che attraversa un’articolazione è controllata dall’attivazione muscolare che la precede di frazioni di secondo. Il muscolo è il primo ammortizzatore, la cartilagine l’ultimo.</w:t>
      </w:r>
    </w:p>
    <w:p>
      <w:pPr>
        <w:numPr>
          <w:ilvl w:val="0"/>
          <w:numId w:val="1008"/>
        </w:numPr>
      </w:pPr>
      <w:r>
        <w:rPr>
          <w:b/>
          <w:bCs/>
        </w:rPr>
        <w:t xml:space="preserve">La propriocezione chiude l’anello.</w:t>
      </w:r>
      <w:r>
        <w:t xml:space="preserve"> </w:t>
      </w:r>
      <w:r>
        <w:t xml:space="preserve">Recettori in capsula, legamenti e muscolo dicono al sistema nervoso dove sta l’articolazione e quanta forza riceve. Quel segnale regola il tono in tempo reale.</w:t>
      </w:r>
    </w:p>
    <w:p>
      <w:pPr>
        <w:numPr>
          <w:ilvl w:val="0"/>
          <w:numId w:val="1008"/>
        </w:numPr>
      </w:pPr>
      <w:r>
        <w:rPr>
          <w:b/>
          <w:bCs/>
        </w:rPr>
        <w:t xml:space="preserve">Il sistema nervoso autonomo tiene il fondo, su due strade diverse.</w:t>
      </w:r>
      <w:r>
        <w:t xml:space="preserve"> </w:t>
      </w:r>
      <w:r>
        <w:t xml:space="preserve">La prima regola cuore e respiro, e si misura con la variabilità della frequenza cardiaca. La seconda è il</w:t>
      </w:r>
      <w:r>
        <w:t xml:space="preserve"> </w:t>
      </w:r>
      <w:r>
        <w:rPr>
          <w:b/>
          <w:bCs/>
        </w:rPr>
        <w:t xml:space="preserve">riflesso infiammatorio</w:t>
      </w:r>
      <w:r>
        <w:t xml:space="preserve">, e non è la stessa strada. Il vago scende al plesso celiaco e passa il segnale al nervo splenico, che è noradrenergico. Sono poi cellule immunitarie della milza a liberare acetilcolina e a spegnere il TNF dei macrofagi: la milza non riceve fibre vagali dirette. Il circuito è stato smontato</w:t>
      </w:r>
      <w:r>
        <w:t xml:space="preserve"> </w:t>
      </w:r>
      <w:r>
        <w:rPr>
          <w:b/>
          <w:bCs/>
        </w:rPr>
        <w:t xml:space="preserve">nel topo</w:t>
      </w:r>
      <w:r>
        <w:t xml:space="preserve">. A fare da relè sono linfociti T di memoria che sintetizzano acetilcolina, e senza di loro la soppressione vagale delle citochine non avviene (Rosas-Ballina, 2011, PMID 21921156). Nell’uomo esiste il risultato clinico di un elettrodo, non la mappa della via.</w:t>
      </w:r>
      <w:r>
        <w:t xml:space="preserve"> </w:t>
      </w:r>
      <w:r>
        <w:rPr>
          <w:b/>
          <w:bCs/>
        </w:rPr>
        <w:t xml:space="preserve">Perché ti serve:</w:t>
      </w:r>
      <w:r>
        <w:t xml:space="preserve"> </w:t>
      </w:r>
      <w:r>
        <w:t xml:space="preserve">senza quel relè, un paziente calmo sembra per ciò stesso meno infiammato, e la variabilità cardiaca sembra misurare il braccio antinfiammatorio. Non lo misura.</w:t>
      </w:r>
    </w:p>
    <w:p>
      <w:pPr>
        <w:numPr>
          <w:ilvl w:val="0"/>
          <w:numId w:val="1008"/>
        </w:numPr>
      </w:pPr>
      <w:r>
        <w:rPr>
          <w:b/>
          <w:bCs/>
        </w:rPr>
        <w:t xml:space="preserve">La notte rialza la soglia.</w:t>
      </w:r>
      <w:r>
        <w:t xml:space="preserve"> </w:t>
      </w:r>
      <w:r>
        <w:t xml:space="preserve">Il sistema ha una soglia a cui un segnale articolare diventa dolore, ed è quella che il meccanismo 2 sposterà. Il sonno profondo è il turno di manutenzione che la tiene alta, e ha un costo se salta.</w:t>
      </w:r>
    </w:p>
    <w:p>
      <w:pPr>
        <w:pStyle w:val="FirstParagraph"/>
      </w:pPr>
      <w:r>
        <w:t xml:space="preserve">Questo è il sistema che funziona. Ora dove si rompe.</w:t>
      </w:r>
    </w:p>
    <w:p>
      <w:pPr>
        <w:pStyle w:val="BodyText"/>
      </w:pPr>
      <w:r>
        <w:rPr>
          <w:b/>
          <w:bCs/>
        </w:rPr>
        <w:t xml:space="preserve">Le tre cose da ricordare, più una</w:t>
      </w:r>
    </w:p>
    <w:p>
      <w:pPr>
        <w:pStyle w:val="Compact"/>
        <w:numPr>
          <w:ilvl w:val="0"/>
          <w:numId w:val="1009"/>
        </w:numPr>
      </w:pPr>
      <w:r>
        <w:t xml:space="preserve">La cartilagine si nutre di movimento: l’immobilità non protegge un’articolazione, la affama.</w:t>
      </w:r>
    </w:p>
    <w:p>
      <w:pPr>
        <w:pStyle w:val="Compact"/>
        <w:numPr>
          <w:ilvl w:val="0"/>
          <w:numId w:val="1009"/>
        </w:numPr>
      </w:pPr>
      <w:r>
        <w:t xml:space="preserve">Il primo ammortizzatore di un’articolazione è il muscolo, non la cartilagine.</w:t>
      </w:r>
    </w:p>
    <w:p>
      <w:pPr>
        <w:pStyle w:val="Compact"/>
        <w:numPr>
          <w:ilvl w:val="0"/>
          <w:numId w:val="1009"/>
        </w:numPr>
      </w:pPr>
      <w:r>
        <w:t xml:space="preserve">La regolazione autonomica e il sonno non sono contorno: sono</w:t>
      </w:r>
      <w:r>
        <w:t xml:space="preserve"> </w:t>
      </w:r>
      <w:r>
        <w:rPr>
          <w:b/>
          <w:bCs/>
        </w:rPr>
        <w:t xml:space="preserve">associati</w:t>
      </w:r>
      <w:r>
        <w:t xml:space="preserve"> </w:t>
      </w:r>
      <w:r>
        <w:t xml:space="preserve">all’infiammazione, e che migliorare il sonno la sposti non è dimostrato.</w:t>
      </w:r>
    </w:p>
    <w:p>
      <w:pPr>
        <w:pStyle w:val="Compact"/>
        <w:numPr>
          <w:ilvl w:val="0"/>
          <w:numId w:val="1009"/>
        </w:numPr>
      </w:pPr>
      <w:r>
        <w:rPr>
          <w:b/>
          <w:bCs/>
        </w:rPr>
        <w:t xml:space="preserve">Perché ci sei tu.</w:t>
      </w:r>
      <w:r>
        <w:t xml:space="preserve"> </w:t>
      </w:r>
      <w:r>
        <w:t xml:space="preserve">Il freno parasimpatico sul cuore si stima con la</w:t>
      </w:r>
      <w:r>
        <w:t xml:space="preserve"> </w:t>
      </w:r>
      <w:r>
        <w:rPr>
          <w:b/>
          <w:bCs/>
        </w:rPr>
        <w:t xml:space="preserve">variabilità della frequenza cardiaca</w:t>
      </w:r>
      <w:r>
        <w:t xml:space="preserve">: più il battito varia da un ciclo all’altro, più quel freno è attivo. In questi pazienti è ridotto, con una differenza standardizzata di</w:t>
      </w:r>
      <w:r>
        <w:t xml:space="preserve"> </w:t>
      </w:r>
      <w:r>
        <w:rPr>
          <w:b/>
          <w:bCs/>
        </w:rPr>
        <w:t xml:space="preserve">−0,90</w:t>
      </w:r>
      <w:r>
        <w:t xml:space="preserve">, dove 0,2 è piccola e 0,8 è già grande (Provan, 2018, PMID 29291895).</w:t>
      </w:r>
      <w:r>
        <w:t xml:space="preserve"> </w:t>
      </w:r>
      <w:r>
        <w:rPr>
          <w:b/>
          <w:bCs/>
        </w:rPr>
        <w:t xml:space="preserve">Per te:</w:t>
      </w:r>
      <w:r>
        <w:t xml:space="preserve"> </w:t>
      </w:r>
      <w:r>
        <w:t xml:space="preserve">il piano autonomico qui è davvero spostato, ma non è una firma di questa malattia. Gli stessi autori lo trovano spostato anche in altre artriti: il bersaglio è legittimo, la pretesa di specificità no. Questo ti autorizza a considerare l’attivazione un bersaglio. Non ti autorizza a dire che il tuo tocco sposta quell’indice: quel salto è misurato con un elettrodo.</w:t>
      </w:r>
    </w:p>
    <w:p>
      <w:r>
        <w:pict>
          <v:rect style="width:0;height:1.5pt" o:hralign="center" o:hrstd="t" o:hr="t"/>
        </w:pict>
      </w:r>
    </w:p>
    <w:bookmarkEnd w:id="32"/>
    <w:bookmarkStart w:id="38"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un meccanismo distrugge l’articolazione e non è tuo; gli altri quattro costruiscono il dolore e la disabilità intorno a quella distruzione, e quelli sì.</w:t>
      </w:r>
    </w:p>
    <w:p>
      <w:pPr>
        <w:pStyle w:val="FirstParagraph"/>
      </w:pPr>
      <w:r>
        <w:t xml:space="preserve">Cinque meccanismi, dal più solido al meno. Il primo è il più solido della Bibbia ed è l’unico su cui non hai niente da fare: è messo per primo apposta.</w:t>
      </w:r>
    </w:p>
    <w:bookmarkStart w:id="33" w:name="la-sinovia-che-si-mangia-larticolazione"/>
    <w:p>
      <w:pPr>
        <w:pStyle w:val="Heading3"/>
      </w:pPr>
      <w:r>
        <w:t xml:space="preserve">1. La sinovia che si mangia l’articolazione</w:t>
      </w:r>
    </w:p>
    <w:p>
      <w:pPr>
        <w:pStyle w:val="FirstParagraph"/>
      </w:pPr>
      <w:r>
        <w:t xml:space="preserve">La catena, in cinque passaggi.</w:t>
      </w:r>
    </w:p>
    <w:p>
      <w:pPr>
        <w:pStyle w:val="Compact"/>
        <w:numPr>
          <w:ilvl w:val="0"/>
          <w:numId w:val="1010"/>
        </w:numPr>
      </w:pPr>
      <w:r>
        <w:t xml:space="preserve">Il sistema immunitario produce anticorpi contro proteine proprie, spesso anni prima del primo sintomo.</w:t>
      </w:r>
    </w:p>
    <w:p>
      <w:pPr>
        <w:pStyle w:val="Compact"/>
        <w:numPr>
          <w:ilvl w:val="0"/>
          <w:numId w:val="1010"/>
        </w:numPr>
      </w:pPr>
      <w:r>
        <w:t xml:space="preserve">La membrana sinoviale si infiamma e prolifera, popolandosi di cellule immunitarie e di mediatori come TNF e interleuchina-6.</w:t>
      </w:r>
    </w:p>
    <w:p>
      <w:pPr>
        <w:pStyle w:val="Compact"/>
        <w:numPr>
          <w:ilvl w:val="0"/>
          <w:numId w:val="1010"/>
        </w:numPr>
      </w:pPr>
      <w:r>
        <w:t xml:space="preserve">Il tessuto proliferato — il panno sinoviale — invade i margini dell’articolazione, dove la cartilagine finisce e l’osso è scoperto.</w:t>
      </w:r>
    </w:p>
    <w:p>
      <w:pPr>
        <w:pStyle w:val="Compact"/>
        <w:numPr>
          <w:ilvl w:val="0"/>
          <w:numId w:val="1010"/>
        </w:numPr>
      </w:pPr>
      <w:r>
        <w:t xml:space="preserve">Lì l’osso si erode e la cartilagine si assottiglia: in radiografia l’erosione si vede solo quando è già avvenuta.</w:t>
      </w:r>
    </w:p>
    <w:p>
      <w:pPr>
        <w:pStyle w:val="Compact"/>
        <w:numPr>
          <w:ilvl w:val="0"/>
          <w:numId w:val="1010"/>
        </w:numPr>
      </w:pPr>
      <w:r>
        <w:t xml:space="preserve">La capsula si distende, i tendini si spostano, l’articolazione perde l’allineamento. È la deformità che il paziente teme.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è la fisiopatologia su cui poggiano i criteri di classificazione internazionali (Aletaha, 2010, PMID 20872595) e l’intera strategia farmacologica (Smolen, 2026, PMID 41826212).</w:t>
      </w:r>
    </w:p>
    <w:p>
      <w:pPr>
        <w:pStyle w:val="FirstParagraph"/>
      </w:pPr>
      <w:r>
        <w:rPr>
          <w:b/>
          <w:bCs/>
        </w:rPr>
        <w:t xml:space="preserve">Come si vede addosso al paziente.</w:t>
      </w:r>
      <w:r>
        <w:t xml:space="preserve"> </w:t>
      </w:r>
      <w:r>
        <w:t xml:space="preserve">Gonfiore che si vede e si sente caldo. Simmetria. Piccole articolazioni di mani e piedi coinvolte per prime. Rigidità mattutina che supera l’ora. Dolore presente a riposo e di notte. Indici di infiammazione mossi.</w:t>
      </w:r>
    </w:p>
    <w:p>
      <w:pPr>
        <w:pStyle w:val="BodyText"/>
      </w:pPr>
      <w:r>
        <w:rPr>
          <w:b/>
          <w:bCs/>
        </w:rPr>
        <w:t xml:space="preserve">È l’olio del motore che si trasforma in smeriglio.</w:t>
      </w:r>
    </w:p>
    <w:bookmarkEnd w:id="33"/>
    <w:bookmarkStart w:id="34" w:name="X2772a3afe81ea82429387a1e778fbcc78fdb201"/>
    <w:p>
      <w:pPr>
        <w:pStyle w:val="Heading3"/>
      </w:pPr>
      <w:r>
        <w:t xml:space="preserve">2. Il dolore che resta quando l’infiammazione se n’è andata</w:t>
      </w:r>
    </w:p>
    <w:p>
      <w:pPr>
        <w:pStyle w:val="FirstParagraph"/>
      </w:pPr>
      <w:r>
        <w:t xml:space="preserve">La catena, in quattro passaggi.</w:t>
      </w:r>
    </w:p>
    <w:p>
      <w:pPr>
        <w:pStyle w:val="Compact"/>
        <w:numPr>
          <w:ilvl w:val="0"/>
          <w:numId w:val="1011"/>
        </w:numPr>
      </w:pPr>
      <w:r>
        <w:t xml:space="preserve">La terapia di fondo spegne la sinovite: gli indici scendono, le articolazioni si sgonfiano.</w:t>
      </w:r>
    </w:p>
    <w:p>
      <w:pPr>
        <w:pStyle w:val="Compact"/>
        <w:numPr>
          <w:ilvl w:val="0"/>
          <w:numId w:val="1011"/>
        </w:numPr>
      </w:pPr>
      <w:r>
        <w:t xml:space="preserve">Il dolore non scende con loro, oppure scende e si ferma a metà.</w:t>
      </w:r>
    </w:p>
    <w:p>
      <w:pPr>
        <w:pStyle w:val="Compact"/>
        <w:numPr>
          <w:ilvl w:val="0"/>
          <w:numId w:val="1011"/>
        </w:numPr>
      </w:pPr>
      <w:r>
        <w:t xml:space="preserve">Quel dolore non nasce più dalla sinovia: nasce da un’elaborazione amplificata dei segnali. Non è un deposito che si accumula in anni di dolore, perché in una parte dei pazienti c’è già all’esordio e non dipende da quanta infiammazione avessero. Si misura in due modi: come soglia di pressione più bassa anche in</w:t>
      </w:r>
      <w:r>
        <w:t xml:space="preserve"> </w:t>
      </w:r>
      <w:r>
        <w:rPr>
          <w:b/>
          <w:bCs/>
        </w:rPr>
        <w:t xml:space="preserve">sedi che la malattia non tocca</w:t>
      </w:r>
      <w:r>
        <w:t xml:space="preserve"> </w:t>
      </w:r>
      <w:r>
        <w:t xml:space="preserve">— il trapezio, il letto ungueale del pollice — e come sommazione temporale aumentata (Lee, 2018, PMID 28437846).</w:t>
      </w:r>
    </w:p>
    <w:p>
      <w:pPr>
        <w:pStyle w:val="Compact"/>
        <w:numPr>
          <w:ilvl w:val="0"/>
          <w:numId w:val="1011"/>
        </w:numPr>
      </w:pPr>
      <w:r>
        <w:t xml:space="preserve">Diventa diffuso, cambia sede, si accompagna a sonno non ristoratore e a stanchezza, e non risponde più agli antinfiammatori.</w:t>
      </w:r>
    </w:p>
    <w:p>
      <w:pPr>
        <w:pStyle w:val="BlockText"/>
      </w:pPr>
      <w:r>
        <w:rPr>
          <w:b/>
          <w:bCs/>
        </w:rPr>
        <w:t xml:space="preserve">Quanto è solido:</w:t>
      </w:r>
      <w:r>
        <w:t xml:space="preserve"> </w:t>
      </w:r>
      <w:r>
        <w:t xml:space="preserve">l’etichetta si spezza, perché i pezzi non hanno la stessa forza.</w:t>
      </w:r>
      <w:r>
        <w:t xml:space="preserve"> </w:t>
      </w:r>
      <w:r>
        <w:t xml:space="preserve">Che il fenomeno esista e sia frequente:</w:t>
      </w:r>
      <w:r>
        <w:t xml:space="preserve"> </w:t>
      </w:r>
      <w:r>
        <w:rPr>
          <w:b/>
          <w:bCs/>
        </w:rPr>
        <w:t xml:space="preserve">DIMOSTRATO</w:t>
      </w:r>
      <w:r>
        <w:t xml:space="preserve"> </w:t>
      </w:r>
      <w:r>
        <w:rPr>
          <w:i/>
          <w:iCs/>
        </w:rPr>
        <w:t xml:space="preserve">(studi sull’uomo, solidi)</w:t>
      </w:r>
      <w:r>
        <w:t xml:space="preserve"> </w:t>
      </w:r>
      <w:r>
        <w:t xml:space="preserve">— su 1.241 pazienti all’esordio in metotrexato, il dolore aumentava nel 19% della coorte nei primi tre mesi e nel 9% anche fra chi aveva una</w:t>
      </w:r>
      <w:r>
        <w:t xml:space="preserve"> </w:t>
      </w:r>
      <w:r>
        <w:rPr>
          <w:b/>
          <w:bCs/>
        </w:rPr>
        <w:t xml:space="preserve">buona</w:t>
      </w:r>
      <w:r>
        <w:t xml:space="preserve"> </w:t>
      </w:r>
      <w:r>
        <w:t xml:space="preserve">risposta clinica, ed era associato a</w:t>
      </w:r>
      <w:r>
        <w:t xml:space="preserve"> </w:t>
      </w:r>
      <w:r>
        <w:rPr>
          <w:b/>
          <w:bCs/>
        </w:rPr>
        <w:t xml:space="preserve">meno</w:t>
      </w:r>
      <w:r>
        <w:t xml:space="preserve"> </w:t>
      </w:r>
      <w:r>
        <w:t xml:space="preserve">infiammazione al basale, non a più (Altawil, 2016, PMID 26784398); su 232 pazienti seguiti cinque anni, il 34% aveva ancora dolore inaccettabile al quinto anno (Eberhard, 2021, PMID 34127054).</w:t>
      </w:r>
      <w:r>
        <w:t xml:space="preserve"> </w:t>
      </w:r>
      <w:r>
        <w:t xml:space="preserve">Che il meccanismo sia la sensibilizzazione centrale:</w:t>
      </w:r>
      <w:r>
        <w:t xml:space="preserve"> </w:t>
      </w:r>
      <w:r>
        <w:rPr>
          <w:b/>
          <w:bCs/>
        </w:rPr>
        <w:t xml:space="preserve">PROBABILE</w:t>
      </w:r>
      <w:r>
        <w:t xml:space="preserve"> </w:t>
      </w:r>
      <w:r>
        <w:rPr>
          <w:i/>
          <w:iCs/>
        </w:rPr>
        <w:t xml:space="preserve">(razionale forte, prove parziali)</w:t>
      </w:r>
      <w:r>
        <w:t xml:space="preserve"> </w:t>
      </w:r>
      <w:r>
        <w:t xml:space="preserve">— coerente con la sovrapposizione con la fibromialgia nel 40% dei pazienti (Shresher, 2019, PMID 31377829), e non dimostrato come catena causale in questi stessi pazienti.</w:t>
      </w:r>
    </w:p>
    <w:p>
      <w:pPr>
        <w:pStyle w:val="FirstParagraph"/>
      </w:pPr>
      <w:r>
        <w:rPr>
          <w:b/>
          <w:bCs/>
        </w:rPr>
        <w:t xml:space="preserve">Come si vede addosso al paziente.</w:t>
      </w:r>
      <w:r>
        <w:t xml:space="preserve"> </w:t>
      </w:r>
      <w:r>
        <w:t xml:space="preserve">Laboratorio buono e paziente che sta male. Dolore che non si ferma sulle articolazioni malate e si allarga. Sonno rotto, stanchezza che il riposo non toglie, e una frase ricorrente:</w:t>
      </w:r>
      <w:r>
        <w:t xml:space="preserve"> </w:t>
      </w:r>
      <w:r>
        <w:rPr>
          <w:i/>
          <w:iCs/>
        </w:rPr>
        <w:t xml:space="preserve">«il reumatologo dice che va tutto bene».</w:t>
      </w:r>
    </w:p>
    <w:p>
      <w:pPr>
        <w:pStyle w:val="BodyText"/>
      </w:pPr>
      <w:r>
        <w:rPr>
          <w:b/>
          <w:bCs/>
        </w:rPr>
        <w:t xml:space="preserve">È il rubinetto che continua a sgocciolare quando hai già chiuso la chiave generale.</w:t>
      </w:r>
    </w:p>
    <w:p>
      <w:pPr>
        <w:pStyle w:val="BlockText"/>
      </w:pPr>
      <w:r>
        <w:rPr>
          <w:b/>
          <w:bCs/>
        </w:rPr>
        <w:t xml:space="preserve">Attenzione.</w:t>
      </w:r>
      <w:r>
        <w:t xml:space="preserve"> </w:t>
      </w:r>
      <w:r>
        <w:t xml:space="preserve">Le tre caselle del dolore.</w:t>
      </w:r>
      <w:r>
        <w:t xml:space="preserve"> </w:t>
      </w:r>
      <w:r>
        <w:rPr>
          <w:b/>
          <w:bCs/>
        </w:rPr>
        <w:t xml:space="preserve">Nocicettivo:</w:t>
      </w:r>
      <w:r>
        <w:t xml:space="preserve"> </w:t>
      </w:r>
      <w:r>
        <w:t xml:space="preserve">nasce da un tessuto infiammato, ed è il meccanismo 1.</w:t>
      </w:r>
      <w:r>
        <w:t xml:space="preserve"> </w:t>
      </w:r>
      <w:r>
        <w:rPr>
          <w:b/>
          <w:bCs/>
        </w:rPr>
        <w:t xml:space="preserve">Nociplastico:</w:t>
      </w:r>
      <w:r>
        <w:t xml:space="preserve"> </w:t>
      </w:r>
      <w:r>
        <w:t xml:space="preserve">nasce dall’elaborazione amplificata, senza un danno che lo giustifichi, ed è il meccanismo 2. Il meccanismo 2 diventa il</w:t>
      </w:r>
      <w:r>
        <w:t xml:space="preserve"> </w:t>
      </w:r>
      <w:r>
        <w:rPr>
          <w:b/>
          <w:bCs/>
        </w:rPr>
        <w:t xml:space="preserve">sottotipo</w:t>
      </w:r>
      <w:r>
        <w:t xml:space="preserve"> </w:t>
      </w:r>
      <w:r>
        <w:t xml:space="preserve">«fibromialgia sovrapposta» solo quando soddisfa per intero i criteri 2016, non ogni volta che compare.</w:t>
      </w:r>
      <w:r>
        <w:t xml:space="preserve"> </w:t>
      </w:r>
      <w:r>
        <w:rPr>
          <w:b/>
          <w:bCs/>
        </w:rPr>
        <w:t xml:space="preserve">Neuropatico:</w:t>
      </w:r>
      <w:r>
        <w:t xml:space="preserve"> </w:t>
      </w:r>
      <w:r>
        <w:t xml:space="preserve">nasce da un nervo compresso, e qui non è un caso di scuola, perché la tenosinovite dei flessori al polso comprime il mediano. Serve saperlo per una ragione precisa. Due sintomi che questo documento attribuisce al collo alto — formicolii e destrezza che cala — nella mano reumatoide hanno più spesso una causa periferica, e le due letture portano a condotte opposte.</w:t>
      </w:r>
      <w:r>
        <w:t xml:space="preserve"> </w:t>
      </w:r>
      <w:r>
        <w:rPr>
          <w:b/>
          <w:bCs/>
        </w:rPr>
        <w:t xml:space="preserve">Come si separano.</w:t>
      </w:r>
      <w:r>
        <w:t xml:space="preserve"> </w:t>
      </w:r>
      <w:r>
        <w:t xml:space="preserve">Formicolio distale nel territorio di un nervo, notturno, in una mano sola → periferico. Dolore che cambia sede, con soglie basse anche fuori dalle articolazioni → nociplastico. Segni in</w:t>
      </w:r>
      <w:r>
        <w:t xml:space="preserve"> </w:t>
      </w:r>
      <w:r>
        <w:rPr>
          <w:b/>
          <w:bCs/>
        </w:rPr>
        <w:t xml:space="preserve">entrambe</w:t>
      </w:r>
      <w:r>
        <w:t xml:space="preserve"> </w:t>
      </w:r>
      <w:r>
        <w:t xml:space="preserve">le mani, andatura cambiata, riflessi vivaci → midollo, e si invia.</w:t>
      </w:r>
      <w:r>
        <w:t xml:space="preserve"> </w:t>
      </w:r>
      <w:r>
        <w:rPr>
          <w:b/>
          <w:bCs/>
        </w:rPr>
        <w:t xml:space="preserve">E la clausola che chiude il box:</w:t>
      </w:r>
      <w:r>
        <w:t xml:space="preserve"> </w:t>
      </w:r>
      <w:r>
        <w:t xml:space="preserve">questa distinzione cambia</w:t>
      </w:r>
      <w:r>
        <w:t xml:space="preserve"> </w:t>
      </w:r>
      <w:r>
        <w:rPr>
          <w:b/>
          <w:bCs/>
        </w:rPr>
        <w:t xml:space="preserve">come leggi il sintomo</w:t>
      </w:r>
      <w:r>
        <w:t xml:space="preserve">, non</w:t>
      </w:r>
      <w:r>
        <w:t xml:space="preserve"> </w:t>
      </w:r>
      <w:r>
        <w:rPr>
          <w:b/>
          <w:bCs/>
        </w:rPr>
        <w:t xml:space="preserve">se invii</w:t>
      </w:r>
      <w:r>
        <w:t xml:space="preserve">. La lettura periferica non esclude quella alta, e nel dubbio si invia comunque.</w:t>
      </w:r>
    </w:p>
    <w:bookmarkEnd w:id="34"/>
    <w:bookmarkStart w:id="35" w:name="Xe7a95023548331f686da3689cf0a599b4cf249c"/>
    <w:p>
      <w:pPr>
        <w:pStyle w:val="Heading3"/>
      </w:pPr>
      <w:r>
        <w:t xml:space="preserve">3. La difesa che si irrigidisce intorno all’articolazione</w:t>
      </w:r>
    </w:p>
    <w:p>
      <w:pPr>
        <w:pStyle w:val="FirstParagraph"/>
      </w:pPr>
      <w:r>
        <w:t xml:space="preserve">La catena, in cinque passaggi.</w:t>
      </w:r>
    </w:p>
    <w:p>
      <w:pPr>
        <w:pStyle w:val="Compact"/>
        <w:numPr>
          <w:ilvl w:val="0"/>
          <w:numId w:val="1012"/>
        </w:numPr>
      </w:pPr>
      <w:r>
        <w:t xml:space="preserve">Un’articolazione fa male, e il paziente smette di portarla a fondo corsa. Non è una scelta: è protezione.</w:t>
      </w:r>
    </w:p>
    <w:p>
      <w:pPr>
        <w:pStyle w:val="Compact"/>
        <w:numPr>
          <w:ilvl w:val="0"/>
          <w:numId w:val="1012"/>
        </w:numPr>
      </w:pPr>
      <w:r>
        <w:t xml:space="preserve">La muscolatura intorno tiene un tono più alto in modo continuo, per limitare l’escursione dolorosa.</w:t>
      </w:r>
    </w:p>
    <w:p>
      <w:pPr>
        <w:pStyle w:val="Compact"/>
        <w:numPr>
          <w:ilvl w:val="0"/>
          <w:numId w:val="1012"/>
        </w:numPr>
      </w:pPr>
      <w:r>
        <w:t xml:space="preserve">I tessuti che non arrivano più a fine corsa si accorciano, e la corsa disponibile si riduce ancora.</w:t>
      </w:r>
    </w:p>
    <w:p>
      <w:pPr>
        <w:pStyle w:val="Compact"/>
        <w:numPr>
          <w:ilvl w:val="0"/>
          <w:numId w:val="1012"/>
        </w:numPr>
      </w:pPr>
      <w:r>
        <w:t xml:space="preserve">Il muscolo che non lavora a lunghezza piena perde forza, e con la forza se ne va l’ammortizzatore principale.</w:t>
      </w:r>
    </w:p>
    <w:p>
      <w:pPr>
        <w:pStyle w:val="Compact"/>
        <w:numPr>
          <w:ilvl w:val="0"/>
          <w:numId w:val="1012"/>
        </w:numPr>
      </w:pPr>
      <w:r>
        <w:t xml:space="preserve">Il carico si sposta su strutture che non lo reggono, e compare dolore dove la malattia non è arrivata.</w:t>
      </w:r>
    </w:p>
    <w:p>
      <w:pPr>
        <w:pStyle w:val="BlockText"/>
      </w:pPr>
      <w:r>
        <w:rPr>
          <w:b/>
          <w:bCs/>
        </w:rPr>
        <w:t xml:space="preserve">Quanto è solido:</w:t>
      </w:r>
      <w:r>
        <w:t xml:space="preserve"> </w:t>
      </w:r>
      <w:r>
        <w:t xml:space="preserve">l’etichetta si spezza, perché i pezzi non hanno la stessa forza.</w:t>
      </w:r>
      <w:r>
        <w:t xml:space="preserve"> </w:t>
      </w:r>
      <w:r>
        <w:t xml:space="preserve">Che la perdita di forza sia presente e recuperabile con il carico:</w:t>
      </w:r>
      <w:r>
        <w:t xml:space="preserve"> </w:t>
      </w:r>
      <w:r>
        <w:rPr>
          <w:b/>
          <w:bCs/>
        </w:rPr>
        <w:t xml:space="preserve">DIMOSTRATO</w:t>
      </w:r>
      <w:r>
        <w:t xml:space="preserve"> </w:t>
      </w:r>
      <w:r>
        <w:rPr>
          <w:i/>
          <w:iCs/>
        </w:rPr>
        <w:t xml:space="preserve">(studi sull’uomo, solidi)</w:t>
      </w:r>
      <w:r>
        <w:t xml:space="preserve"> </w:t>
      </w:r>
      <w:r>
        <w:t xml:space="preserve">— otto studi randomizzati, senza effetti dannosi rilevati (Hurkmans, 2009, PMID 19821388).</w:t>
      </w:r>
      <w:r>
        <w:t xml:space="preserve"> </w:t>
      </w:r>
      <w:r>
        <w:t xml:space="preserve">Che la sequenza tenuta protettiva → accorciamento → perdita di forza sia la catena causale in questo paziente:</w:t>
      </w:r>
      <w:r>
        <w:t xml:space="preserve"> </w:t>
      </w:r>
      <w:r>
        <w:rPr>
          <w:b/>
          <w:bCs/>
        </w:rPr>
        <w:t xml:space="preserve">RAGIONAMENTO</w:t>
      </w:r>
      <w:r>
        <w:t xml:space="preserve"> </w:t>
      </w:r>
      <w:r>
        <w:rPr>
          <w:i/>
          <w:iCs/>
        </w:rPr>
        <w:t xml:space="preserve">(cornice clinica, non una prova)</w:t>
      </w:r>
      <w:r>
        <w:t xml:space="preserve"> </w:t>
      </w:r>
      <w:r>
        <w:t xml:space="preserve">— nessuno l’ha misurata come catena.</w:t>
      </w:r>
    </w:p>
    <w:p>
      <w:pPr>
        <w:pStyle w:val="FirstParagraph"/>
      </w:pPr>
      <w:r>
        <w:rPr>
          <w:b/>
          <w:bCs/>
        </w:rPr>
        <w:t xml:space="preserve">Come si vede addosso al paziente.</w:t>
      </w:r>
      <w:r>
        <w:t xml:space="preserve"> </w:t>
      </w:r>
      <w:r>
        <w:t xml:space="preserve">Escursione ridotta fuori dalle articolazioni malate, tipicamente spalla e rachide toracico. Presa che cede prima del dolore. Postura raccolta, braccia vicine al corpo. Tessuti che si oppongono al movimento passivo prima che il dolore compaia.</w:t>
      </w:r>
    </w:p>
    <w:p>
      <w:pPr>
        <w:pStyle w:val="BodyText"/>
      </w:pPr>
      <w:r>
        <w:rPr>
          <w:b/>
          <w:bCs/>
        </w:rPr>
        <w:t xml:space="preserve">È il tutore che non ti sei mai tolto.</w:t>
      </w:r>
    </w:p>
    <w:bookmarkEnd w:id="35"/>
    <w:bookmarkStart w:id="36" w:name="il-corpo-che-paga-il-conto-altrove"/>
    <w:p>
      <w:pPr>
        <w:pStyle w:val="Heading3"/>
      </w:pPr>
      <w:r>
        <w:t xml:space="preserve">4. Il corpo che paga il conto altrove</w:t>
      </w:r>
    </w:p>
    <w:p>
      <w:pPr>
        <w:pStyle w:val="FirstParagraph"/>
      </w:pPr>
      <w:r>
        <w:t xml:space="preserve">La catena, in quattro passaggi.</w:t>
      </w:r>
    </w:p>
    <w:p>
      <w:pPr>
        <w:pStyle w:val="Compact"/>
        <w:numPr>
          <w:ilvl w:val="0"/>
          <w:numId w:val="1013"/>
        </w:numPr>
      </w:pPr>
      <w:r>
        <w:t xml:space="preserve">La mano non chiude e il gesto va fatto lo stesso. Oppure l’avampiede fa male a ogni passo, e il passo va fatto lo stesso.</w:t>
      </w:r>
    </w:p>
    <w:p>
      <w:pPr>
        <w:pStyle w:val="Compact"/>
        <w:numPr>
          <w:ilvl w:val="0"/>
          <w:numId w:val="1013"/>
        </w:numPr>
      </w:pPr>
      <w:r>
        <w:t xml:space="preserve">Il paziente sostituisce la presa con l’avambraccio, l’avambraccio con la spalla, la spalla con il tronco. In basso accorcia il passo, evita la spinta finale, ruota il piede in fuori. È un compenso, e funziona.</w:t>
      </w:r>
    </w:p>
    <w:p>
      <w:pPr>
        <w:pStyle w:val="Compact"/>
        <w:numPr>
          <w:ilvl w:val="0"/>
          <w:numId w:val="1013"/>
        </w:numPr>
      </w:pPr>
      <w:r>
        <w:t xml:space="preserve">Le strutture reclutate al posto di quelle malate lavorano fuori dal loro compito e sopra la loro dose abituale.</w:t>
      </w:r>
    </w:p>
    <w:p>
      <w:pPr>
        <w:pStyle w:val="Compact"/>
        <w:numPr>
          <w:ilvl w:val="0"/>
          <w:numId w:val="1013"/>
        </w:numPr>
      </w:pPr>
      <w:r>
        <w:t xml:space="preserve">Il dolore compare dove il compenso ha ceduto — collo, cingolo scapolare, dorso in alto; ginocchio, anca e lombare in basso — e il paziente lo attribuisce all’artrite.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la meccanica del compenso è coerente, in alto come in basso, e nessuno l’ha misurata in questi pazienti. La lettura opposta è altrettanto compatibile con i dati, perché il dolore in sede nuova può essere il meccanismo 2. Il criterio per separarli sta in «Come ragiono davanti a questo paziente».</w:t>
      </w:r>
    </w:p>
    <w:p>
      <w:pPr>
        <w:pStyle w:val="BlockText"/>
      </w:pPr>
      <w:r>
        <w:rPr>
          <w:b/>
          <w:bCs/>
        </w:rPr>
        <w:t xml:space="preserve">Attenzione.</w:t>
      </w:r>
      <w:r>
        <w:t xml:space="preserve"> </w:t>
      </w:r>
      <w:r>
        <w:t xml:space="preserve">C’è una sede in cui questa lettura è pericolosa, ed è il dorso. Prendi un paziente in cortisone prolungato, o semplicemente con anni di malattia. Un dolore dorsale o lombare</w:t>
      </w:r>
      <w:r>
        <w:t xml:space="preserve"> </w:t>
      </w:r>
      <w:r>
        <w:rPr>
          <w:b/>
          <w:bCs/>
        </w:rPr>
        <w:t xml:space="preserve">nuovo, focale, che non si modifica cambiando posizione</w:t>
      </w:r>
      <w:r>
        <w:t xml:space="preserve"> </w:t>
      </w:r>
      <w:r>
        <w:t xml:space="preserve">non è un compenso: è una frattura vertebrale da fragilità fino a prova contraria, e non serve un trauma perché avvenga (Zenitani, 2026, PMID 42174297; Angeli, 2006, PMID 16574519). E ce n’è una seconda, in basso. In chi prende metotrexato da anni, un dolore atraumatico di calcagno, caviglia o gamba ha lo stesso statuto, ed è la lettura che «compenso del piede» copre peggio di ogni altra (Lotkowska, 2025, PMID 41359127). In tutte e due le sedi la prima ipotesi non è la tua.</w:t>
      </w:r>
    </w:p>
    <w:p>
      <w:pPr>
        <w:pStyle w:val="FirstParagraph"/>
      </w:pPr>
      <w:r>
        <w:rPr>
          <w:b/>
          <w:bCs/>
        </w:rPr>
        <w:t xml:space="preserve">Come si vede addosso al paziente.</w:t>
      </w:r>
      <w:r>
        <w:t xml:space="preserve"> </w:t>
      </w:r>
      <w:r>
        <w:t xml:space="preserve">Dolore in una sede che la malattia non coinvolge, comparso mesi dopo la diagnosi. Un gesto quotidiano eseguito in modo visibilmente diverso. Spalla che ha perso escursione in chi ha problemi alle mani. Passo accorciato, scarpa consumata di lato. Sintomo che migliora quando il gesto viene fatto in un altro modo.</w:t>
      </w:r>
    </w:p>
    <w:p>
      <w:pPr>
        <w:pStyle w:val="BodyText"/>
      </w:pPr>
      <w:r>
        <w:rPr>
          <w:b/>
          <w:bCs/>
        </w:rPr>
        <w:t xml:space="preserve">È la porta che si apre con la spalla perché la maniglia non gira.</w:t>
      </w:r>
    </w:p>
    <w:bookmarkEnd w:id="36"/>
    <w:bookmarkStart w:id="37" w:name="la-notte-che-non-ripara"/>
    <w:p>
      <w:pPr>
        <w:pStyle w:val="Heading3"/>
      </w:pPr>
      <w:r>
        <w:t xml:space="preserve">5. La notte che non ripara</w:t>
      </w:r>
    </w:p>
    <w:p>
      <w:pPr>
        <w:pStyle w:val="FirstParagraph"/>
      </w:pPr>
      <w:r>
        <w:t xml:space="preserve">La catena, in cinque passaggi.</w:t>
      </w:r>
    </w:p>
    <w:p>
      <w:pPr>
        <w:pStyle w:val="Compact"/>
        <w:numPr>
          <w:ilvl w:val="0"/>
          <w:numId w:val="1014"/>
        </w:numPr>
      </w:pPr>
      <w:r>
        <w:t xml:space="preserve">Il dolore c’è anche a riposo, e di notte è peggio.</w:t>
      </w:r>
    </w:p>
    <w:p>
      <w:pPr>
        <w:pStyle w:val="Compact"/>
        <w:numPr>
          <w:ilvl w:val="0"/>
          <w:numId w:val="1014"/>
        </w:numPr>
      </w:pPr>
      <w:r>
        <w:t xml:space="preserve">Il sonno si frammenta: più risvegli, meno sonno profondo.</w:t>
      </w:r>
    </w:p>
    <w:p>
      <w:pPr>
        <w:pStyle w:val="Compact"/>
        <w:numPr>
          <w:ilvl w:val="0"/>
          <w:numId w:val="1014"/>
        </w:numPr>
      </w:pPr>
      <w:r>
        <w:rPr>
          <w:b/>
          <w:bCs/>
        </w:rPr>
        <w:t xml:space="preserve">La notte, in questa malattia, ha un suo orario infiammatorio.</w:t>
      </w:r>
      <w:r>
        <w:t xml:space="preserve"> </w:t>
      </w:r>
      <w:r>
        <w:t xml:space="preserve">L’interleuchina-6 sale nelle ore prima del risveglio, e il cortisolo notturno non basta a spegnerla. La variazione dei sintomi nella giornata segue quell’onda circadiana (Gibbs e Ray, 2013, PMID 23427807).</w:t>
      </w:r>
    </w:p>
    <w:p>
      <w:pPr>
        <w:pStyle w:val="Compact"/>
        <w:numPr>
          <w:ilvl w:val="0"/>
          <w:numId w:val="1014"/>
        </w:numPr>
      </w:pPr>
      <w:r>
        <w:t xml:space="preserve">È da lì che nasce l’ora di rigidità del mattino. E la rigidità ha</w:t>
      </w:r>
      <w:r>
        <w:t xml:space="preserve"> </w:t>
      </w:r>
      <w:r>
        <w:rPr>
          <w:b/>
          <w:bCs/>
        </w:rPr>
        <w:t xml:space="preserve">due componenti con due proprietari diversi</w:t>
      </w:r>
      <w:r>
        <w:t xml:space="preserve">. La quota notturna e sistemica appartiene all’orologio della malattia e a chi decide la terapia: non è tua. La quota di immobilità — otto ore di tessuti fermi intorno ad articolazioni che già non arrivano a fondo corsa — risponde al movimento, e quella sì.</w:t>
      </w:r>
    </w:p>
    <w:p>
      <w:pPr>
        <w:pStyle w:val="Compact"/>
        <w:numPr>
          <w:ilvl w:val="0"/>
          <w:numId w:val="1014"/>
        </w:numPr>
      </w:pPr>
      <w:r>
        <w:t xml:space="preserve">Un sistema meno riposato ha una soglia del dolore più bassa il giorno dopo. Più dolore la sera, meno sonno la notte: l’anello si chiude.</w:t>
      </w:r>
    </w:p>
    <w:p>
      <w:pPr>
        <w:pStyle w:val="BlockText"/>
      </w:pPr>
      <w:r>
        <w:rPr>
          <w:b/>
          <w:bCs/>
        </w:rPr>
        <w:t xml:space="preserve">Quanto è solido:</w:t>
      </w:r>
      <w:r>
        <w:t xml:space="preserve"> </w:t>
      </w:r>
      <w:r>
        <w:t xml:space="preserve">l’etichetta si spezza, perché i pezzi non hanno la stessa forza.</w:t>
      </w:r>
      <w:r>
        <w:t xml:space="preserve"> </w:t>
      </w:r>
      <w:r>
        <w:t xml:space="preserve">Che in questa malattia i sintomi mattutini seguano un’onda infiammatoria notturna:</w:t>
      </w:r>
      <w:r>
        <w:t xml:space="preserve"> </w:t>
      </w:r>
      <w:r>
        <w:rPr>
          <w:b/>
          <w:bCs/>
        </w:rPr>
        <w:t xml:space="preserve">PROBABILE</w:t>
      </w:r>
      <w:r>
        <w:t xml:space="preserve"> </w:t>
      </w:r>
      <w:r>
        <w:rPr>
          <w:i/>
          <w:iCs/>
        </w:rPr>
        <w:t xml:space="preserve">(razionale forte, prove parziali)</w:t>
      </w:r>
      <w:r>
        <w:t xml:space="preserve"> </w:t>
      </w:r>
      <w:r>
        <w:t xml:space="preserve">— Gibbs e Ray, 2013, PMID 23427807.</w:t>
      </w:r>
      <w:r>
        <w:t xml:space="preserve"> </w:t>
      </w:r>
      <w:r>
        <w:t xml:space="preserve">Il legame generale fra disturbo del sonno e infiammazione:</w:t>
      </w:r>
      <w:r>
        <w:t xml:space="preserve"> </w:t>
      </w:r>
      <w:r>
        <w:rPr>
          <w:b/>
          <w:bCs/>
        </w:rPr>
        <w:t xml:space="preserve">PROBABILE</w:t>
      </w:r>
      <w:r>
        <w:t xml:space="preserve"> </w:t>
      </w:r>
      <w:r>
        <w:rPr>
          <w:i/>
          <w:iCs/>
        </w:rPr>
        <w:t xml:space="preserve">(razionale forte, prove parziali)</w:t>
      </w:r>
      <w:r>
        <w:t xml:space="preserve"> </w:t>
      </w:r>
      <w:r>
        <w:t xml:space="preserve">— su 72 studi e oltre 50.000 persone, il disturbo del sonno si associa a livelli più alti di PCR e interleuchina-6, con dimensioni dell’effetto piccole (0,12 e 0,20); la deprivazione sperimentale di sonno, invece,</w:t>
      </w:r>
      <w:r>
        <w:t xml:space="preserve"> </w:t>
      </w:r>
      <w:r>
        <w:rPr>
          <w:b/>
          <w:bCs/>
        </w:rPr>
        <w:t xml:space="preserve">non</w:t>
      </w:r>
      <w:r>
        <w:t xml:space="preserve"> </w:t>
      </w:r>
      <w:r>
        <w:t xml:space="preserve">produce quell’aumento (Irwin, 2016, PMID 26140821). Misurato su popolazioni generali e coorti miste, non su pazienti con artrite reumatoide.</w:t>
      </w:r>
      <w:r>
        <w:t xml:space="preserve"> </w:t>
      </w:r>
      <w:r>
        <w:t xml:space="preserve">Che le due componenti della rigidità mattutina si separino come le ho separate:</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Come si vede addosso al paziente.</w:t>
      </w:r>
      <w:r>
        <w:t xml:space="preserve"> </w:t>
      </w:r>
      <w:r>
        <w:t xml:space="preserve">Si sveglia più volte per il dolore e la rigidità. Sta peggio alle sette e meglio alle undici. Stanchezza che il riposo non toglie, giornate peggiori dopo le notti peggiori, frequenza respiratoria a riposo sopra la sua abituale.</w:t>
      </w:r>
    </w:p>
    <w:p>
      <w:pPr>
        <w:pStyle w:val="BodyText"/>
      </w:pPr>
      <w:r>
        <w:rPr>
          <w:b/>
          <w:bCs/>
        </w:rPr>
        <w:t xml:space="preserve">Per te, subito:</w:t>
      </w:r>
      <w:r>
        <w:t xml:space="preserve"> </w:t>
      </w:r>
      <w:r>
        <w:t xml:space="preserve">non aspettarti di spostare l’infiammazione migliorando il sonno. E leggi la durata della rigidità</w:t>
      </w:r>
      <w:r>
        <w:t xml:space="preserve"> </w:t>
      </w:r>
      <w:r>
        <w:rPr>
          <w:b/>
          <w:bCs/>
        </w:rPr>
        <w:t xml:space="preserve">contro l’ora dell’appuntamento</w:t>
      </w:r>
      <w:r>
        <w:t xml:space="preserve">: un paziente visto alle nove e uno visto alle sedici non ti danno lo stesso numero, e la differenza non sei tu.</w:t>
      </w:r>
    </w:p>
    <w:p>
      <w:pPr>
        <w:pStyle w:val="BodyText"/>
      </w:pPr>
      <w:r>
        <w:rPr>
          <w:b/>
          <w:bCs/>
        </w:rPr>
        <w:t xml:space="preserve">È la batteria che si ricarica solo a metà, ogni notte.</w:t>
      </w:r>
    </w:p>
    <w:p>
      <w:pPr>
        <w:pStyle w:val="BodyText"/>
      </w:pPr>
      <w:r>
        <w:rPr>
          <w:b/>
          <w:bCs/>
        </w:rPr>
        <w:t xml:space="preserve">Le tre cose da ricordare, più una</w:t>
      </w:r>
    </w:p>
    <w:p>
      <w:pPr>
        <w:pStyle w:val="Compact"/>
        <w:numPr>
          <w:ilvl w:val="0"/>
          <w:numId w:val="1015"/>
        </w:numPr>
      </w:pPr>
      <w:r>
        <w:t xml:space="preserve">Il meccanismo più solido del documento è quello su cui non hai niente da fare, e va detto per primo anche al paziente.</w:t>
      </w:r>
    </w:p>
    <w:p>
      <w:pPr>
        <w:pStyle w:val="Compact"/>
        <w:numPr>
          <w:ilvl w:val="0"/>
          <w:numId w:val="1015"/>
        </w:numPr>
      </w:pPr>
      <w:r>
        <w:t xml:space="preserve">Il dolore che resta a infiammazione spenta è misurato, frequente, e non risponde agli antinfiammatori: è il tuo terreno principale.</w:t>
      </w:r>
    </w:p>
    <w:p>
      <w:pPr>
        <w:pStyle w:val="Compact"/>
        <w:numPr>
          <w:ilvl w:val="0"/>
          <w:numId w:val="1015"/>
        </w:numPr>
      </w:pPr>
      <w:r>
        <w:t xml:space="preserve">Il dolore in sede nuova ha due letture possibili — il compenso e il dolore diffuso — e distinguerle cambia tutto il piano.</w:t>
      </w:r>
    </w:p>
    <w:p>
      <w:pPr>
        <w:pStyle w:val="Compact"/>
        <w:numPr>
          <w:ilvl w:val="0"/>
          <w:numId w:val="1015"/>
        </w:numPr>
      </w:pPr>
      <w:r>
        <w:rPr>
          <w:b/>
          <w:bCs/>
        </w:rPr>
        <w:t xml:space="preserve">Perché ci sei tu.</w:t>
      </w:r>
      <w:r>
        <w:t xml:space="preserve"> </w:t>
      </w:r>
      <w:r>
        <w:t xml:space="preserve">Fra i pazienti all’esordio con una</w:t>
      </w:r>
      <w:r>
        <w:t xml:space="preserve"> </w:t>
      </w:r>
      <w:r>
        <w:rPr>
          <w:b/>
          <w:bCs/>
        </w:rPr>
        <w:t xml:space="preserve">buona</w:t>
      </w:r>
      <w:r>
        <w:t xml:space="preserve"> </w:t>
      </w:r>
      <w:r>
        <w:t xml:space="preserve">risposta al metotrexato, il 9% ha avuto comunque più dolore, e quel dolore era associato a</w:t>
      </w:r>
      <w:r>
        <w:t xml:space="preserve"> </w:t>
      </w:r>
      <w:r>
        <w:rPr>
          <w:b/>
          <w:bCs/>
        </w:rPr>
        <w:t xml:space="preserve">meno</w:t>
      </w:r>
      <w:r>
        <w:t xml:space="preserve"> </w:t>
      </w:r>
      <w:r>
        <w:t xml:space="preserve">infiammazione al basale, non a più (Altawil, 2016, PMID 26784398).</w:t>
      </w:r>
      <w:r>
        <w:t xml:space="preserve"> </w:t>
      </w:r>
      <w:r>
        <w:rPr>
          <w:b/>
          <w:bCs/>
        </w:rPr>
        <w:t xml:space="preserve">Per te:</w:t>
      </w:r>
      <w:r>
        <w:t xml:space="preserve"> </w:t>
      </w:r>
      <w:r>
        <w:t xml:space="preserve">il paziente che dice</w:t>
      </w:r>
      <w:r>
        <w:t xml:space="preserve"> </w:t>
      </w:r>
      <w:r>
        <w:rPr>
          <w:i/>
          <w:iCs/>
        </w:rPr>
        <w:t xml:space="preserve">«gli esami sono a posto ma sto male»</w:t>
      </w:r>
      <w:r>
        <w:t xml:space="preserve"> </w:t>
      </w:r>
      <w:r>
        <w:t xml:space="preserve">non esagera, e non ha bisogno di più farmaco. Il suo dolore ha cambiato natura. Questo ti autorizza a prenderlo sul serio come oggetto distinto. Non ti autorizza a dirgli che la terapia non gli serve più.</w:t>
      </w:r>
    </w:p>
    <w:p>
      <w:r>
        <w:pict>
          <v:rect style="width:0;height:1.5pt" o:hralign="center" o:hrstd="t" o:hr="t"/>
        </w:pict>
      </w:r>
    </w:p>
    <w:bookmarkEnd w:id="37"/>
    <w:bookmarkEnd w:id="38"/>
    <w:bookmarkStart w:id="46"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sette quadri diversi si presentano con la stessa diagnosi scritta sul referto, e su due di loro il tuo margine è quasi solo di riconoscimento.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Malattia attiva, riacutizzazione</w:t>
            </w:r>
          </w:p>
        </w:tc>
        <w:tc>
          <w:tcPr/>
          <w:p>
            <w:pPr>
              <w:pStyle w:val="Compact"/>
            </w:pPr>
            <w:r>
              <w:t xml:space="preserve">Articolazioni calde, indici mossi</w:t>
            </w:r>
          </w:p>
        </w:tc>
        <w:tc>
          <w:tcPr/>
          <w:p>
            <w:pPr>
              <w:pStyle w:val="Compact"/>
            </w:pPr>
            <w:r>
              <w:t xml:space="preserve">La sinovia</w:t>
            </w:r>
          </w:p>
        </w:tc>
        <w:tc>
          <w:tcPr/>
          <w:p>
            <w:pPr>
              <w:pStyle w:val="Compact"/>
            </w:pPr>
            <w:r>
              <w:t xml:space="preserve">Niente sulle sedi, poco intorno</w:t>
            </w:r>
          </w:p>
        </w:tc>
      </w:tr>
      <w:tr>
        <w:tc>
          <w:tcPr/>
          <w:p>
            <w:pPr>
              <w:pStyle w:val="Compact"/>
            </w:pPr>
            <w:r>
              <w:t xml:space="preserve">Malattia controllata, dolore residuo</w:t>
            </w:r>
          </w:p>
        </w:tc>
        <w:tc>
          <w:tcPr/>
          <w:p>
            <w:pPr>
              <w:pStyle w:val="Compact"/>
            </w:pPr>
            <w:r>
              <w:t xml:space="preserve">Indici normali, dolore diffuso</w:t>
            </w:r>
          </w:p>
        </w:tc>
        <w:tc>
          <w:tcPr/>
          <w:p>
            <w:pPr>
              <w:pStyle w:val="Compact"/>
            </w:pPr>
            <w:r>
              <w:t xml:space="preserve">Dolore non infiammatorio</w:t>
            </w:r>
          </w:p>
        </w:tc>
        <w:tc>
          <w:tcPr/>
          <w:p>
            <w:pPr>
              <w:pStyle w:val="Compact"/>
            </w:pPr>
            <w:r>
              <w:t xml:space="preserve">Molto</w:t>
            </w:r>
          </w:p>
        </w:tc>
      </w:tr>
      <w:tr>
        <w:tc>
          <w:tcPr/>
          <w:p>
            <w:pPr>
              <w:pStyle w:val="Compact"/>
            </w:pPr>
            <w:r>
              <w:t xml:space="preserve">Danno consolidato, funzione persa</w:t>
            </w:r>
          </w:p>
        </w:tc>
        <w:tc>
          <w:tcPr/>
          <w:p>
            <w:pPr>
              <w:pStyle w:val="Compact"/>
            </w:pPr>
            <w:r>
              <w:t xml:space="preserve">Deformità fissa, erosioni note</w:t>
            </w:r>
          </w:p>
        </w:tc>
        <w:tc>
          <w:tcPr/>
          <w:p>
            <w:pPr>
              <w:pStyle w:val="Compact"/>
            </w:pPr>
            <w:r>
              <w:t xml:space="preserve">Difesa e compenso</w:t>
            </w:r>
          </w:p>
        </w:tc>
        <w:tc>
          <w:tcPr/>
          <w:p>
            <w:pPr>
              <w:pStyle w:val="Compact"/>
            </w:pPr>
            <w:r>
              <w:t xml:space="preserve">Abbastanza</w:t>
            </w:r>
          </w:p>
        </w:tc>
      </w:tr>
      <w:tr>
        <w:tc>
          <w:tcPr/>
          <w:p>
            <w:pPr>
              <w:pStyle w:val="Compact"/>
            </w:pPr>
            <w:r>
              <w:t xml:space="preserve">Fibromialgia sovrapposta (nociplastico)</w:t>
            </w:r>
          </w:p>
        </w:tc>
        <w:tc>
          <w:tcPr/>
          <w:p>
            <w:pPr>
              <w:pStyle w:val="Compact"/>
            </w:pPr>
            <w:r>
              <w:t xml:space="preserve">Dolore diffuso, DAS28 alto senza sinovite</w:t>
            </w:r>
          </w:p>
        </w:tc>
        <w:tc>
          <w:tcPr/>
          <w:p>
            <w:pPr>
              <w:pStyle w:val="Compact"/>
            </w:pPr>
            <w:r>
              <w:t xml:space="preserve">Sensibilizzazione</w:t>
            </w:r>
          </w:p>
        </w:tc>
        <w:tc>
          <w:tcPr/>
          <w:p>
            <w:pPr>
              <w:pStyle w:val="Compact"/>
            </w:pPr>
            <w:r>
              <w:t xml:space="preserve">Poco, e con altra Bibbia</w:t>
            </w:r>
          </w:p>
        </w:tc>
      </w:tr>
      <w:tr>
        <w:tc>
          <w:tcPr/>
          <w:p>
            <w:pPr>
              <w:pStyle w:val="Compact"/>
            </w:pPr>
            <w:r>
              <w:t xml:space="preserve">Coinvolgimento cervicale alto</w:t>
            </w:r>
          </w:p>
        </w:tc>
        <w:tc>
          <w:tcPr/>
          <w:p>
            <w:pPr>
              <w:pStyle w:val="Compact"/>
            </w:pPr>
            <w:r>
              <w:t xml:space="preserve">Occipite, destrezza, andatura</w:t>
            </w:r>
          </w:p>
        </w:tc>
        <w:tc>
          <w:tcPr/>
          <w:p>
            <w:pPr>
              <w:pStyle w:val="Compact"/>
            </w:pPr>
            <w:r>
              <w:t xml:space="preserve">La sinovia, sul collo</w:t>
            </w:r>
          </w:p>
        </w:tc>
        <w:tc>
          <w:tcPr/>
          <w:p>
            <w:pPr>
              <w:pStyle w:val="Compact"/>
            </w:pPr>
            <w:r>
              <w:t xml:space="preserve">Niente sul collo, il resto sì</w:t>
            </w:r>
          </w:p>
        </w:tc>
      </w:tr>
      <w:tr>
        <w:tc>
          <w:tcPr/>
          <w:p>
            <w:pPr>
              <w:pStyle w:val="Compact"/>
            </w:pPr>
            <w:r>
              <w:t xml:space="preserve">Discordanza monoarticolare</w:t>
            </w:r>
          </w:p>
        </w:tc>
        <w:tc>
          <w:tcPr/>
          <w:p>
            <w:pPr>
              <w:pStyle w:val="Compact"/>
            </w:pPr>
            <w:r>
              <w:t xml:space="preserve">Un’articolazione grossa gonfia, resto spento</w:t>
            </w:r>
          </w:p>
        </w:tc>
        <w:tc>
          <w:tcPr/>
          <w:p>
            <w:pPr>
              <w:pStyle w:val="Compact"/>
            </w:pPr>
            <w:r>
              <w:t xml:space="preserve">Sinovite locale che continua</w:t>
            </w:r>
          </w:p>
        </w:tc>
        <w:tc>
          <w:tcPr/>
          <w:p>
            <w:pPr>
              <w:pStyle w:val="Compact"/>
            </w:pPr>
            <w:r>
              <w:t xml:space="preserve">Niente su quella sede, invio</w:t>
            </w:r>
          </w:p>
        </w:tc>
      </w:tr>
      <w:tr>
        <w:tc>
          <w:tcPr/>
          <w:p>
            <w:pPr>
              <w:pStyle w:val="Compact"/>
            </w:pPr>
            <w:r>
              <w:t xml:space="preserve">Esordio nell’anziano, fragile</w:t>
            </w:r>
          </w:p>
        </w:tc>
        <w:tc>
          <w:tcPr/>
          <w:p>
            <w:pPr>
              <w:pStyle w:val="Compact"/>
            </w:pPr>
            <w:r>
              <w:t xml:space="preserve">Over 65, cingoli, calo di peso, politerapia</w:t>
            </w:r>
          </w:p>
        </w:tc>
        <w:tc>
          <w:tcPr/>
          <w:p>
            <w:pPr>
              <w:pStyle w:val="Compact"/>
            </w:pPr>
            <w:r>
              <w:t xml:space="preserve">La sinovia, su riserva già bassa</w:t>
            </w:r>
          </w:p>
        </w:tc>
        <w:tc>
          <w:tcPr/>
          <w:p>
            <w:pPr>
              <w:pStyle w:val="Compact"/>
            </w:pPr>
            <w:r>
              <w:t xml:space="preserve">Poco, e con l’osso in mente</w:t>
            </w:r>
          </w:p>
        </w:tc>
      </w:tr>
    </w:tbl>
    <w:bookmarkStart w:id="39" w:name="malattia-attiva-in-riacutizzazione"/>
    <w:p>
      <w:pPr>
        <w:pStyle w:val="Heading3"/>
      </w:pPr>
      <w:r>
        <w:t xml:space="preserve">Malattia attiva in riacutizzazione</w:t>
      </w:r>
    </w:p>
    <w:p>
      <w:pPr>
        <w:pStyle w:val="FirstParagraph"/>
      </w:pPr>
      <w:r>
        <w:t xml:space="preserve">Su quelle articolazioni non lavori. C’è un processo attivo che il tuo gesto non modifica e che rende più doloroso il contatto. Resta possibile il lavoro lontano dalle sedi in fiamme, sul respiro e sull’attivazione. Qui vale una regola di lettura:</w:t>
      </w:r>
      <w:r>
        <w:t xml:space="preserve"> </w:t>
      </w:r>
      <w:r>
        <w:rPr>
          <w:b/>
          <w:bCs/>
        </w:rPr>
        <w:t xml:space="preserve">una riacutizzazione non è un fallimento del tuo lavoro né una controindicazione permanente. È una fase, e passa.</w:t>
      </w:r>
    </w:p>
    <w:bookmarkEnd w:id="39"/>
    <w:bookmarkStart w:id="40" w:name="malattia-controllata-con-dolore-residuo"/>
    <w:p>
      <w:pPr>
        <w:pStyle w:val="Heading3"/>
      </w:pPr>
      <w:r>
        <w:t xml:space="preserve">Malattia controllata con dolore residuo</w:t>
      </w:r>
    </w:p>
    <w:p>
      <w:pPr>
        <w:pStyle w:val="FirstParagraph"/>
      </w:pPr>
      <w:r>
        <w:t xml:space="preserve">È il sottotipo su cui questo documento è costruito, ed è il più frequente fra quelli che ti arrivano: una persona che sta male con gli indici a posto. Comandano il secondo, il terzo e il quinto meccanismo — il dolore che è rimasto, la difesa che si è irrigidita, la notte che non ripara — e sono tutti e tre nel tuo campo. Il rischio è opposto a quello del sottotipo precedente: prendere per artrite un dolore che l’artrite non genera più, e trattare la sede sbagliata perché ha il nome giusto.</w:t>
      </w:r>
    </w:p>
    <w:p>
      <w:pPr>
        <w:pStyle w:val="BodyText"/>
      </w:pPr>
      <w:r>
        <w:rPr>
          <w:b/>
          <w:bCs/>
        </w:rPr>
        <w:t xml:space="preserve">E poi c’è la soglia con il sottotipo che gli somiglia, perché è lì che il tuo margine si ribalta.</w:t>
      </w:r>
      <w:r>
        <w:t xml:space="preserve"> </w:t>
      </w:r>
      <w:r>
        <w:t xml:space="preserve">Il dolore residuo diventa «fibromialgia sovrapposta» quando il quadro diffuso soddisfa</w:t>
      </w:r>
      <w:r>
        <w:t xml:space="preserve"> </w:t>
      </w:r>
      <w:r>
        <w:rPr>
          <w:b/>
          <w:bCs/>
        </w:rPr>
        <w:t xml:space="preserve">per intero</w:t>
      </w:r>
      <w:r>
        <w:t xml:space="preserve"> </w:t>
      </w:r>
      <w:r>
        <w:t xml:space="preserve">i criteri 2016: dolore diffuso, stanchezza e sonno non ristoratore insieme e stabili. Non quando uno dei tre compare accanto al dolore articolare.</w:t>
      </w:r>
    </w:p>
    <w:bookmarkEnd w:id="40"/>
    <w:bookmarkStart w:id="41" w:name="danno-strutturale-consolidato"/>
    <w:p>
      <w:pPr>
        <w:pStyle w:val="Heading3"/>
      </w:pPr>
      <w:r>
        <w:t xml:space="preserve">Danno strutturale consolidato</w:t>
      </w:r>
    </w:p>
    <w:p>
      <w:pPr>
        <w:pStyle w:val="FirstParagraph"/>
      </w:pPr>
      <w:r>
        <w:t xml:space="preserve">La forma non torna indietro, e prometterlo è il modo più rapido di perdere la fiducia. Si muove invece la</w:t>
      </w:r>
      <w:r>
        <w:t xml:space="preserve"> </w:t>
      </w:r>
      <w:r>
        <w:rPr>
          <w:b/>
          <w:bCs/>
        </w:rPr>
        <w:t xml:space="preserve">funzione intorno alla forma</w:t>
      </w:r>
      <w:r>
        <w:t xml:space="preserve">: l’escursione delle articolazioni vicine, la forza che regge il gesto, la presa possibile che sostituisce quella impossibile, il passo. Chi ha dita che non chiudono può guadagnare autonomia senza guadagnare un grado sulle dita. È la pentola ammaccata che cuoce lo stesso: la forma non torna, e serve ancora.</w:t>
      </w:r>
    </w:p>
    <w:bookmarkEnd w:id="41"/>
    <w:bookmarkStart w:id="42" w:name="fibromialgia-sovrapposta"/>
    <w:p>
      <w:pPr>
        <w:pStyle w:val="Heading3"/>
      </w:pPr>
      <w:r>
        <w:t xml:space="preserve">Fibromialgia sovrapposta</w:t>
      </w:r>
    </w:p>
    <w:p>
      <w:pPr>
        <w:pStyle w:val="FirstParagraph"/>
      </w:pPr>
      <w:r>
        <w:t xml:space="preserve">Quattro pazienti su dieci (Shresher, 2019, PMID 31377829). È il sottotipo</w:t>
      </w:r>
      <w:r>
        <w:t xml:space="preserve"> </w:t>
      </w:r>
      <w:r>
        <w:rPr>
          <w:b/>
          <w:bCs/>
        </w:rPr>
        <w:t xml:space="preserve">nociplastico</w:t>
      </w:r>
      <w:r>
        <w:t xml:space="preserve">, e chiamarlo con la sua parola serve a non cercarci dentro un danno che non c’è. Il segnale è la discordanza: dolore diffuso e continuo, stanchezza, sonno non ristoratore, e attività di malattia alta</w:t>
      </w:r>
      <w:r>
        <w:t xml:space="preserve"> </w:t>
      </w:r>
      <w:r>
        <w:rPr>
          <w:b/>
          <w:bCs/>
        </w:rPr>
        <w:t xml:space="preserve">senza</w:t>
      </w:r>
      <w:r>
        <w:t xml:space="preserve"> </w:t>
      </w:r>
      <w:r>
        <w:t xml:space="preserve">un numero di articolazioni gonfie che lo giustifichi. La condotta è quella sulla fibromialgia, e si rimanda a quella Bibbia: aspettativa dichiarata prima di cominciare, e lavoro sui generatori regionali dentro il quadro diffuso.</w:t>
      </w:r>
    </w:p>
    <w:p>
      <w:pPr>
        <w:pStyle w:val="BodyText"/>
      </w:pPr>
      <w:r>
        <w:rPr>
          <w:b/>
          <w:bCs/>
        </w:rPr>
        <w:t xml:space="preserve">E il margine è più stretto di quanto sembri.</w:t>
      </w:r>
      <w:r>
        <w:t xml:space="preserve"> </w:t>
      </w:r>
      <w:r>
        <w:t xml:space="preserve">La panoramica delle revisioni sulle tecniche osteopatiche riporta che negli adulti con fibromialgia il trattamento osteopatico non ha dato sollievo (Zipp, 2025, PMID 40325655). Il rinvio all’altra Bibbia non cancella quel segnale.</w:t>
      </w:r>
    </w:p>
    <w:bookmarkEnd w:id="42"/>
    <w:bookmarkStart w:id="43" w:name="coinvolgimento-cervicale-alto"/>
    <w:p>
      <w:pPr>
        <w:pStyle w:val="Heading3"/>
      </w:pPr>
      <w:r>
        <w:t xml:space="preserve">Coinvolgimento cervicale alto</w:t>
      </w:r>
    </w:p>
    <w:p>
      <w:pPr>
        <w:pStyle w:val="FirstParagraph"/>
      </w:pPr>
      <w:r>
        <w:t xml:space="preserve">I segnali sono questi: dolore occipitale che sale, scatto o cedimento nel movimento del collo, destrezza fine che cala, formicolii, andatura cambiata. E poi la descrizione rara e importantissima di dover sostenere la testa con le mani per alzarsi. Anche uno solo di questi segnali, e il collo non è tuo oggi: va al reumatologo con una comunicazione scritta.</w:t>
      </w:r>
    </w:p>
    <w:p>
      <w:pPr>
        <w:pStyle w:val="BodyText"/>
      </w:pPr>
      <w:r>
        <w:rPr>
          <w:b/>
          <w:bCs/>
        </w:rPr>
        <w:t xml:space="preserve">E qui sta la differenza da ogni altro sottotipo.</w:t>
      </w:r>
      <w:r>
        <w:t xml:space="preserve"> </w:t>
      </w:r>
      <w:r>
        <w:t xml:space="preserve">L’instabilità può esserci senza nessun sintomo (Song, 2026, PMID 42292559). Quindi l’assenza dei segnali non ti autorizza a considerare il collo alto un distretto normale.</w:t>
      </w:r>
    </w:p>
    <w:p>
      <w:pPr>
        <w:pStyle w:val="BodyText"/>
      </w:pPr>
      <w:r>
        <w:rPr>
          <w:b/>
          <w:bCs/>
        </w:rPr>
        <w:t xml:space="preserve">E adesso la parte che si dimentica.</w:t>
      </w:r>
      <w:r>
        <w:t xml:space="preserve"> </w:t>
      </w:r>
      <w:r>
        <w:t xml:space="preserve">Fuori dal tuo campo è</w:t>
      </w:r>
      <w:r>
        <w:t xml:space="preserve"> </w:t>
      </w:r>
      <w:r>
        <w:rPr>
          <w:b/>
          <w:bCs/>
        </w:rPr>
        <w:t xml:space="preserve">il collo</w:t>
      </w:r>
      <w:r>
        <w:t xml:space="preserve">, non</w:t>
      </w:r>
      <w:r>
        <w:t xml:space="preserve"> </w:t>
      </w:r>
      <w:r>
        <w:rPr>
          <w:b/>
          <w:bCs/>
        </w:rPr>
        <w:t xml:space="preserve">il paziente</w:t>
      </w:r>
      <w:r>
        <w:t xml:space="preserve">. Quella persona ha le stesse mani, gli stessi piedi e le stesse notti degli altri, e in più una ragione seria per essere spaventata. Dopo l’invio, con la valutazione in mano, il resto del corpo torna trattabile. Il rachide cervicale resta però escluso in modo permanente da ogni contatto diretto e da ogni tecnica a leva, qualunque cosa dica il referto. Mandare via il paziente invece del distretto chiude l’ultima porta che gli era rimasta.</w:t>
      </w:r>
    </w:p>
    <w:bookmarkEnd w:id="43"/>
    <w:bookmarkStart w:id="44" w:name="discordanza-monoarticolare"/>
    <w:p>
      <w:pPr>
        <w:pStyle w:val="Heading3"/>
      </w:pPr>
      <w:r>
        <w:t xml:space="preserve">Discordanza monoarticolare</w:t>
      </w:r>
    </w:p>
    <w:p>
      <w:pPr>
        <w:pStyle w:val="FirstParagraph"/>
      </w:pPr>
      <w:r>
        <w:t xml:space="preserve">Tutto tranquillo, e</w:t>
      </w:r>
      <w:r>
        <w:t xml:space="preserve"> </w:t>
      </w:r>
      <w:r>
        <w:rPr>
          <w:b/>
          <w:bCs/>
        </w:rPr>
        <w:t xml:space="preserve">una</w:t>
      </w:r>
      <w:r>
        <w:t xml:space="preserve"> </w:t>
      </w:r>
      <w:r>
        <w:t xml:space="preserve">articolazione grossa gonfia da mesi: di solito un ginocchio o un polso. Non è una riacutizzazione, perché il resto è spento. Non è una settica, perché non è calda e non c’è febbre. Finirebbe dentro «malattia controllata con dolore residuo», ed è la classificazione sbagliata: lì c’è una sinovite locale che continua, e va vista, non letta come compenso. Sulla sede non si lavora, intorno sì, e la comunicazione al reumatologo parte lo stesso giorno.</w:t>
      </w:r>
    </w:p>
    <w:bookmarkEnd w:id="44"/>
    <w:bookmarkStart w:id="45" w:name="esordio-nellanziano-fragile"/>
    <w:p>
      <w:pPr>
        <w:pStyle w:val="Heading3"/>
      </w:pPr>
      <w:r>
        <w:t xml:space="preserve">Esordio nell’anziano, fragile</w:t>
      </w:r>
    </w:p>
    <w:p>
      <w:pPr>
        <w:pStyle w:val="FirstParagraph"/>
      </w:pPr>
      <w:r>
        <w:t xml:space="preserve">Il quadro somiglia a una polimialgia (Pavlov-Dolijanovic, 2023, PMID 37893596). Non cambia il ragionamento: cambia il materiale. Muscolo già ridotto prima della malattia, osso fragile, politerapia, equilibrio incerto. La catena della difesa parte da una riserva già consumata, e il dorso su cui lavoreresti è lo stesso in cui questo paziente si frattura.</w:t>
      </w:r>
    </w:p>
    <w:p>
      <w:pPr>
        <w:pStyle w:val="BlockText"/>
      </w:pPr>
      <w:r>
        <w:rPr>
          <w:b/>
          <w:bCs/>
        </w:rPr>
        <w:t xml:space="preserve">Condizioni spesso associate:</w:t>
      </w:r>
      <w:r>
        <w:t xml:space="preserve"> </w:t>
      </w:r>
      <w:r>
        <w:t xml:space="preserve">dolore diffuso e sonno non ristoratore → Bibbia di Fibromialgia, che condivide il meccanismo del dolore non infiammatorio. Dolore articolare senza diagnosi reumatologica → Dolori articolari. Rigidità di pochi minuti con dolore da uso → Artrosi. Stanchezza dominante → Affaticamento cronico e Disturbi del sonno, che condividono l’anello sonno-infiammazione-soglia.</w:t>
      </w:r>
    </w:p>
    <w:p>
      <w:pPr>
        <w:pStyle w:val="FirstParagraph"/>
      </w:pPr>
      <w:r>
        <w:rPr>
          <w:b/>
          <w:bCs/>
        </w:rPr>
        <w:t xml:space="preserve">Le tre cose da ricordare, più una</w:t>
      </w:r>
    </w:p>
    <w:p>
      <w:pPr>
        <w:pStyle w:val="Compact"/>
        <w:numPr>
          <w:ilvl w:val="0"/>
          <w:numId w:val="1016"/>
        </w:numPr>
      </w:pPr>
      <w:r>
        <w:t xml:space="preserve">Il sottotipo che tratti meglio è quello in cui la malattia è controllata e il paziente sta comunque male.</w:t>
      </w:r>
    </w:p>
    <w:p>
      <w:pPr>
        <w:pStyle w:val="Compact"/>
        <w:numPr>
          <w:ilvl w:val="0"/>
          <w:numId w:val="1016"/>
        </w:numPr>
      </w:pPr>
      <w:r>
        <w:t xml:space="preserve">Sul danno consolidato si guadagna funzione, mai forma: prometterlo è il modo più rapido di perdere la fiducia.</w:t>
      </w:r>
    </w:p>
    <w:p>
      <w:pPr>
        <w:pStyle w:val="Compact"/>
        <w:numPr>
          <w:ilvl w:val="0"/>
          <w:numId w:val="1016"/>
        </w:numPr>
      </w:pPr>
      <w:r>
        <w:t xml:space="preserve">Nel coinvolgimento cervicale alto esce dal tuo campo il collo, non il paziente.</w:t>
      </w:r>
    </w:p>
    <w:p>
      <w:pPr>
        <w:pStyle w:val="Compact"/>
        <w:numPr>
          <w:ilvl w:val="0"/>
          <w:numId w:val="1016"/>
        </w:numPr>
      </w:pPr>
      <w:r>
        <w:rPr>
          <w:b/>
          <w:bCs/>
        </w:rPr>
        <w:t xml:space="preserve">Perché ci sei tu.</w:t>
      </w:r>
      <w:r>
        <w:t xml:space="preserve"> </w:t>
      </w:r>
      <w:r>
        <w:t xml:space="preserve">Su questo sottotipo non ci sei. L’instabilità stabilita progredisce nonostante i farmaci moderni, può portare a mielopatia e morte improvvisa, e molti pazienti restano poco sintomatici fino a tardi (Song, 2026, PMID 42292559). Questo ti autorizza a riconoscerlo e a mandarlo, e a essere spesso il primo a porre la domanda. Non ti autorizza a trattarlo.</w:t>
      </w:r>
    </w:p>
    <w:p>
      <w:r>
        <w:pict>
          <v:rect style="width:0;height:1.5pt" o:hralign="center" o:hrstd="t" o:hr="t"/>
        </w:pict>
      </w:r>
    </w:p>
    <w:bookmarkEnd w:id="45"/>
    <w:bookmarkEnd w:id="46"/>
    <w:bookmarkStart w:id="52"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comandano il Neurologico e il Comportamentale, e le prove migliori del documento appartengono al Biomeccanico e non passano dalle tue mani.</w:t>
      </w:r>
    </w:p>
    <w:p>
      <w:pPr>
        <w:pStyle w:val="FirstParagraph"/>
      </w:pPr>
      <w:r>
        <w:rPr>
          <w:b/>
          <w:bCs/>
        </w:rPr>
        <w:t xml:space="preserve">L’ordine di questo capitolo è la gerarchia, non l’alfabeto.</w:t>
      </w:r>
      <w:r>
        <w:t xml:space="preserve"> </w:t>
      </w:r>
      <w:r>
        <w:t xml:space="preserve">Comandano il Neurologico e il Comportamentale, come in ogni quadro di dolore cronico. Il Biomeccanico è dove sta il lavoro. Il Metabolico sposta il fondo. Il Respiratorio è</w:t>
      </w:r>
      <w:r>
        <w:t xml:space="preserve"> </w:t>
      </w:r>
      <w:r>
        <w:rPr>
          <w:b/>
          <w:bCs/>
        </w:rPr>
        <w:t xml:space="preserve">accessorio</w:t>
      </w:r>
      <w:r>
        <w:t xml:space="preserve">. La Road Map segue lo stesso ordine.</w:t>
      </w:r>
    </w:p>
    <w:bookmarkStart w:id="47" w:name="neurologico"/>
    <w:p>
      <w:pPr>
        <w:pStyle w:val="Heading3"/>
      </w:pPr>
      <w:r>
        <w:t xml:space="preserve">Neurologico</w:t>
      </w:r>
    </w:p>
    <w:p>
      <w:pPr>
        <w:pStyle w:val="FirstParagraph"/>
      </w:pPr>
      <w:r>
        <w:rPr>
          <w:b/>
          <w:bCs/>
        </w:rPr>
        <w:t xml:space="preserve">Cosa governa qui.</w:t>
      </w:r>
      <w:r>
        <w:t xml:space="preserve"> </w:t>
      </w:r>
      <w:r>
        <w:t xml:space="preserve">Il livello di attivazione, e la soglia a cui un segnale articolare diventa dolore. Governa anche la parte specifica di questa condizione: la regolazione autonomica dell’infiammazione.</w:t>
      </w:r>
    </w:p>
    <w:p>
      <w:pPr>
        <w:pStyle w:val="BodyText"/>
      </w:pPr>
      <w:r>
        <w:rPr>
          <w:b/>
          <w:bCs/>
        </w:rPr>
        <w:t xml:space="preserve">Quali meccanismi governa.</w:t>
      </w:r>
      <w:r>
        <w:t xml:space="preserve"> </w:t>
      </w:r>
      <w:r>
        <w:t xml:space="preserve">«Il dolore che resta» e «La notte che non ripara».</w:t>
      </w:r>
    </w:p>
    <w:p>
      <w:pPr>
        <w:pStyle w:val="BodyText"/>
      </w:pPr>
      <w:r>
        <w:rPr>
          <w:b/>
          <w:bCs/>
        </w:rPr>
        <w:t xml:space="preserve">Gli attori.</w:t>
      </w:r>
      <w:r>
        <w:t xml:space="preserve"> </w:t>
      </w:r>
      <w:r>
        <w:t xml:space="preserve">Il nervo vago, il sistema nervoso autonomo, le vie nocicettive centrali.</w:t>
      </w:r>
    </w:p>
    <w:p>
      <w:pPr>
        <w:pStyle w:val="BodyText"/>
      </w:pPr>
      <w:r>
        <w:rPr>
          <w:b/>
          <w:bCs/>
        </w:rPr>
        <w:t xml:space="preserve">I segnali che ti dicono che pesa in questo paziente.</w:t>
      </w:r>
      <w:r>
        <w:t xml:space="preserve"> </w:t>
      </w:r>
      <w:r>
        <w:t xml:space="preserve">Dolore che si diffonde oltre le sedi malate e cambia posto. Una pressione che fa male dove la malattia non arriva — trapezio, letto ungueale del pollice — a un livello che in un’altra persona non farebbe male. Un sistema che non trova pace, con sonno rotto e stanchezza che il riposo non toglie.</w:t>
      </w:r>
      <w:r>
        <w:t xml:space="preserve"> </w:t>
      </w:r>
      <w:r>
        <w:rPr>
          <w:i/>
          <w:iCs/>
        </w:rPr>
        <w:t xml:space="preserve">Non</w:t>
      </w:r>
      <w:r>
        <w:t xml:space="preserve"> </w:t>
      </w:r>
      <w:r>
        <w:t xml:space="preserve">«tessuti che rimbalzano ogni correzione»: quello è un reperto palpatorio, e su 49 studi l’accordo fra esaminatori sui test palpatori dei tessuti molli paraspinali è dello</w:t>
      </w:r>
      <w:r>
        <w:t xml:space="preserve"> </w:t>
      </w:r>
      <w:r>
        <w:rPr>
          <w:b/>
          <w:bCs/>
        </w:rPr>
        <w:t xml:space="preserve">0%</w:t>
      </w:r>
      <w:r>
        <w:t xml:space="preserve">, contro il 64% dei test di provocazione del dolore (Seffinger, 2004, PMID 15454722).</w:t>
      </w:r>
    </w:p>
    <w:p>
      <w:pPr>
        <w:pStyle w:val="BodyText"/>
      </w:pPr>
      <w:r>
        <w:rPr>
          <w:b/>
          <w:bCs/>
        </w:rPr>
        <w:t xml:space="preserve">Cosa possiede fra gli strumenti attivi.</w:t>
      </w:r>
      <w:r>
        <w:t xml:space="preserve"> </w:t>
      </w:r>
      <w:r>
        <w:t xml:space="preserve">Niente di suo. La leva è manuale e relazionale, e porta l’etichetta più bassa del documento.</w:t>
      </w:r>
    </w:p>
    <w:p>
      <w:pPr>
        <w:pStyle w:val="BlockText"/>
      </w:pPr>
      <w:r>
        <w:rPr>
          <w:b/>
          <w:bCs/>
        </w:rPr>
        <w:t xml:space="preserve">Quanto è solido:</w:t>
      </w:r>
      <w:r>
        <w:t xml:space="preserve"> </w:t>
      </w:r>
      <w:r>
        <w:t xml:space="preserve">l’etichetta si spezza, perché i pezzi non hanno la stessa forza.</w:t>
      </w:r>
      <w:r>
        <w:t xml:space="preserve"> </w:t>
      </w:r>
      <w:r>
        <w:t xml:space="preserve">Che in questi pazienti la regolazione parasimpatica sia ridotta:</w:t>
      </w:r>
      <w:r>
        <w:t xml:space="preserve"> </w:t>
      </w:r>
      <w:r>
        <w:rPr>
          <w:b/>
          <w:bCs/>
        </w:rPr>
        <w:t xml:space="preserve">DIMOSTRATO</w:t>
      </w:r>
      <w:r>
        <w:t xml:space="preserve"> </w:t>
      </w:r>
      <w:r>
        <w:rPr>
          <w:i/>
          <w:iCs/>
        </w:rPr>
        <w:t xml:space="preserve">(studi sull’uomo, solidi)</w:t>
      </w:r>
      <w:r>
        <w:t xml:space="preserve"> </w:t>
      </w:r>
      <w:r>
        <w:t xml:space="preserve">— Provan, 2018, PMID 29291895.</w:t>
      </w:r>
      <w:r>
        <w:t xml:space="preserve"> </w:t>
      </w:r>
      <w:r>
        <w:t xml:space="preserve">Che stimolare il vago riduca l’attività di malattia:</w:t>
      </w:r>
      <w:r>
        <w:t xml:space="preserve"> </w:t>
      </w:r>
      <w:r>
        <w:rPr>
          <w:b/>
          <w:bCs/>
        </w:rPr>
        <w:t xml:space="preserve">DIMOSTRATO</w:t>
      </w:r>
      <w:r>
        <w:t xml:space="preserve"> </w:t>
      </w:r>
      <w:r>
        <w:rPr>
          <w:i/>
          <w:iCs/>
        </w:rPr>
        <w:t xml:space="preserve">(studi sull’uomo, solidi)</w:t>
      </w:r>
      <w:r>
        <w:t xml:space="preserve"> </w:t>
      </w:r>
      <w:r>
        <w:t xml:space="preserve">— 35,2% contro 24,2% con il dispositivo spento (Tesser, 2026, PMID 41429981). Un elettrodo, non una mano.</w:t>
      </w:r>
      <w:r>
        <w:t xml:space="preserve"> </w:t>
      </w:r>
      <w:r>
        <w:t xml:space="preserve">Che il tocco osteopatico modifichi il livello di attivazione:</w:t>
      </w:r>
      <w:r>
        <w:t xml:space="preserve"> </w:t>
      </w:r>
      <w:r>
        <w:rPr>
          <w:b/>
          <w:bCs/>
        </w:rPr>
        <w:t xml:space="preserve">IPOTESI</w:t>
      </w:r>
      <w:r>
        <w:t xml:space="preserve"> </w:t>
      </w:r>
      <w:r>
        <w:rPr>
          <w:i/>
          <w:iCs/>
        </w:rPr>
        <w:t xml:space="preserve">(meccanismo coerente, nessuno studio)</w:t>
      </w:r>
      <w:r>
        <w:t xml:space="preserve"> </w:t>
      </w:r>
      <w:r>
        <w:t xml:space="preserve">— sul livello tonico, in questa condizione, nessuno ha misurato niente.</w:t>
      </w:r>
    </w:p>
    <w:bookmarkEnd w:id="47"/>
    <w:bookmarkStart w:id="48"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Cosa il paziente crede della malattia, quanto teme il movimento, quanto si aspetta da te, quanto si sente creduto.</w:t>
      </w:r>
    </w:p>
    <w:p>
      <w:pPr>
        <w:pStyle w:val="BodyText"/>
      </w:pPr>
      <w:r>
        <w:rPr>
          <w:b/>
          <w:bCs/>
        </w:rPr>
        <w:t xml:space="preserve">Quali meccanismi governa.</w:t>
      </w:r>
      <w:r>
        <w:t xml:space="preserve"> </w:t>
      </w:r>
      <w:r>
        <w:t xml:space="preserve">«Il dolore che resta», per la parte di comportamento, e «La difesa che si irrigidisce», per l’evitamento.</w:t>
      </w:r>
    </w:p>
    <w:p>
      <w:pPr>
        <w:pStyle w:val="BodyText"/>
      </w:pPr>
      <w:r>
        <w:rPr>
          <w:b/>
          <w:bCs/>
        </w:rPr>
        <w:t xml:space="preserve">Gli attori.</w:t>
      </w:r>
      <w:r>
        <w:t xml:space="preserve"> </w:t>
      </w:r>
      <w:r>
        <w:t xml:space="preserve">Le credenze sul danno, la paura delle deformità viste nelle foto, l’aspettativa sul trattamento, il tono dell’umore.</w:t>
      </w:r>
    </w:p>
    <w:p>
      <w:pPr>
        <w:pStyle w:val="BodyText"/>
      </w:pPr>
      <w:r>
        <w:rPr>
          <w:b/>
          <w:bCs/>
        </w:rPr>
        <w:t xml:space="preserve">I segnali che ti dicono che pesa in questo paziente.</w:t>
      </w:r>
      <w:r>
        <w:t xml:space="preserve"> </w:t>
      </w:r>
      <w:r>
        <w:t xml:space="preserve">Evita gesti che potrebbe fare, per paura di consumare l’articolazione. Ha smesso di programmare, e di dire ai familiari che sta male. Racconta la malattia come una condanna già scritta.</w:t>
      </w:r>
    </w:p>
    <w:p>
      <w:pPr>
        <w:pStyle w:val="BodyText"/>
      </w:pPr>
      <w:r>
        <w:rPr>
          <w:b/>
          <w:bCs/>
        </w:rPr>
        <w:t xml:space="preserve">Perché è dominante e non di contorno.</w:t>
      </w:r>
      <w:r>
        <w:t xml:space="preserve"> </w:t>
      </w:r>
      <w:r>
        <w:t xml:space="preserve">I predittori del dolore inaccettabile a cinque anni sono due: un numero</w:t>
      </w:r>
      <w:r>
        <w:t xml:space="preserve"> </w:t>
      </w:r>
      <w:r>
        <w:rPr>
          <w:b/>
          <w:bCs/>
        </w:rPr>
        <w:t xml:space="preserve">minore</w:t>
      </w:r>
      <w:r>
        <w:t xml:space="preserve"> </w:t>
      </w:r>
      <w:r>
        <w:t xml:space="preserve">di articolazioni gonfie, e punteggi più alti riferiti dal paziente (Eberhard, 2021, PMID 34127054). Il predittore del dolore residuo dopo metotrexato è una disabilità basale più alta (Altawil, 2016, PMID 26784398). Nessuno dei due è un reperto strutturale: l’esito che questa Bibbia rivendica come proprio è predetto da variabili di questo modello. La depressione maggiore, poi, riguarda il 16,8% di questi pazienti ed è associata a esiti peggiori (Matcham, 2013, PMID 24003249).</w:t>
      </w:r>
    </w:p>
    <w:p>
      <w:pPr>
        <w:pStyle w:val="BodyText"/>
      </w:pPr>
      <w:r>
        <w:t xml:space="preserve">Su quel piano una sintesi di ciò che facciamo noi esiste. Venti studi randomizzati di interventi manuali osteopatici mostrano una riduzione della depressione. La dimensione è un g di Hedges di −0,47, e sale a −0,61 nelle popolazioni con dolore. Gli autori dichiarano però incertezza ed eterogeneità (Gordon, 2025, PMID 39920074) — misurato su adulti con condizioni varie, di cui una parte con dolore, e su punteggi di depressione, ansia e stress, non su pazienti con artrite reumatoide e non sul dolore articolare. Quella sintesi alza il</w:t>
      </w:r>
      <w:r>
        <w:t xml:space="preserve"> </w:t>
      </w:r>
      <w:r>
        <w:rPr>
          <w:b/>
          <w:bCs/>
        </w:rPr>
        <w:t xml:space="preserve">meccanismo</w:t>
      </w:r>
      <w:r>
        <w:t xml:space="preserve">; la leva su questa condizione resta IPOTESI.</w:t>
      </w:r>
    </w:p>
    <w:p>
      <w:pPr>
        <w:pStyle w:val="BodyText"/>
      </w:pPr>
      <w:r>
        <w:rPr>
          <w:b/>
          <w:bCs/>
        </w:rPr>
        <w:t xml:space="preserve">Cosa possiede fra gli strumenti attivi.</w:t>
      </w:r>
      <w:r>
        <w:t xml:space="preserve"> </w:t>
      </w:r>
      <w:r>
        <w:t xml:space="preserve">Gli interventi psicosociali, con dieci persone da trattare per un beneficio sulla stanchezza (Cramp, 2013, PMID 23975674). Negli studi li erogano psicologi e terapisti formati, non osteopati.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l’effetto degli interventi psicosociali sulla stanchezza in questa condizione. L’effetto è piccolo e le prove sono di qualità</w:t>
      </w:r>
      <w:r>
        <w:t xml:space="preserve"> </w:t>
      </w:r>
      <w:r>
        <w:rPr>
          <w:b/>
          <w:bCs/>
        </w:rPr>
        <w:t xml:space="preserve">bassa</w:t>
      </w:r>
      <w:r>
        <w:t xml:space="preserve">, dichiarata dagli autori (Cramp, 2013, PMID 23975674): la qualità è ciò che l’etichetta misura, non una qualifica da aggiungere alla frase. Per il tuo counseling in stanza:</w:t>
      </w:r>
      <w:r>
        <w:t xml:space="preserve"> </w:t>
      </w:r>
      <w:r>
        <w:rPr>
          <w:b/>
          <w:bCs/>
        </w:rPr>
        <w:t xml:space="preserve">RAGIONAMENTO</w:t>
      </w:r>
      <w:r>
        <w:t xml:space="preserve"> </w:t>
      </w:r>
      <w:r>
        <w:rPr>
          <w:i/>
          <w:iCs/>
        </w:rPr>
        <w:t xml:space="preserve">(cornice clinica, non una prova)</w:t>
      </w:r>
      <w:r>
        <w:t xml:space="preserve">.</w:t>
      </w:r>
    </w:p>
    <w:bookmarkEnd w:id="48"/>
    <w:bookmarkStart w:id="49" w:name="biomeccanico-strutturale"/>
    <w:p>
      <w:pPr>
        <w:pStyle w:val="Heading3"/>
      </w:pPr>
      <w:r>
        <w:t xml:space="preserve">Biomeccanico-Strutturale</w:t>
      </w:r>
    </w:p>
    <w:p>
      <w:pPr>
        <w:pStyle w:val="FirstParagraph"/>
      </w:pPr>
      <w:r>
        <w:rPr>
          <w:b/>
          <w:bCs/>
        </w:rPr>
        <w:t xml:space="preserve">Cosa governa qui.</w:t>
      </w:r>
      <w:r>
        <w:t xml:space="preserve"> </w:t>
      </w:r>
      <w:r>
        <w:t xml:space="preserve">L’escursione disponibile fuori dalle sedi malate. La forza che protegge le articolazioni. E la geometria dei gesti quando la presa non c’è più o il passo fa male.</w:t>
      </w:r>
    </w:p>
    <w:p>
      <w:pPr>
        <w:pStyle w:val="BodyText"/>
      </w:pPr>
      <w:r>
        <w:rPr>
          <w:b/>
          <w:bCs/>
        </w:rPr>
        <w:t xml:space="preserve">Quali meccanismi governa.</w:t>
      </w:r>
      <w:r>
        <w:t xml:space="preserve"> </w:t>
      </w:r>
      <w:r>
        <w:t xml:space="preserve">«La difesa che si irrigidisce» e «Il corpo che paga il conto altrove».</w:t>
      </w:r>
    </w:p>
    <w:p>
      <w:pPr>
        <w:pStyle w:val="BodyText"/>
      </w:pPr>
      <w:r>
        <w:rPr>
          <w:b/>
          <w:bCs/>
        </w:rPr>
        <w:t xml:space="preserve">Gli attori.</w:t>
      </w:r>
      <w:r>
        <w:t xml:space="preserve"> </w:t>
      </w:r>
      <w:r>
        <w:t xml:space="preserve">Metacarpo-falangee e interfalangee prossimali, polso, tendini estensori e loro guaine, cingolo scapolare, rachide toracico,</w:t>
      </w:r>
      <w:r>
        <w:t xml:space="preserve"> </w:t>
      </w:r>
      <w:r>
        <w:rPr>
          <w:b/>
          <w:bCs/>
        </w:rPr>
        <w:t xml:space="preserve">metatarso-falangee, caviglia e retropiede</w:t>
      </w:r>
      <w:r>
        <w:t xml:space="preserve">. E la muscolatura come massa e come forza, oggetto condiviso con il Metabolico, perché la sua perdita non è solo disuso.</w:t>
      </w:r>
    </w:p>
    <w:p>
      <w:pPr>
        <w:pStyle w:val="BodyText"/>
      </w:pPr>
      <w:r>
        <w:rPr>
          <w:b/>
          <w:bCs/>
        </w:rPr>
        <w:t xml:space="preserve">I segnali che ti dicono che pesa in questo paziente.</w:t>
      </w:r>
      <w:r>
        <w:t xml:space="preserve"> </w:t>
      </w:r>
      <w:r>
        <w:t xml:space="preserve">Escursione ridotta in distretti che la malattia non coinvolge. Presa che cede prima che compaia il dolore. Un gesto quotidiano eseguito in modo visibilmente sostitutivo. Dolore in sede nuova comparso mesi dopo la diagnosi.</w:t>
      </w:r>
    </w:p>
    <w:p>
      <w:pPr>
        <w:pStyle w:val="BodyText"/>
      </w:pPr>
      <w:r>
        <w:rPr>
          <w:b/>
          <w:bCs/>
        </w:rPr>
        <w:t xml:space="preserve">Cosa possiede fra gli strumenti attivi.</w:t>
      </w:r>
      <w:r>
        <w:t xml:space="preserve"> </w:t>
      </w:r>
      <w:r>
        <w:t xml:space="preserve">L’esercizio della mano e l’allenamento aerobico e di forza: le due leve con le prove migliori dell’intero documento.</w:t>
      </w:r>
      <w:r>
        <w:t xml:space="preserve"> </w:t>
      </w:r>
      <w:r>
        <w:rPr>
          <w:b/>
          <w:bCs/>
        </w:rPr>
        <w:t xml:space="preserve">Non passano dalle tue mani.</w:t>
      </w:r>
    </w:p>
    <w:p>
      <w:pPr>
        <w:pStyle w:val="BlockText"/>
      </w:pPr>
      <w:r>
        <w:rPr>
          <w:b/>
          <w:bCs/>
        </w:rPr>
        <w:t xml:space="preserve">Quanto è solido:</w:t>
      </w:r>
      <w:r>
        <w:t xml:space="preserve"> </w:t>
      </w:r>
      <w:r>
        <w:t xml:space="preserve">l’etichetta si spezza, perché i pezzi non hanno la stessa forza.</w:t>
      </w:r>
      <w:r>
        <w:t xml:space="preserve"> </w:t>
      </w:r>
      <w:r>
        <w:t xml:space="preserve">L’esercizio come leva di questo modello:</w:t>
      </w:r>
      <w:r>
        <w:t xml:space="preserve"> </w:t>
      </w:r>
      <w:r>
        <w:rPr>
          <w:b/>
          <w:bCs/>
        </w:rPr>
        <w:t xml:space="preserve">DIMOSTRATO</w:t>
      </w:r>
      <w:r>
        <w:t xml:space="preserve"> </w:t>
      </w:r>
      <w:r>
        <w:rPr>
          <w:i/>
          <w:iCs/>
        </w:rPr>
        <w:t xml:space="preserve">(studi sull’uomo, solidi)</w:t>
      </w:r>
      <w:r>
        <w:t xml:space="preserve"> </w:t>
      </w:r>
      <w:r>
        <w:t xml:space="preserve">— Lamb, 2015, PMID 25308290; Hurkmans, 2009, PMID 19821388.</w:t>
      </w:r>
      <w:r>
        <w:t xml:space="preserve"> </w:t>
      </w:r>
      <w:r>
        <w:t xml:space="preserve">Il lavoro manuale su escursione e compensi come leva di questo modello su questa condizione:</w:t>
      </w:r>
      <w:r>
        <w:t xml:space="preserve"> </w:t>
      </w:r>
      <w:r>
        <w:rPr>
          <w:b/>
          <w:bCs/>
        </w:rPr>
        <w:t xml:space="preserve">IPOTESI</w:t>
      </w:r>
      <w:r>
        <w:t xml:space="preserve"> </w:t>
      </w:r>
      <w:r>
        <w:rPr>
          <w:i/>
          <w:iCs/>
        </w:rPr>
        <w:t xml:space="preserve">(meccanismo coerente, nessuno studio)</w:t>
      </w:r>
      <w:r>
        <w:t xml:space="preserve"> </w:t>
      </w:r>
      <w:r>
        <w:t xml:space="preserve">— un solo studio, su 42 persone e senza braccio inattivo (Field, 2013, PMID 23561068), letto per esteso in «Perché le mani possono cambiare qualcosa». È l’unico esito biomeccanico che esista qui.</w:t>
      </w:r>
    </w:p>
    <w:bookmarkEnd w:id="49"/>
    <w:bookmarkStart w:id="50" w:name="metabolico-energetico"/>
    <w:p>
      <w:pPr>
        <w:pStyle w:val="Heading3"/>
      </w:pPr>
      <w:r>
        <w:t xml:space="preserve">Metabolico-Energetico</w:t>
      </w:r>
    </w:p>
    <w:p>
      <w:pPr>
        <w:pStyle w:val="FirstParagraph"/>
      </w:pPr>
      <w:r>
        <w:rPr>
          <w:b/>
          <w:bCs/>
        </w:rPr>
        <w:t xml:space="preserve">Cosa governa qui.</w:t>
      </w:r>
      <w:r>
        <w:t xml:space="preserve"> </w:t>
      </w:r>
      <w:r>
        <w:t xml:space="preserve">L’economia energetica di chi ha un’infiammazione cronica: il costo di una giornata piena, il debito che segue, il sonno come unità di ricarica. E poi peso e fumo, che cambiano il decorso.</w:t>
      </w:r>
    </w:p>
    <w:p>
      <w:pPr>
        <w:pStyle w:val="BodyText"/>
      </w:pPr>
      <w:r>
        <w:rPr>
          <w:b/>
          <w:bCs/>
        </w:rPr>
        <w:t xml:space="preserve">Quali meccanismi governa.</w:t>
      </w:r>
      <w:r>
        <w:t xml:space="preserve"> </w:t>
      </w:r>
      <w:r>
        <w:rPr>
          <w:b/>
          <w:bCs/>
        </w:rPr>
        <w:t xml:space="preserve">«La notte che non ripara», di cui è il titolare.</w:t>
      </w:r>
      <w:r>
        <w:t xml:space="preserve"> </w:t>
      </w:r>
      <w:r>
        <w:t xml:space="preserve">Sonno, recupero, infiammazione sistemica e costo di una giornata sono la definizione di questo modello, e il Neurologico ne è co-titolare per la soglia del dolore. Governa con il Biomeccanico anche la perdita di massa e forza, che qui non è solo disuso. E</w:t>
      </w:r>
      <w:r>
        <w:t xml:space="preserve"> </w:t>
      </w:r>
      <w:r>
        <w:rPr>
          <w:b/>
          <w:bCs/>
        </w:rPr>
        <w:t xml:space="preserve">sposta la prognosi</w:t>
      </w:r>
      <w:r>
        <w:t xml:space="preserve">: il fumo attivo si associa a riacutizzazioni peggiori (Raheel, 2017, PMID 28968703).</w:t>
      </w:r>
    </w:p>
    <w:p>
      <w:pPr>
        <w:pStyle w:val="BodyText"/>
      </w:pPr>
      <w:r>
        <w:rPr>
          <w:b/>
          <w:bCs/>
        </w:rPr>
        <w:t xml:space="preserve">Gli attori.</w:t>
      </w:r>
      <w:r>
        <w:t xml:space="preserve"> </w:t>
      </w:r>
      <w:r>
        <w:t xml:space="preserve">Sonno, alimentazione, peso, fumo, ritmo delle giornate, massa muscolare.</w:t>
      </w:r>
    </w:p>
    <w:p>
      <w:pPr>
        <w:pStyle w:val="BodyText"/>
      </w:pPr>
      <w:r>
        <w:rPr>
          <w:b/>
          <w:bCs/>
        </w:rPr>
        <w:t xml:space="preserve">I segnali che ti dicono che pesa in questo paziente.</w:t>
      </w:r>
      <w:r>
        <w:t xml:space="preserve"> </w:t>
      </w:r>
      <w:r>
        <w:t xml:space="preserve">Il racconto del debito:</w:t>
      </w:r>
      <w:r>
        <w:t xml:space="preserve"> </w:t>
      </w:r>
      <w:r>
        <w:rPr>
          <w:i/>
          <w:iCs/>
        </w:rPr>
        <w:t xml:space="preserve">«se faccio una giornata piena, la pago per tre».</w:t>
      </w:r>
      <w:r>
        <w:t xml:space="preserve"> </w:t>
      </w:r>
      <w:r>
        <w:t xml:space="preserve">Fumo attivo. Sonno costantemente sotto le sei ore. Massa muscolare più bassa di quanto l’età spieghi.</w:t>
      </w:r>
    </w:p>
    <w:p>
      <w:pPr>
        <w:pStyle w:val="BodyText"/>
      </w:pPr>
      <w:r>
        <w:rPr>
          <w:b/>
          <w:bCs/>
        </w:rPr>
        <w:t xml:space="preserve">Quanto pesa sul resto del tuo lavoro.</w:t>
      </w:r>
      <w:r>
        <w:t xml:space="preserve"> </w:t>
      </w:r>
      <w:r>
        <w:t xml:space="preserve">Il ritmo delle giornate non si sposta con le mani: si nomina, si misura e si rinvia. Finché resta intoccato, l’effetto di stato dentro la seduta resta possibile: l’unico dato con le mani che questo documento possiede è stato ottenuto senza toccarlo (Field, 2013, PMID 23561068). Ma</w:t>
      </w:r>
      <w:r>
        <w:t xml:space="preserve"> </w:t>
      </w:r>
      <w:r>
        <w:rPr>
          <w:b/>
          <w:bCs/>
        </w:rPr>
        <w:t xml:space="preserve">fra una seduta e l’altra non si accumula niente</w:t>
      </w:r>
      <w:r>
        <w:t xml:space="preserve">. È una prognosi sulla durata, non un capolinea.</w:t>
      </w:r>
    </w:p>
    <w:p>
      <w:pPr>
        <w:pStyle w:val="BodyText"/>
      </w:pPr>
      <w:r>
        <w:rPr>
          <w:b/>
          <w:bCs/>
        </w:rPr>
        <w:t xml:space="preserve">Cosa possiede fra gli strumenti attivi.</w:t>
      </w:r>
      <w:r>
        <w:t xml:space="preserve"> </w:t>
      </w:r>
      <w:r>
        <w:t xml:space="preserve">L’attività fisica come leva sulla stanchezza, condivisa con il Biomeccanico. Non passa dalle tue mani.</w:t>
      </w:r>
    </w:p>
    <w:p>
      <w:pPr>
        <w:pStyle w:val="BlockText"/>
      </w:pPr>
      <w:r>
        <w:rPr>
          <w:b/>
          <w:bCs/>
        </w:rPr>
        <w:t xml:space="preserve">Quanto è solido:</w:t>
      </w:r>
      <w:r>
        <w:t xml:space="preserve"> </w:t>
      </w:r>
      <w:r>
        <w:t xml:space="preserve">l’etichetta si spezza, perché i pezzi non hanno la stessa forza.</w:t>
      </w:r>
      <w:r>
        <w:t xml:space="preserve"> </w:t>
      </w:r>
      <w:r>
        <w:t xml:space="preserve">L’anello sonno-infiammazione:</w:t>
      </w:r>
      <w:r>
        <w:t xml:space="preserve"> </w:t>
      </w:r>
      <w:r>
        <w:rPr>
          <w:b/>
          <w:bCs/>
        </w:rPr>
        <w:t xml:space="preserve">PROBABILE</w:t>
      </w:r>
      <w:r>
        <w:t xml:space="preserve"> </w:t>
      </w:r>
      <w:r>
        <w:rPr>
          <w:i/>
          <w:iCs/>
        </w:rPr>
        <w:t xml:space="preserve">(razionale forte, prove parziali)</w:t>
      </w:r>
      <w:r>
        <w:t xml:space="preserve"> </w:t>
      </w:r>
      <w:r>
        <w:t xml:space="preserve">— Irwin, 2016, PMID 26140821, misurato su popolazioni generali e non su pazienti con questa condizione; e Gibbs e Ray, 2013, PMID 23427807, per l’onda infiammatoria notturna propria di questa malattia.</w:t>
      </w:r>
      <w:r>
        <w:t xml:space="preserve"> </w:t>
      </w:r>
      <w:r>
        <w:t xml:space="preserve">La condotta su ritmo, peso e fumo:</w:t>
      </w:r>
      <w:r>
        <w:t xml:space="preserve"> </w:t>
      </w:r>
      <w:r>
        <w:rPr>
          <w:b/>
          <w:bCs/>
        </w:rPr>
        <w:t xml:space="preserve">RAGIONAMENTO</w:t>
      </w:r>
      <w:r>
        <w:t xml:space="preserve"> </w:t>
      </w:r>
      <w:r>
        <w:rPr>
          <w:i/>
          <w:iCs/>
        </w:rPr>
        <w:t xml:space="preserve">(cornice clinica, non una prova)</w:t>
      </w:r>
      <w:r>
        <w:t xml:space="preserve"> </w:t>
      </w:r>
      <w:r>
        <w:t xml:space="preserve">— nessuno di questi elementi si lavora con le mani. Si valutano, si nominano e si rinviano. Sul fumo, la raccomandazione appartiene al medico e non a te.</w:t>
      </w:r>
    </w:p>
    <w:bookmarkEnd w:id="50"/>
    <w:bookmarkStart w:id="51" w:name="respiratorio-circolatorio"/>
    <w:p>
      <w:pPr>
        <w:pStyle w:val="Heading3"/>
      </w:pPr>
      <w:r>
        <w:t xml:space="preserve">Respiratorio-Circolatorio</w:t>
      </w:r>
    </w:p>
    <w:p>
      <w:pPr>
        <w:pStyle w:val="FirstParagraph"/>
      </w:pPr>
      <w:r>
        <w:rPr>
          <w:b/>
          <w:bCs/>
        </w:rPr>
        <w:t xml:space="preserve">Cosa governa qui.</w:t>
      </w:r>
      <w:r>
        <w:t xml:space="preserve"> </w:t>
      </w:r>
      <w:r>
        <w:t xml:space="preserve">La meccanica ventilatoria — corsa costale, escursione diaframmatica, pattern respiratorio — in chi ha dolore continuo e sonno frammentato.</w:t>
      </w:r>
    </w:p>
    <w:p>
      <w:pPr>
        <w:pStyle w:val="BodyText"/>
      </w:pPr>
      <w:r>
        <w:rPr>
          <w:b/>
          <w:bCs/>
        </w:rPr>
        <w:t xml:space="preserve">Quali meccanismi governa.</w:t>
      </w:r>
      <w:r>
        <w:t xml:space="preserve"> </w:t>
      </w:r>
      <w:r>
        <w:rPr>
          <w:b/>
          <w:bCs/>
        </w:rPr>
        <w:t xml:space="preserve">Nessuno in proprio.</w:t>
      </w:r>
      <w:r>
        <w:t xml:space="preserve"> </w:t>
      </w:r>
      <w:r>
        <w:t xml:space="preserve">L’attivazione appartiene al Neurologico, il sonno e il recupero al Metabolico. Questo modello vale per la leva che porta, cioè la meccanica ventilatoria, e per il marker, cioè la frequenza respiratoria. È accessorio. E fingere che governi un meccanismo è ciò che ha portato a chiamare «respiratoria» l’attivazione.</w:t>
      </w:r>
    </w:p>
    <w:p>
      <w:pPr>
        <w:pStyle w:val="BodyText"/>
      </w:pPr>
      <w:r>
        <w:rPr>
          <w:b/>
          <w:bCs/>
        </w:rPr>
        <w:t xml:space="preserve">Gli attori.</w:t>
      </w:r>
      <w:r>
        <w:t xml:space="preserve"> </w:t>
      </w:r>
      <w:r>
        <w:t xml:space="preserve">Il diaframma, le articolazioni costo-vertebrali e costo-sternali, il rachide toracico.</w:t>
      </w:r>
    </w:p>
    <w:p>
      <w:pPr>
        <w:pStyle w:val="BodyText"/>
      </w:pPr>
      <w:r>
        <w:rPr>
          <w:b/>
          <w:bCs/>
        </w:rPr>
        <w:t xml:space="preserve">I segnali che ti dicono che pesa in questo paziente.</w:t>
      </w:r>
      <w:r>
        <w:t xml:space="preserve"> </w:t>
      </w:r>
      <w:r>
        <w:t xml:space="preserve">Respiro alto e corto, spalle sollevate, frequenza respiratoria sopra la sua abituale, torace che si espande poco in basso, apnea quando parla di argomenti che pesano.</w:t>
      </w:r>
    </w:p>
    <w:p>
      <w:pPr>
        <w:pStyle w:val="BlockText"/>
      </w:pPr>
      <w:r>
        <w:rPr>
          <w:b/>
          <w:bCs/>
        </w:rPr>
        <w:t xml:space="preserve">Attenzione.</w:t>
      </w:r>
      <w:r>
        <w:t xml:space="preserve"> </w:t>
      </w:r>
      <w:r>
        <w:t xml:space="preserve">Prima di leggere un respiro corto come meccanica, chiedi</w:t>
      </w:r>
      <w:r>
        <w:t xml:space="preserve"> </w:t>
      </w:r>
      <w:r>
        <w:rPr>
          <w:b/>
          <w:bCs/>
        </w:rPr>
        <w:t xml:space="preserve">da quanto tempo</w:t>
      </w:r>
      <w:r>
        <w:t xml:space="preserve"> </w:t>
      </w:r>
      <w:r>
        <w:t xml:space="preserve">e</w:t>
      </w:r>
      <w:r>
        <w:t xml:space="preserve"> </w:t>
      </w:r>
      <w:r>
        <w:rPr>
          <w:b/>
          <w:bCs/>
        </w:rPr>
        <w:t xml:space="preserve">se peggiora sotto sforzo</w:t>
      </w:r>
      <w:r>
        <w:t xml:space="preserve">. In questa malattia il polmone è un organo bersaglio (Wang, 2024, PMID 38547537), e la lettura per esteso sta in «Dove finisce il nostro campo». Sono gli stessi segni che qui hai appena imparato a considerare un tuo reperto.</w:t>
      </w:r>
    </w:p>
    <w:p>
      <w:pPr>
        <w:pStyle w:val="FirstParagraph"/>
      </w:pPr>
      <w:r>
        <w:rPr>
          <w:b/>
          <w:bCs/>
        </w:rPr>
        <w:t xml:space="preserve">Cosa possiede fra gli strumenti attivi.</w:t>
      </w:r>
      <w:r>
        <w:t xml:space="preserve"> </w:t>
      </w:r>
      <w:r>
        <w:t xml:space="preserve">Meno di quanto sembra. Un randomizzato del respiro</w:t>
      </w:r>
      <w:r>
        <w:t xml:space="preserve"> </w:t>
      </w:r>
      <w:r>
        <w:rPr>
          <w:b/>
          <w:bCs/>
        </w:rPr>
        <w:t xml:space="preserve">come intervento</w:t>
      </w:r>
      <w:r>
        <w:t xml:space="preserve"> </w:t>
      </w:r>
      <w:r>
        <w:t xml:space="preserve">in questa malattia non esiste. Ma il vuoto è più stretto di così: su questi stessi pazienti la respirazione profonda alza la variabilità cardiaca, e i due studi con il loro limite stanno in «Cosa dice la scienza», terzo vuoto.</w:t>
      </w:r>
    </w:p>
    <w:p>
      <w:pPr>
        <w:pStyle w:val="BlockText"/>
      </w:pPr>
      <w:r>
        <w:rPr>
          <w:b/>
          <w:bCs/>
        </w:rPr>
        <w:t xml:space="preserve">Quanto è solido:</w:t>
      </w:r>
      <w:r>
        <w:t xml:space="preserve"> </w:t>
      </w:r>
      <w:r>
        <w:t xml:space="preserve">l’etichetta si spezza, perché i pezzi non hanno la stessa forza.</w:t>
      </w:r>
      <w:r>
        <w:t xml:space="preserve"> </w:t>
      </w:r>
      <w:r>
        <w:t xml:space="preserve">Che il rilascio manuale del diaframma migliori la ventilazione in questi pazienti:</w:t>
      </w:r>
      <w:r>
        <w:t xml:space="preserve"> </w:t>
      </w:r>
      <w:r>
        <w:rPr>
          <w:b/>
          <w:bCs/>
        </w:rPr>
        <w:t xml:space="preserve">PROBABILE</w:t>
      </w:r>
      <w:r>
        <w:t xml:space="preserve"> </w:t>
      </w:r>
      <w:r>
        <w:rPr>
          <w:i/>
          <w:iCs/>
        </w:rPr>
        <w:t xml:space="preserve">(razionale forte, prove parziali)</w:t>
      </w:r>
      <w:r>
        <w:t xml:space="preserve"> </w:t>
      </w:r>
      <w:r>
        <w:t xml:space="preserve">— ed è l’unico punto del documento in cui un’etichetta</w:t>
      </w:r>
      <w:r>
        <w:t xml:space="preserve"> </w:t>
      </w:r>
      <w:r>
        <w:rPr>
          <w:b/>
          <w:bCs/>
        </w:rPr>
        <w:t xml:space="preserve">sale</w:t>
      </w:r>
      <w:r>
        <w:t xml:space="preserve"> </w:t>
      </w:r>
      <w:r>
        <w:t xml:space="preserve">grazie a uno studio con le mani (Elgayar e Bayoumi, 2026, PMID 41915908; i numeri sono in «Perché le mani possono cambiare qualcosa»). Uno studio solo, non in cieco, su sole donne, e su esiti ventilatori — non sul dolore e non sulla malattia.</w:t>
      </w:r>
      <w:r>
        <w:t xml:space="preserve"> </w:t>
      </w:r>
      <w:r>
        <w:t xml:space="preserve">Che il respiro lento alzi l’indice vagale cardiaco:</w:t>
      </w:r>
      <w:r>
        <w:t xml:space="preserve"> </w:t>
      </w:r>
      <w:r>
        <w:rPr>
          <w:b/>
          <w:bCs/>
        </w:rPr>
        <w:t xml:space="preserve">DIMOSTRATO</w:t>
      </w:r>
      <w:r>
        <w:t xml:space="preserve"> </w:t>
      </w:r>
      <w:r>
        <w:rPr>
          <w:i/>
          <w:iCs/>
        </w:rPr>
        <w:t xml:space="preserve">(studi sull’uomo, solidi)</w:t>
      </w:r>
      <w:r>
        <w:t xml:space="preserve"> </w:t>
      </w:r>
      <w:r>
        <w:rPr>
          <w:b/>
          <w:bCs/>
        </w:rPr>
        <w:t xml:space="preserve">sul solo meccanismo</w:t>
      </w:r>
      <w:r>
        <w:t xml:space="preserve"> </w:t>
      </w:r>
      <w:r>
        <w:t xml:space="preserve">— 223 studi sintetizzati, con aumento della variabilità di mediazione vagale durante il respiro, subito dopo una sessione singola e dopo interventi ripetuti (Laborde, 2022, PMID 35623448); misurato su popolazioni generali e su un indice cardiaco, non su pazienti con artrite reumatoide e non su un esito di malattia.</w:t>
      </w:r>
      <w:r>
        <w:t xml:space="preserve"> </w:t>
      </w:r>
      <w:r>
        <w:rPr>
          <w:b/>
          <w:bCs/>
        </w:rPr>
        <w:t xml:space="preserve">La leva su questa condizione non si muove di un grado.</w:t>
      </w:r>
    </w:p>
    <w:p>
      <w:pPr>
        <w:pStyle w:val="BlockText"/>
      </w:pPr>
      <w:r>
        <w:rPr>
          <w:b/>
          <w:bCs/>
        </w:rPr>
        <w:t xml:space="preserve">Qui si usa la sola meccanica ventilatoria: la metà circolatoria del modello — ritorno venoso e linfatico, gradienti pressori — non è pertinente e non viene invocata.</w:t>
      </w:r>
      <w:r>
        <w:t xml:space="preserve"> </w:t>
      </w:r>
      <w:r>
        <w:t xml:space="preserve">E l’idea che il lavoro manuale possa drenare l’essudato di un’articolazione infiammata non ha nessuna misura in questi pazienti: non entra in questo documento.</w:t>
      </w:r>
    </w:p>
    <w:p>
      <w:pPr>
        <w:pStyle w:val="FirstParagraph"/>
      </w:pPr>
      <w:r>
        <w:rPr>
          <w:b/>
          <w:bCs/>
        </w:rPr>
        <w:t xml:space="preserve">Le tre cose da ricordare, più una</w:t>
      </w:r>
    </w:p>
    <w:p>
      <w:pPr>
        <w:pStyle w:val="Compact"/>
        <w:numPr>
          <w:ilvl w:val="0"/>
          <w:numId w:val="1017"/>
        </w:numPr>
      </w:pPr>
      <w:r>
        <w:t xml:space="preserve">Comandano il Neurologico e il Comportamentale; il lavoro sta nel Biomeccanico; il Respiratorio è accessorio e non governa nessun meccanismo suo.</w:t>
      </w:r>
    </w:p>
    <w:p>
      <w:pPr>
        <w:pStyle w:val="Compact"/>
        <w:numPr>
          <w:ilvl w:val="0"/>
          <w:numId w:val="1017"/>
        </w:numPr>
      </w:pPr>
      <w:r>
        <w:t xml:space="preserve">Il Metabolico è il titolare della notte, e il ritmo delle giornate decide quanto dura quello che fai, non se puoi farlo.</w:t>
      </w:r>
    </w:p>
    <w:p>
      <w:pPr>
        <w:pStyle w:val="Compact"/>
        <w:numPr>
          <w:ilvl w:val="0"/>
          <w:numId w:val="1017"/>
        </w:numPr>
      </w:pPr>
      <w:r>
        <w:t xml:space="preserve">Sul Respiratorio qui vale la sola metà ventilatoria: il drenaggio di un’articolazione infiammata non ha nessuna misura.</w:t>
      </w:r>
    </w:p>
    <w:p>
      <w:pPr>
        <w:pStyle w:val="Compact"/>
        <w:numPr>
          <w:ilvl w:val="0"/>
          <w:numId w:val="1017"/>
        </w:numPr>
      </w:pPr>
      <w:r>
        <w:rPr>
          <w:b/>
          <w:bCs/>
        </w:rPr>
        <w:t xml:space="preserve">Perché ci sei tu.</w:t>
      </w:r>
      <w:r>
        <w:t xml:space="preserve"> </w:t>
      </w:r>
      <w:r>
        <w:t xml:space="preserve">L’allenamento aerobico e di forza migliora capacità e forza, e</w:t>
      </w:r>
      <w:r>
        <w:t xml:space="preserve"> </w:t>
      </w:r>
      <w:r>
        <w:rPr>
          <w:b/>
          <w:bCs/>
        </w:rPr>
        <w:t xml:space="preserve">non sono stati rilevati effetti dannosi</w:t>
      </w:r>
      <w:r>
        <w:t xml:space="preserve"> </w:t>
      </w:r>
      <w:r>
        <w:t xml:space="preserve">— che non è la stessa cosa di «è sicuro» (Hurkmans, 2009, PMID 19821388).</w:t>
      </w:r>
      <w:r>
        <w:t xml:space="preserve"> </w:t>
      </w:r>
      <w:r>
        <w:rPr>
          <w:b/>
          <w:bCs/>
        </w:rPr>
        <w:t xml:space="preserve">Per te:</w:t>
      </w:r>
      <w:r>
        <w:t xml:space="preserve"> </w:t>
      </w:r>
      <w:r>
        <w:t xml:space="preserve">il paziente che teme che muoversi consumi le articolazioni usa una credenza che le prove smentiscono. Smontarla è materia tua, perché nessun altro ha il tempo di farlo. Questo ti autorizza a restituire il movimento come sicuro. Non ti autorizza a prescrivere il programma.</w:t>
      </w:r>
    </w:p>
    <w:p>
      <w:r>
        <w:pict>
          <v:rect style="width:0;height:1.5pt" o:hralign="center" o:hrstd="t" o:hr="t"/>
        </w:pict>
      </w:r>
    </w:p>
    <w:bookmarkEnd w:id="51"/>
    <w:bookmarkEnd w:id="52"/>
    <w:bookmarkStart w:id="60"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prima di scegliere un modello devi decidere una cosa che su altre condizioni non esiste — se oggi comanda la malattia o comanda il corpo intorno alla malattia.</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tutto questo capitolo è una cornice di ragionamento clinico. Non è un meccanismo dimostrato e non va presentato come tale, né al paziente né a un medico.</w:t>
      </w:r>
    </w:p>
    <w:bookmarkStart w:id="53" w:name="la-punta-e-il-sommerso"/>
    <w:p>
      <w:pPr>
        <w:pStyle w:val="Heading3"/>
      </w:pPr>
      <w:r>
        <w:t xml:space="preserve">La punta e il sommerso</w:t>
      </w:r>
    </w:p>
    <w:p>
      <w:pPr>
        <w:pStyle w:val="FirstParagraph"/>
      </w:pPr>
      <w:r>
        <w:t xml:space="preserve">Il paziente porta la punta: mani gonfie, l’ora di rigidità, la stanchezza. Sotto c’è il sommerso, e qui ha una particolarità:</w:t>
      </w:r>
      <w:r>
        <w:t xml:space="preserve"> </w:t>
      </w:r>
      <w:r>
        <w:rPr>
          <w:b/>
          <w:bCs/>
        </w:rPr>
        <w:t xml:space="preserve">una sua parte non è tua e non lo diventerà mai.</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t xml:space="preserve">Tre pazienti con la stessa diagnosi sul referto, e tre sommersi diversi.</w:t>
      </w:r>
    </w:p>
    <w:p>
      <w:pPr>
        <w:pStyle w:val="BodyText"/>
      </w:pPr>
      <w:r>
        <w:rPr>
          <w:b/>
          <w:bCs/>
        </w:rPr>
        <w:t xml:space="preserve">Marta, 44 anni, diagnosi da otto mesi.</w:t>
      </w:r>
      <w:r>
        <w:t xml:space="preserve"> </w:t>
      </w:r>
      <w:r>
        <w:t xml:space="preserve">Mani gonfie e calde, PCR mossa, metotrexato da sei settimane. Il sommerso è la malattia, ed è attiva: il dominante non è tuo.</w:t>
      </w:r>
      <w:r>
        <w:t xml:space="preserve"> </w:t>
      </w:r>
      <w:r>
        <w:rPr>
          <w:b/>
          <w:bCs/>
        </w:rPr>
        <w:t xml:space="preserve">Cosa concludi:</w:t>
      </w:r>
      <w:r>
        <w:t xml:space="preserve"> </w:t>
      </w:r>
      <w:r>
        <w:t xml:space="preserve">il lavoro possibile è lontano dalle sedi in fiamme, cioè respiro e cingolo. L’obiettivo non è il dolore articolare: è che questa persona esca con meno tenuta di difesa mentre il farmaco lavora. Al curante scrivi che hai visto un quadro in fase attiva. E una cosa che verrebbe da rimandare: il dolore amplificato non è un problema dei soli pazienti di lunga durata, e in Marta va cercato</w:t>
      </w:r>
      <w:r>
        <w:t xml:space="preserve"> </w:t>
      </w:r>
      <w:r>
        <w:rPr>
          <w:b/>
          <w:bCs/>
        </w:rPr>
        <w:t xml:space="preserve">adesso</w:t>
      </w:r>
      <w:r>
        <w:t xml:space="preserve">.</w:t>
      </w:r>
    </w:p>
    <w:p>
      <w:pPr>
        <w:pStyle w:val="BodyText"/>
      </w:pPr>
      <w:r>
        <w:rPr>
          <w:b/>
          <w:bCs/>
        </w:rPr>
        <w:t xml:space="preserve">Gianni, 58 anni, diagnosi da nove anni, in remissione da tre.</w:t>
      </w:r>
      <w:r>
        <w:t xml:space="preserve"> </w:t>
      </w:r>
      <w:r>
        <w:t xml:space="preserve">Indici perfetti, nessuna articolazione gonfia, e dolore alla spalla destra e al collo che non passa. Il sommerso è il compenso: nove anni di prese sostituite hanno spostato il lavoro sul cingolo. Il dominante è il Biomeccanico-Strutturale.</w:t>
      </w:r>
      <w:r>
        <w:t xml:space="preserve"> </w:t>
      </w:r>
      <w:r>
        <w:rPr>
          <w:b/>
          <w:bCs/>
        </w:rPr>
        <w:t xml:space="preserve">Cosa concludi:</w:t>
      </w:r>
      <w:r>
        <w:t xml:space="preserve"> </w:t>
      </w:r>
      <w:r>
        <w:t xml:space="preserve">l’escursione persa va cercata in un distretto che la malattia non coinvolge, e il risultato si verifica con un marker di un piano diverso.</w:t>
      </w:r>
      <w:r>
        <w:t xml:space="preserve"> </w:t>
      </w:r>
      <w:r>
        <w:rPr>
          <w:b/>
          <w:bCs/>
        </w:rPr>
        <w:t xml:space="preserve">Prima di toccare quel collo:</w:t>
      </w:r>
      <w:r>
        <w:t xml:space="preserve"> </w:t>
      </w:r>
      <w:r>
        <w:t xml:space="preserve">destrezza, formicolii, andatura, sensazione di cedimento, negativi e scritti in cartella. Poi si tratta, e sul rachide cervicale mai a leva. Con nove anni di malattia non è una formalità.</w:t>
      </w:r>
    </w:p>
    <w:p>
      <w:pPr>
        <w:pStyle w:val="BodyText"/>
      </w:pPr>
      <w:r>
        <w:rPr>
          <w:b/>
          <w:bCs/>
        </w:rPr>
        <w:t xml:space="preserve">Anna, 51 anni, diagnosi da quattro anni, terapia biologica.</w:t>
      </w:r>
      <w:r>
        <w:t xml:space="preserve"> </w:t>
      </w:r>
      <w:r>
        <w:t xml:space="preserve">Indici normali, due articolazioni gonfie, e un dolore dappertutto — gambe, dorso, braccia — che cambia posto. Dorme male da due anni: da quando è morta sua madre, dice, non è più tornata come prima. Il sommerso è il</w:t>
      </w:r>
      <w:r>
        <w:t xml:space="preserve"> </w:t>
      </w:r>
      <w:r>
        <w:rPr>
          <w:b/>
          <w:bCs/>
        </w:rPr>
        <w:t xml:space="preserve">livello di attivazione</w:t>
      </w:r>
      <w:r>
        <w:t xml:space="preserve">, e il dolore diffuso ne è la manifestazione: il dominante è il Neurologico. Anche qui il collo si interroga prima di ogni contatto, e si scrive.</w:t>
      </w:r>
    </w:p>
    <w:p>
      <w:pPr>
        <w:pStyle w:val="BodyText"/>
      </w:pPr>
      <w:r>
        <w:rPr>
          <w:b/>
          <w:bCs/>
        </w:rPr>
        <w:t xml:space="preserve">Cosa concludi</w:t>
      </w:r>
      <w:r>
        <w:t xml:space="preserve">, e qui va detto con precisione, perché è l’errore più costoso del documento. Un sintomo agganciato all’attivazione</w:t>
      </w:r>
      <w:r>
        <w:t xml:space="preserve"> </w:t>
      </w:r>
      <w:r>
        <w:rPr>
          <w:b/>
          <w:bCs/>
        </w:rPr>
        <w:t xml:space="preserve">non è un capolinea: è l’indicazione più chiara che esista per la leva che sull’attivazione agisce.</w:t>
      </w:r>
      <w:r>
        <w:t xml:space="preserve"> </w:t>
      </w:r>
      <w:r>
        <w:t xml:space="preserve">Quella leva è fatta di contatto lento, ritmo del respiro condotto insieme, tempo dedicato, e spiegazione che restituisce senso al sintomo. Ce l’hai, ed è manuale a tutti gli effetti: è solo mirata altrove rispetto alla sede che fa male. Va portata con la sua etichetta reale, IPOTESI, e con i suoi tempi reali. Cioè: effetto di stato dentro la seduta, soglia che si sposta in settimane, e solo se qualcosa cambia anche nelle sue giornate. Ma la direzione è quella, e Anna è la paziente in cui hai</w:t>
      </w:r>
      <w:r>
        <w:t xml:space="preserve"> </w:t>
      </w:r>
      <w:r>
        <w:rPr>
          <w:b/>
          <w:bCs/>
        </w:rPr>
        <w:t xml:space="preserve">più</w:t>
      </w:r>
      <w:r>
        <w:t xml:space="preserve"> </w:t>
      </w:r>
      <w:r>
        <w:t xml:space="preserve">da fare, non meno.</w:t>
      </w:r>
    </w:p>
    <w:p>
      <w:pPr>
        <w:pStyle w:val="BodyText"/>
      </w:pPr>
      <w:r>
        <w:rPr>
          <w:b/>
          <w:bCs/>
        </w:rPr>
        <w:t xml:space="preserve">E da che parte cade Anna, perché il Capitolo 6 tiene separate le due righe che si somigliano.</w:t>
      </w:r>
      <w:r>
        <w:t xml:space="preserve"> </w:t>
      </w:r>
      <w:r>
        <w:t xml:space="preserve">Anna è dolore residuo con amplificazione dominante, non fibromialgia sovrapposta. La sposterebbe nell’altra riga un quadro diffuso che soddisfa per intero i criteri 2016.</w:t>
      </w:r>
    </w:p>
    <w:bookmarkEnd w:id="53"/>
    <w:bookmarkStart w:id="54" w:name="il-bivio-fra-gianni-e-anna"/>
    <w:p>
      <w:pPr>
        <w:pStyle w:val="Heading3"/>
      </w:pPr>
      <w:r>
        <w:t xml:space="preserve">Il bivio fra Gianni e Anna</w:t>
      </w:r>
    </w:p>
    <w:p>
      <w:pPr>
        <w:pStyle w:val="FirstParagraph"/>
      </w:pPr>
      <w:r>
        <w:t xml:space="preserve">È la scelta che decide il piano. Il criterio sono segnali che hai già letto, messi uno di fronte all’altro.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Compenso (Biomeccanico)</w:t>
            </w:r>
          </w:p>
        </w:tc>
        <w:tc>
          <w:tcPr/>
          <w:p>
            <w:pPr>
              <w:pStyle w:val="Compact"/>
            </w:pPr>
            <w:r>
              <w:t xml:space="preserve">Amplificazione (Neurologico)</w:t>
            </w:r>
          </w:p>
        </w:tc>
      </w:tr>
      <w:tr>
        <w:tc>
          <w:tcPr/>
          <w:p>
            <w:pPr>
              <w:pStyle w:val="Compact"/>
            </w:pPr>
            <w:r>
              <w:t xml:space="preserve">Sede</w:t>
            </w:r>
          </w:p>
        </w:tc>
        <w:tc>
          <w:tcPr/>
          <w:p>
            <w:pPr>
              <w:pStyle w:val="Compact"/>
            </w:pPr>
            <w:r>
              <w:t xml:space="preserve">Una sola, o poche e fisse</w:t>
            </w:r>
          </w:p>
        </w:tc>
        <w:tc>
          <w:tcPr/>
          <w:p>
            <w:pPr>
              <w:pStyle w:val="Compact"/>
            </w:pPr>
            <w:r>
              <w:t xml:space="preserve">Cambia posto, migra</w:t>
            </w:r>
          </w:p>
        </w:tc>
      </w:tr>
      <w:tr>
        <w:tc>
          <w:tcPr/>
          <w:p>
            <w:pPr>
              <w:pStyle w:val="Compact"/>
            </w:pPr>
            <w:r>
              <w:t xml:space="preserve">Legame con il gesto</w:t>
            </w:r>
          </w:p>
        </w:tc>
        <w:tc>
          <w:tcPr/>
          <w:p>
            <w:pPr>
              <w:pStyle w:val="Compact"/>
            </w:pPr>
            <w:r>
              <w:t xml:space="preserve">Riproducibile con un movimento</w:t>
            </w:r>
          </w:p>
        </w:tc>
        <w:tc>
          <w:tcPr/>
          <w:p>
            <w:pPr>
              <w:pStyle w:val="Compact"/>
            </w:pPr>
            <w:r>
              <w:t xml:space="preserve">Presente anche a riposo</w:t>
            </w:r>
          </w:p>
        </w:tc>
      </w:tr>
      <w:tr>
        <w:tc>
          <w:tcPr/>
          <w:p>
            <w:pPr>
              <w:pStyle w:val="Compact"/>
            </w:pPr>
            <w:r>
              <w:t xml:space="preserve">Storia</w:t>
            </w:r>
          </w:p>
        </w:tc>
        <w:tc>
          <w:tcPr/>
          <w:p>
            <w:pPr>
              <w:pStyle w:val="Compact"/>
            </w:pPr>
            <w:r>
              <w:t xml:space="preserve">Comparso dopo un cambio di gesto</w:t>
            </w:r>
          </w:p>
        </w:tc>
        <w:tc>
          <w:tcPr/>
          <w:p>
            <w:pPr>
              <w:pStyle w:val="Compact"/>
            </w:pPr>
            <w:r>
              <w:t xml:space="preserve">Comparso senza motivo apparente</w:t>
            </w:r>
          </w:p>
        </w:tc>
      </w:tr>
      <w:tr>
        <w:tc>
          <w:tcPr/>
          <w:p>
            <w:pPr>
              <w:pStyle w:val="Compact"/>
            </w:pPr>
            <w:r>
              <w:t xml:space="preserve">Prova in stanza</w:t>
            </w:r>
          </w:p>
        </w:tc>
        <w:tc>
          <w:tcPr/>
          <w:p>
            <w:pPr>
              <w:pStyle w:val="Compact"/>
            </w:pPr>
            <w:r>
              <w:t xml:space="preserve">Migliora cambiando il modo di fare il gesto</w:t>
            </w:r>
          </w:p>
        </w:tc>
        <w:tc>
          <w:tcPr/>
          <w:p>
            <w:pPr>
              <w:pStyle w:val="Compact"/>
            </w:pPr>
            <w:r>
              <w:t xml:space="preserve">Pressione dolorosa anche fuori dalle articolazioni</w:t>
            </w:r>
          </w:p>
        </w:tc>
      </w:tr>
      <w:tr>
        <w:tc>
          <w:tcPr/>
          <w:p>
            <w:pPr>
              <w:pStyle w:val="Compact"/>
            </w:pPr>
            <w:r>
              <w:t xml:space="preserve">Corredo</w:t>
            </w:r>
          </w:p>
        </w:tc>
        <w:tc>
          <w:tcPr/>
          <w:p>
            <w:pPr>
              <w:pStyle w:val="Compact"/>
            </w:pPr>
            <w:r>
              <w:t xml:space="preserve">Nessuno in particolare</w:t>
            </w:r>
          </w:p>
        </w:tc>
        <w:tc>
          <w:tcPr/>
          <w:p>
            <w:pPr>
              <w:pStyle w:val="Compact"/>
            </w:pPr>
            <w:r>
              <w:t xml:space="preserve">Sonno rotto, stanchezza che il riposo non toglie</w:t>
            </w:r>
          </w:p>
        </w:tc>
      </w:tr>
    </w:tbl>
    <w:p>
      <w:pPr>
        <w:pStyle w:val="BodyText"/>
      </w:pPr>
      <w:r>
        <w:t xml:space="preserve">I due quadri convivono spesso: si sceglie chi comanda oggi, non chi esiste.</w:t>
      </w:r>
    </w:p>
    <w:bookmarkEnd w:id="54"/>
    <w:bookmarkStart w:id="55" w:name="perché-si-indaga-dallalto"/>
    <w:p>
      <w:pPr>
        <w:pStyle w:val="Heading3"/>
      </w:pPr>
      <w:r>
        <w:t xml:space="preserve">Perché si indaga dall’alto</w:t>
      </w:r>
    </w:p>
    <w:p>
      <w:pPr>
        <w:pStyle w:val="FirstParagraph"/>
      </w:pPr>
      <w:r>
        <w:t xml:space="preserve">Il dominante è, di norma, il piano più alto che risulta disfunzionale, perché comanda su quelli sotto. Poggia sulla fisiologia del Capitolo 4: il tono autonomico tiene il fondo, e il muscolo alza il proprio tono per proteggere prima che il movimento arrivi a fine corsa. Un sistema in allarme tiene quindi i tessuti in tensione, per quanto buono sia</w:t>
      </w:r>
      <w:r>
        <w:t xml:space="preserve"> </w:t>
      </w:r>
      <w:r>
        <w:rPr>
          <w:b/>
          <w:bCs/>
        </w:rPr>
        <w:t xml:space="preserve">il tuo lavoro periferico da solo</w:t>
      </w:r>
      <w:r>
        <w:t xml:space="preserve">. E «periferico» non vuol dire «manuale»: sull’allarme si lavora, ed è manuale anche quello, solo mirato altrove.</w:t>
      </w:r>
    </w:p>
    <w:p>
      <w:pPr>
        <w:pStyle w:val="BodyText"/>
      </w:pPr>
      <w:r>
        <w:rPr>
          <w:b/>
          <w:bCs/>
        </w:rPr>
        <w:t xml:space="preserve">Una regola del metodo, qui, non si attenua: si toglie, e va detto.</w:t>
      </w:r>
      <w:r>
        <w:t xml:space="preserve"> </w:t>
      </w:r>
      <w:r>
        <w:t xml:space="preserve">Il metodo prescrive di non trattare il punto in cui il paziente sente — il centro che percepisce — e di risalire al centro che coordina. Qui non è applicabile, e il motivo è un fatto. Le sedi che fanno male sono già fuori bersaglio per una ragione diversa e più forte: l’articolazione in fase attiva, il collo alto. E tutto il resto del lavoro si svolge proprio nei distretti in cui il compenso ha ceduto e il paziente sente. Quello che resta intatto è la regola di verifica che quel principio proteggeva:</w:t>
      </w:r>
      <w:r>
        <w:t xml:space="preserve"> </w:t>
      </w:r>
      <w:r>
        <w:rPr>
          <w:b/>
          <w:bCs/>
        </w:rPr>
        <w:t xml:space="preserve">il marker con cui rivaluti appartiene a un piano che non hai trattato.</w:t>
      </w:r>
    </w:p>
    <w:p>
      <w:pPr>
        <w:pStyle w:val="BodyText"/>
      </w:pPr>
      <w:r>
        <w:rPr>
          <w:b/>
          <w:bCs/>
        </w:rPr>
        <w:t xml:space="preserve">Su questa condizione l’indagine ha un passo che precede la piramide</w:t>
      </w:r>
      <w:r>
        <w:t xml:space="preserve">, e decide se il ragionamento seguente ha senso:</w:t>
      </w:r>
      <w:r>
        <w:t xml:space="preserve"> </w:t>
      </w:r>
      <w:r>
        <w:rPr>
          <w:i/>
          <w:iCs/>
        </w:rPr>
        <w:t xml:space="preserve">«oggi comanda la malattia?»</w:t>
      </w:r>
      <w:r>
        <w:t xml:space="preserve">. Se la risposta è sì — articolazioni calde, indici mossi, rigidità peggiorata nelle ultime settimane — il sistema che sta consumando la capacità di adattamento non è nessuno dei cinque modelli. È un processo immunologico attivo, su cui la tua mano non ha via d’accesso. Il tuo lavoro allora cambia obiettivo: non cerchi la chiave di volta, tieni il corpo in condizioni migliori mentre la terapia agisce, e spingi il canale medico.</w:t>
      </w:r>
    </w:p>
    <w:p>
      <w:pPr>
        <w:pStyle w:val="BodyText"/>
      </w:pPr>
      <w:r>
        <w:rPr>
          <w:b/>
          <w:bCs/>
        </w:rPr>
        <w:t xml:space="preserve">E quando gli esami non ce li hai?</w:t>
      </w:r>
      <w:r>
        <w:t xml:space="preserve"> </w:t>
      </w:r>
      <w:r>
        <w:t xml:space="preserve">Due segni clinici bastano a farti rispondere «sì»: articolazioni</w:t>
      </w:r>
      <w:r>
        <w:t xml:space="preserve"> </w:t>
      </w:r>
      <w:r>
        <w:rPr>
          <w:b/>
          <w:bCs/>
        </w:rPr>
        <w:t xml:space="preserve">calde e gonfie alla palpazione</w:t>
      </w:r>
      <w:r>
        <w:t xml:space="preserve">, e rigidità mattutina</w:t>
      </w:r>
      <w:r>
        <w:t xml:space="preserve"> </w:t>
      </w:r>
      <w:r>
        <w:rPr>
          <w:b/>
          <w:bCs/>
        </w:rPr>
        <w:t xml:space="preserve">peggiorata</w:t>
      </w:r>
      <w:r>
        <w:t xml:space="preserve"> </w:t>
      </w:r>
      <w:r>
        <w:t xml:space="preserve">rispetto a come il paziente la descriveva prima. Nel dubbio la risposta operativa è «sì»: si chiedono gli esami tramite il curante, e la domanda si riapre quando arrivano. Sbagliare in questa direzione costa una seduta meno ambiziosa. Sbagliare nell’altra costa un ciclo costruito sopra una fase attiva.</w:t>
      </w:r>
    </w:p>
    <w:bookmarkEnd w:id="55"/>
    <w:bookmarkStart w:id="56" w:name="i-marker-di-questa-condizione"/>
    <w:p>
      <w:pPr>
        <w:pStyle w:val="Heading3"/>
      </w:pPr>
      <w:r>
        <w:t xml:space="preserve">I marker di questa condizione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r>
        <w:t xml:space="preserve"> </w:t>
      </w:r>
      <w:r>
        <w:rPr>
          <w:i/>
          <w:iCs/>
        </w:rPr>
        <w:t xml:space="preserve">Attenzione a un’ambiguità che costa:</w:t>
      </w:r>
      <w:r>
        <w:t xml:space="preserve"> </w:t>
      </w:r>
      <w:r>
        <w:t xml:space="preserve">quando il capitolo sui limiti di campo dice che il tuo mandato nasce da «un marker che si muove», intende</w:t>
      </w:r>
      <w:r>
        <w:t xml:space="preserve"> </w:t>
      </w:r>
      <w:r>
        <w:rPr>
          <w:b/>
          <w:bCs/>
        </w:rPr>
        <w:t xml:space="preserve">questo stesso marker, scelto prima e mosso dopo</w:t>
      </w:r>
      <w:r>
        <w:t xml:space="preserve">. Non il permesso di rimisurare ciò che hai appena trattato.</w:t>
      </w:r>
    </w:p>
    <w:p>
      <w:pPr>
        <w:pStyle w:val="FirstParagraph"/>
      </w:pPr>
      <w:r>
        <w:t xml:space="preserve">Le quattro condizioni di un marker che funziona. Misurabile in meno di un minuto, con lo stesso metodo prima e dopo. Scelto prima e non cambiato dopo il risultato. Su un piano che non hai trattato. E con una soglia dichiarata, altrimenti qualunque oscillazione diventa una conferma.</w:t>
      </w:r>
    </w:p>
    <w:p>
      <w:pPr>
        <w:pStyle w:val="BodyText"/>
      </w:pPr>
      <w:r>
        <w:t xml:space="preserve">I piani su cui lavori sono quattro: mano e avambraccio, cingolo e rachide toracico, livello di attivazione, piede e catena verso il basso. I cinque marker sono scelti</w:t>
      </w:r>
      <w:r>
        <w:t xml:space="preserve"> </w:t>
      </w:r>
      <w:r>
        <w:rPr>
          <w:b/>
          <w:bCs/>
        </w:rPr>
        <w:t xml:space="preserve">mutuamente fuori piano</w:t>
      </w:r>
      <w:r>
        <w:t xml:space="preserve">: qualunque cosa tratti, ne resta almeno uno che decide.</w:t>
      </w:r>
    </w:p>
    <w:p>
      <w:pPr>
        <w:pStyle w:val="BodyText"/>
      </w:pPr>
      <w:r>
        <w:rPr>
          <w:b/>
          <w:bCs/>
        </w:rPr>
        <w:t xml:space="preserve">1. Forza di presa al dinamometro.</w:t>
      </w:r>
      <w:r>
        <w:t xml:space="preserve"> </w:t>
      </w:r>
      <w:r>
        <w:t xml:space="preserve">Come si misura: seduto, gomito a 90 gradi, tre prove per mano, si prende la media. Soglia:</w:t>
      </w:r>
      <w:r>
        <w:t xml:space="preserve"> </w:t>
      </w:r>
      <w:r>
        <w:rPr>
          <w:b/>
          <w:bCs/>
        </w:rPr>
        <w:t xml:space="preserve">il 20% del suo valore di partenza</w:t>
      </w:r>
      <w:r>
        <w:t xml:space="preserve">.</w:t>
      </w:r>
      <w:r>
        <w:t xml:space="preserve"> </w:t>
      </w:r>
      <w:r>
        <w:rPr>
          <w:i/>
          <w:iCs/>
        </w:rPr>
        <w:t xml:space="preserve">Provenienza della soglia:</w:t>
      </w:r>
      <w:r>
        <w:t xml:space="preserve"> </w:t>
      </w:r>
      <w:r>
        <w:t xml:space="preserve">è una scelta interna, non un dato di letteratura, e va dichiarata per quello che è.</w:t>
      </w:r>
    </w:p>
    <w:p>
      <w:pPr>
        <w:pStyle w:val="BodyText"/>
      </w:pPr>
      <w:r>
        <w:rPr>
          <w:b/>
          <w:bCs/>
        </w:rPr>
        <w:t xml:space="preserve">Perché non i 6 kg che si usavano prima.</w:t>
      </w:r>
      <w:r>
        <w:t xml:space="preserve"> </w:t>
      </w:r>
      <w:r>
        <w:t xml:space="preserve">La differenza minima clinicamente importante pubblicata sta fra 5,0 e 6,5 kg (Bohannon, 2019, PMID 30774209), e viene da altre popolazioni. Ma il difetto non è il prestito: è la scala. Dodici mesi del programma di esercizio della mano meglio documentato al mondo spostano la presa di</w:t>
      </w:r>
      <w:r>
        <w:t xml:space="preserve"> </w:t>
      </w:r>
      <w:r>
        <w:rPr>
          <w:b/>
          <w:bCs/>
        </w:rPr>
        <w:t xml:space="preserve">1,4 kg</w:t>
      </w:r>
      <w:r>
        <w:t xml:space="preserve">, con prove di qualità alta (Williams, 2018, PMID 30063798). Se un anno dell’intervento migliore non tocca la soglia, una seduta non ci arriverà mai. E un marker che non può accendersi dà sempre lo stesso verdetto — «quel piano non comandava» — con cui si abbandona il piano giusto. La differenza pubblicata resta buona come esito</w:t>
      </w:r>
      <w:r>
        <w:t xml:space="preserve"> </w:t>
      </w:r>
      <w:r>
        <w:rPr>
          <w:b/>
          <w:bCs/>
        </w:rPr>
        <w:t xml:space="preserve">fra un ciclo e l’altro</w:t>
      </w:r>
      <w:r>
        <w:t xml:space="preserve">, e in riacutizzazione la presa oscilla per conto della malattia.</w:t>
      </w:r>
    </w:p>
    <w:p>
      <w:pPr>
        <w:pStyle w:val="BodyText"/>
      </w:pPr>
      <w:r>
        <w:rPr>
          <w:b/>
          <w:bCs/>
        </w:rPr>
        <w:t xml:space="preserve">2. Escursione di rotazione toracica da seduto.</w:t>
      </w:r>
      <w:r>
        <w:t xml:space="preserve"> </w:t>
      </w:r>
      <w:r>
        <w:t xml:space="preserve">Seduto a cavalcioni, braccia incrociate al petto, rotazione attiva massima con un inclinometro allo sterno, due lati. Soglia:</w:t>
      </w:r>
      <w:r>
        <w:t xml:space="preserve"> </w:t>
      </w:r>
      <w:r>
        <w:rPr>
          <w:b/>
          <w:bCs/>
        </w:rPr>
        <w:t xml:space="preserve">10 gradi</w:t>
      </w:r>
      <w:r>
        <w:t xml:space="preserve">, cioè l’errore tipico di questa goniometria raddoppiato.</w:t>
      </w:r>
    </w:p>
    <w:p>
      <w:pPr>
        <w:pStyle w:val="BodyText"/>
      </w:pPr>
      <w:r>
        <w:rPr>
          <w:b/>
          <w:bCs/>
        </w:rPr>
        <w:t xml:space="preserve">3. Distanza polpastrello-palmo.</w:t>
      </w:r>
      <w:r>
        <w:t xml:space="preserve"> </w:t>
      </w:r>
      <w:r>
        <w:t xml:space="preserve">Chiusura attiva massima del pugno, righello fra la punta del terzo dito e la piega palmare distale. Soglia:</w:t>
      </w:r>
      <w:r>
        <w:t xml:space="preserve"> </w:t>
      </w:r>
      <w:r>
        <w:rPr>
          <w:b/>
          <w:bCs/>
        </w:rPr>
        <w:t xml:space="preserve">1 cm</w:t>
      </w:r>
      <w:r>
        <w:t xml:space="preserve">, errore del righello raddoppiato.</w:t>
      </w:r>
    </w:p>
    <w:p>
      <w:pPr>
        <w:pStyle w:val="BodyText"/>
      </w:pPr>
      <w:r>
        <w:rPr>
          <w:b/>
          <w:bCs/>
        </w:rPr>
        <w:t xml:space="preserve">4. Frequenza respiratoria a riposo.</w:t>
      </w:r>
      <w:r>
        <w:t xml:space="preserve"> </w:t>
      </w:r>
      <w:r>
        <w:t xml:space="preserve">Atti contati per 60 secondi senza dirlo al paziente, a inizio e fine seduta. Soglia:</w:t>
      </w:r>
      <w:r>
        <w:t xml:space="preserve"> </w:t>
      </w:r>
      <w:r>
        <w:rPr>
          <w:b/>
          <w:bCs/>
        </w:rPr>
        <w:t xml:space="preserve">3 atti al minuto</w:t>
      </w:r>
      <w:r>
        <w:t xml:space="preserve"> </w:t>
      </w:r>
      <w:r>
        <w:t xml:space="preserve">rispetto alla</w:t>
      </w:r>
      <w:r>
        <w:t xml:space="preserve"> </w:t>
      </w:r>
      <w:r>
        <w:rPr>
          <w:b/>
          <w:bCs/>
        </w:rPr>
        <w:t xml:space="preserve">sua</w:t>
      </w:r>
      <w:r>
        <w:t xml:space="preserve"> </w:t>
      </w:r>
      <w:r>
        <w:t xml:space="preserve">misura di partenza.</w:t>
      </w:r>
      <w:r>
        <w:t xml:space="preserve"> </w:t>
      </w:r>
      <w:r>
        <w:rPr>
          <w:b/>
          <w:bCs/>
        </w:rPr>
        <w:t xml:space="preserve">Non esiste una soglia assoluta valida:</w:t>
      </w:r>
      <w:r>
        <w:t xml:space="preserve"> </w:t>
      </w:r>
      <w:r>
        <w:t xml:space="preserve">l’intervallo normale è 12-20 atti, e usare 16 come confine fra calma e allarme classificherebbe come attivati soggetti normali.</w:t>
      </w:r>
    </w:p>
    <w:p>
      <w:pPr>
        <w:pStyle w:val="BodyText"/>
      </w:pPr>
      <w:r>
        <w:rPr>
          <w:b/>
          <w:bCs/>
        </w:rPr>
        <w:t xml:space="preserve">5. Tempo per alzarsi da seduto cinque volte.</w:t>
      </w:r>
      <w:r>
        <w:t xml:space="preserve"> </w:t>
      </w:r>
      <w:r>
        <w:t xml:space="preserve">Sedia senza braccioli, braccia incrociate, cinque alzate complete cronometrate. Soglia:</w:t>
      </w:r>
      <w:r>
        <w:t xml:space="preserve"> </w:t>
      </w:r>
      <w:r>
        <w:rPr>
          <w:b/>
          <w:bCs/>
        </w:rPr>
        <w:t xml:space="preserve">2 secondi</w:t>
      </w:r>
      <w:r>
        <w:t xml:space="preserve">, errore del cronometraggio raddoppiato. È il solo marker che legge l’arto inferiore e il passaggio di carico, quello che il capitolo sui limiti di campo chiama «il tempo su un compito funzionale».</w:t>
      </w:r>
    </w:p>
    <w:p>
      <w:pPr>
        <w:pStyle w:val="BodyText"/>
      </w:pPr>
      <w:r>
        <w:t xml:space="preserve">E una misura che</w:t>
      </w:r>
      <w:r>
        <w:t xml:space="preserve"> </w:t>
      </w:r>
      <w:r>
        <w:rPr>
          <w:b/>
          <w:bCs/>
        </w:rPr>
        <w:t xml:space="preserve">non</w:t>
      </w:r>
      <w:r>
        <w:t xml:space="preserve"> </w:t>
      </w:r>
      <w:r>
        <w:t xml:space="preserve">è un marker:</w:t>
      </w:r>
      <w:r>
        <w:t xml:space="preserve"> </w:t>
      </w:r>
      <w:r>
        <w:rPr>
          <w:b/>
          <w:bCs/>
        </w:rPr>
        <w:t xml:space="preserve">la durata della rigidità mattutina in minuti</w:t>
      </w:r>
      <w:r>
        <w:t xml:space="preserve">, auto-riferita. Resta la</w:t>
      </w:r>
      <w:r>
        <w:t xml:space="preserve"> </w:t>
      </w:r>
      <w:r>
        <w:rPr>
          <w:b/>
          <w:bCs/>
        </w:rPr>
        <w:t xml:space="preserve">misura di esito</w:t>
      </w:r>
      <w:r>
        <w:t xml:space="preserve"> </w:t>
      </w:r>
      <w:r>
        <w:t xml:space="preserve">più importante del documento, perché è quella su cui il paziente giudica se è valsa la pena venire. Si legge contro due sfondi: l’ora dell’appuntamento, e il 17% di visite in riacutizzazione (Raheel, 2017, PMID 28968703). Questo non ti autorizza a leggere come rumore il peggioramento del tuo paziente: dice che quel numero va interpretato contro uno sfondo che oscilla.</w:t>
      </w:r>
    </w:p>
    <w:bookmarkEnd w:id="56"/>
    <w:bookmarkStart w:id="57" w:name="la-prova-della-chiave-di-volta"/>
    <w:p>
      <w:pPr>
        <w:pStyle w:val="Heading3"/>
      </w:pPr>
      <w:r>
        <w:t xml:space="preserve">La prova della chiave di volta</w:t>
      </w:r>
    </w:p>
    <w:p>
      <w:pPr>
        <w:pStyle w:val="FirstParagraph"/>
      </w:pPr>
      <w:r>
        <w:t xml:space="preserve">Tratti in prova il piano che sospetti dominante, poi rivaluti. E</w:t>
      </w:r>
      <w:r>
        <w:t xml:space="preserve"> </w:t>
      </w:r>
      <w:r>
        <w:rPr>
          <w:b/>
          <w:bCs/>
        </w:rPr>
        <w:t xml:space="preserve">il marker che decide sta su un piano che non hai toccato.</w:t>
      </w:r>
      <w:r>
        <w:t xml:space="preserve"> </w:t>
      </w:r>
      <w:r>
        <w:t xml:space="preserve">Se tratti la mano e rimisuri la mano, verifichi che il tessuto si è mosso, non che quel piano comandava. È come giudicare la temperatura di una stanza tenendo la mano sul termosifone: senti quello, non la stanza.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Piano che hai trattato</w:t>
            </w:r>
          </w:p>
        </w:tc>
        <w:tc>
          <w:tcPr/>
          <w:p>
            <w:pPr>
              <w:pStyle w:val="Compact"/>
            </w:pPr>
            <w:r>
              <w:t xml:space="preserve">Marker che decide</w:t>
            </w:r>
          </w:p>
        </w:tc>
        <w:tc>
          <w:tcPr/>
          <w:p>
            <w:pPr>
              <w:pStyle w:val="Compact"/>
            </w:pPr>
            <w:r>
              <w:t xml:space="preserve">Soglia</w:t>
            </w:r>
          </w:p>
        </w:tc>
      </w:tr>
      <w:tr>
        <w:tc>
          <w:tcPr/>
          <w:p>
            <w:pPr>
              <w:pStyle w:val="Compact"/>
            </w:pPr>
            <w:r>
              <w:t xml:space="preserve">Mano e avambraccio</w:t>
            </w:r>
          </w:p>
        </w:tc>
        <w:tc>
          <w:tcPr/>
          <w:p>
            <w:pPr>
              <w:pStyle w:val="Compact"/>
            </w:pPr>
            <w:r>
              <w:t xml:space="preserve">Rotazione toracica seduta</w:t>
            </w:r>
          </w:p>
        </w:tc>
        <w:tc>
          <w:tcPr/>
          <w:p>
            <w:pPr>
              <w:pStyle w:val="Compact"/>
            </w:pPr>
            <w:r>
              <w:t xml:space="preserve">10 gradi</w:t>
            </w:r>
          </w:p>
        </w:tc>
      </w:tr>
      <w:tr>
        <w:tc>
          <w:tcPr/>
          <w:p>
            <w:pPr>
              <w:pStyle w:val="Compact"/>
            </w:pPr>
            <w:r>
              <w:t xml:space="preserve">Cingolo e rachide toracico</w:t>
            </w:r>
          </w:p>
        </w:tc>
        <w:tc>
          <w:tcPr/>
          <w:p>
            <w:pPr>
              <w:pStyle w:val="Compact"/>
            </w:pPr>
            <w:r>
              <w:t xml:space="preserve">Distanza polpastrello-palmo</w:t>
            </w:r>
          </w:p>
        </w:tc>
        <w:tc>
          <w:tcPr/>
          <w:p>
            <w:pPr>
              <w:pStyle w:val="Compact"/>
            </w:pPr>
            <w:r>
              <w:t xml:space="preserve">1 cm</w:t>
            </w:r>
          </w:p>
        </w:tc>
      </w:tr>
      <w:tr>
        <w:tc>
          <w:tcPr/>
          <w:p>
            <w:pPr>
              <w:pStyle w:val="Compact"/>
            </w:pPr>
            <w:r>
              <w:t xml:space="preserve">Livello di attivazione</w:t>
            </w:r>
          </w:p>
        </w:tc>
        <w:tc>
          <w:tcPr/>
          <w:p>
            <w:pPr>
              <w:pStyle w:val="Compact"/>
            </w:pPr>
            <w:r>
              <w:t xml:space="preserve">Forza di presa</w:t>
            </w:r>
          </w:p>
        </w:tc>
        <w:tc>
          <w:tcPr/>
          <w:p>
            <w:pPr>
              <w:pStyle w:val="Compact"/>
            </w:pPr>
            <w:r>
              <w:t xml:space="preserve">20% del suo basale</w:t>
            </w:r>
          </w:p>
        </w:tc>
      </w:tr>
      <w:tr>
        <w:tc>
          <w:tcPr/>
          <w:p>
            <w:pPr>
              <w:pStyle w:val="Compact"/>
            </w:pPr>
            <w:r>
              <w:t xml:space="preserve">Piede e catena dell’arto inferiore</w:t>
            </w:r>
          </w:p>
        </w:tc>
        <w:tc>
          <w:tcPr/>
          <w:p>
            <w:pPr>
              <w:pStyle w:val="Compact"/>
            </w:pPr>
            <w:r>
              <w:t xml:space="preserve">Rotazione toracica seduta</w:t>
            </w:r>
          </w:p>
        </w:tc>
        <w:tc>
          <w:tcPr/>
          <w:p>
            <w:pPr>
              <w:pStyle w:val="Compact"/>
            </w:pPr>
            <w:r>
              <w:t xml:space="preserve">10 gradi</w:t>
            </w:r>
          </w:p>
        </w:tc>
      </w:tr>
      <w:tr>
        <w:tc>
          <w:tcPr/>
          <w:p>
            <w:pPr>
              <w:pStyle w:val="Compact"/>
            </w:pPr>
            <w:r>
              <w:t xml:space="preserve">Mano e cingolo insieme</w:t>
            </w:r>
          </w:p>
        </w:tc>
        <w:tc>
          <w:tcPr/>
          <w:p>
            <w:pPr>
              <w:pStyle w:val="Compact"/>
            </w:pPr>
            <w:r>
              <w:t xml:space="preserve">Cinque alzate cronometrate</w:t>
            </w:r>
          </w:p>
        </w:tc>
        <w:tc>
          <w:tcPr/>
          <w:p>
            <w:pPr>
              <w:pStyle w:val="Compact"/>
            </w:pPr>
            <w:r>
              <w:t xml:space="preserve">2 secondi</w:t>
            </w:r>
          </w:p>
        </w:tc>
      </w:tr>
      <w:tr>
        <w:tc>
          <w:tcPr/>
          <w:p>
            <w:pPr>
              <w:pStyle w:val="Compact"/>
            </w:pPr>
            <w:r>
              <w:t xml:space="preserve">Meccanica ventilatoria (piano del cingolo e del torace)</w:t>
            </w:r>
          </w:p>
        </w:tc>
        <w:tc>
          <w:tcPr/>
          <w:p>
            <w:pPr>
              <w:pStyle w:val="Compact"/>
            </w:pPr>
            <w:r>
              <w:t xml:space="preserve">Distanza polpastrello-palmo</w:t>
            </w:r>
          </w:p>
        </w:tc>
        <w:tc>
          <w:tcPr/>
          <w:p>
            <w:pPr>
              <w:pStyle w:val="Compact"/>
            </w:pPr>
            <w:r>
              <w:t xml:space="preserve">1 cm</w:t>
            </w:r>
          </w:p>
        </w:tc>
      </w:tr>
    </w:tbl>
    <w:p>
      <w:pPr>
        <w:pStyle w:val="BodyText"/>
      </w:pPr>
      <w:r>
        <w:rPr>
          <w:b/>
          <w:bCs/>
        </w:rPr>
        <w:t xml:space="preserve">Perché sull’attivazione decide la presa e non la chiusura del pugno.</w:t>
      </w:r>
      <w:r>
        <w:t xml:space="preserve"> </w:t>
      </w:r>
      <w:r>
        <w:t xml:space="preserve">La chiusura del pugno è governata da volume articolare, capsula e scorrimento tendineo, e segue l’onda circadiana della malattia: la muove più l’ora dell’appuntamento di qualunque cambiamento di attivazione. La forza di presa è invece una massima volontaria, inibita dal dolore, ed è lei a rispondere quando l’attivazione si sposta.</w:t>
      </w:r>
    </w:p>
    <w:p>
      <w:pPr>
        <w:pStyle w:val="BodyText"/>
      </w:pPr>
      <w:r>
        <w:rPr>
          <w:b/>
          <w:bCs/>
        </w:rPr>
        <w:t xml:space="preserve">Un piano resta senza marker, e si dichiara.</w:t>
      </w:r>
      <w:r>
        <w:t xml:space="preserve"> </w:t>
      </w:r>
      <w:r>
        <w:t xml:space="preserve">Il Comportamentale non ha un segno misurabile in un minuto. Si valuta su quello che il paziente dice e fa fra una seduta e l’altra, e non entra in questa tabella.</w:t>
      </w:r>
    </w:p>
    <w:p>
      <w:pPr>
        <w:pStyle w:val="BlockText"/>
      </w:pPr>
      <w:r>
        <w:rPr>
          <w:b/>
          <w:bCs/>
        </w:rPr>
        <w:t xml:space="preserve">Attenzione.</w:t>
      </w:r>
      <w:r>
        <w:t xml:space="preserve"> </w:t>
      </w:r>
      <w:r>
        <w:t xml:space="preserve">Un marker fuori piano che resta fermo non smentisce il tuo lavoro: dice che quel piano non comandava. E qui c’è una ragione in più per non leggerlo come un fallimento, perché la malattia oscilla per conto suo: una riacutizzazione può tenere fermo qualunque marker mentre il tuo lavoro funziona.</w:t>
      </w:r>
      <w:r>
        <w:t xml:space="preserve"> </w:t>
      </w:r>
      <w:r>
        <w:rPr>
          <w:b/>
          <w:bCs/>
        </w:rPr>
        <w:t xml:space="preserve">E la direzione opposta vale quanto questa:</w:t>
      </w:r>
      <w:r>
        <w:t xml:space="preserve"> </w:t>
      </w:r>
      <w:r>
        <w:t xml:space="preserve">un marker che si muove può muoversi perché la riacutizzazione è finita, non perché avevi ragione. Per questo la fase si dichiara in cartella</w:t>
      </w:r>
      <w:r>
        <w:t xml:space="preserve"> </w:t>
      </w:r>
      <w:r>
        <w:rPr>
          <w:b/>
          <w:bCs/>
        </w:rPr>
        <w:t xml:space="preserve">prima</w:t>
      </w:r>
      <w:r>
        <w:t xml:space="preserve"> </w:t>
      </w:r>
      <w:r>
        <w:t xml:space="preserve">di misurare.</w:t>
      </w:r>
    </w:p>
    <w:bookmarkEnd w:id="57"/>
    <w:bookmarkStart w:id="58" w:name="la-road-map"/>
    <w:p>
      <w:pPr>
        <w:pStyle w:val="Heading3"/>
      </w:pPr>
      <w:r>
        <w:t xml:space="preserve">La Road Map</w:t>
      </w:r>
    </w:p>
    <w:p>
      <w:pPr>
        <w:pStyle w:val="FirstParagraph"/>
      </w:pPr>
      <w:r>
        <w:t xml:space="preserve">Otto passi, in quest’ordine. Le bandiere rosse vengono per prime. La prima riga di quella tabella è un’articolazione calda, cioè lo stesso reperto del passo dopo, e chi risponde prima alla domanda sulla malattia attiva può non arrivare al filtro.</w:t>
      </w:r>
    </w:p>
    <w:p>
      <w:pPr>
        <w:pStyle w:val="Compact"/>
        <w:numPr>
          <w:ilvl w:val="0"/>
          <w:numId w:val="1018"/>
        </w:numPr>
      </w:pPr>
      <w:r>
        <w:rPr>
          <w:b/>
          <w:bCs/>
        </w:rPr>
        <w:t xml:space="preserve">C’è una bandiera rossa?</w:t>
      </w:r>
      <w:r>
        <w:t xml:space="preserve"> </w:t>
      </w:r>
      <w:r>
        <w:t xml:space="preserve">Una sola riga positiva chiude qui.</w:t>
      </w:r>
    </w:p>
    <w:p>
      <w:pPr>
        <w:pStyle w:val="Compact"/>
        <w:numPr>
          <w:ilvl w:val="0"/>
          <w:numId w:val="1018"/>
        </w:numPr>
      </w:pPr>
      <w:r>
        <w:rPr>
          <w:b/>
          <w:bCs/>
        </w:rPr>
        <w:t xml:space="preserve">Oggi comanda la malattia?</w:t>
      </w:r>
      <w:r>
        <w:t xml:space="preserve"> </w:t>
      </w:r>
      <w:r>
        <w:t xml:space="preserve">Articolazioni calde e gonfie, indici mossi, rigidità peggiorata di recente. Se sì — o nel dubbio — cambia l’obiettivo della seduta e la priorità del canale medico.</w:t>
      </w:r>
    </w:p>
    <w:p>
      <w:pPr>
        <w:pStyle w:val="Compact"/>
        <w:numPr>
          <w:ilvl w:val="0"/>
          <w:numId w:val="1018"/>
        </w:numPr>
      </w:pPr>
      <w:r>
        <w:rPr>
          <w:b/>
          <w:bCs/>
        </w:rPr>
        <w:t xml:space="preserve">Il collo alto è interrogato?</w:t>
      </w:r>
      <w:r>
        <w:t xml:space="preserve"> </w:t>
      </w:r>
      <w:r>
        <w:t xml:space="preserve">Domanda anamnestica ed esame neurologico di base, e nessun test di stress. Prima di qualunque contatto cervicale.</w:t>
      </w:r>
    </w:p>
    <w:p>
      <w:pPr>
        <w:pStyle w:val="Compact"/>
        <w:numPr>
          <w:ilvl w:val="0"/>
          <w:numId w:val="1018"/>
        </w:numPr>
      </w:pPr>
      <w:r>
        <w:rPr>
          <w:b/>
          <w:bCs/>
        </w:rPr>
        <w:t xml:space="preserve">Il sistema è in allarme?</w:t>
      </w:r>
      <w:r>
        <w:t xml:space="preserve"> </w:t>
      </w:r>
      <w:r>
        <w:t xml:space="preserve">Frequenza respiratoria sulla sua misura di partenza, dolore oltre le sedi malate, pressione che fa male dove la malattia non arriva. Se sì, l’attivazione è il primo bersaglio.</w:t>
      </w:r>
    </w:p>
    <w:p>
      <w:pPr>
        <w:pStyle w:val="Compact"/>
        <w:numPr>
          <w:ilvl w:val="0"/>
          <w:numId w:val="1018"/>
        </w:numPr>
      </w:pPr>
      <w:r>
        <w:rPr>
          <w:b/>
          <w:bCs/>
        </w:rPr>
        <w:t xml:space="preserve">Cosa crede della sua malattia, e cosa ha smesso di fare per paura?</w:t>
      </w:r>
      <w:r>
        <w:t xml:space="preserve"> </w:t>
      </w:r>
      <w:r>
        <w:t xml:space="preserve">È il piano che i due studi cardine indicano come predittore dell’esito che rivendichi. Se domina, si comincia da lì.</w:t>
      </w:r>
    </w:p>
    <w:p>
      <w:pPr>
        <w:pStyle w:val="Compact"/>
        <w:numPr>
          <w:ilvl w:val="0"/>
          <w:numId w:val="1018"/>
        </w:numPr>
      </w:pPr>
      <w:r>
        <w:rPr>
          <w:b/>
          <w:bCs/>
        </w:rPr>
        <w:t xml:space="preserve">Il ritmo delle giornate e il sonno reggono?</w:t>
      </w:r>
      <w:r>
        <w:t xml:space="preserve"> </w:t>
      </w:r>
      <w:r>
        <w:t xml:space="preserve">Debito dopo una giornata piena, sonno sotto le sei ore, fumo. Se no: si nomina, si indirizza alle leve attive, e in cartella si scrive che il marker si legge contro quel fondo.</w:t>
      </w:r>
    </w:p>
    <w:p>
      <w:pPr>
        <w:pStyle w:val="Compact"/>
        <w:numPr>
          <w:ilvl w:val="0"/>
          <w:numId w:val="1018"/>
        </w:numPr>
      </w:pPr>
      <w:r>
        <w:rPr>
          <w:b/>
          <w:bCs/>
        </w:rPr>
        <w:t xml:space="preserve">La meccanica ventilatoria gira?</w:t>
      </w:r>
      <w:r>
        <w:t xml:space="preserve"> </w:t>
      </w:r>
      <w:r>
        <w:t xml:space="preserve">Corsa costale, escursione diaframmatica, pattern respiratorio. Se no, è il bersaglio prima dei compensi.</w:t>
      </w:r>
    </w:p>
    <w:p>
      <w:pPr>
        <w:pStyle w:val="Compact"/>
        <w:numPr>
          <w:ilvl w:val="0"/>
          <w:numId w:val="1018"/>
        </w:numPr>
      </w:pPr>
      <w:r>
        <w:rPr>
          <w:b/>
          <w:bCs/>
        </w:rPr>
        <w:t xml:space="preserve">Quali compensi ha costruito il corpo, in alto e in basso?</w:t>
      </w:r>
      <w:r>
        <w:t xml:space="preserve"> </w:t>
      </w:r>
      <w:r>
        <w:t xml:space="preserve">Escursione persa, gesti sostituiti, forza che manca, passo accorciato, scarpa consumata di lato. È dove si svolge la maggior parte del tuo lavoro.</w:t>
      </w:r>
    </w:p>
    <w:bookmarkEnd w:id="58"/>
    <w:bookmarkStart w:id="59" w:name="i-tre-stati-del-paziente"/>
    <w:p>
      <w:pPr>
        <w:pStyle w:val="Heading3"/>
      </w:pPr>
      <w:r>
        <w:t xml:space="preserve">I tre stati del paziente</w:t>
      </w:r>
    </w:p>
    <w:p>
      <w:pPr>
        <w:pStyle w:val="FirstParagraph"/>
      </w:pPr>
      <w:r>
        <w:rPr>
          <w:b/>
          <w:bCs/>
        </w:rPr>
        <w:t xml:space="preserve">In difesa.</w:t>
      </w:r>
      <w:r>
        <w:t xml:space="preserve"> </w:t>
      </w:r>
      <w:r>
        <w:t xml:space="preserve">Teso, monosillabi, diffidente, spesso perché ha già provato qualcosa che gli ha fatto male. Parla al bisogno di</w:t>
      </w:r>
      <w:r>
        <w:t xml:space="preserve"> </w:t>
      </w:r>
      <w:r>
        <w:rPr>
          <w:b/>
          <w:bCs/>
        </w:rPr>
        <w:t xml:space="preserve">sicurezza</w:t>
      </w:r>
      <w:r>
        <w:t xml:space="preserve">: dichiara quale sede resta fuori prima di toccare —</w:t>
      </w:r>
      <w:r>
        <w:t xml:space="preserve"> </w:t>
      </w:r>
      <w:r>
        <w:rPr>
          <w:i/>
          <w:iCs/>
        </w:rPr>
        <w:t xml:space="preserve">«non lavoro sulle articolazioni che stanno male adesso»</w:t>
      </w:r>
      <w:r>
        <w:t xml:space="preserve">.</w:t>
      </w:r>
    </w:p>
    <w:p>
      <w:pPr>
        <w:pStyle w:val="BodyText"/>
      </w:pPr>
      <w:r>
        <w:rPr>
          <w:b/>
          <w:bCs/>
        </w:rPr>
        <w:t xml:space="preserve">Emotivo.</w:t>
      </w:r>
      <w:r>
        <w:t xml:space="preserve"> </w:t>
      </w:r>
      <w:r>
        <w:t xml:space="preserve">Racconta, cerca ascolto, associa il peggioramento a un evento. Parla al bisogno di</w:t>
      </w:r>
      <w:r>
        <w:t xml:space="preserve"> </w:t>
      </w:r>
      <w:r>
        <w:rPr>
          <w:b/>
          <w:bCs/>
        </w:rPr>
        <w:t xml:space="preserve">essere capito</w:t>
      </w:r>
      <w:r>
        <w:t xml:space="preserve">, e credere alla sua stanchezza vale quanto quello che farai con le mani.</w:t>
      </w:r>
      <w:r>
        <w:t xml:space="preserve"> </w:t>
      </w:r>
      <w:r>
        <w:rPr>
          <w:i/>
          <w:iCs/>
        </w:rPr>
        <w:t xml:space="preserve">Attenzione:</w:t>
      </w:r>
      <w:r>
        <w:t xml:space="preserve"> </w:t>
      </w:r>
      <w:r>
        <w:t xml:space="preserve">chi racconta molto non è per ciò stesso attivato. La dominanza dell’attivazione la decidono i segnali osservabili — sonno rotto, respiro alto, dolore che si sposta — non il registro con cui parla.</w:t>
      </w:r>
    </w:p>
    <w:p>
      <w:pPr>
        <w:pStyle w:val="BodyText"/>
      </w:pPr>
      <w:r>
        <w:rPr>
          <w:b/>
          <w:bCs/>
        </w:rPr>
        <w:t xml:space="preserve">Razionale.</w:t>
      </w:r>
      <w:r>
        <w:t xml:space="preserve"> </w:t>
      </w:r>
      <w:r>
        <w:t xml:space="preserve">Chiede il perché, porta gli esami stampati, vuole sapere cosa c’entri tu con una malattia autoimmune. Parla al bisogno di</w:t>
      </w:r>
      <w:r>
        <w:t xml:space="preserve"> </w:t>
      </w:r>
      <w:r>
        <w:rPr>
          <w:b/>
          <w:bCs/>
        </w:rPr>
        <w:t xml:space="preserve">logica</w:t>
      </w:r>
      <w:r>
        <w:t xml:space="preserve">: mostra la misura prima e dopo, e dichiara il confine invece di aggirarlo. Ti rispetterà di più se dici cosa non fai.</w:t>
      </w:r>
    </w:p>
    <w:p>
      <w:pPr>
        <w:pStyle w:val="BodyText"/>
      </w:pPr>
      <w:r>
        <w:rPr>
          <w:b/>
          <w:bCs/>
        </w:rPr>
        <w:t xml:space="preserve">Le tre cose da ricordare, più una</w:t>
      </w:r>
    </w:p>
    <w:p>
      <w:pPr>
        <w:pStyle w:val="Compact"/>
        <w:numPr>
          <w:ilvl w:val="0"/>
          <w:numId w:val="1019"/>
        </w:numPr>
      </w:pPr>
      <w:r>
        <w:t xml:space="preserve">Su questa condizione l’indagine comincia con una domanda che precede la piramide: oggi comanda la malattia?</w:t>
      </w:r>
    </w:p>
    <w:p>
      <w:pPr>
        <w:pStyle w:val="Compact"/>
        <w:numPr>
          <w:ilvl w:val="0"/>
          <w:numId w:val="1019"/>
        </w:numPr>
      </w:pPr>
      <w:r>
        <w:t xml:space="preserve">Il paziente con dolore diffuso agganciato all’attivazione è quello in cui hai più da fare, non meno — con l’etichetta IPOTESI, non con una di più.</w:t>
      </w:r>
    </w:p>
    <w:p>
      <w:pPr>
        <w:pStyle w:val="Compact"/>
        <w:numPr>
          <w:ilvl w:val="0"/>
          <w:numId w:val="1019"/>
        </w:numPr>
      </w:pPr>
      <w:r>
        <w:t xml:space="preserve">Il marker che decide sta sempre su un piano che non hai trattato, e si legge contro la fase di malattia dichiarata prima.</w:t>
      </w:r>
    </w:p>
    <w:p>
      <w:pPr>
        <w:pStyle w:val="Compact"/>
        <w:numPr>
          <w:ilvl w:val="0"/>
          <w:numId w:val="1019"/>
        </w:numPr>
      </w:pPr>
      <w:r>
        <w:rPr>
          <w:b/>
          <w:bCs/>
        </w:rPr>
        <w:t xml:space="preserve">Perché ci sei tu.</w:t>
      </w:r>
      <w:r>
        <w:t xml:space="preserve"> </w:t>
      </w:r>
      <w:r>
        <w:t xml:space="preserve">L’esercizio ad alta intensità migliora la capacità funzionale</w:t>
      </w:r>
      <w:r>
        <w:t xml:space="preserve"> </w:t>
      </w:r>
      <w:r>
        <w:rPr>
          <w:b/>
          <w:bCs/>
        </w:rPr>
        <w:t xml:space="preserve">senza aumentare il danno radiografico</w:t>
      </w:r>
      <w:r>
        <w:t xml:space="preserve"> </w:t>
      </w:r>
      <w:r>
        <w:t xml:space="preserve">delle grandi articolazioni, con una sola eccezione: chi partiva già danneggiato (de Jong, 2003, PMID 13130460).</w:t>
      </w:r>
      <w:r>
        <w:t xml:space="preserve"> </w:t>
      </w:r>
      <w:r>
        <w:rPr>
          <w:b/>
          <w:bCs/>
        </w:rPr>
        <w:t xml:space="preserve">Per te:</w:t>
      </w:r>
      <w:r>
        <w:t xml:space="preserve"> </w:t>
      </w:r>
      <w:r>
        <w:t xml:space="preserve">hai la risposta alla domanda</w:t>
      </w:r>
      <w:r>
        <w:t xml:space="preserve"> </w:t>
      </w:r>
      <w:r>
        <w:rPr>
          <w:i/>
          <w:iCs/>
        </w:rPr>
        <w:t xml:space="preserve">«muovermi mi rovina le articolazioni?»</w:t>
      </w:r>
      <w:r>
        <w:t xml:space="preserve">, e ne hai anche il confine. Questo ti autorizza a incoraggiare il movimento e a dichiarare, nella stessa frase, l’unica eccezione che conosci. Non ti autorizza a estenderlo oltre quello che è — alta intensità, grandi articolazioni — né a decidere l’intensità.</w:t>
      </w:r>
    </w:p>
    <w:p>
      <w:r>
        <w:pict>
          <v:rect style="width:0;height:1.5pt" o:hralign="center" o:hrstd="t" o:hr="t"/>
        </w:pict>
      </w:r>
    </w:p>
    <w:bookmarkEnd w:id="59"/>
    <w:bookmarkEnd w:id="60"/>
    <w:bookmarkStart w:id="67"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tuo perimetro è definito da due cose che su nessun’altra Bibbia si scrivono insieme — un’articolazione in fiamme non è un bersaglio, e un collo può essere instabile senza dirlo.</w:t>
      </w:r>
    </w:p>
    <w:bookmarkStart w:id="61"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cambia.</w:t>
      </w:r>
    </w:p>
    <w:p>
      <w:pPr>
        <w:pStyle w:val="BodyText"/>
      </w:pPr>
      <w:r>
        <w:rPr>
          <w:b/>
          <w:bCs/>
        </w:rPr>
        <w:t xml:space="preserve">Tre uscite invece di due, e la ragione va detta.</w:t>
      </w:r>
      <w:r>
        <w:t xml:space="preserve"> </w:t>
      </w:r>
      <w:r>
        <w:t xml:space="preserve">Una regola scritta e disattesa vale meno di nessuna regola. Qui la situazione più frequente è il paziente già diagnosticato ma senza una valutazione recente. Un cancello binario produrrebbe una di due cose: il rinvio sistematico di persone che poi nessuno rivede, oppure una regola che si aggira ogni giorno. Il GIALLO non allenta lo standard,</w:t>
      </w:r>
      <w:r>
        <w:t xml:space="preserve"> </w:t>
      </w:r>
      <w:r>
        <w:rPr>
          <w:b/>
          <w:bCs/>
        </w:rPr>
        <w:t xml:space="preserve">lo alza</w:t>
      </w:r>
      <w:r>
        <w:t xml:space="preserve">, perché aggiunge quattro condizioni verificabili a un caso che prima non ne aveva nessuna.</w:t>
      </w:r>
    </w:p>
    <w:p>
      <w:pPr>
        <w:pStyle w:val="BodyText"/>
      </w:pPr>
      <w:r>
        <w:rPr>
          <w:b/>
          <w:bCs/>
        </w:rPr>
        <w:t xml:space="preserve">Il tuo mandato clinico</w:t>
      </w:r>
      <w:r>
        <w:t xml:space="preserve"> </w:t>
      </w:r>
      <w:r>
        <w:t xml:space="preserve">— avere qualcosa da trattare oggi — nasce da due cose: un reperto disfunzionale documentato, e un marker scelto prima che si è mosso dopo. Senza quelli non hai un motivo per lavorare, nemmeno con la diagnosi in mano. E il contrappeso sta nel principio:</w:t>
      </w:r>
      <w:r>
        <w:t xml:space="preserve"> </w:t>
      </w:r>
      <w:r>
        <w:rPr>
          <w:b/>
          <w:bCs/>
        </w:rPr>
        <w:t xml:space="preserve">un reperto positivo giustifica il tuo lavoro, non sostituisce l’inquadramento medico.</w:t>
      </w:r>
      <w:r>
        <w:t xml:space="preserve"> </w:t>
      </w:r>
      <w:r>
        <w:t xml:space="preserve">Una spalla che ha perso quaranta gradi significa che hai qualcosa da trattare, non che sai cosa ha il paziente.</w:t>
      </w:r>
    </w:p>
    <w:p>
      <w:pPr>
        <w:pStyle w:val="BodyText"/>
      </w:pPr>
      <w:r>
        <w:t xml:space="preserve">Reggono come reperto documentato e come marker: la forza di presa, l’escursione</w:t>
      </w:r>
      <w:r>
        <w:t xml:space="preserve"> </w:t>
      </w:r>
      <w:r>
        <w:rPr>
          <w:b/>
          <w:bCs/>
        </w:rPr>
        <w:t xml:space="preserve">regionale</w:t>
      </w:r>
      <w:r>
        <w:t xml:space="preserve"> </w:t>
      </w:r>
      <w:r>
        <w:t xml:space="preserve">misurata, la distanza polpastrello-palmo, la frequenza respiratoria, il tempo su un compito funzionale. La palpazione dei tessuti molli e la mobilità</w:t>
      </w:r>
      <w:r>
        <w:t xml:space="preserve"> </w:t>
      </w:r>
      <w:r>
        <w:rPr>
          <w:b/>
          <w:bCs/>
        </w:rPr>
        <w:t xml:space="preserve">segmentale</w:t>
      </w:r>
      <w:r>
        <w:t xml:space="preserve"> </w:t>
      </w:r>
      <w:r>
        <w:t xml:space="preserve">restano parte dell’orientamento, ma</w:t>
      </w:r>
      <w:r>
        <w:t xml:space="preserve"> </w:t>
      </w:r>
      <w:r>
        <w:rPr>
          <w:b/>
          <w:bCs/>
        </w:rPr>
        <w:t xml:space="preserve">non fondano il mandato e non funzionano da marker</w:t>
      </w:r>
      <w:r>
        <w:t xml:space="preserve">. La ragione, con i numeri, sta nel Neurologico del capitolo sui modelli (Seffinger, 2004, PMID 15454722).</w:t>
      </w:r>
    </w:p>
    <w:p>
      <w:pPr>
        <w:pStyle w:val="BodyText"/>
      </w:pPr>
      <w:r>
        <w:rPr>
          <w:b/>
          <w:bCs/>
        </w:rPr>
        <w:t xml:space="preserve">🔴 ROSSO — Stop.</w:t>
      </w:r>
      <w:r>
        <w:t xml:space="preserve"> </w:t>
      </w:r>
      <w:r>
        <w:t xml:space="preserve">Anche una sola bandiera rossa.</w:t>
      </w:r>
    </w:p>
    <w:p>
      <w:pPr>
        <w:pStyle w:val="BodyText"/>
      </w:pPr>
      <w:r>
        <w:t xml:space="preserve">Non si apre un ciclo e non si rimanda. Il paziente esce con un’indicazione medica</w:t>
      </w:r>
      <w:r>
        <w:t xml:space="preserve"> </w:t>
      </w:r>
      <w:r>
        <w:rPr>
          <w:b/>
          <w:bCs/>
        </w:rPr>
        <w:t xml:space="preserve">esplicita e scritta</w:t>
      </w:r>
      <w:r>
        <w:t xml:space="preserve"> </w:t>
      </w:r>
      <w:r>
        <w:t xml:space="preserve">e con i tempi dichiarati. Una</w:t>
      </w:r>
      <w:r>
        <w:t xml:space="preserve"> </w:t>
      </w:r>
      <w:r>
        <w:rPr>
          <w:b/>
          <w:bCs/>
        </w:rPr>
        <w:t xml:space="preserve">disfunzione somatica</w:t>
      </w:r>
      <w:r>
        <w:t xml:space="preserve"> </w:t>
      </w:r>
      <w:r>
        <w:t xml:space="preserve">autonoma, non ascrivibile alla patologia, si può trattare: in cartella si dichiara che il quadro articolare è in attesa di inquadramento e</w:t>
      </w:r>
      <w:r>
        <w:t xml:space="preserve"> </w:t>
      </w:r>
      <w:r>
        <w:rPr>
          <w:b/>
          <w:bCs/>
        </w:rPr>
        <w:t xml:space="preserve">non è il bersaglio</w:t>
      </w:r>
      <w:r>
        <w:t xml:space="preserve">. Nessun reperto positivo scavalca questa uscita.</w:t>
      </w:r>
    </w:p>
    <w:p>
      <w:pPr>
        <w:pStyle w:val="BodyText"/>
      </w:pPr>
      <w:r>
        <w:rPr>
          <w:b/>
          <w:bCs/>
        </w:rPr>
        <w:t xml:space="preserve">🟡 GIALLO — Si lavora, in parallelo.</w:t>
      </w:r>
      <w:r>
        <w:t xml:space="preserve"> </w:t>
      </w:r>
      <w:r>
        <w:t xml:space="preserve">Nessuna bandiera rossa, inquadramento assente o incompleto.</w:t>
      </w:r>
    </w:p>
    <w:p>
      <w:pPr>
        <w:pStyle w:val="BodyText"/>
      </w:pPr>
      <w:r>
        <w:t xml:space="preserve">È la situazione più frequente, e non è un motivo per mandare via il paziente. Il GIALLO ha due facce, entrambe di pazienti</w:t>
      </w:r>
      <w:r>
        <w:t xml:space="preserve"> </w:t>
      </w:r>
      <w:r>
        <w:rPr>
          <w:b/>
          <w:bCs/>
        </w:rPr>
        <w:t xml:space="preserve">già diagnosticati</w:t>
      </w:r>
      <w:r>
        <w:t xml:space="preserve">: chi non ha una valutazione recente del rachide cervicale, e chi è in terapia da anni e non vede il reumatologo da oltre dodici mesi. Quattro condizioni verificabili.</w:t>
      </w:r>
    </w:p>
    <w:p>
      <w:pPr>
        <w:pStyle w:val="BlockText"/>
      </w:pPr>
      <w:r>
        <w:rPr>
          <w:b/>
          <w:bCs/>
        </w:rPr>
        <w:t xml:space="preserve">Attenzione.</w:t>
      </w:r>
      <w:r>
        <w:t xml:space="preserve"> </w:t>
      </w:r>
      <w:r>
        <w:t xml:space="preserve">Quello che il GIALLO non è. Il sospetto di</w:t>
      </w:r>
      <w:r>
        <w:t xml:space="preserve"> </w:t>
      </w:r>
      <w:r>
        <w:rPr>
          <w:b/>
          <w:bCs/>
        </w:rPr>
        <w:t xml:space="preserve">sinovite senza diagnosi</w:t>
      </w:r>
      <w:r>
        <w:t xml:space="preserve"> </w:t>
      </w:r>
      <w:r>
        <w:t xml:space="preserve">non è un GIALLO: è la riga urgente della tabella delle bandiere rosse, e il ciclo non si apre finché il reumatologo non ha visto. La NICE chiede l’invio urgente in tre casi: se sono coinvolte le piccole articolazioni di mani o piedi, se è coinvolta più di un’articolazione, o se sono passati tre mesi dall’esordio — cioè quasi sempre. Una</w:t>
      </w:r>
      <w:r>
        <w:t xml:space="preserve"> </w:t>
      </w:r>
      <w:r>
        <w:rPr>
          <w:b/>
          <w:bCs/>
        </w:rPr>
        <w:t xml:space="preserve">disfunzione somatica</w:t>
      </w:r>
      <w:r>
        <w:t xml:space="preserve"> </w:t>
      </w:r>
      <w:r>
        <w:t xml:space="preserve">autonoma, non ascrivibile alla patologia, si tratta lo stesso, dichiarando in cartella che il quadro articolare è in attesa di inquadramento. È il paziente in cui il ritardo costa più di ogni altro.</w:t>
      </w:r>
    </w:p>
    <w:p>
      <w:pPr>
        <w:pStyle w:val="Compact"/>
        <w:numPr>
          <w:ilvl w:val="0"/>
          <w:numId w:val="1020"/>
        </w:numPr>
      </w:pPr>
      <w:r>
        <w:rPr>
          <w:b/>
          <w:bCs/>
        </w:rPr>
        <w:t xml:space="preserve">Un reperto tuo, positivo e scritto in cartella.</w:t>
      </w:r>
      <w:r>
        <w:t xml:space="preserve"> </w:t>
      </w:r>
      <w:r>
        <w:t xml:space="preserve">Non «il paziente ha l’artrite reumatoide», ma la misura che giustifica quello che farai.</w:t>
      </w:r>
    </w:p>
    <w:p>
      <w:pPr>
        <w:pStyle w:val="Compact"/>
        <w:numPr>
          <w:ilvl w:val="0"/>
          <w:numId w:val="1020"/>
        </w:numPr>
      </w:pPr>
      <w:r>
        <w:rPr>
          <w:b/>
          <w:bCs/>
        </w:rPr>
        <w:t xml:space="preserve">Il paziente sa cosa tratti e cosa no:</w:t>
      </w:r>
      <w:r>
        <w:t xml:space="preserve"> </w:t>
      </w:r>
      <w:r>
        <w:rPr>
          <w:i/>
          <w:iCs/>
        </w:rPr>
        <w:t xml:space="preserve">«io lavoro sulla componente meccanica che ho trovato. La malattia e la sua terapia restano del tuo reumatologo, e nel frattempo io non aspetto.»</w:t>
      </w:r>
    </w:p>
    <w:p>
      <w:pPr>
        <w:pStyle w:val="Compact"/>
        <w:numPr>
          <w:ilvl w:val="0"/>
          <w:numId w:val="1020"/>
        </w:numPr>
      </w:pPr>
      <w:r>
        <w:rPr>
          <w:b/>
          <w:bCs/>
        </w:rPr>
        <w:t xml:space="preserve">Canale medico attivato senza interrompere il lavoro:</w:t>
      </w:r>
      <w:r>
        <w:t xml:space="preserve"> </w:t>
      </w:r>
      <w:r>
        <w:t xml:space="preserve">una comunicazione scritta al curante, non un rinvio affidato al paziente.</w:t>
      </w:r>
    </w:p>
    <w:p>
      <w:pPr>
        <w:pStyle w:val="Compact"/>
        <w:numPr>
          <w:ilvl w:val="0"/>
          <w:numId w:val="1020"/>
        </w:numPr>
      </w:pPr>
      <w:r>
        <w:rPr>
          <w:b/>
          <w:bCs/>
        </w:rPr>
        <w:t xml:space="preserve">Tempo definito, con revisione programmata</w:t>
      </w:r>
      <w:r>
        <w:t xml:space="preserve"> </w:t>
      </w:r>
      <w:r>
        <w:t xml:space="preserve">e la data scritta in cartella. Entro il numero di sedute previsto dalla Procedura, il marker si muove o il quadro cambia uscita.</w:t>
      </w:r>
    </w:p>
    <w:p>
      <w:pPr>
        <w:pStyle w:val="FirstParagraph"/>
      </w:pPr>
      <w:r>
        <w:rPr>
          <w:b/>
          <w:bCs/>
        </w:rPr>
        <w:t xml:space="preserve">Se il tempo scade e il marker non si è mosso</w:t>
      </w:r>
      <w:r>
        <w:t xml:space="preserve">, non è una rinuncia: è un’informazione. Il tuo reperto non era il piano che comandava, e il canale medico diventa prioritario.</w:t>
      </w:r>
    </w:p>
    <w:p>
      <w:pPr>
        <w:pStyle w:val="BodyText"/>
      </w:pPr>
      <w:r>
        <w:rPr>
          <w:b/>
          <w:bCs/>
        </w:rPr>
        <w:t xml:space="preserve">🟢 VERDE — Si procede.</w:t>
      </w:r>
      <w:r>
        <w:t xml:space="preserve"> </w:t>
      </w:r>
      <w:r>
        <w:t xml:space="preserve">Nessuna bandiera rossa, e una fra queste tre: diagnosi posta con terapia di fondo in corso e visita specialistica negli ultimi dodici mesi; valutazione del rachide cervicale eseguita e coerente in un paziente di lunga durata; remissione documentata con controlli regolari.</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rispetto all’ultima valutazione medica. E un quadro che cambia forma</w:t>
      </w:r>
      <w:r>
        <w:t xml:space="preserve"> </w:t>
      </w:r>
      <w:r>
        <w:rPr>
          <w:b/>
          <w:bCs/>
        </w:rPr>
        <w:t xml:space="preserve">torna al triage dall’inizio</w:t>
      </w:r>
      <w:r>
        <w:t xml:space="preserve">. Qui scatta più spesso che altrove: una nuova articolazione gonfia, la febbre, un dito che non si estende sono cambiamenti di forma. Lo è anche</w:t>
      </w:r>
      <w:r>
        <w:t xml:space="preserve"> </w:t>
      </w:r>
      <w:r>
        <w:rPr>
          <w:b/>
          <w:bCs/>
        </w:rPr>
        <w:t xml:space="preserve">una sola articolazione grossa gonfia da mesi con il resto spento</w:t>
      </w:r>
      <w:r>
        <w:t xml:space="preserve">: è la discordanza monoarticolare del Capitolo 6, e va vista, non letta come compenso.</w:t>
      </w:r>
    </w:p>
    <w:bookmarkEnd w:id="61"/>
    <w:bookmarkStart w:id="62" w:name="le-bandiere-rosse"/>
    <w:p>
      <w:pPr>
        <w:pStyle w:val="Heading3"/>
      </w:pPr>
      <w:r>
        <w:t xml:space="preserve">Le bandiere rosse</w:t>
      </w:r>
    </w:p>
    <w:p>
      <w:pPr>
        <w:pStyle w:val="BlockText"/>
      </w:pPr>
      <w:r>
        <w:rPr>
          <w:b/>
          <w:bCs/>
        </w:rPr>
        <w:t xml:space="preserve">Attenzione.</w:t>
      </w:r>
      <w:r>
        <w:t xml:space="preserve"> </w:t>
      </w:r>
      <w:r>
        <w:t xml:space="preserve">Le voci vengono da tre fonti: la linea guida britannica sull’articolazione calda e gonfia (Weston e Coakley, 2006, PMID 16857687), la NICE NG100 sul rinvio per sinovite persistente, e la revisione sul rachide cervicale in questa malattia (Song, 2026, PMID 42292559).</w:t>
      </w:r>
      <w:r>
        <w:t xml:space="preserve"> </w:t>
      </w:r>
      <w:r>
        <w:rPr>
          <w:b/>
          <w:bCs/>
        </w:rPr>
        <w:t xml:space="preserve">La usi come rete, non come filtro:</w:t>
      </w:r>
      <w:r>
        <w:t xml:space="preserve"> </w:t>
      </w:r>
      <w:r>
        <w:t xml:space="preserve">una riga presente ti fa fermare, tutte assenti non ti autorizzano a escludere niente. E in cartella scrivi che l’hai passata in rassegna, non che il paziente è negativo.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Una o più articolazioni calde e gonfie da pochi giorni, con o senza febbre</w:t>
            </w:r>
          </w:p>
        </w:tc>
        <w:tc>
          <w:tcPr/>
          <w:p>
            <w:pPr>
              <w:pStyle w:val="Compact"/>
            </w:pPr>
            <w:r>
              <w:t xml:space="preserve">Pronto soccorso</w:t>
            </w:r>
          </w:p>
        </w:tc>
        <w:tc>
          <w:tcPr/>
          <w:p>
            <w:pPr>
              <w:pStyle w:val="Compact"/>
            </w:pPr>
            <w:r>
              <w:t xml:space="preserve">112</w:t>
            </w:r>
          </w:p>
        </w:tc>
      </w:tr>
      <w:tr>
        <w:tc>
          <w:tcPr/>
          <w:p>
            <w:pPr>
              <w:pStyle w:val="Compact"/>
            </w:pPr>
            <w:r>
              <w:t xml:space="preserve">Occhio rosso e dolente, calo della vista</w:t>
            </w:r>
          </w:p>
        </w:tc>
        <w:tc>
          <w:tcPr/>
          <w:p>
            <w:pPr>
              <w:pStyle w:val="Compact"/>
            </w:pPr>
            <w:r>
              <w:t xml:space="preserve">Oculista o pronto soccorso</w:t>
            </w:r>
          </w:p>
        </w:tc>
        <w:tc>
          <w:tcPr/>
          <w:p>
            <w:pPr>
              <w:pStyle w:val="Compact"/>
            </w:pPr>
            <w:r>
              <w:t xml:space="preserve">Urgente, entro 24 ore</w:t>
            </w:r>
          </w:p>
        </w:tc>
      </w:tr>
      <w:tr>
        <w:tc>
          <w:tcPr/>
          <w:p>
            <w:pPr>
              <w:pStyle w:val="Compact"/>
            </w:pPr>
            <w:r>
              <w:t xml:space="preserve">Febbre alta in terapia immunosoppressiva</w:t>
            </w:r>
          </w:p>
        </w:tc>
        <w:tc>
          <w:tcPr/>
          <w:p>
            <w:pPr>
              <w:pStyle w:val="Compact"/>
            </w:pPr>
            <w:r>
              <w:t xml:space="preserve">Curante o reumatologo</w:t>
            </w:r>
          </w:p>
        </w:tc>
        <w:tc>
          <w:tcPr/>
          <w:p>
            <w:pPr>
              <w:pStyle w:val="Compact"/>
            </w:pPr>
            <w:r>
              <w:t xml:space="preserve">Urgente, in giornata</w:t>
            </w:r>
          </w:p>
        </w:tc>
      </w:tr>
      <w:tr>
        <w:tc>
          <w:tcPr/>
          <w:p>
            <w:pPr>
              <w:pStyle w:val="Compact"/>
            </w:pPr>
            <w:r>
              <w:t xml:space="preserve">Dolore toracico acuto</w:t>
            </w:r>
          </w:p>
        </w:tc>
        <w:tc>
          <w:tcPr/>
          <w:p>
            <w:pPr>
              <w:pStyle w:val="Compact"/>
            </w:pPr>
            <w:r>
              <w:t xml:space="preserve">Pronto soccorso</w:t>
            </w:r>
          </w:p>
        </w:tc>
        <w:tc>
          <w:tcPr/>
          <w:p>
            <w:pPr>
              <w:pStyle w:val="Compact"/>
            </w:pPr>
            <w:r>
              <w:t xml:space="preserve">112</w:t>
            </w:r>
          </w:p>
        </w:tc>
      </w:tr>
      <w:tr>
        <w:tc>
          <w:tcPr/>
          <w:p>
            <w:pPr>
              <w:pStyle w:val="Compact"/>
            </w:pPr>
            <w:r>
              <w:t xml:space="preserve">Affanno da sforzo nuovo o ingravescente, tosse secca persistente</w:t>
            </w:r>
          </w:p>
        </w:tc>
        <w:tc>
          <w:tcPr/>
          <w:p>
            <w:pPr>
              <w:pStyle w:val="Compact"/>
            </w:pPr>
            <w:r>
              <w:t xml:space="preserve">Curante e reumatologo</w:t>
            </w:r>
          </w:p>
        </w:tc>
        <w:tc>
          <w:tcPr/>
          <w:p>
            <w:pPr>
              <w:pStyle w:val="Compact"/>
            </w:pPr>
            <w:r>
              <w:t xml:space="preserve">Invio, entro 7 giorni</w:t>
            </w:r>
          </w:p>
        </w:tc>
      </w:tr>
      <w:tr>
        <w:tc>
          <w:tcPr/>
          <w:p>
            <w:pPr>
              <w:pStyle w:val="Compact"/>
            </w:pPr>
            <w:r>
              <w:t xml:space="preserve">Dolore dorsale o lombare focale in cortisone prolungato</w:t>
            </w:r>
          </w:p>
        </w:tc>
        <w:tc>
          <w:tcPr/>
          <w:p>
            <w:pPr>
              <w:pStyle w:val="Compact"/>
            </w:pPr>
            <w:r>
              <w:t xml:space="preserve">Curante, per imaging</w:t>
            </w:r>
          </w:p>
        </w:tc>
        <w:tc>
          <w:tcPr/>
          <w:p>
            <w:pPr>
              <w:pStyle w:val="Compact"/>
            </w:pPr>
            <w:r>
              <w:t xml:space="preserve">Invio, non attendere; nessun contatto sul segmento</w:t>
            </w:r>
          </w:p>
        </w:tc>
      </w:tr>
      <w:tr>
        <w:tc>
          <w:tcPr/>
          <w:p>
            <w:pPr>
              <w:pStyle w:val="Compact"/>
            </w:pPr>
            <w:r>
              <w:t xml:space="preserve">Dolore atraumatico di calcagno, caviglia o gamba in metotrexato di lunga durata</w:t>
            </w:r>
          </w:p>
        </w:tc>
        <w:tc>
          <w:tcPr/>
          <w:p>
            <w:pPr>
              <w:pStyle w:val="Compact"/>
            </w:pPr>
            <w:r>
              <w:t xml:space="preserve">Curante e reumatologo, per imaging</w:t>
            </w:r>
          </w:p>
        </w:tc>
        <w:tc>
          <w:tcPr/>
          <w:p>
            <w:pPr>
              <w:pStyle w:val="Compact"/>
            </w:pPr>
            <w:r>
              <w:t xml:space="preserve">Invio, non attendere; nessun carico aggiunto sul segmento</w:t>
            </w:r>
          </w:p>
        </w:tc>
      </w:tr>
      <w:tr>
        <w:tc>
          <w:tcPr/>
          <w:p>
            <w:pPr>
              <w:pStyle w:val="Compact"/>
            </w:pPr>
            <w:r>
              <w:t xml:space="preserve">Segni neurologici da collo alto</w:t>
            </w:r>
          </w:p>
        </w:tc>
        <w:tc>
          <w:tcPr/>
          <w:p>
            <w:pPr>
              <w:pStyle w:val="Compact"/>
            </w:pPr>
            <w:r>
              <w:t xml:space="preserve">Reumatologo e neurochirurgo</w:t>
            </w:r>
          </w:p>
        </w:tc>
        <w:tc>
          <w:tcPr/>
          <w:p>
            <w:pPr>
              <w:pStyle w:val="Compact"/>
            </w:pPr>
            <w:r>
              <w:t xml:space="preserve">Invio, non attendere</w:t>
            </w:r>
          </w:p>
        </w:tc>
      </w:tr>
      <w:tr>
        <w:tc>
          <w:tcPr/>
          <w:p>
            <w:pPr>
              <w:pStyle w:val="Compact"/>
            </w:pPr>
            <w:r>
              <w:t xml:space="preserve">Dito che smette di estendersi</w:t>
            </w:r>
          </w:p>
        </w:tc>
        <w:tc>
          <w:tcPr/>
          <w:p>
            <w:pPr>
              <w:pStyle w:val="Compact"/>
            </w:pPr>
            <w:r>
              <w:t xml:space="preserve">Reumatologo</w:t>
            </w:r>
          </w:p>
        </w:tc>
        <w:tc>
          <w:tcPr/>
          <w:p>
            <w:pPr>
              <w:pStyle w:val="Compact"/>
            </w:pPr>
            <w:r>
              <w:t xml:space="preserve">Invio, non attendere</w:t>
            </w:r>
          </w:p>
        </w:tc>
      </w:tr>
      <w:tr>
        <w:tc>
          <w:tcPr/>
          <w:p>
            <w:pPr>
              <w:pStyle w:val="Compact"/>
            </w:pPr>
            <w:r>
              <w:t xml:space="preserve">Peggioramento rapido nonostante terapia</w:t>
            </w:r>
          </w:p>
        </w:tc>
        <w:tc>
          <w:tcPr/>
          <w:p>
            <w:pPr>
              <w:pStyle w:val="Compact"/>
            </w:pPr>
            <w:r>
              <w:t xml:space="preserve">Reumatologo</w:t>
            </w:r>
          </w:p>
        </w:tc>
        <w:tc>
          <w:tcPr/>
          <w:p>
            <w:pPr>
              <w:pStyle w:val="Compact"/>
            </w:pPr>
            <w:r>
              <w:t xml:space="preserve">Invio, entro 7 giorni</w:t>
            </w:r>
          </w:p>
        </w:tc>
      </w:tr>
      <w:tr>
        <w:tc>
          <w:tcPr/>
          <w:p>
            <w:pPr>
              <w:pStyle w:val="Compact"/>
            </w:pPr>
            <w:r>
              <w:t xml:space="preserve">Sinovite persistente senza diagnosi</w:t>
            </w:r>
          </w:p>
        </w:tc>
        <w:tc>
          <w:tcPr/>
          <w:p>
            <w:pPr>
              <w:pStyle w:val="Compact"/>
            </w:pPr>
            <w:r>
              <w:t xml:space="preserve">Reumatologo</w:t>
            </w:r>
          </w:p>
        </w:tc>
        <w:tc>
          <w:tcPr/>
          <w:p>
            <w:pPr>
              <w:pStyle w:val="Compact"/>
            </w:pPr>
            <w:r>
              <w:t xml:space="preserve">Invio urgente, entro 3 giorni</w:t>
            </w:r>
          </w:p>
        </w:tc>
      </w:tr>
    </w:tbl>
    <w:p>
      <w:pPr>
        <w:pStyle w:val="BodyText"/>
      </w:pPr>
      <w:r>
        <w:rPr>
          <w:b/>
          <w:bCs/>
        </w:rPr>
        <w:t xml:space="preserve">Come si leggono le righe che pesano di più.</w:t>
      </w:r>
    </w:p>
    <w:p>
      <w:pPr>
        <w:pStyle w:val="BodyText"/>
      </w:pPr>
      <w:r>
        <w:rPr>
          <w:b/>
          <w:bCs/>
        </w:rPr>
        <w:t xml:space="preserve">Articolazioni calde e gonfie, di esordio recente.</w:t>
      </w:r>
      <w:r>
        <w:t xml:space="preserve"> </w:t>
      </w:r>
      <w:r>
        <w:t xml:space="preserve">È il sospetto di artrite settica, l’unica riga che vale come emergenza pura.</w:t>
      </w:r>
      <w:r>
        <w:t xml:space="preserve"> </w:t>
      </w:r>
      <w:r>
        <w:rPr>
          <w:b/>
          <w:bCs/>
        </w:rPr>
        <w:t xml:space="preserve">I due criteri che verrebbe naturale usare per escluderla — una sola articolazione, e la febbre — qui non escludono niente.</w:t>
      </w:r>
      <w:r>
        <w:t xml:space="preserve"> </w:t>
      </w:r>
      <w:r>
        <w:t xml:space="preserve">La linea guida dice due cose. Va considerata settica fino a prova contraria un’anamnesi breve di articolazione</w:t>
      </w:r>
      <w:r>
        <w:t xml:space="preserve"> </w:t>
      </w:r>
      <w:r>
        <w:rPr>
          <w:b/>
          <w:bCs/>
        </w:rPr>
        <w:t xml:space="preserve">o articolazioni</w:t>
      </w:r>
      <w:r>
        <w:t xml:space="preserve"> </w:t>
      </w:r>
      <w:r>
        <w:t xml:space="preserve">calde e dolenti. E con sospetto alto è imperativo trattare come settica</w:t>
      </w:r>
      <w:r>
        <w:t xml:space="preserve"> </w:t>
      </w:r>
      <w:r>
        <w:rPr>
          <w:b/>
          <w:bCs/>
        </w:rPr>
        <w:t xml:space="preserve">anche senza febbre</w:t>
      </w:r>
      <w:r>
        <w:t xml:space="preserve"> </w:t>
      </w:r>
      <w:r>
        <w:t xml:space="preserve">(Weston e Coakley, 2006, PMID 16857687). Qui entrambe le eccezioni sono la regola. L’artrite reumatoide è il principale fattore di rischio per artrite settica; la forma poliarticolare è sovrarappresentata ed è quella che uccide di più (Lieber, 2018, PMID 28917998); e l’immunosoppressione spegne la febbre.</w:t>
      </w:r>
      <w:r>
        <w:t xml:space="preserve"> </w:t>
      </w:r>
      <w:r>
        <w:rPr>
          <w:b/>
          <w:bCs/>
        </w:rPr>
        <w:t xml:space="preserve">L’errore ha un nome: si chiama riacutizzazione.</w:t>
      </w:r>
      <w:r>
        <w:t xml:space="preserve"> </w:t>
      </w:r>
      <w:r>
        <w:t xml:space="preserve">Stessi segni, e la differenza è il tempo: giorni invece di settimane. E il filtro a monte non è affidabile: su 81 pazienti arrivati in ospedale con un’articolazione calda, l’aspirazione era stata eseguita nel 52% e le emocolture nel 37% (Farah, 2015, PMID 25650874).</w:t>
      </w:r>
    </w:p>
    <w:p>
      <w:pPr>
        <w:pStyle w:val="BodyText"/>
      </w:pPr>
      <w:r>
        <w:rPr>
          <w:b/>
          <w:bCs/>
        </w:rPr>
        <w:t xml:space="preserve">Occhio rosso e dolente.</w:t>
      </w:r>
      <w:r>
        <w:t xml:space="preserve"> </w:t>
      </w:r>
      <w:r>
        <w:t xml:space="preserve">Sclerite e uveite: la sclerite necrotizzante minaccia la vista. Un occhio che fa</w:t>
      </w:r>
      <w:r>
        <w:t xml:space="preserve"> </w:t>
      </w:r>
      <w:r>
        <w:rPr>
          <w:b/>
          <w:bCs/>
        </w:rPr>
        <w:t xml:space="preserve">male</w:t>
      </w:r>
      <w:r>
        <w:t xml:space="preserve"> </w:t>
      </w:r>
      <w:r>
        <w:t xml:space="preserve">— non che prude — esce entro ventiquattro ore.</w:t>
      </w:r>
    </w:p>
    <w:p>
      <w:pPr>
        <w:pStyle w:val="BodyText"/>
      </w:pPr>
      <w:r>
        <w:rPr>
          <w:b/>
          <w:bCs/>
        </w:rPr>
        <w:t xml:space="preserve">Febbre alta in terapia immunosoppressiva.</w:t>
      </w:r>
      <w:r>
        <w:t xml:space="preserve"> </w:t>
      </w:r>
      <w:r>
        <w:t xml:space="preserve">Il punto non è la riacutizzazione. È che l’immunosoppressione rende un’infezione più probabile e più silenziosa. La febbre qui non si osserva per qualche giorno.</w:t>
      </w:r>
    </w:p>
    <w:p>
      <w:pPr>
        <w:pStyle w:val="BodyText"/>
      </w:pPr>
      <w:r>
        <w:rPr>
          <w:b/>
          <w:bCs/>
        </w:rPr>
        <w:t xml:space="preserve">Affanno da sforzo, o tosse secca persistente.</w:t>
      </w:r>
      <w:r>
        <w:t xml:space="preserve"> </w:t>
      </w:r>
      <w:r>
        <w:t xml:space="preserve">Non è un 112, ed è per questo che sfugge. È l’esordio insidioso dell’interstiziopatia polmonare, che riguarda quasi un paziente su cinque (Wang, 2024, PMID 38547537) ed è la seconda causa di morte in questa malattia. Si presenta con tosse secca e affanno che cresce nei mesi. Nel primo anno di metotrexato può essere anche una polmonite da farmaco. In entrambi i casi la tua unica azione è farlo uscire con una comunicazione scritta.</w:t>
      </w:r>
    </w:p>
    <w:p>
      <w:pPr>
        <w:pStyle w:val="BodyText"/>
      </w:pPr>
      <w:r>
        <w:rPr>
          <w:b/>
          <w:bCs/>
        </w:rPr>
        <w:t xml:space="preserve">Dolore dorsale o lombare nuovo e focale in cortisone prolungato.</w:t>
      </w:r>
      <w:r>
        <w:t xml:space="preserve"> </w:t>
      </w:r>
      <w:r>
        <w:t xml:space="preserve">Non serve un trauma: la frattura da fragilità avviene su gesti quotidiani, e la fragilità non si vede. Vale allo stesso modo un calo di statura, che è la stessa frattura vista da fuori. Il dorso medio è insieme il distretto che tratti di più e la sede in cui queste fratture si addensano (Zenitani, 2026, PMID 42174297). E oltre un terzo dei casi è asintomatico (Angeli, 2006, PMID 16574519) — misurato su donne in postmenopausa in terapia glucocorticoide cronica, non su pazienti con artrite reumatoide; qui la fragilità è anche della malattia, e questo rende il silenzio più probabile, non meno. Finché non è escluso, su quel segmento non si mette una mano.</w:t>
      </w:r>
    </w:p>
    <w:p>
      <w:pPr>
        <w:pStyle w:val="BodyText"/>
      </w:pPr>
      <w:r>
        <w:rPr>
          <w:b/>
          <w:bCs/>
        </w:rPr>
        <w:t xml:space="preserve">Dolore atraumatico di calcagno, caviglia o gamba in metotrexato di lunga durata.</w:t>
      </w:r>
      <w:r>
        <w:t xml:space="preserve"> </w:t>
      </w:r>
      <w:r>
        <w:t xml:space="preserve">Ha un nome suo:</w:t>
      </w:r>
      <w:r>
        <w:t xml:space="preserve"> </w:t>
      </w:r>
      <w:r>
        <w:rPr>
          <w:b/>
          <w:bCs/>
        </w:rPr>
        <w:t xml:space="preserve">osteopatia da metotrexato</w:t>
      </w:r>
      <w:r>
        <w:t xml:space="preserve">. Sono fratture da insufficienza atraumatiche di calcagno e di tibia, tipiche di donne anziane con malattia di lunga durata, e compaiono anche a dosi fino a 25 mg alla settimana. Migliorano rapidamente quando il reumatologo sospende il farmaco (Lotkowska, 2025, PMID 41359127; casi concordanti sull’astragalo: Andresen, 2025, PMID 41049082; Petersen, 2024, PMID 39216879). Questo documento ti manda a guardare caviglia e retropiede, e ti insegna a leggere il dolore del piede come compenso: in questa paziente quella lettura è la trappola. Il farmaco non lo commenti: fai uscire l’informazione.</w:t>
      </w:r>
    </w:p>
    <w:p>
      <w:pPr>
        <w:pStyle w:val="BodyText"/>
      </w:pPr>
      <w:r>
        <w:rPr>
          <w:b/>
          <w:bCs/>
        </w:rPr>
        <w:t xml:space="preserve">Segni neurologici da collo alto.</w:t>
      </w:r>
      <w:r>
        <w:t xml:space="preserve"> </w:t>
      </w:r>
      <w:r>
        <w:t xml:space="preserve">Dolore occipitale che sale, scatto o cedimento nel movimento del collo, destrezza fine che cala, formicolii, andatura cambiata, bisogno di sostenere la testa con le mani per alzarsi. Anche uno solo, in un paziente con malattia di lunga durata, va inviato senza attendere.</w:t>
      </w:r>
    </w:p>
    <w:p>
      <w:pPr>
        <w:pStyle w:val="BlockText"/>
      </w:pPr>
      <w:r>
        <w:rPr>
          <w:b/>
          <w:bCs/>
        </w:rPr>
        <w:t xml:space="preserve">Attenzione.</w:t>
      </w:r>
      <w:r>
        <w:t xml:space="preserve"> </w:t>
      </w:r>
      <w:r>
        <w:t xml:space="preserve">L’esame neurologico di base che il documento ti chiede prima di ogni contatto cervicale. Non è un protocollo: sono cinque segni da saper cercare.</w:t>
      </w:r>
      <w:r>
        <w:t xml:space="preserve"> </w:t>
      </w:r>
      <w:r>
        <w:rPr>
          <w:b/>
          <w:bCs/>
        </w:rPr>
        <w:t xml:space="preserve">Forza</w:t>
      </w:r>
      <w:r>
        <w:t xml:space="preserve"> </w:t>
      </w:r>
      <w:r>
        <w:t xml:space="preserve">segmentaria degli arti superiori, confrontata fra i lati.</w:t>
      </w:r>
      <w:r>
        <w:t xml:space="preserve"> </w:t>
      </w:r>
      <w:r>
        <w:rPr>
          <w:b/>
          <w:bCs/>
        </w:rPr>
        <w:t xml:space="preserve">Riflessi</w:t>
      </w:r>
      <w:r>
        <w:t xml:space="preserve"> </w:t>
      </w:r>
      <w:r>
        <w:t xml:space="preserve">osteotendinei sopra e sotto: conta il riflesso</w:t>
      </w:r>
      <w:r>
        <w:t xml:space="preserve"> </w:t>
      </w:r>
      <w:r>
        <w:rPr>
          <w:b/>
          <w:bCs/>
        </w:rPr>
        <w:t xml:space="preserve">più vivace del normale</w:t>
      </w:r>
      <w:r>
        <w:t xml:space="preserve">, segno di sofferenza della via lunga.</w:t>
      </w:r>
      <w:r>
        <w:t xml:space="preserve"> </w:t>
      </w:r>
      <w:r>
        <w:rPr>
          <w:b/>
          <w:bCs/>
        </w:rPr>
        <w:t xml:space="preserve">Sensibilità</w:t>
      </w:r>
      <w:r>
        <w:t xml:space="preserve"> </w:t>
      </w:r>
      <w:r>
        <w:t xml:space="preserve">delle mani, distinguendo un territorio di nervo — un dito, un lato — da un disturbo che prende tutto.</w:t>
      </w:r>
      <w:r>
        <w:t xml:space="preserve"> </w:t>
      </w:r>
      <w:r>
        <w:rPr>
          <w:b/>
          <w:bCs/>
        </w:rPr>
        <w:t xml:space="preserve">Andatura</w:t>
      </w:r>
      <w:r>
        <w:t xml:space="preserve"> </w:t>
      </w:r>
      <w:r>
        <w:t xml:space="preserve">osservata in corridoio, e cammino in tandem.</w:t>
      </w:r>
      <w:r>
        <w:t xml:space="preserve"> </w:t>
      </w:r>
      <w:r>
        <w:rPr>
          <w:b/>
          <w:bCs/>
        </w:rPr>
        <w:t xml:space="preserve">Destrezza fine</w:t>
      </w:r>
      <w:r>
        <w:t xml:space="preserve">: un bottone, una moneta.</w:t>
      </w:r>
      <w:r>
        <w:t xml:space="preserve"> </w:t>
      </w:r>
      <w:r>
        <w:t xml:space="preserve">Uno solo positivo chiude la seduta e apre l’invio. E c’è un divieto della stessa forza:</w:t>
      </w:r>
      <w:r>
        <w:t xml:space="preserve"> </w:t>
      </w:r>
      <w:r>
        <w:rPr>
          <w:b/>
          <w:bCs/>
        </w:rPr>
        <w:t xml:space="preserve">nessun test di stress legamentoso del collo alto, Sharp-Purser compreso.</w:t>
      </w:r>
      <w:r>
        <w:t xml:space="preserve"> </w:t>
      </w:r>
      <w:r>
        <w:t xml:space="preserve">Quel test è una flessione cervicale alta sostenuta, seguita da una spinta. È esattamente la posizione che vuoi evitare in un paziente in cui la lesione è muta in un caso su tre. Un sospetto si chiude con un invio, non con una manovra.</w:t>
      </w:r>
    </w:p>
    <w:p>
      <w:pPr>
        <w:pStyle w:val="FirstParagraph"/>
      </w:pPr>
      <w:r>
        <w:rPr>
          <w:b/>
          <w:bCs/>
        </w:rPr>
        <w:t xml:space="preserve">Dito che smette di estendersi.</w:t>
      </w:r>
      <w:r>
        <w:t xml:space="preserve"> </w:t>
      </w:r>
      <w:r>
        <w:t xml:space="preserve">Non è rigidità e non è una contrattura: è una rottura di tendine estensore fino a prova contraria, e nasce dalla tenosinovite delle guaine al polso. Non si tratta e non si aspetta.</w:t>
      </w:r>
    </w:p>
    <w:p>
      <w:pPr>
        <w:pStyle w:val="BodyText"/>
      </w:pPr>
      <w:r>
        <w:rPr>
          <w:b/>
          <w:bCs/>
        </w:rPr>
        <w:t xml:space="preserve">Sinovite persistente senza diagnosi.</w:t>
      </w:r>
      <w:r>
        <w:t xml:space="preserve"> </w:t>
      </w:r>
      <w:r>
        <w:t xml:space="preserve">I tre criteri NICE che rendono l’invio urgente sono nel cancello d’ingresso, e valgono anche con esami del sangue normali e autoanticorpi negativi.</w:t>
      </w:r>
    </w:p>
    <w:bookmarkEnd w:id="62"/>
    <w:bookmarkStart w:id="63" w:name="X77dcdd2b349462f0ef4c6966323978daa436292"/>
    <w:p>
      <w:pPr>
        <w:pStyle w:val="Heading3"/>
      </w:pPr>
      <w:r>
        <w:t xml:space="preserve">Cosa fanno i farmaci, e perché non li commenti mai</w:t>
      </w:r>
    </w:p>
    <w:p>
      <w:pPr>
        <w:pStyle w:val="FirstParagraph"/>
      </w:pPr>
      <w:r>
        <w:t xml:space="preserve">I farmaci di fondo, nei referti</w:t>
      </w:r>
      <w:r>
        <w:t xml:space="preserve"> </w:t>
      </w:r>
      <w:r>
        <w:rPr>
          <w:b/>
          <w:bCs/>
        </w:rPr>
        <w:t xml:space="preserve">DMARD</w:t>
      </w:r>
      <w:r>
        <w:t xml:space="preserve">, sono il cardine del trattamento: metotrexato, idrossiclorochina, sulfasalazina, leflunomide. I biologici sono l’opzione avanzata quando i primi non bastano. Il cortisone è efficace nelle riacutizzazioni, con effetti collaterali che ne limitano l’uso prolungato. Gli antinfiammatori gestiscono il dolore e non cambiano il decorso.</w:t>
      </w:r>
    </w:p>
    <w:p>
      <w:pPr>
        <w:pStyle w:val="BodyText"/>
      </w:pPr>
      <w:r>
        <w:rPr>
          <w:b/>
          <w:bCs/>
        </w:rPr>
        <w:t xml:space="preserve">Non li valuti, non li commenti e non ne suggerisci modifiche, nemmeno in forma dubitativa.</w:t>
      </w:r>
      <w:r>
        <w:t xml:space="preserve"> </w:t>
      </w:r>
      <w:r>
        <w:t xml:space="preserve">Decide il prescrittore. E qui la regola è più stretta che altrove, perché il paziente ha paura dei suoi farmaci e ha già letto i foglietti. Una tua frase ambigua sul metotrexato può produrre una sospensione che il reumatologo scoprirà mesi dopo, quando la malattia sarà tornata.</w:t>
      </w:r>
    </w:p>
    <w:p>
      <w:pPr>
        <w:pStyle w:val="BodyText"/>
      </w:pPr>
      <w:r>
        <w:rPr>
          <w:b/>
          <w:bCs/>
        </w:rPr>
        <w:t xml:space="preserve">C’è però un’informazione che devi far arrivare, e non è un commento alla terapia.</w:t>
      </w:r>
      <w:r>
        <w:t xml:space="preserve"> </w:t>
      </w:r>
      <w:r>
        <w:t xml:space="preserve">Alcuni farmaci di fondo, metotrexato per primo, sono incompatibili con la gravidanza: richiedono contraccezione e sospensione programmata prima del concepimento, per la donna e per il partner. La frase</w:t>
      </w:r>
      <w:r>
        <w:t xml:space="preserve"> </w:t>
      </w:r>
      <w:r>
        <w:rPr>
          <w:i/>
          <w:iCs/>
        </w:rPr>
        <w:t xml:space="preserve">«stiamo cercando un bambino»</w:t>
      </w:r>
      <w:r>
        <w:t xml:space="preserve"> </w:t>
      </w:r>
      <w:r>
        <w:t xml:space="preserve">la sentirai tu per primo. Non commenti e non rassicuri: la comunichi al reumatologo con la stessa priorità di un’articolazione nuova gonfia.</w:t>
      </w:r>
    </w:p>
    <w:bookmarkEnd w:id="63"/>
    <w:bookmarkStart w:id="64" w:name="X1ac5a1b3cdf7e22e51df529af64ae60c55cc369"/>
    <w:p>
      <w:pPr>
        <w:pStyle w:val="Heading3"/>
      </w:pPr>
      <w:r>
        <w:t xml:space="preserve">Cosa dichiari nel consenso, su questa condizione</w:t>
      </w:r>
    </w:p>
    <w:p>
      <w:pPr>
        <w:pStyle w:val="FirstParagraph"/>
      </w:pPr>
      <w:r>
        <w:t xml:space="preserve">Tre cose che qui scrivi e in un’altra Bibbia non scriveresti.</w:t>
      </w:r>
    </w:p>
    <w:p>
      <w:pPr>
        <w:pStyle w:val="Compact"/>
        <w:numPr>
          <w:ilvl w:val="0"/>
          <w:numId w:val="1021"/>
        </w:numPr>
      </w:pPr>
      <w:r>
        <w:rPr>
          <w:b/>
          <w:bCs/>
        </w:rPr>
        <w:t xml:space="preserve">L’oggetto è la funzione del corpo intorno alle articolazioni malate, non la malattia.</w:t>
      </w:r>
      <w:r>
        <w:t xml:space="preserve"> </w:t>
      </w:r>
      <w:r>
        <w:t xml:space="preserve">Sulle articolazioni in fase attiva non si lavora. Il trattamento si affianca alla terapia reumatologica senza sostituirla né modificarla.</w:t>
      </w:r>
    </w:p>
    <w:p>
      <w:pPr>
        <w:pStyle w:val="Compact"/>
        <w:numPr>
          <w:ilvl w:val="0"/>
          <w:numId w:val="1021"/>
        </w:numPr>
      </w:pPr>
      <w:r>
        <w:rPr>
          <w:b/>
          <w:bCs/>
        </w:rPr>
        <w:t xml:space="preserve">Sul rachide cervicale non si usano tecniche a leva o ad alta velocità, in nessuna fase e con qualunque esame in mano.</w:t>
      </w:r>
    </w:p>
    <w:p>
      <w:pPr>
        <w:pStyle w:val="Compact"/>
        <w:numPr>
          <w:ilvl w:val="0"/>
          <w:numId w:val="1021"/>
        </w:numPr>
      </w:pPr>
      <w:r>
        <w:rPr>
          <w:b/>
          <w:bCs/>
        </w:rPr>
        <w:t xml:space="preserve">La letteratura sul trattamento manuale in questa condizione è scarsissima.</w:t>
      </w:r>
      <w:r>
        <w:t xml:space="preserve"> </w:t>
      </w:r>
      <w:r>
        <w:t xml:space="preserve">Le prove migliori riguardano l’esercizio e non le mani, e il beneficio atteso è sulla funzione e sulle giornate, non sull’attività di malattia.</w:t>
      </w:r>
    </w:p>
    <w:bookmarkEnd w:id="64"/>
    <w:bookmarkStart w:id="65" w:name="X981d4ada8bad081246fe7079d0331a602675b7a"/>
    <w:p>
      <w:pPr>
        <w:pStyle w:val="Heading3"/>
      </w:pPr>
      <w:r>
        <w:t xml:space="preserve">Il confine di atto, dove questa condizione lo mette alla prova</w:t>
      </w:r>
    </w:p>
    <w:p>
      <w:pPr>
        <w:pStyle w:val="FirstParagraph"/>
      </w:pPr>
      <w:r>
        <w:rPr>
          <w:b/>
          <w:bCs/>
        </w:rPr>
        <w:t xml:space="preserve">Il rachide cervicale.</w:t>
      </w:r>
      <w:r>
        <w:t xml:space="preserve"> </w:t>
      </w:r>
      <w:r>
        <w:t xml:space="preserve">Nessuna tecnica a leva, nessun impulso ad alta velocità e bassa ampiezza sul collo di un paziente con questa diagnosi. Il motivo non è la prudenza generica: è che l’instabilità atlanto-assiale è frequente in questa malattia ed è spesso muta (Song, 2026, PMID 42292559; Alp, 2024, PMID 38261795). Una radiografia negativa di due anni fa non è una garanzia, perché la lesione progredisce.</w:t>
      </w:r>
    </w:p>
    <w:p>
      <w:pPr>
        <w:pStyle w:val="BodyText"/>
      </w:pPr>
      <w:r>
        <w:rPr>
          <w:b/>
          <w:bCs/>
        </w:rPr>
        <w:t xml:space="preserve">E il divieto non riguarda solo l’impulso: riguarda la posizione.</w:t>
      </w:r>
      <w:r>
        <w:t xml:space="preserve"> </w:t>
      </w:r>
      <w:r>
        <w:t xml:space="preserve">La sublussazione si misura</w:t>
      </w:r>
      <w:r>
        <w:t xml:space="preserve"> </w:t>
      </w:r>
      <w:r>
        <w:rPr>
          <w:b/>
          <w:bCs/>
        </w:rPr>
        <w:t xml:space="preserve">in flessione</w:t>
      </w:r>
      <w:r>
        <w:t xml:space="preserve">, perché è in flessione che si apre. La flessione sostenuta del collo alto va quindi evitata anche quando non stai facendo nessuna tecnica sul collo. Vale nel foro-viso del lettino, sotto un cuscino alto, dentro un lavoro sui tessuti molli, o alla base cranica con il mento verso lo sterno. Nessuna di queste è una tecnica a leva, e tutte riproducono la posizione che il radiologo usa apposta.</w:t>
      </w:r>
    </w:p>
    <w:p>
      <w:pPr>
        <w:pStyle w:val="BodyText"/>
      </w:pPr>
      <w:r>
        <w:rPr>
          <w:b/>
          <w:bCs/>
        </w:rPr>
        <w:t xml:space="preserve">Le articolazioni in fase infiammatoria attiva.</w:t>
      </w:r>
      <w:r>
        <w:t xml:space="preserve"> </w:t>
      </w:r>
      <w:r>
        <w:t xml:space="preserve">Non sono un bersaglio. Il gesto sull’articolazione calda non ha nessuna misura a sostegno e ha un costo certo in dolore.</w:t>
      </w:r>
    </w:p>
    <w:p>
      <w:pPr>
        <w:pStyle w:val="BodyText"/>
      </w:pPr>
      <w:r>
        <w:rPr>
          <w:b/>
          <w:bCs/>
        </w:rPr>
        <w:t xml:space="preserve">L’osso fragile — della malattia, non solo del cortisone.</w:t>
      </w:r>
      <w:r>
        <w:t xml:space="preserve"> </w:t>
      </w:r>
      <w:r>
        <w:t xml:space="preserve">Cambia le pressioni ammissibili sul dorso e sulle coste, e il dato va scritto in cartella come elemento noto al momento di iniziare.</w:t>
      </w:r>
    </w:p>
    <w:p>
      <w:pPr>
        <w:pStyle w:val="BodyText"/>
      </w:pPr>
      <w:r>
        <w:rPr>
          <w:b/>
          <w:bCs/>
        </w:rPr>
        <w:t xml:space="preserve">L’invio all’esercizio.</w:t>
      </w:r>
      <w:r>
        <w:t xml:space="preserve"> </w:t>
      </w:r>
      <w:r>
        <w:t xml:space="preserve">Nominare la leva e indirizzare è tuo. Farlo senza avere posto la domanda sul collo alto non lo è. Se quella cautela vale prima di mettere una mano, vale a maggior ragione prima di mandare la stessa persona a un programma di carico che non supervisioni: la stessa domanda, scritta nella comunicazione insieme al motivo dell’invio. L’intensità in chi ha grandi articolazioni già danneggiate la decide chi eroga il programma.</w:t>
      </w:r>
    </w:p>
    <w:p>
      <w:pPr>
        <w:pStyle w:val="BodyText"/>
      </w:pPr>
      <w:r>
        <w:rPr>
          <w:b/>
          <w:bCs/>
        </w:rPr>
        <w:t xml:space="preserve">Le affermazioni che sconfinerebbero nella diagnosi.</w:t>
      </w:r>
      <w:r>
        <w:t xml:space="preserve"> </w:t>
      </w:r>
      <w:r>
        <w:t xml:space="preserve">Dire</w:t>
      </w:r>
      <w:r>
        <w:t xml:space="preserve"> </w:t>
      </w:r>
      <w:r>
        <w:rPr>
          <w:i/>
          <w:iCs/>
        </w:rPr>
        <w:t xml:space="preserve">«questo gonfiore è infiammatorio»</w:t>
      </w:r>
      <w:r>
        <w:t xml:space="preserve">,</w:t>
      </w:r>
      <w:r>
        <w:t xml:space="preserve"> </w:t>
      </w:r>
      <w:r>
        <w:rPr>
          <w:i/>
          <w:iCs/>
        </w:rPr>
        <w:t xml:space="preserve">«la malattia è in remissione»</w:t>
      </w:r>
      <w:r>
        <w:t xml:space="preserve"> </w:t>
      </w:r>
      <w:r>
        <w:t xml:space="preserve">o</w:t>
      </w:r>
      <w:r>
        <w:t xml:space="preserve"> </w:t>
      </w:r>
      <w:r>
        <w:rPr>
          <w:i/>
          <w:iCs/>
        </w:rPr>
        <w:t xml:space="preserve">«questo non è artrite»</w:t>
      </w:r>
      <w:r>
        <w:t xml:space="preserve"> </w:t>
      </w:r>
      <w:r>
        <w:t xml:space="preserve">è formulare una diagnosi, e non è nostro. Nostro è descrivere:</w:t>
      </w:r>
      <w:r>
        <w:t xml:space="preserve"> </w:t>
      </w:r>
      <w:r>
        <w:rPr>
          <w:i/>
          <w:iCs/>
        </w:rPr>
        <w:t xml:space="preserve">«questa articolazione è calda e gonfia oggi, e lo scrivo al tuo reumatologo»</w:t>
      </w:r>
      <w:r>
        <w:t xml:space="preserve">.</w:t>
      </w:r>
    </w:p>
    <w:bookmarkEnd w:id="65"/>
    <w:bookmarkStart w:id="66" w:name="il-rapporto-con-il-prescrittore"/>
    <w:p>
      <w:pPr>
        <w:pStyle w:val="Heading3"/>
      </w:pPr>
      <w:r>
        <w:t xml:space="preserve">Il rapporto con il prescrittore</w:t>
      </w:r>
    </w:p>
    <w:p>
      <w:pPr>
        <w:pStyle w:val="FirstParagraph"/>
      </w:pPr>
      <w:r>
        <w:t xml:space="preserve">Il reumatologo non è un destinatario di cortesia: è il titolare della terapia che decide la prognosi. La comunicazione scritta contiene tre cose e nient’altro: cosa hai misurato, cosa hai trattato, cosa hai osservato che gli interessa. Rientrano in quest’ultima voce una nuova articolazione gonfia, un dito che ha perso l’estensione, una rigidità mattutina peggiorata in un paziente che risultava in remissione, un desiderio di gravidanza.</w:t>
      </w:r>
    </w:p>
    <w:p>
      <w:pPr>
        <w:pStyle w:val="BodyText"/>
      </w:pPr>
      <w:r>
        <w:t xml:space="preserve">Il riferimento normativo è uno: il</w:t>
      </w:r>
      <w:r>
        <w:t xml:space="preserve"> </w:t>
      </w:r>
      <w:r>
        <w:rPr>
          <w:b/>
          <w:bCs/>
        </w:rPr>
        <w:t xml:space="preserve">DPR 131/2021</w:t>
      </w:r>
      <w:r>
        <w:t xml:space="preserve"> </w:t>
      </w:r>
      <w:r>
        <w:t xml:space="preserve">circoscrive l’atto osteopatico alle</w:t>
      </w:r>
      <w:r>
        <w:t xml:space="preserve"> </w:t>
      </w:r>
      <w:r>
        <w:rPr>
          <w:b/>
          <w:bCs/>
        </w:rPr>
        <w:t xml:space="preserve">disfunzioni somatiche non ascrivibili a patologie</w:t>
      </w:r>
      <w:r>
        <w:t xml:space="preserve">. È la norma che rende il confine di questo documento un obbligo e non una scelta di stile: la malattia non è tua, il corpo intorno alla malattia sì.</w:t>
      </w:r>
    </w:p>
    <w:p>
      <w:pPr>
        <w:pStyle w:val="BodyText"/>
      </w:pPr>
      <w:r>
        <w:rPr>
          <w:b/>
          <w:bCs/>
        </w:rPr>
        <w:t xml:space="preserve">Se sbagli campo</w:t>
      </w:r>
      <w:r>
        <w:t xml:space="preserve">, il danno più probabile non è una manovra pericolosa: è un ritardo. Un’articolazione settica scambiata per una riacutizzazione, o un tendine rotto per una rigidità, costano giorni che non si recuperano.</w:t>
      </w:r>
    </w:p>
    <w:p>
      <w:pPr>
        <w:pStyle w:val="BodyText"/>
      </w:pPr>
      <w:r>
        <w:rPr>
          <w:b/>
          <w:bCs/>
        </w:rPr>
        <w:t xml:space="preserve">Le tre cose da ricordare, più una</w:t>
      </w:r>
    </w:p>
    <w:p>
      <w:pPr>
        <w:pStyle w:val="Compact"/>
        <w:numPr>
          <w:ilvl w:val="0"/>
          <w:numId w:val="1022"/>
        </w:numPr>
      </w:pPr>
      <w:r>
        <w:t xml:space="preserve">Sul collo di questo paziente non si usano tecniche a leva, mai, e una radiografia vecchia non è una garanzia.</w:t>
      </w:r>
    </w:p>
    <w:p>
      <w:pPr>
        <w:pStyle w:val="Compact"/>
        <w:numPr>
          <w:ilvl w:val="0"/>
          <w:numId w:val="1022"/>
        </w:numPr>
      </w:pPr>
      <w:r>
        <w:t xml:space="preserve">Un’articolazione singola calda con febbre è il 112, e non presumere che sia già stata valutata.</w:t>
      </w:r>
    </w:p>
    <w:p>
      <w:pPr>
        <w:pStyle w:val="Compact"/>
        <w:numPr>
          <w:ilvl w:val="0"/>
          <w:numId w:val="1022"/>
        </w:numPr>
      </w:pPr>
      <w:r>
        <w:t xml:space="preserve">Non commenti i farmaci: qui una frase ambigua produce sospensioni che il reumatologo scopre mesi dopo.</w:t>
      </w:r>
    </w:p>
    <w:p>
      <w:pPr>
        <w:pStyle w:val="Compact"/>
        <w:numPr>
          <w:ilvl w:val="0"/>
          <w:numId w:val="1022"/>
        </w:numPr>
      </w:pPr>
      <w:r>
        <w:rPr>
          <w:b/>
          <w:bCs/>
        </w:rPr>
        <w:t xml:space="preserve">Perché ci sei tu.</w:t>
      </w:r>
      <w:r>
        <w:t xml:space="preserve"> </w:t>
      </w:r>
      <w:r>
        <w:t xml:space="preserve">Su 81 articolazioni calde arrivate in ospedale, l’aspirazione era stata eseguita nel 52% dei casi e le emocolture nel 37% (Farah, 2015, PMID 25650874).</w:t>
      </w:r>
      <w:r>
        <w:t xml:space="preserve"> </w:t>
      </w:r>
      <w:r>
        <w:rPr>
          <w:b/>
          <w:bCs/>
        </w:rPr>
        <w:t xml:space="preserve">Per te:</w:t>
      </w:r>
      <w:r>
        <w:t xml:space="preserve"> </w:t>
      </w:r>
      <w:r>
        <w:t xml:space="preserve">il filtro a monte è meno robusto di quanto il paziente creda, e tu vedi quella persona con più tempo di chiunque altro nel percorso. Questo ti autorizza a essere un punto di intercettazione serio e a mandare senza sentirti allarmista. Non ti autorizza a valutare tu quell’articolazione: la tua unica azione corretta è farla uscire.</w:t>
      </w:r>
    </w:p>
    <w:p>
      <w:r>
        <w:pict>
          <v:rect style="width:0;height:1.5pt" o:hralign="center" o:hrstd="t" o:hr="t"/>
        </w:pict>
      </w:r>
    </w:p>
    <w:bookmarkEnd w:id="66"/>
    <w:bookmarkEnd w:id="67"/>
    <w:bookmarkStart w:id="72"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la scienza parla forte su quello che il paziente fa da solo, e quasi non parla su quello che facciamo noi.</w:t>
      </w:r>
    </w:p>
    <w:bookmarkStart w:id="68" w:name="le-due-ancore-e-quale-pesa"/>
    <w:p>
      <w:pPr>
        <w:pStyle w:val="Heading3"/>
      </w:pPr>
      <w:r>
        <w:t xml:space="preserve">Le due ancore, e quale pesa</w:t>
      </w:r>
    </w:p>
    <w:p>
      <w:pPr>
        <w:pStyle w:val="FirstParagraph"/>
      </w:pPr>
      <w:r>
        <w:rPr>
          <w:b/>
          <w:bCs/>
        </w:rPr>
        <w:t xml:space="preserve">L’ancora clinica sulla leva attiva è Sarah E. Lamb</w:t>
      </w:r>
      <w:r>
        <w:t xml:space="preserve">, epidemiologa clinica a Oxford. Ha condotto lo studio che qui pesa più di ogni altro (Lamb, 2015, PMID 25308290; il disegno è nel capitolo sugli strumenti attivi). Il contributo concettuale è preciso. I farmaci hanno migliorato molto il controllo della malattia e del danno articolare. Ma</w:t>
      </w:r>
      <w:r>
        <w:t xml:space="preserve"> </w:t>
      </w:r>
      <w:r>
        <w:rPr>
          <w:b/>
          <w:bCs/>
        </w:rPr>
        <w:t xml:space="preserve">il miglioramento della funzione e della qualità di vita non è arrivato in proporzione</w:t>
      </w:r>
      <w:r>
        <w:t xml:space="preserve">, ed è quel divario che l’esercizio riempie.</w:t>
      </w:r>
    </w:p>
    <w:p>
      <w:pPr>
        <w:pStyle w:val="BodyText"/>
      </w:pPr>
      <w:r>
        <w:rPr>
          <w:b/>
          <w:bCs/>
        </w:rPr>
        <w:t xml:space="preserve">L’ancora fisiologica è Kevin J. Tracey</w:t>
      </w:r>
      <w:r>
        <w:t xml:space="preserve">, che ha stabilito il</w:t>
      </w:r>
      <w:r>
        <w:t xml:space="preserve"> </w:t>
      </w:r>
      <w:r>
        <w:rPr>
          <w:b/>
          <w:bCs/>
        </w:rPr>
        <w:t xml:space="preserve">riflesso infiammatorio</w:t>
      </w:r>
      <w:r>
        <w:t xml:space="preserve">: la via per cui il nervo vago inibisce la produzione di citochine. È l’ancora che rende fisiologicamente sensato interessarsi del piano autonomico in una malattia infiammatoria.</w:t>
      </w:r>
    </w:p>
    <w:p>
      <w:pPr>
        <w:pStyle w:val="BodyText"/>
      </w:pPr>
      <w:r>
        <w:t xml:space="preserve">Il primo studio nell’uomo porta la sua firma. È un proof-of-concept in aperto su 17 pazienti, finanziato dal produttore, in cui un elettrodo impiantato ha inibito il TNF. E</w:t>
      </w:r>
      <w:r>
        <w:t xml:space="preserve"> </w:t>
      </w:r>
      <w:r>
        <w:rPr>
          <w:b/>
          <w:bCs/>
        </w:rPr>
        <w:t xml:space="preserve">la riduzione delle tre citochine insieme, TNF, interleuchina-1β e interleuchina-6, è stata misurata in pazienti epilettici portatori dello stesso dispositivo, non nei pazienti reumatologici</w:t>
      </w:r>
      <w:r>
        <w:t xml:space="preserve"> </w:t>
      </w:r>
      <w:r>
        <w:t xml:space="preserve">(Koopman, 2016, PMID 27382171). La questione l’ha chiusa</w:t>
      </w:r>
      <w:r>
        <w:t xml:space="preserve"> </w:t>
      </w:r>
      <w:r>
        <w:rPr>
          <w:b/>
          <w:bCs/>
        </w:rPr>
        <w:t xml:space="preserve">RESET-RA</w:t>
      </w:r>
      <w:r>
        <w:t xml:space="preserve">: un randomizzato in doppio cieco con braccio finto, su 242 pazienti refrattari ai biologici. La risposta clinica a tre mesi è stata del</w:t>
      </w:r>
      <w:r>
        <w:t xml:space="preserve"> </w:t>
      </w:r>
      <w:r>
        <w:rPr>
          <w:b/>
          <w:bCs/>
        </w:rPr>
        <w:t xml:space="preserve">35,2% con la stimolazione accesa, contro il 24,2% con il dispositivo impiantato e spento</w:t>
      </w:r>
      <w:r>
        <w:t xml:space="preserve"> </w:t>
      </w:r>
      <w:r>
        <w:t xml:space="preserve">(Tesser, 2026, PMID 41429981).</w:t>
      </w:r>
    </w:p>
    <w:p>
      <w:pPr>
        <w:pStyle w:val="BodyText"/>
      </w:pPr>
      <w:r>
        <w:rPr>
          <w:b/>
          <w:bCs/>
        </w:rPr>
        <w:t xml:space="preserve">Quale delle due ancore pesa.</w:t>
      </w:r>
      <w:r>
        <w:t xml:space="preserve"> </w:t>
      </w:r>
      <w:r>
        <w:t xml:space="preserve">La prima. La seconda stabilisce che il piano autonomico è una via reale verso l’infiammazione, e</w:t>
      </w:r>
      <w:r>
        <w:t xml:space="preserve"> </w:t>
      </w:r>
      <w:r>
        <w:rPr>
          <w:b/>
          <w:bCs/>
        </w:rPr>
        <w:t xml:space="preserve">non stabilisce niente sul tocco</w:t>
      </w:r>
      <w:r>
        <w:t xml:space="preserve">. Porta però il numero più utile del capitolo:</w:t>
      </w:r>
      <w:r>
        <w:t xml:space="preserve"> </w:t>
      </w:r>
      <w:r>
        <w:rPr>
          <w:b/>
          <w:bCs/>
        </w:rPr>
        <w:t xml:space="preserve">quasi un quarto dei pazienti è migliorato con un dispositivo spento</w:t>
      </w:r>
      <w:r>
        <w:t xml:space="preserve">. È la misura di quanto un miglioramento possa non appartenere a chi lo osserva. La stimolazione dell’orecchio, che sembrerebbe più vicina a noi, è a braccio singolo e in aperto (Marsal, 2021, PMID 38279410), ed è comunque un dispositivo elettrico: più piccolo, non più nostro.</w:t>
      </w:r>
    </w:p>
    <w:bookmarkEnd w:id="68"/>
    <w:bookmarkStart w:id="69"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Lamb, 2015 (25308290) · c1</w:t>
            </w:r>
          </w:p>
        </w:tc>
        <w:tc>
          <w:tcPr/>
          <w:p>
            <w:pPr>
              <w:pStyle w:val="Compact"/>
            </w:pPr>
            <w:r>
              <w:t xml:space="preserve">Esercizio mano, 490 adulti, 12 mesi</w:t>
            </w:r>
          </w:p>
        </w:tc>
        <w:tc>
          <w:tcPr/>
          <w:p>
            <w:pPr>
              <w:pStyle w:val="Compact"/>
            </w:pPr>
            <w:r>
              <w:t xml:space="preserve">Insegnarlo come la prova migliore del documento</w:t>
            </w:r>
          </w:p>
        </w:tc>
      </w:tr>
      <w:tr>
        <w:tc>
          <w:tcPr/>
          <w:p>
            <w:pPr>
              <w:pStyle w:val="Compact"/>
            </w:pPr>
            <w:r>
              <w:t xml:space="preserve">Williams, 2018 (30063798) · c1</w:t>
            </w:r>
          </w:p>
        </w:tc>
        <w:tc>
          <w:tcPr/>
          <w:p>
            <w:pPr>
              <w:pStyle w:val="Compact"/>
            </w:pPr>
            <w:r>
              <w:t xml:space="preserve">Cochrane, 7 studi, 841 persone</w:t>
            </w:r>
          </w:p>
        </w:tc>
        <w:tc>
          <w:tcPr/>
          <w:p>
            <w:pPr>
              <w:pStyle w:val="Compact"/>
            </w:pPr>
            <w:r>
              <w:t xml:space="preserve">Dichiararne la taglia: 4-5% assoluto, «beneficio clinico minimo»</w:t>
            </w:r>
          </w:p>
        </w:tc>
      </w:tr>
      <w:tr>
        <w:tc>
          <w:tcPr/>
          <w:p>
            <w:pPr>
              <w:pStyle w:val="Compact"/>
            </w:pPr>
            <w:r>
              <w:t xml:space="preserve">Hurkmans, 2009 (19821388) · c1</w:t>
            </w:r>
          </w:p>
        </w:tc>
        <w:tc>
          <w:tcPr/>
          <w:p>
            <w:pPr>
              <w:pStyle w:val="Compact"/>
            </w:pPr>
            <w:r>
              <w:t xml:space="preserve">Otto studi su esercizio dinamico</w:t>
            </w:r>
          </w:p>
        </w:tc>
        <w:tc>
          <w:tcPr/>
          <w:p>
            <w:pPr>
              <w:pStyle w:val="Compact"/>
            </w:pPr>
            <w:r>
              <w:t xml:space="preserve">Migliora forza e capacità, nessun danno rilevato</w:t>
            </w:r>
          </w:p>
        </w:tc>
      </w:tr>
      <w:tr>
        <w:tc>
          <w:tcPr/>
          <w:p>
            <w:pPr>
              <w:pStyle w:val="Compact"/>
            </w:pPr>
            <w:r>
              <w:t xml:space="preserve">de Jong, 2003 (13130460) · c1</w:t>
            </w:r>
          </w:p>
        </w:tc>
        <w:tc>
          <w:tcPr/>
          <w:p>
            <w:pPr>
              <w:pStyle w:val="Compact"/>
            </w:pPr>
            <w:r>
              <w:t xml:space="preserve">309 pazienti, esercizio intenso, 2 anni</w:t>
            </w:r>
          </w:p>
        </w:tc>
        <w:tc>
          <w:tcPr/>
          <w:p>
            <w:pPr>
              <w:pStyle w:val="Compact"/>
            </w:pPr>
            <w:r>
              <w:t xml:space="preserve">Dire che l’alta intensità non aggiunge danno radiografico</w:t>
            </w:r>
          </w:p>
        </w:tc>
      </w:tr>
      <w:tr>
        <w:tc>
          <w:tcPr/>
          <w:p>
            <w:pPr>
              <w:pStyle w:val="Compact"/>
            </w:pPr>
            <w:r>
              <w:t xml:space="preserve">Cramp, 2013 (23975674) · c1</w:t>
            </w:r>
          </w:p>
        </w:tc>
        <w:tc>
          <w:tcPr/>
          <w:p>
            <w:pPr>
              <w:pStyle w:val="Compact"/>
            </w:pPr>
            <w:r>
              <w:t xml:space="preserve">Attività fisica: 6 studi, 388. Psicosociali: 13, 1.579</w:t>
            </w:r>
          </w:p>
        </w:tc>
        <w:tc>
          <w:tcPr/>
          <w:p>
            <w:pPr>
              <w:pStyle w:val="Compact"/>
            </w:pPr>
            <w:r>
              <w:t xml:space="preserve">Prendere la stanchezza come bersaglio, con due leve</w:t>
            </w:r>
          </w:p>
        </w:tc>
      </w:tr>
      <w:tr>
        <w:tc>
          <w:tcPr/>
          <w:p>
            <w:pPr>
              <w:pStyle w:val="Compact"/>
            </w:pPr>
            <w:r>
              <w:t xml:space="preserve">Field, 2013 (23561068) · c1</w:t>
            </w:r>
          </w:p>
        </w:tc>
        <w:tc>
          <w:tcPr/>
          <w:p>
            <w:pPr>
              <w:pStyle w:val="Compact"/>
            </w:pPr>
            <w:r>
              <w:t xml:space="preserve">42 adulti, pressione moderata vs leggera sull’arto malato</w:t>
            </w:r>
          </w:p>
        </w:tc>
        <w:tc>
          <w:tcPr/>
          <w:p>
            <w:pPr>
              <w:pStyle w:val="Compact"/>
            </w:pPr>
            <w:r>
              <w:t xml:space="preserve">Non assumere che più leggero sia più sicuro</w:t>
            </w:r>
          </w:p>
        </w:tc>
      </w:tr>
      <w:tr>
        <w:tc>
          <w:tcPr/>
          <w:p>
            <w:pPr>
              <w:pStyle w:val="Compact"/>
            </w:pPr>
            <w:r>
              <w:t xml:space="preserve">Elgayar, 2026 (41915908) · c1</w:t>
            </w:r>
          </w:p>
        </w:tc>
        <w:tc>
          <w:tcPr/>
          <w:p>
            <w:pPr>
              <w:pStyle w:val="Compact"/>
            </w:pPr>
            <w:r>
              <w:t xml:space="preserve">80 donne, rilascio diaframmatico + aerobico</w:t>
            </w:r>
          </w:p>
        </w:tc>
        <w:tc>
          <w:tcPr/>
          <w:p>
            <w:pPr>
              <w:pStyle w:val="Compact"/>
            </w:pPr>
            <w:r>
              <w:t xml:space="preserve">Dire che ha migliorato la ventilazione: uno studio</w:t>
            </w:r>
          </w:p>
        </w:tc>
      </w:tr>
      <w:tr>
        <w:tc>
          <w:tcPr/>
          <w:p>
            <w:pPr>
              <w:pStyle w:val="Compact"/>
            </w:pPr>
            <w:r>
              <w:t xml:space="preserve">Nelson, 2017 (28177937) · c1</w:t>
            </w:r>
          </w:p>
        </w:tc>
        <w:tc>
          <w:tcPr/>
          <w:p>
            <w:pPr>
              <w:pStyle w:val="Compact"/>
            </w:pPr>
            <w:r>
              <w:t xml:space="preserve">7 studi, 352 partecipanti</w:t>
            </w:r>
          </w:p>
        </w:tc>
        <w:tc>
          <w:tcPr/>
          <w:p>
            <w:pPr>
              <w:pStyle w:val="Compact"/>
            </w:pPr>
            <w:r>
              <w:t xml:space="preserve">Dichiarare prove di qualità bassa-moderata sul massaggio</w:t>
            </w:r>
          </w:p>
        </w:tc>
      </w:tr>
      <w:tr>
        <w:tc>
          <w:tcPr/>
          <w:p>
            <w:pPr>
              <w:pStyle w:val="Compact"/>
            </w:pPr>
            <w:r>
              <w:t xml:space="preserve">Özçelep, 2025 (41152887) · c1</w:t>
            </w:r>
          </w:p>
        </w:tc>
        <w:tc>
          <w:tcPr/>
          <w:p>
            <w:pPr>
              <w:pStyle w:val="Compact"/>
            </w:pPr>
            <w:r>
              <w:t xml:space="preserve">21 pazienti, mobilizzazione con movimento contro sham</w:t>
            </w:r>
          </w:p>
        </w:tc>
        <w:tc>
          <w:tcPr/>
          <w:p>
            <w:pPr>
              <w:pStyle w:val="Compact"/>
            </w:pPr>
            <w:r>
              <w:t xml:space="preserve">Dire che è positivo su indici ecografici locali</w:t>
            </w:r>
          </w:p>
        </w:tc>
      </w:tr>
      <w:tr>
        <w:tc>
          <w:tcPr/>
          <w:p>
            <w:pPr>
              <w:pStyle w:val="Compact"/>
            </w:pPr>
            <w:r>
              <w:t xml:space="preserve">Sundus, 2025 (40744898) · c1</w:t>
            </w:r>
          </w:p>
        </w:tc>
        <w:tc>
          <w:tcPr/>
          <w:p>
            <w:pPr>
              <w:pStyle w:val="Compact"/>
            </w:pPr>
            <w:r>
              <w:t xml:space="preserve">17 RCT; meta-analisi su 5 trial, 307 pazienti</w:t>
            </w:r>
          </w:p>
        </w:tc>
        <w:tc>
          <w:tcPr/>
          <w:p>
            <w:pPr>
              <w:pStyle w:val="Compact"/>
            </w:pPr>
            <w:r>
              <w:t xml:space="preserve">Dire che la fisioterapia riduce poco il dolore</w:t>
            </w:r>
          </w:p>
        </w:tc>
      </w:tr>
      <w:tr>
        <w:tc>
          <w:tcPr/>
          <w:p>
            <w:pPr>
              <w:pStyle w:val="Compact"/>
            </w:pPr>
            <w:r>
              <w:t xml:space="preserve">Tesser, 2026 (41429981) · c2</w:t>
            </w:r>
          </w:p>
        </w:tc>
        <w:tc>
          <w:tcPr/>
          <w:p>
            <w:pPr>
              <w:pStyle w:val="Compact"/>
            </w:pPr>
            <w:r>
              <w:t xml:space="preserve">242 pazienti, stimolazione vagale contro braccio finto</w:t>
            </w:r>
          </w:p>
        </w:tc>
        <w:tc>
          <w:tcPr/>
          <w:p>
            <w:pPr>
              <w:pStyle w:val="Compact"/>
            </w:pPr>
            <w:r>
              <w:t xml:space="preserve">Ricordare il braccio finto: risposta nel 24,2%</w:t>
            </w:r>
          </w:p>
        </w:tc>
      </w:tr>
      <w:tr>
        <w:tc>
          <w:tcPr/>
          <w:p>
            <w:pPr>
              <w:pStyle w:val="Compact"/>
            </w:pPr>
            <w:r>
              <w:t xml:space="preserve">Provan, 2018 (29291895) · c2</w:t>
            </w:r>
          </w:p>
        </w:tc>
        <w:tc>
          <w:tcPr/>
          <w:p>
            <w:pPr>
              <w:pStyle w:val="Compact"/>
            </w:pPr>
            <w:r>
              <w:t xml:space="preserve">35 studi, variabilità cardiaca</w:t>
            </w:r>
          </w:p>
        </w:tc>
        <w:tc>
          <w:tcPr/>
          <w:p>
            <w:pPr>
              <w:pStyle w:val="Compact"/>
            </w:pPr>
            <w:r>
              <w:t xml:space="preserve">Sapere che il tono parasimpatico è già ridotto</w:t>
            </w:r>
          </w:p>
        </w:tc>
      </w:tr>
      <w:tr>
        <w:tc>
          <w:tcPr/>
          <w:p>
            <w:pPr>
              <w:pStyle w:val="Compact"/>
            </w:pPr>
            <w:r>
              <w:t xml:space="preserve">Irwin, 2016 (26140821) · c2</w:t>
            </w:r>
          </w:p>
        </w:tc>
        <w:tc>
          <w:tcPr/>
          <w:p>
            <w:pPr>
              <w:pStyle w:val="Compact"/>
            </w:pPr>
            <w:r>
              <w:t xml:space="preserve">72 studi, sonno e infiammazione</w:t>
            </w:r>
          </w:p>
        </w:tc>
        <w:tc>
          <w:tcPr/>
          <w:p>
            <w:pPr>
              <w:pStyle w:val="Compact"/>
            </w:pPr>
            <w:r>
              <w:t xml:space="preserve">Trattare il sonno come parte del quadro</w:t>
            </w:r>
          </w:p>
        </w:tc>
      </w:tr>
      <w:tr>
        <w:tc>
          <w:tcPr/>
          <w:p>
            <w:pPr>
              <w:pStyle w:val="Compact"/>
            </w:pPr>
            <w:r>
              <w:t xml:space="preserve">Löken, 2009 (19363489) · c3</w:t>
            </w:r>
          </w:p>
        </w:tc>
        <w:tc>
          <w:tcPr/>
          <w:p>
            <w:pPr>
              <w:pStyle w:val="Compact"/>
            </w:pPr>
            <w:r>
              <w:t xml:space="preserve">Fibre C-tattili, velocità del tocco</w:t>
            </w:r>
          </w:p>
        </w:tc>
        <w:tc>
          <w:tcPr/>
          <w:p>
            <w:pPr>
              <w:pStyle w:val="Compact"/>
            </w:pPr>
            <w:r>
              <w:t xml:space="preserve">Capire perché la velocità rende gradevole il tocco</w:t>
            </w:r>
          </w:p>
        </w:tc>
      </w:tr>
    </w:tbl>
    <w:p>
      <w:pPr>
        <w:pStyle w:val="BodyText"/>
      </w:pPr>
      <w:r>
        <w:rPr>
          <w:b/>
          <w:bCs/>
        </w:rPr>
        <w:t xml:space="preserve">Legenda dei cerchi.</w:t>
      </w:r>
      <w:r>
        <w:t xml:space="preserve"> </w:t>
      </w:r>
      <w:r>
        <w:t xml:space="preserve">Il cerchio indica</w:t>
      </w:r>
      <w:r>
        <w:t xml:space="preserve"> </w:t>
      </w:r>
      <w:r>
        <w:rPr>
          <w:b/>
          <w:bCs/>
        </w:rPr>
        <w:t xml:space="preserve">l’oggetto</w:t>
      </w:r>
      <w:r>
        <w:t xml:space="preserve"> </w:t>
      </w:r>
      <w:r>
        <w:t xml:space="preserve">dello studio, non la popolazione.</w:t>
      </w:r>
      <w:r>
        <w:t xml:space="preserve"> </w:t>
      </w:r>
      <w:r>
        <w:rPr>
          <w:rStyle w:val="VerbatimChar"/>
        </w:rPr>
        <w:t xml:space="preserve">c1</w:t>
      </w:r>
      <w:r>
        <w:t xml:space="preserve"> </w:t>
      </w:r>
      <w:r>
        <w:t xml:space="preserve">è la letteratura specifica su questa condizione, e si divide in due: il cerchio dell’</w:t>
      </w:r>
      <w:r>
        <w:rPr>
          <w:b/>
          <w:bCs/>
        </w:rPr>
        <w:t xml:space="preserve">esercizio</w:t>
      </w:r>
      <w:r>
        <w:t xml:space="preserve"> </w:t>
      </w:r>
      <w:r>
        <w:t xml:space="preserve">è ricco e favorevole, quello delle</w:t>
      </w:r>
      <w:r>
        <w:t xml:space="preserve"> </w:t>
      </w:r>
      <w:r>
        <w:rPr>
          <w:b/>
          <w:bCs/>
        </w:rPr>
        <w:t xml:space="preserve">nostre mani</w:t>
      </w:r>
      <w:r>
        <w:t xml:space="preserve"> </w:t>
      </w:r>
      <w:r>
        <w:t xml:space="preserve">è di pochi studi piccoli.</w:t>
      </w:r>
      <w:r>
        <w:t xml:space="preserve"> </w:t>
      </w:r>
      <w:r>
        <w:rPr>
          <w:rStyle w:val="VerbatimChar"/>
        </w:rPr>
        <w:t xml:space="preserve">c2</w:t>
      </w:r>
      <w:r>
        <w:t xml:space="preserve"> </w:t>
      </w:r>
      <w:r>
        <w:t xml:space="preserve">è la letteratura trasversale sul meccanismo, anche quando è misurata su questi pazienti.</w:t>
      </w:r>
      <w:r>
        <w:t xml:space="preserve"> </w:t>
      </w:r>
      <w:r>
        <w:rPr>
          <w:rStyle w:val="VerbatimChar"/>
        </w:rPr>
        <w:t xml:space="preserve">c3</w:t>
      </w:r>
      <w:r>
        <w:t xml:space="preserve"> </w:t>
      </w:r>
      <w:r>
        <w:t xml:space="preserve">è la fisiologia di base.</w:t>
      </w:r>
      <w:r>
        <w:t xml:space="preserve"> </w:t>
      </w:r>
      <w:r>
        <w:rPr>
          <w:b/>
          <w:bCs/>
        </w:rPr>
        <w:t xml:space="preserve">Sette righe su quattordici portano un limite invece di un sostegno</w:t>
      </w:r>
      <w:r>
        <w:t xml:space="preserve"> </w:t>
      </w:r>
      <w:r>
        <w:t xml:space="preserve">— Williams, de Jong, Nelson, Özçelep, Tesser, Irwin e Löken: metà di ciò che si cita serve a ridurre una pretesa, non ad alzarla. Alcuni di quei limiti non entrano nella riga, e si leggono qui. In de Jong il danno radiografico non è aumentato, salvo in chi partiva già danneggiato. Irwin è misurato su popolazioni generali, Löken su volontari sani. Provan descrive una caratteristica di questi pazienti, non l’esito di un trattamento. Özçelep è l’unico studio con braccio simulato, e sono ventuno pazienti in tre gruppi da sette. Sundus riguarda la fisioterapia in senso lato: differenza standardizzata −0,347, su 1.362 partecipanti in tutto.</w:t>
      </w:r>
    </w:p>
    <w:bookmarkEnd w:id="69"/>
    <w:bookmarkStart w:id="70"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23"/>
        </w:numPr>
      </w:pPr>
      <w:r>
        <w:t xml:space="preserve">Che l’esercizio della mano migliora la funzione a dodici mesi, su 490 persone, di poco.</w:t>
      </w:r>
    </w:p>
    <w:p>
      <w:pPr>
        <w:pStyle w:val="Compact"/>
        <w:numPr>
          <w:ilvl w:val="0"/>
          <w:numId w:val="1023"/>
        </w:numPr>
      </w:pPr>
      <w:r>
        <w:t xml:space="preserve">Che l’allenamento aerobico e di forza migliora capacità e forza, senza effetti dannosi rilevati.</w:t>
      </w:r>
    </w:p>
    <w:p>
      <w:pPr>
        <w:pStyle w:val="Compact"/>
        <w:numPr>
          <w:ilvl w:val="0"/>
          <w:numId w:val="1023"/>
        </w:numPr>
      </w:pPr>
      <w:r>
        <w:t xml:space="preserve">Che l’esercizio intenso non ha aumentato il danno radiografico delle grandi articolazioni, salvo in chi parte già danneggiato.</w:t>
      </w:r>
    </w:p>
    <w:p>
      <w:pPr>
        <w:pStyle w:val="Compact"/>
        <w:numPr>
          <w:ilvl w:val="0"/>
          <w:numId w:val="1023"/>
        </w:numPr>
      </w:pPr>
      <w:r>
        <w:t xml:space="preserve">Che l’attività fisica riduce la stanchezza riferita, con effetto piccolo e prove di qualità moderata, e gli interventi psicosociali lo stesso con prove di qualità bassa.</w:t>
      </w:r>
    </w:p>
    <w:p>
      <w:pPr>
        <w:pStyle w:val="Compact"/>
        <w:numPr>
          <w:ilvl w:val="0"/>
          <w:numId w:val="1023"/>
        </w:numPr>
      </w:pPr>
      <w:r>
        <w:t xml:space="preserve">Che in questi pazienti il tono parasimpatico cardiaco è ridotto rispetto ai sani.</w:t>
      </w:r>
    </w:p>
    <w:p>
      <w:pPr>
        <w:pStyle w:val="Compact"/>
        <w:numPr>
          <w:ilvl w:val="0"/>
          <w:numId w:val="1023"/>
        </w:numPr>
      </w:pPr>
      <w:r>
        <w:t xml:space="preserve">Che stimolare il vago con un elettrodo impiantato riduce l’attività di malattia più di un dispositivo spento.</w:t>
      </w:r>
    </w:p>
    <w:p>
      <w:pPr>
        <w:pStyle w:val="Compact"/>
        <w:numPr>
          <w:ilvl w:val="0"/>
          <w:numId w:val="1023"/>
        </w:numPr>
      </w:pPr>
      <w:r>
        <w:t xml:space="preserve">Che il trattamento osteopatico riduce il dolore negli adulti con</w:t>
      </w:r>
      <w:r>
        <w:t xml:space="preserve"> </w:t>
      </w:r>
      <w:r>
        <w:rPr>
          <w:b/>
          <w:bCs/>
        </w:rPr>
        <w:t xml:space="preserve">dolore cronico non oncologico</w:t>
      </w:r>
      <w:r>
        <w:t xml:space="preserve">, con prove di qualità moderata (Zipp, 2025, PMID 40325655): è il supporto trasversale più vicino che la leva sul dolore residuo abbia, e riguarda un’altra popolazione.</w:t>
      </w:r>
    </w:p>
    <w:p>
      <w:pPr>
        <w:pStyle w:val="Compact"/>
        <w:numPr>
          <w:ilvl w:val="0"/>
          <w:numId w:val="1023"/>
        </w:numPr>
      </w:pPr>
      <w:r>
        <w:t xml:space="preserve">Che un intervento manuale sul diaframma aggiunto all’aerobico ha migliorato ventilazione ed escursione diaframmatica, in uno studio su 80 donne (Elgayar, 2026, PMID 41915908).</w:t>
      </w:r>
    </w:p>
    <w:p>
      <w:pPr>
        <w:pStyle w:val="Compact"/>
        <w:numPr>
          <w:ilvl w:val="0"/>
          <w:numId w:val="1023"/>
        </w:numPr>
      </w:pPr>
      <w:r>
        <w:t xml:space="preserve">Che la fisioterapia nel suo insieme riduce il dolore in questa malattia, di poco e con eterogeneità nulla: differenza standardizzata −0,347 su cinque studi e 307 pazienti, dentro una revisione di 17 randomizzati e 1.362 partecipanti (Sundus, 2025, PMID 40744898) — misurato sulla fisioterapia in senso lato, dove l’esercizio è la modalità dominante, non sul gesto manuale isolato e non sul trattamento osteopatico.</w:t>
      </w:r>
    </w:p>
    <w:p>
      <w:pPr>
        <w:pStyle w:val="FirstParagraph"/>
      </w:pPr>
      <w:r>
        <w:rPr>
          <w:b/>
          <w:bCs/>
        </w:rPr>
        <w:t xml:space="preserve">Non possiamo dire:</w:t>
      </w:r>
    </w:p>
    <w:p>
      <w:pPr>
        <w:pStyle w:val="Compact"/>
        <w:numPr>
          <w:ilvl w:val="0"/>
          <w:numId w:val="1024"/>
        </w:numPr>
      </w:pPr>
      <w:r>
        <w:t xml:space="preserve">Che il trattamento manuale</w:t>
      </w:r>
      <w:r>
        <w:t xml:space="preserve"> </w:t>
      </w:r>
      <w:r>
        <w:rPr>
          <w:b/>
          <w:bCs/>
        </w:rPr>
        <w:t xml:space="preserve">osteopatico come tale</w:t>
      </w:r>
      <w:r>
        <w:t xml:space="preserve"> </w:t>
      </w:r>
      <w:r>
        <w:t xml:space="preserve">funzioni qui: nessuno l’ha testato, e gli studi controllati che esistono riguardano altre forme di terapia manuale.</w:t>
      </w:r>
    </w:p>
    <w:p>
      <w:pPr>
        <w:pStyle w:val="Compact"/>
        <w:numPr>
          <w:ilvl w:val="0"/>
          <w:numId w:val="1024"/>
        </w:numPr>
      </w:pPr>
      <w:r>
        <w:t xml:space="preserve">Che il tocco modifichi il tono vagale, in questi pazienti o in altri: il ponte fra Tracey e la nostra mano non esiste come misura.</w:t>
      </w:r>
    </w:p>
    <w:p>
      <w:pPr>
        <w:pStyle w:val="Compact"/>
        <w:numPr>
          <w:ilvl w:val="0"/>
          <w:numId w:val="1024"/>
        </w:numPr>
      </w:pPr>
      <w:r>
        <w:t xml:space="preserve">Che il lavoro manuale modifichi l’attività di malattia, gli indici di infiammazione</w:t>
      </w:r>
      <w:r>
        <w:t xml:space="preserve"> </w:t>
      </w:r>
      <w:r>
        <w:rPr>
          <w:b/>
          <w:bCs/>
        </w:rPr>
        <w:t xml:space="preserve">sistemici</w:t>
      </w:r>
      <w:r>
        <w:t xml:space="preserve"> </w:t>
      </w:r>
      <w:r>
        <w:t xml:space="preserve">o la progressione del danno. L’aggettivo non è un vezzo: senza, questa riga si falsifica con una fonte che siamo noi a fornire (Özçelep, 2025, PMID 41152887, positivo sull’infiammazione</w:t>
      </w:r>
      <w:r>
        <w:t xml:space="preserve"> </w:t>
      </w:r>
      <w:r>
        <w:rPr>
          <w:b/>
          <w:bCs/>
        </w:rPr>
        <w:t xml:space="preserve">ecografica locale</w:t>
      </w:r>
      <w:r>
        <w:t xml:space="preserve">).</w:t>
      </w:r>
    </w:p>
    <w:p>
      <w:pPr>
        <w:pStyle w:val="Compact"/>
        <w:numPr>
          <w:ilvl w:val="0"/>
          <w:numId w:val="1024"/>
        </w:numPr>
      </w:pPr>
      <w:r>
        <w:t xml:space="preserve">Che il massaggio superi altre forme di trattamento: la revisione trova prove di qualità</w:t>
      </w:r>
      <w:r>
        <w:t xml:space="preserve"> </w:t>
      </w:r>
      <w:r>
        <w:rPr>
          <w:b/>
          <w:bCs/>
        </w:rPr>
        <w:t xml:space="preserve">bassa-moderata</w:t>
      </w:r>
      <w:r>
        <w:t xml:space="preserve"> </w:t>
      </w:r>
      <w:r>
        <w:t xml:space="preserve">contro terapie non attive, e sul confronto con altri trattamenti non conclude (Nelson, 2017, PMID 28177937).</w:t>
      </w:r>
    </w:p>
    <w:p>
      <w:pPr>
        <w:pStyle w:val="Compact"/>
        <w:numPr>
          <w:ilvl w:val="0"/>
          <w:numId w:val="1024"/>
        </w:numPr>
      </w:pPr>
      <w:r>
        <w:t xml:space="preserve">Che il lavoro manuale possa drenare l’essudato di un’articolazione infiammata.</w:t>
      </w:r>
    </w:p>
    <w:p>
      <w:pPr>
        <w:pStyle w:val="Compact"/>
        <w:numPr>
          <w:ilvl w:val="0"/>
          <w:numId w:val="1024"/>
        </w:numPr>
      </w:pPr>
      <w:r>
        <w:t xml:space="preserve">Che una tecnica sul collo di questo paziente sia sicura.</w:t>
      </w:r>
    </w:p>
    <w:p>
      <w:pPr>
        <w:pStyle w:val="Compact"/>
        <w:numPr>
          <w:ilvl w:val="0"/>
          <w:numId w:val="1024"/>
        </w:numPr>
      </w:pPr>
      <w:r>
        <w:t xml:space="preserve">Che il plantare riduca dolore e disabilità. La meta-analisi su cinque randomizzati e 301 pazienti non trova differenze significative contro controllo, né a breve né a lungo termine (Gijon-Nogueron, 2018, PMID 29922913), mentre la revisione più recente su nove studi le trova (Cabrera-Sánchez, 2024, PMID 39451432). Due sintesi sugli stessi trial arrivano a conclusioni diverse, e sulla</w:t>
      </w:r>
      <w:r>
        <w:t xml:space="preserve"> </w:t>
      </w:r>
      <w:r>
        <w:rPr>
          <w:b/>
          <w:bCs/>
        </w:rPr>
        <w:t xml:space="preserve">calzatura</w:t>
      </w:r>
      <w:r>
        <w:t xml:space="preserve"> </w:t>
      </w:r>
      <w:r>
        <w:t xml:space="preserve">non è stato pubblicato niente in dieci anni.</w:t>
      </w:r>
    </w:p>
    <w:p>
      <w:pPr>
        <w:pStyle w:val="Compact"/>
        <w:numPr>
          <w:ilvl w:val="0"/>
          <w:numId w:val="1024"/>
        </w:numPr>
      </w:pPr>
      <w:r>
        <w:t xml:space="preserve">Che trattare il sonno migliori il sonno</w:t>
      </w:r>
      <w:r>
        <w:t xml:space="preserve"> </w:t>
      </w:r>
      <w:r>
        <w:rPr>
          <w:b/>
          <w:bCs/>
        </w:rPr>
        <w:t xml:space="preserve">misurato</w:t>
      </w:r>
      <w:r>
        <w:t xml:space="preserve">: nell’unico randomizzato in questa malattia l’esito polisonnografico primario non ha raggiunto la significatività (Latocha, 2023, PMID 35951745).</w:t>
      </w:r>
    </w:p>
    <w:p>
      <w:pPr>
        <w:pStyle w:val="Compact"/>
        <w:numPr>
          <w:ilvl w:val="0"/>
          <w:numId w:val="1024"/>
        </w:numPr>
      </w:pPr>
      <w:r>
        <w:t xml:space="preserve">Che quello che facciamo aiuti nella</w:t>
      </w:r>
      <w:r>
        <w:t xml:space="preserve"> </w:t>
      </w:r>
      <w:r>
        <w:rPr>
          <w:b/>
          <w:bCs/>
        </w:rPr>
        <w:t xml:space="preserve">fibromialgia</w:t>
      </w:r>
      <w:r>
        <w:t xml:space="preserve">, che qui è il sottotipo di quattro pazienti su dieci. La stessa panoramica che citiamo a nostro favore sul dolore cronico riporta che negli adulti con fibromialgia il trattamento osteopatico non ha dato sollievo (Zipp, 2025, PMID 40325655). Chi apre quel riferimento trova entrambe le righe: meglio che le trovi già scritte qui.</w:t>
      </w:r>
    </w:p>
    <w:bookmarkEnd w:id="70"/>
    <w:bookmarkStart w:id="71" w:name="quando-la-scienza-tace"/>
    <w:p>
      <w:pPr>
        <w:pStyle w:val="Heading3"/>
      </w:pPr>
      <w:r>
        <w:t xml:space="preserve">Quando la scienza tace</w:t>
      </w:r>
    </w:p>
    <w:p>
      <w:pPr>
        <w:pStyle w:val="FirstParagraph"/>
      </w:pPr>
      <w:r>
        <w:rPr>
          <w:b/>
          <w:bCs/>
        </w:rPr>
        <w:t xml:space="preserve">1. Due oggetti, due stati di prova.</w:t>
      </w:r>
      <w:r>
        <w:t xml:space="preserve"> </w:t>
      </w:r>
      <w:r>
        <w:t xml:space="preserve">Sull’</w:t>
      </w:r>
      <w:r>
        <w:rPr>
          <w:b/>
          <w:bCs/>
        </w:rPr>
        <w:t xml:space="preserve">esercizio</w:t>
      </w:r>
      <w:r>
        <w:t xml:space="preserve"> </w:t>
      </w:r>
      <w:r>
        <w:t xml:space="preserve">le prove esistono, sono molte e sono favorevoli. Sul</w:t>
      </w:r>
      <w:r>
        <w:t xml:space="preserve"> </w:t>
      </w:r>
      <w:r>
        <w:rPr>
          <w:b/>
          <w:bCs/>
        </w:rPr>
        <w:t xml:space="preserve">nostro gesto</w:t>
      </w:r>
      <w:r>
        <w:t xml:space="preserve"> </w:t>
      </w:r>
      <w:r>
        <w:t xml:space="preserve">ce n’è pochissima. I due stati non si annullano: il primo non ti dà ragione sul secondo, e il secondo non toglie niente al primo. E assenza di prove non è prova di assenza.</w:t>
      </w:r>
    </w:p>
    <w:p>
      <w:pPr>
        <w:pStyle w:val="BodyText"/>
      </w:pPr>
      <w:r>
        <w:rPr>
          <w:b/>
          <w:bCs/>
        </w:rPr>
        <w:t xml:space="preserve">2. Cosa c’è davvero, contato.</w:t>
      </w:r>
      <w:r>
        <w:t xml:space="preserve"> </w:t>
      </w:r>
      <w:r>
        <w:rPr>
          <w:b/>
          <w:bCs/>
        </w:rPr>
        <w:t xml:space="preserve">Non è vero che gli studi non siano stati fatti: sono stati fatti, e sono pochissimi.</w:t>
      </w:r>
      <w:r>
        <w:t xml:space="preserve"> </w:t>
      </w:r>
      <w:r>
        <w:t xml:space="preserve">Sono tre, con i numeri nella tabella qui sopra e nei due elenchi. Il primo è il rilascio manuale del diaframma su 80 donne (Elgayar, 2026, PMID 41915908). Il secondo è la mobilizzazione con movimento contro braccio finto,</w:t>
      </w:r>
      <w:r>
        <w:t xml:space="preserve"> </w:t>
      </w:r>
      <w:r>
        <w:rPr>
          <w:b/>
          <w:bCs/>
        </w:rPr>
        <w:t xml:space="preserve">positiva</w:t>
      </w:r>
      <w:r>
        <w:t xml:space="preserve"> </w:t>
      </w:r>
      <w:r>
        <w:t xml:space="preserve">su infiammazione ecografica e spazio articolare (Özçelep, 2025, PMID 41152887) — misurato su ventuno pazienti in tre gruppi da sette, con la mobilizzazione con movimento e non con il trattamento osteopatico, e su indici ecografici locali e non sugli indici sistemici. Il terzo è la meta-analisi che include la terapia manuale fra le modalità, anch’essa</w:t>
      </w:r>
      <w:r>
        <w:t xml:space="preserve"> </w:t>
      </w:r>
      <w:r>
        <w:rPr>
          <w:b/>
          <w:bCs/>
        </w:rPr>
        <w:t xml:space="preserve">positiva</w:t>
      </w:r>
      <w:r>
        <w:t xml:space="preserve"> </w:t>
      </w:r>
      <w:r>
        <w:t xml:space="preserve">sul dolore (Sundus, 2025, PMID 40744898). Più i pochi studi sul massaggio.</w:t>
      </w:r>
    </w:p>
    <w:p>
      <w:pPr>
        <w:pStyle w:val="BodyText"/>
      </w:pPr>
      <w:r>
        <w:rPr>
          <w:b/>
          <w:bCs/>
        </w:rPr>
        <w:t xml:space="preserve">Nessuno testa il trattamento osteopatico come tale</w:t>
      </w:r>
      <w:r>
        <w:t xml:space="preserve">, il più grande arruola 80 persone, e la panoramica delle revisioni sulle tecniche osteopatiche non include questa condizione (Zipp, 2025, PMID 40325655). La frase corretta non è «non c’è niente»: è «c’è pochissimo, è piccolo, non è nostro —</w:t>
      </w:r>
      <w:r>
        <w:t xml:space="preserve"> </w:t>
      </w:r>
      <w:r>
        <w:rPr>
          <w:b/>
          <w:bCs/>
        </w:rPr>
        <w:t xml:space="preserve">e quel pochissimo va nella nostra direzione</w:t>
      </w:r>
      <w:r>
        <w:t xml:space="preserve">». Con quella frase cade anche una delle ragioni che si davano per il vuoto, cioè che non esisterebbe un placebo credibile per il tocco: uno sham è stato costruito e usato. Restano due ragioni strutturali. Un intervento che non pretende di modificare il danno articolare fatica a trovare finanziamento. E la ricerca qui è dominata dalla farmacologia, per l’ottima ragione che è stata la farmacologia a cambiare la prognosi.</w:t>
      </w:r>
    </w:p>
    <w:p>
      <w:pPr>
        <w:pStyle w:val="BodyText"/>
      </w:pPr>
      <w:r>
        <w:rPr>
          <w:b/>
          <w:bCs/>
        </w:rPr>
        <w:t xml:space="preserve">Un terzo vuoto va nominato con la sua misura esatta, perché il razionale di questo documento lo rende tentante.</w:t>
      </w:r>
      <w:r>
        <w:t xml:space="preserve"> </w:t>
      </w:r>
      <w:r>
        <w:t xml:space="preserve">Sul respiro fatto</w:t>
      </w:r>
      <w:r>
        <w:t xml:space="preserve"> </w:t>
      </w:r>
      <w:r>
        <w:rPr>
          <w:b/>
          <w:bCs/>
        </w:rPr>
        <w:t xml:space="preserve">dal paziente</w:t>
      </w:r>
      <w:r>
        <w:t xml:space="preserve"> </w:t>
      </w:r>
      <w:r>
        <w:t xml:space="preserve">non esiste un randomizzato che lo usi come intervento in questa malattia. Il vuoto è però più stretto di così, e la differenza conta. In questi stessi pazienti la respirazione profonda alza la variabilità cardiaca (Rovsing, 2021, PMID 32195851; Jensen, 2022, PMID 36298234, dove l’aumento è dello stesso ordine di quello ottenuto con la stimolazione elettrica dell’orecchio) — misurato senza braccio di controllo, su artrite reumatoide e lupus messi insieme, e sull’indice vagale cardiaco, che non è il braccio antinfiammatorio. E in un randomizzato su 44 pazienti con questa malattia il respiro lento era il</w:t>
      </w:r>
      <w:r>
        <w:t xml:space="preserve"> </w:t>
      </w:r>
      <w:r>
        <w:rPr>
          <w:b/>
          <w:bCs/>
        </w:rPr>
        <w:t xml:space="preserve">braccio di confronto attivo</w:t>
      </w:r>
      <w:r>
        <w:t xml:space="preserve">, battuto sul dolore sperimentale da una tecnica di meditazione (Finan, 2024, PMID 38244899). Fuori da qui, che il respiro lento alzi quell’indice è una delle cose meglio misurate della fisiologia applicata: 223 studi (Laborde, 2022, PMID 35623448). Niente di tutto questo autorizza il riflesso infiammatorio: quella via è stata percorsa con un elettrodo, e l’indice che il respiro muove è cardiaco. Il respiro resta un tuo gesto e un tuo marker, e non diventa un compito a casa.</w:t>
      </w:r>
    </w:p>
    <w:p>
      <w:pPr>
        <w:pStyle w:val="BodyText"/>
      </w:pPr>
      <w:r>
        <w:rPr>
          <w:b/>
          <w:bCs/>
        </w:rPr>
        <w:t xml:space="preserve">La letteratura sull’esercizio è più abbondante di quanto la tradizione manuale supponga.</w:t>
      </w:r>
      <w:r>
        <w:t xml:space="preserve"> </w:t>
      </w:r>
      <w:r>
        <w:t xml:space="preserve">Su 15 studi e 1.154 partecipanti con malattia precoce si trova un miglioramento della mano e della funzione riferita. E — a differenza della malattia stabilizzata — anche</w:t>
      </w:r>
      <w:r>
        <w:t xml:space="preserve"> </w:t>
      </w:r>
      <w:r>
        <w:rPr>
          <w:b/>
          <w:bCs/>
        </w:rPr>
        <w:t xml:space="preserve">del dolore</w:t>
      </w:r>
      <w:r>
        <w:t xml:space="preserve">, con effetto 0,66 su studi a rischio di bias da moderato ad alto (Courel-Ibáñez, 2026, PMID 42013636). Chi apre PubMed pensando di trovare il vuoto trova un campo pieno, in cui la parte vuota è la nostra.</w:t>
      </w:r>
    </w:p>
    <w:p>
      <w:pPr>
        <w:pStyle w:val="BodyText"/>
      </w:pPr>
      <w:r>
        <w:rPr>
          <w:b/>
          <w:bCs/>
        </w:rPr>
        <w:t xml:space="preserve">3. Su cosa ti basi allora.</w:t>
      </w:r>
      <w:r>
        <w:t xml:space="preserve"> </w:t>
      </w:r>
      <w:r>
        <w:t xml:space="preserve">In ordine di forza. Primo, il</w:t>
      </w:r>
      <w:r>
        <w:t xml:space="preserve"> </w:t>
      </w:r>
      <w:r>
        <w:rPr>
          <w:b/>
          <w:bCs/>
        </w:rPr>
        <w:t xml:space="preserve">meccanismo fisiologico</w:t>
      </w:r>
      <w:r>
        <w:t xml:space="preserve"> </w:t>
      </w:r>
      <w:r>
        <w:t xml:space="preserve">documentato: tono parasimpatico ridotto, legame fra sonno e infiammazione, nutrizione della cartilagine attraverso il movimento. Secondo, il</w:t>
      </w:r>
      <w:r>
        <w:t xml:space="preserve"> </w:t>
      </w:r>
      <w:r>
        <w:rPr>
          <w:b/>
          <w:bCs/>
        </w:rPr>
        <w:t xml:space="preserve">ragionamento clinico</w:t>
      </w:r>
      <w:r>
        <w:t xml:space="preserve"> </w:t>
      </w:r>
      <w:r>
        <w:t xml:space="preserve">dichiarato come tale. Terzo, e più dei primi due insieme, la</w:t>
      </w:r>
      <w:r>
        <w:t xml:space="preserve"> </w:t>
      </w:r>
      <w:r>
        <w:rPr>
          <w:b/>
          <w:bCs/>
        </w:rPr>
        <w:t xml:space="preserve">verifica sul singolo paziente</w:t>
      </w:r>
      <w:r>
        <w:t xml:space="preserve">: un marker scelto prima, con soglia e provenienza dichiarate, misurato prima e dopo, e letto contro la fase di malattia scritta in cartella.</w:t>
      </w:r>
    </w:p>
    <w:p>
      <w:pPr>
        <w:pStyle w:val="BodyText"/>
      </w:pPr>
      <w:r>
        <w:rPr>
          <w:b/>
          <w:bCs/>
        </w:rPr>
        <w:t xml:space="preserve">4. Quello che vedi non è tutto tuo.</w:t>
      </w:r>
      <w:r>
        <w:t xml:space="preserve"> </w:t>
      </w:r>
      <w:r>
        <w:t xml:space="preserve">Una quota appartiene al contesto, all’aspettativa e al tempo che hai dedicato. Non la sai quantificare, e nemmeno chi ti contesta. Ma esiste, e qui ne hai la misura più netta possibile: il braccio con il dispositivo</w:t>
      </w:r>
      <w:r>
        <w:t xml:space="preserve"> </w:t>
      </w:r>
      <w:r>
        <w:rPr>
          <w:b/>
          <w:bCs/>
        </w:rPr>
        <w:t xml:space="preserve">spento</w:t>
      </w:r>
      <w:r>
        <w:t xml:space="preserve"> </w:t>
      </w:r>
      <w:r>
        <w:t xml:space="preserve">ha risposto nel 24,2% (Tesser, 2026, PMID 41429981). E quella quota ha due componenti. La prima è l’</w:t>
      </w:r>
      <w:r>
        <w:rPr>
          <w:b/>
          <w:bCs/>
        </w:rPr>
        <w:t xml:space="preserve">aspettativa</w:t>
      </w:r>
      <w:r>
        <w:t xml:space="preserve">, che il braccio spento misura. La seconda è l’</w:t>
      </w:r>
      <w:r>
        <w:rPr>
          <w:b/>
          <w:bCs/>
        </w:rPr>
        <w:t xml:space="preserve">alleanza</w:t>
      </w:r>
      <w:r>
        <w:t xml:space="preserve">, cioè il tempo dedicato e la relazione. Anche la seconda ha una misura: su 182 pazienti con lombalgia cronica, l’alleanza valutata al secondo incontro predice in modo costante tutti gli esiti a otto settimane (Ferreira, 2013, PMID 23139428) — misurato su lombalgia cronica trattata da fisioterapisti, non su artrite reumatoide, e come predittore osservato, non come effetto randomizzato. Scegliere il marker prima ti protegge dal selezionare la prova a posteriori. Dall’aspettativa e dall’alleanza</w:t>
      </w:r>
      <w:r>
        <w:t xml:space="preserve"> </w:t>
      </w:r>
      <w:r>
        <w:rPr>
          <w:b/>
          <w:bCs/>
        </w:rPr>
        <w:t xml:space="preserve">non</w:t>
      </w:r>
      <w:r>
        <w:t xml:space="preserve"> </w:t>
      </w:r>
      <w:r>
        <w:t xml:space="preserve">ti protegge. Nominarle non è un argomento contro di te: tacerle sì.</w:t>
      </w:r>
    </w:p>
    <w:p>
      <w:pPr>
        <w:pStyle w:val="BodyText"/>
      </w:pPr>
      <w:r>
        <w:rPr>
          <w:b/>
          <w:bCs/>
        </w:rPr>
        <w:t xml:space="preserve">5. Cosa separa tutto questo dal pensiero magico.</w:t>
      </w:r>
      <w:r>
        <w:t xml:space="preserve"> </w:t>
      </w:r>
      <w:r>
        <w:t xml:space="preserve">La verifica: marker scelto prima, verdetto accettato, fase di malattia dichiarata prima di misurare. La meccanica è nel capitolo sul ragionamento.</w:t>
      </w:r>
    </w:p>
    <w:p>
      <w:pPr>
        <w:pStyle w:val="BodyText"/>
      </w:pPr>
      <w:r>
        <w:rPr>
          <w:b/>
          <w:bCs/>
        </w:rPr>
        <w:t xml:space="preserve">6. Cosa questo non autorizza.</w:t>
      </w:r>
      <w:r>
        <w:t xml:space="preserve"> </w:t>
      </w:r>
      <w:r>
        <w:t xml:space="preserve">Non a promettere un esito. Non a scrivere DIMOSTRATO dove c’è IPOTESI. Non a dire al paziente che «gli studi lo confermano». La libertà che questo ragionamento dà è</w:t>
      </w:r>
      <w:r>
        <w:t xml:space="preserve"> </w:t>
      </w:r>
      <w:r>
        <w:rPr>
          <w:b/>
          <w:bCs/>
        </w:rPr>
        <w:t xml:space="preserve">trattare e verificare</w:t>
      </w:r>
      <w:r>
        <w:t xml:space="preserve">, non affermare.</w:t>
      </w:r>
    </w:p>
    <w:p>
      <w:pPr>
        <w:pStyle w:val="BodyText"/>
      </w:pPr>
      <w:r>
        <w:rPr>
          <w:b/>
          <w:bCs/>
        </w:rPr>
        <w:t xml:space="preserve">Le tre cose da ricordare, più una</w:t>
      </w:r>
    </w:p>
    <w:p>
      <w:pPr>
        <w:pStyle w:val="Compact"/>
        <w:numPr>
          <w:ilvl w:val="0"/>
          <w:numId w:val="1025"/>
        </w:numPr>
      </w:pPr>
      <w:r>
        <w:t xml:space="preserve">Le prove migliori del documento riguardano l’esercizio, e non passano dalle tue mani.</w:t>
      </w:r>
    </w:p>
    <w:p>
      <w:pPr>
        <w:pStyle w:val="Compact"/>
        <w:numPr>
          <w:ilvl w:val="0"/>
          <w:numId w:val="1025"/>
        </w:numPr>
      </w:pPr>
      <w:r>
        <w:t xml:space="preserve">Il ponte fra il riflesso infiammatorio e il tuo tocco non esiste come misura: lo stimolo negli studi è elettrico, e il dispositivo spento ha funzionato in un quarto dei pazienti.</w:t>
      </w:r>
    </w:p>
    <w:p>
      <w:pPr>
        <w:pStyle w:val="Compact"/>
        <w:numPr>
          <w:ilvl w:val="0"/>
          <w:numId w:val="1025"/>
        </w:numPr>
      </w:pPr>
      <w:r>
        <w:t xml:space="preserve">Sul nostro gesto non c’è il vuoto: c’è pochissimo, è piccolo, e nessuno di quegli studi testa il trattamento osteopatico come tale.</w:t>
      </w:r>
    </w:p>
    <w:p>
      <w:pPr>
        <w:pStyle w:val="Compact"/>
        <w:numPr>
          <w:ilvl w:val="0"/>
          <w:numId w:val="1025"/>
        </w:numPr>
      </w:pPr>
      <w:r>
        <w:rPr>
          <w:b/>
          <w:bCs/>
        </w:rPr>
        <w:t xml:space="preserve">Perché ci sei tu.</w:t>
      </w:r>
      <w:r>
        <w:t xml:space="preserve"> </w:t>
      </w:r>
      <w:r>
        <w:t xml:space="preserve">Il massaggio nell’artrite ha sette studi randomizzati e 352 partecipanti in tutto, di qualità da bassa a moderata (Nelson, 2017, PMID 28177937).</w:t>
      </w:r>
      <w:r>
        <w:t xml:space="preserve"> </w:t>
      </w:r>
      <w:r>
        <w:rPr>
          <w:b/>
          <w:bCs/>
        </w:rPr>
        <w:t xml:space="preserve">Per te:</w:t>
      </w:r>
      <w:r>
        <w:t xml:space="preserve"> </w:t>
      </w:r>
      <w:r>
        <w:t xml:space="preserve">è la dimensione reale della base su cui poggia il tuo gesto in questa famiglia di condizioni, e conoscerla è ciò che ti fa reggere davanti a un reumatologo. Questo ti autorizza a dire che c’è un segnale e a dichiararne la taglia. Non ti autorizza a chiamarlo evidenza.</w:t>
      </w:r>
    </w:p>
    <w:p>
      <w:r>
        <w:pict>
          <v:rect style="width:0;height:1.5pt" o:hralign="center" o:hrstd="t" o:hr="t"/>
        </w:pict>
      </w:r>
    </w:p>
    <w:bookmarkEnd w:id="71"/>
    <w:bookmarkEnd w:id="72"/>
    <w:bookmarkStart w:id="79"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non toccano la malattia, e toccano quattro dei cinque meccanismi che le stanno intorno.</w:t>
      </w:r>
    </w:p>
    <w:p>
      <w:pPr>
        <w:pStyle w:val="FirstParagraph"/>
      </w:pPr>
      <w:r>
        <w:rPr>
          <w:b/>
          <w:bCs/>
        </w:rPr>
        <w:t xml:space="preserve">Cosa non possono fare le mani, e va detto per primo.</w:t>
      </w:r>
      <w:r>
        <w:t xml:space="preserve"> </w:t>
      </w:r>
      <w:r>
        <w:t xml:space="preserve">Non modificano l’attività della malattia. Non abbassano gli indici di infiammazione</w:t>
      </w:r>
      <w:r>
        <w:t xml:space="preserve"> </w:t>
      </w:r>
      <w:r>
        <w:rPr>
          <w:b/>
          <w:bCs/>
        </w:rPr>
        <w:t xml:space="preserve">sistemici</w:t>
      </w:r>
      <w:r>
        <w:t xml:space="preserve">, e l’aggettivo va tenuto: l’unico studio con braccio simulato in questa malattia ha misurato l’infiammazione</w:t>
      </w:r>
      <w:r>
        <w:t xml:space="preserve"> </w:t>
      </w:r>
      <w:r>
        <w:rPr>
          <w:b/>
          <w:bCs/>
        </w:rPr>
        <w:t xml:space="preserve">ecografica locale</w:t>
      </w:r>
      <w:r>
        <w:t xml:space="preserve"> </w:t>
      </w:r>
      <w:r>
        <w:t xml:space="preserve">(Özçelep, 2025, PMID 41152887; taglia e limiti in «Cosa dice la scienza»). Non fermano l’erosione, non riducono il panno sinoviale, non recuperano una deformità stabilizzata. Non sostituiscono e non aggiustano nessuna terapia. E su un’articolazione in fase attiva non hanno un bersaglio: quella sede si evita, non si tratta con dose minore.</w:t>
      </w:r>
    </w:p>
    <w:p>
      <w:pPr>
        <w:pStyle w:val="BodyText"/>
      </w:pPr>
      <w:r>
        <w:t xml:space="preserve">Restano quattro meccanismi su cinque.</w:t>
      </w:r>
    </w:p>
    <w:bookmarkStart w:id="73" w:name="Xfe140cfae5613dd7efda932a2805127f7e91490"/>
    <w:p>
      <w:pPr>
        <w:pStyle w:val="Heading3"/>
      </w:pPr>
      <w:r>
        <w:t xml:space="preserve">Sul dolore che resta quando l’infiammazione se n’è andata</w:t>
      </w:r>
    </w:p>
    <w:p>
      <w:pPr>
        <w:pStyle w:val="FirstParagraph"/>
      </w:pPr>
      <w:r>
        <w:rPr>
          <w:b/>
          <w:bCs/>
        </w:rPr>
        <w:t xml:space="preserve">Su cosa può agire una mano.</w:t>
      </w:r>
      <w:r>
        <w:t xml:space="preserve"> </w:t>
      </w:r>
      <w:r>
        <w:t xml:space="preserve">Sulla soglia a cui i segnali diventano dolore, attraverso il contatto, il tempo dedicato e la spiegazione che riorganizza il significato del sintomo. E sui</w:t>
      </w:r>
      <w:r>
        <w:t xml:space="preserve"> </w:t>
      </w:r>
      <w:r>
        <w:rPr>
          <w:b/>
          <w:bCs/>
        </w:rPr>
        <w:t xml:space="preserve">generatori regionali</w:t>
      </w:r>
      <w:r>
        <w:t xml:space="preserve"> </w:t>
      </w:r>
      <w:r>
        <w:t xml:space="preserve">dentro il quadro diffuso: una spalla con una sua storia, un rachide toracico che ha perso corsa, un polso che compensa. Si trattano come in chiunque altro.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sul dolore diffuso di questi pazienti nessuno ha misurato l’effetto di un trattamento manuale. Il dato più vicino riguarda la</w:t>
      </w:r>
      <w:r>
        <w:t xml:space="preserve"> </w:t>
      </w:r>
      <w:r>
        <w:rPr>
          <w:b/>
          <w:bCs/>
        </w:rPr>
        <w:t xml:space="preserve">dose</w:t>
      </w:r>
      <w:r>
        <w:t xml:space="preserve">: su 42 adulti la pressione moderata ha prodotto meno dolore e maggiore forza di presa percepita rispetto alla leggera (Field, 2013, PMID 23561068). È piccolo, senza gruppo inattivo, e confronta due dosi dello stesso gesto.</w:t>
      </w:r>
    </w:p>
    <w:p>
      <w:pPr>
        <w:pStyle w:val="FirstParagraph"/>
      </w:pPr>
      <w:r>
        <w:rPr>
          <w:b/>
          <w:bCs/>
        </w:rPr>
        <w:t xml:space="preserve">Effetto atteso e finestra.</w:t>
      </w:r>
      <w:r>
        <w:t xml:space="preserve"> </w:t>
      </w:r>
      <w:r>
        <w:t xml:space="preserve">Meno intensità riferita nelle sedi trattate. E, se il piano diffuso risponde, minore reattività alla pressione. I tempi: dentro la seduta per lo stato, in settimane per la soglia, e solo se qualcosa cambia anche nelle sue giornate.</w:t>
      </w:r>
    </w:p>
    <w:bookmarkEnd w:id="73"/>
    <w:bookmarkStart w:id="74" w:name="X9105c802890494142c2d9c6f385709acd77d11c"/>
    <w:p>
      <w:pPr>
        <w:pStyle w:val="Heading3"/>
      </w:pPr>
      <w:r>
        <w:t xml:space="preserve">Sulla difesa che si irrigidisce intorno all’articolazione</w:t>
      </w:r>
    </w:p>
    <w:p>
      <w:pPr>
        <w:pStyle w:val="FirstParagraph"/>
      </w:pPr>
      <w:r>
        <w:rPr>
          <w:b/>
          <w:bCs/>
        </w:rPr>
        <w:t xml:space="preserve">Su cosa può agire una mano.</w:t>
      </w:r>
      <w:r>
        <w:t xml:space="preserve"> </w:t>
      </w:r>
      <w:r>
        <w:t xml:space="preserve">Sull’escursione nei distretti che la malattia non ha colpito — cingolo, rachide toracico, anche — e sulla tenuta muscolare protettiva che limita il movimento prima che il dolore compaia.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l’escursione regionale come esito di un intervento manuale in questi pazienti è stata misurata una volta sola. Su 42 persone, per quattro settimane, senza braccio inattivo e come confronto fra due dosi dello stesso gesto: il gruppo a pressione moderata aveva maggiore escursione di polso, gomito e spalla (Field, 2013, PMID 23561068). Che l’escursione e la forza si recuperino con l’</w:t>
      </w:r>
      <w:r>
        <w:rPr>
          <w:b/>
          <w:bCs/>
        </w:rPr>
        <w:t xml:space="preserve">esercizio</w:t>
      </w:r>
      <w:r>
        <w:t xml:space="preserve"> </w:t>
      </w:r>
      <w:r>
        <w:t xml:space="preserve">è invece DIMOSTRATO</w:t>
      </w:r>
      <w:r>
        <w:t xml:space="preserve"> </w:t>
      </w:r>
      <w:r>
        <w:rPr>
          <w:i/>
          <w:iCs/>
        </w:rPr>
        <w:t xml:space="preserve">(studi sull’uomo, solidi)</w:t>
      </w:r>
      <w:r>
        <w:t xml:space="preserve"> </w:t>
      </w:r>
      <w:r>
        <w:t xml:space="preserve">(Hurkmans, 2009, PMID 19821388): è la ragione per cui questa leva vale come preparazione a quella, non come alternativa.</w:t>
      </w:r>
    </w:p>
    <w:p>
      <w:pPr>
        <w:pStyle w:val="FirstParagraph"/>
      </w:pPr>
      <w:r>
        <w:rPr>
          <w:b/>
          <w:bCs/>
        </w:rPr>
        <w:t xml:space="preserve">Effetto atteso e finestra.</w:t>
      </w:r>
      <w:r>
        <w:t xml:space="preserve"> </w:t>
      </w:r>
      <w:r>
        <w:t xml:space="preserve">Più corsa disponibile su cui il paziente possa poi allenare la forza, dentro la seduta. È un effetto</w:t>
      </w:r>
      <w:r>
        <w:t xml:space="preserve"> </w:t>
      </w:r>
      <w:r>
        <w:rPr>
          <w:b/>
          <w:bCs/>
        </w:rPr>
        <w:t xml:space="preserve">abilitante</w:t>
      </w:r>
      <w:r>
        <w:t xml:space="preserve">, non curativo: venti gradi di rotazione toracica non guariscono niente, e rendono possibile un esercizio che prima non lo era. È sgombrare la scrivania: il lavoro non è fatto, e adesso si può fare.</w:t>
      </w:r>
      <w:r>
        <w:t xml:space="preserve"> </w:t>
      </w:r>
      <w:r>
        <w:rPr>
          <w:b/>
          <w:bCs/>
        </w:rPr>
        <w:t xml:space="preserve">Alla seduta dopo solo se il paziente ha usato quella corsa nel frattempo:</w:t>
      </w:r>
      <w:r>
        <w:t xml:space="preserve"> </w:t>
      </w:r>
      <w:r>
        <w:t xml:space="preserve">da una seduta sola il guadagno è di rigidità muscolo-tendinea, e svanisce in ore. La parte durevole è la tolleranza allo stiramento, e si sposta con la ripetizione. La forza, mai per effetto del tuo gesto.</w:t>
      </w:r>
    </w:p>
    <w:bookmarkEnd w:id="74"/>
    <w:bookmarkStart w:id="75" w:name="sul-corpo-che-paga-il-conto-altrove"/>
    <w:p>
      <w:pPr>
        <w:pStyle w:val="Heading3"/>
      </w:pPr>
      <w:r>
        <w:t xml:space="preserve">Sul corpo che paga il conto altrove</w:t>
      </w:r>
    </w:p>
    <w:p>
      <w:pPr>
        <w:pStyle w:val="FirstParagraph"/>
      </w:pPr>
      <w:r>
        <w:rPr>
          <w:b/>
          <w:bCs/>
        </w:rPr>
        <w:t xml:space="preserve">Su cosa può agire una mano.</w:t>
      </w:r>
      <w:r>
        <w:t xml:space="preserve"> </w:t>
      </w:r>
      <w:r>
        <w:t xml:space="preserve">Sulla sede in cui il compenso ha ceduto, e sul modo in cui il gesto è organizzato. Il collo e il cingolo di chi ha compensato per anni sono il bersaglio più concreto del capitolo.</w:t>
      </w:r>
      <w:r>
        <w:t xml:space="preserve"> </w:t>
      </w:r>
      <w:r>
        <w:rPr>
          <w:b/>
          <w:bCs/>
        </w:rPr>
        <w:t xml:space="preserve">Con l’eccezione assoluta del rachide cervicale alto e delle tecniche a leva, che qui non si usano mai.</w:t>
      </w:r>
      <w:r>
        <w:t xml:space="preserve"> </w:t>
      </w:r>
      <w:r>
        <w:t xml:space="preserve">E in basso: mobilità di caviglia e retropiede, lunghezza del tricipite surale, estensione d’anca in chi cammina «sui sassi».</w:t>
      </w:r>
    </w:p>
    <w:p>
      <w:pPr>
        <w:pStyle w:val="BodyText"/>
      </w:pPr>
      <w:r>
        <w:t xml:space="preserve">È il distretto che nessuno guarda, e l’azione più utile può non essere manuale: può essere un invio per il plantare, che quasi nessuno ha ricevuto. Va però dichiarata la letteratura, che è discorde. Due sintesi sugli stessi trial arrivano a conclusioni diverse (Gijon-Nogueron, 2018, PMID 29922913; Cabrera-Sánchez, 2024, PMID 39451432), e sulla</w:t>
      </w:r>
      <w:r>
        <w:t xml:space="preserve"> </w:t>
      </w:r>
      <w:r>
        <w:rPr>
          <w:b/>
          <w:bCs/>
        </w:rPr>
        <w:t xml:space="preserve">calzatura</w:t>
      </w:r>
      <w:r>
        <w:t xml:space="preserve"> </w:t>
      </w:r>
      <w:r>
        <w:t xml:space="preserve">— che è la parte che tu vedi in stanza — non è stato pubblicato niente in dieci anni. Guardare la suola resta un reperto tuo; raccomandare l’ortesi come intervento ha meno base di quanto la frase suggerisca.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w:t>
      </w:r>
    </w:p>
    <w:p>
      <w:pPr>
        <w:pStyle w:val="FirstParagraph"/>
      </w:pPr>
      <w:r>
        <w:rPr>
          <w:b/>
          <w:bCs/>
        </w:rPr>
        <w:t xml:space="preserve">Effetto atteso e finestra.</w:t>
      </w:r>
      <w:r>
        <w:t xml:space="preserve"> </w:t>
      </w:r>
      <w:r>
        <w:t xml:space="preserve">Meno sintomo nella sede nuova, e un gesto quotidiano meno costoso: due o tre sedute per il sintomo locale, più a lungo per il gesto rifatto.</w:t>
      </w:r>
    </w:p>
    <w:bookmarkEnd w:id="75"/>
    <w:bookmarkStart w:id="76" w:name="sulla-notte-che-non-ripara"/>
    <w:p>
      <w:pPr>
        <w:pStyle w:val="Heading3"/>
      </w:pPr>
      <w:r>
        <w:t xml:space="preserve">Sulla notte che non ripara</w:t>
      </w:r>
    </w:p>
    <w:p>
      <w:pPr>
        <w:pStyle w:val="FirstParagraph"/>
      </w:pPr>
      <w:r>
        <w:rPr>
          <w:b/>
          <w:bCs/>
        </w:rPr>
        <w:t xml:space="preserve">Su cosa può agire una mano.</w:t>
      </w:r>
      <w:r>
        <w:t xml:space="preserve"> </w:t>
      </w:r>
      <w:r>
        <w:t xml:space="preserve">Sul livello di attivazione, attraverso il contatto lento, il ritmo del respiro condotto insieme e il tempo dedicato. Esiste una classe di fibre nervose che risponde meglio a una carezza fra 1 e 10 centimetri al secondo, e proprio quelle velocità sono percepite come più gradevoli (Löken, 2009, PMID 19363489), su volontari sani. Da quel dato discende una cosa sola:</w:t>
      </w:r>
      <w:r>
        <w:t xml:space="preserve"> </w:t>
      </w:r>
      <w:r>
        <w:rPr>
          <w:b/>
          <w:bCs/>
        </w:rPr>
        <w:t xml:space="preserve">la velocità cambia quanto il contatto è percepito come gradevole. Che questo sposti il livello di attivazione non è misurato.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Sullo stato tonico di attivazione dopo trattamento manuale, in questa condizione, nessuno ha misurato niente. Si potrebbe obiettare che il tocco non calmi affatto: dopo una terapia manuale la</w:t>
      </w:r>
      <w:r>
        <w:t xml:space="preserve"> </w:t>
      </w:r>
      <w:r>
        <w:rPr>
          <w:b/>
          <w:bCs/>
        </w:rPr>
        <w:t xml:space="preserve">conduttanza cutanea</w:t>
      </w:r>
      <w:r>
        <w:t xml:space="preserve"> </w:t>
      </w:r>
      <w:r>
        <w:t xml:space="preserve">— quanto la pelle conduce elettricità, cioè quanto suda —</w:t>
      </w:r>
      <w:r>
        <w:t xml:space="preserve"> </w:t>
      </w:r>
      <w:r>
        <w:rPr>
          <w:b/>
          <w:bCs/>
        </w:rPr>
        <w:t xml:space="preserve">aumenta</w:t>
      </w:r>
      <w:r>
        <w:t xml:space="preserve">, che è un segno di attivazione. Ma quella misura registra la reazione immediata allo stimolo, non il livello di fondo in cui il sistema resta. E in terapia manuale quell’aumento si accompagna a una riduzione del dolore, non a un peggioramento (Gordon, 2025, PMID 39920074; Sterling, 2001, PMID 11414776) — misurato su adulti in terapia manuale e su pazienti con cervicalgia, non su pazienti con artrite reumatoide, e non sul distretto che qui tratti.</w:t>
      </w:r>
    </w:p>
    <w:p>
      <w:pPr>
        <w:pStyle w:val="FirstParagraph"/>
      </w:pPr>
      <w:r>
        <w:rPr>
          <w:b/>
          <w:bCs/>
        </w:rPr>
        <w:t xml:space="preserve">Effetto atteso e finestra.</w:t>
      </w:r>
      <w:r>
        <w:t xml:space="preserve"> </w:t>
      </w:r>
      <w:r>
        <w:t xml:space="preserve">Frequenza respiratoria a riposo più bassa dentro la seduta. E un sonno riferito come meno frammentato in due o tre settimane, solo se il paziente cambia anche qualcosa nelle sue giornate.</w:t>
      </w:r>
    </w:p>
    <w:bookmarkEnd w:id="76"/>
    <w:bookmarkStart w:id="77" w:name="Xad5fe6aaa9799bdf7db8a6c408ddf4cac375e2b"/>
    <w:p>
      <w:pPr>
        <w:pStyle w:val="Heading3"/>
      </w:pPr>
      <w:r>
        <w:t xml:space="preserve">Sulla meccanica ventilatoria, che non governa un meccanismo e porta una leva</w:t>
      </w:r>
    </w:p>
    <w:p>
      <w:pPr>
        <w:pStyle w:val="FirstParagraph"/>
      </w:pPr>
      <w:r>
        <w:t xml:space="preserve">Questa sezione non sta sopra un meccanismo. Il modello Respiratorio non ne governa nessuno in proprio, porta una leva, e qui va raccolta.</w:t>
      </w:r>
    </w:p>
    <w:p>
      <w:pPr>
        <w:pStyle w:val="BodyText"/>
      </w:pPr>
      <w:r>
        <w:rPr>
          <w:b/>
          <w:bCs/>
        </w:rPr>
        <w:t xml:space="preserve">Su cosa può agire una mano.</w:t>
      </w:r>
      <w:r>
        <w:t xml:space="preserve"> </w:t>
      </w:r>
      <w:r>
        <w:t xml:space="preserve">Sulla corsa costale, sull’escursione diaframmatica e sul pattern respiratorio.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ed è l’unico punto del documento in cui un’etichetta</w:t>
      </w:r>
      <w:r>
        <w:t xml:space="preserve"> </w:t>
      </w:r>
      <w:r>
        <w:rPr>
          <w:b/>
          <w:bCs/>
        </w:rPr>
        <w:t xml:space="preserve">sale</w:t>
      </w:r>
      <w:r>
        <w:t xml:space="preserve"> </w:t>
      </w:r>
      <w:r>
        <w:t xml:space="preserve">grazie a uno studio con le mani. Ottanta donne sono state randomizzate a rilascio manuale del diaframma più allenamento aerobico, contro il solo aerobico, per otto settimane. Risultati: capacità vitale forzata migliore del 3,99%, capacità polmonare totale del 3,75%, escursione diaframmatica di 7,5 mm in più, consumo massimo di ossigeno di 5,02 ml/kg/min in più (Elgayar e Bayoumi, 2026, PMID 41915908). Uno studio solo, non in cieco, su sole donne, e su esiti ventilatori — non sul dolore e non sulla malattia.</w:t>
      </w:r>
    </w:p>
    <w:p>
      <w:pPr>
        <w:pStyle w:val="FirstParagraph"/>
      </w:pPr>
      <w:r>
        <w:rPr>
          <w:b/>
          <w:bCs/>
        </w:rPr>
        <w:t xml:space="preserve">Effetto atteso e finestra.</w:t>
      </w:r>
      <w:r>
        <w:t xml:space="preserve"> </w:t>
      </w:r>
      <w:r>
        <w:t xml:space="preserve">Un torace che si espande di più in basso, e una ventilazione migliore misurata come volume. L’escursione si muove dentro la seduta, gli esiti ventilatori nelle settimane e — nello studio — insieme all’aerobico.</w:t>
      </w:r>
    </w:p>
    <w:bookmarkEnd w:id="77"/>
    <w:bookmarkStart w:id="78" w:name="X313a9305afc17cefd332a43187892ca69ddea55"/>
    <w:p>
      <w:pPr>
        <w:pStyle w:val="Heading3"/>
      </w:pPr>
      <w:r>
        <w:t xml:space="preserve">Cosa fa l’osteopata che il resto del percorso non fa</w:t>
      </w:r>
    </w:p>
    <w:p>
      <w:pPr>
        <w:pStyle w:val="FirstParagraph"/>
      </w:pPr>
      <w:r>
        <w:t xml:space="preserve">Tre punti, sui meccanismi e non sulle persone.</w:t>
      </w:r>
    </w:p>
    <w:p>
      <w:pPr>
        <w:pStyle w:val="BodyText"/>
      </w:pPr>
      <w:r>
        <w:rPr>
          <w:b/>
          <w:bCs/>
        </w:rPr>
        <w:t xml:space="preserve">Guarda il corpo intorno all’articolazione malata.</w:t>
      </w:r>
      <w:r>
        <w:t xml:space="preserve"> </w:t>
      </w:r>
      <w:r>
        <w:t xml:space="preserve">Il conteggio delle articolazioni gonfie e la PCR misurano la malattia. L’escursione persa alla spalla, la forza globale, la corsa costale, il passo e il gesto sostituito non sono in nessun referto, e nessuno ha il mandato di misurarli.</w:t>
      </w:r>
    </w:p>
    <w:p>
      <w:pPr>
        <w:pStyle w:val="BodyText"/>
      </w:pPr>
      <w:r>
        <w:rPr>
          <w:b/>
          <w:bCs/>
        </w:rPr>
        <w:t xml:space="preserve">Tiene insieme i meccanismi che il percorso separa.</w:t>
      </w:r>
      <w:r>
        <w:t xml:space="preserve"> </w:t>
      </w:r>
      <w:r>
        <w:t xml:space="preserve">Dolore, stanchezza, sonno e respiro arrivano a professionisti diversi in momenti diversi. Qui si leggono come un anello unico, e la lettura cambia dove metti la mano.</w:t>
      </w:r>
    </w:p>
    <w:p>
      <w:pPr>
        <w:pStyle w:val="BodyText"/>
      </w:pPr>
      <w:r>
        <w:rPr>
          <w:b/>
          <w:bCs/>
        </w:rPr>
        <w:t xml:space="preserve">Dà tempo e contatto a una persona che ha smesso di raccontare.</w:t>
      </w:r>
      <w:r>
        <w:t xml:space="preserve"> </w:t>
      </w:r>
      <w:r>
        <w:t xml:space="preserve">È la condizione perché emergano la stanchezza che nessuno ha creduto, il dito che non si estende, lo scatto nel collo: metà delle bandiere rosse si raccolgono chiedendo.</w:t>
      </w:r>
    </w:p>
    <w:p>
      <w:pPr>
        <w:pStyle w:val="BodyText"/>
      </w:pPr>
      <w:r>
        <w:rPr>
          <w:b/>
          <w:bCs/>
        </w:rPr>
        <w:t xml:space="preserve">Le tre cose da ricordare, più una</w:t>
      </w:r>
    </w:p>
    <w:p>
      <w:pPr>
        <w:pStyle w:val="Compact"/>
        <w:numPr>
          <w:ilvl w:val="0"/>
          <w:numId w:val="1026"/>
        </w:numPr>
      </w:pPr>
      <w:r>
        <w:t xml:space="preserve">Le mani non toccano la malattia, e si dice per primo — al paziente e a te stesso.</w:t>
      </w:r>
    </w:p>
    <w:p>
      <w:pPr>
        <w:pStyle w:val="Compact"/>
        <w:numPr>
          <w:ilvl w:val="0"/>
          <w:numId w:val="1026"/>
        </w:numPr>
      </w:pPr>
      <w:r>
        <w:t xml:space="preserve">Il lavoro sull’escursione è abilitante: serve a rendere possibile l’esercizio, non a sostituirlo.</w:t>
      </w:r>
    </w:p>
    <w:p>
      <w:pPr>
        <w:pStyle w:val="Compact"/>
        <w:numPr>
          <w:ilvl w:val="0"/>
          <w:numId w:val="1026"/>
        </w:numPr>
      </w:pPr>
      <w:r>
        <w:t xml:space="preserve">Su un’articolazione in fase attiva non si abbassa la dose: si cambia sede.</w:t>
      </w:r>
    </w:p>
    <w:p>
      <w:pPr>
        <w:pStyle w:val="Compact"/>
        <w:numPr>
          <w:ilvl w:val="0"/>
          <w:numId w:val="1026"/>
        </w:numPr>
      </w:pPr>
      <w:r>
        <w:rPr>
          <w:b/>
          <w:bCs/>
        </w:rPr>
        <w:t xml:space="preserve">Perché ci sei tu.</w:t>
      </w:r>
      <w:r>
        <w:t xml:space="preserve"> </w:t>
      </w:r>
      <w:r>
        <w:t xml:space="preserve">Nell’unico randomizzato che confronta due dosi di contatto in questi pazienti, la pressione moderata ha prodotto meno dolore e maggiore forza di presa percepita rispetto alla leggera (Field, 2013, PMID 23561068).</w:t>
      </w:r>
      <w:r>
        <w:t xml:space="preserve"> </w:t>
      </w:r>
      <w:r>
        <w:rPr>
          <w:b/>
          <w:bCs/>
        </w:rPr>
        <w:t xml:space="preserve">Per te:</w:t>
      </w:r>
      <w:r>
        <w:t xml:space="preserve"> </w:t>
      </w:r>
      <w:r>
        <w:t xml:space="preserve">è l’unico dato del documento su una scelta che fai davvero con le mani. Questo ti autorizza a</w:t>
      </w:r>
      <w:r>
        <w:t xml:space="preserve"> </w:t>
      </w:r>
      <w:r>
        <w:rPr>
          <w:b/>
          <w:bCs/>
        </w:rPr>
        <w:t xml:space="preserve">non dare per scontato che più leggero sia più sicuro</w:t>
      </w:r>
      <w:r>
        <w:t xml:space="preserve">. Non ti autorizza a estenderlo: 42 persone, quattro settimane, nessun confronto con il non fare niente, eventi avversi non riportati — cioè non misurati. E vale sui tessuti, non sull’articolazione calda e non sul dorso di chi è in cortisone da anni; nello studio, per giunta, il contatto era</w:t>
      </w:r>
      <w:r>
        <w:t xml:space="preserve"> </w:t>
      </w:r>
      <w:r>
        <w:rPr>
          <w:b/>
          <w:bCs/>
        </w:rPr>
        <w:t xml:space="preserve">sull’arto malato</w:t>
      </w:r>
      <w:r>
        <w:t xml:space="preserve">, che qui resta fuori bersaglio in fase attiva.</w:t>
      </w:r>
    </w:p>
    <w:p>
      <w:r>
        <w:pict>
          <v:rect style="width:0;height:1.5pt" o:hralign="center" o:hrstd="t" o:hr="t"/>
        </w:pict>
      </w:r>
    </w:p>
    <w:bookmarkEnd w:id="78"/>
    <w:bookmarkEnd w:id="79"/>
    <w:bookmarkStart w:id="84"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qui stanno le leve con le prove migliori dell’intero documento, e nessuna passa dalle tue mani.</w:t>
      </w:r>
    </w:p>
    <w:p>
      <w:pPr>
        <w:pStyle w:val="FirstParagraph"/>
      </w:pPr>
      <w:r>
        <w:t xml:space="preserve">Quattro voci. La terza raccoglie i due interventi misurati</w:t>
      </w:r>
      <w:r>
        <w:t xml:space="preserve"> </w:t>
      </w:r>
      <w:r>
        <w:rPr>
          <w:b/>
          <w:bCs/>
        </w:rPr>
        <w:t xml:space="preserve">contro la stanchezza</w:t>
      </w:r>
      <w:r>
        <w:t xml:space="preserve"> </w:t>
      </w:r>
      <w:r>
        <w:t xml:space="preserve">come bersaglio a sé: l’attività fisica, che è la materia della seconda voce valutata su un esito diverso, e gli interventi psicosociali. La quarta è il sonno, il solo meccanismo che questo documento dichiara suo e su cui esiste un intervento misurato in questa malattia.</w:t>
      </w:r>
    </w:p>
    <w:bookmarkStart w:id="80" w:name="lesercizio-specifico-per-la-mano"/>
    <w:p>
      <w:pPr>
        <w:pStyle w:val="Heading3"/>
      </w:pPr>
      <w:r>
        <w:t xml:space="preserve">1. L’esercizio specifico per la mano</w:t>
      </w:r>
    </w:p>
    <w:p>
      <w:pPr>
        <w:pStyle w:val="FirstParagraph"/>
      </w:pPr>
      <w:r>
        <w:rPr>
          <w:b/>
          <w:bCs/>
        </w:rPr>
        <w:t xml:space="preserve">Cos’è.</w:t>
      </w:r>
      <w:r>
        <w:t xml:space="preserve"> </w:t>
      </w:r>
      <w:r>
        <w:t xml:space="preserve">Un programma di rinforzo e allungamento per mano e polso, personalizzato e progredito nel tempo, da fare a casa.</w:t>
      </w:r>
    </w:p>
    <w:p>
      <w:pPr>
        <w:pStyle w:val="BodyText"/>
      </w:pPr>
      <w:r>
        <w:rPr>
          <w:b/>
          <w:bCs/>
        </w:rPr>
        <w:t xml:space="preserve">Su quale meccanismo agisce.</w:t>
      </w:r>
      <w:r>
        <w:t xml:space="preserve"> </w:t>
      </w:r>
      <w:r>
        <w:t xml:space="preserve">Su «La difesa che si irrigidisce», recuperando corsa e forza di presa nel distretto con cui il paziente misura la propria giornata.</w:t>
      </w:r>
    </w:p>
    <w:p>
      <w:pPr>
        <w:pStyle w:val="BodyText"/>
      </w:pPr>
      <w:r>
        <w:rPr>
          <w:b/>
          <w:bCs/>
        </w:rPr>
        <w:t xml:space="preserve">Cosa hanno misurato gli studi.</w:t>
      </w:r>
      <w:r>
        <w:t xml:space="preserve"> </w:t>
      </w:r>
      <w:r>
        <w:t xml:space="preserve">Nello studio SARAH, 490 adulti con dolore e disfunzione della mano e terapia stabile sono stati randomizzati in 17 centri britannici. Un gruppo ha ricevuto le cure abituali, l’altro le cure abituali più il programma. A dodici mesi la funzione della mano era migliorata di 3,6 punti nel controllo e di 7,9 nel gruppo esercizio, con una differenza fra i gruppi di 4,3 punti.</w:t>
      </w:r>
      <w:r>
        <w:t xml:space="preserve"> </w:t>
      </w:r>
      <w:r>
        <w:rPr>
          <w:b/>
          <w:bCs/>
        </w:rPr>
        <w:t xml:space="preserve">Il dolore non è cambiato</w:t>
      </w:r>
      <w:r>
        <w:t xml:space="preserve"> </w:t>
      </w:r>
      <w:r>
        <w:t xml:space="preserve">in nessuno dei due gruppi. Nessun evento avverso grave. Costo: 156 sterline a persona (Lamb, 2015, PMID 25308290). A erogarlo sono stati fisioterapisti e terapisti occupazionali.</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un randomizzato pragmatico multicentrico su 490 adulti, con 89% di follow-up a dodici mesi.</w:t>
      </w:r>
    </w:p>
    <w:p>
      <w:pPr>
        <w:pStyle w:val="FirstParagraph"/>
      </w:pPr>
      <w:r>
        <w:rPr>
          <w:b/>
          <w:bCs/>
        </w:rPr>
        <w:t xml:space="preserve">Quanto vale quel guadagno, in chiaro.</w:t>
      </w:r>
      <w:r>
        <w:t xml:space="preserve"> </w:t>
      </w:r>
      <w:r>
        <w:t xml:space="preserve">La Cochrane che sintetizza il campo — sette studi, 841 persone — traduce quei punti in una variazione assoluta del</w:t>
      </w:r>
      <w:r>
        <w:t xml:space="preserve"> </w:t>
      </w:r>
      <w:r>
        <w:rPr>
          <w:b/>
          <w:bCs/>
        </w:rPr>
        <w:t xml:space="preserve">5% a medio termine e del 4% a lungo termine</w:t>
      </w:r>
      <w:r>
        <w:t xml:space="preserve">, con otto e nove persone da trattare per un beneficio. E chiama testualmente un miglioramento del 4-5%</w:t>
      </w:r>
      <w:r>
        <w:t xml:space="preserve"> </w:t>
      </w:r>
      <w:r>
        <w:rPr>
          <w:i/>
          <w:iCs/>
        </w:rPr>
        <w:t xml:space="preserve">«un beneficio clinico minimo»</w:t>
      </w:r>
      <w:r>
        <w:t xml:space="preserve"> </w:t>
      </w:r>
      <w:r>
        <w:t xml:space="preserve">(Williams, 2018, PMID 30063798). È reale, è la cosa meglio documentata del documento, ed è piccola: dirlo così è ciò che rende credibile il resto.</w:t>
      </w:r>
      <w:r>
        <w:t xml:space="preserve"> </w:t>
      </w:r>
      <w:r>
        <w:rPr>
          <w:b/>
          <w:bCs/>
        </w:rPr>
        <w:t xml:space="preserve">Per te:</w:t>
      </w:r>
      <w:r>
        <w:t xml:space="preserve"> </w:t>
      </w:r>
      <w:r>
        <w:t xml:space="preserve">il numero che dici al paziente è questo — quattro o cinque punti su cento, con otto o nove persone da trattare perché una ne tragga beneficio. Dirlo prima è ciò che gli impedisce di smettere al secondo mese perché «non sta succedendo niente».</w:t>
      </w:r>
    </w:p>
    <w:p>
      <w:pPr>
        <w:pStyle w:val="BodyText"/>
      </w:pPr>
      <w:r>
        <w:rPr>
          <w:b/>
          <w:bCs/>
        </w:rPr>
        <w:t xml:space="preserve">Cosa non fa.</w:t>
      </w:r>
      <w:r>
        <w:t xml:space="preserve"> </w:t>
      </w:r>
      <w:r>
        <w:t xml:space="preserve">Non riduce il dolore nella malattia stabilizzata: lo studio lo ha misurato e non lo ha trovato, ed è il primo dato da dire al paziente. Nella malattia</w:t>
      </w:r>
      <w:r>
        <w:t xml:space="preserve"> </w:t>
      </w:r>
      <w:r>
        <w:rPr>
          <w:b/>
          <w:bCs/>
        </w:rPr>
        <w:t xml:space="preserve">precoce</w:t>
      </w:r>
      <w:r>
        <w:t xml:space="preserve"> </w:t>
      </w:r>
      <w:r>
        <w:t xml:space="preserve">una sintesi recente riporta invece un effetto sul dolore, su studi a rischio di bias più alto (Courel-Ibáñez, 2026, PMID 42013636). Non modifica la terapia, che negli studi è rimasta stabile.</w:t>
      </w:r>
    </w:p>
    <w:p>
      <w:pPr>
        <w:pStyle w:val="BodyText"/>
      </w:pPr>
      <w:r>
        <w:rPr>
          <w:b/>
          <w:bCs/>
        </w:rPr>
        <w:t xml:space="preserve">E non dura da solo.</w:t>
      </w:r>
      <w:r>
        <w:t xml:space="preserve"> </w:t>
      </w:r>
      <w:r>
        <w:t xml:space="preserve">Nel follow-up esteso dello stesso trial, a 26 mesi medi su 328 dei 490 partecipanti, la</w:t>
      </w:r>
      <w:r>
        <w:t xml:space="preserve"> </w:t>
      </w:r>
      <w:r>
        <w:rPr>
          <w:b/>
          <w:bCs/>
        </w:rPr>
        <w:t xml:space="preserve">differenza fra i gruppi era sparita</w:t>
      </w:r>
      <w:r>
        <w:t xml:space="preserve">. Il gruppo esercizio restava migliorato rispetto al proprio punto di partenza, il controllo no, e il calo coincideva con il calo dell’esecuzione riferita (Williamson, 2017, PMID 28404610). È il dato che spiega la ricaduta che vedrai tornare a due anni. È l’abbonamento che scade: vale finché lo rinnovi, e il mese in cui smetti non vale più.</w:t>
      </w:r>
    </w:p>
    <w:bookmarkEnd w:id="80"/>
    <w:bookmarkStart w:id="81" w:name="lallenamento-aerobico-e-di-forza"/>
    <w:p>
      <w:pPr>
        <w:pStyle w:val="Heading3"/>
      </w:pPr>
      <w:r>
        <w:t xml:space="preserve">2. L’allenamento aerobico e di forza</w:t>
      </w:r>
    </w:p>
    <w:p>
      <w:pPr>
        <w:pStyle w:val="FirstParagraph"/>
      </w:pPr>
      <w:r>
        <w:rPr>
          <w:b/>
          <w:bCs/>
        </w:rPr>
        <w:t xml:space="preserve">Cos’è.</w:t>
      </w:r>
      <w:r>
        <w:t xml:space="preserve"> </w:t>
      </w:r>
      <w:r>
        <w:t xml:space="preserve">Attività che alza la capacità cardiorespiratoria e la forza muscolare, con intensità sufficiente a produrre un adattamento.</w:t>
      </w:r>
    </w:p>
    <w:p>
      <w:pPr>
        <w:pStyle w:val="BodyText"/>
      </w:pPr>
      <w:r>
        <w:rPr>
          <w:b/>
          <w:bCs/>
        </w:rPr>
        <w:t xml:space="preserve">Su quale meccanismo agisce.</w:t>
      </w:r>
      <w:r>
        <w:t xml:space="preserve"> </w:t>
      </w:r>
      <w:r>
        <w:t xml:space="preserve">Su «La difesa che si irrigidisce intorno all’articolazione» per la forza, e su «La notte che non ripara» per la capacità generale e il ritmo delle giornate.</w:t>
      </w:r>
    </w:p>
    <w:p>
      <w:pPr>
        <w:pStyle w:val="BodyText"/>
      </w:pPr>
      <w:r>
        <w:rPr>
          <w:b/>
          <w:bCs/>
        </w:rPr>
        <w:t xml:space="preserve">Cosa hanno misurato gli studi.</w:t>
      </w:r>
      <w:r>
        <w:t xml:space="preserve"> </w:t>
      </w:r>
      <w:r>
        <w:t xml:space="preserve">La revisione Cochrane ha incluso otto studi randomizzati, con programmi supervisionati di almeno sei settimane. L’aerobico migliora la capacità aerobica. Aerobico più forza migliora entrambe, anche a lungo termine.</w:t>
      </w:r>
      <w:r>
        <w:t xml:space="preserve"> </w:t>
      </w:r>
      <w:r>
        <w:rPr>
          <w:b/>
          <w:bCs/>
        </w:rPr>
        <w:t xml:space="preserve">Nessuno studio ha rilevato effetti dannosi</w:t>
      </w:r>
      <w:r>
        <w:t xml:space="preserve">, e gli autori lo raccomandano come pratica di routine (Hurkmans, 2009, PMID 19821388). Nel randomizzato più lungo, 309 pazienti seguiti due anni ad alta intensità hanno migliorato la capacità funzionale senza aumento del danno radiografico delle grandi articolazioni, con l’eccezione di chi partiva già danneggiato (de Jong, 2003, PMID 13130460). Le raccomandazioni EULAR sull’attività fisica nelle artriti infiammatorie poggiano su questa base (Rausch Osthoff, 2018, PMID 29997112).</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otto studi randomizzati sintetizzati, più un randomizzato di due anni su 309 pazienti.</w:t>
      </w:r>
    </w:p>
    <w:p>
      <w:pPr>
        <w:pStyle w:val="FirstParagraph"/>
      </w:pPr>
      <w:r>
        <w:rPr>
          <w:b/>
          <w:bCs/>
        </w:rPr>
        <w:t xml:space="preserve">Cosa non fa.</w:t>
      </w:r>
      <w:r>
        <w:t xml:space="preserve"> </w:t>
      </w:r>
      <w:r>
        <w:t xml:space="preserve">Nelle sintesi di riferimento non è stato misurato un effetto sull’attività di malattia. Che non è «non ce l’ha»: una meta-analisi a rete su 34 studi riporta segnali opposti, compresa una rigidità mattutina più corta di 8,23 minuti, ma con certezza delle prove da bassa a molto bassa (Zhang, 2025, PMID 41050145). Troppo poco per un’etichetta, abbastanza per non scrivere una negazione secca. Il limite che conta di più resta il danno consolidato: lì, con l’alta intensità, si è vista una progressione leggermente maggiore, e la scelta dell’intensità non è tua.</w:t>
      </w:r>
      <w:r>
        <w:t xml:space="preserve"> </w:t>
      </w:r>
      <w:r>
        <w:rPr>
          <w:b/>
          <w:bCs/>
        </w:rPr>
        <w:t xml:space="preserve">Per te:</w:t>
      </w:r>
      <w:r>
        <w:t xml:space="preserve"> </w:t>
      </w:r>
      <w:r>
        <w:t xml:space="preserve">l’unica cosa che decidi tu è porre la domanda sul collo alto</w:t>
      </w:r>
      <w:r>
        <w:t xml:space="preserve"> </w:t>
      </w:r>
      <w:r>
        <w:rPr>
          <w:b/>
          <w:bCs/>
        </w:rPr>
        <w:t xml:space="preserve">prima</w:t>
      </w:r>
      <w:r>
        <w:t xml:space="preserve"> </w:t>
      </w:r>
      <w:r>
        <w:t xml:space="preserve">di mandare, e scriverla nella comunicazione insieme al motivo dell’invio.</w:t>
      </w:r>
    </w:p>
    <w:bookmarkEnd w:id="81"/>
    <w:bookmarkStart w:id="82" w:name="X064c526605e29188fc8a848d4ff66b646a75e49"/>
    <w:p>
      <w:pPr>
        <w:pStyle w:val="Heading3"/>
      </w:pPr>
      <w:r>
        <w:t xml:space="preserve">3. L’attività fisica e gli interventi psicosociali sulla stanchezza</w:t>
      </w:r>
    </w:p>
    <w:p>
      <w:pPr>
        <w:pStyle w:val="FirstParagraph"/>
      </w:pPr>
      <w:r>
        <w:rPr>
          <w:b/>
          <w:bCs/>
        </w:rPr>
        <w:t xml:space="preserve">Cos’è.</w:t>
      </w:r>
      <w:r>
        <w:t xml:space="preserve"> </w:t>
      </w:r>
      <w:r>
        <w:t xml:space="preserve">Due famiglie distinte. L’attività fisica come leva sulla stanchezza. E gli interventi psicosociali — educazione, gestione dei sintomi, approcci cognitivo-comportamentali — erogati da professionisti formati.</w:t>
      </w:r>
    </w:p>
    <w:p>
      <w:pPr>
        <w:pStyle w:val="BodyText"/>
      </w:pPr>
      <w:r>
        <w:rPr>
          <w:b/>
          <w:bCs/>
        </w:rPr>
        <w:t xml:space="preserve">Su quale meccanismo agisce.</w:t>
      </w:r>
      <w:r>
        <w:t xml:space="preserve"> </w:t>
      </w:r>
      <w:r>
        <w:t xml:space="preserve">Su «La notte che non ripara», dove la stanchezza vive, e su «Il dolore che resta» per la parte di comportamento.</w:t>
      </w:r>
    </w:p>
    <w:p>
      <w:pPr>
        <w:pStyle w:val="BodyText"/>
      </w:pPr>
      <w:r>
        <w:rPr>
          <w:b/>
          <w:bCs/>
        </w:rPr>
        <w:t xml:space="preserve">Cosa hanno misurato gli studi.</w:t>
      </w:r>
      <w:r>
        <w:t xml:space="preserve"> </w:t>
      </w:r>
      <w:r>
        <w:t xml:space="preserve">La revisione Cochrane comprende 24 studi e 2.882 pazienti, ma i due effetti hanno denominatori diversi e vanno letti separati. L’attività fisica riduce la stanchezza riferita con un effetto di −0,36, cioè 14,4 punti in meno su una scala da 100, con sette persone da trattare per un beneficio: il dato viene da</w:t>
      </w:r>
      <w:r>
        <w:t xml:space="preserve"> </w:t>
      </w:r>
      <w:r>
        <w:rPr>
          <w:b/>
          <w:bCs/>
        </w:rPr>
        <w:t xml:space="preserve">6 studi e 388 partecipanti</w:t>
      </w:r>
      <w:r>
        <w:t xml:space="preserve">, con prove di qualità</w:t>
      </w:r>
      <w:r>
        <w:t xml:space="preserve"> </w:t>
      </w:r>
      <w:r>
        <w:rPr>
          <w:b/>
          <w:bCs/>
        </w:rPr>
        <w:t xml:space="preserve">moderata</w:t>
      </w:r>
      <w:r>
        <w:t xml:space="preserve">. Gli interventi psicosociali la riducono con −0,24, cioè 9,6 punti su 100 e dieci persone da trattare: qui il dato viene da</w:t>
      </w:r>
      <w:r>
        <w:t xml:space="preserve"> </w:t>
      </w:r>
      <w:r>
        <w:rPr>
          <w:b/>
          <w:bCs/>
        </w:rPr>
        <w:t xml:space="preserve">13 studi e 1.579 partecipanti</w:t>
      </w:r>
      <w:r>
        <w:t xml:space="preserve">, con prove di qualità</w:t>
      </w:r>
      <w:r>
        <w:t xml:space="preserve"> </w:t>
      </w:r>
      <w:r>
        <w:rPr>
          <w:b/>
          <w:bCs/>
        </w:rPr>
        <w:t xml:space="preserve">bassa</w:t>
      </w:r>
      <w:r>
        <w:t xml:space="preserve">. Il totale di 2.882 comprende anche erbe, omega-3, dieta mediterranea e riflessologia, cioè le cose che la revisione dichiara non funzionare. Solo tre studi hanno riportato eventi avversi, nessuno grave (Cramp, 2013, PMID 23975674).</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l’attività fisica, con qualità delle prove dichiarata moderata dagli autori.</w:t>
      </w:r>
      <w:r>
        <w:t xml:space="preserve"> </w:t>
      </w:r>
      <w:r>
        <w:rPr>
          <w:b/>
          <w:bCs/>
        </w:rPr>
        <w:t xml:space="preserve">PROBABILE</w:t>
      </w:r>
      <w:r>
        <w:t xml:space="preserve"> </w:t>
      </w:r>
      <w:r>
        <w:rPr>
          <w:i/>
          <w:iCs/>
        </w:rPr>
        <w:t xml:space="preserve">(razionale forte, prove parziali)</w:t>
      </w:r>
      <w:r>
        <w:t xml:space="preserve"> </w:t>
      </w:r>
      <w:r>
        <w:t xml:space="preserve">per gli interventi psicosociali: l’effetto è piccolo e gli autori dichiarano prove di qualità bassa, e un’etichetta che promette</w:t>
      </w:r>
      <w:r>
        <w:t xml:space="preserve"> </w:t>
      </w:r>
      <w:r>
        <w:rPr>
          <w:i/>
          <w:iCs/>
        </w:rPr>
        <w:t xml:space="preserve">studi sull’uomo, solidi</w:t>
      </w:r>
      <w:r>
        <w:t xml:space="preserve"> </w:t>
      </w:r>
      <w:r>
        <w:t xml:space="preserve">non regge su prove che gli autori stessi chiamano deboli. Negli studi entrambi sono erogati da professionisti che non sono osteopati.</w:t>
      </w:r>
    </w:p>
    <w:p>
      <w:pPr>
        <w:pStyle w:val="FirstParagraph"/>
      </w:pPr>
      <w:r>
        <w:rPr>
          <w:b/>
          <w:bCs/>
        </w:rPr>
        <w:t xml:space="preserve">Cosa non fa.</w:t>
      </w:r>
      <w:r>
        <w:t xml:space="preserve"> </w:t>
      </w:r>
      <w:r>
        <w:t xml:space="preserve">Gli effetti sono</w:t>
      </w:r>
      <w:r>
        <w:t xml:space="preserve"> </w:t>
      </w:r>
      <w:r>
        <w:rPr>
          <w:b/>
          <w:bCs/>
        </w:rPr>
        <w:t xml:space="preserve">piccoli</w:t>
      </w:r>
      <w:r>
        <w:t xml:space="preserve">: quattordici punti su cento non sono la restituzione di una vita, ed è meglio dirlo prima. La revisione non ha trovato prove sufficienti per nessun altro intervento non farmacologico sulla stanchezza, erbe, omega-3, dieta mediterranea e riflessologia comprese. E l’educazione strutturata, in 31 studi, ha dato effetti piccoli al primo controllo e</w:t>
      </w:r>
      <w:r>
        <w:t xml:space="preserve"> </w:t>
      </w:r>
      <w:r>
        <w:rPr>
          <w:b/>
          <w:bCs/>
        </w:rPr>
        <w:t xml:space="preserve">nessun beneficio significativo all’ultimo</w:t>
      </w:r>
      <w:r>
        <w:t xml:space="preserve"> </w:t>
      </w:r>
      <w:r>
        <w:t xml:space="preserve">(Riemsma, 2003, PMID 12804484): il «cosa succede se smette» qui è documentato, ed è</w:t>
      </w:r>
      <w:r>
        <w:t xml:space="preserve"> </w:t>
      </w:r>
      <w:r>
        <w:rPr>
          <w:i/>
          <w:iCs/>
        </w:rPr>
        <w:t xml:space="preserve">torna</w:t>
      </w:r>
      <w:r>
        <w:t xml:space="preserve">.</w:t>
      </w:r>
      <w:r>
        <w:t xml:space="preserve"> </w:t>
      </w:r>
      <w:r>
        <w:rPr>
          <w:b/>
          <w:bCs/>
        </w:rPr>
        <w:t xml:space="preserve">Per te:</w:t>
      </w:r>
      <w:r>
        <w:t xml:space="preserve"> </w:t>
      </w:r>
      <w:r>
        <w:t xml:space="preserve">quattordici punti su cento con sette persone da trattare è il numero migliore che hai sulla stanchezza, nove punti con dieci persone il secondo. Sono le due cifre da dire quando il paziente chiede se vale la pena: piccole, e più di tutto il resto che è stato provato.</w:t>
      </w:r>
    </w:p>
    <w:bookmarkEnd w:id="82"/>
    <w:bookmarkStart w:id="83" w:name="il-sonno-preso-come-bersaglio"/>
    <w:p>
      <w:pPr>
        <w:pStyle w:val="Heading3"/>
      </w:pPr>
      <w:r>
        <w:t xml:space="preserve">4. Il sonno preso come bersaglio</w:t>
      </w:r>
    </w:p>
    <w:p>
      <w:pPr>
        <w:pStyle w:val="FirstParagraph"/>
      </w:pPr>
      <w:r>
        <w:rPr>
          <w:b/>
          <w:bCs/>
        </w:rPr>
        <w:t xml:space="preserve">Cos’è.</w:t>
      </w:r>
      <w:r>
        <w:t xml:space="preserve"> </w:t>
      </w:r>
      <w:r>
        <w:t xml:space="preserve">La terapia cognitivo-comportamentale dell’insonnia: orari, restrizione del tempo a letto, lavoro sui pensieri che tengono sveglio. Negli studi la conducono infermieri formati, in gruppo.</w:t>
      </w:r>
    </w:p>
    <w:p>
      <w:pPr>
        <w:pStyle w:val="BodyText"/>
      </w:pPr>
      <w:r>
        <w:rPr>
          <w:b/>
          <w:bCs/>
        </w:rPr>
        <w:t xml:space="preserve">Su quale meccanismo agisce.</w:t>
      </w:r>
      <w:r>
        <w:t xml:space="preserve"> </w:t>
      </w:r>
      <w:r>
        <w:t xml:space="preserve">Su «La notte che non ripara», il meccanismo che questo documento dichiara nel proprio campo.</w:t>
      </w:r>
    </w:p>
    <w:p>
      <w:pPr>
        <w:pStyle w:val="BodyText"/>
      </w:pPr>
      <w:r>
        <w:rPr>
          <w:b/>
          <w:bCs/>
        </w:rPr>
        <w:t xml:space="preserve">Cosa hanno misurato gli studi.</w:t>
      </w:r>
      <w:r>
        <w:t xml:space="preserve"> </w:t>
      </w:r>
      <w:r>
        <w:t xml:space="preserve">Sessantadue pazienti con artrite reumatoide sono stati randomizzati a terapia di gruppo o cure abituali. L’esito primario — efficienza del sonno alla polisonnografia a sette settimane —</w:t>
      </w:r>
      <w:r>
        <w:t xml:space="preserve"> </w:t>
      </w:r>
      <w:r>
        <w:rPr>
          <w:b/>
          <w:bCs/>
        </w:rPr>
        <w:t xml:space="preserve">non è stato raggiunto</w:t>
      </w:r>
      <w:r>
        <w:t xml:space="preserve">: 88,7% contro 83,7%, p = 0,068. E a 26 settimane le misure oggettive non erano migliorate. Tutti gli esiti secondari riferiti dal paziente, sul sonno e sulla malattia, sono invece migliorati in modo netto (p &lt; 0,0001), fra cui la gravità dell’insonnia e l’impatto della malattia (Latocha, 2023, PMID 35951745).</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un solo randomizzato, 62 pazienti, esito primario mancato ed esiti riferiti netti. Misurato sulla terapia cognitivo-comportamentale dell’insonnia condotta da infermieri formati, non su un lavoro manuale e non su di te; e il guadagno sta in ciò che il paziente riferisce, non in ciò che il polisonnigrafo registra.</w:t>
      </w:r>
    </w:p>
    <w:p>
      <w:pPr>
        <w:pStyle w:val="FirstParagraph"/>
      </w:pPr>
      <w:r>
        <w:rPr>
          <w:b/>
          <w:bCs/>
        </w:rPr>
        <w:t xml:space="preserve">Cosa non fa.</w:t>
      </w:r>
      <w:r>
        <w:t xml:space="preserve"> </w:t>
      </w:r>
      <w:r>
        <w:t xml:space="preserve">Non sposta il sonno misurato, e nessuno ha misurato un effetto a valle sull’infiammazione.</w:t>
      </w:r>
      <w:r>
        <w:t xml:space="preserve"> </w:t>
      </w:r>
      <w:r>
        <w:rPr>
          <w:b/>
          <w:bCs/>
        </w:rPr>
        <w:t xml:space="preserve">Per te:</w:t>
      </w:r>
      <w:r>
        <w:t xml:space="preserve"> </w:t>
      </w:r>
      <w:r>
        <w:t xml:space="preserve">è la forma di risultato che questo documento insegna a leggere — l’esito riferito si muove, quello oggettivo no. Ti serve quando il paziente chiede</w:t>
      </w:r>
      <w:r>
        <w:t xml:space="preserve"> </w:t>
      </w:r>
      <w:r>
        <w:rPr>
          <w:i/>
          <w:iCs/>
        </w:rPr>
        <w:t xml:space="preserve">«e per il sonno?»</w:t>
      </w:r>
      <w:r>
        <w:t xml:space="preserve">. La risposta onesta è: qualcosa esiste, agisce su come dorme e non su quanto dorme, e non lo eroghi tu.</w:t>
      </w:r>
    </w:p>
    <w:p>
      <w:pPr>
        <w:pStyle w:val="BodyText"/>
      </w:pPr>
      <w:r>
        <w:rPr>
          <w:b/>
          <w:bCs/>
        </w:rPr>
        <w:t xml:space="preserve">Come e quando consegnarlo al tuo paziente sta nella Procedura.</w:t>
      </w:r>
    </w:p>
    <w:p>
      <w:pPr>
        <w:pStyle w:val="BodyText"/>
      </w:pPr>
      <w:r>
        <w:rPr>
          <w:b/>
          <w:bCs/>
        </w:rPr>
        <w:t xml:space="preserve">Le tre cose da ricordare, più una</w:t>
      </w:r>
    </w:p>
    <w:p>
      <w:pPr>
        <w:pStyle w:val="Compact"/>
        <w:numPr>
          <w:ilvl w:val="0"/>
          <w:numId w:val="1027"/>
        </w:numPr>
      </w:pPr>
      <w:r>
        <w:t xml:space="preserve">L’esercizio della mano migliora la funzione e</w:t>
      </w:r>
      <w:r>
        <w:t xml:space="preserve"> </w:t>
      </w:r>
      <w:r>
        <w:rPr>
          <w:b/>
          <w:bCs/>
        </w:rPr>
        <w:t xml:space="preserve">non</w:t>
      </w:r>
      <w:r>
        <w:t xml:space="preserve"> </w:t>
      </w:r>
      <w:r>
        <w:t xml:space="preserve">il dolore</w:t>
      </w:r>
      <w:r>
        <w:t xml:space="preserve"> </w:t>
      </w:r>
      <w:r>
        <w:rPr>
          <w:b/>
          <w:bCs/>
        </w:rPr>
        <w:t xml:space="preserve">nella malattia stabilizzata</w:t>
      </w:r>
      <w:r>
        <w:t xml:space="preserve">, e di poco: dirlo prima evita l’aspettativa che fa abbandonare il programma.</w:t>
      </w:r>
    </w:p>
    <w:p>
      <w:pPr>
        <w:pStyle w:val="Compact"/>
        <w:numPr>
          <w:ilvl w:val="0"/>
          <w:numId w:val="1027"/>
        </w:numPr>
      </w:pPr>
      <w:r>
        <w:t xml:space="preserve">Nessuna di queste leve dura da sola: l’effetto cala quando cala l’esecuzione, ed è misurato.</w:t>
      </w:r>
    </w:p>
    <w:p>
      <w:pPr>
        <w:pStyle w:val="Compact"/>
        <w:numPr>
          <w:ilvl w:val="0"/>
          <w:numId w:val="1027"/>
        </w:numPr>
      </w:pPr>
      <w:r>
        <w:t xml:space="preserve">Tutte, negli studi, le eroga qualcun altro: il tuo atto è riconoscere, spiegare e indirizzare.</w:t>
      </w:r>
    </w:p>
    <w:p>
      <w:pPr>
        <w:pStyle w:val="Compact"/>
        <w:numPr>
          <w:ilvl w:val="0"/>
          <w:numId w:val="1027"/>
        </w:numPr>
      </w:pPr>
      <w:r>
        <w:rPr>
          <w:b/>
          <w:bCs/>
        </w:rPr>
        <w:t xml:space="preserve">Perché ci sei tu.</w:t>
      </w:r>
      <w:r>
        <w:t xml:space="preserve"> </w:t>
      </w:r>
      <w:r>
        <w:t xml:space="preserve">L’esercizio della mano dello studio SARAH costa 156 sterline a persona e dà un guadagno di funzione a dodici mesi (Lamb, 2015, PMID 25308290).</w:t>
      </w:r>
      <w:r>
        <w:t xml:space="preserve"> </w:t>
      </w:r>
      <w:r>
        <w:rPr>
          <w:b/>
          <w:bCs/>
        </w:rPr>
        <w:t xml:space="preserve">Per te:</w:t>
      </w:r>
      <w:r>
        <w:t xml:space="preserve"> </w:t>
      </w:r>
      <w:r>
        <w:t xml:space="preserve">è la leva meglio documentata che questo paziente possa ricevere, e quasi nessuno di quelli che ti arrivano la conosce. Questo ti autorizza a nominargliela e a mandarlo dove gliela costruiscono. Non ti autorizza a costruirla tu: negli studi la consegnano fisioterapisti e terapisti occupazionali.</w:t>
      </w:r>
    </w:p>
    <w:p>
      <w:r>
        <w:pict>
          <v:rect style="width:0;height:1.5pt" o:hralign="center" o:hrstd="t" o:hr="t"/>
        </w:pict>
      </w:r>
    </w:p>
    <w:bookmarkEnd w:id="83"/>
    <w:bookmarkEnd w:id="84"/>
    <w:bookmarkStart w:id="89"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regge tutto è che la malattia e il corpo intorno alla malattia sono due cose, e che tu ti occupi solo della seconda.</w:t>
      </w:r>
    </w:p>
    <w:bookmarkStart w:id="85" w:name="lo-script-di-spiegazione"/>
    <w:p>
      <w:pPr>
        <w:pStyle w:val="Heading3"/>
      </w:pPr>
      <w:r>
        <w:t xml:space="preserve">Lo script di spiegazione</w:t>
      </w:r>
    </w:p>
    <w:p>
      <w:pPr>
        <w:pStyle w:val="BlockText"/>
      </w:pPr>
      <w:r>
        <w:rPr>
          <w:i/>
          <w:iCs/>
        </w:rPr>
        <w:t xml:space="preserve">«La sua malattia la cura il suo reumatologo, e quella terapia non si tocca. Io mi occupo di un’altra cosa. Intorno alle articolazioni che fanno male il corpo spesso costruisce delle difese: si irrigidisce, sposta il lavoro su altre parti, respira più corto, dorme peggio. Quando le trovo, e le misuro, sono il mio campo; se non le trovo, non ho niente da trattare e glielo dico. Non lavoro sulle articolazioni infiammate: lavoro intorno. E misuriamo insieme, prima e dopo, così vediamo se serve.»</w:t>
      </w:r>
    </w:p>
    <w:p>
      <w:pPr>
        <w:pStyle w:val="FirstParagraph"/>
      </w:pPr>
      <w:r>
        <w:t xml:space="preserve">Le due parole che sembrano prudenza e non lo sono:</w:t>
      </w:r>
      <w:r>
        <w:t xml:space="preserve"> </w:t>
      </w:r>
      <w:r>
        <w:rPr>
          <w:b/>
          <w:bCs/>
        </w:rPr>
        <w:t xml:space="preserve">«spesso»</w:t>
      </w:r>
      <w:r>
        <w:t xml:space="preserve"> </w:t>
      </w:r>
      <w:r>
        <w:t xml:space="preserve">e</w:t>
      </w:r>
      <w:r>
        <w:t xml:space="preserve"> </w:t>
      </w:r>
      <w:r>
        <w:rPr>
          <w:b/>
          <w:bCs/>
        </w:rPr>
        <w:t xml:space="preserve">«quando le trovo»</w:t>
      </w:r>
      <w:r>
        <w:t xml:space="preserve">. La catena delle difese porta le etichette RAGIONAMENTO e IPOTESI. Detta al paziente come un fatto sul suo corpo, diventa una promessa implicita: se le difese aggiungono dolore e sono il mio campo, toglierle toglie dolore.</w:t>
      </w:r>
    </w:p>
    <w:bookmarkEnd w:id="85"/>
    <w:bookmarkStart w:id="86" w:name="le-obiezioni-e-le-risposte-oneste"/>
    <w:p>
      <w:pPr>
        <w:pStyle w:val="Heading3"/>
      </w:pPr>
      <w:r>
        <w:t xml:space="preserve">Le obiezioni, e le risposte oneste</w:t>
      </w:r>
    </w:p>
    <w:p>
      <w:pPr>
        <w:pStyle w:val="FirstParagraph"/>
      </w:pPr>
      <w:r>
        <w:rPr>
          <w:b/>
          <w:bCs/>
        </w:rPr>
        <w:t xml:space="preserve">«La mia è una malattia autoimmune: cosa potete fare voi?»</w:t>
      </w:r>
      <w:r>
        <w:t xml:space="preserve"> </w:t>
      </w:r>
      <w:r>
        <w:t xml:space="preserve">Sulla malattia niente: la cura il suo reumatologo, e non ho strumenti per toccarla. Sul corpo che si è costruito intorno — rigidità, compensi, respiro, difesa muscolare — c’è del lavoro da fare, e nessuno lo sta facendo. Io ho qualcosa da trattare, e questo non significa che io sappia cosa ha lei.</w:t>
      </w:r>
    </w:p>
    <w:p>
      <w:pPr>
        <w:pStyle w:val="BodyText"/>
      </w:pPr>
      <w:r>
        <w:rPr>
          <w:b/>
          <w:bCs/>
        </w:rPr>
        <w:t xml:space="preserve">«Ho paura che toccarmi peggiori l’infiammazione.»</w:t>
      </w:r>
      <w:r>
        <w:t xml:space="preserve"> </w:t>
      </w:r>
      <w:r>
        <w:t xml:space="preserve">Non lavoro mai sulle articolazioni infiammate: lavoro intorno. Se oggi ne ha una calda me lo dice, e quella sede resta fuori. Negli studi sull’esercizio in questa malattia non sono stati rilevati effetti dannosi. L’unica cautela riguarda l’intensità in chi ha già un danno importante alle grandi articolazioni, e quella si decide con il suo reumatologo. Il problema non è muoversi: è muoversi sul punto in fiamme.</w:t>
      </w:r>
    </w:p>
    <w:p>
      <w:pPr>
        <w:pStyle w:val="BodyText"/>
      </w:pPr>
      <w:r>
        <w:rPr>
          <w:b/>
          <w:bCs/>
        </w:rPr>
        <w:t xml:space="preserve">«Devo dirlo al mio reumatologo?»</w:t>
      </w:r>
      <w:r>
        <w:t xml:space="preserve"> </w:t>
      </w:r>
      <w:r>
        <w:t xml:space="preserve">Sì, e gli scrivo io cosa ho misurato e cosa ho trattato. Se vedo un’articolazione nuova gonfia o un dito che non si estende, quella informazione deve arrivargli da me e non da lei.</w:t>
      </w:r>
    </w:p>
    <w:p>
      <w:pPr>
        <w:pStyle w:val="BodyText"/>
      </w:pPr>
      <w:r>
        <w:rPr>
          <w:b/>
          <w:bCs/>
        </w:rPr>
        <w:t xml:space="preserve">«Sono sempre stanca, non è solo il dolore.»</w:t>
      </w:r>
      <w:r>
        <w:t xml:space="preserve"> </w:t>
      </w:r>
      <w:r>
        <w:t xml:space="preserve">Le credo, ed è documentato: la stanchezza è parte del quadro, non un’aggiunta. Due cose, negli studi, l’hanno ridotta — l’attività fisica e gli interventi di supporto — e nessuna la faccio io con le mani. Io lavoro su respiro, tensioni e sonno, e la indirizzo verso chi quelle due le costruisce.</w:t>
      </w:r>
    </w:p>
    <w:p>
      <w:pPr>
        <w:pStyle w:val="BodyText"/>
      </w:pPr>
      <w:r>
        <w:rPr>
          <w:b/>
          <w:bCs/>
        </w:rPr>
        <w:t xml:space="preserve">«Sono già sfinita: come faccio a fare anche ginnastica?»</w:t>
      </w:r>
      <w:r>
        <w:t xml:space="preserve"> </w:t>
      </w:r>
      <w:r>
        <w:t xml:space="preserve">Le do il dato invece di un incoraggiamento. L’attività fisica non è una tassa sull’energia: è la sola cosa che negli studi quell’energia l’ha restituita in parte. Quattordici punti su cento di stanchezza in meno, con sette persone da trattare per un beneficio. È poco, ed è più di quanto abbia dato qualunque altra cosa provata. Si comincia da quello che riesce a fare oggi. E il punto in cui il beneficio si perde non è l’inizio: è il mese in cui si smette.</w:t>
      </w:r>
    </w:p>
    <w:bookmarkEnd w:id="86"/>
    <w:bookmarkStart w:id="87" w:name="X4b4ef1ae8d03597dd749f52cef2fad6745f36fb"/>
    <w:p>
      <w:pPr>
        <w:pStyle w:val="Heading3"/>
      </w:pPr>
      <w:r>
        <w:t xml:space="preserve">Cosa deve riconoscere lui, quando io non ci sono</w:t>
      </w:r>
    </w:p>
    <w:p>
      <w:pPr>
        <w:pStyle w:val="FirstParagraph"/>
      </w:pPr>
      <w:r>
        <w:t xml:space="preserve">Fra una seduta e l’altra passano settimane. Il paziente porta a casa un’immunosoppressione, un collo che può cedere e tendini che si possono rompere. Sei righe, dette alla prima seduta e ripetute alla seconda.</w:t>
      </w:r>
    </w:p>
    <w:p>
      <w:pPr>
        <w:pStyle w:val="BlockText"/>
      </w:pPr>
      <w:r>
        <w:t xml:space="preserve">Una o più articolazioni</w:t>
      </w:r>
      <w:r>
        <w:t xml:space="preserve"> </w:t>
      </w:r>
      <w:r>
        <w:rPr>
          <w:b/>
          <w:bCs/>
        </w:rPr>
        <w:t xml:space="preserve">calde e rosse</w:t>
      </w:r>
      <w:r>
        <w:t xml:space="preserve"> </w:t>
      </w:r>
      <w:r>
        <w:t xml:space="preserve">comparse in pochi giorni, con o senza febbre →</w:t>
      </w:r>
      <w:r>
        <w:t xml:space="preserve"> </w:t>
      </w:r>
      <w:r>
        <w:rPr>
          <w:b/>
          <w:bCs/>
        </w:rPr>
        <w:t xml:space="preserve">pronto soccorso, 112</w:t>
      </w:r>
      <w:r>
        <w:t xml:space="preserve">.</w:t>
      </w:r>
      <w:r>
        <w:t xml:space="preserve"> </w:t>
      </w:r>
      <w:r>
        <w:rPr>
          <w:b/>
          <w:bCs/>
        </w:rPr>
        <w:t xml:space="preserve">Febbre alta</w:t>
      </w:r>
      <w:r>
        <w:t xml:space="preserve"> </w:t>
      </w:r>
      <w:r>
        <w:t xml:space="preserve">mentre prende la terapia → curante o reumatologo,</w:t>
      </w:r>
      <w:r>
        <w:t xml:space="preserve"> </w:t>
      </w:r>
      <w:r>
        <w:rPr>
          <w:b/>
          <w:bCs/>
        </w:rPr>
        <w:t xml:space="preserve">in giornata</w:t>
      </w:r>
      <w:r>
        <w:t xml:space="preserve">.</w:t>
      </w:r>
      <w:r>
        <w:t xml:space="preserve"> </w:t>
      </w:r>
      <w:r>
        <w:t xml:space="preserve">Un</w:t>
      </w:r>
      <w:r>
        <w:t xml:space="preserve"> </w:t>
      </w:r>
      <w:r>
        <w:rPr>
          <w:b/>
          <w:bCs/>
        </w:rPr>
        <w:t xml:space="preserve">dito che smette di estendersi</w:t>
      </w:r>
      <w:r>
        <w:t xml:space="preserve"> </w:t>
      </w:r>
      <w:r>
        <w:t xml:space="preserve">→ reumatologo, senza aspettare la prossima seduta.</w:t>
      </w:r>
      <w:r>
        <w:t xml:space="preserve"> </w:t>
      </w:r>
      <w:r>
        <w:rPr>
          <w:b/>
          <w:bCs/>
        </w:rPr>
        <w:t xml:space="preserve">Formicolii nuovi</w:t>
      </w:r>
      <w:r>
        <w:t xml:space="preserve">, mani che perdono destrezza, andatura cambiata, bisogno di sostenersi la testa con le mani → reumatologo, senza aspettare.</w:t>
      </w:r>
      <w:r>
        <w:t xml:space="preserve"> </w:t>
      </w:r>
      <w:r>
        <w:rPr>
          <w:b/>
          <w:bCs/>
        </w:rPr>
        <w:t xml:space="preserve">Affanno nuovo che peggiora nelle settimane, o tosse secca che non passa</w:t>
      </w:r>
      <w:r>
        <w:t xml:space="preserve"> </w:t>
      </w:r>
      <w:r>
        <w:t xml:space="preserve">→ curante, senza aspettare.</w:t>
      </w:r>
      <w:r>
        <w:t xml:space="preserve"> </w:t>
      </w:r>
      <w:r>
        <w:t xml:space="preserve">Un</w:t>
      </w:r>
      <w:r>
        <w:t xml:space="preserve"> </w:t>
      </w:r>
      <w:r>
        <w:rPr>
          <w:b/>
          <w:bCs/>
        </w:rPr>
        <w:t xml:space="preserve">occhio rosso che fa male</w:t>
      </w:r>
      <w:r>
        <w:t xml:space="preserve">, o la vista che cala → oculista o pronto soccorso,</w:t>
      </w:r>
      <w:r>
        <w:t xml:space="preserve"> </w:t>
      </w:r>
      <w:r>
        <w:rPr>
          <w:b/>
          <w:bCs/>
        </w:rPr>
        <w:t xml:space="preserve">entro 24 ore</w:t>
      </w:r>
      <w:r>
        <w:t xml:space="preserve">.</w:t>
      </w:r>
    </w:p>
    <w:bookmarkEnd w:id="87"/>
    <w:bookmarkStart w:id="88" w:name="cosa-non-promettere-mai"/>
    <w:p>
      <w:pPr>
        <w:pStyle w:val="Heading3"/>
      </w:pPr>
      <w:r>
        <w:t xml:space="preserve">Cosa non promettere mai</w:t>
      </w:r>
    </w:p>
    <w:p>
      <w:pPr>
        <w:pStyle w:val="FirstParagraph"/>
      </w:pPr>
      <w:r>
        <w:t xml:space="preserve">Non promettere che le articolazioni miglioreranno, che il gonfiore scenderà, che le deformità si ridurranno. Non promettere che si potranno ridurre i farmaci: non è una tua valutazione, nemmeno in forma dubitativa. Non promettere che le riacutizzazioni diminuiranno: oscillano per conto loro, e prendersene il merito quando va bene significa prendersene la colpa quando va male.</w:t>
      </w:r>
    </w:p>
    <w:p>
      <w:pPr>
        <w:pStyle w:val="BodyText"/>
      </w:pPr>
      <w:r>
        <w:rPr>
          <w:b/>
          <w:bCs/>
        </w:rPr>
        <w:t xml:space="preserve">Le tre cose da ricordare, più una</w:t>
      </w:r>
    </w:p>
    <w:p>
      <w:pPr>
        <w:pStyle w:val="Compact"/>
        <w:numPr>
          <w:ilvl w:val="0"/>
          <w:numId w:val="1028"/>
        </w:numPr>
      </w:pPr>
      <w:r>
        <w:t xml:space="preserve">La frase che regge tutto è la convivenza: io ho qualcosa da trattare, e questo non vuol dire che so cosa hai.</w:t>
      </w:r>
    </w:p>
    <w:p>
      <w:pPr>
        <w:pStyle w:val="Compact"/>
        <w:numPr>
          <w:ilvl w:val="0"/>
          <w:numId w:val="1028"/>
        </w:numPr>
      </w:pPr>
      <w:r>
        <w:t xml:space="preserve">Alla paura del contatto si risponde con la sede e la fase, non con la delicatezza.</w:t>
      </w:r>
    </w:p>
    <w:p>
      <w:pPr>
        <w:pStyle w:val="Compact"/>
        <w:numPr>
          <w:ilvl w:val="0"/>
          <w:numId w:val="1028"/>
        </w:numPr>
      </w:pPr>
      <w:r>
        <w:t xml:space="preserve">Alla stanchezza si risponde credendoci e nominando le due leve che la riducono, dicendo che non sono tue.</w:t>
      </w:r>
    </w:p>
    <w:p>
      <w:pPr>
        <w:pStyle w:val="Compact"/>
        <w:numPr>
          <w:ilvl w:val="0"/>
          <w:numId w:val="1028"/>
        </w:numPr>
      </w:pPr>
      <w:r>
        <w:rPr>
          <w:b/>
          <w:bCs/>
        </w:rPr>
        <w:t xml:space="preserve">Perché ci sei tu.</w:t>
      </w:r>
      <w:r>
        <w:t xml:space="preserve"> </w:t>
      </w:r>
      <w:r>
        <w:t xml:space="preserve">Gli interventi psicosociali riducono la stanchezza riferita, con dieci persone da trattare per un beneficio, su prove di qualità bassa (Cramp, 2013, PMID 23975674); l’educazione strutturata da sola non mostra benefici all’ultimo controllo (Riemsma, 2003, PMID 12804484).</w:t>
      </w:r>
      <w:r>
        <w:t xml:space="preserve"> </w:t>
      </w:r>
      <w:r>
        <w:rPr>
          <w:b/>
          <w:bCs/>
        </w:rPr>
        <w:t xml:space="preserve">Per te:</w:t>
      </w:r>
      <w:r>
        <w:t xml:space="preserve"> </w:t>
      </w:r>
      <w:r>
        <w:t xml:space="preserve">parlare della malattia in modo strutturato ha un effetto misurato, piccolo, che si consuma se non viene mantenuto. Questo ti autorizza a considerare la spiegazione parte del lavoro. Non ti autorizza a chiamarla un intervento psicologico, né a farla al posto di chi la eroga.</w:t>
      </w:r>
    </w:p>
    <w:p>
      <w:r>
        <w:pict>
          <v:rect style="width:0;height:1.5pt" o:hralign="center" o:hrstd="t" o:hr="t"/>
        </w:pict>
      </w:r>
    </w:p>
    <w:bookmarkEnd w:id="88"/>
    <w:bookmarkEnd w:id="89"/>
    <w:bookmarkStart w:id="91" w:name="capitolo-14-cosa-fare-adesso"/>
    <w:p>
      <w:pPr>
        <w:pStyle w:val="Heading2"/>
      </w:pPr>
      <w:r>
        <w:t xml:space="preserve">Capitolo 14 — Cosa fare adesso</w:t>
      </w:r>
    </w:p>
    <w:p>
      <w:pPr>
        <w:pStyle w:val="BlockText"/>
      </w:pPr>
      <w:r>
        <w:rPr>
          <w:b/>
          <w:bCs/>
        </w:rPr>
        <w:t xml:space="preserve">In una riga:</w:t>
      </w:r>
      <w:r>
        <w:t xml:space="preserve"> </w:t>
      </w:r>
      <w:r>
        <w:t xml:space="preserve">hai davanti una malattia che non tratti e una persona che nessuno guarda per intero, e il tuo spazio è tutto nella seconda.</w:t>
      </w:r>
    </w:p>
    <w:p>
      <w:pPr>
        <w:pStyle w:val="FirstParagraph"/>
      </w:pPr>
      <w:r>
        <w:t xml:space="preserve">Il filo è uno solo. Ti arriva qualcuno con una diagnosi vera e una terapia che funziona sui valori, e che sta male lo stesso. Una persona su tre ha ancora un dolore inaccettabile a cinque anni, e quel dolore si associa a</w:t>
      </w:r>
      <w:r>
        <w:t xml:space="preserve"> </w:t>
      </w:r>
      <w:r>
        <w:rPr>
          <w:b/>
          <w:bCs/>
        </w:rPr>
        <w:t xml:space="preserve">meno</w:t>
      </w:r>
      <w:r>
        <w:t xml:space="preserve"> </w:t>
      </w:r>
      <w:r>
        <w:t xml:space="preserve">infiammazione, non a più. Intorno alle articolazioni malate il corpo ha costruito difese che aggiungono dolore. Ha spostato il lavoro su strutture che non lo reggono, ha accorciato il respiro e ha smesso di riparare la notte. Quelle quattro cose sono il tuo campo; la malattia che le ha innescate non lo è. Sopra c’è un collo che può essere instabile senza dirlo. In mezzo un dorso in cui un paziente su tre ha una vertebra già ceduta. E accanto ci sono le leve con le prove migliori, che consegna qualcun altro.</w:t>
      </w:r>
    </w:p>
    <w:bookmarkStart w:id="90" w:name="le-tre-cose-che-cambi-da-lunedì"/>
    <w:p>
      <w:pPr>
        <w:pStyle w:val="Heading3"/>
      </w:pPr>
      <w:r>
        <w:t xml:space="preserve">Le tre cose che cambi da lunedì</w:t>
      </w:r>
    </w:p>
    <w:p>
      <w:pPr>
        <w:pStyle w:val="FirstParagraph"/>
      </w:pPr>
      <w:r>
        <w:rPr>
          <w:b/>
          <w:bCs/>
        </w:rPr>
        <w:t xml:space="preserve">Guarda il collo prima di toccarlo, e guarda i piedi, che nessuno guarda.</w:t>
      </w:r>
      <w:r>
        <w:t xml:space="preserve"> </w:t>
      </w:r>
      <w:r>
        <w:t xml:space="preserve">In ogni paziente con qualche anno di malattia: destrezza delle mani, formicolii, andatura, sensazione di cedimento del collo, scritti in cartella. Poi digli di togliersi le scarpe e guarda come cammina e com’è consumata la suola. Metà della vita che ha perso è uscita da lì, e non c’è in nessun referto. Guardare è un reperto tuo; l’invio per il plantare è un’altra cosa, e la sua letteratura è discorde (Gijon-Nogueron, 2018, PMID 29922913; Cabrera-Sánchez, 2024, PMID 39451432).</w:t>
      </w:r>
    </w:p>
    <w:p>
      <w:pPr>
        <w:pStyle w:val="BodyText"/>
      </w:pPr>
      <w:r>
        <w:rPr>
          <w:b/>
          <w:bCs/>
        </w:rPr>
        <w:t xml:space="preserve">Di’ la convivenza, con queste parole.</w:t>
      </w:r>
      <w:r>
        <w:t xml:space="preserve"> </w:t>
      </w:r>
      <w:r>
        <w:rPr>
          <w:i/>
          <w:iCs/>
        </w:rPr>
        <w:t xml:space="preserve">«Io lavoro sulla componente meccanica che ho trovato. La malattia e la terapia restano del tuo reumatologo, e nel frattempo io non aspetto.»</w:t>
      </w:r>
    </w:p>
    <w:p>
      <w:pPr>
        <w:pStyle w:val="BodyText"/>
      </w:pPr>
      <w:r>
        <w:rPr>
          <w:b/>
          <w:bCs/>
        </w:rPr>
        <w:t xml:space="preserve">Smetti di attribuirti le riacutizzazioni, in entrambe le direzioni.</w:t>
      </w:r>
      <w:r>
        <w:t xml:space="preserve"> </w:t>
      </w:r>
      <w:r>
        <w:t xml:space="preserve">Dichiara la fase di malattia in cartella prima di misurare: è leggere il contatore prima di accendere, non dopo. Una visita su sei cade in riacutizzazione: senza quella riga scritta prima, ti prenderai meriti e colpe della malattia.</w:t>
      </w:r>
    </w:p>
    <w:p>
      <w:pPr>
        <w:pStyle w:val="BodyText"/>
      </w:pPr>
      <w:r>
        <w:rPr>
          <w:b/>
          <w:bCs/>
        </w:rPr>
        <w:t xml:space="preserve">Quando sei autonomo su questa condizione.</w:t>
      </w:r>
      <w:r>
        <w:t xml:space="preserve"> </w:t>
      </w:r>
      <w:r>
        <w:t xml:space="preserve">Non quando sai ripetere i cinque meccanismi: quando su tre situazioni difficili non esiti più. La prima è distinguere il compenso dall’amplificazione in chi ha entrambi. La seconda è riconoscere i tre quadri su cui puoi poco: cervicale alto, danno consolidato, fibromialgia sovrapposta. La terza è dire a un medico, senza aggiungere e senza togliere, cosa possiamo e cosa non possiamo affermare.</w:t>
      </w:r>
    </w:p>
    <w:p>
      <w:pPr>
        <w:pStyle w:val="BodyText"/>
      </w:pPr>
      <w:r>
        <w:rPr>
          <w:i/>
          <w:iCs/>
        </w:rPr>
        <w:t xml:space="preserve">Su questa condizione non guarirai nessuno, e lo sai dalla prima pagina. Puoi restituire a una persona la parte di corpo che la malattia non ha preso e che nessuno le ha più guardato: la corsa di una spalla, la forza di una presa, un passo che regge, una notte che ripara un po’ di più. Nessuno nel suo percorso ha il mandato di occuparsene, e nessuno ha il tempo. Tu hai tutti e due.</w:t>
      </w:r>
    </w:p>
    <w:p>
      <w:pPr>
        <w:pStyle w:val="BodyText"/>
      </w:pPr>
      <w:r>
        <w:rPr>
          <w:b/>
          <w:bCs/>
        </w:rPr>
        <w:t xml:space="preserve">Le tre cose da ricordare, più una</w:t>
      </w:r>
    </w:p>
    <w:p>
      <w:pPr>
        <w:pStyle w:val="Compact"/>
        <w:numPr>
          <w:ilvl w:val="0"/>
          <w:numId w:val="1029"/>
        </w:numPr>
      </w:pPr>
      <w:r>
        <w:t xml:space="preserve">Guarda il collo e scrivilo, in ogni paziente con malattia di lunga durata.</w:t>
      </w:r>
    </w:p>
    <w:p>
      <w:pPr>
        <w:pStyle w:val="Compact"/>
        <w:numPr>
          <w:ilvl w:val="0"/>
          <w:numId w:val="1029"/>
        </w:numPr>
      </w:pPr>
      <w:r>
        <w:t xml:space="preserve">Di’ la convivenza con le parole esatte, alla prima seduta.</w:t>
      </w:r>
    </w:p>
    <w:p>
      <w:pPr>
        <w:pStyle w:val="Compact"/>
        <w:numPr>
          <w:ilvl w:val="0"/>
          <w:numId w:val="1029"/>
        </w:numPr>
      </w:pPr>
      <w:r>
        <w:t xml:space="preserve">Dichiara la fase di malattia prima di misurare, e smetti di attribuirti le oscillazioni.</w:t>
      </w:r>
    </w:p>
    <w:p>
      <w:pPr>
        <w:pStyle w:val="Compact"/>
        <w:numPr>
          <w:ilvl w:val="0"/>
          <w:numId w:val="1029"/>
        </w:numPr>
      </w:pPr>
      <w:r>
        <w:rPr>
          <w:b/>
          <w:bCs/>
        </w:rPr>
        <w:t xml:space="preserve">Perché ci sei tu.</w:t>
      </w:r>
      <w:r>
        <w:t xml:space="preserve"> </w:t>
      </w:r>
      <w:r>
        <w:t xml:space="preserve">Il riflesso infiammatorio è stato modulato nell’uomo: 35,2% di risposta clinica contro il 24,2% del dispositivo spento (Tesser, 2026, PMID 41429981).</w:t>
      </w:r>
      <w:r>
        <w:t xml:space="preserve"> </w:t>
      </w:r>
      <w:r>
        <w:rPr>
          <w:b/>
          <w:bCs/>
        </w:rPr>
        <w:t xml:space="preserve">Per te:</w:t>
      </w:r>
      <w:r>
        <w:t xml:space="preserve"> </w:t>
      </w:r>
      <w:r>
        <w:t xml:space="preserve">il piano autonomico è una via reale in questa malattia, e quel numero è anche la misura della distanza fra quella via e la tua mano. Questo ti autorizza a occuparti dell’attivazione come di un bersaglio serio. Non ti autorizza a dire che il tuo tocco fa quello che fa un elettrodo.</w:t>
      </w:r>
    </w:p>
    <w:p>
      <w:r>
        <w:pict>
          <v:rect style="width:0;height:1.5pt" o:hralign="center" o:hrstd="t" o:hr="t"/>
        </w:pict>
      </w:r>
    </w:p>
    <w:bookmarkEnd w:id="90"/>
    <w:bookmarkEnd w:id="91"/>
    <w:bookmarkStart w:id="92" w:name="appendice-a-glossario"/>
    <w:p>
      <w:pPr>
        <w:pStyle w:val="Heading2"/>
      </w:pPr>
      <w:r>
        <w:t xml:space="preserve">Appendice A — Glossario</w:t>
      </w:r>
    </w:p>
    <w:p>
      <w:pPr>
        <w:pStyle w:val="FirstParagraph"/>
      </w:pPr>
      <w:r>
        <w:rPr>
          <w:b/>
          <w:bCs/>
        </w:rPr>
        <w:t xml:space="preserve">Acetilcolina e macrofagi</w:t>
      </w:r>
      <w:r>
        <w:t xml:space="preserve"> </w:t>
      </w:r>
      <w:r>
        <w:t xml:space="preserve">— L’acetilcolina è il messaggero chimico con cui il parasimpatico parla ai tessuti. I macrofagi sono le cellule immunitarie che producono il TNF. Nel riflesso infiammatorio la prima spegne il secondo, e il relè è stato descritto nel topo.</w:t>
      </w:r>
    </w:p>
    <w:p>
      <w:pPr>
        <w:pStyle w:val="BodyText"/>
      </w:pPr>
      <w:r>
        <w:rPr>
          <w:b/>
          <w:bCs/>
        </w:rPr>
        <w:t xml:space="preserve">Anti-CCP</w:t>
      </w:r>
      <w:r>
        <w:t xml:space="preserve"> </w:t>
      </w:r>
      <w:r>
        <w:t xml:space="preserve">— Anticorpi contro proteine citrullinate. Molto specifici per l’artrite reumatoide, non misurano l’attività di oggi.</w:t>
      </w:r>
    </w:p>
    <w:p>
      <w:pPr>
        <w:pStyle w:val="BodyText"/>
      </w:pPr>
      <w:r>
        <w:rPr>
          <w:b/>
          <w:bCs/>
        </w:rPr>
        <w:t xml:space="preserve">Artrite reumatoide</w:t>
      </w:r>
      <w:r>
        <w:t xml:space="preserve"> </w:t>
      </w:r>
      <w:r>
        <w:t xml:space="preserve">— Malattia infiammatoria cronica a base autoimmune che attacca la membrana sinoviale delle articolazioni.</w:t>
      </w:r>
    </w:p>
    <w:p>
      <w:pPr>
        <w:pStyle w:val="BodyText"/>
      </w:pPr>
      <w:r>
        <w:rPr>
          <w:b/>
          <w:bCs/>
        </w:rPr>
        <w:t xml:space="preserve">Attività di malattia</w:t>
      </w:r>
      <w:r>
        <w:t xml:space="preserve"> </w:t>
      </w:r>
      <w:r>
        <w:t xml:space="preserve">— Quanto la malattia è accesa in questo momento. Si misura combinando articolazioni dolenti e gonfie, indici di infiammazione e valutazione del paziente.</w:t>
      </w:r>
    </w:p>
    <w:p>
      <w:pPr>
        <w:pStyle w:val="BodyText"/>
      </w:pPr>
      <w:r>
        <w:rPr>
          <w:b/>
          <w:bCs/>
        </w:rPr>
        <w:t xml:space="preserve">Barocettori</w:t>
      </w:r>
      <w:r>
        <w:t xml:space="preserve"> </w:t>
      </w:r>
      <w:r>
        <w:t xml:space="preserve">— Recettori di pressione della parete di carotide e aorta, che regolano per via riflessa frequenza cardiaca e pressione. Compaiono qui solo per dire che il collo anteriore non è un bersaglio osteopatico.</w:t>
      </w:r>
    </w:p>
    <w:p>
      <w:pPr>
        <w:pStyle w:val="BodyText"/>
      </w:pPr>
      <w:r>
        <w:rPr>
          <w:b/>
          <w:bCs/>
        </w:rPr>
        <w:t xml:space="preserve">Capacità vitale forzata</w:t>
      </w:r>
      <w:r>
        <w:t xml:space="preserve"> </w:t>
      </w:r>
      <w:r>
        <w:t xml:space="preserve">— Il volume d’aria che una persona riesce a espirare con la massima forza dopo un’inspirazione massimale. È una misura di funzione ventilatoria, non di dolore né di malattia.</w:t>
      </w:r>
    </w:p>
    <w:p>
      <w:pPr>
        <w:pStyle w:val="BodyText"/>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BodyText"/>
      </w:pPr>
      <w:r>
        <w:rPr>
          <w:b/>
          <w:bCs/>
        </w:rPr>
        <w:t xml:space="preserve">Centro che percepisce e centro che coordina</w:t>
      </w:r>
      <w:r>
        <w:t xml:space="preserve"> </w:t>
      </w:r>
      <w:r>
        <w:t xml:space="preserve">— I due termini del metodo con cui si distingue il punto in cui il paziente sente il sintomo dal punto che governa la funzione da cui quel sintomo dipende. Il metodo prescrive di risalire dal primo al secondo. Su questa condizione quella regola è tolta, e il motivo sta nel Capitolo 8.</w:t>
      </w:r>
    </w:p>
    <w:p>
      <w:pPr>
        <w:pStyle w:val="BodyText"/>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Citochine (TNF, interleuchina-1β, interleuchina-6)</w:t>
      </w:r>
      <w:r>
        <w:t xml:space="preserve"> </w:t>
      </w:r>
      <w:r>
        <w:t xml:space="preserve">— Molecole con cui le cellule immunitarie si parlano fra loro. Nell’artrite reumatoide sono i mediatori dell’infiammazione della sinovia, e sono il bersaglio dei farmaci biologici.</w:t>
      </w:r>
    </w:p>
    <w:p>
      <w:pPr>
        <w:pStyle w:val="BodyText"/>
      </w:pPr>
      <w:r>
        <w:rPr>
          <w:b/>
          <w:bCs/>
        </w:rPr>
        <w:t xml:space="preserve">Conduttanza cutanea</w:t>
      </w:r>
      <w:r>
        <w:t xml:space="preserve"> </w:t>
      </w:r>
      <w:r>
        <w:t xml:space="preserve">— Quanto la pelle conduce elettricità, che dipende dalla sudorazione. Si usa come misura dell’attivazione simpatica</w:t>
      </w:r>
      <w:r>
        <w:t xml:space="preserve"> </w:t>
      </w:r>
      <w:r>
        <w:rPr>
          <w:b/>
          <w:bCs/>
        </w:rPr>
        <w:t xml:space="preserve">in risposta a uno stimolo</w:t>
      </w:r>
      <w:r>
        <w:t xml:space="preserve">, non del livello di fondo.</w:t>
      </w:r>
    </w:p>
    <w:p>
      <w:pPr>
        <w:pStyle w:val="BodyText"/>
      </w:pPr>
      <w:r>
        <w:rPr>
          <w:b/>
          <w:bCs/>
        </w:rPr>
        <w:t xml:space="preserve">DAS28</w:t>
      </w:r>
      <w:r>
        <w:t xml:space="preserve"> </w:t>
      </w:r>
      <w:r>
        <w:t xml:space="preserve">— Punteggio composito di attività di malattia su 28 articolazioni. Contiene anche la valutazione soggettiva del paziente.</w:t>
      </w:r>
    </w:p>
    <w:p>
      <w:pPr>
        <w:pStyle w:val="BodyText"/>
      </w:pPr>
      <w:r>
        <w:rPr>
          <w:b/>
          <w:bCs/>
        </w:rPr>
        <w:t xml:space="preserve">Differenza minima clinicamente importante</w:t>
      </w:r>
      <w:r>
        <w:t xml:space="preserve"> </w:t>
      </w:r>
      <w:r>
        <w:t xml:space="preserve">— La variazione più piccola che un paziente giudica un miglioramento reale. È una soglia di esito nel tempo, non la variazione attesa dentro una seduta.</w:t>
      </w:r>
    </w:p>
    <w:p>
      <w:pPr>
        <w:pStyle w:val="BodyText"/>
      </w:pPr>
      <w:r>
        <w:rPr>
          <w:b/>
          <w:bCs/>
        </w:rPr>
        <w:t xml:space="preserve">Dimensione dell’effetto (differenza standardizzata)</w:t>
      </w:r>
      <w:r>
        <w:t xml:space="preserve"> </w:t>
      </w:r>
      <w:r>
        <w:t xml:space="preserve">— Un numero che dice quanto due gruppi sono diversi, indipendente dall’unità di misura. Come riferimento: 0,2 è una differenza piccola, 0,5 media, 0,8 grande.</w:t>
      </w:r>
    </w:p>
    <w:p>
      <w:pPr>
        <w:pStyle w:val="BodyText"/>
      </w:pPr>
      <w:r>
        <w:rPr>
          <w:b/>
          <w:bCs/>
        </w:rPr>
        <w:t xml:space="preserve">DIMOSTRATO</w:t>
      </w:r>
      <w:r>
        <w:t xml:space="preserve"> </w:t>
      </w:r>
      <w:r>
        <w:rPr>
          <w:i/>
          <w:iCs/>
        </w:rPr>
        <w:t xml:space="preserve">(studi sull’uomo, solidi)</w:t>
      </w:r>
      <w:r>
        <w:t xml:space="preserve"> </w:t>
      </w:r>
      <w:r>
        <w:t xml:space="preserve">— Etichetta di solidità: studi randomizzati o revisioni sistematiche solide, con fonte citata.</w:t>
      </w:r>
    </w:p>
    <w:p>
      <w:pPr>
        <w:pStyle w:val="BodyText"/>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BodyText"/>
      </w:pPr>
      <w:r>
        <w:rPr>
          <w:b/>
          <w:bCs/>
        </w:rPr>
        <w:t xml:space="preserve">DMARD</w:t>
      </w:r>
      <w:r>
        <w:t xml:space="preserve"> </w:t>
      </w:r>
      <w:r>
        <w:t xml:space="preserve">— Farmaco di fondo che modifica il decorso della malattia. Metotrexato, idrossiclorochina, sulfasalazina, leflunomide.</w:t>
      </w:r>
    </w:p>
    <w:p>
      <w:pPr>
        <w:pStyle w:val="BodyText"/>
      </w:pPr>
      <w:r>
        <w:rPr>
          <w:b/>
          <w:bCs/>
        </w:rPr>
        <w:t xml:space="preserve">Erosione</w:t>
      </w:r>
      <w:r>
        <w:t xml:space="preserve"> </w:t>
      </w:r>
      <w:r>
        <w:t xml:space="preserve">— Perdita di osso al margine dell’articolazione, prodotta dal panno sinoviale. Visibile in radiografia quando è già avvenuta.</w:t>
      </w:r>
    </w:p>
    <w:p>
      <w:pPr>
        <w:pStyle w:val="BodyText"/>
      </w:pPr>
      <w:r>
        <w:rPr>
          <w:b/>
          <w:bCs/>
        </w:rPr>
        <w:t xml:space="preserve">Frattura vertebrale da compressione</w:t>
      </w:r>
      <w:r>
        <w:t xml:space="preserve"> </w:t>
      </w:r>
      <w:r>
        <w:t xml:space="preserve">— Cedimento del corpo di una vertebra su osso fragile. In questa malattia si addensa nel dorso medio, e la maggior parte dei casi è senza sintomi.</w:t>
      </w:r>
    </w:p>
    <w:p>
      <w:pPr>
        <w:pStyle w:val="BodyText"/>
      </w:pPr>
      <w:r>
        <w:rPr>
          <w:b/>
          <w:bCs/>
        </w:rPr>
        <w:t xml:space="preserve">Fattore reumatoide</w:t>
      </w:r>
      <w:r>
        <w:t xml:space="preserve"> </w:t>
      </w:r>
      <w:r>
        <w:t xml:space="preserve">— Autoanticorpo storicamente associato a questa malattia. Poco specifico: si trova anche in persone sane.</w:t>
      </w:r>
    </w:p>
    <w:p>
      <w:pPr>
        <w:pStyle w:val="BodyText"/>
      </w:pPr>
      <w:r>
        <w:rPr>
          <w:b/>
          <w:bCs/>
        </w:rPr>
        <w:t xml:space="preserve">Instabilità atlanto-assiale</w:t>
      </w:r>
      <w:r>
        <w:t xml:space="preserve"> </w:t>
      </w:r>
      <w:r>
        <w:t xml:space="preserve">— Perdita di tenuta fra atlante ed epistrofeo, con rischio di compressione del midollo. Frequente in questa malattia e spesso senza sintomi.</w:t>
      </w:r>
    </w:p>
    <w:p>
      <w:pPr>
        <w:pStyle w:val="BodyText"/>
      </w:pPr>
      <w:r>
        <w:rPr>
          <w:b/>
          <w:bCs/>
        </w:rPr>
        <w:t xml:space="preserve">Interstiziopatia polmonare</w:t>
      </w:r>
      <w:r>
        <w:t xml:space="preserve"> </w:t>
      </w:r>
      <w:r>
        <w:t xml:space="preserve">— Infiammazione e cicatrizzazione del tessuto fra gli alveoli. Riguarda circa un paziente su cinque, esordisce con tosse secca e affanno da sforzo, ed è la seconda causa di morte in questa malattia.</w:t>
      </w:r>
    </w:p>
    <w:p>
      <w:pPr>
        <w:pStyle w:val="BodyText"/>
      </w:pPr>
      <w:r>
        <w:rPr>
          <w:b/>
          <w:bCs/>
        </w:rPr>
        <w:t xml:space="preserve">IPOTESI</w:t>
      </w:r>
      <w:r>
        <w:t xml:space="preserve"> </w:t>
      </w:r>
      <w:r>
        <w:rPr>
          <w:i/>
          <w:iCs/>
        </w:rPr>
        <w:t xml:space="preserve">(meccanismo coerente, nessuno studio)</w:t>
      </w:r>
      <w:r>
        <w:t xml:space="preserve"> </w:t>
      </w:r>
      <w:r>
        <w:t xml:space="preserve">— Etichetta di solidità: meccanismo fisiologico coerente, nessuno studio diretto sul punto.</w:t>
      </w:r>
    </w:p>
    <w:p>
      <w:pPr>
        <w:pStyle w:val="BodyText"/>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BodyText"/>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Meta-analisi a rete</w:t>
      </w:r>
      <w:r>
        <w:t xml:space="preserve"> </w:t>
      </w:r>
      <w:r>
        <w:t xml:space="preserve">— Una meta-analisi che confronta indirettamente più interventi fra loro, anche quando nessuno studio li ha messi a confronto diretto. Le sue stime sono più fragili di quelle di un confronto diretto.</w:t>
      </w:r>
    </w:p>
    <w:p>
      <w:pPr>
        <w:pStyle w:val="BodyText"/>
      </w:pPr>
      <w:r>
        <w:rPr>
          <w:b/>
          <w:bCs/>
        </w:rPr>
        <w:t xml:space="preserve">Membrana sinoviale</w:t>
      </w:r>
      <w:r>
        <w:t xml:space="preserve"> </w:t>
      </w:r>
      <w:r>
        <w:t xml:space="preserve">— Il rivestimento interno della capsula articolare, che produce il liquido sinoviale. È il bersaglio della malattia.</w:t>
      </w:r>
    </w:p>
    <w:p>
      <w:pPr>
        <w:pStyle w:val="BodyText"/>
      </w:pPr>
      <w:r>
        <w:rPr>
          <w:b/>
          <w:bCs/>
        </w:rPr>
        <w:t xml:space="preserve">Mielopatia</w:t>
      </w:r>
      <w:r>
        <w:t xml:space="preserve"> </w:t>
      </w:r>
      <w:r>
        <w:t xml:space="preserve">— Sofferenza del midollo spinale da compressione. Nel collo alto si manifesta con destrezza che cala, andatura cambiata, riflessi vivaci.</w:t>
      </w:r>
    </w:p>
    <w:p>
      <w:pPr>
        <w:pStyle w:val="BodyText"/>
      </w:pPr>
      <w:r>
        <w:rPr>
          <w:b/>
          <w:bCs/>
        </w:rPr>
        <w:t xml:space="preserve">Nocicettivo, neuropatico, nociplastico</w:t>
      </w:r>
      <w:r>
        <w:t xml:space="preserve"> </w:t>
      </w:r>
      <w:r>
        <w:t xml:space="preserve">— Le tre categorie del dolore. Nocicettivo: da tessuto danneggiato o infiammato. Neuropatico: da nervo compresso o danneggiato. Nociplastico: da elaborazione amplificata, senza un danno che lo giustifichi.</w:t>
      </w:r>
    </w:p>
    <w:p>
      <w:pPr>
        <w:pStyle w:val="BodyText"/>
      </w:pPr>
      <w:r>
        <w:rPr>
          <w:b/>
          <w:bCs/>
        </w:rPr>
        <w:t xml:space="preserve">Numero di persone da trattare per un beneficio (NNT)</w:t>
      </w:r>
      <w:r>
        <w:t xml:space="preserve"> </w:t>
      </w:r>
      <w:r>
        <w:t xml:space="preserve">— Quante persone devono ricevere l’intervento perché</w:t>
      </w:r>
      <w:r>
        <w:t xml:space="preserve"> </w:t>
      </w:r>
      <w:r>
        <w:rPr>
          <w:b/>
          <w:bCs/>
        </w:rPr>
        <w:t xml:space="preserve">una</w:t>
      </w:r>
      <w:r>
        <w:t xml:space="preserve"> </w:t>
      </w:r>
      <w:r>
        <w:t xml:space="preserve">ne tragga beneficio. Più il numero è basso, più l’intervento è efficace: NNT 7 significa una persona su sette, non sette persone su sette.</w:t>
      </w:r>
    </w:p>
    <w:p>
      <w:pPr>
        <w:pStyle w:val="BodyText"/>
      </w:pPr>
      <w:r>
        <w:rPr>
          <w:b/>
          <w:bCs/>
        </w:rPr>
        <w:t xml:space="preserve">Osteopatia da metotrexato</w:t>
      </w:r>
      <w:r>
        <w:t xml:space="preserve"> </w:t>
      </w:r>
      <w:r>
        <w:t xml:space="preserve">— Fratture da insufficienza atraumatiche di calcagno e tibia, associate a metotrexato di lunga durata anche a dosi basse. Non c’entra con la professione osteopatica: è un nome storico della radiologia.</w:t>
      </w:r>
    </w:p>
    <w:p>
      <w:pPr>
        <w:pStyle w:val="BodyText"/>
      </w:pPr>
      <w:r>
        <w:rPr>
          <w:b/>
          <w:bCs/>
        </w:rPr>
        <w:t xml:space="preserve">Osteoporosi</w:t>
      </w:r>
      <w:r>
        <w:t xml:space="preserve"> </w:t>
      </w:r>
      <w:r>
        <w:t xml:space="preserve">— Osso ridotto di massa e qualità, quindi più fragile. In questa malattia dipende dall’infiammazione oltre che dal cortisone, e non si vede.</w:t>
      </w:r>
    </w:p>
    <w:p>
      <w:pPr>
        <w:pStyle w:val="BodyText"/>
      </w:pPr>
      <w:r>
        <w:rPr>
          <w:b/>
          <w:bCs/>
        </w:rPr>
        <w:t xml:space="preserve">Plesso celiaco e nervo splenico</w:t>
      </w:r>
      <w:r>
        <w:t xml:space="preserve"> </w:t>
      </w:r>
      <w:r>
        <w:t xml:space="preserve">— La stazione nervosa addominale a cui il vago consegna il segnale, e il nervo che da lì raggiunge la milza. È il tratto in cui il riflesso infiammatorio smette di essere vagale.</w:t>
      </w:r>
    </w:p>
    <w:p>
      <w:pPr>
        <w:pStyle w:val="BodyText"/>
      </w:pPr>
      <w:r>
        <w:rPr>
          <w:b/>
          <w:bCs/>
        </w:rPr>
        <w:t xml:space="preserve">Polimialgia reumatica</w:t>
      </w:r>
      <w:r>
        <w:t xml:space="preserve"> </w:t>
      </w:r>
      <w:r>
        <w:t xml:space="preserve">— Malattia infiammatoria dell’anziano, con dolore e rigidità dei cingoli, spalle e bacino. Somiglia all’esordio dell’artrite nell’anziano, ed è un’altra malattia con un altro percorso.</w:t>
      </w:r>
    </w:p>
    <w:p>
      <w:pPr>
        <w:pStyle w:val="BodyText"/>
      </w:pPr>
      <w:r>
        <w:rPr>
          <w:b/>
          <w:bCs/>
        </w:rPr>
        <w:t xml:space="preserve">Propriocezione</w:t>
      </w:r>
      <w:r>
        <w:t xml:space="preserve"> </w:t>
      </w:r>
      <w:r>
        <w:t xml:space="preserve">— Il senso della posizione e del movimento delle proprie parti del corpo, prodotto da recettori in capsula, legamenti e muscolo.</w:t>
      </w:r>
    </w:p>
    <w:p>
      <w:pPr>
        <w:pStyle w:val="BodyText"/>
      </w:pPr>
      <w:r>
        <w:rPr>
          <w:b/>
          <w:bCs/>
        </w:rPr>
        <w:t xml:space="preserve">Panno sinoviale</w:t>
      </w:r>
      <w:r>
        <w:t xml:space="preserve"> </w:t>
      </w:r>
      <w:r>
        <w:t xml:space="preserve">— Il tessuto prodotto dalla sinovia infiammata, che invade ed erode cartilagine e osso.</w:t>
      </w:r>
    </w:p>
    <w:p>
      <w:pPr>
        <w:pStyle w:val="BodyText"/>
      </w:pPr>
      <w:r>
        <w:rPr>
          <w:b/>
          <w:bCs/>
        </w:rPr>
        <w:t xml:space="preserve">PCR</w:t>
      </w:r>
      <w:r>
        <w:t xml:space="preserve"> </w:t>
      </w:r>
      <w:r>
        <w:t xml:space="preserve">— Proteina C reattiva. Indice di infiammazione in corso.</w:t>
      </w:r>
    </w:p>
    <w:p>
      <w:pPr>
        <w:pStyle w:val="BodyText"/>
      </w:pPr>
      <w:r>
        <w:rPr>
          <w:b/>
          <w:bCs/>
        </w:rPr>
        <w:t xml:space="preserve">PROBABILE</w:t>
      </w:r>
      <w:r>
        <w:t xml:space="preserve"> </w:t>
      </w:r>
      <w:r>
        <w:rPr>
          <w:i/>
          <w:iCs/>
        </w:rPr>
        <w:t xml:space="preserve">(razionale forte, prove parziali)</w:t>
      </w:r>
      <w:r>
        <w:t xml:space="preserve"> </w:t>
      </w:r>
      <w:r>
        <w:t xml:space="preserve">— Etichetta di solidità: razionale forte con prove parziali, indirette o solo animali.</w:t>
      </w:r>
    </w:p>
    <w:p>
      <w:pPr>
        <w:pStyle w:val="BodyText"/>
      </w:pPr>
      <w:r>
        <w:rPr>
          <w:b/>
          <w:bCs/>
        </w:rPr>
        <w:t xml:space="preserve">Power Doppler</w:t>
      </w:r>
      <w:r>
        <w:t xml:space="preserve"> </w:t>
      </w:r>
      <w:r>
        <w:t xml:space="preserve">— Modalità ecografica che vede il flusso nei piccoli vasi, e quindi l’infiammazione attiva della sinovia.</w:t>
      </w:r>
    </w:p>
    <w:p>
      <w:pPr>
        <w:pStyle w:val="BodyText"/>
      </w:pPr>
      <w:r>
        <w:rPr>
          <w:b/>
          <w:bCs/>
        </w:rPr>
        <w:t xml:space="preserve">RAGIONAMENTO</w:t>
      </w:r>
      <w:r>
        <w:t xml:space="preserve"> </w:t>
      </w:r>
      <w:r>
        <w:rPr>
          <w:i/>
          <w:iCs/>
        </w:rPr>
        <w:t xml:space="preserve">(cornice clinica, non una prova)</w:t>
      </w:r>
      <w:r>
        <w:t xml:space="preserve"> </w:t>
      </w:r>
      <w:r>
        <w:t xml:space="preserve">— Etichetta di solidità: cornice clinica interna, non una prova.</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è il bersaglio del tuo lavoro.</w:t>
      </w:r>
    </w:p>
    <w:p>
      <w:pPr>
        <w:pStyle w:val="BodyText"/>
      </w:pPr>
      <w:r>
        <w:rPr>
          <w:b/>
          <w:bCs/>
        </w:rPr>
        <w:t xml:space="preserve">Rischio di bias</w:t>
      </w:r>
      <w:r>
        <w:t xml:space="preserve"> </w:t>
      </w:r>
      <w:r>
        <w:t xml:space="preserve">— Quanto il modo in cui uno studio è stato condotto può avere distorto il risultato, indipendentemente da quanto il risultato sia grande. Un effetto grande in studi ad alto rischio di bias vale meno di un effetto piccolo in studi a basso rischio.</w:t>
      </w:r>
    </w:p>
    <w:p>
      <w:pPr>
        <w:pStyle w:val="BodyText"/>
      </w:pPr>
      <w:r>
        <w:rPr>
          <w:b/>
          <w:bCs/>
        </w:rPr>
        <w:t xml:space="preserve">Riacutizzazione</w:t>
      </w:r>
      <w:r>
        <w:t xml:space="preserve"> </w:t>
      </w:r>
      <w:r>
        <w:t xml:space="preserve">— Fase in cui la malattia si riaccende, con più articolazioni dolenti e gonfie. In una coorte di popolazione, presente al 17% delle visite.</w:t>
      </w:r>
    </w:p>
    <w:p>
      <w:pPr>
        <w:pStyle w:val="BodyText"/>
      </w:pPr>
      <w:r>
        <w:rPr>
          <w:b/>
          <w:bCs/>
        </w:rPr>
        <w:t xml:space="preserve">Riflesso infiammatorio</w:t>
      </w:r>
      <w:r>
        <w:t xml:space="preserve"> </w:t>
      </w:r>
      <w:r>
        <w:t xml:space="preserve">— La via per cui il nervo vago inibisce la produzione di citochine infiammatorie.</w:t>
      </w:r>
    </w:p>
    <w:p>
      <w:pPr>
        <w:pStyle w:val="BodyText"/>
      </w:pPr>
      <w:r>
        <w:rPr>
          <w:b/>
          <w:bCs/>
        </w:rPr>
        <w:t xml:space="preserve">Sclerite e uveite</w:t>
      </w:r>
      <w:r>
        <w:t xml:space="preserve"> </w:t>
      </w:r>
      <w:r>
        <w:t xml:space="preserve">— Infiammazioni dell’occhio che questa malattia può dare. La sclerite necrotizzante minaccia la vista, e un occhio rosso che fa</w:t>
      </w:r>
      <w:r>
        <w:t xml:space="preserve"> </w:t>
      </w:r>
      <w:r>
        <w:rPr>
          <w:b/>
          <w:bCs/>
        </w:rPr>
        <w:t xml:space="preserve">male</w:t>
      </w:r>
      <w:r>
        <w:t xml:space="preserve"> </w:t>
      </w:r>
      <w:r>
        <w:t xml:space="preserve">esce entro ventiquattro ore.</w:t>
      </w:r>
    </w:p>
    <w:p>
      <w:pPr>
        <w:pStyle w:val="BodyText"/>
      </w:pPr>
      <w:r>
        <w:rPr>
          <w:b/>
          <w:bCs/>
        </w:rPr>
        <w:t xml:space="preserve">Sham (braccio finto)</w:t>
      </w:r>
      <w:r>
        <w:t xml:space="preserve"> </w:t>
      </w:r>
      <w:r>
        <w:t xml:space="preserve">— Il braccio di uno studio in cui il paziente riceve una manovra o un dispositivo che somiglia al trattamento e non ne ha l’ingrediente attivo. Serve a separare l’effetto del trattamento da quello dell’aspettativa e del contesto.</w:t>
      </w:r>
    </w:p>
    <w:p>
      <w:pPr>
        <w:pStyle w:val="BodyText"/>
      </w:pPr>
      <w:r>
        <w:rPr>
          <w:b/>
          <w:bCs/>
        </w:rPr>
        <w:t xml:space="preserve">Sharp-Purser (test di)</w:t>
      </w:r>
      <w:r>
        <w:t xml:space="preserve"> </w:t>
      </w:r>
      <w:r>
        <w:t xml:space="preserve">— Manovra che valuta l’instabilità atlanto-assiale: flessione sostenuta del collo alto seguita da una spinta sulla fronte.</w:t>
      </w:r>
      <w:r>
        <w:t xml:space="preserve"> </w:t>
      </w:r>
      <w:r>
        <w:rPr>
          <w:b/>
          <w:bCs/>
        </w:rPr>
        <w:t xml:space="preserve">In questo documento è vietata</w:t>
      </w:r>
      <w:r>
        <w:t xml:space="preserve">, perché riproduce proprio la posizione che apre la sublussazione.</w:t>
      </w:r>
    </w:p>
    <w:p>
      <w:pPr>
        <w:pStyle w:val="BodyText"/>
      </w:pPr>
      <w:r>
        <w:rPr>
          <w:b/>
          <w:bCs/>
        </w:rPr>
        <w:t xml:space="preserve">Sommazione temporale</w:t>
      </w:r>
      <w:r>
        <w:t xml:space="preserve"> </w:t>
      </w:r>
      <w:r>
        <w:t xml:space="preserve">— L’aumento progressivo del dolore quando uno stimolo identico viene ripetuto a breve distanza. È un segno di amplificazione centrale, e si misura.</w:t>
      </w:r>
    </w:p>
    <w:p>
      <w:pPr>
        <w:pStyle w:val="BodyText"/>
      </w:pPr>
      <w:r>
        <w:rPr>
          <w:b/>
          <w:bCs/>
        </w:rPr>
        <w:t xml:space="preserve">Sensibilizzazione centrale</w:t>
      </w:r>
      <w:r>
        <w:t xml:space="preserve"> </w:t>
      </w:r>
      <w:r>
        <w:t xml:space="preserve">— Amplificazione dei segnali dolorosi da parte del sistema nervoso centrale, che rende doloroso ciò che non lo sarebbe.</w:t>
      </w:r>
    </w:p>
    <w:p>
      <w:pPr>
        <w:pStyle w:val="BodyText"/>
      </w:pPr>
      <w:r>
        <w:rPr>
          <w:b/>
          <w:bCs/>
        </w:rPr>
        <w:t xml:space="preserve">Sinovite</w:t>
      </w:r>
      <w:r>
        <w:t xml:space="preserve"> </w:t>
      </w:r>
      <w:r>
        <w:t xml:space="preserve">— Infiammazione della membrana sinoviale.</w:t>
      </w:r>
    </w:p>
    <w:p>
      <w:pPr>
        <w:pStyle w:val="BodyText"/>
      </w:pPr>
      <w:r>
        <w:rPr>
          <w:b/>
          <w:bCs/>
        </w:rPr>
        <w:t xml:space="preserve">Spondiloartrite</w:t>
      </w:r>
      <w:r>
        <w:t xml:space="preserve"> </w:t>
      </w:r>
      <w:r>
        <w:t xml:space="preserve">— Un’altra famiglia di artriti infiammatorie, che colpisce soprattutto colonna e articolazioni sacro-iliache. Compare qui solo in un confronto sulla regolazione autonomica.</w:t>
      </w:r>
    </w:p>
    <w:p>
      <w:pPr>
        <w:pStyle w:val="BodyText"/>
      </w:pPr>
      <w:r>
        <w:rPr>
          <w:b/>
          <w:bCs/>
        </w:rPr>
        <w:t xml:space="preserve">Sublussazione atlanto-assiale</w:t>
      </w:r>
      <w:r>
        <w:t xml:space="preserve"> </w:t>
      </w:r>
      <w:r>
        <w:t xml:space="preserve">— La forma più frequente di instabilità del collo alto: il dente dell’epistrofeo si allontana dall’arco anteriore dell’atlante, in flessione. È il modo in cui l’instabilità atlanto-assiale si misura.</w:t>
      </w:r>
    </w:p>
    <w:p>
      <w:pPr>
        <w:pStyle w:val="BodyText"/>
      </w:pPr>
      <w:r>
        <w:rPr>
          <w:b/>
          <w:bCs/>
        </w:rPr>
        <w:t xml:space="preserve">Variabilità della frequenza cardiaca (RMSSD)</w:t>
      </w:r>
      <w:r>
        <w:t xml:space="preserve"> </w:t>
      </w:r>
      <w:r>
        <w:t xml:space="preserve">— Quanto varia l’intervallo fra un battito e l’altro, misurato all’elettrocardiogramma. Più varia, più il freno parasimpatico è attivo. Misura l’uscita vagale sul cuore,</w:t>
      </w:r>
      <w:r>
        <w:t xml:space="preserve"> </w:t>
      </w:r>
      <w:r>
        <w:rPr>
          <w:b/>
          <w:bCs/>
        </w:rPr>
        <w:t xml:space="preserve">non</w:t>
      </w:r>
      <w:r>
        <w:t xml:space="preserve"> </w:t>
      </w:r>
      <w:r>
        <w:t xml:space="preserve">il braccio antinfiammatorio del vago.</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Tenosinovite</w:t>
      </w:r>
      <w:r>
        <w:t xml:space="preserve"> </w:t>
      </w:r>
      <w:r>
        <w:t xml:space="preserve">— Infiammazione della guaina sinoviale che riveste un tendine. Può portare alla rottura del tendine.</w:t>
      </w:r>
    </w:p>
    <w:p>
      <w:pPr>
        <w:pStyle w:val="BodyText"/>
      </w:pPr>
      <w:r>
        <w:rPr>
          <w:b/>
          <w:bCs/>
        </w:rPr>
        <w:t xml:space="preserve">Treat-to-target</w:t>
      </w:r>
      <w:r>
        <w:t xml:space="preserve"> </w:t>
      </w:r>
      <w:r>
        <w:t xml:space="preserve">— Strategia terapeutica che aggiusta i farmaci fino a raggiungere la remissione o la bassa attività di malattia.</w:t>
      </w:r>
    </w:p>
    <w:p>
      <w:pPr>
        <w:pStyle w:val="BodyText"/>
      </w:pPr>
      <w:r>
        <w:rPr>
          <w:b/>
          <w:bCs/>
        </w:rPr>
        <w:t xml:space="preserve">Vasculite</w:t>
      </w:r>
      <w:r>
        <w:t xml:space="preserve"> </w:t>
      </w:r>
      <w:r>
        <w:t xml:space="preserve">— Infiammazione della parete dei vasi. In questa malattia è una manifestazione extra-articolare rara e grave, e non è materia tua.</w:t>
      </w:r>
    </w:p>
    <w:p>
      <w:pPr>
        <w:pStyle w:val="BodyText"/>
      </w:pPr>
      <w:r>
        <w:rPr>
          <w:b/>
          <w:bCs/>
        </w:rPr>
        <w:t xml:space="preserve">VES</w:t>
      </w:r>
      <w:r>
        <w:t xml:space="preserve"> </w:t>
      </w:r>
      <w:r>
        <w:t xml:space="preserve">— Velocità di eritrosedimentazione. Indice di infiammazione.</w:t>
      </w:r>
    </w:p>
    <w:p>
      <w:r>
        <w:pict>
          <v:rect style="width:0;height:1.5pt" o:hralign="center" o:hrstd="t" o:hr="t"/>
        </w:pict>
      </w:r>
    </w:p>
    <w:bookmarkEnd w:id="92"/>
    <w:bookmarkStart w:id="155" w:name="appendice-b-le-fonti"/>
    <w:p>
      <w:pPr>
        <w:pStyle w:val="Heading2"/>
      </w:pPr>
      <w:r>
        <w:t xml:space="preserve">Appendice B — Le fonti</w:t>
      </w:r>
    </w:p>
    <w:p>
      <w:pPr>
        <w:pStyle w:val="FirstParagraph"/>
      </w:pPr>
      <w:r>
        <w:t xml:space="preserve">Sono nell’ordine in cui compaiono nel testo. Le fonti entrate con la terza passata stanno in coda, dalla 53 in poi. Tutte verificate su PubMed nella sintesi di questa versione.</w:t>
      </w:r>
    </w:p>
    <w:p>
      <w:pPr>
        <w:pStyle w:val="Compact"/>
        <w:numPr>
          <w:ilvl w:val="0"/>
          <w:numId w:val="1030"/>
        </w:numPr>
      </w:pPr>
      <w:r>
        <w:t xml:space="preserve">Zipp CR, Semlitsch T, Tögel G, et al. </w:t>
      </w:r>
      <w:r>
        <w:rPr>
          <w:i/>
          <w:iCs/>
        </w:rPr>
        <w:t xml:space="preserve">An overview of systematic reviews on the efficacy and safety of osteopathic techniques.</w:t>
      </w:r>
      <w:r>
        <w:t xml:space="preserve"> </w:t>
      </w:r>
      <w:r>
        <w:t xml:space="preserve">J Bodyw Mov Ther 2025;42:1186-1197.</w:t>
      </w:r>
      <w:r>
        <w:t xml:space="preserve"> </w:t>
      </w:r>
      <w:hyperlink r:id="rId93">
        <w:r>
          <w:rPr>
            <w:rStyle w:val="Hyperlink"/>
          </w:rPr>
          <w:t xml:space="preserve">PMID 40325655</w:t>
        </w:r>
      </w:hyperlink>
    </w:p>
    <w:p>
      <w:pPr>
        <w:pStyle w:val="Compact"/>
        <w:numPr>
          <w:ilvl w:val="0"/>
          <w:numId w:val="1030"/>
        </w:numPr>
      </w:pPr>
      <w:r>
        <w:t xml:space="preserve">de Jong Z, Munneke M, Zwinderman AH, et al. </w:t>
      </w:r>
      <w:r>
        <w:rPr>
          <w:i/>
          <w:iCs/>
        </w:rPr>
        <w:t xml:space="preserve">Is a long-term high-intensity exercise program effective and safe in patients with rheumatoid arthritis?</w:t>
      </w:r>
      <w:r>
        <w:t xml:space="preserve"> </w:t>
      </w:r>
      <w:r>
        <w:t xml:space="preserve">Arthritis Rheum 2003;48(9):2415-2424.</w:t>
      </w:r>
      <w:r>
        <w:t xml:space="preserve"> </w:t>
      </w:r>
      <w:hyperlink r:id="rId94">
        <w:r>
          <w:rPr>
            <w:rStyle w:val="Hyperlink"/>
          </w:rPr>
          <w:t xml:space="preserve">PMID 13130460</w:t>
        </w:r>
      </w:hyperlink>
    </w:p>
    <w:p>
      <w:pPr>
        <w:pStyle w:val="Compact"/>
        <w:numPr>
          <w:ilvl w:val="0"/>
          <w:numId w:val="1030"/>
        </w:numPr>
      </w:pPr>
      <w:r>
        <w:t xml:space="preserve">Eberhard A, Bergman S, Mandl T, et al. </w:t>
      </w:r>
      <w:r>
        <w:rPr>
          <w:i/>
          <w:iCs/>
        </w:rPr>
        <w:t xml:space="preserve">Predictors of unacceptable pain with and without low inflammation over 5 years in early rheumatoid arthritis.</w:t>
      </w:r>
      <w:r>
        <w:t xml:space="preserve"> </w:t>
      </w:r>
      <w:r>
        <w:t xml:space="preserve">Arthritis Res Ther 2021;23:169.</w:t>
      </w:r>
      <w:r>
        <w:t xml:space="preserve"> </w:t>
      </w:r>
      <w:hyperlink r:id="rId95">
        <w:r>
          <w:rPr>
            <w:rStyle w:val="Hyperlink"/>
          </w:rPr>
          <w:t xml:space="preserve">PMID 34127054</w:t>
        </w:r>
      </w:hyperlink>
    </w:p>
    <w:p>
      <w:pPr>
        <w:pStyle w:val="Compact"/>
        <w:numPr>
          <w:ilvl w:val="0"/>
          <w:numId w:val="1030"/>
        </w:numPr>
      </w:pPr>
      <w:r>
        <w:t xml:space="preserve">Aletaha D, Neogi T, Silman AJ, et al. </w:t>
      </w:r>
      <w:r>
        <w:rPr>
          <w:i/>
          <w:iCs/>
        </w:rPr>
        <w:t xml:space="preserve">2010 Rheumatoid arthritis classification criteria: an ACR/EULAR collaborative initiative.</w:t>
      </w:r>
      <w:r>
        <w:t xml:space="preserve"> </w:t>
      </w:r>
      <w:r>
        <w:t xml:space="preserve">Arthritis Rheum 2010;62(9):2569-2581.</w:t>
      </w:r>
      <w:r>
        <w:t xml:space="preserve"> </w:t>
      </w:r>
      <w:hyperlink r:id="rId96">
        <w:r>
          <w:rPr>
            <w:rStyle w:val="Hyperlink"/>
          </w:rPr>
          <w:t xml:space="preserve">PMID 20872595</w:t>
        </w:r>
      </w:hyperlink>
    </w:p>
    <w:p>
      <w:pPr>
        <w:pStyle w:val="Compact"/>
        <w:numPr>
          <w:ilvl w:val="0"/>
          <w:numId w:val="1030"/>
        </w:numPr>
      </w:pPr>
      <w:r>
        <w:t xml:space="preserve">Wang HF, Wang YY, Li ZY, et al. </w:t>
      </w:r>
      <w:r>
        <w:rPr>
          <w:i/>
          <w:iCs/>
        </w:rPr>
        <w:t xml:space="preserve">The prevalence and risk factors of rheumatoid arthritis-associated interstitial lung disease: a systematic review and meta-analysis.</w:t>
      </w:r>
      <w:r>
        <w:t xml:space="preserve"> </w:t>
      </w:r>
      <w:r>
        <w:t xml:space="preserve">Ann Med 2024;56(1):2332406.</w:t>
      </w:r>
      <w:r>
        <w:t xml:space="preserve"> </w:t>
      </w:r>
      <w:hyperlink r:id="rId97">
        <w:r>
          <w:rPr>
            <w:rStyle w:val="Hyperlink"/>
          </w:rPr>
          <w:t xml:space="preserve">PMID 38547537</w:t>
        </w:r>
      </w:hyperlink>
    </w:p>
    <w:p>
      <w:pPr>
        <w:pStyle w:val="Compact"/>
        <w:numPr>
          <w:ilvl w:val="0"/>
          <w:numId w:val="1030"/>
        </w:numPr>
      </w:pPr>
      <w:r>
        <w:t xml:space="preserve">Aviña-Zubieta JA, Choi HK, Sadatsafavi M, et al. </w:t>
      </w:r>
      <w:r>
        <w:rPr>
          <w:i/>
          <w:iCs/>
        </w:rPr>
        <w:t xml:space="preserve">Risk of cardiovascular mortality in patients with rheumatoid arthritis: a meta-analysis of observational studies.</w:t>
      </w:r>
      <w:r>
        <w:t xml:space="preserve"> </w:t>
      </w:r>
      <w:r>
        <w:t xml:space="preserve">Arthritis Rheum 2008;59(12):1690-1697.</w:t>
      </w:r>
      <w:r>
        <w:t xml:space="preserve"> </w:t>
      </w:r>
      <w:hyperlink r:id="rId98">
        <w:r>
          <w:rPr>
            <w:rStyle w:val="Hyperlink"/>
          </w:rPr>
          <w:t xml:space="preserve">PMID 19035419</w:t>
        </w:r>
      </w:hyperlink>
    </w:p>
    <w:p>
      <w:pPr>
        <w:pStyle w:val="Compact"/>
        <w:numPr>
          <w:ilvl w:val="0"/>
          <w:numId w:val="1030"/>
        </w:numPr>
      </w:pPr>
      <w:r>
        <w:t xml:space="preserve">GBD 2021 Rheumatoid Arthritis Collaborators.</w:t>
      </w:r>
      <w:r>
        <w:t xml:space="preserve"> </w:t>
      </w:r>
      <w:r>
        <w:rPr>
          <w:i/>
          <w:iCs/>
        </w:rPr>
        <w:t xml:space="preserve">Global, regional, and national burden of rheumatoid arthritis, 1990-2020, and projections to 2050.</w:t>
      </w:r>
      <w:r>
        <w:t xml:space="preserve"> </w:t>
      </w:r>
      <w:r>
        <w:t xml:space="preserve">Lancet Rheumatol 2023;5(10):e594-e610.</w:t>
      </w:r>
      <w:r>
        <w:t xml:space="preserve"> </w:t>
      </w:r>
      <w:hyperlink r:id="rId99">
        <w:r>
          <w:rPr>
            <w:rStyle w:val="Hyperlink"/>
          </w:rPr>
          <w:t xml:space="preserve">PMID 37795020</w:t>
        </w:r>
      </w:hyperlink>
    </w:p>
    <w:p>
      <w:pPr>
        <w:pStyle w:val="Compact"/>
        <w:numPr>
          <w:ilvl w:val="0"/>
          <w:numId w:val="1030"/>
        </w:numPr>
      </w:pPr>
      <w:r>
        <w:t xml:space="preserve">Smolen JS, Edwards CJ, Konzett V, et al. </w:t>
      </w:r>
      <w:r>
        <w:rPr>
          <w:i/>
          <w:iCs/>
        </w:rPr>
        <w:t xml:space="preserve">EULAR recommendations for the management of rheumatoid arthritis with synthetic and biologic DMARDs: 2025 update.</w:t>
      </w:r>
      <w:r>
        <w:t xml:space="preserve"> </w:t>
      </w:r>
      <w:r>
        <w:t xml:space="preserve">Ann Rheum Dis 2026;85(6):991-1009.</w:t>
      </w:r>
      <w:r>
        <w:t xml:space="preserve"> </w:t>
      </w:r>
      <w:hyperlink r:id="rId100">
        <w:r>
          <w:rPr>
            <w:rStyle w:val="Hyperlink"/>
          </w:rPr>
          <w:t xml:space="preserve">PMID 41826212</w:t>
        </w:r>
      </w:hyperlink>
    </w:p>
    <w:p>
      <w:pPr>
        <w:pStyle w:val="Compact"/>
        <w:numPr>
          <w:ilvl w:val="0"/>
          <w:numId w:val="1030"/>
        </w:numPr>
      </w:pPr>
      <w:r>
        <w:t xml:space="preserve">Khabbazi A, Gadakchi L, Moslemi M, et al. </w:t>
      </w:r>
      <w:r>
        <w:rPr>
          <w:i/>
          <w:iCs/>
        </w:rPr>
        <w:t xml:space="preserve">Prevalence and predictors of long-term remission in rheumatoid arthritis in real-world practice.</w:t>
      </w:r>
      <w:r>
        <w:t xml:space="preserve"> </w:t>
      </w:r>
      <w:r>
        <w:t xml:space="preserve">Clin Rheumatol 2023;42(6):1537-1544.</w:t>
      </w:r>
      <w:r>
        <w:t xml:space="preserve"> </w:t>
      </w:r>
      <w:hyperlink r:id="rId101">
        <w:r>
          <w:rPr>
            <w:rStyle w:val="Hyperlink"/>
          </w:rPr>
          <w:t xml:space="preserve">PMID 36800137</w:t>
        </w:r>
      </w:hyperlink>
    </w:p>
    <w:p>
      <w:pPr>
        <w:pStyle w:val="Compact"/>
        <w:numPr>
          <w:ilvl w:val="0"/>
          <w:numId w:val="1030"/>
        </w:numPr>
      </w:pPr>
      <w:r>
        <w:t xml:space="preserve">Raheel S, Matteson EL, Crowson CS, Myasoedova E.</w:t>
      </w:r>
      <w:r>
        <w:t xml:space="preserve"> </w:t>
      </w:r>
      <w:r>
        <w:rPr>
          <w:i/>
          <w:iCs/>
        </w:rPr>
        <w:t xml:space="preserve">Improved flare and remission pattern in rheumatoid arthritis over recent decades: a population-based study.</w:t>
      </w:r>
      <w:r>
        <w:t xml:space="preserve"> </w:t>
      </w:r>
      <w:r>
        <w:t xml:space="preserve">Rheumatology (Oxford) 2017;56(12):2154-2161.</w:t>
      </w:r>
      <w:r>
        <w:t xml:space="preserve"> </w:t>
      </w:r>
      <w:hyperlink r:id="rId102">
        <w:r>
          <w:rPr>
            <w:rStyle w:val="Hyperlink"/>
          </w:rPr>
          <w:t xml:space="preserve">PMID 28968703</w:t>
        </w:r>
      </w:hyperlink>
    </w:p>
    <w:p>
      <w:pPr>
        <w:pStyle w:val="Compact"/>
        <w:numPr>
          <w:ilvl w:val="0"/>
          <w:numId w:val="1030"/>
        </w:numPr>
      </w:pPr>
      <w:r>
        <w:t xml:space="preserve">Shresher NM, Mohamed AE, Elshahaly MH.</w:t>
      </w:r>
      <w:r>
        <w:t xml:space="preserve"> </w:t>
      </w:r>
      <w:r>
        <w:rPr>
          <w:i/>
          <w:iCs/>
        </w:rPr>
        <w:t xml:space="preserve">Performance of 2016 revised fibromyalgia diagnostic criteria in patients with rheumatoid arthritis.</w:t>
      </w:r>
      <w:r>
        <w:t xml:space="preserve"> </w:t>
      </w:r>
      <w:r>
        <w:t xml:space="preserve">Rheumatol Int 2019;39(10):1703-1710.</w:t>
      </w:r>
      <w:r>
        <w:t xml:space="preserve"> </w:t>
      </w:r>
      <w:hyperlink r:id="rId103">
        <w:r>
          <w:rPr>
            <w:rStyle w:val="Hyperlink"/>
          </w:rPr>
          <w:t xml:space="preserve">PMID 31377829</w:t>
        </w:r>
      </w:hyperlink>
    </w:p>
    <w:p>
      <w:pPr>
        <w:pStyle w:val="Compact"/>
        <w:numPr>
          <w:ilvl w:val="0"/>
          <w:numId w:val="1030"/>
        </w:numPr>
      </w:pPr>
      <w:r>
        <w:t xml:space="preserve">Alp G, Cinakli H, Akar S, Solmaz D.</w:t>
      </w:r>
      <w:r>
        <w:t xml:space="preserve"> </w:t>
      </w:r>
      <w:r>
        <w:rPr>
          <w:i/>
          <w:iCs/>
        </w:rPr>
        <w:t xml:space="preserve">Prevalence of anterior atlantoaxial subluxation and association with established rheumatoid arthritis.</w:t>
      </w:r>
      <w:r>
        <w:t xml:space="preserve"> </w:t>
      </w:r>
      <w:r>
        <w:t xml:space="preserve">Musculoskeletal Care 2024;22(1):e1859.</w:t>
      </w:r>
      <w:r>
        <w:t xml:space="preserve"> </w:t>
      </w:r>
      <w:hyperlink r:id="rId104">
        <w:r>
          <w:rPr>
            <w:rStyle w:val="Hyperlink"/>
          </w:rPr>
          <w:t xml:space="preserve">PMID 38261795</w:t>
        </w:r>
      </w:hyperlink>
    </w:p>
    <w:p>
      <w:pPr>
        <w:pStyle w:val="Compact"/>
        <w:numPr>
          <w:ilvl w:val="0"/>
          <w:numId w:val="1030"/>
        </w:numPr>
      </w:pPr>
      <w:r>
        <w:t xml:space="preserve">Takahashi S, Suzuki A, Koike T, et al. </w:t>
      </w:r>
      <w:r>
        <w:rPr>
          <w:i/>
          <w:iCs/>
        </w:rPr>
        <w:t xml:space="preserve">Current prevalence and characteristics of cervical spine instability in patients with rheumatoid arthritis in the era of biologics.</w:t>
      </w:r>
      <w:r>
        <w:t xml:space="preserve"> </w:t>
      </w:r>
      <w:r>
        <w:t xml:space="preserve">Mod Rheumatol 2014;24(6):904-909.</w:t>
      </w:r>
      <w:r>
        <w:t xml:space="preserve"> </w:t>
      </w:r>
      <w:hyperlink r:id="rId105">
        <w:r>
          <w:rPr>
            <w:rStyle w:val="Hyperlink"/>
          </w:rPr>
          <w:t xml:space="preserve">PMID 24670133</w:t>
        </w:r>
      </w:hyperlink>
    </w:p>
    <w:p>
      <w:pPr>
        <w:pStyle w:val="Compact"/>
        <w:numPr>
          <w:ilvl w:val="0"/>
          <w:numId w:val="1030"/>
        </w:numPr>
      </w:pPr>
      <w:r>
        <w:t xml:space="preserve">Younes M, Hachfi H, Belghali S, et al. </w:t>
      </w:r>
      <w:r>
        <w:rPr>
          <w:i/>
          <w:iCs/>
        </w:rPr>
        <w:t xml:space="preserve">Contribution of dynamic radiographs in atlantoaxial subluxation in rheumatoid arthritis.</w:t>
      </w:r>
      <w:r>
        <w:t xml:space="preserve"> </w:t>
      </w:r>
      <w:r>
        <w:t xml:space="preserve">Tunis Med 2014;92(7):467-473.</w:t>
      </w:r>
      <w:r>
        <w:t xml:space="preserve"> </w:t>
      </w:r>
      <w:hyperlink r:id="rId106">
        <w:r>
          <w:rPr>
            <w:rStyle w:val="Hyperlink"/>
          </w:rPr>
          <w:t xml:space="preserve">PMID 25775286</w:t>
        </w:r>
      </w:hyperlink>
    </w:p>
    <w:p>
      <w:pPr>
        <w:pStyle w:val="Compact"/>
        <w:numPr>
          <w:ilvl w:val="0"/>
          <w:numId w:val="1030"/>
        </w:numPr>
      </w:pPr>
      <w:r>
        <w:t xml:space="preserve">Song J, Mai E, Zhang J, et al. </w:t>
      </w:r>
      <w:r>
        <w:rPr>
          <w:i/>
          <w:iCs/>
        </w:rPr>
        <w:t xml:space="preserve">Rheumatoid arthritis in the cervical spine: an updated review of epidemiology, imaging, and surgical indications.</w:t>
      </w:r>
      <w:r>
        <w:t xml:space="preserve"> </w:t>
      </w:r>
      <w:r>
        <w:t xml:space="preserve">Spine Surg Relat Res 2026;10(3):331-342.</w:t>
      </w:r>
      <w:r>
        <w:t xml:space="preserve"> </w:t>
      </w:r>
      <w:hyperlink r:id="rId107">
        <w:r>
          <w:rPr>
            <w:rStyle w:val="Hyperlink"/>
          </w:rPr>
          <w:t xml:space="preserve">PMID 42292559</w:t>
        </w:r>
      </w:hyperlink>
    </w:p>
    <w:p>
      <w:pPr>
        <w:pStyle w:val="Compact"/>
        <w:numPr>
          <w:ilvl w:val="0"/>
          <w:numId w:val="1030"/>
        </w:numPr>
      </w:pPr>
      <w:r>
        <w:t xml:space="preserve">Zenitani A, Yamashita Y, Maeda K, et al. </w:t>
      </w:r>
      <w:r>
        <w:rPr>
          <w:i/>
          <w:iCs/>
        </w:rPr>
        <w:t xml:space="preserve">Mid-thoracic predominance and region-specific risk factors for vertebral fractures in rheumatoid arthritis.</w:t>
      </w:r>
      <w:r>
        <w:t xml:space="preserve"> </w:t>
      </w:r>
      <w:r>
        <w:t xml:space="preserve">Clin Rheumatol 2026;45(7):4045-4055.</w:t>
      </w:r>
      <w:r>
        <w:t xml:space="preserve"> </w:t>
      </w:r>
      <w:hyperlink r:id="rId108">
        <w:r>
          <w:rPr>
            <w:rStyle w:val="Hyperlink"/>
          </w:rPr>
          <w:t xml:space="preserve">PMID 42174297</w:t>
        </w:r>
      </w:hyperlink>
    </w:p>
    <w:p>
      <w:pPr>
        <w:pStyle w:val="Compact"/>
        <w:numPr>
          <w:ilvl w:val="0"/>
          <w:numId w:val="1030"/>
        </w:numPr>
      </w:pPr>
      <w:r>
        <w:t xml:space="preserve">Wang Y, Zhao R, Gu Z, et al. </w:t>
      </w:r>
      <w:r>
        <w:rPr>
          <w:i/>
          <w:iCs/>
        </w:rPr>
        <w:t xml:space="preserve">Effects of glucocorticoids on osteoporosis in rheumatoid arthritis: a systematic review and meta-analysis.</w:t>
      </w:r>
      <w:r>
        <w:t xml:space="preserve"> </w:t>
      </w:r>
      <w:r>
        <w:t xml:space="preserve">Osteoporos Int 2020;31(8):1401-1409.</w:t>
      </w:r>
      <w:r>
        <w:t xml:space="preserve"> </w:t>
      </w:r>
      <w:hyperlink r:id="rId109">
        <w:r>
          <w:rPr>
            <w:rStyle w:val="Hyperlink"/>
          </w:rPr>
          <w:t xml:space="preserve">PMID 32291467</w:t>
        </w:r>
      </w:hyperlink>
    </w:p>
    <w:p>
      <w:pPr>
        <w:pStyle w:val="Compact"/>
        <w:numPr>
          <w:ilvl w:val="0"/>
          <w:numId w:val="1030"/>
        </w:numPr>
      </w:pPr>
      <w:r>
        <w:t xml:space="preserve">Angeli A, Guglielmi G, Dovio A, et al. </w:t>
      </w:r>
      <w:r>
        <w:rPr>
          <w:i/>
          <w:iCs/>
        </w:rPr>
        <w:t xml:space="preserve">High prevalence of asymptomatic vertebral fractures in post-menopausal women receiving chronic glucocorticoid therapy.</w:t>
      </w:r>
      <w:r>
        <w:t xml:space="preserve"> </w:t>
      </w:r>
      <w:r>
        <w:t xml:space="preserve">Bone 2006;39(2):253-259.</w:t>
      </w:r>
      <w:r>
        <w:t xml:space="preserve"> </w:t>
      </w:r>
      <w:hyperlink r:id="rId110">
        <w:r>
          <w:rPr>
            <w:rStyle w:val="Hyperlink"/>
          </w:rPr>
          <w:t xml:space="preserve">PMID 16574519</w:t>
        </w:r>
      </w:hyperlink>
    </w:p>
    <w:p>
      <w:pPr>
        <w:pStyle w:val="Compact"/>
        <w:numPr>
          <w:ilvl w:val="0"/>
          <w:numId w:val="1030"/>
        </w:numPr>
      </w:pPr>
      <w:r>
        <w:t xml:space="preserve">Provan SA, Olstad DS, Solberg EE, Smedslund G, Dagfinrud H.</w:t>
      </w:r>
      <w:r>
        <w:t xml:space="preserve"> </w:t>
      </w:r>
      <w:r>
        <w:rPr>
          <w:i/>
          <w:iCs/>
        </w:rPr>
        <w:t xml:space="preserve">Evidence of reduced parasympathetic autonomic regulation in inflammatory joint disease: a meta-analyses study.</w:t>
      </w:r>
      <w:r>
        <w:t xml:space="preserve"> </w:t>
      </w:r>
      <w:r>
        <w:t xml:space="preserve">Semin Arthritis Rheum 2018;48(1):134-140.</w:t>
      </w:r>
      <w:r>
        <w:t xml:space="preserve"> </w:t>
      </w:r>
      <w:hyperlink r:id="rId111">
        <w:r>
          <w:rPr>
            <w:rStyle w:val="Hyperlink"/>
          </w:rPr>
          <w:t xml:space="preserve">PMID 29291895</w:t>
        </w:r>
      </w:hyperlink>
    </w:p>
    <w:p>
      <w:pPr>
        <w:pStyle w:val="Compact"/>
        <w:numPr>
          <w:ilvl w:val="0"/>
          <w:numId w:val="1030"/>
        </w:numPr>
      </w:pPr>
      <w:r>
        <w:t xml:space="preserve">Lee YC, Bingham CO 3rd, Edwards RR, et al. </w:t>
      </w:r>
      <w:r>
        <w:rPr>
          <w:i/>
          <w:iCs/>
        </w:rPr>
        <w:t xml:space="preserve">Association between pain sensitization and disease activity in patients with rheumatoid arthritis: a cross-sectional study.</w:t>
      </w:r>
      <w:r>
        <w:t xml:space="preserve"> </w:t>
      </w:r>
      <w:r>
        <w:t xml:space="preserve">Arthritis Care Res 2018;70(2):197-204.</w:t>
      </w:r>
      <w:r>
        <w:t xml:space="preserve"> </w:t>
      </w:r>
      <w:hyperlink r:id="rId112">
        <w:r>
          <w:rPr>
            <w:rStyle w:val="Hyperlink"/>
          </w:rPr>
          <w:t xml:space="preserve">PMID 28437846</w:t>
        </w:r>
      </w:hyperlink>
    </w:p>
    <w:p>
      <w:pPr>
        <w:pStyle w:val="Compact"/>
        <w:numPr>
          <w:ilvl w:val="0"/>
          <w:numId w:val="1030"/>
        </w:numPr>
      </w:pPr>
      <w:r>
        <w:t xml:space="preserve">Altawil R, Saevarsdottir S, Wedrén S, et al. </w:t>
      </w:r>
      <w:r>
        <w:rPr>
          <w:i/>
          <w:iCs/>
        </w:rPr>
        <w:t xml:space="preserve">Remaining pain in early rheumatoid arthritis patients treated with methotrexate.</w:t>
      </w:r>
      <w:r>
        <w:t xml:space="preserve"> </w:t>
      </w:r>
      <w:r>
        <w:t xml:space="preserve">Arthritis Care Res 2016;68(8):1061-1068.</w:t>
      </w:r>
      <w:r>
        <w:t xml:space="preserve"> </w:t>
      </w:r>
      <w:hyperlink r:id="rId113">
        <w:r>
          <w:rPr>
            <w:rStyle w:val="Hyperlink"/>
          </w:rPr>
          <w:t xml:space="preserve">PMID 26784398</w:t>
        </w:r>
      </w:hyperlink>
    </w:p>
    <w:p>
      <w:pPr>
        <w:pStyle w:val="Compact"/>
        <w:numPr>
          <w:ilvl w:val="0"/>
          <w:numId w:val="1030"/>
        </w:numPr>
      </w:pPr>
      <w:r>
        <w:t xml:space="preserve">Hurkmans E, van der Giesen FJ, Vliet Vlieland TP, Schoones J, Van den Ende EC.</w:t>
      </w:r>
      <w:r>
        <w:t xml:space="preserve"> </w:t>
      </w:r>
      <w:r>
        <w:rPr>
          <w:i/>
          <w:iCs/>
        </w:rPr>
        <w:t xml:space="preserve">Dynamic exercise programs in patients with rheumatoid arthritis.</w:t>
      </w:r>
      <w:r>
        <w:t xml:space="preserve"> </w:t>
      </w:r>
      <w:r>
        <w:t xml:space="preserve">Cochrane Database Syst Rev 2009;(4):CD006853.</w:t>
      </w:r>
      <w:r>
        <w:t xml:space="preserve"> </w:t>
      </w:r>
      <w:hyperlink r:id="rId114">
        <w:r>
          <w:rPr>
            <w:rStyle w:val="Hyperlink"/>
          </w:rPr>
          <w:t xml:space="preserve">PMID 19821388</w:t>
        </w:r>
      </w:hyperlink>
    </w:p>
    <w:p>
      <w:pPr>
        <w:pStyle w:val="Compact"/>
        <w:numPr>
          <w:ilvl w:val="0"/>
          <w:numId w:val="1030"/>
        </w:numPr>
      </w:pPr>
      <w:r>
        <w:t xml:space="preserve">Gibbs JE, Ray DW.</w:t>
      </w:r>
      <w:r>
        <w:t xml:space="preserve"> </w:t>
      </w:r>
      <w:r>
        <w:rPr>
          <w:i/>
          <w:iCs/>
        </w:rPr>
        <w:t xml:space="preserve">The role of the circadian clock in rheumatoid arthritis.</w:t>
      </w:r>
      <w:r>
        <w:t xml:space="preserve"> </w:t>
      </w:r>
      <w:r>
        <w:t xml:space="preserve">Arthritis Res Ther 2013;15(1):205.</w:t>
      </w:r>
      <w:r>
        <w:t xml:space="preserve"> </w:t>
      </w:r>
      <w:hyperlink r:id="rId115">
        <w:r>
          <w:rPr>
            <w:rStyle w:val="Hyperlink"/>
          </w:rPr>
          <w:t xml:space="preserve">PMID 23427807</w:t>
        </w:r>
      </w:hyperlink>
    </w:p>
    <w:p>
      <w:pPr>
        <w:pStyle w:val="Compact"/>
        <w:numPr>
          <w:ilvl w:val="0"/>
          <w:numId w:val="1030"/>
        </w:numPr>
      </w:pPr>
      <w:r>
        <w:t xml:space="preserve">Irwin MR, Olmstead R, Carroll JE.</w:t>
      </w:r>
      <w:r>
        <w:t xml:space="preserve"> </w:t>
      </w:r>
      <w:r>
        <w:rPr>
          <w:i/>
          <w:iCs/>
        </w:rPr>
        <w:t xml:space="preserve">Sleep disturbance, sleep duration, and inflammation: a systematic review and meta-analysis.</w:t>
      </w:r>
      <w:r>
        <w:t xml:space="preserve"> </w:t>
      </w:r>
      <w:r>
        <w:t xml:space="preserve">Biol Psychiatry 2016;80(1):40-52.</w:t>
      </w:r>
      <w:r>
        <w:t xml:space="preserve"> </w:t>
      </w:r>
      <w:hyperlink r:id="rId116">
        <w:r>
          <w:rPr>
            <w:rStyle w:val="Hyperlink"/>
          </w:rPr>
          <w:t xml:space="preserve">PMID 26140821</w:t>
        </w:r>
      </w:hyperlink>
    </w:p>
    <w:p>
      <w:pPr>
        <w:pStyle w:val="Compact"/>
        <w:numPr>
          <w:ilvl w:val="0"/>
          <w:numId w:val="1030"/>
        </w:numPr>
      </w:pPr>
      <w:r>
        <w:t xml:space="preserve">Pavlov-Dolijanovic S, Bogojevic M, Nozica-Radulovic T, et al. </w:t>
      </w:r>
      <w:r>
        <w:rPr>
          <w:i/>
          <w:iCs/>
        </w:rPr>
        <w:t xml:space="preserve">Elderly-onset rheumatoid arthritis: characteristics and treatment options.</w:t>
      </w:r>
      <w:r>
        <w:t xml:space="preserve"> </w:t>
      </w:r>
      <w:r>
        <w:t xml:space="preserve">Medicina (Kaunas) 2023;59(10):1878.</w:t>
      </w:r>
      <w:r>
        <w:t xml:space="preserve"> </w:t>
      </w:r>
      <w:hyperlink r:id="rId117">
        <w:r>
          <w:rPr>
            <w:rStyle w:val="Hyperlink"/>
          </w:rPr>
          <w:t xml:space="preserve">PMID 37893596</w:t>
        </w:r>
      </w:hyperlink>
    </w:p>
    <w:p>
      <w:pPr>
        <w:pStyle w:val="Compact"/>
        <w:numPr>
          <w:ilvl w:val="0"/>
          <w:numId w:val="1030"/>
        </w:numPr>
      </w:pPr>
      <w:r>
        <w:t xml:space="preserve">Seffinger MA, Najm WI, Mishra SI, et al. </w:t>
      </w:r>
      <w:r>
        <w:rPr>
          <w:i/>
          <w:iCs/>
        </w:rPr>
        <w:t xml:space="preserve">Reliability of spinal palpation for diagnosis of back and neck pain: a systematic review.</w:t>
      </w:r>
      <w:r>
        <w:t xml:space="preserve"> </w:t>
      </w:r>
      <w:r>
        <w:t xml:space="preserve">Spine 2004;29(19):E413-E425.</w:t>
      </w:r>
      <w:r>
        <w:t xml:space="preserve"> </w:t>
      </w:r>
      <w:hyperlink r:id="rId118">
        <w:r>
          <w:rPr>
            <w:rStyle w:val="Hyperlink"/>
          </w:rPr>
          <w:t xml:space="preserve">PMID 15454722</w:t>
        </w:r>
      </w:hyperlink>
    </w:p>
    <w:p>
      <w:pPr>
        <w:pStyle w:val="Compact"/>
        <w:numPr>
          <w:ilvl w:val="0"/>
          <w:numId w:val="1030"/>
        </w:numPr>
      </w:pPr>
      <w:r>
        <w:t xml:space="preserve">Tesser JRP, Crowley AR, Box EJ, et al. </w:t>
      </w:r>
      <w:r>
        <w:rPr>
          <w:i/>
          <w:iCs/>
        </w:rPr>
        <w:t xml:space="preserve">Vagus nerve-mediated neuroimmune modulation for rheumatoid arthritis: a pivotal randomized controlled trial (RESET-RA).</w:t>
      </w:r>
      <w:r>
        <w:t xml:space="preserve"> </w:t>
      </w:r>
      <w:r>
        <w:t xml:space="preserve">Nat Med 2026;32(1):369-378.</w:t>
      </w:r>
      <w:r>
        <w:t xml:space="preserve"> </w:t>
      </w:r>
      <w:hyperlink r:id="rId119">
        <w:r>
          <w:rPr>
            <w:rStyle w:val="Hyperlink"/>
          </w:rPr>
          <w:t xml:space="preserve">PMID 41429981</w:t>
        </w:r>
      </w:hyperlink>
    </w:p>
    <w:p>
      <w:pPr>
        <w:pStyle w:val="Compact"/>
        <w:numPr>
          <w:ilvl w:val="0"/>
          <w:numId w:val="1030"/>
        </w:numPr>
      </w:pPr>
      <w:r>
        <w:t xml:space="preserve">Matcham F, Rayner L, Steer S, Hotopf M.</w:t>
      </w:r>
      <w:r>
        <w:t xml:space="preserve"> </w:t>
      </w:r>
      <w:r>
        <w:rPr>
          <w:i/>
          <w:iCs/>
        </w:rPr>
        <w:t xml:space="preserve">The prevalence of depression in rheumatoid arthritis: a systematic review and meta-analysis.</w:t>
      </w:r>
      <w:r>
        <w:t xml:space="preserve"> </w:t>
      </w:r>
      <w:r>
        <w:t xml:space="preserve">Rheumatology (Oxford) 2013;52(12):2136-2148.</w:t>
      </w:r>
      <w:r>
        <w:t xml:space="preserve"> </w:t>
      </w:r>
      <w:hyperlink r:id="rId120">
        <w:r>
          <w:rPr>
            <w:rStyle w:val="Hyperlink"/>
          </w:rPr>
          <w:t xml:space="preserve">PMID 24003249</w:t>
        </w:r>
      </w:hyperlink>
    </w:p>
    <w:p>
      <w:pPr>
        <w:pStyle w:val="Compact"/>
        <w:numPr>
          <w:ilvl w:val="0"/>
          <w:numId w:val="1030"/>
        </w:numPr>
      </w:pPr>
      <w:r>
        <w:t xml:space="preserve">Cramp F, Hewlett S, Almeida C, et al. </w:t>
      </w:r>
      <w:r>
        <w:rPr>
          <w:i/>
          <w:iCs/>
        </w:rPr>
        <w:t xml:space="preserve">Non-pharmacological interventions for fatigue in rheumatoid arthritis.</w:t>
      </w:r>
      <w:r>
        <w:t xml:space="preserve"> </w:t>
      </w:r>
      <w:r>
        <w:t xml:space="preserve">Cochrane Database Syst Rev 2013;(8):CD008322.</w:t>
      </w:r>
      <w:r>
        <w:t xml:space="preserve"> </w:t>
      </w:r>
      <w:hyperlink r:id="rId121">
        <w:r>
          <w:rPr>
            <w:rStyle w:val="Hyperlink"/>
          </w:rPr>
          <w:t xml:space="preserve">PMID 23975674</w:t>
        </w:r>
      </w:hyperlink>
    </w:p>
    <w:p>
      <w:pPr>
        <w:pStyle w:val="Compact"/>
        <w:numPr>
          <w:ilvl w:val="0"/>
          <w:numId w:val="1030"/>
        </w:numPr>
      </w:pPr>
      <w:r>
        <w:t xml:space="preserve">Lamb SE, Williamson EM, Heine PJ, et al. </w:t>
      </w:r>
      <w:r>
        <w:rPr>
          <w:i/>
          <w:iCs/>
        </w:rPr>
        <w:t xml:space="preserve">Exercises to improve function of the rheumatoid hand (SARAH): a randomised controlled trial.</w:t>
      </w:r>
      <w:r>
        <w:t xml:space="preserve"> </w:t>
      </w:r>
      <w:r>
        <w:t xml:space="preserve">Lancet 2015;385(9966):421-429.</w:t>
      </w:r>
      <w:r>
        <w:t xml:space="preserve"> </w:t>
      </w:r>
      <w:hyperlink r:id="rId122">
        <w:r>
          <w:rPr>
            <w:rStyle w:val="Hyperlink"/>
          </w:rPr>
          <w:t xml:space="preserve">PMID 25308290</w:t>
        </w:r>
      </w:hyperlink>
    </w:p>
    <w:p>
      <w:pPr>
        <w:pStyle w:val="Compact"/>
        <w:numPr>
          <w:ilvl w:val="0"/>
          <w:numId w:val="1030"/>
        </w:numPr>
      </w:pPr>
      <w:r>
        <w:t xml:space="preserve">Field T, Diego M, Delgado J, Garcia D, Funk CG.</w:t>
      </w:r>
      <w:r>
        <w:t xml:space="preserve"> </w:t>
      </w:r>
      <w:r>
        <w:rPr>
          <w:i/>
          <w:iCs/>
        </w:rPr>
        <w:t xml:space="preserve">Rheumatoid arthritis in upper limbs benefits from moderate pressure massage therapy.</w:t>
      </w:r>
      <w:r>
        <w:t xml:space="preserve"> </w:t>
      </w:r>
      <w:r>
        <w:t xml:space="preserve">Complement Ther Clin Pract 2013;19(2):101-103.</w:t>
      </w:r>
      <w:r>
        <w:t xml:space="preserve"> </w:t>
      </w:r>
      <w:hyperlink r:id="rId123">
        <w:r>
          <w:rPr>
            <w:rStyle w:val="Hyperlink"/>
          </w:rPr>
          <w:t xml:space="preserve">PMID 23561068</w:t>
        </w:r>
      </w:hyperlink>
    </w:p>
    <w:p>
      <w:pPr>
        <w:pStyle w:val="Compact"/>
        <w:numPr>
          <w:ilvl w:val="0"/>
          <w:numId w:val="1030"/>
        </w:numPr>
      </w:pPr>
      <w:r>
        <w:t xml:space="preserve">Elgayar SL, Bayoumi MBI.</w:t>
      </w:r>
      <w:r>
        <w:t xml:space="preserve"> </w:t>
      </w:r>
      <w:r>
        <w:rPr>
          <w:i/>
          <w:iCs/>
        </w:rPr>
        <w:t xml:space="preserve">Effect of manual diaphragmatic release on ventilatory function and quality of life in women with rheumatoid arthritis: a randomized controlled trial.</w:t>
      </w:r>
      <w:r>
        <w:t xml:space="preserve"> </w:t>
      </w:r>
      <w:r>
        <w:t xml:space="preserve">J Man Manip Ther 2026 (online ahead of print).</w:t>
      </w:r>
      <w:r>
        <w:t xml:space="preserve"> </w:t>
      </w:r>
      <w:hyperlink r:id="rId124">
        <w:r>
          <w:rPr>
            <w:rStyle w:val="Hyperlink"/>
          </w:rPr>
          <w:t xml:space="preserve">PMID 41915908</w:t>
        </w:r>
      </w:hyperlink>
    </w:p>
    <w:p>
      <w:pPr>
        <w:pStyle w:val="Compact"/>
        <w:numPr>
          <w:ilvl w:val="0"/>
          <w:numId w:val="1030"/>
        </w:numPr>
      </w:pPr>
      <w:r>
        <w:t xml:space="preserve">Bohannon RW.</w:t>
      </w:r>
      <w:r>
        <w:t xml:space="preserve"> </w:t>
      </w:r>
      <w:r>
        <w:rPr>
          <w:i/>
          <w:iCs/>
        </w:rPr>
        <w:t xml:space="preserve">Minimal clinically important difference for grip strength: a systematic review.</w:t>
      </w:r>
      <w:r>
        <w:t xml:space="preserve"> </w:t>
      </w:r>
      <w:r>
        <w:t xml:space="preserve">J Phys Ther Sci 2019;31(1):75-78.</w:t>
      </w:r>
      <w:r>
        <w:t xml:space="preserve"> </w:t>
      </w:r>
      <w:hyperlink r:id="rId125">
        <w:r>
          <w:rPr>
            <w:rStyle w:val="Hyperlink"/>
          </w:rPr>
          <w:t xml:space="preserve">PMID 30774209</w:t>
        </w:r>
      </w:hyperlink>
    </w:p>
    <w:p>
      <w:pPr>
        <w:pStyle w:val="Compact"/>
        <w:numPr>
          <w:ilvl w:val="0"/>
          <w:numId w:val="1030"/>
        </w:numPr>
      </w:pPr>
      <w:r>
        <w:t xml:space="preserve">Williams MA, Srikesavan C, Heine PJ, et al. (Lamb SE).</w:t>
      </w:r>
      <w:r>
        <w:t xml:space="preserve"> </w:t>
      </w:r>
      <w:r>
        <w:rPr>
          <w:i/>
          <w:iCs/>
        </w:rPr>
        <w:t xml:space="preserve">Exercise for rheumatoid arthritis of the hand.</w:t>
      </w:r>
      <w:r>
        <w:t xml:space="preserve"> </w:t>
      </w:r>
      <w:r>
        <w:t xml:space="preserve">Cochrane Database Syst Rev 2018;7(7):CD003832.</w:t>
      </w:r>
      <w:r>
        <w:t xml:space="preserve"> </w:t>
      </w:r>
      <w:hyperlink r:id="rId126">
        <w:r>
          <w:rPr>
            <w:rStyle w:val="Hyperlink"/>
          </w:rPr>
          <w:t xml:space="preserve">PMID 30063798</w:t>
        </w:r>
      </w:hyperlink>
    </w:p>
    <w:p>
      <w:pPr>
        <w:pStyle w:val="Compact"/>
        <w:numPr>
          <w:ilvl w:val="0"/>
          <w:numId w:val="1030"/>
        </w:numPr>
      </w:pPr>
      <w:r>
        <w:t xml:space="preserve">Weston V, Coakley G; BSR/BHPR, BOA, RCGP e BSAC.</w:t>
      </w:r>
      <w:r>
        <w:t xml:space="preserve"> </w:t>
      </w:r>
      <w:r>
        <w:rPr>
          <w:i/>
          <w:iCs/>
        </w:rPr>
        <w:t xml:space="preserve">Guideline for the management of the hot swollen joint in adults with a particular focus on septic arthritis.</w:t>
      </w:r>
      <w:r>
        <w:t xml:space="preserve"> </w:t>
      </w:r>
      <w:r>
        <w:t xml:space="preserve">J Antimicrob Chemother 2006;58(3):492-493.</w:t>
      </w:r>
      <w:r>
        <w:t xml:space="preserve"> </w:t>
      </w:r>
      <w:hyperlink r:id="rId127">
        <w:r>
          <w:rPr>
            <w:rStyle w:val="Hyperlink"/>
          </w:rPr>
          <w:t xml:space="preserve">PMID 16857687</w:t>
        </w:r>
      </w:hyperlink>
    </w:p>
    <w:p>
      <w:pPr>
        <w:pStyle w:val="Compact"/>
        <w:numPr>
          <w:ilvl w:val="0"/>
          <w:numId w:val="1030"/>
        </w:numPr>
      </w:pPr>
      <w:r>
        <w:t xml:space="preserve">Lieber SB, Fowler ML, Zhu C, et al. </w:t>
      </w:r>
      <w:r>
        <w:rPr>
          <w:i/>
          <w:iCs/>
        </w:rPr>
        <w:t xml:space="preserve">Clinical characteristics and outcomes in polyarticular septic arthritis.</w:t>
      </w:r>
      <w:r>
        <w:t xml:space="preserve"> </w:t>
      </w:r>
      <w:r>
        <w:t xml:space="preserve">Joint Bone Spine 2018;85(4):469-473.</w:t>
      </w:r>
      <w:r>
        <w:t xml:space="preserve"> </w:t>
      </w:r>
      <w:hyperlink r:id="rId128">
        <w:r>
          <w:rPr>
            <w:rStyle w:val="Hyperlink"/>
          </w:rPr>
          <w:t xml:space="preserve">PMID 28917998</w:t>
        </w:r>
      </w:hyperlink>
    </w:p>
    <w:p>
      <w:pPr>
        <w:pStyle w:val="Compact"/>
        <w:numPr>
          <w:ilvl w:val="0"/>
          <w:numId w:val="1030"/>
        </w:numPr>
      </w:pPr>
      <w:r>
        <w:t xml:space="preserve">Farah Z, Reddy V, Matthews W, Giles I.</w:t>
      </w:r>
      <w:r>
        <w:t xml:space="preserve"> </w:t>
      </w:r>
      <w:r>
        <w:rPr>
          <w:i/>
          <w:iCs/>
        </w:rPr>
        <w:t xml:space="preserve">Poor adherence to guidelines on early management of acute hot swollen joint(s).</w:t>
      </w:r>
      <w:r>
        <w:t xml:space="preserve"> </w:t>
      </w:r>
      <w:r>
        <w:t xml:space="preserve">Int J Clin Pract 2015;69(5):618-622.</w:t>
      </w:r>
      <w:r>
        <w:t xml:space="preserve"> </w:t>
      </w:r>
      <w:hyperlink r:id="rId129">
        <w:r>
          <w:rPr>
            <w:rStyle w:val="Hyperlink"/>
          </w:rPr>
          <w:t xml:space="preserve">PMID 25650874</w:t>
        </w:r>
      </w:hyperlink>
    </w:p>
    <w:p>
      <w:pPr>
        <w:pStyle w:val="Compact"/>
        <w:numPr>
          <w:ilvl w:val="0"/>
          <w:numId w:val="1030"/>
        </w:numPr>
      </w:pPr>
      <w:r>
        <w:t xml:space="preserve">Koopman FA, Chavan SS, Miljko S, et al. </w:t>
      </w:r>
      <w:r>
        <w:rPr>
          <w:i/>
          <w:iCs/>
        </w:rPr>
        <w:t xml:space="preserve">Vagus nerve stimulation inhibits cytokine production and attenuates disease severity in rheumatoid arthritis.</w:t>
      </w:r>
      <w:r>
        <w:t xml:space="preserve"> </w:t>
      </w:r>
      <w:r>
        <w:t xml:space="preserve">Proc Natl Acad Sci USA 2016;113(29):8284-8289.</w:t>
      </w:r>
      <w:r>
        <w:t xml:space="preserve"> </w:t>
      </w:r>
      <w:hyperlink r:id="rId130">
        <w:r>
          <w:rPr>
            <w:rStyle w:val="Hyperlink"/>
          </w:rPr>
          <w:t xml:space="preserve">PMID 27382171</w:t>
        </w:r>
      </w:hyperlink>
    </w:p>
    <w:p>
      <w:pPr>
        <w:pStyle w:val="Compact"/>
        <w:numPr>
          <w:ilvl w:val="0"/>
          <w:numId w:val="1030"/>
        </w:numPr>
      </w:pPr>
      <w:r>
        <w:t xml:space="preserve">Marsal S, Corominas H, de Agustín JJ, et al. </w:t>
      </w:r>
      <w:r>
        <w:rPr>
          <w:i/>
          <w:iCs/>
        </w:rPr>
        <w:t xml:space="preserve">Non-invasive vagus nerve stimulation for rheumatoid arthritis: a proof-of-concept study.</w:t>
      </w:r>
      <w:r>
        <w:t xml:space="preserve"> </w:t>
      </w:r>
      <w:r>
        <w:t xml:space="preserve">Lancet Rheumatol 2021;3(4):e262-e269.</w:t>
      </w:r>
      <w:r>
        <w:t xml:space="preserve"> </w:t>
      </w:r>
      <w:hyperlink r:id="rId131">
        <w:r>
          <w:rPr>
            <w:rStyle w:val="Hyperlink"/>
          </w:rPr>
          <w:t xml:space="preserve">PMID 38279410</w:t>
        </w:r>
      </w:hyperlink>
    </w:p>
    <w:p>
      <w:pPr>
        <w:pStyle w:val="Compact"/>
        <w:numPr>
          <w:ilvl w:val="0"/>
          <w:numId w:val="1030"/>
        </w:numPr>
      </w:pPr>
      <w:r>
        <w:t xml:space="preserve">Nelson NL, Churilla JR.</w:t>
      </w:r>
      <w:r>
        <w:t xml:space="preserve"> </w:t>
      </w:r>
      <w:r>
        <w:rPr>
          <w:i/>
          <w:iCs/>
        </w:rPr>
        <w:t xml:space="preserve">Massage therapy for pain and function in patients with arthritis: a systematic review of randomized controlled trials.</w:t>
      </w:r>
      <w:r>
        <w:t xml:space="preserve"> </w:t>
      </w:r>
      <w:r>
        <w:t xml:space="preserve">Am J Phys Med Rehabil 2017;96(9):665-672.</w:t>
      </w:r>
      <w:r>
        <w:t xml:space="preserve"> </w:t>
      </w:r>
      <w:hyperlink r:id="rId132">
        <w:r>
          <w:rPr>
            <w:rStyle w:val="Hyperlink"/>
          </w:rPr>
          <w:t xml:space="preserve">PMID 28177937</w:t>
        </w:r>
      </w:hyperlink>
    </w:p>
    <w:p>
      <w:pPr>
        <w:pStyle w:val="Compact"/>
        <w:numPr>
          <w:ilvl w:val="0"/>
          <w:numId w:val="1030"/>
        </w:numPr>
      </w:pPr>
      <w:r>
        <w:t xml:space="preserve">Özçelep ÖF, Tunali N, Turhan A, et al. </w:t>
      </w:r>
      <w:r>
        <w:rPr>
          <w:i/>
          <w:iCs/>
        </w:rPr>
        <w:t xml:space="preserve">The effect of mobilization with movement on pain, joint distance, effusion area, and inflammation in rheumatoid arthritis: a double-blind randomized controlled clinical trial.</w:t>
      </w:r>
      <w:r>
        <w:t xml:space="preserve"> </w:t>
      </w:r>
      <w:r>
        <w:t xml:space="preserve">J Orthop Surg Res 2025;20(1):929.</w:t>
      </w:r>
      <w:r>
        <w:t xml:space="preserve"> </w:t>
      </w:r>
      <w:hyperlink r:id="rId133">
        <w:r>
          <w:rPr>
            <w:rStyle w:val="Hyperlink"/>
          </w:rPr>
          <w:t xml:space="preserve">PMID 41152887</w:t>
        </w:r>
      </w:hyperlink>
    </w:p>
    <w:p>
      <w:pPr>
        <w:pStyle w:val="Compact"/>
        <w:numPr>
          <w:ilvl w:val="0"/>
          <w:numId w:val="1030"/>
        </w:numPr>
      </w:pPr>
      <w:r>
        <w:t xml:space="preserve">Sundus H, Khan ZA, Rashid H, Agarwal A, Khan SA.</w:t>
      </w:r>
      <w:r>
        <w:t xml:space="preserve"> </w:t>
      </w:r>
      <w:r>
        <w:rPr>
          <w:i/>
          <w:iCs/>
        </w:rPr>
        <w:t xml:space="preserve">Effect of different physiotherapeutic interventions in patients with rheumatoid arthritis: a systematic review and meta-analysis.</w:t>
      </w:r>
      <w:r>
        <w:t xml:space="preserve"> </w:t>
      </w:r>
      <w:r>
        <w:t xml:space="preserve">Musculoskeletal Care 2025;23(3):e70173.</w:t>
      </w:r>
      <w:r>
        <w:t xml:space="preserve"> </w:t>
      </w:r>
      <w:hyperlink r:id="rId134">
        <w:r>
          <w:rPr>
            <w:rStyle w:val="Hyperlink"/>
          </w:rPr>
          <w:t xml:space="preserve">PMID 40744898</w:t>
        </w:r>
      </w:hyperlink>
    </w:p>
    <w:p>
      <w:pPr>
        <w:pStyle w:val="Compact"/>
        <w:numPr>
          <w:ilvl w:val="0"/>
          <w:numId w:val="1030"/>
        </w:numPr>
      </w:pPr>
      <w:r>
        <w:t xml:space="preserve">Courel-Ibáñez J, Buendía-Romero Á, Vetrovsky T.</w:t>
      </w:r>
      <w:r>
        <w:t xml:space="preserve"> </w:t>
      </w:r>
      <w:r>
        <w:rPr>
          <w:i/>
          <w:iCs/>
        </w:rPr>
        <w:t xml:space="preserve">Effects of exercise interventions on clinical outcomes in pre-clinical and early rheumatoid arthritis: a systematic review and meta-analysis.</w:t>
      </w:r>
      <w:r>
        <w:t xml:space="preserve"> </w:t>
      </w:r>
      <w:r>
        <w:t xml:space="preserve">Ann Phys Rehabil Med 2026;69(5):102115.</w:t>
      </w:r>
      <w:r>
        <w:t xml:space="preserve"> </w:t>
      </w:r>
      <w:hyperlink r:id="rId135">
        <w:r>
          <w:rPr>
            <w:rStyle w:val="Hyperlink"/>
          </w:rPr>
          <w:t xml:space="preserve">PMID 42013636</w:t>
        </w:r>
      </w:hyperlink>
    </w:p>
    <w:p>
      <w:pPr>
        <w:pStyle w:val="Compact"/>
        <w:numPr>
          <w:ilvl w:val="0"/>
          <w:numId w:val="1030"/>
        </w:numPr>
      </w:pPr>
      <w:r>
        <w:t xml:space="preserve">Löken LS, Wessberg J, Morrison I, McGlone F, Olausson H.</w:t>
      </w:r>
      <w:r>
        <w:t xml:space="preserve"> </w:t>
      </w:r>
      <w:r>
        <w:rPr>
          <w:i/>
          <w:iCs/>
        </w:rPr>
        <w:t xml:space="preserve">Coding of pleasant touch by unmyelinated afferents in humans.</w:t>
      </w:r>
      <w:r>
        <w:t xml:space="preserve"> </w:t>
      </w:r>
      <w:r>
        <w:t xml:space="preserve">Nat Neurosci 2009;12(5):547-548.</w:t>
      </w:r>
      <w:r>
        <w:t xml:space="preserve"> </w:t>
      </w:r>
      <w:hyperlink r:id="rId136">
        <w:r>
          <w:rPr>
            <w:rStyle w:val="Hyperlink"/>
          </w:rPr>
          <w:t xml:space="preserve">PMID 19363489</w:t>
        </w:r>
      </w:hyperlink>
    </w:p>
    <w:p>
      <w:pPr>
        <w:pStyle w:val="Compact"/>
        <w:numPr>
          <w:ilvl w:val="0"/>
          <w:numId w:val="1030"/>
        </w:numPr>
      </w:pPr>
      <w:r>
        <w:t xml:space="preserve">Gordon TC, Hope-Bell J, Draper-Rodi J, et al. </w:t>
      </w:r>
      <w:r>
        <w:rPr>
          <w:i/>
          <w:iCs/>
        </w:rPr>
        <w:t xml:space="preserve">Effects of manual osteopathic interventions on psychometric and psychophysiological indicators of anxiety, depression and stress in adults.</w:t>
      </w:r>
      <w:r>
        <w:t xml:space="preserve"> </w:t>
      </w:r>
      <w:r>
        <w:t xml:space="preserve">BMJ Open 2025;15(2):e095933.</w:t>
      </w:r>
      <w:r>
        <w:t xml:space="preserve"> </w:t>
      </w:r>
      <w:hyperlink r:id="rId137">
        <w:r>
          <w:rPr>
            <w:rStyle w:val="Hyperlink"/>
          </w:rPr>
          <w:t xml:space="preserve">PMID 39920074</w:t>
        </w:r>
      </w:hyperlink>
    </w:p>
    <w:p>
      <w:pPr>
        <w:pStyle w:val="Compact"/>
        <w:numPr>
          <w:ilvl w:val="0"/>
          <w:numId w:val="1030"/>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2001;6(2):72-81.</w:t>
      </w:r>
      <w:r>
        <w:t xml:space="preserve"> </w:t>
      </w:r>
      <w:hyperlink r:id="rId138">
        <w:r>
          <w:rPr>
            <w:rStyle w:val="Hyperlink"/>
          </w:rPr>
          <w:t xml:space="preserve">PMID 11414776</w:t>
        </w:r>
      </w:hyperlink>
    </w:p>
    <w:p>
      <w:pPr>
        <w:pStyle w:val="Compact"/>
        <w:numPr>
          <w:ilvl w:val="0"/>
          <w:numId w:val="1030"/>
        </w:numPr>
      </w:pPr>
      <w:r>
        <w:t xml:space="preserve">Williamson E, McConkey C, Heine P, et al. (Lamb SE).</w:t>
      </w:r>
      <w:r>
        <w:t xml:space="preserve"> </w:t>
      </w:r>
      <w:r>
        <w:rPr>
          <w:i/>
          <w:iCs/>
        </w:rPr>
        <w:t xml:space="preserve">Hand exercises for patients with rheumatoid arthritis: an extended follow-up of the SARAH randomised controlled trial.</w:t>
      </w:r>
      <w:r>
        <w:t xml:space="preserve"> </w:t>
      </w:r>
      <w:r>
        <w:t xml:space="preserve">BMJ Open 2017;7(4):e013121.</w:t>
      </w:r>
      <w:r>
        <w:t xml:space="preserve"> </w:t>
      </w:r>
      <w:hyperlink r:id="rId139">
        <w:r>
          <w:rPr>
            <w:rStyle w:val="Hyperlink"/>
          </w:rPr>
          <w:t xml:space="preserve">PMID 28404610</w:t>
        </w:r>
      </w:hyperlink>
    </w:p>
    <w:p>
      <w:pPr>
        <w:pStyle w:val="Compact"/>
        <w:numPr>
          <w:ilvl w:val="0"/>
          <w:numId w:val="1030"/>
        </w:numPr>
      </w:pPr>
      <w:r>
        <w:t xml:space="preserve">Rausch Osthoff AK, Niedermann K, Braun J, et al. </w:t>
      </w:r>
      <w:r>
        <w:rPr>
          <w:i/>
          <w:iCs/>
        </w:rPr>
        <w:t xml:space="preserve">2018 EULAR recommendations for physical activity in people with inflammatory arthritis and osteoarthritis.</w:t>
      </w:r>
      <w:r>
        <w:t xml:space="preserve"> </w:t>
      </w:r>
      <w:r>
        <w:t xml:space="preserve">Ann Rheum Dis 2018;77(9):1251-1260.</w:t>
      </w:r>
      <w:r>
        <w:t xml:space="preserve"> </w:t>
      </w:r>
      <w:hyperlink r:id="rId140">
        <w:r>
          <w:rPr>
            <w:rStyle w:val="Hyperlink"/>
          </w:rPr>
          <w:t xml:space="preserve">PMID 29997112</w:t>
        </w:r>
      </w:hyperlink>
    </w:p>
    <w:p>
      <w:pPr>
        <w:pStyle w:val="Compact"/>
        <w:numPr>
          <w:ilvl w:val="0"/>
          <w:numId w:val="1030"/>
        </w:numPr>
      </w:pPr>
      <w:r>
        <w:t xml:space="preserve">Zhang Y, He Z, Yin Z, et al. </w:t>
      </w:r>
      <w:r>
        <w:rPr>
          <w:i/>
          <w:iCs/>
        </w:rPr>
        <w:t xml:space="preserve">Effect of exercise interventions for rheumatoid arthritis: a systematic review and network meta-analysis of randomised controlled trials.</w:t>
      </w:r>
      <w:r>
        <w:t xml:space="preserve"> </w:t>
      </w:r>
      <w:r>
        <w:t xml:space="preserve">J Pain Res 2025;18:5109-5126.</w:t>
      </w:r>
      <w:r>
        <w:t xml:space="preserve"> </w:t>
      </w:r>
      <w:hyperlink r:id="rId141">
        <w:r>
          <w:rPr>
            <w:rStyle w:val="Hyperlink"/>
          </w:rPr>
          <w:t xml:space="preserve">PMID 41050145</w:t>
        </w:r>
      </w:hyperlink>
    </w:p>
    <w:p>
      <w:pPr>
        <w:pStyle w:val="Compact"/>
        <w:numPr>
          <w:ilvl w:val="0"/>
          <w:numId w:val="1030"/>
        </w:numPr>
      </w:pPr>
      <w:r>
        <w:t xml:space="preserve">Riemsma RP, Kirwan JR, Taal E, Rasker JJ.</w:t>
      </w:r>
      <w:r>
        <w:t xml:space="preserve"> </w:t>
      </w:r>
      <w:r>
        <w:rPr>
          <w:i/>
          <w:iCs/>
        </w:rPr>
        <w:t xml:space="preserve">Patient education for adults with rheumatoid arthritis.</w:t>
      </w:r>
      <w:r>
        <w:t xml:space="preserve"> </w:t>
      </w:r>
      <w:r>
        <w:t xml:space="preserve">Cochrane Database Syst Rev 2003;(2):CD003688.</w:t>
      </w:r>
      <w:r>
        <w:t xml:space="preserve"> </w:t>
      </w:r>
      <w:hyperlink r:id="rId142">
        <w:r>
          <w:rPr>
            <w:rStyle w:val="Hyperlink"/>
          </w:rPr>
          <w:t xml:space="preserve">PMID 12804484</w:t>
        </w:r>
      </w:hyperlink>
    </w:p>
    <w:p>
      <w:pPr>
        <w:pStyle w:val="Compact"/>
        <w:numPr>
          <w:ilvl w:val="0"/>
          <w:numId w:val="1030"/>
        </w:numPr>
      </w:pPr>
      <w:r>
        <w:t xml:space="preserve">National Institute for Health and Care Excellence.</w:t>
      </w:r>
      <w:r>
        <w:t xml:space="preserve"> </w:t>
      </w:r>
      <w:r>
        <w:rPr>
          <w:i/>
          <w:iCs/>
        </w:rPr>
        <w:t xml:space="preserve">Rheumatoid arthritis in adults: management.</w:t>
      </w:r>
      <w:r>
        <w:t xml:space="preserve"> </w:t>
      </w:r>
      <w:r>
        <w:t xml:space="preserve">NICE guideline NG100, 2018 (aggiornata 2020). https://www.nice.org.uk/guidance/ng100</w:t>
      </w:r>
    </w:p>
    <w:p>
      <w:pPr>
        <w:pStyle w:val="Compact"/>
        <w:numPr>
          <w:ilvl w:val="0"/>
          <w:numId w:val="1030"/>
        </w:numPr>
      </w:pPr>
      <w:r>
        <w:t xml:space="preserve">DPR 7 luglio 2021 n. 131 — profilo professionale dell’osteopata.</w:t>
      </w:r>
    </w:p>
    <w:p>
      <w:pPr>
        <w:pStyle w:val="Compact"/>
        <w:numPr>
          <w:ilvl w:val="0"/>
          <w:numId w:val="1030"/>
        </w:numPr>
      </w:pPr>
      <w:r>
        <w:t xml:space="preserve">Rovsing C, Rovsing H, Liboriussen CH, et al. </w:t>
      </w:r>
      <w:r>
        <w:rPr>
          <w:i/>
          <w:iCs/>
        </w:rPr>
        <w:t xml:space="preserve">Deep breathing increases heart rate variability in patients with rheumatoid arthritis and systemic lupus erythematosus.</w:t>
      </w:r>
      <w:r>
        <w:t xml:space="preserve"> </w:t>
      </w:r>
      <w:r>
        <w:t xml:space="preserve">J Clin Rheumatol 2021;27(7):261-266.</w:t>
      </w:r>
      <w:r>
        <w:t xml:space="preserve"> </w:t>
      </w:r>
      <w:hyperlink r:id="rId143">
        <w:r>
          <w:rPr>
            <w:rStyle w:val="Hyperlink"/>
          </w:rPr>
          <w:t xml:space="preserve">PMID 32195851</w:t>
        </w:r>
      </w:hyperlink>
    </w:p>
    <w:p>
      <w:pPr>
        <w:pStyle w:val="Compact"/>
        <w:numPr>
          <w:ilvl w:val="0"/>
          <w:numId w:val="1030"/>
        </w:numPr>
      </w:pPr>
      <w:r>
        <w:t xml:space="preserve">Jensen MK, Andersen SS, Liboriussen CH, Kristensen S, Jochumsen M.</w:t>
      </w:r>
      <w:r>
        <w:t xml:space="preserve"> </w:t>
      </w:r>
      <w:r>
        <w:rPr>
          <w:i/>
          <w:iCs/>
        </w:rPr>
        <w:t xml:space="preserve">Modulating heart rate variability through deep breathing exercises and transcutaneous auricular vagus nerve stimulation.</w:t>
      </w:r>
      <w:r>
        <w:t xml:space="preserve"> </w:t>
      </w:r>
      <w:r>
        <w:t xml:space="preserve">Sensors (Basel) 2022;22(20):7884.</w:t>
      </w:r>
      <w:r>
        <w:t xml:space="preserve"> </w:t>
      </w:r>
      <w:hyperlink r:id="rId144">
        <w:r>
          <w:rPr>
            <w:rStyle w:val="Hyperlink"/>
          </w:rPr>
          <w:t xml:space="preserve">PMID 36298234</w:t>
        </w:r>
      </w:hyperlink>
    </w:p>
    <w:p>
      <w:pPr>
        <w:pStyle w:val="Compact"/>
        <w:numPr>
          <w:ilvl w:val="0"/>
          <w:numId w:val="1030"/>
        </w:numPr>
      </w:pPr>
      <w:r>
        <w:t xml:space="preserve">Laborde S, Allen MS, Borges U, et al. </w:t>
      </w:r>
      <w:r>
        <w:rPr>
          <w:i/>
          <w:iCs/>
        </w:rPr>
        <w:t xml:space="preserve">Effects of voluntary slow breathing on heart rate and heart rate variability: a systematic review and a meta-analysis.</w:t>
      </w:r>
      <w:r>
        <w:t xml:space="preserve"> </w:t>
      </w:r>
      <w:r>
        <w:t xml:space="preserve">Neurosci Biobehav Rev 2022;138:104711.</w:t>
      </w:r>
      <w:r>
        <w:t xml:space="preserve"> </w:t>
      </w:r>
      <w:hyperlink r:id="rId145">
        <w:r>
          <w:rPr>
            <w:rStyle w:val="Hyperlink"/>
          </w:rPr>
          <w:t xml:space="preserve">PMID 35623448</w:t>
        </w:r>
      </w:hyperlink>
    </w:p>
    <w:p>
      <w:pPr>
        <w:pStyle w:val="Compact"/>
        <w:numPr>
          <w:ilvl w:val="0"/>
          <w:numId w:val="1030"/>
        </w:numPr>
      </w:pPr>
      <w:r>
        <w:t xml:space="preserve">Finan PH, Hunt C, Keaser ML, et al. </w:t>
      </w:r>
      <w:r>
        <w:rPr>
          <w:i/>
          <w:iCs/>
        </w:rPr>
        <w:t xml:space="preserve">Effects of savoring meditation on positive emotions and pain-related brain function: a mechanistic randomized controlled trial in people with rheumatoid arthritis.</w:t>
      </w:r>
      <w:r>
        <w:t xml:space="preserve"> </w:t>
      </w:r>
      <w:r>
        <w:t xml:space="preserve">J Pain 2024;25(7):104478.</w:t>
      </w:r>
      <w:r>
        <w:t xml:space="preserve"> </w:t>
      </w:r>
      <w:hyperlink r:id="rId146">
        <w:r>
          <w:rPr>
            <w:rStyle w:val="Hyperlink"/>
          </w:rPr>
          <w:t xml:space="preserve">PMID 38244899</w:t>
        </w:r>
      </w:hyperlink>
    </w:p>
    <w:p>
      <w:pPr>
        <w:pStyle w:val="Compact"/>
        <w:numPr>
          <w:ilvl w:val="0"/>
          <w:numId w:val="1030"/>
        </w:numPr>
      </w:pPr>
      <w:r>
        <w:t xml:space="preserve">Latocha KM, Løppenthin KB, Østergaard M, et al. </w:t>
      </w:r>
      <w:r>
        <w:rPr>
          <w:i/>
          <w:iCs/>
        </w:rPr>
        <w:t xml:space="preserve">The effect of group-based cognitive behavioural therapy for insomnia in patients with rheumatoid arthritis: a randomized controlled trial.</w:t>
      </w:r>
      <w:r>
        <w:t xml:space="preserve"> </w:t>
      </w:r>
      <w:r>
        <w:t xml:space="preserve">Rheumatology (Oxford) 2023;62(3):1097-1107.</w:t>
      </w:r>
      <w:r>
        <w:t xml:space="preserve"> </w:t>
      </w:r>
      <w:hyperlink r:id="rId147">
        <w:r>
          <w:rPr>
            <w:rStyle w:val="Hyperlink"/>
          </w:rPr>
          <w:t xml:space="preserve">PMID 35951745</w:t>
        </w:r>
      </w:hyperlink>
    </w:p>
    <w:p>
      <w:pPr>
        <w:pStyle w:val="Compact"/>
        <w:numPr>
          <w:ilvl w:val="0"/>
          <w:numId w:val="1030"/>
        </w:numPr>
      </w:pPr>
      <w:r>
        <w:t xml:space="preserve">Rosas-Ballina M, Olofsson PS, Ochani M, et al. (Tracey KJ).</w:t>
      </w:r>
      <w:r>
        <w:t xml:space="preserve"> </w:t>
      </w:r>
      <w:r>
        <w:rPr>
          <w:i/>
          <w:iCs/>
        </w:rPr>
        <w:t xml:space="preserve">Acetylcholine-synthesizing T cells relay neural signals in a vagus nerve circuit.</w:t>
      </w:r>
      <w:r>
        <w:t xml:space="preserve"> </w:t>
      </w:r>
      <w:r>
        <w:t xml:space="preserve">Science 2011;334(6052):98-101.</w:t>
      </w:r>
      <w:r>
        <w:t xml:space="preserve"> </w:t>
      </w:r>
      <w:hyperlink r:id="rId148">
        <w:r>
          <w:rPr>
            <w:rStyle w:val="Hyperlink"/>
          </w:rPr>
          <w:t xml:space="preserve">PMID 21921156</w:t>
        </w:r>
      </w:hyperlink>
    </w:p>
    <w:p>
      <w:pPr>
        <w:pStyle w:val="Compact"/>
        <w:numPr>
          <w:ilvl w:val="0"/>
          <w:numId w:val="1030"/>
        </w:numPr>
      </w:pPr>
      <w:r>
        <w:t xml:space="preserve">Gijon-Nogueron G, Ramos-Petersen L, Ortega-Avila AB, Morales-Asencio JM, Garcia-Mayor S.</w:t>
      </w:r>
      <w:r>
        <w:t xml:space="preserve"> </w:t>
      </w:r>
      <w:r>
        <w:rPr>
          <w:i/>
          <w:iCs/>
        </w:rPr>
        <w:t xml:space="preserve">Effectiveness of foot orthoses in patients with rheumatoid arthritis related to disability and pain: a systematic review and meta-analysis.</w:t>
      </w:r>
      <w:r>
        <w:t xml:space="preserve"> </w:t>
      </w:r>
      <w:r>
        <w:t xml:space="preserve">Qual Life Res 2018;27(12):3059-3069.</w:t>
      </w:r>
      <w:r>
        <w:t xml:space="preserve"> </w:t>
      </w:r>
      <w:hyperlink r:id="rId149">
        <w:r>
          <w:rPr>
            <w:rStyle w:val="Hyperlink"/>
          </w:rPr>
          <w:t xml:space="preserve">PMID 29922913</w:t>
        </w:r>
      </w:hyperlink>
    </w:p>
    <w:p>
      <w:pPr>
        <w:pStyle w:val="Compact"/>
        <w:numPr>
          <w:ilvl w:val="0"/>
          <w:numId w:val="1030"/>
        </w:numPr>
      </w:pPr>
      <w:r>
        <w:t xml:space="preserve">Cabrera-Sánchez JM, Reina-Bueno M, Palomo-Toucedo IC, et al. </w:t>
      </w:r>
      <w:r>
        <w:rPr>
          <w:i/>
          <w:iCs/>
        </w:rPr>
        <w:t xml:space="preserve">Effect of foot orthoses and footwear in people with rheumatoid arthritis: an updated systematic review.</w:t>
      </w:r>
      <w:r>
        <w:t xml:space="preserve"> </w:t>
      </w:r>
      <w:r>
        <w:t xml:space="preserve">Healthcare (Basel) 2024;12(20):2064.</w:t>
      </w:r>
      <w:r>
        <w:t xml:space="preserve"> </w:t>
      </w:r>
      <w:hyperlink r:id="rId150">
        <w:r>
          <w:rPr>
            <w:rStyle w:val="Hyperlink"/>
          </w:rPr>
          <w:t xml:space="preserve">PMID 39451432</w:t>
        </w:r>
      </w:hyperlink>
    </w:p>
    <w:p>
      <w:pPr>
        <w:pStyle w:val="Compact"/>
        <w:numPr>
          <w:ilvl w:val="0"/>
          <w:numId w:val="1030"/>
        </w:numPr>
      </w:pPr>
      <w:r>
        <w:t xml:space="preserve">Ferreira PH, Ferreira ML, Maher CG, Refshauge KM, Latimer J, Adams RD.</w:t>
      </w:r>
      <w:r>
        <w:t xml:space="preserve"> </w:t>
      </w:r>
      <w:r>
        <w:rPr>
          <w:i/>
          <w:iCs/>
        </w:rPr>
        <w:t xml:space="preserve">The therapeutic alliance between clinicians and patients predicts outcome in chronic low back pain.</w:t>
      </w:r>
      <w:r>
        <w:t xml:space="preserve"> </w:t>
      </w:r>
      <w:r>
        <w:t xml:space="preserve">Phys Ther 2013;93(4):470-478.</w:t>
      </w:r>
      <w:r>
        <w:t xml:space="preserve"> </w:t>
      </w:r>
      <w:hyperlink r:id="rId151">
        <w:r>
          <w:rPr>
            <w:rStyle w:val="Hyperlink"/>
          </w:rPr>
          <w:t xml:space="preserve">PMID 23139428</w:t>
        </w:r>
      </w:hyperlink>
    </w:p>
    <w:p>
      <w:pPr>
        <w:pStyle w:val="Compact"/>
        <w:numPr>
          <w:ilvl w:val="0"/>
          <w:numId w:val="1030"/>
        </w:numPr>
      </w:pPr>
      <w:r>
        <w:t xml:space="preserve">Lotkowska OD, Adler S, Zgraggen A.</w:t>
      </w:r>
      <w:r>
        <w:t xml:space="preserve"> </w:t>
      </w:r>
      <w:r>
        <w:rPr>
          <w:i/>
          <w:iCs/>
        </w:rPr>
        <w:t xml:space="preserve">Methotrexate osteopathy in rheumatoid arthritis.</w:t>
      </w:r>
      <w:r>
        <w:t xml:space="preserve"> </w:t>
      </w:r>
      <w:r>
        <w:t xml:space="preserve">Rheumatol Int 2025;46(1):8.</w:t>
      </w:r>
      <w:r>
        <w:t xml:space="preserve"> </w:t>
      </w:r>
      <w:hyperlink r:id="rId152">
        <w:r>
          <w:rPr>
            <w:rStyle w:val="Hyperlink"/>
          </w:rPr>
          <w:t xml:space="preserve">PMID 41359127</w:t>
        </w:r>
      </w:hyperlink>
    </w:p>
    <w:p>
      <w:pPr>
        <w:pStyle w:val="Compact"/>
        <w:numPr>
          <w:ilvl w:val="0"/>
          <w:numId w:val="1030"/>
        </w:numPr>
      </w:pPr>
      <w:r>
        <w:t xml:space="preserve">Andresen JR, Radmer S.</w:t>
      </w:r>
      <w:r>
        <w:t xml:space="preserve"> </w:t>
      </w:r>
      <w:r>
        <w:rPr>
          <w:i/>
          <w:iCs/>
        </w:rPr>
        <w:t xml:space="preserve">Talus insufficiency fracture due to long-term methotrexate therapy.</w:t>
      </w:r>
      <w:r>
        <w:t xml:space="preserve"> </w:t>
      </w:r>
      <w:r>
        <w:t xml:space="preserve">J Surg Case Rep 2025;2025(10):rjaf760.</w:t>
      </w:r>
      <w:r>
        <w:t xml:space="preserve"> </w:t>
      </w:r>
      <w:hyperlink r:id="rId153">
        <w:r>
          <w:rPr>
            <w:rStyle w:val="Hyperlink"/>
          </w:rPr>
          <w:t xml:space="preserve">PMID 41049082</w:t>
        </w:r>
      </w:hyperlink>
    </w:p>
    <w:p>
      <w:pPr>
        <w:pStyle w:val="Compact"/>
        <w:numPr>
          <w:ilvl w:val="0"/>
          <w:numId w:val="1030"/>
        </w:numPr>
      </w:pPr>
      <w:r>
        <w:t xml:space="preserve">Petersen CL, David M, Stilgren L, Ennis ZN, et al. </w:t>
      </w:r>
      <w:r>
        <w:rPr>
          <w:i/>
          <w:iCs/>
        </w:rPr>
        <w:t xml:space="preserve">Methotrexate osteopathy: a case report.</w:t>
      </w:r>
      <w:r>
        <w:t xml:space="preserve"> </w:t>
      </w:r>
      <w:r>
        <w:t xml:space="preserve">BMJ Case Rep 2024;17(8):e260478.</w:t>
      </w:r>
      <w:r>
        <w:t xml:space="preserve"> </w:t>
      </w:r>
      <w:hyperlink r:id="rId154">
        <w:r>
          <w:rPr>
            <w:rStyle w:val="Hyperlink"/>
          </w:rPr>
          <w:t xml:space="preserve">PMID 39216879</w:t>
        </w:r>
      </w:hyperlink>
    </w:p>
    <w:bookmarkEnd w:id="155"/>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8" Target="https://pubmed.ncbi.nlm.nih.gov/11414776/" TargetMode="External" /><Relationship Type="http://schemas.openxmlformats.org/officeDocument/2006/relationships/hyperlink" Id="rId142" Target="https://pubmed.ncbi.nlm.nih.gov/12804484/" TargetMode="External" /><Relationship Type="http://schemas.openxmlformats.org/officeDocument/2006/relationships/hyperlink" Id="rId94" Target="https://pubmed.ncbi.nlm.nih.gov/13130460/" TargetMode="External" /><Relationship Type="http://schemas.openxmlformats.org/officeDocument/2006/relationships/hyperlink" Id="rId118" Target="https://pubmed.ncbi.nlm.nih.gov/15454722/" TargetMode="External" /><Relationship Type="http://schemas.openxmlformats.org/officeDocument/2006/relationships/hyperlink" Id="rId110" Target="https://pubmed.ncbi.nlm.nih.gov/16574519/" TargetMode="External" /><Relationship Type="http://schemas.openxmlformats.org/officeDocument/2006/relationships/hyperlink" Id="rId127" Target="https://pubmed.ncbi.nlm.nih.gov/16857687/" TargetMode="External" /><Relationship Type="http://schemas.openxmlformats.org/officeDocument/2006/relationships/hyperlink" Id="rId98" Target="https://pubmed.ncbi.nlm.nih.gov/19035419/" TargetMode="External" /><Relationship Type="http://schemas.openxmlformats.org/officeDocument/2006/relationships/hyperlink" Id="rId136" Target="https://pubmed.ncbi.nlm.nih.gov/19363489/" TargetMode="External" /><Relationship Type="http://schemas.openxmlformats.org/officeDocument/2006/relationships/hyperlink" Id="rId114" Target="https://pubmed.ncbi.nlm.nih.gov/19821388/" TargetMode="External" /><Relationship Type="http://schemas.openxmlformats.org/officeDocument/2006/relationships/hyperlink" Id="rId96" Target="https://pubmed.ncbi.nlm.nih.gov/20872595/" TargetMode="External" /><Relationship Type="http://schemas.openxmlformats.org/officeDocument/2006/relationships/hyperlink" Id="rId148" Target="https://pubmed.ncbi.nlm.nih.gov/21921156/" TargetMode="External" /><Relationship Type="http://schemas.openxmlformats.org/officeDocument/2006/relationships/hyperlink" Id="rId151" Target="https://pubmed.ncbi.nlm.nih.gov/23139428/" TargetMode="External" /><Relationship Type="http://schemas.openxmlformats.org/officeDocument/2006/relationships/hyperlink" Id="rId115" Target="https://pubmed.ncbi.nlm.nih.gov/23427807/" TargetMode="External" /><Relationship Type="http://schemas.openxmlformats.org/officeDocument/2006/relationships/hyperlink" Id="rId123" Target="https://pubmed.ncbi.nlm.nih.gov/23561068/" TargetMode="External" /><Relationship Type="http://schemas.openxmlformats.org/officeDocument/2006/relationships/hyperlink" Id="rId121" Target="https://pubmed.ncbi.nlm.nih.gov/23975674/" TargetMode="External" /><Relationship Type="http://schemas.openxmlformats.org/officeDocument/2006/relationships/hyperlink" Id="rId120" Target="https://pubmed.ncbi.nlm.nih.gov/24003249/" TargetMode="External" /><Relationship Type="http://schemas.openxmlformats.org/officeDocument/2006/relationships/hyperlink" Id="rId105" Target="https://pubmed.ncbi.nlm.nih.gov/24670133/" TargetMode="External" /><Relationship Type="http://schemas.openxmlformats.org/officeDocument/2006/relationships/hyperlink" Id="rId122" Target="https://pubmed.ncbi.nlm.nih.gov/25308290/" TargetMode="External" /><Relationship Type="http://schemas.openxmlformats.org/officeDocument/2006/relationships/hyperlink" Id="rId129" Target="https://pubmed.ncbi.nlm.nih.gov/25650874/" TargetMode="External" /><Relationship Type="http://schemas.openxmlformats.org/officeDocument/2006/relationships/hyperlink" Id="rId106" Target="https://pubmed.ncbi.nlm.nih.gov/25775286/" TargetMode="External" /><Relationship Type="http://schemas.openxmlformats.org/officeDocument/2006/relationships/hyperlink" Id="rId116" Target="https://pubmed.ncbi.nlm.nih.gov/26140821/" TargetMode="External" /><Relationship Type="http://schemas.openxmlformats.org/officeDocument/2006/relationships/hyperlink" Id="rId113" Target="https://pubmed.ncbi.nlm.nih.gov/26784398/" TargetMode="External" /><Relationship Type="http://schemas.openxmlformats.org/officeDocument/2006/relationships/hyperlink" Id="rId130" Target="https://pubmed.ncbi.nlm.nih.gov/27382171/" TargetMode="External" /><Relationship Type="http://schemas.openxmlformats.org/officeDocument/2006/relationships/hyperlink" Id="rId132" Target="https://pubmed.ncbi.nlm.nih.gov/28177937/" TargetMode="External" /><Relationship Type="http://schemas.openxmlformats.org/officeDocument/2006/relationships/hyperlink" Id="rId139" Target="https://pubmed.ncbi.nlm.nih.gov/28404610/" TargetMode="External" /><Relationship Type="http://schemas.openxmlformats.org/officeDocument/2006/relationships/hyperlink" Id="rId112" Target="https://pubmed.ncbi.nlm.nih.gov/28437846/" TargetMode="External" /><Relationship Type="http://schemas.openxmlformats.org/officeDocument/2006/relationships/hyperlink" Id="rId128" Target="https://pubmed.ncbi.nlm.nih.gov/28917998/" TargetMode="External" /><Relationship Type="http://schemas.openxmlformats.org/officeDocument/2006/relationships/hyperlink" Id="rId102" Target="https://pubmed.ncbi.nlm.nih.gov/28968703/" TargetMode="External" /><Relationship Type="http://schemas.openxmlformats.org/officeDocument/2006/relationships/hyperlink" Id="rId111" Target="https://pubmed.ncbi.nlm.nih.gov/29291895/" TargetMode="External" /><Relationship Type="http://schemas.openxmlformats.org/officeDocument/2006/relationships/hyperlink" Id="rId149" Target="https://pubmed.ncbi.nlm.nih.gov/29922913/" TargetMode="External" /><Relationship Type="http://schemas.openxmlformats.org/officeDocument/2006/relationships/hyperlink" Id="rId140" Target="https://pubmed.ncbi.nlm.nih.gov/29997112/" TargetMode="External" /><Relationship Type="http://schemas.openxmlformats.org/officeDocument/2006/relationships/hyperlink" Id="rId126" Target="https://pubmed.ncbi.nlm.nih.gov/30063798/" TargetMode="External" /><Relationship Type="http://schemas.openxmlformats.org/officeDocument/2006/relationships/hyperlink" Id="rId125" Target="https://pubmed.ncbi.nlm.nih.gov/30774209/" TargetMode="External" /><Relationship Type="http://schemas.openxmlformats.org/officeDocument/2006/relationships/hyperlink" Id="rId103" Target="https://pubmed.ncbi.nlm.nih.gov/31377829/" TargetMode="External" /><Relationship Type="http://schemas.openxmlformats.org/officeDocument/2006/relationships/hyperlink" Id="rId143" Target="https://pubmed.ncbi.nlm.nih.gov/32195851/" TargetMode="External" /><Relationship Type="http://schemas.openxmlformats.org/officeDocument/2006/relationships/hyperlink" Id="rId109" Target="https://pubmed.ncbi.nlm.nih.gov/32291467/" TargetMode="External" /><Relationship Type="http://schemas.openxmlformats.org/officeDocument/2006/relationships/hyperlink" Id="rId95" Target="https://pubmed.ncbi.nlm.nih.gov/34127054/" TargetMode="External" /><Relationship Type="http://schemas.openxmlformats.org/officeDocument/2006/relationships/hyperlink" Id="rId145" Target="https://pubmed.ncbi.nlm.nih.gov/35623448/" TargetMode="External" /><Relationship Type="http://schemas.openxmlformats.org/officeDocument/2006/relationships/hyperlink" Id="rId147" Target="https://pubmed.ncbi.nlm.nih.gov/35951745/" TargetMode="External" /><Relationship Type="http://schemas.openxmlformats.org/officeDocument/2006/relationships/hyperlink" Id="rId144" Target="https://pubmed.ncbi.nlm.nih.gov/36298234/" TargetMode="External" /><Relationship Type="http://schemas.openxmlformats.org/officeDocument/2006/relationships/hyperlink" Id="rId101" Target="https://pubmed.ncbi.nlm.nih.gov/36800137/" TargetMode="External" /><Relationship Type="http://schemas.openxmlformats.org/officeDocument/2006/relationships/hyperlink" Id="rId99" Target="https://pubmed.ncbi.nlm.nih.gov/37795020/" TargetMode="External" /><Relationship Type="http://schemas.openxmlformats.org/officeDocument/2006/relationships/hyperlink" Id="rId117" Target="https://pubmed.ncbi.nlm.nih.gov/37893596/" TargetMode="External" /><Relationship Type="http://schemas.openxmlformats.org/officeDocument/2006/relationships/hyperlink" Id="rId146" Target="https://pubmed.ncbi.nlm.nih.gov/38244899/" TargetMode="External" /><Relationship Type="http://schemas.openxmlformats.org/officeDocument/2006/relationships/hyperlink" Id="rId104" Target="https://pubmed.ncbi.nlm.nih.gov/38261795/" TargetMode="External" /><Relationship Type="http://schemas.openxmlformats.org/officeDocument/2006/relationships/hyperlink" Id="rId131" Target="https://pubmed.ncbi.nlm.nih.gov/38279410/" TargetMode="External" /><Relationship Type="http://schemas.openxmlformats.org/officeDocument/2006/relationships/hyperlink" Id="rId97" Target="https://pubmed.ncbi.nlm.nih.gov/38547537/" TargetMode="External" /><Relationship Type="http://schemas.openxmlformats.org/officeDocument/2006/relationships/hyperlink" Id="rId154" Target="https://pubmed.ncbi.nlm.nih.gov/39216879/" TargetMode="External" /><Relationship Type="http://schemas.openxmlformats.org/officeDocument/2006/relationships/hyperlink" Id="rId150" Target="https://pubmed.ncbi.nlm.nih.gov/39451432/" TargetMode="External" /><Relationship Type="http://schemas.openxmlformats.org/officeDocument/2006/relationships/hyperlink" Id="rId137" Target="https://pubmed.ncbi.nlm.nih.gov/39920074/" TargetMode="External" /><Relationship Type="http://schemas.openxmlformats.org/officeDocument/2006/relationships/hyperlink" Id="rId93" Target="https://pubmed.ncbi.nlm.nih.gov/40325655/" TargetMode="External" /><Relationship Type="http://schemas.openxmlformats.org/officeDocument/2006/relationships/hyperlink" Id="rId134" Target="https://pubmed.ncbi.nlm.nih.gov/40744898/" TargetMode="External" /><Relationship Type="http://schemas.openxmlformats.org/officeDocument/2006/relationships/hyperlink" Id="rId153" Target="https://pubmed.ncbi.nlm.nih.gov/41049082/" TargetMode="External" /><Relationship Type="http://schemas.openxmlformats.org/officeDocument/2006/relationships/hyperlink" Id="rId141" Target="https://pubmed.ncbi.nlm.nih.gov/41050145/" TargetMode="External" /><Relationship Type="http://schemas.openxmlformats.org/officeDocument/2006/relationships/hyperlink" Id="rId133" Target="https://pubmed.ncbi.nlm.nih.gov/41152887/" TargetMode="External" /><Relationship Type="http://schemas.openxmlformats.org/officeDocument/2006/relationships/hyperlink" Id="rId152" Target="https://pubmed.ncbi.nlm.nih.gov/41359127/" TargetMode="External" /><Relationship Type="http://schemas.openxmlformats.org/officeDocument/2006/relationships/hyperlink" Id="rId119" Target="https://pubmed.ncbi.nlm.nih.gov/41429981/" TargetMode="External" /><Relationship Type="http://schemas.openxmlformats.org/officeDocument/2006/relationships/hyperlink" Id="rId100" Target="https://pubmed.ncbi.nlm.nih.gov/41826212/" TargetMode="External" /><Relationship Type="http://schemas.openxmlformats.org/officeDocument/2006/relationships/hyperlink" Id="rId124" Target="https://pubmed.ncbi.nlm.nih.gov/41915908/" TargetMode="External" /><Relationship Type="http://schemas.openxmlformats.org/officeDocument/2006/relationships/hyperlink" Id="rId135" Target="https://pubmed.ncbi.nlm.nih.gov/42013636/" TargetMode="External" /><Relationship Type="http://schemas.openxmlformats.org/officeDocument/2006/relationships/hyperlink" Id="rId108" Target="https://pubmed.ncbi.nlm.nih.gov/42174297/" TargetMode="External" /><Relationship Type="http://schemas.openxmlformats.org/officeDocument/2006/relationships/hyperlink" Id="rId107" Target="https://pubmed.ncbi.nlm.nih.gov/42292559/" TargetMode="External" /></Relationships>
</file>

<file path=word/_rels/footnotes.xml.rels><?xml version="1.0" encoding="UTF-8"?><Relationships xmlns="http://schemas.openxmlformats.org/package/2006/relationships"><Relationship Type="http://schemas.openxmlformats.org/officeDocument/2006/relationships/hyperlink" Id="rId138" Target="https://pubmed.ncbi.nlm.nih.gov/11414776/" TargetMode="External" /><Relationship Type="http://schemas.openxmlformats.org/officeDocument/2006/relationships/hyperlink" Id="rId142" Target="https://pubmed.ncbi.nlm.nih.gov/12804484/" TargetMode="External" /><Relationship Type="http://schemas.openxmlformats.org/officeDocument/2006/relationships/hyperlink" Id="rId94" Target="https://pubmed.ncbi.nlm.nih.gov/13130460/" TargetMode="External" /><Relationship Type="http://schemas.openxmlformats.org/officeDocument/2006/relationships/hyperlink" Id="rId118" Target="https://pubmed.ncbi.nlm.nih.gov/15454722/" TargetMode="External" /><Relationship Type="http://schemas.openxmlformats.org/officeDocument/2006/relationships/hyperlink" Id="rId110" Target="https://pubmed.ncbi.nlm.nih.gov/16574519/" TargetMode="External" /><Relationship Type="http://schemas.openxmlformats.org/officeDocument/2006/relationships/hyperlink" Id="rId127" Target="https://pubmed.ncbi.nlm.nih.gov/16857687/" TargetMode="External" /><Relationship Type="http://schemas.openxmlformats.org/officeDocument/2006/relationships/hyperlink" Id="rId98" Target="https://pubmed.ncbi.nlm.nih.gov/19035419/" TargetMode="External" /><Relationship Type="http://schemas.openxmlformats.org/officeDocument/2006/relationships/hyperlink" Id="rId136" Target="https://pubmed.ncbi.nlm.nih.gov/19363489/" TargetMode="External" /><Relationship Type="http://schemas.openxmlformats.org/officeDocument/2006/relationships/hyperlink" Id="rId114" Target="https://pubmed.ncbi.nlm.nih.gov/19821388/" TargetMode="External" /><Relationship Type="http://schemas.openxmlformats.org/officeDocument/2006/relationships/hyperlink" Id="rId96" Target="https://pubmed.ncbi.nlm.nih.gov/20872595/" TargetMode="External" /><Relationship Type="http://schemas.openxmlformats.org/officeDocument/2006/relationships/hyperlink" Id="rId148" Target="https://pubmed.ncbi.nlm.nih.gov/21921156/" TargetMode="External" /><Relationship Type="http://schemas.openxmlformats.org/officeDocument/2006/relationships/hyperlink" Id="rId151" Target="https://pubmed.ncbi.nlm.nih.gov/23139428/" TargetMode="External" /><Relationship Type="http://schemas.openxmlformats.org/officeDocument/2006/relationships/hyperlink" Id="rId115" Target="https://pubmed.ncbi.nlm.nih.gov/23427807/" TargetMode="External" /><Relationship Type="http://schemas.openxmlformats.org/officeDocument/2006/relationships/hyperlink" Id="rId123" Target="https://pubmed.ncbi.nlm.nih.gov/23561068/" TargetMode="External" /><Relationship Type="http://schemas.openxmlformats.org/officeDocument/2006/relationships/hyperlink" Id="rId121" Target="https://pubmed.ncbi.nlm.nih.gov/23975674/" TargetMode="External" /><Relationship Type="http://schemas.openxmlformats.org/officeDocument/2006/relationships/hyperlink" Id="rId120" Target="https://pubmed.ncbi.nlm.nih.gov/24003249/" TargetMode="External" /><Relationship Type="http://schemas.openxmlformats.org/officeDocument/2006/relationships/hyperlink" Id="rId105" Target="https://pubmed.ncbi.nlm.nih.gov/24670133/" TargetMode="External" /><Relationship Type="http://schemas.openxmlformats.org/officeDocument/2006/relationships/hyperlink" Id="rId122" Target="https://pubmed.ncbi.nlm.nih.gov/25308290/" TargetMode="External" /><Relationship Type="http://schemas.openxmlformats.org/officeDocument/2006/relationships/hyperlink" Id="rId129" Target="https://pubmed.ncbi.nlm.nih.gov/25650874/" TargetMode="External" /><Relationship Type="http://schemas.openxmlformats.org/officeDocument/2006/relationships/hyperlink" Id="rId106" Target="https://pubmed.ncbi.nlm.nih.gov/25775286/" TargetMode="External" /><Relationship Type="http://schemas.openxmlformats.org/officeDocument/2006/relationships/hyperlink" Id="rId116" Target="https://pubmed.ncbi.nlm.nih.gov/26140821/" TargetMode="External" /><Relationship Type="http://schemas.openxmlformats.org/officeDocument/2006/relationships/hyperlink" Id="rId113" Target="https://pubmed.ncbi.nlm.nih.gov/26784398/" TargetMode="External" /><Relationship Type="http://schemas.openxmlformats.org/officeDocument/2006/relationships/hyperlink" Id="rId130" Target="https://pubmed.ncbi.nlm.nih.gov/27382171/" TargetMode="External" /><Relationship Type="http://schemas.openxmlformats.org/officeDocument/2006/relationships/hyperlink" Id="rId132" Target="https://pubmed.ncbi.nlm.nih.gov/28177937/" TargetMode="External" /><Relationship Type="http://schemas.openxmlformats.org/officeDocument/2006/relationships/hyperlink" Id="rId139" Target="https://pubmed.ncbi.nlm.nih.gov/28404610/" TargetMode="External" /><Relationship Type="http://schemas.openxmlformats.org/officeDocument/2006/relationships/hyperlink" Id="rId112" Target="https://pubmed.ncbi.nlm.nih.gov/28437846/" TargetMode="External" /><Relationship Type="http://schemas.openxmlformats.org/officeDocument/2006/relationships/hyperlink" Id="rId128" Target="https://pubmed.ncbi.nlm.nih.gov/28917998/" TargetMode="External" /><Relationship Type="http://schemas.openxmlformats.org/officeDocument/2006/relationships/hyperlink" Id="rId102" Target="https://pubmed.ncbi.nlm.nih.gov/28968703/" TargetMode="External" /><Relationship Type="http://schemas.openxmlformats.org/officeDocument/2006/relationships/hyperlink" Id="rId111" Target="https://pubmed.ncbi.nlm.nih.gov/29291895/" TargetMode="External" /><Relationship Type="http://schemas.openxmlformats.org/officeDocument/2006/relationships/hyperlink" Id="rId149" Target="https://pubmed.ncbi.nlm.nih.gov/29922913/" TargetMode="External" /><Relationship Type="http://schemas.openxmlformats.org/officeDocument/2006/relationships/hyperlink" Id="rId140" Target="https://pubmed.ncbi.nlm.nih.gov/29997112/" TargetMode="External" /><Relationship Type="http://schemas.openxmlformats.org/officeDocument/2006/relationships/hyperlink" Id="rId126" Target="https://pubmed.ncbi.nlm.nih.gov/30063798/" TargetMode="External" /><Relationship Type="http://schemas.openxmlformats.org/officeDocument/2006/relationships/hyperlink" Id="rId125" Target="https://pubmed.ncbi.nlm.nih.gov/30774209/" TargetMode="External" /><Relationship Type="http://schemas.openxmlformats.org/officeDocument/2006/relationships/hyperlink" Id="rId103" Target="https://pubmed.ncbi.nlm.nih.gov/31377829/" TargetMode="External" /><Relationship Type="http://schemas.openxmlformats.org/officeDocument/2006/relationships/hyperlink" Id="rId143" Target="https://pubmed.ncbi.nlm.nih.gov/32195851/" TargetMode="External" /><Relationship Type="http://schemas.openxmlformats.org/officeDocument/2006/relationships/hyperlink" Id="rId109" Target="https://pubmed.ncbi.nlm.nih.gov/32291467/" TargetMode="External" /><Relationship Type="http://schemas.openxmlformats.org/officeDocument/2006/relationships/hyperlink" Id="rId95" Target="https://pubmed.ncbi.nlm.nih.gov/34127054/" TargetMode="External" /><Relationship Type="http://schemas.openxmlformats.org/officeDocument/2006/relationships/hyperlink" Id="rId145" Target="https://pubmed.ncbi.nlm.nih.gov/35623448/" TargetMode="External" /><Relationship Type="http://schemas.openxmlformats.org/officeDocument/2006/relationships/hyperlink" Id="rId147" Target="https://pubmed.ncbi.nlm.nih.gov/35951745/" TargetMode="External" /><Relationship Type="http://schemas.openxmlformats.org/officeDocument/2006/relationships/hyperlink" Id="rId144" Target="https://pubmed.ncbi.nlm.nih.gov/36298234/" TargetMode="External" /><Relationship Type="http://schemas.openxmlformats.org/officeDocument/2006/relationships/hyperlink" Id="rId101" Target="https://pubmed.ncbi.nlm.nih.gov/36800137/" TargetMode="External" /><Relationship Type="http://schemas.openxmlformats.org/officeDocument/2006/relationships/hyperlink" Id="rId99" Target="https://pubmed.ncbi.nlm.nih.gov/37795020/" TargetMode="External" /><Relationship Type="http://schemas.openxmlformats.org/officeDocument/2006/relationships/hyperlink" Id="rId117" Target="https://pubmed.ncbi.nlm.nih.gov/37893596/" TargetMode="External" /><Relationship Type="http://schemas.openxmlformats.org/officeDocument/2006/relationships/hyperlink" Id="rId146" Target="https://pubmed.ncbi.nlm.nih.gov/38244899/" TargetMode="External" /><Relationship Type="http://schemas.openxmlformats.org/officeDocument/2006/relationships/hyperlink" Id="rId104" Target="https://pubmed.ncbi.nlm.nih.gov/38261795/" TargetMode="External" /><Relationship Type="http://schemas.openxmlformats.org/officeDocument/2006/relationships/hyperlink" Id="rId131" Target="https://pubmed.ncbi.nlm.nih.gov/38279410/" TargetMode="External" /><Relationship Type="http://schemas.openxmlformats.org/officeDocument/2006/relationships/hyperlink" Id="rId97" Target="https://pubmed.ncbi.nlm.nih.gov/38547537/" TargetMode="External" /><Relationship Type="http://schemas.openxmlformats.org/officeDocument/2006/relationships/hyperlink" Id="rId154" Target="https://pubmed.ncbi.nlm.nih.gov/39216879/" TargetMode="External" /><Relationship Type="http://schemas.openxmlformats.org/officeDocument/2006/relationships/hyperlink" Id="rId150" Target="https://pubmed.ncbi.nlm.nih.gov/39451432/" TargetMode="External" /><Relationship Type="http://schemas.openxmlformats.org/officeDocument/2006/relationships/hyperlink" Id="rId137" Target="https://pubmed.ncbi.nlm.nih.gov/39920074/" TargetMode="External" /><Relationship Type="http://schemas.openxmlformats.org/officeDocument/2006/relationships/hyperlink" Id="rId93" Target="https://pubmed.ncbi.nlm.nih.gov/40325655/" TargetMode="External" /><Relationship Type="http://schemas.openxmlformats.org/officeDocument/2006/relationships/hyperlink" Id="rId134" Target="https://pubmed.ncbi.nlm.nih.gov/40744898/" TargetMode="External" /><Relationship Type="http://schemas.openxmlformats.org/officeDocument/2006/relationships/hyperlink" Id="rId153" Target="https://pubmed.ncbi.nlm.nih.gov/41049082/" TargetMode="External" /><Relationship Type="http://schemas.openxmlformats.org/officeDocument/2006/relationships/hyperlink" Id="rId141" Target="https://pubmed.ncbi.nlm.nih.gov/41050145/" TargetMode="External" /><Relationship Type="http://schemas.openxmlformats.org/officeDocument/2006/relationships/hyperlink" Id="rId133" Target="https://pubmed.ncbi.nlm.nih.gov/41152887/" TargetMode="External" /><Relationship Type="http://schemas.openxmlformats.org/officeDocument/2006/relationships/hyperlink" Id="rId152" Target="https://pubmed.ncbi.nlm.nih.gov/41359127/" TargetMode="External" /><Relationship Type="http://schemas.openxmlformats.org/officeDocument/2006/relationships/hyperlink" Id="rId119" Target="https://pubmed.ncbi.nlm.nih.gov/41429981/" TargetMode="External" /><Relationship Type="http://schemas.openxmlformats.org/officeDocument/2006/relationships/hyperlink" Id="rId100" Target="https://pubmed.ncbi.nlm.nih.gov/41826212/" TargetMode="External" /><Relationship Type="http://schemas.openxmlformats.org/officeDocument/2006/relationships/hyperlink" Id="rId124" Target="https://pubmed.ncbi.nlm.nih.gov/41915908/" TargetMode="External" /><Relationship Type="http://schemas.openxmlformats.org/officeDocument/2006/relationships/hyperlink" Id="rId135" Target="https://pubmed.ncbi.nlm.nih.gov/42013636/" TargetMode="External" /><Relationship Type="http://schemas.openxmlformats.org/officeDocument/2006/relationships/hyperlink" Id="rId108" Target="https://pubmed.ncbi.nlm.nih.gov/42174297/" TargetMode="External" /><Relationship Type="http://schemas.openxmlformats.org/officeDocument/2006/relationships/hyperlink" Id="rId107" Target="https://pubmed.ncbi.nlm.nih.gov/422925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Artrite</dc:title>
  <dc:creator>Mobilitas — Direzione Osteopatica</dc:creator>
  <dc:language>it-IT</dc:language>
  <cp:keywords/>
  <dcterms:created xsi:type="dcterms:W3CDTF">2026-09-04T11:32:58Z</dcterms:created>
  <dcterms:modified xsi:type="dcterms:W3CDTF">2026-09-04T11:32:58Z</dcterms:modified>
</cp:coreProperties>
</file>

<file path=docProps/custom.xml><?xml version="1.0" encoding="utf-8"?>
<Properties xmlns="http://schemas.openxmlformats.org/officeDocument/2006/custom-properties" xmlns:vt="http://schemas.openxmlformats.org/officeDocument/2006/docPropsVTypes"/>
</file>