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20" w:name="mappa-concettuale-artrite"/>
    <w:p>
      <w:pPr>
        <w:pStyle w:val="Heading1"/>
      </w:pPr>
      <w:r>
        <w:t xml:space="preserve">Mappa concettuale — Artrite</w:t>
      </w:r>
    </w:p>
    <w:p>
      <w:pPr>
        <w:pStyle w:val="FirstParagraph"/>
      </w:pPr>
      <w:r>
        <w:rPr>
          <w:b/>
          <w:bCs/>
        </w:rPr>
        <w:t xml:space="preserve">Condizione:</w:t>
      </w:r>
      <w:r>
        <w:t xml:space="preserve"> </w:t>
      </w:r>
      <w:r>
        <w:t xml:space="preserve">artrite (forma di riferimento: artrite reumatoide) ·</w:t>
      </w:r>
      <w:r>
        <w:t xml:space="preserve"> </w:t>
      </w:r>
      <w:r>
        <w:rPr>
          <w:b/>
          <w:bCs/>
        </w:rPr>
        <w:t xml:space="preserve">Ancora clinica:</w:t>
      </w:r>
      <w:r>
        <w:t xml:space="preserve"> </w:t>
      </w:r>
      <w:r>
        <w:t xml:space="preserve">Sarah E. Lamb, Oxford ·</w:t>
      </w:r>
      <w:r>
        <w:t xml:space="preserve"> </w:t>
      </w:r>
      <w:r>
        <w:rPr>
          <w:b/>
          <w:bCs/>
        </w:rPr>
        <w:t xml:space="preserve">Ancora fisiologica:</w:t>
      </w:r>
      <w:r>
        <w:t xml:space="preserve"> </w:t>
      </w:r>
      <w:r>
        <w:t xml:space="preserve">Kevin J. Tracey, Feinstein Institutes ·</w:t>
      </w:r>
      <w:r>
        <w:t xml:space="preserve"> </w:t>
      </w:r>
      <w:r>
        <w:rPr>
          <w:b/>
          <w:bCs/>
        </w:rPr>
        <w:t xml:space="preserve">Versione:</w:t>
      </w:r>
      <w:r>
        <w:t xml:space="preserve"> </w:t>
      </w:r>
      <w:r>
        <w:t xml:space="preserve">v7 (revisione di lingua, 6º livello — versione finale) ·</w:t>
      </w:r>
      <w:r>
        <w:t xml:space="preserve"> </w:t>
      </w:r>
      <w:r>
        <w:rPr>
          <w:b/>
          <w:bCs/>
        </w:rPr>
        <w:t xml:space="preserve">Data:</w:t>
      </w:r>
      <w:r>
        <w:t xml:space="preserve"> </w:t>
      </w:r>
      <w:r>
        <w:t xml:space="preserve">4 settembre 2026</w:t>
      </w:r>
    </w:p>
    <w:p>
      <w:r>
        <w:pict>
          <v:rect style="width:0;height:1.5pt" o:hralign="center" o:hrstd="t" o:hr="t"/>
        </w:pict>
      </w:r>
    </w:p>
    <w:bookmarkStart w:id="9" w:name="la-condizione-in-tre-righe"/>
    <w:p>
      <w:pPr>
        <w:pStyle w:val="Heading2"/>
      </w:pPr>
      <w:r>
        <w:t xml:space="preserve">1 — La condizione in tre righe</w:t>
      </w:r>
    </w:p>
    <w:p>
      <w:pPr>
        <w:pStyle w:val="FirstParagraph"/>
      </w:pPr>
      <w:r>
        <w:t xml:space="preserve">Malattia autoimmune cronica che infiamma la membrana sinoviale ed erode le articolazioni. Colpisce tipicamente mani e piedi, in modo simmetrico. È</w:t>
      </w:r>
      <w:r>
        <w:t xml:space="preserve"> </w:t>
      </w:r>
      <w:r>
        <w:rPr>
          <w:b/>
          <w:bCs/>
        </w:rPr>
        <w:t xml:space="preserve">sistemica</w:t>
      </w:r>
      <w:r>
        <w:t xml:space="preserve">: il polmone è un organo bersaglio, e il rischio cardiovascolare è aumentato di circa il 50%.</w:t>
      </w:r>
      <w:r>
        <w:t xml:space="preserve"> </w:t>
      </w:r>
      <w:r>
        <w:t xml:space="preserve">Riguarda circa due persone su mille, e colpisce due volte e mezzo più le donne che gli uomini. La cura è farmacologica e reumatologica.</w:t>
      </w:r>
      <w:r>
        <w:t xml:space="preserve"> </w:t>
      </w:r>
      <w:r>
        <w:t xml:space="preserve">Non trattata progredisce verso l’erosione. Trattata, oscilla: riacutizzazione a una visita su sei. E in una persona su tre lascia un dolore inaccettabile a cinque anni.</w:t>
      </w:r>
    </w:p>
    <w:p>
      <w:r>
        <w:pict>
          <v:rect style="width:0;height:1.5pt" o:hralign="center" o:hrstd="t" o:hr="t"/>
        </w:pict>
      </w:r>
    </w:p>
    <w:bookmarkEnd w:id="9"/>
    <w:bookmarkStart w:id="10" w:name="la-catena-causale"/>
    <w:p>
      <w:pPr>
        <w:pStyle w:val="Heading2"/>
      </w:pPr>
      <w:r>
        <w:t xml:space="preserve">2 — La catena causale</w:t>
      </w:r>
    </w:p>
    <w:p>
      <w:pPr>
        <w:pStyle w:val="FirstParagraph"/>
      </w:pPr>
      <w:r>
        <w:rPr>
          <w:rStyle w:val="VerbatimChar"/>
        </w:rPr>
        <w:t xml:space="preserve">autoanticorpi → sinovia che prolifera → panno che erode osso e cartilagine → dolore e perdita di presa (mano) e di spinta (piede) → difesa muscolare e compensi intorno → dolore aggiunto, che il farmaco non tocca</w:t>
      </w:r>
    </w:p>
    <w:p>
      <w:r>
        <w:pict>
          <v:rect style="width:0;height:1.5pt" o:hralign="center" o:hrstd="t" o:hr="t"/>
        </w:pict>
      </w:r>
    </w:p>
    <w:bookmarkEnd w:id="10"/>
    <w:bookmarkStart w:id="11" w:name="i-meccanismi-e-quanto-sono-solidi"/>
    <w:p>
      <w:pPr>
        <w:pStyle w:val="Heading2"/>
      </w:pPr>
      <w:r>
        <w:t xml:space="preserve">3 — I meccanismi e quanto sono solidi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Come lo riconosci</w:t>
            </w:r>
          </w:p>
        </w:tc>
        <w:tc>
          <w:tcPr/>
          <w:p>
            <w:pPr>
              <w:pStyle w:val="Compact"/>
            </w:pPr>
            <w:r>
              <w:t xml:space="preserve">Quanto è solido</w:t>
            </w:r>
          </w:p>
        </w:tc>
      </w:tr>
      <w:tr>
        <w:tc>
          <w:tcPr/>
          <w:p>
            <w:pPr>
              <w:pStyle w:val="Compact"/>
            </w:pPr>
            <w:r>
              <w:t xml:space="preserve">La sinovia si mangia l’articolazione</w:t>
            </w:r>
          </w:p>
        </w:tc>
        <w:tc>
          <w:tcPr/>
          <w:p>
            <w:pPr>
              <w:pStyle w:val="Compact"/>
            </w:pPr>
            <w:r>
              <w:t xml:space="preserve">Gonfiore caldo, simmetria, indici mossi</w:t>
            </w:r>
          </w:p>
        </w:tc>
        <w:tc>
          <w:tcPr/>
          <w:p>
            <w:pPr>
              <w:pStyle w:val="Compact"/>
            </w:pPr>
            <w:r>
              <w:t xml:space="preserve">DIMOSTRATO</w:t>
            </w:r>
          </w:p>
        </w:tc>
      </w:tr>
      <w:tr>
        <w:tc>
          <w:tcPr/>
          <w:p>
            <w:pPr>
              <w:pStyle w:val="Compact"/>
            </w:pPr>
            <w:r>
              <w:t xml:space="preserve">Il dolore resta a infiammazione spenta</w:t>
            </w:r>
          </w:p>
        </w:tc>
        <w:tc>
          <w:tcPr/>
          <w:p>
            <w:pPr>
              <w:pStyle w:val="Compact"/>
            </w:pPr>
            <w:r>
              <w:t xml:space="preserve">Esami buoni, paziente che sta male</w:t>
            </w:r>
          </w:p>
        </w:tc>
        <w:tc>
          <w:tcPr/>
          <w:p>
            <w:pPr>
              <w:pStyle w:val="Compact"/>
            </w:pPr>
            <w:r>
              <w:t xml:space="preserve">DIMOSTRATO il fenomeno, PROBABILE il meccanismo</w:t>
            </w:r>
          </w:p>
        </w:tc>
      </w:tr>
      <w:tr>
        <w:tc>
          <w:tcPr/>
          <w:p>
            <w:pPr>
              <w:pStyle w:val="Compact"/>
            </w:pPr>
            <w:r>
              <w:t xml:space="preserve">La difesa si irrigidisce intorno</w:t>
            </w:r>
          </w:p>
        </w:tc>
        <w:tc>
          <w:tcPr/>
          <w:p>
            <w:pPr>
              <w:pStyle w:val="Compact"/>
            </w:pPr>
            <w:r>
              <w:t xml:space="preserve">Escursione persa fuori dalle sedi malate</w:t>
            </w:r>
          </w:p>
        </w:tc>
        <w:tc>
          <w:tcPr/>
          <w:p>
            <w:pPr>
              <w:pStyle w:val="Compact"/>
            </w:pPr>
            <w:r>
              <w:t xml:space="preserve">DIMOSTRATO il recupero, RAGIONAMENTO la catena</w:t>
            </w:r>
          </w:p>
        </w:tc>
      </w:tr>
      <w:tr>
        <w:tc>
          <w:tcPr/>
          <w:p>
            <w:pPr>
              <w:pStyle w:val="Compact"/>
            </w:pPr>
            <w:r>
              <w:t xml:space="preserve">Il corpo paga il conto altrove</w:t>
            </w:r>
          </w:p>
        </w:tc>
        <w:tc>
          <w:tcPr/>
          <w:p>
            <w:pPr>
              <w:pStyle w:val="Compact"/>
            </w:pPr>
            <w:r>
              <w:t xml:space="preserve">Dolore in sede nuova, gesti sostituiti, passo accorciato</w:t>
            </w:r>
          </w:p>
        </w:tc>
        <w:tc>
          <w:tcPr/>
          <w:p>
            <w:pPr>
              <w:pStyle w:val="Compact"/>
            </w:pPr>
            <w:r>
              <w:t xml:space="preserve">IPOTESI</w:t>
            </w:r>
          </w:p>
        </w:tc>
      </w:tr>
      <w:tr>
        <w:tc>
          <w:tcPr/>
          <w:p>
            <w:pPr>
              <w:pStyle w:val="Compact"/>
            </w:pPr>
            <w:r>
              <w:t xml:space="preserve">La notte non ripara</w:t>
            </w:r>
          </w:p>
        </w:tc>
        <w:tc>
          <w:tcPr/>
          <w:p>
            <w:pPr>
              <w:pStyle w:val="Compact"/>
            </w:pPr>
            <w:r>
              <w:t xml:space="preserve">Risvegli, peggio alle 7 e meglio alle 11, stanchezza</w:t>
            </w:r>
          </w:p>
        </w:tc>
        <w:tc>
          <w:tcPr/>
          <w:p>
            <w:pPr>
              <w:pStyle w:val="Compact"/>
            </w:pPr>
            <w:r>
              <w:t xml:space="preserve">PROBABILE l’onda notturna, IPOTESI le due componenti</w:t>
            </w:r>
          </w:p>
        </w:tc>
      </w:tr>
    </w:tbl>
    <w:p>
      <w:pPr>
        <w:pStyle w:val="BodyText"/>
      </w:pPr>
      <w:r>
        <w:rPr>
          <w:b/>
          <w:bCs/>
        </w:rPr>
        <w:t xml:space="preserve">Le tre caselle del dolore.</w:t>
      </w:r>
      <w:r>
        <w:t xml:space="preserve"> </w:t>
      </w:r>
      <w:r>
        <w:t xml:space="preserve">Nocicettivo = meccanismo 1. Nociplastico = meccanismo 2, e diventa il</w:t>
      </w:r>
      <w:r>
        <w:t xml:space="preserve"> </w:t>
      </w:r>
      <w:r>
        <w:rPr>
          <w:b/>
          <w:bCs/>
        </w:rPr>
        <w:t xml:space="preserve">sottotipo</w:t>
      </w:r>
      <w:r>
        <w:t xml:space="preserve"> </w:t>
      </w:r>
      <w:r>
        <w:t xml:space="preserve">«fibromialgia sovrapposta» solo con i criteri 2016 per intero.</w:t>
      </w:r>
      <w:r>
        <w:t xml:space="preserve"> </w:t>
      </w:r>
      <w:r>
        <w:rPr>
          <w:b/>
          <w:bCs/>
        </w:rPr>
        <w:t xml:space="preserve">Neuropatico</w:t>
      </w:r>
      <w:r>
        <w:t xml:space="preserve"> </w:t>
      </w:r>
      <w:r>
        <w:t xml:space="preserve">= mediano compresso al polso. È la causa più frequente di formicolii e destrezza che cala in questa mano, prima del collo alto.</w:t>
      </w:r>
    </w:p>
    <w:p>
      <w:r>
        <w:pict>
          <v:rect style="width:0;height:1.5pt" o:hralign="center" o:hrstd="t" o:hr="t"/>
        </w:pict>
      </w:r>
    </w:p>
    <w:bookmarkEnd w:id="11"/>
    <w:bookmarkStart w:id="12" w:name="i-sottotipi-e-chi-comanda"/>
    <w:p>
      <w:pPr>
        <w:pStyle w:val="Heading2"/>
      </w:pPr>
      <w:r>
        <w:t xml:space="preserve">4 — I sottotipi e chi comanda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Quanto puoi fare</w:t>
            </w:r>
          </w:p>
        </w:tc>
      </w:tr>
      <w:tr>
        <w:tc>
          <w:tcPr/>
          <w:p>
            <w:pPr>
              <w:pStyle w:val="Compact"/>
            </w:pPr>
            <w:r>
              <w:t xml:space="preserve">Riacutizzazione attiva</w:t>
            </w:r>
          </w:p>
        </w:tc>
        <w:tc>
          <w:tcPr/>
          <w:p>
            <w:pPr>
              <w:pStyle w:val="Compact"/>
            </w:pPr>
            <w:r>
              <w:t xml:space="preserve">Articolazioni calde, indici mossi</w:t>
            </w:r>
          </w:p>
        </w:tc>
        <w:tc>
          <w:tcPr/>
          <w:p>
            <w:pPr>
              <w:pStyle w:val="Compact"/>
            </w:pPr>
            <w:r>
              <w:t xml:space="preserve">Poco, e non sulle sedi</w:t>
            </w:r>
          </w:p>
        </w:tc>
      </w:tr>
      <w:tr>
        <w:tc>
          <w:tcPr/>
          <w:p>
            <w:pPr>
              <w:pStyle w:val="Compact"/>
            </w:pPr>
            <w:r>
              <w:t xml:space="preserve">Malattia controllata, dolore residuo</w:t>
            </w:r>
          </w:p>
        </w:tc>
        <w:tc>
          <w:tcPr/>
          <w:p>
            <w:pPr>
              <w:pStyle w:val="Compact"/>
            </w:pPr>
            <w:r>
              <w:t xml:space="preserve">Indici normali, dolore diffuso</w:t>
            </w:r>
          </w:p>
        </w:tc>
        <w:tc>
          <w:tcPr/>
          <w:p>
            <w:pPr>
              <w:pStyle w:val="Compact"/>
            </w:pPr>
            <w:r>
              <w:t xml:space="preserve">Molto</w:t>
            </w:r>
          </w:p>
        </w:tc>
      </w:tr>
      <w:tr>
        <w:tc>
          <w:tcPr/>
          <w:p>
            <w:pPr>
              <w:pStyle w:val="Compact"/>
            </w:pPr>
            <w:r>
              <w:t xml:space="preserve">Danno consolidato</w:t>
            </w:r>
          </w:p>
        </w:tc>
        <w:tc>
          <w:tcPr/>
          <w:p>
            <w:pPr>
              <w:pStyle w:val="Compact"/>
            </w:pPr>
            <w:r>
              <w:t xml:space="preserve">Deformità fissa, erosioni note</w:t>
            </w:r>
          </w:p>
        </w:tc>
        <w:tc>
          <w:tcPr/>
          <w:p>
            <w:pPr>
              <w:pStyle w:val="Compact"/>
            </w:pPr>
            <w:r>
              <w:t xml:space="preserve">Abbastanza, sulla funzione</w:t>
            </w:r>
          </w:p>
        </w:tc>
      </w:tr>
      <w:tr>
        <w:tc>
          <w:tcPr/>
          <w:p>
            <w:pPr>
              <w:pStyle w:val="Compact"/>
            </w:pPr>
            <w:r>
              <w:t xml:space="preserve">Fibromialgia sovrapposta (nociplastico)</w:t>
            </w:r>
          </w:p>
        </w:tc>
        <w:tc>
          <w:tcPr/>
          <w:p>
            <w:pPr>
              <w:pStyle w:val="Compact"/>
            </w:pPr>
            <w:r>
              <w:t xml:space="preserve">DAS28 alto senza sinovite</w:t>
            </w:r>
          </w:p>
        </w:tc>
        <w:tc>
          <w:tcPr/>
          <w:p>
            <w:pPr>
              <w:pStyle w:val="Compact"/>
            </w:pPr>
            <w:r>
              <w:t xml:space="preserve">Poco, e altra Bibbia</w:t>
            </w:r>
          </w:p>
        </w:tc>
      </w:tr>
      <w:tr>
        <w:tc>
          <w:tcPr/>
          <w:p>
            <w:pPr>
              <w:pStyle w:val="Compact"/>
            </w:pPr>
            <w:r>
              <w:t xml:space="preserve">Coinvolgimento cervicale alto</w:t>
            </w:r>
          </w:p>
        </w:tc>
        <w:tc>
          <w:tcPr/>
          <w:p>
            <w:pPr>
              <w:pStyle w:val="Compact"/>
            </w:pPr>
            <w:r>
              <w:t xml:space="preserve">Destrezza, formicolii, andatura</w:t>
            </w:r>
          </w:p>
        </w:tc>
        <w:tc>
          <w:tcPr/>
          <w:p>
            <w:pPr>
              <w:pStyle w:val="Compact"/>
            </w:pPr>
            <w:r>
              <w:rPr>
                <w:b/>
                <w:bCs/>
              </w:rPr>
              <w:t xml:space="preserve">Niente sul collo, il resto sì</w:t>
            </w:r>
          </w:p>
        </w:tc>
      </w:tr>
      <w:tr>
        <w:tc>
          <w:tcPr/>
          <w:p>
            <w:pPr>
              <w:pStyle w:val="Compact"/>
            </w:pPr>
            <w:r>
              <w:t xml:space="preserve">Discordanza monoarticolare</w:t>
            </w:r>
          </w:p>
        </w:tc>
        <w:tc>
          <w:tcPr/>
          <w:p>
            <w:pPr>
              <w:pStyle w:val="Compact"/>
            </w:pPr>
            <w:r>
              <w:t xml:space="preserve">Una grossa articolazione gonfia, resto spento</w:t>
            </w:r>
          </w:p>
        </w:tc>
        <w:tc>
          <w:tcPr/>
          <w:p>
            <w:pPr>
              <w:pStyle w:val="Compact"/>
            </w:pPr>
            <w:r>
              <w:t xml:space="preserve">Niente su quella sede, invio</w:t>
            </w:r>
          </w:p>
        </w:tc>
      </w:tr>
      <w:tr>
        <w:tc>
          <w:tcPr/>
          <w:p>
            <w:pPr>
              <w:pStyle w:val="Compact"/>
            </w:pPr>
            <w:r>
              <w:t xml:space="preserve">Esordio nell’anziano, fragile</w:t>
            </w:r>
          </w:p>
        </w:tc>
        <w:tc>
          <w:tcPr/>
          <w:p>
            <w:pPr>
              <w:pStyle w:val="Compact"/>
            </w:pPr>
            <w:r>
              <w:t xml:space="preserve">Over 65, cingoli, calo di peso, politerapia</w:t>
            </w:r>
          </w:p>
        </w:tc>
        <w:tc>
          <w:tcPr/>
          <w:p>
            <w:pPr>
              <w:pStyle w:val="Compact"/>
            </w:pPr>
            <w:r>
              <w:t xml:space="preserve">Poco, e con l’osso in mente</w:t>
            </w:r>
          </w:p>
        </w:tc>
      </w:tr>
    </w:tbl>
    <w:p>
      <w:pPr>
        <w:pStyle w:val="BodyText"/>
      </w:pPr>
      <w:r>
        <w:rPr>
          <w:b/>
          <w:bCs/>
        </w:rPr>
        <w:t xml:space="preserve">La soglia fra le due righe che si somigliano:</w:t>
      </w:r>
      <w:r>
        <w:t xml:space="preserve"> </w:t>
      </w:r>
      <w:r>
        <w:t xml:space="preserve">il dolore residuo diventa fibromialgia sovrapposta solo con i criteri 2016 soddisfatti</w:t>
      </w:r>
      <w:r>
        <w:t xml:space="preserve"> </w:t>
      </w:r>
      <w:r>
        <w:rPr>
          <w:b/>
          <w:bCs/>
        </w:rPr>
        <w:t xml:space="preserve">per intero</w:t>
      </w:r>
      <w:r>
        <w:t xml:space="preserve">.</w:t>
      </w:r>
    </w:p>
    <w:p>
      <w:r>
        <w:pict>
          <v:rect style="width:0;height:1.5pt" o:hralign="center" o:hrstd="t" o:hr="t"/>
        </w:pict>
      </w:r>
    </w:p>
    <w:bookmarkEnd w:id="12"/>
    <w:bookmarkStart w:id="13" w:name="i-marker-con-soglia-e-provenienza"/>
    <w:p>
      <w:pPr>
        <w:pStyle w:val="Heading2"/>
      </w:pPr>
      <w:r>
        <w:t xml:space="preserve">5 — I marker, con soglia e provenienza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Soglia</w:t>
            </w:r>
          </w:p>
        </w:tc>
        <w:tc>
          <w:tcPr/>
          <w:p>
            <w:pPr>
              <w:pStyle w:val="Compact"/>
            </w:pPr>
            <w:r>
              <w:t xml:space="preserve">Provenienza della soglia</w:t>
            </w:r>
          </w:p>
        </w:tc>
      </w:tr>
      <w:tr>
        <w:tc>
          <w:tcPr/>
          <w:p>
            <w:pPr>
              <w:pStyle w:val="Compact"/>
            </w:pPr>
            <w:r>
              <w:t xml:space="preserve">Forza di presa al dinamometro</w:t>
            </w:r>
          </w:p>
        </w:tc>
        <w:tc>
          <w:tcPr/>
          <w:p>
            <w:pPr>
              <w:pStyle w:val="Compact"/>
            </w:pPr>
            <w:r>
              <w:t xml:space="preserve">20% del suo basale</w:t>
            </w:r>
          </w:p>
        </w:tc>
        <w:tc>
          <w:tcPr/>
          <w:p>
            <w:pPr>
              <w:pStyle w:val="Compact"/>
            </w:pPr>
            <w:r>
              <w:t xml:space="preserve">Scelta interna dichiarata.</w:t>
            </w:r>
            <w:r>
              <w:t xml:space="preserve"> </w:t>
            </w:r>
            <w:r>
              <w:rPr>
                <w:b/>
                <w:bCs/>
              </w:rPr>
              <w:t xml:space="preserve">Non</w:t>
            </w:r>
            <w:r>
              <w:t xml:space="preserve"> </w:t>
            </w:r>
            <w:r>
              <w:t xml:space="preserve">la differenza minima pubblicata: 12 mesi del programma migliore spostano la presa di 1,4 kg</w:t>
            </w:r>
          </w:p>
        </w:tc>
      </w:tr>
      <w:tr>
        <w:tc>
          <w:tcPr/>
          <w:p>
            <w:pPr>
              <w:pStyle w:val="Compact"/>
            </w:pPr>
            <w:r>
              <w:t xml:space="preserve">Rotazione toracica da seduto</w:t>
            </w:r>
          </w:p>
        </w:tc>
        <w:tc>
          <w:tcPr/>
          <w:p>
            <w:pPr>
              <w:pStyle w:val="Compact"/>
            </w:pPr>
            <w:r>
              <w:t xml:space="preserve">10 gradi</w:t>
            </w:r>
          </w:p>
        </w:tc>
        <w:tc>
          <w:tcPr/>
          <w:p>
            <w:pPr>
              <w:pStyle w:val="Compact"/>
            </w:pPr>
            <w:r>
              <w:t xml:space="preserve">Errore di misura raddoppiato, dichiarato</w:t>
            </w:r>
          </w:p>
        </w:tc>
      </w:tr>
      <w:tr>
        <w:tc>
          <w:tcPr/>
          <w:p>
            <w:pPr>
              <w:pStyle w:val="Compact"/>
            </w:pPr>
            <w:r>
              <w:t xml:space="preserve">Distanza polpastrello-palmo</w:t>
            </w:r>
          </w:p>
        </w:tc>
        <w:tc>
          <w:tcPr/>
          <w:p>
            <w:pPr>
              <w:pStyle w:val="Compact"/>
            </w:pPr>
            <w:r>
              <w:t xml:space="preserve">1 cm</w:t>
            </w:r>
          </w:p>
        </w:tc>
        <w:tc>
          <w:tcPr/>
          <w:p>
            <w:pPr>
              <w:pStyle w:val="Compact"/>
            </w:pPr>
            <w:r>
              <w:t xml:space="preserve">Errore del righello raddoppiato, dichiarato</w:t>
            </w:r>
          </w:p>
        </w:tc>
      </w:tr>
      <w:tr>
        <w:tc>
          <w:tcPr/>
          <w:p>
            <w:pPr>
              <w:pStyle w:val="Compact"/>
            </w:pPr>
            <w:r>
              <w:t xml:space="preserve">Frequenza respiratoria a riposo</w:t>
            </w:r>
          </w:p>
        </w:tc>
        <w:tc>
          <w:tcPr/>
          <w:p>
            <w:pPr>
              <w:pStyle w:val="Compact"/>
            </w:pPr>
            <w:r>
              <w:t xml:space="preserve">3 atti/min sulla sua misura di partenza</w:t>
            </w:r>
          </w:p>
        </w:tc>
        <w:tc>
          <w:tcPr/>
          <w:p>
            <w:pPr>
              <w:pStyle w:val="Compact"/>
            </w:pPr>
            <w:r>
              <w:t xml:space="preserve">Variazione intra-paziente, nessuna soglia assoluta</w:t>
            </w:r>
          </w:p>
        </w:tc>
      </w:tr>
      <w:tr>
        <w:tc>
          <w:tcPr/>
          <w:p>
            <w:pPr>
              <w:pStyle w:val="Compact"/>
            </w:pPr>
            <w:r>
              <w:t xml:space="preserve">Cinque alzate cronometrate</w:t>
            </w:r>
          </w:p>
        </w:tc>
        <w:tc>
          <w:tcPr/>
          <w:p>
            <w:pPr>
              <w:pStyle w:val="Compact"/>
            </w:pPr>
            <w:r>
              <w:t xml:space="preserve">2 secondi</w:t>
            </w:r>
          </w:p>
        </w:tc>
        <w:tc>
          <w:tcPr/>
          <w:p>
            <w:pPr>
              <w:pStyle w:val="Compact"/>
            </w:pPr>
            <w:r>
              <w:t xml:space="preserve">Errore del cronometraggio raddoppiato, dichiarato</w:t>
            </w:r>
          </w:p>
        </w:tc>
      </w:tr>
    </w:tbl>
    <w:p>
      <w:pPr>
        <w:pStyle w:val="BodyText"/>
      </w:pPr>
      <w:r>
        <w:rPr>
          <w:b/>
          <w:bCs/>
        </w:rPr>
        <w:t xml:space="preserve">Piano trattato → marker che decide:</w:t>
      </w:r>
      <w:r>
        <w:t xml:space="preserve"> </w:t>
      </w:r>
      <w:r>
        <w:t xml:space="preserve">mano → rotazione toracica · cingolo e dorso → distanza polpastrello-palmo ·</w:t>
      </w:r>
      <w:r>
        <w:t xml:space="preserve"> </w:t>
      </w:r>
      <w:r>
        <w:rPr>
          <w:b/>
          <w:bCs/>
        </w:rPr>
        <w:t xml:space="preserve">attivazione → forza di presa</w:t>
      </w:r>
      <w:r>
        <w:t xml:space="preserve"> </w:t>
      </w:r>
      <w:r>
        <w:t xml:space="preserve">· piede e arto inferiore → rotazione toracica · mano e cingolo insieme → cinque alzate.</w:t>
      </w:r>
    </w:p>
    <w:p>
      <w:pPr>
        <w:pStyle w:val="BodyText"/>
      </w:pPr>
      <w:r>
        <w:rPr>
          <w:b/>
          <w:bCs/>
        </w:rPr>
        <w:t xml:space="preserve">Il Comportamentale non ha un marker fuori piano</w:t>
      </w:r>
      <w:r>
        <w:t xml:space="preserve">, e si dichiara invece di lasciarlo fuori in silenzio.</w:t>
      </w:r>
    </w:p>
    <w:p>
      <w:pPr>
        <w:pStyle w:val="BodyText"/>
      </w:pPr>
      <w:r>
        <w:rPr>
          <w:b/>
          <w:bCs/>
        </w:rPr>
        <w:t xml:space="preserve">La durata della rigidità mattutina non è un marker.</w:t>
      </w:r>
      <w:r>
        <w:t xml:space="preserve"> </w:t>
      </w:r>
      <w:r>
        <w:t xml:space="preserve">È il sintomo del paziente, ed è la misura di esito che conta di più. Si legge contro due sfondi:</w:t>
      </w:r>
      <w:r>
        <w:t xml:space="preserve"> </w:t>
      </w:r>
      <w:r>
        <w:rPr>
          <w:b/>
          <w:bCs/>
        </w:rPr>
        <w:t xml:space="preserve">l’ora dell’appuntamento</w:t>
      </w:r>
      <w:r>
        <w:t xml:space="preserve">, e la fase di malattia dichiarata prima di misurare.</w:t>
      </w:r>
    </w:p>
    <w:p>
      <w:r>
        <w:pict>
          <v:rect style="width:0;height:1.5pt" o:hralign="center" o:hrstd="t" o:hr="t"/>
        </w:pict>
      </w:r>
    </w:p>
    <w:bookmarkEnd w:id="13"/>
    <w:bookmarkStart w:id="14" w:name="il-ragionamento-in-stanza"/>
    <w:p>
      <w:pPr>
        <w:pStyle w:val="Heading2"/>
      </w:pPr>
      <w:r>
        <w:t xml:space="preserve">6 — Il ragionamento in stanza</w:t>
      </w:r>
    </w:p>
    <w:p>
      <w:pPr>
        <w:pStyle w:val="FirstParagraph"/>
      </w:pPr>
      <w:r>
        <w:t xml:space="preserve">Ordine dei modelli:</w:t>
      </w:r>
      <w:r>
        <w:t xml:space="preserve"> </w:t>
      </w:r>
      <w:r>
        <w:rPr>
          <w:b/>
          <w:bCs/>
        </w:rPr>
        <w:t xml:space="preserve">Neurologico → Comportamentale → Biomeccanico → Metabolico → Respiratorio</w:t>
      </w:r>
      <w:r>
        <w:t xml:space="preserve"> </w:t>
      </w:r>
      <w:r>
        <w:t xml:space="preserve">(accessorio, senza meccanismi propri).</w:t>
      </w:r>
    </w:p>
    <w:p>
      <w:pPr>
        <w:pStyle w:val="BodyText"/>
      </w:pPr>
      <w:r>
        <w:t xml:space="preserve">Otto passi: bandiere rosse →</w:t>
      </w:r>
      <w:r>
        <w:t xml:space="preserve"> </w:t>
      </w:r>
      <w:r>
        <w:rPr>
          <w:b/>
          <w:bCs/>
        </w:rPr>
        <w:t xml:space="preserve">oggi comanda la malattia?</w:t>
      </w:r>
      <w:r>
        <w:t xml:space="preserve"> </w:t>
      </w:r>
      <w:r>
        <w:t xml:space="preserve">(nel dubbio, sì) → collo alto interrogato, mai testato → sistema in allarme → cosa crede e cosa evita → ritmo delle giornate e sonno → meccanica ventilatoria → compensi in alto e in basso.</w:t>
      </w:r>
    </w:p>
    <w:p>
      <w:pPr>
        <w:pStyle w:val="BodyText"/>
      </w:pPr>
      <w:r>
        <w:rPr>
          <w:b/>
          <w:bCs/>
        </w:rPr>
        <w:t xml:space="preserve">Il bivio che decide il piano.</w:t>
      </w:r>
      <w:r>
        <w:t xml:space="preserve"> </w:t>
      </w:r>
      <w:r>
        <w:t xml:space="preserve">Compenso: sede fissa, legata a un gesto, migliora se il gesto cambia. Amplificazione: sede che migra, dolore a riposo, soglie basse fuori dalle articolazioni, sonno rotto.</w:t>
      </w:r>
    </w:p>
    <w:p>
      <w:pPr>
        <w:pStyle w:val="BodyText"/>
      </w:pPr>
      <w:r>
        <w:rPr>
          <w:b/>
          <w:bCs/>
        </w:rPr>
        <w:t xml:space="preserve">La regola «non trattare dove il paziente sente» qui è tolta, non attenuata.</w:t>
      </w:r>
      <w:r>
        <w:t xml:space="preserve"> </w:t>
      </w:r>
      <w:r>
        <w:t xml:space="preserve">Le sedi che fanno male sono già escluse per una ragione più forte: fase attiva, collo alto. E il lavoro si svolge dove il compenso ha ceduto. Resta intatta la regola di verifica:</w:t>
      </w:r>
      <w:r>
        <w:t xml:space="preserve"> </w:t>
      </w:r>
      <w:r>
        <w:rPr>
          <w:b/>
          <w:bCs/>
        </w:rPr>
        <w:t xml:space="preserve">il marker sta su un piano che non hai trattato.</w:t>
      </w:r>
    </w:p>
    <w:p>
      <w:r>
        <w:pict>
          <v:rect style="width:0;height:1.5pt" o:hralign="center" o:hrstd="t" o:hr="t"/>
        </w:pict>
      </w:r>
    </w:p>
    <w:bookmarkEnd w:id="14"/>
    <w:bookmarkStart w:id="15" w:name="le-bandiere-rosse"/>
    <w:p>
      <w:pPr>
        <w:pStyle w:val="Heading2"/>
      </w:pPr>
      <w:r>
        <w:t xml:space="preserve">7 — Le bandiere rosse</w:t>
      </w:r>
    </w:p>
    <w:p>
      <w:pPr>
        <w:pStyle w:val="Compact"/>
        <w:numPr>
          <w:ilvl w:val="0"/>
          <w:numId w:val="1001"/>
        </w:numPr>
      </w:pPr>
      <w:r>
        <w:t xml:space="preserve">Una o più articolazioni calde e gonfie da pochi giorni,</w:t>
      </w:r>
      <w:r>
        <w:t xml:space="preserve"> </w:t>
      </w:r>
      <w:r>
        <w:rPr>
          <w:b/>
          <w:bCs/>
        </w:rPr>
        <w:t xml:space="preserve">con o senza febbre</w:t>
      </w:r>
      <w:r>
        <w:t xml:space="preserve"> </w:t>
      </w:r>
      <w:r>
        <w:t xml:space="preserve">→ pronto soccorso →</w:t>
      </w:r>
      <w:r>
        <w:t xml:space="preserve"> </w:t>
      </w:r>
      <w:r>
        <w:rPr>
          <w:b/>
          <w:bCs/>
        </w:rPr>
        <w:t xml:space="preserve">112</w:t>
      </w:r>
    </w:p>
    <w:p>
      <w:pPr>
        <w:pStyle w:val="Compact"/>
        <w:numPr>
          <w:ilvl w:val="0"/>
          <w:numId w:val="1001"/>
        </w:numPr>
      </w:pPr>
      <w:r>
        <w:t xml:space="preserve">Occhio rosso e dolente, calo della vista → oculista o pronto soccorso →</w:t>
      </w:r>
      <w:r>
        <w:t xml:space="preserve"> </w:t>
      </w:r>
      <w:r>
        <w:rPr>
          <w:b/>
          <w:bCs/>
        </w:rPr>
        <w:t xml:space="preserve">entro 24 ore</w:t>
      </w:r>
    </w:p>
    <w:p>
      <w:pPr>
        <w:pStyle w:val="Compact"/>
        <w:numPr>
          <w:ilvl w:val="0"/>
          <w:numId w:val="1001"/>
        </w:numPr>
      </w:pPr>
      <w:r>
        <w:t xml:space="preserve">Febbre alta in terapia immunosoppressiva → curante o reumatologo →</w:t>
      </w:r>
      <w:r>
        <w:t xml:space="preserve"> </w:t>
      </w:r>
      <w:r>
        <w:rPr>
          <w:b/>
          <w:bCs/>
        </w:rPr>
        <w:t xml:space="preserve">in giornata</w:t>
      </w:r>
    </w:p>
    <w:p>
      <w:pPr>
        <w:pStyle w:val="Compact"/>
        <w:numPr>
          <w:ilvl w:val="0"/>
          <w:numId w:val="1001"/>
        </w:numPr>
      </w:pPr>
      <w:r>
        <w:t xml:space="preserve">Dolore toracico acuto → pronto soccorso →</w:t>
      </w:r>
      <w:r>
        <w:t xml:space="preserve"> </w:t>
      </w:r>
      <w:r>
        <w:rPr>
          <w:b/>
          <w:bCs/>
        </w:rPr>
        <w:t xml:space="preserve">112</w:t>
      </w:r>
    </w:p>
    <w:p>
      <w:pPr>
        <w:pStyle w:val="Compact"/>
        <w:numPr>
          <w:ilvl w:val="0"/>
          <w:numId w:val="1001"/>
        </w:numPr>
      </w:pPr>
      <w:r>
        <w:t xml:space="preserve">Affanno da sforzo nuovo o ingravescente, tosse secca persistente → curante e reumatologo →</w:t>
      </w:r>
      <w:r>
        <w:t xml:space="preserve"> </w:t>
      </w:r>
      <w:r>
        <w:rPr>
          <w:b/>
          <w:bCs/>
        </w:rPr>
        <w:t xml:space="preserve">entro 7 giorni</w:t>
      </w:r>
    </w:p>
    <w:p>
      <w:pPr>
        <w:pStyle w:val="Compact"/>
        <w:numPr>
          <w:ilvl w:val="0"/>
          <w:numId w:val="1001"/>
        </w:numPr>
      </w:pPr>
      <w:r>
        <w:t xml:space="preserve">Dolore dorsale o lombare nuovo e focale in cortisone prolungato → curante, per imaging →</w:t>
      </w:r>
      <w:r>
        <w:t xml:space="preserve"> </w:t>
      </w:r>
      <w:r>
        <w:rPr>
          <w:b/>
          <w:bCs/>
        </w:rPr>
        <w:t xml:space="preserve">non attendere; nessun contatto sul segmento</w:t>
      </w:r>
    </w:p>
    <w:p>
      <w:pPr>
        <w:pStyle w:val="Compact"/>
        <w:numPr>
          <w:ilvl w:val="0"/>
          <w:numId w:val="1001"/>
        </w:numPr>
      </w:pPr>
      <w:r>
        <w:t xml:space="preserve">Segni neurologici da collo alto → reumatologo e neurochirurgo →</w:t>
      </w:r>
      <w:r>
        <w:t xml:space="preserve"> </w:t>
      </w:r>
      <w:r>
        <w:rPr>
          <w:b/>
          <w:bCs/>
        </w:rPr>
        <w:t xml:space="preserve">non attendere</w:t>
      </w:r>
    </w:p>
    <w:p>
      <w:pPr>
        <w:pStyle w:val="Compact"/>
        <w:numPr>
          <w:ilvl w:val="0"/>
          <w:numId w:val="1001"/>
        </w:numPr>
      </w:pPr>
      <w:r>
        <w:t xml:space="preserve">Dito che smette di estendersi → reumatologo →</w:t>
      </w:r>
      <w:r>
        <w:t xml:space="preserve"> </w:t>
      </w:r>
      <w:r>
        <w:rPr>
          <w:b/>
          <w:bCs/>
        </w:rPr>
        <w:t xml:space="preserve">non attendere</w:t>
      </w:r>
    </w:p>
    <w:p>
      <w:pPr>
        <w:pStyle w:val="Compact"/>
        <w:numPr>
          <w:ilvl w:val="0"/>
          <w:numId w:val="1001"/>
        </w:numPr>
      </w:pPr>
      <w:r>
        <w:t xml:space="preserve">Peggioramento rapido nonostante la terapia → reumatologo →</w:t>
      </w:r>
      <w:r>
        <w:t xml:space="preserve"> </w:t>
      </w:r>
      <w:r>
        <w:rPr>
          <w:b/>
          <w:bCs/>
        </w:rPr>
        <w:t xml:space="preserve">entro 7 giorni</w:t>
      </w:r>
    </w:p>
    <w:p>
      <w:pPr>
        <w:pStyle w:val="Compact"/>
        <w:numPr>
          <w:ilvl w:val="0"/>
          <w:numId w:val="1001"/>
        </w:numPr>
      </w:pPr>
      <w:r>
        <w:t xml:space="preserve">Sinovite persistente senza diagnosi → reumatologo →</w:t>
      </w:r>
      <w:r>
        <w:t xml:space="preserve"> </w:t>
      </w:r>
      <w:r>
        <w:rPr>
          <w:b/>
          <w:bCs/>
        </w:rPr>
        <w:t xml:space="preserve">invio urgente, entro 3 giorni</w:t>
      </w:r>
      <w:r>
        <w:t xml:space="preserve"> </w:t>
      </w:r>
      <w:r>
        <w:t xml:space="preserve">(mai GIALLO)</w:t>
      </w:r>
    </w:p>
    <w:p>
      <w:pPr>
        <w:pStyle w:val="FirstParagraph"/>
      </w:pPr>
      <w:r>
        <w:rPr>
          <w:b/>
          <w:bCs/>
        </w:rPr>
        <w:t xml:space="preserve">Regime d’uso:</w:t>
      </w:r>
      <w:r>
        <w:t xml:space="preserve"> </w:t>
      </w:r>
      <w:r>
        <w:t xml:space="preserve">è una rete, non un filtro. Una riga presente ti fa fermare. Tutte assenti non ti autorizzano a escludere niente.</w:t>
      </w:r>
    </w:p>
    <w:p>
      <w:r>
        <w:pict>
          <v:rect style="width:0;height:1.5pt" o:hralign="center" o:hrstd="t" o:hr="t"/>
        </w:pict>
      </w:r>
    </w:p>
    <w:bookmarkEnd w:id="15"/>
    <w:bookmarkStart w:id="16" w:name="la-sicurezza-del-gesto"/>
    <w:p>
      <w:pPr>
        <w:pStyle w:val="Heading2"/>
      </w:pPr>
      <w:r>
        <w:t xml:space="preserve">8 — La sicurezza del gesto</w:t>
      </w:r>
    </w:p>
    <w:p>
      <w:pPr>
        <w:pStyle w:val="FirstParagraph"/>
      </w:pPr>
      <w:r>
        <w:rPr>
          <w:b/>
          <w:bCs/>
        </w:rPr>
        <w:t xml:space="preserve">Mai tecniche a leva o ad alta velocità sul rachide cervicale</w:t>
      </w:r>
      <w:r>
        <w:t xml:space="preserve">, in nessuna fase e con qualunque esame in mano. L’instabilità atlanto-assiale è frequente ed è</w:t>
      </w:r>
      <w:r>
        <w:t xml:space="preserve"> </w:t>
      </w:r>
      <w:r>
        <w:rPr>
          <w:b/>
          <w:bCs/>
        </w:rPr>
        <w:t xml:space="preserve">muta in un paziente su tre</w:t>
      </w:r>
      <w:r>
        <w:t xml:space="preserve">.</w:t>
      </w:r>
      <w:r>
        <w:t xml:space="preserve"> </w:t>
      </w:r>
      <w:r>
        <w:rPr>
          <w:b/>
          <w:bCs/>
        </w:rPr>
        <w:t xml:space="preserve">E non è solo l’impulso: è la posizione.</w:t>
      </w:r>
      <w:r>
        <w:t xml:space="preserve"> </w:t>
      </w:r>
      <w:r>
        <w:t xml:space="preserve">Niente flessione sostenuta del collo alto, cioè foro-viso, cuscino alto, lavoro sui tessuti molli, base cranica con il mento allo sterno. Nessun test di stress legamentoso, Sharp-Purser compreso.</w:t>
      </w:r>
      <w:r>
        <w:t xml:space="preserve"> </w:t>
      </w:r>
      <w:r>
        <w:rPr>
          <w:b/>
          <w:bCs/>
        </w:rPr>
        <w:t xml:space="preserve">Il dorso medio, T4-T10, è la zona più pericolosa del documento.</w:t>
      </w:r>
      <w:r>
        <w:t xml:space="preserve"> </w:t>
      </w:r>
      <w:r>
        <w:t xml:space="preserve">È dove lavori di più, ed è dove un paziente su tre ha una vertebra già ceduta senza saperlo. L’osso fragile è della malattia, non solo del cortisone.</w:t>
      </w:r>
      <w:r>
        <w:t xml:space="preserve"> </w:t>
      </w:r>
      <w:r>
        <w:rPr>
          <w:b/>
          <w:bCs/>
        </w:rPr>
        <w:t xml:space="preserve">In basso c’è una seconda frattura silenziosa.</w:t>
      </w:r>
      <w:r>
        <w:t xml:space="preserve"> </w:t>
      </w:r>
      <w:r>
        <w:t xml:space="preserve">In metotrexato di lunga durata, un dolore atraumatico di calcagno, caviglia o gamba è un’osteopatia da metotrexato fino a prova contraria, non un compenso del piede.</w:t>
      </w:r>
      <w:r>
        <w:t xml:space="preserve"> </w:t>
      </w:r>
      <w:r>
        <w:rPr>
          <w:b/>
          <w:bCs/>
        </w:rPr>
        <w:t xml:space="preserve">Mai lavoro sulle articolazioni in fase infiammatoria attiva:</w:t>
      </w:r>
      <w:r>
        <w:t xml:space="preserve"> </w:t>
      </w:r>
      <w:r>
        <w:t xml:space="preserve">non si abbassa la dose, si cambia sede.</w:t>
      </w:r>
    </w:p>
    <w:p>
      <w:r>
        <w:pict>
          <v:rect style="width:0;height:1.5pt" o:hralign="center" o:hrstd="t" o:hr="t"/>
        </w:pict>
      </w:r>
    </w:p>
    <w:bookmarkEnd w:id="16"/>
    <w:bookmarkStart w:id="17" w:name="Xa63042a7d3f60c2027c8c7a1dcf958dffe10f60"/>
    <w:p>
      <w:pPr>
        <w:pStyle w:val="Heading2"/>
      </w:pPr>
      <w:r>
        <w:t xml:space="preserve">9 — Le leve attive del documento, e nessuna passa dalle tue mani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Leva</w:t>
            </w:r>
          </w:p>
        </w:tc>
        <w:tc>
          <w:tcPr/>
          <w:p>
            <w:pPr>
              <w:pStyle w:val="Compact"/>
            </w:pPr>
            <w:r>
              <w:t xml:space="preserve">Effetto misurato</w:t>
            </w:r>
          </w:p>
        </w:tc>
        <w:tc>
          <w:tcPr/>
          <w:p>
            <w:pPr>
              <w:pStyle w:val="Compact"/>
            </w:pPr>
            <w:r>
              <w:t xml:space="preserve">Solidità</w:t>
            </w:r>
          </w:p>
        </w:tc>
        <w:tc>
          <w:tcPr/>
          <w:p>
            <w:pPr>
              <w:pStyle w:val="Compact"/>
            </w:pPr>
            <w:r>
              <w:t xml:space="preserve">Chi la eroga</w:t>
            </w:r>
          </w:p>
        </w:tc>
      </w:tr>
      <w:tr>
        <w:tc>
          <w:tcPr/>
          <w:p>
            <w:pPr>
              <w:pStyle w:val="Compact"/>
            </w:pPr>
            <w:r>
              <w:t xml:space="preserve">Esercizio della mano</w:t>
            </w:r>
          </w:p>
        </w:tc>
        <w:tc>
          <w:tcPr/>
          <w:p>
            <w:pPr>
              <w:pStyle w:val="Compact"/>
            </w:pPr>
            <w:r>
              <w:t xml:space="preserve">+4,3 punti di funzione a 12 mesi su 490 adulti, cioè</w:t>
            </w:r>
            <w:r>
              <w:t xml:space="preserve"> </w:t>
            </w:r>
            <w:r>
              <w:rPr>
                <w:b/>
                <w:bCs/>
              </w:rPr>
              <w:t xml:space="preserve">4-5% assoluto, «beneficio clinico minimo»</w:t>
            </w:r>
            <w:r>
              <w:t xml:space="preserve">;</w:t>
            </w:r>
            <w:r>
              <w:t xml:space="preserve"> </w:t>
            </w:r>
            <w:r>
              <w:rPr>
                <w:b/>
                <w:bCs/>
              </w:rPr>
              <w:t xml:space="preserve">nessun effetto sul dolore nella malattia stabilizzata</w:t>
            </w:r>
            <w:r>
              <w:t xml:space="preserve">; differenza sparita a 26 mesi col calo dell’aderenza</w:t>
            </w:r>
          </w:p>
        </w:tc>
        <w:tc>
          <w:tcPr/>
          <w:p>
            <w:pPr>
              <w:pStyle w:val="Compact"/>
            </w:pPr>
            <w:r>
              <w:t xml:space="preserve">DIMOSTRATO</w:t>
            </w:r>
          </w:p>
        </w:tc>
        <w:tc>
          <w:tcPr/>
          <w:p>
            <w:pPr>
              <w:pStyle w:val="Compact"/>
            </w:pPr>
            <w:r>
              <w:t xml:space="preserve">Fisioterapista, terapista occupazionale</w:t>
            </w:r>
          </w:p>
        </w:tc>
      </w:tr>
      <w:tr>
        <w:tc>
          <w:tcPr/>
          <w:p>
            <w:pPr>
              <w:pStyle w:val="Compact"/>
            </w:pPr>
            <w:r>
              <w:t xml:space="preserve">Aerobico + forza</w:t>
            </w:r>
          </w:p>
        </w:tc>
        <w:tc>
          <w:tcPr/>
          <w:p>
            <w:pPr>
              <w:pStyle w:val="Compact"/>
            </w:pPr>
            <w:r>
              <w:t xml:space="preserve">Capacità e forza migliorate, nessun danno rilevato; nessun aumento del danno radiografico salvo grandi articolazioni già danneggiate</w:t>
            </w:r>
          </w:p>
        </w:tc>
        <w:tc>
          <w:tcPr/>
          <w:p>
            <w:pPr>
              <w:pStyle w:val="Compact"/>
            </w:pPr>
            <w:r>
              <w:t xml:space="preserve">DIMOSTRATO</w:t>
            </w:r>
          </w:p>
        </w:tc>
        <w:tc>
          <w:tcPr/>
          <w:p>
            <w:pPr>
              <w:pStyle w:val="Compact"/>
            </w:pPr>
            <w:r>
              <w:t xml:space="preserve">Chi costruisce il programma</w:t>
            </w:r>
          </w:p>
        </w:tc>
      </w:tr>
      <w:tr>
        <w:tc>
          <w:tcPr/>
          <w:p>
            <w:pPr>
              <w:pStyle w:val="Compact"/>
            </w:pPr>
            <w:r>
              <w:t xml:space="preserve">Attività fisica sulla stanchezza</w:t>
            </w:r>
          </w:p>
        </w:tc>
        <w:tc>
          <w:tcPr/>
          <w:p>
            <w:pPr>
              <w:pStyle w:val="Compact"/>
            </w:pPr>
            <w:r>
              <w:t xml:space="preserve">−14,4 punti su 100, NNT 7, qualità moderata</w:t>
            </w:r>
          </w:p>
        </w:tc>
        <w:tc>
          <w:tcPr/>
          <w:p>
            <w:pPr>
              <w:pStyle w:val="Compact"/>
            </w:pPr>
            <w:r>
              <w:t xml:space="preserve">DIMOSTRATO</w:t>
            </w:r>
          </w:p>
        </w:tc>
        <w:tc>
          <w:tcPr/>
          <w:p>
            <w:pPr>
              <w:pStyle w:val="Compact"/>
            </w:pPr>
            <w:r>
              <w:t xml:space="preserve">Non tu</w:t>
            </w:r>
          </w:p>
        </w:tc>
      </w:tr>
      <w:tr>
        <w:tc>
          <w:tcPr/>
          <w:p>
            <w:pPr>
              <w:pStyle w:val="Compact"/>
            </w:pPr>
            <w:r>
              <w:t xml:space="preserve">Interventi psicosociali</w:t>
            </w:r>
          </w:p>
        </w:tc>
        <w:tc>
          <w:tcPr/>
          <w:p>
            <w:pPr>
              <w:pStyle w:val="Compact"/>
            </w:pPr>
            <w:r>
              <w:t xml:space="preserve">−9,6 punti su 100, NNT 10, qualità</w:t>
            </w:r>
            <w:r>
              <w:t xml:space="preserve"> </w:t>
            </w:r>
            <w:r>
              <w:rPr>
                <w:b/>
                <w:bCs/>
              </w:rPr>
              <w:t xml:space="preserve">bassa</w:t>
            </w:r>
            <w:r>
              <w:t xml:space="preserve">; l’educazione da sola non regge all’ultimo controllo</w:t>
            </w:r>
          </w:p>
        </w:tc>
        <w:tc>
          <w:tcPr/>
          <w:p>
            <w:pPr>
              <w:pStyle w:val="Compact"/>
            </w:pPr>
            <w:r>
              <w:t xml:space="preserve">PROBABILE</w:t>
            </w:r>
          </w:p>
        </w:tc>
        <w:tc>
          <w:tcPr/>
          <w:p>
            <w:pPr>
              <w:pStyle w:val="Compact"/>
            </w:pPr>
            <w:r>
              <w:t xml:space="preserve">Psicologi, terapisti formati</w:t>
            </w:r>
          </w:p>
        </w:tc>
      </w:tr>
      <w:tr>
        <w:tc>
          <w:tcPr/>
          <w:p>
            <w:pPr>
              <w:pStyle w:val="Compact"/>
            </w:pPr>
            <w:r>
              <w:t xml:space="preserve">Sonno preso come bersaglio (CBT-I)</w:t>
            </w:r>
          </w:p>
        </w:tc>
        <w:tc>
          <w:tcPr/>
          <w:p>
            <w:pPr>
              <w:pStyle w:val="Compact"/>
            </w:pPr>
            <w:r>
              <w:t xml:space="preserve">Esito primario</w:t>
            </w:r>
            <w:r>
              <w:t xml:space="preserve"> </w:t>
            </w:r>
            <w:r>
              <w:rPr>
                <w:b/>
                <w:bCs/>
              </w:rPr>
              <w:t xml:space="preserve">mancato</w:t>
            </w:r>
            <w:r>
              <w:t xml:space="preserve"> </w:t>
            </w:r>
            <w:r>
              <w:t xml:space="preserve">alla polisonnografia (88,7% vs 83,7%, p = 0,068); tutti gli esiti riferiti migliorati (p &lt; 0,0001), 62 pazienti</w:t>
            </w:r>
          </w:p>
        </w:tc>
        <w:tc>
          <w:tcPr/>
          <w:p>
            <w:pPr>
              <w:pStyle w:val="Compact"/>
            </w:pPr>
            <w:r>
              <w:t xml:space="preserve">PROBABILE</w:t>
            </w:r>
          </w:p>
        </w:tc>
        <w:tc>
          <w:tcPr/>
          <w:p>
            <w:pPr>
              <w:pStyle w:val="Compact"/>
            </w:pPr>
            <w:r>
              <w:t xml:space="preserve">Infermieri formati, in gruppo</w:t>
            </w:r>
          </w:p>
        </w:tc>
      </w:tr>
    </w:tbl>
    <w:p>
      <w:pPr>
        <w:pStyle w:val="BodyText"/>
      </w:pPr>
      <w:r>
        <w:rPr>
          <w:b/>
          <w:bCs/>
        </w:rPr>
        <w:t xml:space="preserve">Il tuo atto:</w:t>
      </w:r>
      <w:r>
        <w:t xml:space="preserve"> </w:t>
      </w:r>
      <w:r>
        <w:t xml:space="preserve">riconoscere, spiegare, indirizzare. E porre la domanda sul collo alto anche prima di mandare.</w:t>
      </w:r>
    </w:p>
    <w:p>
      <w:pPr>
        <w:pStyle w:val="BodyText"/>
      </w:pPr>
      <w:r>
        <w:rPr>
          <w:b/>
          <w:bCs/>
        </w:rPr>
        <w:t xml:space="preserve">Una parola da non perdere:</w:t>
      </w:r>
      <w:r>
        <w:t xml:space="preserve"> </w:t>
      </w:r>
      <w:r>
        <w:t xml:space="preserve">le mani non abbassano gli indici di infiammazione</w:t>
      </w:r>
      <w:r>
        <w:t xml:space="preserve"> </w:t>
      </w:r>
      <w:r>
        <w:rPr>
          <w:b/>
          <w:bCs/>
        </w:rPr>
        <w:t xml:space="preserve">sistemici</w:t>
      </w:r>
      <w:r>
        <w:t xml:space="preserve">. L’unico studio con braccio simulato in questa malattia è positivo su indici</w:t>
      </w:r>
      <w:r>
        <w:t xml:space="preserve"> </w:t>
      </w:r>
      <w:r>
        <w:rPr>
          <w:b/>
          <w:bCs/>
        </w:rPr>
        <w:t xml:space="preserve">ecografici locali</w:t>
      </w:r>
      <w:r>
        <w:t xml:space="preserve">, con sette pazienti per braccio (Özçelep 2025, PMID 41152887).</w:t>
      </w:r>
    </w:p>
    <w:p>
      <w:pPr>
        <w:pStyle w:val="BodyText"/>
      </w:pPr>
      <w:r>
        <w:rPr>
          <w:b/>
          <w:bCs/>
        </w:rPr>
        <w:t xml:space="preserve">Il respiro fatto dal paziente non è in questa lista</w:t>
      </w:r>
      <w:r>
        <w:t xml:space="preserve">, ma il vuoto è più stretto di così. Un randomizzato del respiro come intervento non esiste. Però in questi stessi pazienti la respirazione profonda alza la variabilità cardiaca quanto la stimolazione elettrica dell’orecchio (Rovsing 2021, PMID 32195851; Jensen 2022, PMID 36298234) — senza braccio di controllo, e su un indice</w:t>
      </w:r>
      <w:r>
        <w:t xml:space="preserve"> </w:t>
      </w:r>
      <w:r>
        <w:rPr>
          <w:b/>
          <w:bCs/>
        </w:rPr>
        <w:t xml:space="preserve">cardiaco</w:t>
      </w:r>
      <w:r>
        <w:t xml:space="preserve">, che non è il braccio antinfiammatorio. Resta un tuo gesto e un tuo marker.</w:t>
      </w:r>
    </w:p>
    <w:p>
      <w:pPr>
        <w:pStyle w:val="BodyText"/>
      </w:pPr>
      <w:r>
        <w:rPr>
          <w:b/>
          <w:bCs/>
        </w:rPr>
        <w:t xml:space="preserve">L’unica leva manuale che sale sopra IPOTESI è ventilatoria.</w:t>
      </w:r>
      <w:r>
        <w:t xml:space="preserve"> </w:t>
      </w:r>
      <w:r>
        <w:t xml:space="preserve">Rilascio del diaframma più aerobico contro solo aerobico, su 80 donne: capacità vitale forzata +3,99%, escursione diaframmatica +7,5 mm (Elgayar 2026, PMID 41915908).</w:t>
      </w:r>
      <w:r>
        <w:t xml:space="preserve"> </w:t>
      </w:r>
      <w:r>
        <w:rPr>
          <w:b/>
          <w:bCs/>
        </w:rPr>
        <w:t xml:space="preserve">PROBABILE</w:t>
      </w:r>
      <w:r>
        <w:t xml:space="preserve">, su esiti ventilatori, non sul dolore. Marker che decide: distanza polpastrello-palmo, 1 cm.</w:t>
      </w:r>
    </w:p>
    <w:p>
      <w:pPr>
        <w:pStyle w:val="BodyText"/>
      </w:pPr>
      <w:r>
        <w:rPr>
          <w:b/>
          <w:bCs/>
        </w:rPr>
        <w:t xml:space="preserve">Il plantare non è una leva sicura.</w:t>
      </w:r>
      <w:r>
        <w:t xml:space="preserve"> </w:t>
      </w:r>
      <w:r>
        <w:t xml:space="preserve">Due sintesi sugli stessi trial si contraddicono, e sulla calzatura non esiste letteratura da dieci anni (Gijon-Nogueron 2018, PMID 29922913; Cabrera-Sánchez 2024, PMID 39451432). Guardare la suola è un reperto; raccomandare l’ortesi è un’altra cosa.</w:t>
      </w:r>
    </w:p>
    <w:p>
      <w:r>
        <w:pict>
          <v:rect style="width:0;height:1.5pt" o:hralign="center" o:hrstd="t" o:hr="t"/>
        </w:pict>
      </w:r>
    </w:p>
    <w:bookmarkEnd w:id="17"/>
    <w:bookmarkStart w:id="18" w:name="la-frase-per-il-paziente"/>
    <w:p>
      <w:pPr>
        <w:pStyle w:val="Heading2"/>
      </w:pPr>
      <w:r>
        <w:t xml:space="preserve">10 — La frase per il paziente</w:t>
      </w:r>
    </w:p>
    <w:p>
      <w:pPr>
        <w:pStyle w:val="FirstParagraph"/>
      </w:pPr>
      <w:r>
        <w:rPr>
          <w:i/>
          <w:iCs/>
        </w:rPr>
        <w:t xml:space="preserve">«La sua malattia la cura il suo reumatologo, e quella terapia non si tocca. Io mi occupo delle difese che il corpo</w:t>
      </w:r>
      <w:r>
        <w:rPr>
          <w:i/>
          <w:iCs/>
        </w:rPr>
        <w:t xml:space="preserve"> </w:t>
      </w:r>
      <w:r>
        <w:rPr>
          <w:b/>
          <w:bCs/>
          <w:i/>
          <w:iCs/>
        </w:rPr>
        <w:t xml:space="preserve">spesso</w:t>
      </w:r>
      <w:r>
        <w:rPr>
          <w:i/>
          <w:iCs/>
        </w:rPr>
        <w:t xml:space="preserve"> </w:t>
      </w:r>
      <w:r>
        <w:rPr>
          <w:i/>
          <w:iCs/>
        </w:rPr>
        <w:t xml:space="preserve">costruisce intorno alle articolazioni: si irrigidisce, sposta il lavoro altrove, respira più corto, dorme peggio. Quando le trovo, e le misuro, sono il mio campo; se non le trovo, non ho niente da trattare e glielo dico. Non lavoro sulle articolazioni infiammate: lavoro intorno. E misuriamo insieme, prima e dopo.»</w:t>
      </w:r>
    </w:p>
    <w:p>
      <w:pPr>
        <w:pStyle w:val="BodyText"/>
      </w:pPr>
      <w:r>
        <w:rPr>
          <w:b/>
          <w:bCs/>
        </w:rPr>
        <w:t xml:space="preserve">Cosa deve riconoscere lui, quando non ci sei:</w:t>
      </w:r>
      <w:r>
        <w:t xml:space="preserve"> </w:t>
      </w:r>
      <w:r>
        <w:t xml:space="preserve">articolazioni calde e rosse in pochi giorni → 112 · febbre alta in terapia → in giornata · dito che non si estende → subito · formicolii nuovi, destrezza, andatura → subito · affanno nuovo o tosse secca che non passa → subito ·</w:t>
      </w:r>
      <w:r>
        <w:t xml:space="preserve"> </w:t>
      </w:r>
      <w:r>
        <w:rPr>
          <w:b/>
          <w:bCs/>
        </w:rPr>
        <w:t xml:space="preserve">occhio rosso che fa male o vista che cala → entro 24 ore</w:t>
      </w:r>
      <w:r>
        <w:t xml:space="preserve">.</w:t>
      </w:r>
    </w:p>
    <w:p>
      <w:r>
        <w:pict>
          <v:rect style="width:0;height:1.5pt" o:hralign="center" o:hrstd="t" o:hr="t"/>
        </w:pict>
      </w:r>
    </w:p>
    <w:bookmarkEnd w:id="18"/>
    <w:bookmarkStart w:id="19" w:name="perché-ci-sei-tu"/>
    <w:p>
      <w:pPr>
        <w:pStyle w:val="Heading2"/>
      </w:pPr>
      <w:r>
        <w:t xml:space="preserve">Perché ci sei tu</w:t>
      </w:r>
    </w:p>
    <w:p>
      <w:pPr>
        <w:pStyle w:val="BlockText"/>
      </w:pPr>
      <w:r>
        <w:rPr>
          <w:b/>
          <w:bCs/>
        </w:rPr>
        <w:t xml:space="preserve">Perché ci sei tu.</w:t>
      </w:r>
      <w:r>
        <w:t xml:space="preserve"> </w:t>
      </w:r>
      <w:r>
        <w:t xml:space="preserve">Una persona su tre con questa diagnosi ha ancora un dolore che giudica inaccettabile cinque anni dopo l’esordio, e quel dolore si associa a</w:t>
      </w:r>
      <w:r>
        <w:t xml:space="preserve"> </w:t>
      </w:r>
      <w:r>
        <w:rPr>
          <w:b/>
          <w:bCs/>
        </w:rPr>
        <w:t xml:space="preserve">meno</w:t>
      </w:r>
      <w:r>
        <w:t xml:space="preserve"> </w:t>
      </w:r>
      <w:r>
        <w:t xml:space="preserve">infiammazione al basale, non a più (Eberhard 2021, PMID 34127054; Altawil 2016, PMID 26784398). Questo ti autorizza a prendere in carico il dolore residuo come oggetto clinico tuo, distinto dalla malattia. Non ti autorizza a presentarti come alternativa alla terapia che quel dolore lo ha già ridotto della quota maggiore.</w:t>
      </w:r>
    </w:p>
    <w:p>
      <w:pPr>
        <w:pStyle w:val="BlockText"/>
      </w:pPr>
      <w:r>
        <w:rPr>
          <w:b/>
          <w:bCs/>
        </w:rPr>
        <w:t xml:space="preserve">E la misura della distanza fra la tua mano e la via che invochi:</w:t>
      </w:r>
      <w:r>
        <w:t xml:space="preserve"> </w:t>
      </w:r>
      <w:r>
        <w:t xml:space="preserve">nello studio randomizzato sulla stimolazione del vago in questa malattia, il braccio con il dispositivo impiantato e</w:t>
      </w:r>
      <w:r>
        <w:t xml:space="preserve"> </w:t>
      </w:r>
      <w:r>
        <w:rPr>
          <w:b/>
          <w:bCs/>
        </w:rPr>
        <w:t xml:space="preserve">spento</w:t>
      </w:r>
      <w:r>
        <w:t xml:space="preserve"> </w:t>
      </w:r>
      <w:r>
        <w:t xml:space="preserve">ha risposto nel 24,2% dei casi (Tesser 2026, PMID 41429981).</w:t>
      </w:r>
    </w:p>
    <w:p>
      <w:r>
        <w:pict>
          <v:rect style="width:0;height:1.5pt" o:hralign="center" o:hrstd="t" o:hr="t"/>
        </w:pict>
      </w:r>
    </w:p>
    <w:p>
      <w:pPr>
        <w:pStyle w:val="BlockText"/>
      </w:pPr>
      <w:r>
        <w:rPr>
          <w:b/>
          <w:bCs/>
        </w:rPr>
        <w:t xml:space="preserve">DIMOSTRATO</w:t>
      </w:r>
      <w:r>
        <w:t xml:space="preserve"> </w:t>
      </w:r>
      <w:r>
        <w:t xml:space="preserve">studi sull’uomo, solidi ·</w:t>
      </w:r>
      <w:r>
        <w:t xml:space="preserve"> </w:t>
      </w:r>
      <w:r>
        <w:rPr>
          <w:b/>
          <w:bCs/>
        </w:rPr>
        <w:t xml:space="preserve">PROBABILE</w:t>
      </w:r>
      <w:r>
        <w:t xml:space="preserve"> </w:t>
      </w:r>
      <w:r>
        <w:t xml:space="preserve">razionale forte, prove parziali ·</w:t>
      </w:r>
      <w:r>
        <w:t xml:space="preserve"> </w:t>
      </w:r>
      <w:r>
        <w:rPr>
          <w:b/>
          <w:bCs/>
        </w:rPr>
        <w:t xml:space="preserve">IPOTESI</w:t>
      </w:r>
      <w:r>
        <w:t xml:space="preserve"> </w:t>
      </w:r>
      <w:r>
        <w:t xml:space="preserve">meccanismo coerente, nessuno studio ·</w:t>
      </w:r>
      <w:r>
        <w:t xml:space="preserve"> </w:t>
      </w:r>
      <w:r>
        <w:rPr>
          <w:b/>
          <w:bCs/>
        </w:rPr>
        <w:t xml:space="preserve">RAGIONAMENTO</w:t>
      </w:r>
      <w:r>
        <w:t xml:space="preserve"> </w:t>
      </w:r>
      <w:r>
        <w:t xml:space="preserve">cornice clinica, non una prova</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2026-09-04T11:32:58Z</dcterms:created>
  <dcterms:modified xsi:type="dcterms:W3CDTF">2026-09-04T11:32:58Z</dcterms:modified>
</cp:coreProperties>
</file>

<file path=docProps/custom.xml><?xml version="1.0" encoding="utf-8"?>
<Properties xmlns="http://schemas.openxmlformats.org/officeDocument/2006/custom-properties" xmlns:vt="http://schemas.openxmlformats.org/officeDocument/2006/docPropsVTypes"/>
</file>