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Diarrea Ricorrente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9" w:name="diarrea-ricorrente-bibbia-teorica"/>
    <w:p>
      <w:pPr>
        <w:pStyle w:val="Heading1"/>
      </w:pPr>
      <w:r>
        <w:t xml:space="preserve">Diarrea ricorrente — Bibbia teorica</w:t>
      </w:r>
    </w:p>
    <w:p>
      <w:pPr>
        <w:pStyle w:val="FirstParagraph"/>
      </w:pPr>
      <w:r>
        <w:rPr>
          <w:b/>
          <w:bCs/>
        </w:rPr>
        <w:t xml:space="preserve">Mobilitas / OsteoTouch — Direzione Osteopatica</w:t>
      </w:r>
      <w:r>
        <w:t xml:space="preserve"> </w:t>
      </w:r>
      <w:r>
        <w:t xml:space="preserve">Ancora clinica: Francesco Buffone · Ancora fisiologica: Shin Fukudo · Versione 7.0 — dopo il 6º livello di revisione, revisione di lingua · 10 settembre 2026</w:t>
      </w:r>
    </w:p>
    <w:p>
      <w:pPr>
        <w:pStyle w:val="BodyText"/>
      </w:pPr>
      <w:r>
        <w:rPr>
          <w:b/>
          <w:bCs/>
        </w:rPr>
        <w:t xml:space="preserve">Lunghezza dichiarata.</w:t>
      </w:r>
      <w:r>
        <w:t xml:space="preserve"> </w:t>
      </w:r>
      <w:r>
        <w:t xml:space="preserve">Questo documento supera il tetto di 8.000-13.000 parole dell’architettura. Il residuo è</w:t>
      </w:r>
      <w:r>
        <w:t xml:space="preserve"> </w:t>
      </w:r>
      <w:r>
        <w:rPr>
          <w:b/>
          <w:bCs/>
        </w:rPr>
        <w:t xml:space="preserve">in massima parte ampiezza</w:t>
      </w:r>
      <w:r>
        <w:t xml:space="preserve">, non ridondanza: tre pattern su otto sono uscite dal nostro campo, e il capitolo che le riconosce non si comprime senza toglierne una. La ridondanza vera è stata rimossa al 4º livello, e valeva circa il 5% del corpo. La deviazione è registrata in</w:t>
      </w:r>
      <w:r>
        <w:t xml:space="preserve"> </w:t>
      </w:r>
      <w:r>
        <w:rPr>
          <w:rStyle w:val="VerbatimChar"/>
        </w:rPr>
        <w:t xml:space="preserve">_dati/deviazioni-dal-metodo.md</w:t>
      </w:r>
      <w:r>
        <w:t xml:space="preserve">, voce D-019. È stata aperta su un corpo di 18.747 parole e confermata qui, su un corpo che ne conta oltre 22.000.</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insegna a riconoscere che cosa comanda le scariche di un paziente e a sapere quale parte di quel meccanismo è raggiungibile dalle tue mani, che è meno di quanto ti aspetti e diversa da dove guardavi.</w:t>
      </w:r>
    </w:p>
    <w:p>
      <w:pPr>
        <w:pStyle w:val="FirstParagraph"/>
      </w:pPr>
      <w:r>
        <w:rPr>
          <w:b/>
          <w:bCs/>
        </w:rPr>
        <w:t xml:space="preserve">A chi parla.</w:t>
      </w:r>
      <w:r>
        <w:t xml:space="preserve"> </w:t>
      </w:r>
      <w:r>
        <w:t xml:space="preserve">All’osteopata del team. Non ti spiega cos’è il colon. Ti spiega cosa fa il colon distale in questo paziente, e perché il collo non c’entra.</w:t>
      </w:r>
    </w:p>
    <w:p>
      <w:pPr>
        <w:pStyle w:val="BodyText"/>
      </w:pPr>
      <w:r>
        <w:rPr>
          <w:b/>
          <w:bCs/>
        </w:rPr>
        <w:t xml:space="preserve">Cosa c’è qui e cosa no.</w:t>
      </w:r>
      <w:r>
        <w:t xml:space="preserve"> </w:t>
      </w:r>
      <w:r>
        <w:t xml:space="preserve">Qui c’è che cos’è, perché succede, quali meccanismi la tengono in piedi, quanto è solido tutto questo e perché una mano può agire. Non ci sono tecniche, dosi, minuti né piani di seduta. Quelli stanno nella Procedura della diarrea ricorrente: due pagine, documento separato.</w:t>
      </w:r>
    </w:p>
    <w:p>
      <w:pPr>
        <w:pStyle w:val="BodyText"/>
      </w:pPr>
      <w:r>
        <w:rPr>
          <w:b/>
          <w:bCs/>
        </w:rPr>
        <w:t xml:space="preserve">Come si leggono le etichette.</w:t>
      </w:r>
      <w:r>
        <w:t xml:space="preserve"> </w:t>
      </w:r>
      <w:r>
        <w:t xml:space="preserve">Ogni affermazione importante porta un box con una di quattro etichette, e ogni etichetta porta sempre la stessa glossa:</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t xml:space="preserve">La prosa afferma. L’onestà la porta l’etichetta, non l’avverbio.</w:t>
      </w:r>
    </w:p>
    <w:p>
      <w:pPr>
        <w:pStyle w:val="BodyText"/>
      </w:pPr>
      <w:r>
        <w:rPr>
          <w:b/>
          <w:bCs/>
        </w:rPr>
        <w:t xml:space="preserve">Come si studia questa Bibbia.</w:t>
      </w:r>
      <w:r>
        <w:t xml:space="preserve"> </w:t>
      </w:r>
      <w:r>
        <w:t xml:space="preserve">Prima lettura tutta di fila, senza appunti: quello che non torna lo segni e lo lasci lì. Seconda passata con un paziente vero in testa. Rileggi «Dove finisce il nostro campo», «Cosa si rompe» e «Come ragiono davanti a questo paziente», e su ogni meccanismo chiediti:</w:t>
      </w:r>
      <w:r>
        <w:t xml:space="preserve"> </w:t>
      </w:r>
      <w:r>
        <w:rPr>
          <w:i/>
          <w:iCs/>
        </w:rPr>
        <w:t xml:space="preserve">era lui?</w:t>
      </w:r>
    </w:p>
    <w:p>
      <w:pPr>
        <w:pStyle w:val="BodyText"/>
      </w:pPr>
      <w:r>
        <w:t xml:space="preserve">Poi viene la prova che conta:</w:t>
      </w:r>
      <w:r>
        <w:t xml:space="preserve"> </w:t>
      </w:r>
      <w:r>
        <w:rPr>
          <w:b/>
          <w:bCs/>
        </w:rPr>
        <w:t xml:space="preserve">chiudi il documento e parla.</w:t>
      </w:r>
      <w:r>
        <w:t xml:space="preserve"> </w:t>
      </w:r>
      <w:r>
        <w:t xml:space="preserve">Di’ ad alta voce i sei meccanismi e da cosa si sospetta ciascuno.</w:t>
      </w:r>
    </w:p>
    <w:p>
      <w:pPr>
        <w:pStyle w:val="BodyText"/>
      </w:pPr>
      <w:r>
        <w:t xml:space="preserve">E poi la prova vera, che è per casi e non per memoria.</w:t>
      </w:r>
      <w:r>
        <w:t xml:space="preserve"> </w:t>
      </w:r>
      <w:r>
        <w:rPr>
          <w:b/>
          <w:bCs/>
        </w:rPr>
        <w:t xml:space="preserve">Sei autonomo quando sai dire, davanti alla paziente A e alla paziente C, quale dei due meccanismi comanda e da quale osservazione lo hai deciso; quando riconosci in una domanda il paziente che deve uscire invece di salire sul lettino; e quando sai dire a un medico, senza cercarlo, cosa possiamo affermare e cosa no.</w:t>
      </w:r>
    </w:p>
    <w:p>
      <w:pPr>
        <w:pStyle w:val="BodyText"/>
      </w:pPr>
      <w:r>
        <w:t xml:space="preserve">Prima del primo paziente, due minuti sulla</w:t>
      </w:r>
      <w:r>
        <w:t xml:space="preserve"> </w:t>
      </w:r>
      <w:r>
        <w:rPr>
          <w:b/>
          <w:bCs/>
        </w:rPr>
        <w:t xml:space="preserve">Mappa concettuale</w:t>
      </w:r>
      <w:r>
        <w:t xml:space="preserve">, non sulla Bibbia. Dopo i primi tre pazienti rileggi «Cosa dice la scienza»: dice un’altra cosa quando hai avuto qualcuno davanti.</w:t>
      </w:r>
      <w:r>
        <w:t xml:space="preserve"> </w:t>
      </w:r>
      <w:r>
        <w:rPr>
          <w:b/>
          <w:bCs/>
        </w:rPr>
        <w:t xml:space="preserve">A sei mesi: solo la Mappa.</w:t>
      </w:r>
      <w:r>
        <w:t xml:space="preserve"> </w:t>
      </w:r>
      <w:r>
        <w:t xml:space="preserve">Se un blocco non ti riaccende il capitolo, quello è il capitolo da rileggere.</w:t>
      </w:r>
    </w:p>
    <w:p>
      <w:pPr>
        <w:pStyle w:val="BodyText"/>
      </w:pPr>
      <w:r>
        <w:rPr>
          <w:b/>
          <w:bCs/>
        </w:rPr>
        <w:t xml:space="preserve">Questa Bibbia si studia contro i pazienti, non contro l’orologio.</w:t>
      </w:r>
    </w:p>
    <w:p>
      <w:pPr>
        <w:pStyle w:val="BodyText"/>
      </w:pPr>
      <w:r>
        <w:t xml:space="preserve">Buon nutrimento!</w:t>
      </w:r>
    </w:p>
    <w:p>
      <w:pPr>
        <w:pStyle w:val="BodyText"/>
      </w:pPr>
      <w:r>
        <w:rPr>
          <w:b/>
          <w:bCs/>
        </w:rPr>
        <w:t xml:space="preserve">Le tre cose da ricordare, più una</w:t>
      </w:r>
    </w:p>
    <w:p>
      <w:pPr>
        <w:pStyle w:val="Compact"/>
        <w:numPr>
          <w:ilvl w:val="0"/>
          <w:numId w:val="1002"/>
        </w:numPr>
      </w:pPr>
      <w:r>
        <w:t xml:space="preserve">Le etichette non sono decorazione. Sono l’unica cosa che ti tiene in piedi davanti a un gastroenterologo.</w:t>
      </w:r>
    </w:p>
    <w:p>
      <w:pPr>
        <w:pStyle w:val="Compact"/>
        <w:numPr>
          <w:ilvl w:val="0"/>
          <w:numId w:val="1002"/>
        </w:numPr>
      </w:pPr>
      <w:r>
        <w:t xml:space="preserve">Qui il capitolo che cambia di più il tuo comportamento è quello sui limiti di campo, non quello sui meccanismi.</w:t>
      </w:r>
    </w:p>
    <w:p>
      <w:pPr>
        <w:pStyle w:val="Compact"/>
        <w:numPr>
          <w:ilvl w:val="0"/>
          <w:numId w:val="1002"/>
        </w:numPr>
      </w:pPr>
      <w:r>
        <w:t xml:space="preserve">Il documento nomina i marker di questa condizione. Se salti quella parte, tutto il resto diventa inverificabile.</w:t>
      </w:r>
    </w:p>
    <w:p>
      <w:pPr>
        <w:pStyle w:val="Compact"/>
        <w:numPr>
          <w:ilvl w:val="0"/>
          <w:numId w:val="1002"/>
        </w:numPr>
      </w:pPr>
      <w:r>
        <w:rPr>
          <w:b/>
          <w:bCs/>
        </w:rPr>
        <w:t xml:space="preserve">Perché ci sei tu.</w:t>
      </w:r>
      <w:r>
        <w:t xml:space="preserve"> </w:t>
      </w:r>
      <w:r>
        <w:t xml:space="preserve">Il farmaco più usato al mondo per questo sintomo è la loperamide. Nella linea guida americana del 2022 ha una raccomandazione condizionale, con certezza delle prove</w:t>
      </w:r>
      <w:r>
        <w:t xml:space="preserve"> </w:t>
      </w:r>
      <w:r>
        <w:rPr>
          <w:b/>
          <w:bCs/>
        </w:rPr>
        <w:t xml:space="preserve">molto bassa</w:t>
      </w:r>
      <w:r>
        <w:t xml:space="preserve">: la più bassa fra tutti i farmaci esaminati per questo quadro (Lembo,</w:t>
      </w:r>
      <w:r>
        <w:t xml:space="preserve"> </w:t>
      </w:r>
      <w:r>
        <w:rPr>
          <w:i/>
          <w:iCs/>
        </w:rPr>
        <w:t xml:space="preserve">Gastroenterology</w:t>
      </w:r>
      <w:r>
        <w:t xml:space="preserve"> </w:t>
      </w:r>
      <w:r>
        <w:t xml:space="preserve">2022 — PMID 35738725). Questo ti autorizza a non considerare concluso il percorso di un paziente che «prende già qualcosa». Non ti autorizza a commentare quella terapia, che decide il prescrittore.</w:t>
      </w:r>
    </w:p>
    <w:p>
      <w:r>
        <w:pict>
          <v:rect style="width:0;height:1.5pt" o:hralign="center" o:hrstd="t" o:hr="t"/>
        </w:pict>
      </w:r>
    </w:p>
    <w:bookmarkEnd w:id="9"/>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ti trovi davanti una persona che ha organizzato la propria vita attorno alla posizione dei bagni, ha già fatto tutti gli esami e li ha tutti negativi, e non ha mai detto a nessuno la parte peggiore.</w:t>
      </w:r>
    </w:p>
    <w:bookmarkStart w:id="10" w:name="come-lo-racconta-lui"/>
    <w:p>
      <w:pPr>
        <w:pStyle w:val="Heading3"/>
      </w:pPr>
      <w:r>
        <w:t xml:space="preserve">Come lo racconta lui</w:t>
      </w:r>
    </w:p>
    <w:p>
      <w:pPr>
        <w:pStyle w:val="FirstParagraph"/>
      </w:pPr>
      <w:r>
        <w:rPr>
          <w:i/>
          <w:iCs/>
        </w:rPr>
        <w:t xml:space="preserve">«So dove sono i bagni ovunque vada. È diventato un riflesso: entro in un posto nuovo e la prima cosa che faccio è capire dov’è.»</w:t>
      </w:r>
    </w:p>
    <w:p>
      <w:pPr>
        <w:pStyle w:val="BodyText"/>
      </w:pPr>
      <w:r>
        <w:rPr>
          <w:i/>
          <w:iCs/>
        </w:rPr>
        <w:t xml:space="preserve">«L’urgenza mi terrorizza. È una morsa improvvisa, ho pochi minuti. Sono in tangenziale, in riunione, in fila. E l’unica cosa a cui penso è: ce la faccio?»</w:t>
      </w:r>
    </w:p>
    <w:p>
      <w:pPr>
        <w:pStyle w:val="BodyText"/>
      </w:pPr>
      <w:r>
        <w:rPr>
          <w:i/>
          <w:iCs/>
        </w:rPr>
        <w:t xml:space="preserve">«La mattina non esco finché non sono a posto. Ho un rituale: aspetto. La mia giornata inizia solo dopo quel verdetto.»</w:t>
      </w:r>
    </w:p>
    <w:p>
      <w:pPr>
        <w:pStyle w:val="BodyText"/>
      </w:pPr>
      <w:r>
        <w:rPr>
          <w:i/>
          <w:iCs/>
        </w:rPr>
        <w:t xml:space="preserve">«Ho smesso di dire sì. Il viaggio, la gita, la cena, il matrimonio. Trovo una scusa, non dico mai il vero motivo.»</w:t>
      </w:r>
    </w:p>
    <w:p>
      <w:pPr>
        <w:pStyle w:val="BodyText"/>
      </w:pPr>
      <w:r>
        <w:rPr>
          <w:i/>
          <w:iCs/>
        </w:rPr>
        <w:t xml:space="preserve">«Non c’è una regola. Mangio una cosa e sto bene, la stessa cosa la settimana dopo mi distrugge. E quello mi fa impazzire più del sintomo.»</w:t>
      </w:r>
    </w:p>
    <w:bookmarkEnd w:id="10"/>
    <w:bookmarkStart w:id="11" w:name="X0b34a114106e1ecdbc3b5ccd859705169f5a5ad"/>
    <w:p>
      <w:pPr>
        <w:pStyle w:val="Heading3"/>
      </w:pPr>
      <w:r>
        <w:t xml:space="preserve">E come lo racconta lei, a settantaquattro anni</w:t>
      </w:r>
    </w:p>
    <w:p>
      <w:pPr>
        <w:pStyle w:val="FirstParagraph"/>
      </w:pPr>
      <w:r>
        <w:t xml:space="preserve">Non così. C’è meno paura e più rassegnazione:</w:t>
      </w:r>
      <w:r>
        <w:t xml:space="preserve"> </w:t>
      </w:r>
      <w:r>
        <w:rPr>
          <w:i/>
          <w:iCs/>
        </w:rPr>
        <w:t xml:space="preserve">«alla mia età è normale»</w:t>
      </w:r>
      <w:r>
        <w:t xml:space="preserve">. Non ha una mappa dei bagni, perché è già uscita poco. L’urgenza non la terrorizza: la subisce. Il percorso diagnostico è incompleto, e la scatola dei farmaci è piena.</w:t>
      </w:r>
    </w:p>
    <w:p>
      <w:pPr>
        <w:pStyle w:val="BodyText"/>
      </w:pPr>
      <w:r>
        <w:rPr>
          <w:b/>
          <w:bCs/>
        </w:rPr>
        <w:t xml:space="preserve">È la paziente su cui questa condizione fa i danni</w:t>
      </w:r>
      <w:r>
        <w:t xml:space="preserve">, e il ritratto di sopra non te la fa riconoscere. La colite microscopica che imparerai a sospettare ha un’età mediana alla diagnosi di 64,9 anni nella forma collagenosica e di 62,2 nella linfocitica. La sua incidenza cresce con l’età (Tong 2015 — PMID 25623658).</w:t>
      </w:r>
    </w:p>
    <w:p>
      <w:pPr>
        <w:pStyle w:val="BodyText"/>
      </w:pPr>
      <w:r>
        <w:t xml:space="preserve">Sotto ci sono quattro cose. Scariche non formate che si ripetono nella giornata. Urgenza con pochissimo preavviso. Crampi che precedono la scarica e si attenuano dopo. Settimane buone che si alternano a settimane pessime senza motivo evidente. Spesso c’è anche il rovescio: giorni bloccato, giorni al contrario.</w:t>
      </w:r>
    </w:p>
    <w:p>
      <w:pPr>
        <w:pStyle w:val="BodyText"/>
      </w:pPr>
      <w:r>
        <w:rPr>
          <w:b/>
          <w:bCs/>
        </w:rPr>
        <w:t xml:space="preserve">L’alternanza ti dice due cose.</w:t>
      </w:r>
      <w:r>
        <w:t xml:space="preserve"> </w:t>
      </w:r>
      <w:r>
        <w:t xml:space="preserve">La prima: sei dentro il continuum funzionale, non in una diarrea organica. La seconda: va cercato il pattern del disturbo dell’evacuazione — vedi «Non è una condizione sola».</w:t>
      </w:r>
    </w:p>
    <w:bookmarkEnd w:id="11"/>
    <w:bookmarkStart w:id="12" w:name="cosa-ha-già-fatto"/>
    <w:p>
      <w:pPr>
        <w:pStyle w:val="Heading3"/>
      </w:pPr>
      <w:r>
        <w:t xml:space="preserve">Cosa ha già fatto</w:t>
      </w:r>
    </w:p>
    <w:p>
      <w:pPr>
        <w:pStyle w:val="FirstParagraph"/>
      </w:pPr>
      <w:r>
        <w:t xml:space="preserve">Il percorso è quasi sempre lo stesso: fermenti lattici, antidiarroici in autogestione, eliminazione di lattosio, glutine e FODMAP, colonscopia, esami delle feci, calprotectina. Poi forse un breath test, forse un antispastico o un ciclo di rifaximina. E quasi sempre i test per le intolleranze, molto richiesti e poco dirimenti.</w:t>
      </w:r>
    </w:p>
    <w:p>
      <w:pPr>
        <w:pStyle w:val="BodyText"/>
      </w:pPr>
      <w:r>
        <w:t xml:space="preserve">E poi la frase che lo ha chiuso:</w:t>
      </w:r>
      <w:r>
        <w:t xml:space="preserve"> </w:t>
      </w:r>
      <w:r>
        <w:rPr>
          <w:b/>
          <w:bCs/>
        </w:rPr>
        <w:t xml:space="preserve">«è stress, sei una persona ansiosa»</w:t>
      </w:r>
      <w:r>
        <w:t xml:space="preserve">. Arriva quando non ci sono altre spiegazioni, e il paziente la sente come</w:t>
      </w:r>
      <w:r>
        <w:t xml:space="preserve"> </w:t>
      </w:r>
      <w:r>
        <w:rPr>
          <w:i/>
          <w:iCs/>
        </w:rPr>
        <w:t xml:space="preserve">«te lo stai creando da solo»</w:t>
      </w:r>
      <w:r>
        <w:t xml:space="preserve">. E lui arriva da te stanco e diffidente, perché ogni cosa che ha provato ha funzionato un po’ e poi no.</w:t>
      </w:r>
    </w:p>
    <w:bookmarkEnd w:id="12"/>
    <w:bookmarkStart w:id="13" w:name="cosa-nessuno-ha-guardato"/>
    <w:p>
      <w:pPr>
        <w:pStyle w:val="Heading3"/>
      </w:pPr>
      <w:r>
        <w:t xml:space="preserve">Cosa nessuno ha guardato</w:t>
      </w:r>
    </w:p>
    <w:p>
      <w:pPr>
        <w:pStyle w:val="FirstParagraph"/>
      </w:pPr>
      <w:r>
        <w:t xml:space="preserve">Quattro buchi ricorrenti, e nessuno dei quattro è colpa di qualcuno.</w:t>
      </w:r>
    </w:p>
    <w:p>
      <w:pPr>
        <w:pStyle w:val="BodyText"/>
      </w:pPr>
      <w:r>
        <w:rPr>
          <w:b/>
          <w:bCs/>
        </w:rPr>
        <w:t xml:space="preserve">Il primo, ed è il più grosso: gli acidi biliari.</w:t>
      </w:r>
      <w:r>
        <w:t xml:space="preserve"> </w:t>
      </w:r>
      <w:r>
        <w:t xml:space="preserve">Fra chi ha una sindrome dell’intestino irritabile con diarrea, poco più di un paziente su quattro ha un malassorbimento degli acidi biliari. È un meccanismo diverso, con una terapia diversa. I numeri stanno nel primo meccanismo di «Cosa si rompe» (Slattery 2015 — PMID 25913530).</w:t>
      </w:r>
    </w:p>
    <w:p>
      <w:pPr>
        <w:pStyle w:val="BodyText"/>
      </w:pPr>
      <w:r>
        <w:rPr>
          <w:b/>
          <w:bCs/>
        </w:rPr>
        <w:t xml:space="preserve">Per te:</w:t>
      </w:r>
      <w:r>
        <w:t xml:space="preserve"> </w:t>
      </w:r>
      <w:r>
        <w:t xml:space="preserve">il paziente ti racconta scariche liquide, ricorrenti, spesso dopo il pasto, e ti dice che la colonscopia è perfetta. La domanda da fare non è sul cibo: è sugli accertamenti.</w:t>
      </w:r>
      <w:r>
        <w:t xml:space="preserve"> </w:t>
      </w:r>
      <w:r>
        <w:rPr>
          <w:i/>
          <w:iCs/>
        </w:rPr>
        <w:t xml:space="preserve">«Quali esami ti hanno fatto sull’assorbimento, oltre alla colonscopia?»</w:t>
      </w:r>
      <w:r>
        <w:t xml:space="preserve"> </w:t>
      </w:r>
      <w:r>
        <w:t xml:space="preserve">Il nome del test lo scrivi al curante, non lo dici a lui. La differenza fra le due cose è il confine, e sta in «Dove finisce il nostro campo». Nella maggior parte dei percorsi quell’accertamento non c’è, e quella domanda vale più di tutto quello che farai con le mani.</w:t>
      </w:r>
    </w:p>
    <w:p>
      <w:pPr>
        <w:pStyle w:val="BodyText"/>
      </w:pPr>
      <w:r>
        <w:rPr>
          <w:b/>
          <w:bCs/>
        </w:rPr>
        <w:t xml:space="preserve">Il secondo: le biopsie.</w:t>
      </w:r>
      <w:r>
        <w:t xml:space="preserve"> </w:t>
      </w:r>
      <w:r>
        <w:t xml:space="preserve">La linea guida inglese sulla diarrea cronica chiede una colonscopia</w:t>
      </w:r>
      <w:r>
        <w:t xml:space="preserve"> </w:t>
      </w:r>
      <w:r>
        <w:rPr>
          <w:b/>
          <w:bCs/>
        </w:rPr>
        <w:t xml:space="preserve">con biopsie del colon destro e sinistro</w:t>
      </w:r>
      <w:r>
        <w:t xml:space="preserve">, per escludere la colite microscopica. Quella malattia non si vede a occhio: il colon appare normale (Arasaradnam,</w:t>
      </w:r>
      <w:r>
        <w:t xml:space="preserve"> </w:t>
      </w:r>
      <w:r>
        <w:rPr>
          <w:i/>
          <w:iCs/>
        </w:rPr>
        <w:t xml:space="preserve">Gut</w:t>
      </w:r>
      <w:r>
        <w:t xml:space="preserve"> </w:t>
      </w:r>
      <w:r>
        <w:t xml:space="preserve">2018 — PMID 29653941). Una colonscopia «negativa» senza biopsie non ha escluso niente su quel fronte.</w:t>
      </w:r>
    </w:p>
    <w:p>
      <w:pPr>
        <w:pStyle w:val="BodyText"/>
      </w:pPr>
      <w:r>
        <w:rPr>
          <w:b/>
          <w:bCs/>
        </w:rPr>
        <w:t xml:space="preserve">Il terzo: la celiachia cercata a dieta già iniziata.</w:t>
      </w:r>
      <w:r>
        <w:t xml:space="preserve"> </w:t>
      </w:r>
      <w:r>
        <w:t xml:space="preserve">Chi ha tolto il glutine da solo prima del prelievo rende la sierologia falsamente negativa. La linea guida americana su questo quadro raccomanda la sierologia con IgA anti-transglutaminasi</w:t>
      </w:r>
      <w:r>
        <w:t xml:space="preserve"> </w:t>
      </w:r>
      <w:r>
        <w:rPr>
          <w:b/>
          <w:bCs/>
        </w:rPr>
        <w:t xml:space="preserve">più un secondo test</w:t>
      </w:r>
      <w:r>
        <w:t xml:space="preserve">, per coprire il deficit di IgA (Smalley,</w:t>
      </w:r>
      <w:r>
        <w:t xml:space="preserve"> </w:t>
      </w:r>
      <w:r>
        <w:rPr>
          <w:i/>
          <w:iCs/>
        </w:rPr>
        <w:t xml:space="preserve">Gastroenterology</w:t>
      </w:r>
      <w:r>
        <w:t xml:space="preserve"> </w:t>
      </w:r>
      <w:r>
        <w:t xml:space="preserve">2019 — PMID 31302098). La linea guida inglese pone gli anticorpi anti-transglutaminasi o anti-endomisio come test di prima linea nella diarrea cronica (Arasaradnam,</w:t>
      </w:r>
      <w:r>
        <w:t xml:space="preserve"> </w:t>
      </w:r>
      <w:r>
        <w:rPr>
          <w:i/>
          <w:iCs/>
        </w:rPr>
        <w:t xml:space="preserve">Gut</w:t>
      </w:r>
      <w:r>
        <w:t xml:space="preserve"> </w:t>
      </w:r>
      <w:r>
        <w:t xml:space="preserve">2018 — PMID 29653941). Entrambe presuppongono un paziente che sta mangiando glutine.</w:t>
      </w:r>
    </w:p>
    <w:p>
      <w:pPr>
        <w:pStyle w:val="BodyText"/>
      </w:pPr>
      <w:r>
        <w:rPr>
          <w:b/>
          <w:bCs/>
        </w:rPr>
        <w:t xml:space="preserve">Non commenti la dieta e non gli dici di rimettere il glutine: quella è una decisione del medico.</w:t>
      </w:r>
      <w:r>
        <w:t xml:space="preserve"> </w:t>
      </w:r>
      <w:r>
        <w:t xml:space="preserve">È un’informazione che passi al curante.</w:t>
      </w:r>
    </w:p>
    <w:p>
      <w:pPr>
        <w:pStyle w:val="BodyText"/>
      </w:pPr>
      <w:r>
        <w:rPr>
          <w:b/>
          <w:bCs/>
        </w:rPr>
        <w:t xml:space="preserve">Il quarto, e sopra i sessant’anni è il primo: la scatola dei farmaci.</w:t>
      </w:r>
      <w:r>
        <w:t xml:space="preserve"> </w:t>
      </w:r>
      <w:r>
        <w:t xml:space="preserve">Nessuno ha chiesto cosa prende per tutto il resto. I numeri e le associazioni stanno in «Dove finisce il nostro campo» (Verhaegh 2016 — PMID 26956016).</w:t>
      </w:r>
    </w:p>
    <w:p>
      <w:pPr>
        <w:pStyle w:val="BodyText"/>
      </w:pPr>
      <w:r>
        <w:rPr>
          <w:b/>
          <w:bCs/>
        </w:rPr>
        <w:t xml:space="preserve">Per te:</w:t>
      </w:r>
      <w:r>
        <w:t xml:space="preserve"> </w:t>
      </w:r>
      <w:r>
        <w:t xml:space="preserve">raccogli la lista completa, con da quanto tempo prende ogni cosa, e la mandi al curante senza commentarla. Un paziente che smette un farmaco che non gli serve più può guarire senza colonscopia. Ma la decisione è del medico, e senza la lista il medico non ce l’ha.</w:t>
      </w:r>
    </w:p>
    <w:bookmarkEnd w:id="13"/>
    <w:bookmarkStart w:id="14" w:name="le-tre-domande-che-ti-farà"/>
    <w:p>
      <w:pPr>
        <w:pStyle w:val="Heading3"/>
      </w:pPr>
      <w:r>
        <w:t xml:space="preserve">Le tre domande che ti farà</w:t>
      </w:r>
    </w:p>
    <w:p>
      <w:pPr>
        <w:pStyle w:val="Compact"/>
        <w:numPr>
          <w:ilvl w:val="0"/>
          <w:numId w:val="1003"/>
        </w:numPr>
      </w:pPr>
      <w:r>
        <w:rPr>
          <w:i/>
          <w:iCs/>
        </w:rPr>
        <w:t xml:space="preserve">«La colonscopia è perfetta: quindi me lo invento?»</w:t>
      </w:r>
      <w:r>
        <w:t xml:space="preserve"> </w:t>
      </w:r>
      <w:r>
        <w:t xml:space="preserve">— risposta in «Che cos’è davvero» e in «Cosa dire al paziente».</w:t>
      </w:r>
    </w:p>
    <w:p>
      <w:pPr>
        <w:pStyle w:val="Compact"/>
        <w:numPr>
          <w:ilvl w:val="0"/>
          <w:numId w:val="1003"/>
        </w:numPr>
      </w:pPr>
      <w:r>
        <w:rPr>
          <w:i/>
          <w:iCs/>
        </w:rPr>
        <w:t xml:space="preserve">«Mi hanno detto che è ansia.»</w:t>
      </w:r>
      <w:r>
        <w:t xml:space="preserve"> </w:t>
      </w:r>
      <w:r>
        <w:t xml:space="preserve">— risposta nel quarto meccanismo di «Cosa si rompe», ed è la più interessante del documento.</w:t>
      </w:r>
    </w:p>
    <w:p>
      <w:pPr>
        <w:pStyle w:val="Compact"/>
        <w:numPr>
          <w:ilvl w:val="0"/>
          <w:numId w:val="1003"/>
        </w:numPr>
      </w:pPr>
      <w:r>
        <w:rPr>
          <w:i/>
          <w:iCs/>
        </w:rPr>
        <w:t xml:space="preserve">«Ho già tolto tutti i cibi sospetti.»</w:t>
      </w:r>
      <w:r>
        <w:t xml:space="preserve"> </w:t>
      </w:r>
      <w:r>
        <w:t xml:space="preserve">— risposta in «Non è una condizione sola» e in «Cosa dire al paziente».</w:t>
      </w:r>
    </w:p>
    <w:p>
      <w:pPr>
        <w:pStyle w:val="FirstParagraph"/>
      </w:pPr>
      <w:r>
        <w:rPr>
          <w:b/>
          <w:bCs/>
        </w:rPr>
        <w:t xml:space="preserve">Le tre cose da ricordare, più una</w:t>
      </w:r>
    </w:p>
    <w:p>
      <w:pPr>
        <w:pStyle w:val="Compact"/>
        <w:numPr>
          <w:ilvl w:val="0"/>
          <w:numId w:val="1004"/>
        </w:numPr>
      </w:pPr>
      <w:r>
        <w:t xml:space="preserve">Il paziente non ti porta un sintomo: ti porta una vita riorganizzata attorno a un sintomo. Le due cose si misurano diversamente.</w:t>
      </w:r>
    </w:p>
    <w:p>
      <w:pPr>
        <w:pStyle w:val="Compact"/>
        <w:numPr>
          <w:ilvl w:val="0"/>
          <w:numId w:val="1004"/>
        </w:numPr>
      </w:pPr>
      <w:r>
        <w:t xml:space="preserve">Chiedi cosa è stato escluso</w:t>
      </w:r>
      <w:r>
        <w:t xml:space="preserve"> </w:t>
      </w:r>
      <w:r>
        <w:rPr>
          <w:b/>
          <w:bCs/>
        </w:rPr>
        <w:t xml:space="preserve">e come</w:t>
      </w:r>
      <w:r>
        <w:t xml:space="preserve">, e chiedi cosa prende. «Colonscopia negativa» e «colonscopia con biopsie negativa» sono due frasi diverse, e la lista dei farmaci è la domanda che nessuno gli ha fatto.</w:t>
      </w:r>
    </w:p>
    <w:p>
      <w:pPr>
        <w:pStyle w:val="Compact"/>
        <w:numPr>
          <w:ilvl w:val="0"/>
          <w:numId w:val="1004"/>
        </w:numPr>
      </w:pPr>
      <w:r>
        <w:t xml:space="preserve">L’alternanza con la stitichezza apre il pattern del disturbo dell’evacuazione. L’assenza di regola alimentare orienta al quarto e al quinto meccanismo.</w:t>
      </w:r>
    </w:p>
    <w:p>
      <w:pPr>
        <w:pStyle w:val="Compact"/>
        <w:numPr>
          <w:ilvl w:val="0"/>
          <w:numId w:val="1004"/>
        </w:numPr>
      </w:pPr>
      <w:r>
        <w:rPr>
          <w:b/>
          <w:bCs/>
        </w:rPr>
        <w:t xml:space="preserve">Perché ci sei tu.</w:t>
      </w:r>
      <w:r>
        <w:t xml:space="preserve"> </w:t>
      </w:r>
      <w:r>
        <w:t xml:space="preserve">Fra il 14% e il 20% dei pazienti con sindrome dell’intestino irritabile riferisce episodi di incontinenza fecale almeno una volta al mese. Se si contano anche gli episodi più rari, si arriva fra il 30% e il 43%, a seconda della coorte: 168 pazienti svedesi e 304 americani. I fattori associati sono l’età più avanzata e l’urgenza rettale (Simrén,</w:t>
      </w:r>
      <w:r>
        <w:t xml:space="preserve"> </w:t>
      </w:r>
      <w:r>
        <w:rPr>
          <w:i/>
          <w:iCs/>
        </w:rPr>
        <w:t xml:space="preserve">Neurogastroenterol Motil</w:t>
      </w:r>
      <w:r>
        <w:t xml:space="preserve"> </w:t>
      </w:r>
      <w:r>
        <w:t xml:space="preserve">2017 — PMID 27581702).</w:t>
      </w:r>
      <w:r>
        <w:t xml:space="preserve"> </w:t>
      </w:r>
      <w:r>
        <w:rPr>
          <w:b/>
          <w:bCs/>
        </w:rPr>
        <w:t xml:space="preserve">Per te:</w:t>
      </w:r>
      <w:r>
        <w:t xml:space="preserve"> </w:t>
      </w:r>
      <w:r>
        <w:t xml:space="preserve">è la cosa che il paziente non dice, e non la dirà se non la nomini tu. Questo ti autorizza a chiederlo, con parole neutre, alla prima visita. Non ti autorizza a trattarlo. L’incontinenza fecale ha un percorso suo, ed è una riga della tabella delle bandiere rosse. La famiglia degli esercizi sfinterici su questo quadro non regge nessuna etichetta — vedi «Cosa può fare il paziente da solo».</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«diarrea ricorrente» non è una diagnosi, è un sintomo che nasconde almeno sei quadri diversi, e il primo atto clinico è capire quale hai davanti.</w:t>
      </w:r>
    </w:p>
    <w:bookmarkStart w:id="16" w:name="la-definizione-e-cosa-dice-davvero"/>
    <w:p>
      <w:pPr>
        <w:pStyle w:val="Heading3"/>
      </w:pPr>
      <w:r>
        <w:t xml:space="preserve">La definizione, e cosa dice davvero</w:t>
      </w:r>
    </w:p>
    <w:p>
      <w:pPr>
        <w:pStyle w:val="FirstParagraph"/>
      </w:pPr>
      <w:r>
        <w:t xml:space="preserve">La linea guida inglese definisce la diarrea cronica in modo volutamente pratico:</w:t>
      </w:r>
      <w:r>
        <w:t xml:space="preserve"> </w:t>
      </w:r>
      <w:r>
        <w:rPr>
          <w:b/>
          <w:bCs/>
        </w:rPr>
        <w:t xml:space="preserve">feci di consistenza fra il tipo 5 e il tipo 7 della scala di Bristol, con frequenza aumentata, che durano più di quattro settimane</w:t>
      </w:r>
      <w:r>
        <w:t xml:space="preserve"> </w:t>
      </w:r>
      <w:r>
        <w:t xml:space="preserve">(Arasaradnam,</w:t>
      </w:r>
      <w:r>
        <w:t xml:space="preserve"> </w:t>
      </w:r>
      <w:r>
        <w:rPr>
          <w:i/>
          <w:iCs/>
        </w:rPr>
        <w:t xml:space="preserve">Gut</w:t>
      </w:r>
      <w:r>
        <w:t xml:space="preserve"> </w:t>
      </w:r>
      <w:r>
        <w:t xml:space="preserve">2018 — PMID 29653941). Nella definizione non c’è un numero di scariche. C’è la consistenza, e c’è il tempo.</w:t>
      </w:r>
    </w:p>
    <w:p>
      <w:pPr>
        <w:pStyle w:val="BodyText"/>
      </w:pPr>
      <w:r>
        <w:rPr>
          <w:b/>
          <w:bCs/>
        </w:rPr>
        <w:t xml:space="preserve">Attenzione al tempo, perché la tabella delle bandiere rosse usa una soglia diversa.</w:t>
      </w:r>
      <w:r>
        <w:t xml:space="preserve"> </w:t>
      </w:r>
      <w:r>
        <w:t xml:space="preserve">Quattro settimane è la soglia che rende la diarrea</w:t>
      </w:r>
      <w:r>
        <w:t xml:space="preserve"> </w:t>
      </w:r>
      <w:r>
        <w:rPr>
          <w:i/>
          <w:iCs/>
        </w:rPr>
        <w:t xml:space="preserve">cronica</w:t>
      </w:r>
      <w:r>
        <w:t xml:space="preserve">. Tre mesi è la soglia sotto la quale una causa infettiva o farmacologica resta la più probabile, e va esclusa dal medico.</w:t>
      </w:r>
      <w:r>
        <w:t xml:space="preserve"> </w:t>
      </w:r>
      <w:r>
        <w:rPr>
          <w:b/>
          <w:bCs/>
        </w:rPr>
        <w:t xml:space="preserve">Fra la quarta settimana e il terzo mese il paziente non è ancora tuo comunque:</w:t>
      </w:r>
      <w:r>
        <w:t xml:space="preserve"> </w:t>
      </w:r>
      <w:r>
        <w:t xml:space="preserve">è cronico per la definizione, ed è ancora da inquadrare per il triage.</w:t>
      </w:r>
    </w:p>
    <w:p>
      <w:pPr>
        <w:pStyle w:val="BodyText"/>
      </w:pPr>
      <w:r>
        <w:t xml:space="preserve">Quando la diarrea è ricorrente, gli accertamenti sono negativi e c’è dolore addominale legato all’evacuazione, l’etichetta che il medico userà è</w:t>
      </w:r>
      <w:r>
        <w:t xml:space="preserve"> </w:t>
      </w:r>
      <w:r>
        <w:rPr>
          <w:b/>
          <w:bCs/>
        </w:rPr>
        <w:t xml:space="preserve">sindrome dell’intestino irritabile con diarrea</w:t>
      </w:r>
      <w:r>
        <w:t xml:space="preserve">. Secondo i criteri di Roma IV serve più di un quarto delle evacuazioni di tipo 6-7 e meno di un quarto di tipo 1-2. Se il dolore non c’è, l’etichetta è</w:t>
      </w:r>
      <w:r>
        <w:t xml:space="preserve"> </w:t>
      </w:r>
      <w:r>
        <w:rPr>
          <w:b/>
          <w:bCs/>
        </w:rPr>
        <w:t xml:space="preserve">diarrea funzionale</w:t>
      </w:r>
      <w:r>
        <w:t xml:space="preserve">. Sono due nomi per due confini di un continuum, non per due malattie.</w:t>
      </w:r>
    </w:p>
    <w:bookmarkEnd w:id="16"/>
    <w:bookmarkStart w:id="17" w:name="quanto-è-diffusa"/>
    <w:p>
      <w:pPr>
        <w:pStyle w:val="Heading3"/>
      </w:pPr>
      <w:r>
        <w:t xml:space="preserve">Quanto è diffusa</w:t>
      </w:r>
    </w:p>
    <w:p>
      <w:pPr>
        <w:pStyle w:val="FirstParagraph"/>
      </w:pPr>
      <w:r>
        <w:t xml:space="preserve">Lo studio globale della Rome Foundation ha esaminato 73.076 adulti in 33 paesi. Almeno un disturbo funzionale gastrointestinale era presente nel 40,3% via internet e nel 20,7% di persona. La sindrome dell’intestino irritabile con i criteri di Roma IV risultava nel 4,1% e nell’1,5% (Sperber,</w:t>
      </w:r>
      <w:r>
        <w:t xml:space="preserve"> </w:t>
      </w:r>
      <w:r>
        <w:rPr>
          <w:i/>
          <w:iCs/>
        </w:rPr>
        <w:t xml:space="preserve">Gastroenterology</w:t>
      </w:r>
      <w:r>
        <w:t xml:space="preserve"> </w:t>
      </w:r>
      <w:r>
        <w:t xml:space="preserve">2021 — PMID 32294476).</w:t>
      </w:r>
    </w:p>
    <w:p>
      <w:pPr>
        <w:pStyle w:val="BodyText"/>
      </w:pPr>
      <w:r>
        <w:t xml:space="preserve">Quei numeri sono però della</w:t>
      </w:r>
      <w:r>
        <w:t xml:space="preserve"> </w:t>
      </w:r>
      <w:r>
        <w:rPr>
          <w:b/>
          <w:bCs/>
        </w:rPr>
        <w:t xml:space="preserve">sindrome intera</w:t>
      </w:r>
      <w:r>
        <w:t xml:space="preserve">, sottotipo con stitichezza compreso. La linea guida europea dedicata a questo quadro pubblica le cifre separate: sindrome con diarrea</w:t>
      </w:r>
      <w:r>
        <w:t xml:space="preserve"> </w:t>
      </w:r>
      <w:r>
        <w:rPr>
          <w:b/>
          <w:bCs/>
        </w:rPr>
        <w:t xml:space="preserve">1,2%</w:t>
      </w:r>
      <w:r>
        <w:t xml:space="preserve"> </w:t>
      </w:r>
      <w:r>
        <w:t xml:space="preserve">nel campione internet e</w:t>
      </w:r>
      <w:r>
        <w:t xml:space="preserve"> </w:t>
      </w:r>
      <w:r>
        <w:rPr>
          <w:b/>
          <w:bCs/>
        </w:rPr>
        <w:t xml:space="preserve">0,4%</w:t>
      </w:r>
      <w:r>
        <w:t xml:space="preserve"> </w:t>
      </w:r>
      <w:r>
        <w:t xml:space="preserve">in quello domiciliare, diarrea funzionale</w:t>
      </w:r>
      <w:r>
        <w:t xml:space="preserve"> </w:t>
      </w:r>
      <w:r>
        <w:rPr>
          <w:b/>
          <w:bCs/>
        </w:rPr>
        <w:t xml:space="preserve">4,7%</w:t>
      </w:r>
      <w:r>
        <w:t xml:space="preserve"> </w:t>
      </w:r>
      <w:r>
        <w:t xml:space="preserve">e</w:t>
      </w:r>
      <w:r>
        <w:t xml:space="preserve"> </w:t>
      </w:r>
      <w:r>
        <w:rPr>
          <w:b/>
          <w:bCs/>
        </w:rPr>
        <w:t xml:space="preserve">1,2%</w:t>
      </w:r>
      <w:r>
        <w:t xml:space="preserve"> </w:t>
      </w:r>
      <w:r>
        <w:t xml:space="preserve">(Savarino 2022 — PMID 35695704).</w:t>
      </w:r>
    </w:p>
    <w:p>
      <w:pPr>
        <w:pStyle w:val="BodyText"/>
      </w:pPr>
      <w:r>
        <w:rPr>
          <w:b/>
          <w:bCs/>
        </w:rPr>
        <w:t xml:space="preserve">Per te:</w:t>
      </w:r>
      <w:r>
        <w:t xml:space="preserve"> </w:t>
      </w:r>
      <w:r>
        <w:t xml:space="preserve">quello che ti riguarda è il numero più piccolo. Il 40% dice quanto è comune avere</w:t>
      </w:r>
      <w:r>
        <w:t xml:space="preserve"> </w:t>
      </w:r>
      <w:r>
        <w:rPr>
          <w:i/>
          <w:iCs/>
        </w:rPr>
        <w:t xml:space="preserve">qualcosa</w:t>
      </w:r>
      <w:r>
        <w:t xml:space="preserve">. L’1,5-4% dice quanti hanno la sindrome nel suo insieme. L’1-2% dice quanti hanno</w:t>
      </w:r>
      <w:r>
        <w:t xml:space="preserve"> </w:t>
      </w:r>
      <w:r>
        <w:rPr>
          <w:b/>
          <w:bCs/>
        </w:rPr>
        <w:t xml:space="preserve">il quadro che questa Bibbia descrive</w:t>
      </w:r>
      <w:r>
        <w:t xml:space="preserve">. Chi si siede davanti a te non è la persona che ogni tanto ha la pancia in disordine: è quella che ha smesso di viaggiare.</w:t>
      </w:r>
    </w:p>
    <w:p>
      <w:pPr>
        <w:pStyle w:val="BodyText"/>
      </w:pPr>
      <w:r>
        <w:t xml:space="preserve">I criteri qui usati sono quelli di Roma IV. La generazione successiva è già pubblicata e allarga la definizione: nello stesso disegno la prevalenza della sindrome sale dal 4,1% all’8,5% (Sperber,</w:t>
      </w:r>
      <w:r>
        <w:t xml:space="preserve"> </w:t>
      </w:r>
      <w:r>
        <w:rPr>
          <w:i/>
          <w:iCs/>
        </w:rPr>
        <w:t xml:space="preserve">Gut</w:t>
      </w:r>
      <w:r>
        <w:t xml:space="preserve"> </w:t>
      </w:r>
      <w:r>
        <w:t xml:space="preserve">2026 — PMID 42613194). Cambia il denominatore, non il paziente.</w:t>
      </w:r>
    </w:p>
    <w:bookmarkEnd w:id="17"/>
    <w:bookmarkStart w:id="18" w:name="come-evolve-se-non-fai-nulla"/>
    <w:p>
      <w:pPr>
        <w:pStyle w:val="Heading3"/>
      </w:pPr>
      <w:r>
        <w:t xml:space="preserve">Come evolve se non fai nulla</w:t>
      </w:r>
    </w:p>
    <w:p>
      <w:pPr>
        <w:pStyle w:val="FirstParagraph"/>
      </w:pPr>
      <w:r>
        <w:t xml:space="preserve">A periodi. È la caratteristica clinica più importante di questa condizione, ed è la trappola più grossa per chi la tratta.</w:t>
      </w:r>
      <w:r>
        <w:t xml:space="preserve"> </w:t>
      </w:r>
      <w:r>
        <w:rPr>
          <w:b/>
          <w:bCs/>
        </w:rPr>
        <w:t xml:space="preserve">Settimane buone e settimane pessime si alternano da sole</w:t>
      </w:r>
      <w:r>
        <w:t xml:space="preserve">, e chi arriva in studio arriva quasi sempre in una settimana pessima.</w:t>
      </w:r>
    </w:p>
    <w:p>
      <w:pPr>
        <w:pStyle w:val="BodyText"/>
      </w:pPr>
      <w:r>
        <w:t xml:space="preserve">La regressione verso la media farà una parte del lavoro al posto tuo. È il fatto che chi arriva nel suo momento peggiore tende a stare meglio dopo, senza che nessuno abbia fatto niente. Vale come la settimana dopo la consegna: si sta meglio, e non l’ha deciso nessuno. Se non hai misurato prima, prenderai quel miglioramento per merito tuo.</w:t>
      </w:r>
    </w:p>
    <w:p>
      <w:pPr>
        <w:pStyle w:val="BodyText"/>
      </w:pPr>
      <w:r>
        <w:t xml:space="preserve">E ci sono i numeri. Su quattordici studi longitudinali di pazienti ambulatoriali:</w:t>
      </w:r>
      <w:r>
        <w:t xml:space="preserve"> </w:t>
      </w:r>
      <w:r>
        <w:rPr>
          <w:b/>
          <w:bCs/>
        </w:rPr>
        <w:t xml:space="preserve">dal 2 al 18% peggiora, circa il 30-50% resta invariato</w:t>
      </w:r>
      <w:r>
        <w:t xml:space="preserve">, e il resto migliora o diventa asintomatico nel lungo periodo. Lo stesso lavoro dà il dato che ti riguarda di più:</w:t>
      </w:r>
      <w:r>
        <w:t xml:space="preserve"> </w:t>
      </w:r>
      <w:r>
        <w:rPr>
          <w:b/>
          <w:bCs/>
        </w:rPr>
        <w:t xml:space="preserve">fra il 2 e il 5% riceve, fra sei mesi e sei anni dopo accertamenti iniziali negativi, una diagnosi organica alternativa</w:t>
      </w:r>
      <w:r>
        <w:t xml:space="preserve"> </w:t>
      </w:r>
      <w:r>
        <w:t xml:space="preserve">(El-Serag,</w:t>
      </w:r>
      <w:r>
        <w:t xml:space="preserve"> </w:t>
      </w:r>
      <w:r>
        <w:rPr>
          <w:i/>
          <w:iCs/>
        </w:rPr>
        <w:t xml:space="preserve">Aliment Pharmacol Ther</w:t>
      </w:r>
      <w:r>
        <w:t xml:space="preserve"> </w:t>
      </w:r>
      <w:r>
        <w:t xml:space="preserve">2004 — PMID 15080847).</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sulla fluttuazione e sulle sue proporzioni — quattordici studi osservazionali (El-Serag 2004 — PMID 15080847).</w:t>
      </w:r>
    </w:p>
    <w:p>
      <w:pPr>
        <w:pStyle w:val="BlockText"/>
      </w:pPr>
      <w:r>
        <w:rPr>
          <w:b/>
          <w:bCs/>
        </w:rPr>
        <w:t xml:space="preserve">Attenzione.</w:t>
      </w:r>
      <w:r>
        <w:t xml:space="preserve"> </w:t>
      </w:r>
      <w:r>
        <w:t xml:space="preserve">È la ragione per cui il marker si sceglie</w:t>
      </w:r>
      <w:r>
        <w:t xml:space="preserve"> </w:t>
      </w:r>
      <w:r>
        <w:rPr>
          <w:b/>
          <w:bCs/>
        </w:rPr>
        <w:t xml:space="preserve">prima</w:t>
      </w:r>
      <w:r>
        <w:t xml:space="preserve"> </w:t>
      </w:r>
      <w:r>
        <w:t xml:space="preserve">di trattare, non dopo. Su una condizione che oscilla da sola, un miglioramento non misurato non è un dato: è un ricordo.</w:t>
      </w:r>
    </w:p>
    <w:bookmarkEnd w:id="18"/>
    <w:bookmarkStart w:id="19" w:name="X6820c7f04c7379b5930bec9ad9aa3ee0e127e21"/>
    <w:p>
      <w:pPr>
        <w:pStyle w:val="Heading3"/>
      </w:pPr>
      <w:r>
        <w:t xml:space="preserve">Cosa dicono le etichette che porta, e cosa non dicono</w:t>
      </w:r>
    </w:p>
    <w:p>
      <w:pPr>
        <w:pStyle w:val="Compact"/>
        <w:numPr>
          <w:ilvl w:val="0"/>
          <w:numId w:val="1005"/>
        </w:numPr>
      </w:pPr>
      <w:r>
        <w:rPr>
          <w:b/>
          <w:bCs/>
        </w:rPr>
        <w:t xml:space="preserve">«Colon irritabile»</w:t>
      </w:r>
      <w:r>
        <w:t xml:space="preserve"> </w:t>
      </w:r>
      <w:r>
        <w:t xml:space="preserve">dice che un medico ha riconosciuto un pattern di sintomi e ha escluso alcune cose. Non dice quali. Chiedi.</w:t>
      </w:r>
    </w:p>
    <w:p>
      <w:pPr>
        <w:pStyle w:val="Compact"/>
        <w:numPr>
          <w:ilvl w:val="0"/>
          <w:numId w:val="1005"/>
        </w:numPr>
      </w:pPr>
      <w:r>
        <w:rPr>
          <w:b/>
          <w:bCs/>
        </w:rPr>
        <w:t xml:space="preserve">«Colonscopia negativa»</w:t>
      </w:r>
      <w:r>
        <w:t xml:space="preserve"> </w:t>
      </w:r>
      <w:r>
        <w:t xml:space="preserve">dice che la mucosa era normale a occhio. Senza biopsie destre e sinistre la colite microscopica non è esclusa.</w:t>
      </w:r>
    </w:p>
    <w:p>
      <w:pPr>
        <w:pStyle w:val="Compact"/>
        <w:numPr>
          <w:ilvl w:val="0"/>
          <w:numId w:val="1005"/>
        </w:numPr>
      </w:pPr>
      <w:r>
        <w:rPr>
          <w:b/>
          <w:bCs/>
        </w:rPr>
        <w:t xml:space="preserve">«Calprotectina normale»</w:t>
      </w:r>
      <w:r>
        <w:t xml:space="preserve"> </w:t>
      </w:r>
      <w:r>
        <w:t xml:space="preserve">orienta contro un’infiammazione del colon. La linea guida inglese cita il valore di 50 µg/g usato dal NICE: sopra quella soglia una malattia infiammatoria diventa più probabile. I valori sopra 250 µg/g indicano infiammazione attiva.</w:t>
      </w:r>
      <w:r>
        <w:t xml:space="preserve"> </w:t>
      </w:r>
      <w:r>
        <w:rPr>
          <w:b/>
          <w:bCs/>
        </w:rPr>
        <w:t xml:space="preserve">Per te:</w:t>
      </w:r>
      <w:r>
        <w:t xml:space="preserve"> </w:t>
      </w:r>
      <w:r>
        <w:t xml:space="preserve">il valore non lo interpreti tu. Quello che ti riguarda è se nel referto c’è. Se manca, è una riga della comunicazione al curante.</w:t>
      </w:r>
    </w:p>
    <w:p>
      <w:pPr>
        <w:pStyle w:val="Compact"/>
        <w:numPr>
          <w:ilvl w:val="0"/>
          <w:numId w:val="1005"/>
        </w:numPr>
      </w:pPr>
      <w:r>
        <w:rPr>
          <w:b/>
          <w:bCs/>
        </w:rPr>
        <w:t xml:space="preserve">«Breath test positivo per SIBO»</w:t>
      </w:r>
      <w:r>
        <w:t xml:space="preserve"> </w:t>
      </w:r>
      <w:r>
        <w:t xml:space="preserve">è la più fragile delle etichette che il paziente porta. Non è dirimente e non cambia quello che fai tu.</w:t>
      </w:r>
    </w:p>
    <w:p>
      <w:pPr>
        <w:pStyle w:val="Compact"/>
        <w:numPr>
          <w:ilvl w:val="0"/>
          <w:numId w:val="1005"/>
        </w:numPr>
      </w:pPr>
      <w:r>
        <w:rPr>
          <w:b/>
          <w:bCs/>
        </w:rPr>
        <w:t xml:space="preserve">«È stress»</w:t>
      </w:r>
      <w:r>
        <w:t xml:space="preserve"> </w:t>
      </w:r>
      <w:r>
        <w:t xml:space="preserve">non è un’etichetta diagnostica. È la descrizione di un fattore, e qui quel fattore ha un meccanismo misurato — vedi «Cosa si rompe», quarto meccanismo.</w:t>
      </w:r>
    </w:p>
    <w:p>
      <w:pPr>
        <w:pStyle w:val="FirstParagraph"/>
      </w:pPr>
      <w:r>
        <w:rPr>
          <w:b/>
          <w:bCs/>
        </w:rPr>
        <w:t xml:space="preserve">La diagnosi è atto medico.</w:t>
      </w:r>
      <w:r>
        <w:t xml:space="preserve"> </w:t>
      </w:r>
      <w:r>
        <w:t xml:space="preserve">Qui impari a leggere un referto e a capire cosa manca, non a formularne uno.</w:t>
      </w:r>
    </w:p>
    <w:bookmarkEnd w:id="19"/>
    <w:bookmarkStart w:id="20" w:name="cosa-non-è"/>
    <w:p>
      <w:pPr>
        <w:pStyle w:val="Heading3"/>
      </w:pPr>
      <w:r>
        <w:t xml:space="preserve">Cosa non è</w:t>
      </w:r>
    </w:p>
    <w:p>
      <w:pPr>
        <w:pStyle w:val="FirstParagraph"/>
      </w:pPr>
      <w:r>
        <w:t xml:space="preserve">Va distinta da queste: malattia infiammatoria cronica intestinale, colite microscopica, celiachia, malassorbimento degli acidi biliari, infezione o parassitosi persistente — compresa l’infezione da</w:t>
      </w:r>
      <w:r>
        <w:t xml:space="preserve"> </w:t>
      </w:r>
      <w:r>
        <w:rPr>
          <w:i/>
          <w:iCs/>
        </w:rPr>
        <w:t xml:space="preserve">Clostridioides difficile</w:t>
      </w:r>
      <w:r>
        <w:t xml:space="preserve"> </w:t>
      </w:r>
      <w:r>
        <w:t xml:space="preserve">dopo antibiotici o ricovero —,</w:t>
      </w:r>
      <w:r>
        <w:t xml:space="preserve"> </w:t>
      </w:r>
      <w:r>
        <w:rPr>
          <w:b/>
          <w:bCs/>
        </w:rPr>
        <w:t xml:space="preserve">diarrea da farmaci e da polioli</w:t>
      </w:r>
      <w:r>
        <w:t xml:space="preserve"> </w:t>
      </w:r>
      <w:r>
        <w:t xml:space="preserve">dei prodotti «senza zucchero», insufficienza pancreatica esocrina e, nei quadri più rari, tumori neuroendocrini.</w:t>
      </w:r>
    </w:p>
    <w:p>
      <w:pPr>
        <w:pStyle w:val="BodyText"/>
      </w:pPr>
      <w:r>
        <w:rPr>
          <w:b/>
          <w:bCs/>
        </w:rPr>
        <w:t xml:space="preserve">Nessuna di queste distinzioni la fai tu.</w:t>
      </w:r>
      <w:r>
        <w:t xml:space="preserve"> </w:t>
      </w:r>
      <w:r>
        <w:t xml:space="preserve">Le conosci perché ti dicono cosa deve essere stato guardato e cosa ancora non lo è stato.</w:t>
      </w:r>
    </w:p>
    <w:p>
      <w:pPr>
        <w:pStyle w:val="BodyText"/>
      </w:pPr>
      <w:r>
        <w:rPr>
          <w:b/>
          <w:bCs/>
        </w:rPr>
        <w:t xml:space="preserve">Le tre cose da ricordare, più una</w:t>
      </w:r>
    </w:p>
    <w:p>
      <w:pPr>
        <w:pStyle w:val="Compact"/>
        <w:numPr>
          <w:ilvl w:val="0"/>
          <w:numId w:val="1006"/>
        </w:numPr>
      </w:pPr>
      <w:r>
        <w:t xml:space="preserve">Il nome che il paziente porta descrive un pattern, non una causa. Il tuo lavoro comincia dopo aver capito cosa quel nome ha escluso.</w:t>
      </w:r>
    </w:p>
    <w:p>
      <w:pPr>
        <w:pStyle w:val="Compact"/>
        <w:numPr>
          <w:ilvl w:val="0"/>
          <w:numId w:val="1006"/>
        </w:numPr>
      </w:pPr>
      <w:r>
        <w:t xml:space="preserve">La condizione oscilla da sola, e in un caso su tre resta invariata per anni. Senza una misura presa prima, non saprai mai cosa hai fatto tu.</w:t>
      </w:r>
    </w:p>
    <w:p>
      <w:pPr>
        <w:pStyle w:val="Compact"/>
        <w:numPr>
          <w:ilvl w:val="0"/>
          <w:numId w:val="1006"/>
        </w:numPr>
      </w:pPr>
      <w:r>
        <w:t xml:space="preserve">Diarrea funzionale e sindrome dell’intestino irritabile con diarrea si separano sul dolore, non sulle feci.</w:t>
      </w:r>
    </w:p>
    <w:p>
      <w:pPr>
        <w:pStyle w:val="Compact"/>
        <w:numPr>
          <w:ilvl w:val="0"/>
          <w:numId w:val="1006"/>
        </w:numPr>
      </w:pPr>
      <w:r>
        <w:rPr>
          <w:b/>
          <w:bCs/>
        </w:rPr>
        <w:t xml:space="preserve">Perché ci sei tu.</w:t>
      </w:r>
      <w:r>
        <w:t xml:space="preserve"> </w:t>
      </w:r>
      <w:r>
        <w:t xml:space="preserve">Nel sottogruppo che ti riguarda — sindrome con diarrea e diarrea funzionale — il transito del colon misurato con scintigrafia è accelerato nel</w:t>
      </w:r>
      <w:r>
        <w:t xml:space="preserve"> </w:t>
      </w:r>
      <w:r>
        <w:rPr>
          <w:b/>
          <w:bCs/>
        </w:rPr>
        <w:t xml:space="preserve">33,3%</w:t>
      </w:r>
      <w:r>
        <w:t xml:space="preserve">. Sono 46 pazienti su 138. Sull’intera coorte dei disturbi funzionali intestinali bassi la quota di transito alterato è del 29,7%, su 287 pazienti e 170 controlli sani (Manabe,</w:t>
      </w:r>
      <w:r>
        <w:t xml:space="preserve"> </w:t>
      </w:r>
      <w:r>
        <w:rPr>
          <w:i/>
          <w:iCs/>
        </w:rPr>
        <w:t xml:space="preserve">Neurogastroenterol Motil</w:t>
      </w:r>
      <w:r>
        <w:t xml:space="preserve"> </w:t>
      </w:r>
      <w:r>
        <w:t xml:space="preserve">2010 — PMID 20025692).</w:t>
      </w:r>
      <w:r>
        <w:t xml:space="preserve"> </w:t>
      </w:r>
      <w:r>
        <w:rPr>
          <w:b/>
          <w:bCs/>
        </w:rPr>
        <w:t xml:space="preserve">Per te:</w:t>
      </w:r>
      <w:r>
        <w:t xml:space="preserve"> </w:t>
      </w:r>
      <w:r>
        <w:t xml:space="preserve">in</w:t>
      </w:r>
      <w:r>
        <w:t xml:space="preserve"> </w:t>
      </w:r>
      <w:r>
        <w:rPr>
          <w:b/>
          <w:bCs/>
        </w:rPr>
        <w:t xml:space="preserve">due casi su tre</w:t>
      </w:r>
      <w:r>
        <w:t xml:space="preserve"> </w:t>
      </w:r>
      <w:r>
        <w:t xml:space="preserve">il tubo funziona alla velocità giusta, e il problema è nel comando, nella soglia o nella coordinazione. Questo ti autorizza a lavorare su un sistema che nessun esame dichiara malato. Non ti autorizza a dire al paziente che il suo transito è normale: quello è un dato che si misura, e non lo hai misurato.</w:t>
      </w:r>
    </w:p>
    <w:p>
      <w:r>
        <w:pict>
          <v:rect style="width:0;height:1.5pt" o:hralign="center" o:hrstd="t" o:hr="t"/>
        </w:pict>
      </w:r>
    </w:p>
    <w:bookmarkEnd w:id="20"/>
    <w:bookmarkEnd w:id="21"/>
    <w:bookmarkStart w:id="25" w:name="capitolo-3-le-strutture-in-gioco"/>
    <w:p>
      <w:pPr>
        <w:pStyle w:val="Heading2"/>
      </w:pPr>
      <w:r>
        <w:t xml:space="preserve">Capitolo 3 — Le strutture in gioco</w:t>
      </w:r>
    </w:p>
    <w:p>
      <w:pPr>
        <w:pStyle w:val="BlockText"/>
      </w:pPr>
      <w:r>
        <w:rPr>
          <w:b/>
          <w:bCs/>
        </w:rPr>
        <w:t xml:space="preserve">In una riga:</w:t>
      </w:r>
      <w:r>
        <w:t xml:space="preserve"> </w:t>
      </w:r>
      <w:r>
        <w:t xml:space="preserve">il colon distale, il retto e il canale anale ricevono i loro nervi dal sacro e dalla giunzione dorso-lombare, non dal collo, e questa è la sola mappa che decide dove ha senso mettere le mani.</w:t>
      </w:r>
    </w:p>
    <w:p>
      <w:pPr>
        <w:pStyle w:val="BlockText"/>
      </w:pPr>
      <w:r>
        <w:rPr>
          <w:b/>
          <w:bCs/>
        </w:rPr>
        <w:t xml:space="preserve">Definizione.</w:t>
      </w:r>
      <w:r>
        <w:t xml:space="preserve"> </w:t>
      </w:r>
      <w:r>
        <w:t xml:space="preserve">La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Start w:id="22" w:name="Xfbd6a8d9b61f268a66accce53617e66fd15b3fb"/>
    <w:p>
      <w:pPr>
        <w:pStyle w:val="Heading3"/>
      </w:pPr>
      <w:r>
        <w:t xml:space="preserve">La mappa nervosa, e perché quasi tutti la sbagliano</w:t>
      </w:r>
    </w:p>
    <w:p>
      <w:pPr>
        <w:pStyle w:val="FirstParagraph"/>
      </w:pPr>
      <w:r>
        <w:t xml:space="preserve">Il documento interno del metodo, quando parla di visceri, offre le proiezioni di stomaco, esofago, fegato e cupola pleurica: dorsale media, cervicale bassa, spalla.</w:t>
      </w:r>
      <w:r>
        <w:t xml:space="preserve"> </w:t>
      </w:r>
      <w:r>
        <w:rPr>
          <w:b/>
          <w:bCs/>
        </w:rPr>
        <w:t xml:space="preserve">Il colon non c’è.</w:t>
      </w:r>
      <w:r>
        <w:t xml:space="preserve"> </w:t>
      </w:r>
      <w:r>
        <w:t xml:space="preserve">Applicato alla lettera a questa condizione, quel ragionamento manda a cercare la zona riflessa in distretti che il viscere non raggiunge.</w:t>
      </w:r>
    </w:p>
    <w:p>
      <w:pPr>
        <w:pStyle w:val="BodyText"/>
      </w:pPr>
      <w:r>
        <w:t xml:space="preserve">La mappa vera sta in una riga:</w:t>
      </w:r>
      <w:r>
        <w:t xml:space="preserve"> </w:t>
      </w:r>
      <w:r>
        <w:rPr>
          <w:b/>
          <w:bCs/>
        </w:rPr>
        <w:t xml:space="preserve">sopra la flessura splenica il comando parasimpatico è vagale, sotto è sacrale — e questa condizione sta sotto.</w:t>
      </w:r>
      <w:r>
        <w:t xml:space="preserve"> </w:t>
      </w:r>
      <w:r>
        <w:t xml:space="preserve">Il</w:t>
      </w:r>
      <w:r>
        <w:t xml:space="preserve"> </w:t>
      </w:r>
      <w:r>
        <w:rPr>
          <w:b/>
          <w:bCs/>
        </w:rPr>
        <w:t xml:space="preserve">colon discendente, il sigma e il retto</w:t>
      </w:r>
      <w:r>
        <w:t xml:space="preserve"> </w:t>
      </w:r>
      <w:r>
        <w:t xml:space="preserve">ricevono il parasimpatico dai</w:t>
      </w:r>
      <w:r>
        <w:t xml:space="preserve"> </w:t>
      </w:r>
      <w:r>
        <w:rPr>
          <w:b/>
          <w:bCs/>
        </w:rPr>
        <w:t xml:space="preserve">nervi splancnici pelvici, S2-S4</w:t>
      </w:r>
      <w:r>
        <w:t xml:space="preserve">. Ricevono il simpatico dai</w:t>
      </w:r>
      <w:r>
        <w:t xml:space="preserve"> </w:t>
      </w:r>
      <w:r>
        <w:rPr>
          <w:b/>
          <w:bCs/>
        </w:rPr>
        <w:t xml:space="preserve">nervi splancnici lombari</w:t>
      </w:r>
      <w:r>
        <w:t xml:space="preserve">, per il tramite del plesso mesenterico inferiore.</w:t>
      </w:r>
    </w:p>
    <w:p>
      <w:pPr>
        <w:pStyle w:val="BodyText"/>
      </w:pPr>
      <w:r>
        <w:t xml:space="preserve">Ne segue la conseguenza operativa più importante del capitolo.</w:t>
      </w:r>
      <w:r>
        <w:t xml:space="preserve"> </w:t>
      </w:r>
      <w:r>
        <w:rPr>
          <w:b/>
          <w:bCs/>
        </w:rPr>
        <w:t xml:space="preserve">Il segmento che genera l’urgenza e le scariche non ha innervazione cervicale.</w:t>
      </w:r>
      <w:r>
        <w:t xml:space="preserve"> </w:t>
      </w:r>
      <w:r>
        <w:t xml:space="preserve">I distretti raggiungibili sulla stessa mappa segmentaria sono due: la</w:t>
      </w:r>
      <w:r>
        <w:t xml:space="preserve"> </w:t>
      </w:r>
      <w:r>
        <w:rPr>
          <w:b/>
          <w:bCs/>
        </w:rPr>
        <w:t xml:space="preserve">giunzione dorso-lombare</w:t>
      </w:r>
      <w:r>
        <w:t xml:space="preserve"> </w:t>
      </w:r>
      <w:r>
        <w:t xml:space="preserve">e il</w:t>
      </w:r>
      <w:r>
        <w:t xml:space="preserve"> </w:t>
      </w:r>
      <w:r>
        <w:rPr>
          <w:b/>
          <w:bCs/>
        </w:rPr>
        <w:t xml:space="preserve">sacro</w:t>
      </w:r>
      <w:r>
        <w:t xml:space="preserve">.</w:t>
      </w:r>
    </w:p>
    <w:p>
      <w:pPr>
        <w:pStyle w:val="BlockText"/>
      </w:pPr>
      <w:r>
        <w:rPr>
          <w:b/>
          <w:bCs/>
        </w:rPr>
        <w:t xml:space="preserve">Cosa cambia per te.</w:t>
      </w:r>
      <w:r>
        <w:t xml:space="preserve"> </w:t>
      </w:r>
      <w:r>
        <w:t xml:space="preserve">Se stai lavorando sul collo per la pancia di questo paziente, non stai sbagliando tecnica: stai sbagliando indirizzo. La leva cervicale su questa condizione non ha né via anatomica né misura.</w:t>
      </w:r>
    </w:p>
    <w:p>
      <w:pPr>
        <w:pStyle w:val="FirstParagraph"/>
      </w:pPr>
      <w:r>
        <w:rPr>
          <w:b/>
          <w:bCs/>
        </w:rPr>
        <w:t xml:space="preserve">Ma le vie sono due.</w:t>
      </w:r>
      <w:r>
        <w:t xml:space="preserve"> </w:t>
      </w:r>
      <w:r>
        <w:t xml:space="preserve">La via</w:t>
      </w:r>
      <w:r>
        <w:t xml:space="preserve"> </w:t>
      </w:r>
      <w:r>
        <w:rPr>
          <w:b/>
          <w:bCs/>
        </w:rPr>
        <w:t xml:space="preserve">segmentaria</w:t>
      </w:r>
      <w:r>
        <w:t xml:space="preserve"> </w:t>
      </w:r>
      <w:r>
        <w:t xml:space="preserve">del colon distale è sacrale e dorso-lombare, e il collo non ne fa parte. La via</w:t>
      </w:r>
      <w:r>
        <w:t xml:space="preserve"> </w:t>
      </w:r>
      <w:r>
        <w:rPr>
          <w:b/>
          <w:bCs/>
        </w:rPr>
        <w:t xml:space="preserve">dell’attivazione generale</w:t>
      </w:r>
      <w:r>
        <w:t xml:space="preserve"> </w:t>
      </w:r>
      <w:r>
        <w:t xml:space="preserve">è un’altra cosa, con altri accessi, e sta in «Perché le mani possono cambiare qualcosa». Confonderle costa uguale nei due sensi: cercare il colon nel collo è un errore di indirizzo, dedurre che nulla sopra il diaframma serva è rinunciare a metà della leva.</w:t>
      </w:r>
    </w:p>
    <w:p>
      <w:pPr>
        <w:pStyle w:val="BodyText"/>
      </w:pPr>
      <w:r>
        <w:rPr>
          <w:b/>
          <w:bCs/>
        </w:rPr>
        <w:t xml:space="preserve">E una zona va nominata per dire che non è lei: la regione ileo-cecale.</w:t>
      </w:r>
      <w:r>
        <w:t xml:space="preserve"> </w:t>
      </w:r>
      <w:r>
        <w:t xml:space="preserve">Il segmento che genera l’urgenza è a valle della flessura splenica. Su «diarrea» ci si mettono le mani lì per abitudine formativa —</w:t>
      </w:r>
      <w:r>
        <w:t xml:space="preserve"> </w:t>
      </w:r>
      <w:r>
        <w:rPr>
          <w:b/>
          <w:bCs/>
        </w:rPr>
        <w:t xml:space="preserve">RAGIONAMENTO</w:t>
      </w:r>
      <w:r>
        <w:t xml:space="preserve"> </w:t>
      </w:r>
      <w:r>
        <w:rPr>
          <w:i/>
          <w:iCs/>
        </w:rPr>
        <w:t xml:space="preserve">(cornice clinica, non una prova)</w:t>
      </w:r>
      <w:r>
        <w:t xml:space="preserve">.</w:t>
      </w:r>
    </w:p>
    <w:bookmarkEnd w:id="22"/>
    <w:bookmarkStart w:id="23" w:name="le-strutture-una-per-una"/>
    <w:p>
      <w:pPr>
        <w:pStyle w:val="Heading3"/>
      </w:pPr>
      <w:r>
        <w:t xml:space="preserve">Le strutture, una per una</w:t>
      </w:r>
    </w:p>
    <w:p>
      <w:pPr>
        <w:pStyle w:val="FirstParagraph"/>
      </w:pPr>
      <w:r>
        <w:rPr>
          <w:b/>
          <w:bCs/>
        </w:rPr>
        <w:t xml:space="preserve">Il colon distale e il sigma.</w:t>
      </w:r>
      <w:r>
        <w:t xml:space="preserve"> </w:t>
      </w:r>
      <w:r>
        <w:t xml:space="preserve">Il tratto che immagazzina e trasporta. Tiene il contenuto lontano dal retto con un ritmo di contrazioni che nella maggior parte del tempo va</w:t>
      </w:r>
      <w:r>
        <w:t xml:space="preserve"> </w:t>
      </w:r>
      <w:r>
        <w:rPr>
          <w:b/>
          <w:bCs/>
        </w:rPr>
        <w:t xml:space="preserve">all’indietro</w:t>
      </w:r>
      <w:r>
        <w:t xml:space="preserve">. Conta perché quando quel movimento retrogrado si riduce, il retto si riempie prima del previsto.</w:t>
      </w:r>
    </w:p>
    <w:p>
      <w:pPr>
        <w:pStyle w:val="BodyText"/>
      </w:pPr>
      <w:r>
        <w:rPr>
          <w:b/>
          <w:bCs/>
        </w:rPr>
        <w:t xml:space="preserve">Il retto.</w:t>
      </w:r>
      <w:r>
        <w:t xml:space="preserve"> </w:t>
      </w:r>
      <w:r>
        <w:t xml:space="preserve">Un serbatoio con una parete che si distende e sensori che misurano quella distensione. Convertono un volume in tre sensazioni: prima sensazione, desiderio di evacuare, volume massimo tollerato.</w:t>
      </w:r>
      <w:r>
        <w:t xml:space="preserve"> </w:t>
      </w:r>
      <w:r>
        <w:rPr>
          <w:b/>
          <w:bCs/>
        </w:rPr>
        <w:t xml:space="preserve">È qui che si genera l’urgenza</w:t>
      </w:r>
      <w:r>
        <w:t xml:space="preserve">, e le tre soglie sono misurabili e si spostano.</w:t>
      </w:r>
    </w:p>
    <w:p>
      <w:pPr>
        <w:pStyle w:val="BodyText"/>
      </w:pPr>
      <w:r>
        <w:rPr>
          <w:b/>
          <w:bCs/>
        </w:rPr>
        <w:t xml:space="preserve">Il canale anale e i due sfinteri.</w:t>
      </w:r>
      <w:r>
        <w:t xml:space="preserve"> </w:t>
      </w:r>
      <w:r>
        <w:t xml:space="preserve">L’interno è liscio e involontario, e tiene chiuso a riposo. L’esterno è striato e volontario, e permette di rimandare. È la struttura su cui il paziente gioca i suoi «pochi minuti».</w:t>
      </w:r>
    </w:p>
    <w:p>
      <w:pPr>
        <w:pStyle w:val="BodyText"/>
      </w:pPr>
      <w:r>
        <w:rPr>
          <w:b/>
          <w:bCs/>
        </w:rPr>
        <w:t xml:space="preserve">I nervi splancnici pelvici (S2-S4).</w:t>
      </w:r>
      <w:r>
        <w:t xml:space="preserve"> </w:t>
      </w:r>
      <w:r>
        <w:t xml:space="preserve">La via parasimpatica del colon distale. Esce dal sacro e promuove propulsione e rilasciamento dello sfintere interno. È l’unica via nervosa di quel tratto che passi vicino a un distretto che tu tratti.</w:t>
      </w:r>
    </w:p>
    <w:p>
      <w:pPr>
        <w:pStyle w:val="BlockText"/>
      </w:pPr>
      <w:r>
        <w:rPr>
          <w:b/>
          <w:bCs/>
        </w:rPr>
        <w:t xml:space="preserve">Attenzione — il sacro non è sempre lo stesso osso.</w:t>
      </w:r>
      <w:r>
        <w:t xml:space="preserve"> </w:t>
      </w:r>
      <w:r>
        <w:t xml:space="preserve">La radioterapia pelvica in anamnesi non serve solo al cancello degli acidi biliari: fa del sacro un</w:t>
      </w:r>
      <w:r>
        <w:t xml:space="preserve"> </w:t>
      </w:r>
      <w:r>
        <w:rPr>
          <w:b/>
          <w:bCs/>
        </w:rPr>
        <w:t xml:space="preserve">osso irradiato</w:t>
      </w:r>
      <w:r>
        <w:t xml:space="preserve">. Su 557 pazienti dopo radioterapia pelvica l’incidenza cumulativa a cinque anni di frattura da insufficienza è del</w:t>
      </w:r>
      <w:r>
        <w:t xml:space="preserve"> </w:t>
      </w:r>
      <w:r>
        <w:rPr>
          <w:b/>
          <w:bCs/>
        </w:rPr>
        <w:t xml:space="preserve">19,7%</w:t>
      </w:r>
      <w:r>
        <w:t xml:space="preserve">. La sede più frequente è proprio la regione sacro-iliaca, cioè il distretto che questo capitolo indica come leva. Il dolore era presente nel 57,8% dei casi (Oh,</w:t>
      </w:r>
      <w:r>
        <w:t xml:space="preserve"> </w:t>
      </w:r>
      <w:r>
        <w:rPr>
          <w:i/>
          <w:iCs/>
        </w:rPr>
        <w:t xml:space="preserve">Int J Radiat Oncol Biol Phys</w:t>
      </w:r>
      <w:r>
        <w:t xml:space="preserve"> </w:t>
      </w:r>
      <w:r>
        <w:t xml:space="preserve">2008 — PMID 17919836).</w:t>
      </w:r>
      <w:r>
        <w:t xml:space="preserve"> </w:t>
      </w:r>
      <w:r>
        <w:rPr>
          <w:b/>
          <w:bCs/>
        </w:rPr>
        <w:t xml:space="preserve">Lo stesso dato anamnestico cambia due cose, non una.</w:t>
      </w:r>
      <w:r>
        <w:t xml:space="preserve"> </w:t>
      </w:r>
      <w:r>
        <w:t xml:space="preserve">Vale anche per il malassorbimento non ancora escluso, che è una questione di osso prima ancora che di feci.</w:t>
      </w:r>
    </w:p>
    <w:p>
      <w:pPr>
        <w:pStyle w:val="FirstParagraph"/>
      </w:pPr>
      <w:r>
        <w:rPr>
          <w:b/>
          <w:bCs/>
        </w:rPr>
        <w:t xml:space="preserve">I nervi splancnici lombari.</w:t>
      </w:r>
      <w:r>
        <w:t xml:space="preserve"> </w:t>
      </w:r>
      <w:r>
        <w:t xml:space="preserve">La via simpatica dello stesso tratto, dai gangli L1-L3 al plesso mesenterico inferiore. Frenano la motilità, e passano davanti alla giunzione dorso-lombare.</w:t>
      </w:r>
    </w:p>
    <w:p>
      <w:pPr>
        <w:pStyle w:val="BodyText"/>
      </w:pPr>
      <w:r>
        <w:rPr>
          <w:b/>
          <w:bCs/>
        </w:rPr>
        <w:t xml:space="preserve">Il diaframma.</w:t>
      </w:r>
      <w:r>
        <w:t xml:space="preserve"> </w:t>
      </w:r>
      <w:r>
        <w:t xml:space="preserve">Cambia la pressione dentro l’addome a ogni respiro, e regola il ritmo del respiro stesso.</w:t>
      </w:r>
      <w:r>
        <w:t xml:space="preserve"> </w:t>
      </w:r>
      <w:r>
        <w:rPr>
          <w:b/>
          <w:bCs/>
        </w:rPr>
        <w:t xml:space="preserve">Qui non è protagonista sul sintomo.</w:t>
      </w:r>
      <w:r>
        <w:t xml:space="preserve"> </w:t>
      </w:r>
      <w:r>
        <w:t xml:space="preserve">Conta come bersaglio della leva sull’attivazione e come sede di un marker misurabile, non come struttura che governa le scariche. Dirlo adesso ti evita di cercarci un effetto che nessuno ha misurato.</w:t>
      </w:r>
    </w:p>
    <w:p>
      <w:pPr>
        <w:pStyle w:val="BodyText"/>
      </w:pPr>
      <w:r>
        <w:rPr>
          <w:b/>
          <w:bCs/>
        </w:rPr>
        <w:t xml:space="preserve">Il CRF e la via che scende sul sacro.</w:t>
      </w:r>
      <w:r>
        <w:t xml:space="preserve"> </w:t>
      </w:r>
      <w:r>
        <w:t xml:space="preserve">L’ormone di rilascio della corticotropina ha due destini, e su questo organo conta il secondo.</w:t>
      </w:r>
    </w:p>
    <w:p>
      <w:pPr>
        <w:pStyle w:val="Compact"/>
        <w:numPr>
          <w:ilvl w:val="0"/>
          <w:numId w:val="1007"/>
        </w:numPr>
      </w:pPr>
      <w:r>
        <w:t xml:space="preserve">Il primo è</w:t>
      </w:r>
      <w:r>
        <w:t xml:space="preserve"> </w:t>
      </w:r>
      <w:r>
        <w:rPr>
          <w:b/>
          <w:bCs/>
        </w:rPr>
        <w:t xml:space="preserve">endocrino</w:t>
      </w:r>
      <w:r>
        <w:t xml:space="preserve">: CRF → ACTH → cortisolo.</w:t>
      </w:r>
    </w:p>
    <w:p>
      <w:pPr>
        <w:pStyle w:val="Compact"/>
        <w:numPr>
          <w:ilvl w:val="0"/>
          <w:numId w:val="1007"/>
        </w:numPr>
      </w:pPr>
      <w:r>
        <w:t xml:space="preserve">Il secondo è</w:t>
      </w:r>
      <w:r>
        <w:t xml:space="preserve"> </w:t>
      </w:r>
      <w:r>
        <w:rPr>
          <w:b/>
          <w:bCs/>
        </w:rPr>
        <w:t xml:space="preserve">nervoso e centrale</w:t>
      </w:r>
      <w:r>
        <w:t xml:space="preserve">. Il CRF agisce sul</w:t>
      </w:r>
      <w:r>
        <w:t xml:space="preserve"> </w:t>
      </w:r>
      <w:r>
        <w:rPr>
          <w:b/>
          <w:bCs/>
        </w:rPr>
        <w:t xml:space="preserve">nucleo di Barrington</w:t>
      </w:r>
      <w:r>
        <w:t xml:space="preserve">, che sta nel ponte.</w:t>
      </w:r>
    </w:p>
    <w:p>
      <w:pPr>
        <w:pStyle w:val="Compact"/>
        <w:numPr>
          <w:ilvl w:val="0"/>
          <w:numId w:val="1007"/>
        </w:numPr>
      </w:pPr>
      <w:r>
        <w:t xml:space="preserve">I neuroni di quel nucleo mandano terminali sulla</w:t>
      </w:r>
      <w:r>
        <w:t xml:space="preserve"> </w:t>
      </w:r>
      <w:r>
        <w:rPr>
          <w:b/>
          <w:bCs/>
        </w:rPr>
        <w:t xml:space="preserve">colonna pregangliare parasimpatica sacrale</w:t>
      </w:r>
      <w:r>
        <w:t xml:space="preserve">, cioè l’origine degli splancnici pelvici S2-S4 (Valentino 2000 — PMID 10701863, ratto).</w:t>
      </w:r>
    </w:p>
    <w:p>
      <w:pPr>
        <w:pStyle w:val="Compact"/>
        <w:numPr>
          <w:ilvl w:val="0"/>
          <w:numId w:val="1007"/>
        </w:numPr>
      </w:pPr>
      <w:r>
        <w:t xml:space="preserve">Gli stessi neuroni ricevono in convergenza da vescica e colon: il 73% riceve da entrambi (Rouzade-Dominguez 2003 — PMID 14686905).</w:t>
      </w:r>
    </w:p>
    <w:p>
      <w:pPr>
        <w:pStyle w:val="BlockText"/>
      </w:pPr>
      <w:r>
        <w:rPr>
          <w:b/>
          <w:bCs/>
        </w:rPr>
        <w:t xml:space="preserve">Cosa cambia per te.</w:t>
      </w:r>
      <w:r>
        <w:t xml:space="preserve"> </w:t>
      </w:r>
      <w:r>
        <w:t xml:space="preserve">La via dello stress su questo organo</w:t>
      </w:r>
      <w:r>
        <w:t xml:space="preserve"> </w:t>
      </w:r>
      <w:r>
        <w:rPr>
          <w:b/>
          <w:bCs/>
        </w:rPr>
        <w:t xml:space="preserve">non scavalca il sacro: ci passa.</w:t>
      </w:r>
      <w:r>
        <w:t xml:space="preserve"> </w:t>
      </w:r>
      <w:r>
        <w:t xml:space="preserve">È il substrato del segnale «rigidità sacrale in un paziente con sintomi urinari o pelvici»: convergenza vescica-colon, non continuità fasciale.</w:t>
      </w:r>
      <w:r>
        <w:t xml:space="preserve"> </w:t>
      </w:r>
      <w:r>
        <w:rPr>
          <w:b/>
          <w:bCs/>
        </w:rPr>
        <w:t xml:space="preserve">E non è il cortisolo:</w:t>
      </w:r>
      <w:r>
        <w:t xml:space="preserve"> </w:t>
      </w:r>
      <w:r>
        <w:t xml:space="preserve">«abbassare il cortisolo» è la frase da non dire. I numeri e le etichette stanno nel quarto meccanismo di «Cosa si rompe».</w:t>
      </w:r>
    </w:p>
    <w:bookmarkEnd w:id="23"/>
    <w:bookmarkStart w:id="24" w:name="la-chicca-il-campionamento-anale"/>
    <w:p>
      <w:pPr>
        <w:pStyle w:val="Heading3"/>
      </w:pPr>
      <w:r>
        <w:t xml:space="preserve">La chicca: il campionamento anale</w:t>
      </w:r>
    </w:p>
    <w:p>
      <w:pPr>
        <w:pStyle w:val="FirstParagraph"/>
      </w:pPr>
      <w:r>
        <w:t xml:space="preserve">Il canale anale non si limita a chiudere.</w:t>
      </w:r>
      <w:r>
        <w:t xml:space="preserve"> </w:t>
      </w:r>
      <w:r>
        <w:rPr>
          <w:b/>
          <w:bCs/>
        </w:rPr>
        <w:t xml:space="preserve">Assaggia.</w:t>
      </w:r>
    </w:p>
    <w:p>
      <w:pPr>
        <w:pStyle w:val="BodyText"/>
      </w:pPr>
      <w:r>
        <w:t xml:space="preserve">Quando il retto si distende, lo sfintere interno si rilascia per un istante. È il</w:t>
      </w:r>
      <w:r>
        <w:t xml:space="preserve"> </w:t>
      </w:r>
      <w:r>
        <w:rPr>
          <w:b/>
          <w:bCs/>
        </w:rPr>
        <w:t xml:space="preserve">riflesso retto-anale inibitorio</w:t>
      </w:r>
      <w:r>
        <w:t xml:space="preserve">. Una piccola quantità di contenuto scende fino a una zona di mucosa altamente sensibile, che distingue se si tratta di gas, liquido o solido. Le misure mostrano che con la distensione del retto la zona di alta pressione del canale anale si accorcia. Così la parte sensibile della mucosa arriva a contatto con il contenuto (Duthie e Bennett,</w:t>
      </w:r>
      <w:r>
        <w:t xml:space="preserve"> </w:t>
      </w:r>
      <w:r>
        <w:rPr>
          <w:i/>
          <w:iCs/>
        </w:rPr>
        <w:t xml:space="preserve">Gut</w:t>
      </w:r>
      <w:r>
        <w:t xml:space="preserve"> </w:t>
      </w:r>
      <w:r>
        <w:t xml:space="preserve">1963 — PMID 18668760).</w:t>
      </w:r>
    </w:p>
    <w:p>
      <w:pPr>
        <w:pStyle w:val="BodyText"/>
      </w:pPr>
      <w:r>
        <w:t xml:space="preserve">È la ragione fisiologica di una frase che sentirai spesso:</w:t>
      </w:r>
      <w:r>
        <w:t xml:space="preserve"> </w:t>
      </w:r>
      <w:r>
        <w:rPr>
          <w:b/>
          <w:bCs/>
        </w:rPr>
        <w:t xml:space="preserve">«non riesco a capire se è aria o no»</w:t>
      </w:r>
      <w:r>
        <w:t xml:space="preserve">. Con feci liquide e ripetute quella discriminazione perde precisione, e il paziente smette di fidarsi del proprio corpo. Che è la parte peggiore.</w:t>
      </w:r>
    </w:p>
    <w:p>
      <w:pPr>
        <w:pStyle w:val="BodyText"/>
      </w:pPr>
      <w:r>
        <w:rPr>
          <w:b/>
          <w:bCs/>
        </w:rPr>
        <w:t xml:space="preserve">Le tre cose da ricordare, più una</w:t>
      </w:r>
    </w:p>
    <w:p>
      <w:pPr>
        <w:pStyle w:val="Compact"/>
        <w:numPr>
          <w:ilvl w:val="0"/>
          <w:numId w:val="1008"/>
        </w:numPr>
      </w:pPr>
      <w:r>
        <w:t xml:space="preserve">Il segmento che genera il sintomo riceve i nervi da S2-S4 e dagli splancnici lombari. Il collo non entra nella mappa segmentaria — e la via dell’attivazione è un’altra cosa, con altri accessi.</w:t>
      </w:r>
    </w:p>
    <w:p>
      <w:pPr>
        <w:pStyle w:val="Compact"/>
        <w:numPr>
          <w:ilvl w:val="0"/>
          <w:numId w:val="1008"/>
        </w:numPr>
      </w:pPr>
      <w:r>
        <w:t xml:space="preserve">Il retto non misura il contenuto: misura la distensione, e la converte in tre soglie che si possono spostare.</w:t>
      </w:r>
    </w:p>
    <w:p>
      <w:pPr>
        <w:pStyle w:val="Compact"/>
        <w:numPr>
          <w:ilvl w:val="0"/>
          <w:numId w:val="1008"/>
        </w:numPr>
      </w:pPr>
      <w:r>
        <w:t xml:space="preserve">Il diaframma qui è una leva sull’attivazione e la sede di un marker, non l’organo del sintomo. Non gonfiarlo.</w:t>
      </w:r>
    </w:p>
    <w:p>
      <w:pPr>
        <w:pStyle w:val="Compact"/>
        <w:numPr>
          <w:ilvl w:val="0"/>
          <w:numId w:val="1008"/>
        </w:numPr>
      </w:pPr>
      <w:r>
        <w:rPr>
          <w:b/>
          <w:bCs/>
        </w:rPr>
        <w:t xml:space="preserve">Perché ci sei tu.</w:t>
      </w:r>
      <w:r>
        <w:t xml:space="preserve"> </w:t>
      </w:r>
      <w:r>
        <w:t xml:space="preserve">La via parasimpatica del colon distale esce dai forami sacrali S2-S4, e quella simpatica passa dalla giunzione dorso-lombare. Sono i due soli distretti in cui la mappa segmentaria di questo organo tocca qualcosa che le tue mani raggiungono. Questo ti autorizza a scegliere quei due distretti invece di altri, con un motivo anatomico da scrivere in cartella. Non ti autorizza a dire che quello che tocchi arriva al colon: la contiguità segmentaria è un razionale, non una misura.</w:t>
      </w:r>
    </w:p>
    <w:p>
      <w:r>
        <w:pict>
          <v:rect style="width:0;height:1.5pt" o:hralign="center" o:hrstd="t" o:hr="t"/>
        </w:pict>
      </w:r>
    </w:p>
    <w:bookmarkEnd w:id="24"/>
    <w:bookmarkEnd w:id="25"/>
    <w:bookmarkStart w:id="26"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intestino normale passa la maggior parte del tempo a</w:t>
      </w:r>
      <w:r>
        <w:t xml:space="preserve"> </w:t>
      </w:r>
      <w:r>
        <w:rPr>
          <w:b/>
          <w:bCs/>
        </w:rPr>
        <w:t xml:space="preserve">trattenere</w:t>
      </w:r>
      <w:r>
        <w:t xml:space="preserve">, e la continenza è un lavoro attivo che nessuno percepisce finché regge.</w:t>
      </w:r>
    </w:p>
    <w:p>
      <w:pPr>
        <w:pStyle w:val="Compact"/>
        <w:numPr>
          <w:ilvl w:val="0"/>
          <w:numId w:val="1009"/>
        </w:numPr>
      </w:pPr>
      <w:r>
        <w:rPr>
          <w:b/>
          <w:bCs/>
        </w:rPr>
        <w:t xml:space="preserve">Il contenuto arriva nel colon prossimale semiliquido.</w:t>
      </w:r>
    </w:p>
    <w:p>
      <w:pPr>
        <w:pStyle w:val="Compact"/>
        <w:numPr>
          <w:ilvl w:val="0"/>
          <w:numId w:val="1009"/>
        </w:numPr>
      </w:pPr>
      <w:r>
        <w:rPr>
          <w:b/>
          <w:bCs/>
        </w:rPr>
        <w:t xml:space="preserve">Il colon riassorbe acqua e sali</w:t>
      </w:r>
      <w:r>
        <w:t xml:space="preserve"> </w:t>
      </w:r>
      <w:r>
        <w:t xml:space="preserve">lungo tutto il percorso, e trasforma un liquido in una massa formata. È un processo lento apposta.</w:t>
      </w:r>
    </w:p>
    <w:p>
      <w:pPr>
        <w:pStyle w:val="Compact"/>
        <w:numPr>
          <w:ilvl w:val="0"/>
          <w:numId w:val="1009"/>
        </w:numPr>
      </w:pPr>
      <w:r>
        <w:rPr>
          <w:b/>
          <w:bCs/>
        </w:rPr>
        <w:t xml:space="preserve">Nel colon distale prevale un movimento che va all’indietro.</w:t>
      </w:r>
      <w:r>
        <w:t xml:space="preserve"> </w:t>
      </w:r>
      <w:r>
        <w:t xml:space="preserve">Non è un errore di direzione: è il freno. Il contenuto viene tenuto lontano dal retto, e questo pattern ciclico retrogrado aumenta dopo il pasto negli adulti sani.</w:t>
      </w:r>
    </w:p>
    <w:p>
      <w:pPr>
        <w:pStyle w:val="Compact"/>
        <w:numPr>
          <w:ilvl w:val="0"/>
          <w:numId w:val="1009"/>
        </w:numPr>
      </w:pPr>
      <w:r>
        <w:rPr>
          <w:b/>
          <w:bCs/>
        </w:rPr>
        <w:t xml:space="preserve">Gli acidi biliari, versati nel duodeno per digerire i grassi, vengono riassorbiti quasi per intero nell’ileo terminale</w:t>
      </w:r>
      <w:r>
        <w:t xml:space="preserve"> </w:t>
      </w:r>
      <w:r>
        <w:t xml:space="preserve">e rispediti al fegato. Nel colon ne arriva pochissimo.</w:t>
      </w:r>
    </w:p>
    <w:p>
      <w:pPr>
        <w:pStyle w:val="Compact"/>
        <w:numPr>
          <w:ilvl w:val="0"/>
          <w:numId w:val="1009"/>
        </w:numPr>
      </w:pPr>
      <w:r>
        <w:rPr>
          <w:b/>
          <w:bCs/>
        </w:rPr>
        <w:t xml:space="preserve">Poche volte al giorno una contrazione propagata di grande ampiezza spinge il contenuto verso il retto.</w:t>
      </w:r>
      <w:r>
        <w:t xml:space="preserve"> </w:t>
      </w:r>
      <w:r>
        <w:t xml:space="preserve">È il movimento di massa, e precede l’evacuazione.</w:t>
      </w:r>
    </w:p>
    <w:p>
      <w:pPr>
        <w:pStyle w:val="Compact"/>
        <w:numPr>
          <w:ilvl w:val="0"/>
          <w:numId w:val="1009"/>
        </w:numPr>
      </w:pPr>
      <w:r>
        <w:rPr>
          <w:b/>
          <w:bCs/>
        </w:rPr>
        <w:t xml:space="preserve">Il retto si distende, i sensori nella parete segnalano il volume, e il canale anale assaggia.</w:t>
      </w:r>
      <w:r>
        <w:t xml:space="preserve"> </w:t>
      </w:r>
      <w:r>
        <w:t xml:space="preserve">Nascono la prima sensazione, poi il desiderio di evacuare, poi — se il momento non è giusto — la capacità di rimandare.</w:t>
      </w:r>
    </w:p>
    <w:p>
      <w:pPr>
        <w:pStyle w:val="Compact"/>
        <w:numPr>
          <w:ilvl w:val="0"/>
          <w:numId w:val="1009"/>
        </w:numPr>
      </w:pPr>
      <w:r>
        <w:rPr>
          <w:b/>
          <w:bCs/>
        </w:rPr>
        <w:t xml:space="preserve">Lo sfintere esterno si contrae volontariamente e il retto si accomoda.</w:t>
      </w:r>
      <w:r>
        <w:t xml:space="preserve"> </w:t>
      </w:r>
      <w:r>
        <w:t xml:space="preserve">L’urgenza scende. Il sistema ha guadagnato tempo.</w:t>
      </w:r>
    </w:p>
    <w:p>
      <w:pPr>
        <w:pStyle w:val="FirstParagraph"/>
      </w:pPr>
      <w:r>
        <w:t xml:space="preserve">Il punto da tenere a mente è questo: nei passi 3, 6 e 7 il corpo sta lavorando</w:t>
      </w:r>
      <w:r>
        <w:t xml:space="preserve"> </w:t>
      </w:r>
      <w:r>
        <w:rPr>
          <w:b/>
          <w:bCs/>
        </w:rPr>
        <w:t xml:space="preserve">contro</w:t>
      </w:r>
      <w:r>
        <w:t xml:space="preserve"> </w:t>
      </w:r>
      <w:r>
        <w:t xml:space="preserve">la propulsione. La normalità non è un tubo che scorre. È un tubo che scorre, più un sistema di ritenzione che decide quando.</w:t>
      </w:r>
    </w:p>
    <w:p>
      <w:pPr>
        <w:pStyle w:val="BodyText"/>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0"/>
        </w:numPr>
      </w:pPr>
      <w:r>
        <w:t xml:space="preserve">La continenza non è passiva. È un lavoro continuo di ritenzione, e si può guastare da sola senza che nulla acceleri.</w:t>
      </w:r>
    </w:p>
    <w:p>
      <w:pPr>
        <w:pStyle w:val="Compact"/>
        <w:numPr>
          <w:ilvl w:val="0"/>
          <w:numId w:val="1010"/>
        </w:numPr>
      </w:pPr>
      <w:r>
        <w:t xml:space="preserve">Gli acidi biliari sono normalmente riassorbiti quasi per intero prima del colon. È un passaggio che può fallire da solo.</w:t>
      </w:r>
    </w:p>
    <w:p>
      <w:pPr>
        <w:pStyle w:val="Compact"/>
        <w:numPr>
          <w:ilvl w:val="0"/>
          <w:numId w:val="1010"/>
        </w:numPr>
      </w:pPr>
      <w:r>
        <w:t xml:space="preserve">Il retto converte volume in sensazione attraverso tre soglie. Sono quelle, e non le feci, la sede fisiologica dell’urgenza.</w:t>
      </w:r>
    </w:p>
    <w:p>
      <w:pPr>
        <w:pStyle w:val="Compact"/>
        <w:numPr>
          <w:ilvl w:val="0"/>
          <w:numId w:val="1010"/>
        </w:numPr>
      </w:pPr>
      <w:r>
        <w:rPr>
          <w:b/>
          <w:bCs/>
        </w:rPr>
        <w:t xml:space="preserve">Perché ci sei tu.</w:t>
      </w:r>
      <w:r>
        <w:t xml:space="preserve"> </w:t>
      </w:r>
      <w:r>
        <w:t xml:space="preserve">Con una manometria a fibra ottica a 72 sensori sono stati studiati 13 pazienti con sindrome dell’intestino irritabile con diarrea e 12 adulti sani. Dopo un pasto da 700 kcal l’aumento delle contrazioni propagate era</w:t>
      </w:r>
      <w:r>
        <w:t xml:space="preserve"> </w:t>
      </w:r>
      <w:r>
        <w:rPr>
          <w:b/>
          <w:bCs/>
        </w:rPr>
        <w:t xml:space="preserve">più piccolo</w:t>
      </w:r>
      <w:r>
        <w:t xml:space="preserve"> </w:t>
      </w:r>
      <w:r>
        <w:t xml:space="preserve">nei pazienti che nei sani. E il freno mancava: il pattern ciclico retrogrado, che nei sani prevale dopo il pasto, nei pazienti non prevaleva (Wiklendt,</w:t>
      </w:r>
      <w:r>
        <w:t xml:space="preserve"> </w:t>
      </w:r>
      <w:r>
        <w:rPr>
          <w:i/>
          <w:iCs/>
        </w:rPr>
        <w:t xml:space="preserve">Am J Physiol Gastrointest Liver Physiol</w:t>
      </w:r>
      <w:r>
        <w:t xml:space="preserve"> </w:t>
      </w:r>
      <w:r>
        <w:t xml:space="preserve">2023 — PMID 37162180).</w:t>
      </w:r>
      <w:r>
        <w:t xml:space="preserve"> </w:t>
      </w:r>
      <w:r>
        <w:rPr>
          <w:b/>
          <w:bCs/>
        </w:rPr>
        <w:t xml:space="preserve">Per te:</w:t>
      </w:r>
      <w:r>
        <w:t xml:space="preserve"> </w:t>
      </w:r>
      <w:r>
        <w:t xml:space="preserve">la storia che il paziente si è raccontato è «il mio intestino corre». Il dato dice il contrario: non spinge di più, trattiene di meno. Questo ti autorizza a smontare con lui la teoria dell’acceleratore, che è la premessa di tutte le diete che ha già fatto. Non ti autorizza a promettere di rimettere quel freno: nessuno ha misurato quel pattern prima e dopo un trattamento manuale.</w:t>
      </w:r>
    </w:p>
    <w:p>
      <w:r>
        <w:pict>
          <v:rect style="width:0;height:1.5pt" o:hralign="center" o:hrstd="t" o:hr="t"/>
        </w:pict>
      </w:r>
    </w:p>
    <w:bookmarkEnd w:id="26"/>
    <w:bookmarkStart w:id="33"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meccanismi, e il primo non è tuo — riconoscerlo e mandarlo è l’atto clinico più utile che farai su questa condizione.</w:t>
      </w:r>
    </w:p>
    <w:p>
      <w:pPr>
        <w:pStyle w:val="FirstParagraph"/>
      </w:pPr>
      <w:r>
        <w:t xml:space="preserve">I sei sono ordinati dal più solido al meno solido. E qui il primo che leggi è quello su cui puoi meno. È voluto: un lettore che parte dal dato più forte ti segue anche sul sesto.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Start w:id="27" w:name="X0881b08c3ef1fde1b44869de9386ad0a7b2c721"/>
    <w:p>
      <w:pPr>
        <w:pStyle w:val="Heading3"/>
      </w:pPr>
      <w:r>
        <w:t xml:space="preserve">1. Il sapone che nessuno ha risciacquato — gli acidi biliari nel colon</w:t>
      </w:r>
    </w:p>
    <w:p>
      <w:pPr>
        <w:pStyle w:val="FirstParagraph"/>
      </w:pPr>
      <w:r>
        <w:rPr>
          <w:b/>
          <w:bCs/>
        </w:rPr>
        <w:t xml:space="preserve">La sequenza.</w:t>
      </w:r>
    </w:p>
    <w:p>
      <w:pPr>
        <w:pStyle w:val="Compact"/>
        <w:numPr>
          <w:ilvl w:val="0"/>
          <w:numId w:val="1011"/>
        </w:numPr>
      </w:pPr>
      <w:r>
        <w:t xml:space="preserve">Il fegato versa acidi biliari nel duodeno a ogni pasto grasso.</w:t>
      </w:r>
    </w:p>
    <w:p>
      <w:pPr>
        <w:pStyle w:val="Compact"/>
        <w:numPr>
          <w:ilvl w:val="0"/>
          <w:numId w:val="1011"/>
        </w:numPr>
      </w:pPr>
      <w:r>
        <w:t xml:space="preserve">L’ileo terminale li riassorbe quasi per intero e li rimanda al fegato.</w:t>
      </w:r>
    </w:p>
    <w:p>
      <w:pPr>
        <w:pStyle w:val="Compact"/>
        <w:numPr>
          <w:ilvl w:val="0"/>
          <w:numId w:val="1011"/>
        </w:numPr>
      </w:pPr>
      <w:r>
        <w:t xml:space="preserve">Quel riassorbimento può fallire — per un difetto del segnale ormonale di ritorno, per una resezione, per una malattia dell’ileo. Allora una quota arriva nel colon.</w:t>
      </w:r>
    </w:p>
    <w:p>
      <w:pPr>
        <w:pStyle w:val="Compact"/>
        <w:numPr>
          <w:ilvl w:val="0"/>
          <w:numId w:val="1011"/>
        </w:numPr>
      </w:pPr>
      <w:r>
        <w:t xml:space="preserve">Lì gli acidi biliari</w:t>
      </w:r>
      <w:r>
        <w:t xml:space="preserve"> </w:t>
      </w:r>
      <w:r>
        <w:rPr>
          <w:b/>
          <w:bCs/>
        </w:rPr>
        <w:t xml:space="preserve">richiamano acqua</w:t>
      </w:r>
      <w:r>
        <w:t xml:space="preserve"> </w:t>
      </w:r>
      <w:r>
        <w:t xml:space="preserve">nel lume e</w:t>
      </w:r>
      <w:r>
        <w:t xml:space="preserve"> </w:t>
      </w:r>
      <w:r>
        <w:rPr>
          <w:b/>
          <w:bCs/>
        </w:rPr>
        <w:t xml:space="preserve">accelerano la motilità</w:t>
      </w:r>
      <w:r>
        <w:t xml:space="preserve">.</w:t>
      </w:r>
    </w:p>
    <w:p>
      <w:pPr>
        <w:pStyle w:val="Compact"/>
        <w:numPr>
          <w:ilvl w:val="0"/>
          <w:numId w:val="1011"/>
        </w:numPr>
      </w:pPr>
      <w:r>
        <w:t xml:space="preserve">Ne esce una diarrea acquosa, spesso urgente e postprandiale, che nessun esame di routine spiega.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sulla frequenza del meccanismo. Sei studi, 908 persone con criteri accettati di sindrome dell’intestino irritabile con diarrea: il tasso di malassorbimento oscilla fra il 16,9% e il 35,3%, con stima aggregata del 28,1% (Slattery 2015 — PMID 25913530). Una revisione precedente su 1.223 pazienti trovava il 32% con malassorbimento moderato e il 10% grave. Nei casi più gravi il farmaco che lega gli acidi biliari ha ottenuto risposta nel 96% (Wedlake 2009 — PMID 19570102).</w:t>
      </w:r>
    </w:p>
    <w:p>
      <w:pPr>
        <w:pStyle w:val="FirstParagraph"/>
      </w:pPr>
      <w:r>
        <w:rPr>
          <w:b/>
          <w:bCs/>
        </w:rPr>
        <w:t xml:space="preserve">Come si vede addosso al paziente.</w:t>
      </w:r>
      <w:r>
        <w:t xml:space="preserve"> </w:t>
      </w:r>
      <w:r>
        <w:t xml:space="preserve">Scariche</w:t>
      </w:r>
      <w:r>
        <w:t xml:space="preserve"> </w:t>
      </w:r>
      <w:r>
        <w:rPr>
          <w:b/>
          <w:bCs/>
        </w:rPr>
        <w:t xml:space="preserve">acquose</w:t>
      </w:r>
      <w:r>
        <w:t xml:space="preserve">, non semplicemente molli. Urgenza marcata, al risveglio e dopo i pasti. Nessuna risposta alle diete di esclusione già fatte. E l’anamnesi, che qui vale più del racconto: colecistectomia, resezione ileale, Crohn dell’ileo terminale, vecchia radioterapia pelvica.</w:t>
      </w:r>
    </w:p>
    <w:p>
      <w:pPr>
        <w:pStyle w:val="BlockText"/>
      </w:pPr>
      <w:r>
        <w:rPr>
          <w:b/>
          <w:bCs/>
        </w:rPr>
        <w:t xml:space="preserve">Attenzione — la loperamide non è il segno.</w:t>
      </w:r>
      <w:r>
        <w:t xml:space="preserve"> </w:t>
      </w:r>
      <w:r>
        <w:t xml:space="preserve">Agisce sui recettori oppioidi intestinali e rallenta il transito in</w:t>
      </w:r>
      <w:r>
        <w:t xml:space="preserve"> </w:t>
      </w:r>
      <w:r>
        <w:rPr>
          <w:b/>
          <w:bCs/>
        </w:rPr>
        <w:t xml:space="preserve">qualunque</w:t>
      </w:r>
      <w:r>
        <w:t xml:space="preserve"> </w:t>
      </w:r>
      <w:r>
        <w:t xml:space="preserve">diarrea funzionale, quale che sia la causa. Un farmaco aspecifico non può essere il segno specifico di un meccanismo. La risposta che discrimina è quella al</w:t>
      </w:r>
      <w:r>
        <w:t xml:space="preserve"> </w:t>
      </w:r>
      <w:r>
        <w:rPr>
          <w:b/>
          <w:bCs/>
        </w:rPr>
        <w:t xml:space="preserve">sequestrante degli acidi biliari</w:t>
      </w:r>
      <w:r>
        <w:t xml:space="preserve">, che questi pazienti non hanno mai provato. Che la loperamide funzioni resta un’osservazione da comunicare al curante: non è la chiave che apre il cancello.</w:t>
      </w:r>
      <w:r>
        <w:t xml:space="preserve"> </w:t>
      </w:r>
      <w:r>
        <w:rPr>
          <w:b/>
          <w:bCs/>
        </w:rPr>
        <w:t xml:space="preserve">La domanda che lo apre è la più banale: quel test è mai stato fatto?</w:t>
      </w:r>
    </w:p>
    <w:p>
      <w:pPr>
        <w:pStyle w:val="FirstParagraph"/>
      </w:pPr>
      <w:r>
        <w:rPr>
          <w:b/>
          <w:bCs/>
        </w:rPr>
        <w:t xml:space="preserve">È il detersivo rimasto nel cestello: il ciclo è finito, e a ogni giro l’acqua torna torbida.</w:t>
      </w:r>
    </w:p>
    <w:p>
      <w:pPr>
        <w:pStyle w:val="BlockText"/>
      </w:pPr>
      <w:r>
        <w:rPr>
          <w:b/>
          <w:bCs/>
        </w:rPr>
        <w:t xml:space="preserve">Attenzione — è un cancello, non un bersaglio.</w:t>
      </w:r>
      <w:r>
        <w:t xml:space="preserve"> </w:t>
      </w:r>
      <w:r>
        <w:t xml:space="preserve">Si riconosce, si scrive, si comunica al curante. La linea guida inglese raccomanda con forza di escludere la diarrea da acidi biliari con SeHCAT o C4 sierico a digiuno (Arasaradnam 2018 — PMID 29653941). L’americana include quel test fra i raccomandati (Smalley 2019 — PMID 31302098). Ma il SeHCAT è costoso, espone a radiazioni e in Italia non è ottenibile di routine, e il C4 non è nel repertorio della maggior parte dei laboratori. La linea guida europea lo prevede e raccomanda</w:t>
      </w:r>
      <w:r>
        <w:t xml:space="preserve"> </w:t>
      </w:r>
      <w:r>
        <w:rPr>
          <w:b/>
          <w:bCs/>
        </w:rPr>
        <w:t xml:space="preserve">«il test dedicato oppure, dove non disponibile, un trial terapeutico»</w:t>
      </w:r>
      <w:r>
        <w:t xml:space="preserve"> </w:t>
      </w:r>
      <w:r>
        <w:t xml:space="preserve">(Savarino 2022 — PMID 35695704). Scrivi questo al curante e fermati lì: la scelta è sua. Senza quella seconda strada nomini un test che nessuno può prescrivere, e il cancello resta chiuso.</w:t>
      </w:r>
    </w:p>
    <w:p>
      <w:pPr>
        <w:pStyle w:val="FirstParagraph"/>
      </w:pPr>
      <w:r>
        <w:rPr>
          <w:b/>
          <w:bCs/>
        </w:rPr>
        <w:t xml:space="preserve">Per te — quanto costa non riconoscerlo.</w:t>
      </w:r>
      <w:r>
        <w:t xml:space="preserve"> </w:t>
      </w:r>
      <w:r>
        <w:t xml:space="preserve">Il 96% di risposta al farmaco nei casi gravi misura che cosa perde il paziente che trattieni. Quello che mandi ha davanti una terapia che funziona; quello che tieni no. Il numero giustifica l’invio, non il tuo ciclo.</w:t>
      </w:r>
    </w:p>
    <w:bookmarkEnd w:id="27"/>
    <w:bookmarkStart w:id="28" w:name="Xeb3a30aae14fb02db2f81b10e67951974047541"/>
    <w:p>
      <w:pPr>
        <w:pStyle w:val="Heading3"/>
      </w:pPr>
      <w:r>
        <w:t xml:space="preserve">2. Il campanello collegato al cancello — la soglia dell’urgenza abbassata</w:t>
      </w:r>
    </w:p>
    <w:p>
      <w:pPr>
        <w:pStyle w:val="FirstParagraph"/>
      </w:pPr>
      <w:r>
        <w:rPr>
          <w:b/>
          <w:bCs/>
        </w:rPr>
        <w:t xml:space="preserve">La sequenza.</w:t>
      </w:r>
    </w:p>
    <w:p>
      <w:pPr>
        <w:pStyle w:val="Compact"/>
        <w:numPr>
          <w:ilvl w:val="0"/>
          <w:numId w:val="1012"/>
        </w:numPr>
      </w:pPr>
      <w:r>
        <w:t xml:space="preserve">Il retto si distende per un volume che in un adulto sano non produce nessuna sensazione particolare.</w:t>
      </w:r>
    </w:p>
    <w:p>
      <w:pPr>
        <w:pStyle w:val="Compact"/>
        <w:numPr>
          <w:ilvl w:val="0"/>
          <w:numId w:val="1012"/>
        </w:numPr>
      </w:pPr>
      <w:r>
        <w:t xml:space="preserve">A parità di tensione della parete quel segnale arriva</w:t>
      </w:r>
      <w:r>
        <w:t xml:space="preserve"> </w:t>
      </w:r>
      <w:r>
        <w:rPr>
          <w:b/>
          <w:bCs/>
        </w:rPr>
        <w:t xml:space="preserve">più forte</w:t>
      </w:r>
      <w:r>
        <w:t xml:space="preserve">. Cambia il guadagno lungo la via afferente e nel suo bersaglio centrale, non l’elasticità del serbatoio.</w:t>
      </w:r>
    </w:p>
    <w:p>
      <w:pPr>
        <w:pStyle w:val="Compact"/>
        <w:numPr>
          <w:ilvl w:val="0"/>
          <w:numId w:val="1012"/>
        </w:numPr>
      </w:pPr>
      <w:r>
        <w:t xml:space="preserve">Il sistema nervoso centrale legge il segnale amplificato come</w:t>
      </w:r>
      <w:r>
        <w:t xml:space="preserve"> </w:t>
      </w:r>
      <w:r>
        <w:rPr>
          <w:b/>
          <w:bCs/>
        </w:rPr>
        <w:t xml:space="preserve">desiderio impellente di evacuare</w:t>
      </w:r>
      <w:r>
        <w:t xml:space="preserve">.</w:t>
      </w:r>
    </w:p>
    <w:p>
      <w:pPr>
        <w:pStyle w:val="Compact"/>
        <w:numPr>
          <w:ilvl w:val="0"/>
          <w:numId w:val="1012"/>
        </w:numPr>
      </w:pPr>
      <w:r>
        <w:t xml:space="preserve">Il paziente si alza e va, spesso senza che ci sia molto da eliminare.</w:t>
      </w:r>
    </w:p>
    <w:p>
      <w:pPr>
        <w:pStyle w:val="Compact"/>
        <w:numPr>
          <w:ilvl w:val="0"/>
          <w:numId w:val="1012"/>
        </w:numPr>
      </w:pPr>
      <w:r>
        <w:t xml:space="preserve">La sensazione di evacuazione incompleta chiude il giro, perché il volume non era quello che il segnale prometteva.</w:t>
      </w:r>
    </w:p>
    <w:p>
      <w:pPr>
        <w:pStyle w:val="BlockText"/>
      </w:pPr>
      <w:r>
        <w:rPr>
          <w:b/>
          <w:bCs/>
        </w:rPr>
        <w:t xml:space="preserve">Quanto è solido:</w:t>
      </w:r>
      <w:r>
        <w:t xml:space="preserve"> </w:t>
      </w:r>
      <w:r>
        <w:t xml:space="preserve">l’etichetta si spezza.</w:t>
      </w:r>
      <w:r>
        <w:t xml:space="preserve"> </w:t>
      </w:r>
      <w:r>
        <w:rPr>
          <w:b/>
          <w:bCs/>
        </w:rPr>
        <w:t xml:space="preserve">Sull’esistenza di soglie rettali abbassate: DIMOSTRATO</w:t>
      </w:r>
      <w:r>
        <w:t xml:space="preserve"> </w:t>
      </w:r>
      <w:r>
        <w:rPr>
          <w:i/>
          <w:iCs/>
        </w:rPr>
        <w:t xml:space="preserve">(studi sull’uomo, solidi)</w:t>
      </w:r>
      <w:r>
        <w:t xml:space="preserve">. Misurata con barostato, l’ipersensibilità rettale è presente in</w:t>
      </w:r>
      <w:r>
        <w:t xml:space="preserve"> </w:t>
      </w:r>
      <w:r>
        <w:rPr>
          <w:b/>
          <w:bCs/>
        </w:rPr>
        <w:t xml:space="preserve">circa un terzo</w:t>
      </w:r>
      <w:r>
        <w:t xml:space="preserve"> </w:t>
      </w:r>
      <w:r>
        <w:t xml:space="preserve">dei pazienti, il 33%. Si associa alla gravità dei sintomi e non alle caratteristiche psicologiche (van der Veek,</w:t>
      </w:r>
      <w:r>
        <w:t xml:space="preserve"> </w:t>
      </w:r>
      <w:r>
        <w:rPr>
          <w:i/>
          <w:iCs/>
        </w:rPr>
        <w:t xml:space="preserve">Clin Gastroenterol Hepatol</w:t>
      </w:r>
      <w:r>
        <w:t xml:space="preserve"> </w:t>
      </w:r>
      <w:r>
        <w:t xml:space="preserve">2008 — PMID 18258487). Le soglie percettive sono 8±2 g nei pazienti contro 32±9 g nei sani,</w:t>
      </w:r>
      <w:r>
        <w:t xml:space="preserve"> </w:t>
      </w:r>
      <w:r>
        <w:rPr>
          <w:b/>
          <w:bCs/>
        </w:rPr>
        <w:t xml:space="preserve">senza differenze di compliance rettale</w:t>
      </w:r>
      <w:r>
        <w:t xml:space="preserve">; nella forma con diarrea il sintomo evocato dalla distensione è l’urgenza nel 63% dei casi (Caldarella 2005 — PMID 15667496).</w:t>
      </w:r>
      <w:r>
        <w:t xml:space="preserve"> </w:t>
      </w:r>
      <w:r>
        <w:rPr>
          <w:b/>
          <w:bCs/>
        </w:rPr>
        <w:t xml:space="preserve">Sul fatto che sia questo a comandare in questo paziente: RAGIONAMENTO</w:t>
      </w:r>
      <w:r>
        <w:t xml:space="preserve"> </w:t>
      </w:r>
      <w:r>
        <w:rPr>
          <w:i/>
          <w:iCs/>
        </w:rPr>
        <w:t xml:space="preserve">(cornice clinica, non una prova)</w:t>
      </w:r>
      <w:r>
        <w:t xml:space="preserve"> </w:t>
      </w:r>
      <w:r>
        <w:t xml:space="preserve">— nessuno ti misurerà le soglie rettali in studio.</w:t>
      </w:r>
    </w:p>
    <w:p>
      <w:pPr>
        <w:pStyle w:val="FirstParagraph"/>
      </w:pPr>
      <w:r>
        <w:rPr>
          <w:b/>
          <w:bCs/>
        </w:rPr>
        <w:t xml:space="preserve">Come si vede addosso al paziente.</w:t>
      </w:r>
      <w:r>
        <w:t xml:space="preserve"> </w:t>
      </w:r>
      <w:r>
        <w:t xml:space="preserve">Poco preavviso. Scariche piccole e ripetute più che abbondanti. Sensazione di non aver finito. Crampo che precede e si scioglie dopo. Il paziente descrive l’urgenza come una</w:t>
      </w:r>
      <w:r>
        <w:t xml:space="preserve"> </w:t>
      </w:r>
      <w:r>
        <w:rPr>
          <w:b/>
          <w:bCs/>
        </w:rPr>
        <w:t xml:space="preserve">morsa</w:t>
      </w:r>
      <w:r>
        <w:t xml:space="preserve">, e il volume eliminato è sproporzionato per difetto.</w:t>
      </w:r>
    </w:p>
    <w:p>
      <w:pPr>
        <w:pStyle w:val="BodyText"/>
      </w:pPr>
      <w:r>
        <w:rPr>
          <w:b/>
          <w:bCs/>
        </w:rPr>
        <w:t xml:space="preserve">È il campanello di casa collegato al cancello invece che alla porta: suona quando c’è ancora tutto il giardino da attraversare, e tu ti alzi ogni volta.</w:t>
      </w:r>
    </w:p>
    <w:p>
      <w:pPr>
        <w:pStyle w:val="BlockText"/>
      </w:pPr>
      <w:r>
        <w:rPr>
          <w:b/>
          <w:bCs/>
        </w:rPr>
        <w:t xml:space="preserve">Definizione.</w:t>
      </w:r>
      <w:r>
        <w:t xml:space="preserve"> </w:t>
      </w:r>
      <w:r>
        <w:rPr>
          <w:b/>
          <w:bCs/>
        </w:rPr>
        <w:t xml:space="preserve">Nociplastico</w:t>
      </w:r>
      <w:r>
        <w:t xml:space="preserve"> </w:t>
      </w:r>
      <w:r>
        <w:t xml:space="preserve">— sensazione o dolore generati da un guadagno alterato del sistema nervoso, senza danno del tessuto (</w:t>
      </w:r>
      <w:r>
        <w:rPr>
          <w:i/>
          <w:iCs/>
        </w:rPr>
        <w:t xml:space="preserve">nocicettivo</w:t>
      </w:r>
      <w:r>
        <w:t xml:space="preserve">) e senza lesione del nervo (</w:t>
      </w:r>
      <w:r>
        <w:rPr>
          <w:i/>
          <w:iCs/>
        </w:rPr>
        <w:t xml:space="preserve">neuropatico</w:t>
      </w:r>
      <w:r>
        <w:t xml:space="preserve">). È la tripartizione con cui la medicina del dolore classifica i meccanismi (Cohen,</w:t>
      </w:r>
      <w:r>
        <w:t xml:space="preserve"> </w:t>
      </w:r>
      <w:r>
        <w:rPr>
          <w:i/>
          <w:iCs/>
        </w:rPr>
        <w:t xml:space="preserve">Lancet</w:t>
      </w:r>
      <w:r>
        <w:t xml:space="preserve"> </w:t>
      </w:r>
      <w:r>
        <w:t xml:space="preserve">2021 — PMID 34062143).</w:t>
      </w:r>
    </w:p>
    <w:p>
      <w:pPr>
        <w:pStyle w:val="FirstParagraph"/>
      </w:pPr>
      <w:r>
        <w:rPr>
          <w:b/>
          <w:bCs/>
        </w:rPr>
        <w:t xml:space="preserve">Questo meccanismo e il prossimo sono la componente nociplastica di questa condizione.</w:t>
      </w:r>
      <w:r>
        <w:t xml:space="preserve"> </w:t>
      </w:r>
      <w:r>
        <w:t xml:space="preserve">Negli studi che misurano insieme le condizioni nociplastiche, la sindrome dell’intestino irritabile è una delle cinque, insieme a disturbo temporo-mandibolare, cefalea, lombalgia e fibromialgia (Sanders 2022 — PMID 35908377). La sensibilizzazione centrale risulta presente nel 57% di 215 pazienti, ed è associata alla gravità (Midenfjord 2021 — PMID 33860970).</w:t>
      </w:r>
    </w:p>
    <w:p>
      <w:pPr>
        <w:pStyle w:val="BodyText"/>
      </w:pPr>
      <w:r>
        <w:rPr>
          <w:b/>
          <w:bCs/>
        </w:rPr>
        <w:t xml:space="preserve">Perché ti serve la parola.</w:t>
      </w:r>
      <w:r>
        <w:t xml:space="preserve"> </w:t>
      </w:r>
      <w:r>
        <w:t xml:space="preserve">Spiega l’iperalgesia fuori dall’addome, e spiega perché il marker di verifica di questo documento è un algometro su un muscolo lontano.</w:t>
      </w:r>
    </w:p>
    <w:bookmarkEnd w:id="28"/>
    <w:bookmarkStart w:id="29" w:name="Xd1d8c40e22390dfb6cd261cda95cbc72a1aa759"/>
    <w:p>
      <w:pPr>
        <w:pStyle w:val="Heading3"/>
      </w:pPr>
      <w:r>
        <w:t xml:space="preserve">3. La serratura forzata — l’inizio dopo un’infezione</w:t>
      </w:r>
    </w:p>
    <w:p>
      <w:pPr>
        <w:pStyle w:val="FirstParagraph"/>
      </w:pPr>
      <w:r>
        <w:rPr>
          <w:b/>
          <w:bCs/>
        </w:rPr>
        <w:t xml:space="preserve">La sequenza.</w:t>
      </w:r>
    </w:p>
    <w:p>
      <w:pPr>
        <w:pStyle w:val="Compact"/>
        <w:numPr>
          <w:ilvl w:val="0"/>
          <w:numId w:val="1013"/>
        </w:numPr>
      </w:pPr>
      <w:r>
        <w:t xml:space="preserve">Una gastroenterite acuta, batterica o da protozoi, infiamma la mucosa.</w:t>
      </w:r>
    </w:p>
    <w:p>
      <w:pPr>
        <w:pStyle w:val="Compact"/>
        <w:numPr>
          <w:ilvl w:val="0"/>
          <w:numId w:val="1013"/>
        </w:numPr>
      </w:pPr>
      <w:r>
        <w:t xml:space="preserve">L’infezione si risolve e gli esami tornano negativi.</w:t>
      </w:r>
    </w:p>
    <w:p>
      <w:pPr>
        <w:pStyle w:val="Compact"/>
        <w:numPr>
          <w:ilvl w:val="0"/>
          <w:numId w:val="1013"/>
        </w:numPr>
      </w:pPr>
      <w:r>
        <w:t xml:space="preserve">Nella mucosa resta un’attivazione immunitaria di basso grado — mastcellule, cellule enterocromaffini, linfociti — e i mediatori che rilascia tengono le afferenze più reattive. Non è un aumento di terminazioni nervose: è l’ambiente chimico attorno a quelle che ci sono.</w:t>
      </w:r>
    </w:p>
    <w:p>
      <w:pPr>
        <w:pStyle w:val="Compact"/>
        <w:numPr>
          <w:ilvl w:val="0"/>
          <w:numId w:val="1013"/>
        </w:numPr>
      </w:pPr>
      <w:r>
        <w:t xml:space="preserve">La soglia a cui uno stimolo normale diventa sintomo resta più bassa di prima.</w:t>
      </w:r>
    </w:p>
    <w:p>
      <w:pPr>
        <w:pStyle w:val="Compact"/>
        <w:numPr>
          <w:ilvl w:val="0"/>
          <w:numId w:val="1013"/>
        </w:numPr>
      </w:pPr>
      <w:r>
        <w:t xml:space="preserve">Il paziente colloca l’inizio con precisione:</w:t>
      </w:r>
      <w:r>
        <w:t xml:space="preserve"> </w:t>
      </w:r>
      <w:r>
        <w:rPr>
          <w:i/>
          <w:iCs/>
        </w:rPr>
        <w:t xml:space="preserve">«tutto è cominciato dopo quella volta».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 rischio. Quarantacinque studi e 21.421 persone seguite dopo una gastroenterite infettiva: la sindrome risulta presente nel 10,1% a dodici mesi e nel 14,5% oltre, con rischio 4,2 volte maggiore rispetto a chi non ha avuto l’infezione. Dopo protozoi o parassiti la quota sale al 41,9%, contro il 13,8% dopo infezione batterica (Klem,</w:t>
      </w:r>
      <w:r>
        <w:t xml:space="preserve"> </w:t>
      </w:r>
      <w:r>
        <w:rPr>
          <w:i/>
          <w:iCs/>
        </w:rPr>
        <w:t xml:space="preserve">Gastroenterology</w:t>
      </w:r>
      <w:r>
        <w:t xml:space="preserve"> </w:t>
      </w:r>
      <w:r>
        <w:t xml:space="preserve">2017 — PMID 28069350).</w:t>
      </w:r>
    </w:p>
    <w:p>
      <w:pPr>
        <w:pStyle w:val="FirstParagraph"/>
      </w:pPr>
      <w:r>
        <w:rPr>
          <w:b/>
          <w:bCs/>
        </w:rPr>
        <w:t xml:space="preserve">Per te:</w:t>
      </w:r>
      <w:r>
        <w:t xml:space="preserve"> </w:t>
      </w:r>
      <w:r>
        <w:t xml:space="preserve">il numero che ti riguarda è il 41,9%, non il 10,1%. Il paziente che ti racconta un viaggio e un parassita ha una quota</w:t>
      </w:r>
      <w:r>
        <w:t xml:space="preserve"> </w:t>
      </w:r>
      <w:r>
        <w:rPr>
          <w:b/>
          <w:bCs/>
        </w:rPr>
        <w:t xml:space="preserve">circa tre volte</w:t>
      </w:r>
      <w:r>
        <w:t xml:space="preserve"> </w:t>
      </w:r>
      <w:r>
        <w:t xml:space="preserve">quella di chi ti racconta un’intossicazione alimentare: 41,9% contro 13,8%. Il «4,2 volte» è un altro confronto — chi ha avuto un’enterite contro chi non l’ha mai avuta — e i due numeri non si sovrappongono. Quel paziente merita una domanda in più al curante sulla ricerca di parassiti, e una previsione tua più cauta sui tempi.</w:t>
      </w:r>
    </w:p>
    <w:p>
      <w:pPr>
        <w:pStyle w:val="BodyText"/>
      </w:pPr>
      <w:r>
        <w:rPr>
          <w:b/>
          <w:bCs/>
        </w:rPr>
        <w:t xml:space="preserve">Come si vede addosso al paziente.</w:t>
      </w:r>
      <w:r>
        <w:t xml:space="preserve"> </w:t>
      </w:r>
      <w:r>
        <w:t xml:space="preserve">Data d’inizio precisa. Spesso un viaggio, un’intossicazione, un ciclo di antibiotici. Nessun intervallo davvero libero da allora. E, fra i fattori associati nello stesso studio: più spesso donne, più spesso con ansia o depressione già presenti prima.</w:t>
      </w:r>
    </w:p>
    <w:p>
      <w:pPr>
        <w:pStyle w:val="BlockText"/>
      </w:pPr>
      <w:r>
        <w:rPr>
          <w:b/>
          <w:bCs/>
        </w:rPr>
        <w:t xml:space="preserve">Attenzione — l’antibiotico recente è prima un cancello, e solo dopo un innesco.</w:t>
      </w:r>
      <w:r>
        <w:t xml:space="preserve"> </w:t>
      </w:r>
      <w:r>
        <w:t xml:space="preserve">L’esposizione recente ad antibiotici o a una struttura sanitaria è</w:t>
      </w:r>
      <w:r>
        <w:t xml:space="preserve"> </w:t>
      </w:r>
      <w:r>
        <w:rPr>
          <w:b/>
          <w:bCs/>
        </w:rPr>
        <w:t xml:space="preserve">il fattore di rischio principale del</w:t>
      </w:r>
      <w:r>
        <w:rPr>
          <w:b/>
          <w:bCs/>
        </w:rPr>
        <w:t xml:space="preserve"> </w:t>
      </w:r>
      <w:r>
        <w:rPr>
          <w:b/>
          <w:bCs/>
          <w:i/>
          <w:iCs/>
        </w:rPr>
        <w:t xml:space="preserve">Clostridioides difficile</w:t>
      </w:r>
      <w:r>
        <w:t xml:space="preserve">. Quel quadro va dalla diarrea lieve al megacolon tossico, e la sua recidiva è la regola (Mounsey 2020 — PMID 32003951). Prima si esclude quella, poi si parla di post-infettivo. La riga sta nella tabella delle bandiere rosse.</w:t>
      </w:r>
    </w:p>
    <w:p>
      <w:pPr>
        <w:pStyle w:val="FirstParagraph"/>
      </w:pPr>
      <w:r>
        <w:rPr>
          <w:b/>
          <w:bCs/>
        </w:rPr>
        <w:t xml:space="preserve">È la serratura forzata durante il furto: i ladri se ne sono andati anni fa, e la porta continua a non chiudere.</w:t>
      </w:r>
    </w:p>
    <w:bookmarkEnd w:id="29"/>
    <w:bookmarkStart w:id="30" w:name="X35bfe304d46c24dc6dae7df156e0573bfcfec3d"/>
    <w:p>
      <w:pPr>
        <w:pStyle w:val="Heading3"/>
      </w:pPr>
      <w:r>
        <w:t xml:space="preserve">4. Il campanello e la pompa sullo stesso interruttore — l’asse dello stress che muove il colon</w:t>
      </w:r>
    </w:p>
    <w:p>
      <w:pPr>
        <w:pStyle w:val="FirstParagraph"/>
      </w:pPr>
      <w:r>
        <w:t xml:space="preserve">Questo è il meccanismo che risponde alla frase</w:t>
      </w:r>
      <w:r>
        <w:t xml:space="preserve"> </w:t>
      </w:r>
      <w:r>
        <w:rPr>
          <w:i/>
          <w:iCs/>
        </w:rPr>
        <w:t xml:space="preserve">«mi hanno detto che è ansia»</w:t>
      </w:r>
      <w:r>
        <w:t xml:space="preserve">. E la risposta non è che l’ansia non c’entra. È che c’entra per una via misurata.</w:t>
      </w:r>
    </w:p>
    <w:p>
      <w:pPr>
        <w:pStyle w:val="BodyText"/>
      </w:pPr>
      <w:r>
        <w:rPr>
          <w:b/>
          <w:bCs/>
        </w:rPr>
        <w:t xml:space="preserve">La sequenza.</w:t>
      </w:r>
    </w:p>
    <w:p>
      <w:pPr>
        <w:pStyle w:val="Compact"/>
        <w:numPr>
          <w:ilvl w:val="0"/>
          <w:numId w:val="1014"/>
        </w:numPr>
      </w:pPr>
      <w:r>
        <w:t xml:space="preserve">Una minaccia — reale, ricordata o anticipata — mette in allarme il sistema, e il CRF entra in gioco.</w:t>
      </w:r>
    </w:p>
    <w:p>
      <w:pPr>
        <w:pStyle w:val="Compact"/>
        <w:numPr>
          <w:ilvl w:val="0"/>
          <w:numId w:val="1014"/>
        </w:numPr>
      </w:pPr>
      <w:r>
        <w:t xml:space="preserve">La via che conta</w:t>
      </w:r>
      <w:r>
        <w:t xml:space="preserve"> </w:t>
      </w:r>
      <w:r>
        <w:rPr>
          <w:b/>
          <w:bCs/>
        </w:rPr>
        <w:t xml:space="preserve">non è quella ormonale</w:t>
      </w:r>
      <w:r>
        <w:t xml:space="preserve">. È il nucleo di Barrington nel ponte, che manda un comando giù per la colonna parasimpatica sacrale, all’origine degli splancnici pelvici S2-S4. In parallelo il CRF ha recettori sul sistema nervoso enterico e sulla parete del colon.</w:t>
      </w:r>
    </w:p>
    <w:p>
      <w:pPr>
        <w:pStyle w:val="Compact"/>
        <w:numPr>
          <w:ilvl w:val="0"/>
          <w:numId w:val="1014"/>
        </w:numPr>
      </w:pPr>
      <w:r>
        <w:t xml:space="preserve">La motilità del colon discendente aumenta. Passa dal sacro, non dal sangue.</w:t>
      </w:r>
    </w:p>
    <w:p>
      <w:pPr>
        <w:pStyle w:val="Compact"/>
        <w:numPr>
          <w:ilvl w:val="0"/>
          <w:numId w:val="1014"/>
        </w:numPr>
      </w:pPr>
      <w:r>
        <w:t xml:space="preserve">Nello stesso movimento si abbassa la soglia a cui la distensione diventa dolore.</w:t>
      </w:r>
    </w:p>
    <w:p>
      <w:pPr>
        <w:pStyle w:val="Compact"/>
        <w:numPr>
          <w:ilvl w:val="0"/>
          <w:numId w:val="1014"/>
        </w:numPr>
      </w:pPr>
      <w:r>
        <w:t xml:space="preserve">Il paziente ha una scarica senza aver mangiato niente di diverso, e conclude che «non c’è una regola».</w:t>
      </w:r>
    </w:p>
    <w:p>
      <w:pPr>
        <w:pStyle w:val="BlockText"/>
      </w:pPr>
      <w:r>
        <w:rPr>
          <w:b/>
          <w:bCs/>
        </w:rPr>
        <w:t xml:space="preserve">Quanto è solido:</w:t>
      </w:r>
      <w:r>
        <w:t xml:space="preserve"> </w:t>
      </w:r>
      <w:r>
        <w:t xml:space="preserve">l’etichetta si spezza.</w:t>
      </w:r>
      <w:r>
        <w:t xml:space="preserve"> </w:t>
      </w:r>
      <w:r>
        <w:rPr>
          <w:b/>
          <w:bCs/>
        </w:rPr>
        <w:t xml:space="preserve">Sull’effetto motorio nell’uomo: PROBABILE</w:t>
      </w:r>
      <w:r>
        <w:t xml:space="preserve"> </w:t>
      </w:r>
      <w:r>
        <w:rPr>
          <w:i/>
          <w:iCs/>
        </w:rPr>
        <w:t xml:space="preserve">(razionale forte, prove parziali)</w:t>
      </w:r>
      <w:r>
        <w:t xml:space="preserve">. Con l’ormone in vena la motilità del colon discendente aumenta in tutti, e</w:t>
      </w:r>
      <w:r>
        <w:t xml:space="preserve"> </w:t>
      </w:r>
      <w:r>
        <w:rPr>
          <w:b/>
          <w:bCs/>
        </w:rPr>
        <w:t xml:space="preserve">di più</w:t>
      </w:r>
      <w:r>
        <w:t xml:space="preserve"> </w:t>
      </w:r>
      <w:r>
        <w:t xml:space="preserve">nei pazienti. I sintomi addominali evocati durano più a lungo — 10 pazienti e 10 sani (Fukudo,</w:t>
      </w:r>
      <w:r>
        <w:t xml:space="preserve"> </w:t>
      </w:r>
      <w:r>
        <w:rPr>
          <w:i/>
          <w:iCs/>
        </w:rPr>
        <w:t xml:space="preserve">Gut</w:t>
      </w:r>
      <w:r>
        <w:t xml:space="preserve"> </w:t>
      </w:r>
      <w:r>
        <w:t xml:space="preserve">1998 — PMID 9691924). Con un antagonista del recettore, la risposta motoria esagerata viene soppressa nei pazienti e non nei controlli, insieme a dolore e ansia evocati. E l’asse ipofisi-surrene</w:t>
      </w:r>
      <w:r>
        <w:t xml:space="preserve"> </w:t>
      </w:r>
      <w:r>
        <w:rPr>
          <w:b/>
          <w:bCs/>
        </w:rPr>
        <w:t xml:space="preserve">non viene toccato</w:t>
      </w:r>
      <w:r>
        <w:t xml:space="preserve"> </w:t>
      </w:r>
      <w:r>
        <w:t xml:space="preserve">(Sagami,</w:t>
      </w:r>
      <w:r>
        <w:t xml:space="preserve"> </w:t>
      </w:r>
      <w:r>
        <w:rPr>
          <w:i/>
          <w:iCs/>
        </w:rPr>
        <w:t xml:space="preserve">Gut</w:t>
      </w:r>
      <w:r>
        <w:t xml:space="preserve"> </w:t>
      </w:r>
      <w:r>
        <w:t xml:space="preserve">2004 — PMID 15194643). La direzione è misurata nell’uomo, su campioni piccoli.</w:t>
      </w:r>
      <w:r>
        <w:t xml:space="preserve"> </w:t>
      </w:r>
      <w:r>
        <w:rPr>
          <w:b/>
          <w:bCs/>
        </w:rPr>
        <w:t xml:space="preserve">Sul tratto pontino-sacrale: PROBABILE</w:t>
      </w:r>
      <w:r>
        <w:t xml:space="preserve"> </w:t>
      </w:r>
      <w:r>
        <w:rPr>
          <w:i/>
          <w:iCs/>
        </w:rPr>
        <w:t xml:space="preserve">(razionale forte, prove parziali)</w:t>
      </w:r>
      <w:r>
        <w:t xml:space="preserve">, con la provenienza dichiarata: l’anello è tracciato nell’animale (Valentino 2000 — PMID 10701863; Rouzade-Dominguez 2003 — PMID 14686905), e nell’uomo la dissociazione dal cortisolo è coerente con esso.</w:t>
      </w:r>
      <w:r>
        <w:t xml:space="preserve"> </w:t>
      </w:r>
      <w:r>
        <w:rPr>
          <w:b/>
          <w:bCs/>
        </w:rPr>
        <w:t xml:space="preserve">Sul fatto che un tocco modifichi quella via: IPOTESI</w:t>
      </w:r>
      <w:r>
        <w:t xml:space="preserve"> </w:t>
      </w:r>
      <w:r>
        <w:rPr>
          <w:i/>
          <w:iCs/>
        </w:rPr>
        <w:t xml:space="preserve">(meccanismo coerente, nessuno studio)</w:t>
      </w:r>
      <w:r>
        <w:t xml:space="preserve">.</w:t>
      </w:r>
    </w:p>
    <w:p>
      <w:pPr>
        <w:pStyle w:val="FirstParagraph"/>
      </w:pPr>
      <w:r>
        <w:rPr>
          <w:b/>
          <w:bCs/>
        </w:rPr>
        <w:t xml:space="preserve">Per te:</w:t>
      </w:r>
      <w:r>
        <w:t xml:space="preserve"> </w:t>
      </w:r>
      <w:r>
        <w:t xml:space="preserve">questi due studi cambiano la conversazione più di qualunque altra cosa nel documento. Ti autorizzano a dire che la tensione</w:t>
      </w:r>
      <w:r>
        <w:t xml:space="preserve"> </w:t>
      </w:r>
      <w:r>
        <w:rPr>
          <w:b/>
          <w:bCs/>
        </w:rPr>
        <w:t xml:space="preserve">non passa dalla testa per finire nella testa</w:t>
      </w:r>
      <w:r>
        <w:t xml:space="preserve">: passa da un circuito che scende fino al suo intestino, e bloccando quel recettore la motilità torna indietro. Ma sono venti persone per studio. Non dire «è dimostrato»: dì «è stato misurato, in pochi, e nella direzione che ti sto raccontando».</w:t>
      </w:r>
      <w:r>
        <w:t xml:space="preserve"> </w:t>
      </w:r>
      <w:r>
        <w:rPr>
          <w:b/>
          <w:bCs/>
        </w:rPr>
        <w:t xml:space="preserve">E non dire «abbassiamo il cortisolo»:</w:t>
      </w:r>
      <w:r>
        <w:t xml:space="preserve"> </w:t>
      </w:r>
      <w:r>
        <w:t xml:space="preserve">è il braccio che in questa risposta non è in gioco.</w:t>
      </w:r>
    </w:p>
    <w:p>
      <w:pPr>
        <w:pStyle w:val="BodyText"/>
      </w:pPr>
      <w:r>
        <w:rPr>
          <w:b/>
          <w:bCs/>
        </w:rPr>
        <w:t xml:space="preserve">Come si vede addosso al paziente.</w:t>
      </w:r>
      <w:r>
        <w:t xml:space="preserve"> </w:t>
      </w:r>
      <w:r>
        <w:t xml:space="preserve">Peggioramento nelle settimane tese, a parità di alimentazione. Scariche prima di un evento e non dopo. Respiro corto e alto, tessuti che rimbalzano ogni correzione, difficoltà a stare fermo sul lettino. E il segno che vale una domanda:</w:t>
      </w:r>
      <w:r>
        <w:t xml:space="preserve"> </w:t>
      </w:r>
      <w:r>
        <w:rPr>
          <w:b/>
          <w:bCs/>
        </w:rPr>
        <w:t xml:space="preserve">in vacanza sta meglio mangiando peggio.</w:t>
      </w:r>
    </w:p>
    <w:p>
      <w:pPr>
        <w:pStyle w:val="BodyText"/>
      </w:pPr>
      <w:r>
        <w:rPr>
          <w:b/>
          <w:bCs/>
        </w:rPr>
        <w:t xml:space="preserve">E la prova al contrario.</w:t>
      </w:r>
      <w:r>
        <w:t xml:space="preserve"> </w:t>
      </w:r>
      <w:r>
        <w:t xml:space="preserve">Se comanda il quarto, allora le settimane buone e quelle pessime devono seguire il carico della vita, non il calendario. Se il paziente sta uguale in vacanza e uguale sotto consegna, non è questo a comandare: guarda il terzo e il sesto.</w:t>
      </w:r>
    </w:p>
    <w:p>
      <w:pPr>
        <w:pStyle w:val="BodyText"/>
      </w:pPr>
      <w:r>
        <w:rPr>
          <w:b/>
          <w:bCs/>
        </w:rPr>
        <w:t xml:space="preserve">È l’impianto di casa con il campanello e la pompa dell’acqua sullo stesso interruttore: qualcuno suona alla porta, e parte l’acqua.</w:t>
      </w:r>
    </w:p>
    <w:p>
      <w:pPr>
        <w:pStyle w:val="BlockText"/>
      </w:pPr>
      <w:r>
        <w:rPr>
          <w:b/>
          <w:bCs/>
        </w:rPr>
        <w:t xml:space="preserve">Attenzione — due precisazioni che valgono per tutto il corpus.</w:t>
      </w:r>
      <w:r>
        <w:t xml:space="preserve"> </w:t>
      </w:r>
      <w:r>
        <w:t xml:space="preserve">La prima: nelle Bibbie viscerali dello studio lo stress è</w:t>
      </w:r>
      <w:r>
        <w:t xml:space="preserve"> </w:t>
      </w:r>
      <w:r>
        <w:rPr>
          <w:b/>
          <w:bCs/>
        </w:rPr>
        <w:t xml:space="preserve">amplificatore percettivo e non generatore</w:t>
      </w:r>
      <w:r>
        <w:t xml:space="preserve">. Qui quella formulazione è incompleta, perché sul colon la componente motoria è misurata nell’uomo e non dedotta dall’animale: lo stress fa</w:t>
      </w:r>
      <w:r>
        <w:t xml:space="preserve"> </w:t>
      </w:r>
      <w:r>
        <w:rPr>
          <w:b/>
          <w:bCs/>
        </w:rPr>
        <w:t xml:space="preserve">entrambe le cose</w:t>
      </w:r>
      <w:r>
        <w:t xml:space="preserve">. La seconda: «asse dello stress» qui</w:t>
      </w:r>
      <w:r>
        <w:t xml:space="preserve"> </w:t>
      </w:r>
      <w:r>
        <w:rPr>
          <w:b/>
          <w:bCs/>
        </w:rPr>
        <w:t xml:space="preserve">non</w:t>
      </w:r>
      <w:r>
        <w:t xml:space="preserve"> </w:t>
      </w:r>
      <w:r>
        <w:t xml:space="preserve">significa asse ipotalamo-ipofisi-surrene, ma la via nervosa che dal ponte scende sul sacro. Chiamarla ormonale la fa viaggiare nel sangue, e le fa scavalcare la mappa segmentaria costruita due capitoli prima.</w:t>
      </w:r>
    </w:p>
    <w:bookmarkEnd w:id="30"/>
    <w:bookmarkStart w:id="31" w:name="Xf54b8985d45d353035932b948c884fce428d106"/>
    <w:p>
      <w:pPr>
        <w:pStyle w:val="Heading3"/>
      </w:pPr>
      <w:r>
        <w:t xml:space="preserve">5. Il freno motore che si stacca — il pattern retrogrado che manca dopo il pasto</w:t>
      </w:r>
    </w:p>
    <w:p>
      <w:pPr>
        <w:pStyle w:val="FirstParagraph"/>
      </w:pPr>
      <w:r>
        <w:rPr>
          <w:b/>
          <w:bCs/>
        </w:rPr>
        <w:t xml:space="preserve">La sequenza.</w:t>
      </w:r>
    </w:p>
    <w:p>
      <w:pPr>
        <w:pStyle w:val="Compact"/>
        <w:numPr>
          <w:ilvl w:val="0"/>
          <w:numId w:val="1015"/>
        </w:numPr>
      </w:pPr>
      <w:r>
        <w:t xml:space="preserve">Nel colon distale di un adulto sano il ritmo dominante è di 2-4 cicli al minuto, e dopo il pasto la propagazione</w:t>
      </w:r>
      <w:r>
        <w:t xml:space="preserve"> </w:t>
      </w:r>
      <w:r>
        <w:rPr>
          <w:b/>
          <w:bCs/>
        </w:rPr>
        <w:t xml:space="preserve">all’indietro</w:t>
      </w:r>
      <w:r>
        <w:t xml:space="preserve"> </w:t>
      </w:r>
      <w:r>
        <w:t xml:space="preserve">prevale su quella in avanti.</w:t>
      </w:r>
    </w:p>
    <w:p>
      <w:pPr>
        <w:pStyle w:val="Compact"/>
        <w:numPr>
          <w:ilvl w:val="0"/>
          <w:numId w:val="1015"/>
        </w:numPr>
      </w:pPr>
      <w:r>
        <w:t xml:space="preserve">È il meccanismo che tiene il contenuto lontano dal retto nelle ore postprandiali.</w:t>
      </w:r>
    </w:p>
    <w:p>
      <w:pPr>
        <w:pStyle w:val="Compact"/>
        <w:numPr>
          <w:ilvl w:val="0"/>
          <w:numId w:val="1015"/>
        </w:numPr>
      </w:pPr>
      <w:r>
        <w:t xml:space="preserve">Nei pazienti con diarrea quella prevalenza retrograda non compare.</w:t>
      </w:r>
    </w:p>
    <w:p>
      <w:pPr>
        <w:pStyle w:val="Compact"/>
        <w:numPr>
          <w:ilvl w:val="0"/>
          <w:numId w:val="1015"/>
        </w:numPr>
      </w:pPr>
      <w:r>
        <w:t xml:space="preserve">Il retto si riempie prima del previsto.</w:t>
      </w:r>
    </w:p>
    <w:p>
      <w:pPr>
        <w:pStyle w:val="Compact"/>
        <w:numPr>
          <w:ilvl w:val="0"/>
          <w:numId w:val="1015"/>
        </w:numPr>
      </w:pPr>
      <w:r>
        <w:t xml:space="preserve">Ne segue l’urgenza dopo il pasto, cioè il momento in cui questi pazienti hanno più paura di uscire.</w:t>
      </w:r>
    </w:p>
    <w:p>
      <w:pPr>
        <w:pStyle w:val="BlockText"/>
      </w:pPr>
      <w:r>
        <w:rPr>
          <w:b/>
          <w:bCs/>
        </w:rPr>
        <w:t xml:space="preserve">Quanto è solido:</w:t>
      </w:r>
      <w:r>
        <w:t xml:space="preserve"> </w:t>
      </w:r>
      <w:r>
        <w:t xml:space="preserve">l’etichetta si spezza.</w:t>
      </w:r>
      <w:r>
        <w:t xml:space="preserve"> </w:t>
      </w:r>
      <w:r>
        <w:rPr>
          <w:b/>
          <w:bCs/>
        </w:rPr>
        <w:t xml:space="preserve">Sulla differenza di pattern: PROBABILE</w:t>
      </w:r>
      <w:r>
        <w:t xml:space="preserve"> </w:t>
      </w:r>
      <w:r>
        <w:rPr>
          <w:i/>
          <w:iCs/>
        </w:rPr>
        <w:t xml:space="preserve">(razionale forte, prove parziali)</w:t>
      </w:r>
      <w:r>
        <w:t xml:space="preserve"> </w:t>
      </w:r>
      <w:r>
        <w:t xml:space="preserve">— manometria a fibra ottica a 72 sensori, 13 pazienti e 12 sani, un solo centro (Wiklendt 2023 — PMID 37162180).</w:t>
      </w:r>
      <w:r>
        <w:t xml:space="preserve"> </w:t>
      </w:r>
      <w:r>
        <w:rPr>
          <w:b/>
          <w:bCs/>
        </w:rPr>
        <w:t xml:space="preserve">Sul legame causale con l’urgenza postprandiale: IPOTESI</w:t>
      </w:r>
      <w:r>
        <w:t xml:space="preserve"> </w:t>
      </w:r>
      <w:r>
        <w:rPr>
          <w:i/>
          <w:iCs/>
        </w:rPr>
        <w:t xml:space="preserve">(meccanismo coerente, nessuno studio)</w:t>
      </w:r>
      <w:r>
        <w:t xml:space="preserve"> </w:t>
      </w:r>
      <w:r>
        <w:t xml:space="preserve">— è l’ipotesi dichiarata dagli autori, non una dimostrazione.</w:t>
      </w:r>
    </w:p>
    <w:p>
      <w:pPr>
        <w:pStyle w:val="FirstParagraph"/>
      </w:pPr>
      <w:r>
        <w:rPr>
          <w:b/>
          <w:bCs/>
        </w:rPr>
        <w:t xml:space="preserve">E c’è una seconda via.</w:t>
      </w:r>
      <w:r>
        <w:t xml:space="preserve"> </w:t>
      </w:r>
      <w:r>
        <w:t xml:space="preserve">Il pasto raggiunge il colon distale anche come</w:t>
      </w:r>
      <w:r>
        <w:t xml:space="preserve"> </w:t>
      </w:r>
      <w:r>
        <w:rPr>
          <w:b/>
          <w:bCs/>
        </w:rPr>
        <w:t xml:space="preserve">segnale</w:t>
      </w:r>
      <w:r>
        <w:t xml:space="preserve">. Se si infondono lipidi nel duodeno, la soglia di fastidio rettale scende da 34±4 a 24±6 g (p &lt; 0,05). È il riflesso duodeno-rettale, che sensibilizza e</w:t>
      </w:r>
      <w:r>
        <w:t xml:space="preserve"> </w:t>
      </w:r>
      <w:r>
        <w:rPr>
          <w:b/>
          <w:bCs/>
        </w:rPr>
        <w:t xml:space="preserve">dipende dal grasso</w:t>
      </w:r>
      <w:r>
        <w:t xml:space="preserve"> </w:t>
      </w:r>
      <w:r>
        <w:t xml:space="preserve">(Caldarella 2005 — PMID 15667496).</w:t>
      </w:r>
      <w:r>
        <w:t xml:space="preserve"> </w:t>
      </w:r>
      <w:r>
        <w:rPr>
          <w:b/>
          <w:bCs/>
        </w:rPr>
        <w:t xml:space="preserve">PROBABILE</w:t>
      </w:r>
      <w:r>
        <w:t xml:space="preserve"> </w:t>
      </w:r>
      <w:r>
        <w:rPr>
          <w:i/>
          <w:iCs/>
        </w:rPr>
        <w:t xml:space="preserve">(razionale forte, prove parziali)</w:t>
      </w:r>
      <w:r>
        <w:t xml:space="preserve">. Le due vie non si escludono: una toglie il freno, l’altra abbassa la soglia.</w:t>
      </w:r>
    </w:p>
    <w:p>
      <w:pPr>
        <w:pStyle w:val="BlockText"/>
      </w:pPr>
      <w:r>
        <w:rPr>
          <w:b/>
          <w:bCs/>
        </w:rPr>
        <w:t xml:space="preserve">Attenzione — cosa resta vero di «il cibo non ti dà una regola».</w:t>
      </w:r>
      <w:r>
        <w:t xml:space="preserve"> </w:t>
      </w:r>
      <w:r>
        <w:t xml:space="preserve">È vero che</w:t>
      </w:r>
      <w:r>
        <w:t xml:space="preserve"> </w:t>
      </w:r>
      <w:r>
        <w:rPr>
          <w:b/>
          <w:bCs/>
        </w:rPr>
        <w:t xml:space="preserve">l’identità dell’alimento non predice</w:t>
      </w:r>
      <w:r>
        <w:t xml:space="preserve">: non c’è un colpevole singolo, ed è per questo che le diete di esclusione non hanno funzionato. Non è vero che il pasto non c’entri:</w:t>
      </w:r>
      <w:r>
        <w:t xml:space="preserve"> </w:t>
      </w:r>
      <w:r>
        <w:rPr>
          <w:b/>
          <w:bCs/>
        </w:rPr>
        <w:t xml:space="preserve">carico di grassi e volume hanno una via misurata verso l’urgenza</w:t>
      </w:r>
      <w:r>
        <w:t xml:space="preserve">. Detta nella forma sbagliata, quella frase crolla il giorno in cui il paziente nota di stare peggio dopo i pasti grassi. E con lei crolli tu.</w:t>
      </w:r>
    </w:p>
    <w:p>
      <w:pPr>
        <w:pStyle w:val="FirstParagraph"/>
      </w:pPr>
      <w:r>
        <w:rPr>
          <w:b/>
          <w:bCs/>
        </w:rPr>
        <w:t xml:space="preserve">Come si vede addosso al paziente.</w:t>
      </w:r>
      <w:r>
        <w:t xml:space="preserve"> </w:t>
      </w:r>
      <w:r>
        <w:t xml:space="preserve">Conta l’orologio più della lista della spesa: la scarica arriva</w:t>
      </w:r>
      <w:r>
        <w:t xml:space="preserve"> </w:t>
      </w:r>
      <w:r>
        <w:rPr>
          <w:b/>
          <w:bCs/>
        </w:rPr>
        <w:t xml:space="preserve">dopo aver mangiato</w:t>
      </w:r>
      <w:r>
        <w:t xml:space="preserve">, quasi indipendentemente da cosa. Ha già eliminato mezza tavola, e il momento della giornata non è cambiato. Spesso mangia poco fuori casa, e non lo dice.</w:t>
      </w:r>
    </w:p>
    <w:p>
      <w:pPr>
        <w:pStyle w:val="BodyText"/>
      </w:pPr>
      <w:r>
        <w:rPr>
          <w:b/>
          <w:bCs/>
        </w:rPr>
        <w:t xml:space="preserve">Chi genera quel ritmo, e chi lo modula.</w:t>
      </w:r>
      <w:r>
        <w:t xml:space="preserve"> </w:t>
      </w:r>
      <w:r>
        <w:t xml:space="preserve">Il pattern ciclico è</w:t>
      </w:r>
      <w:r>
        <w:t xml:space="preserve"> </w:t>
      </w:r>
      <w:r>
        <w:rPr>
          <w:b/>
          <w:bCs/>
        </w:rPr>
        <w:t xml:space="preserve">generato dalla rete nervosa dentro la parete</w:t>
      </w:r>
      <w:r>
        <w:t xml:space="preserve">: nel preparato isolato viene abolito bloccando quel circuito (Costa e Spencer 2020 — PMID 31709829, topo). Simpatico e sacrale lo</w:t>
      </w:r>
      <w:r>
        <w:t xml:space="preserve"> </w:t>
      </w:r>
      <w:r>
        <w:rPr>
          <w:b/>
          <w:bCs/>
        </w:rPr>
        <w:t xml:space="preserve">modulano</w:t>
      </w:r>
      <w:r>
        <w:t xml:space="preserve">. Una mano, al massimo, agisce sul modulatore, mai sul generatore.</w:t>
      </w:r>
    </w:p>
    <w:p>
      <w:pPr>
        <w:pStyle w:val="BodyText"/>
      </w:pPr>
      <w:r>
        <w:rPr>
          <w:b/>
          <w:bCs/>
        </w:rPr>
        <w:t xml:space="preserve">È il freno motore che si stacca in discesa: nessuno ha toccato l’acceleratore, e la macchina va più veloce lo stesso.</w:t>
      </w:r>
    </w:p>
    <w:bookmarkEnd w:id="31"/>
    <w:bookmarkStart w:id="32" w:name="X0fb463c385c32e9facf7ad6ba9f0d4467cc3b6f"/>
    <w:p>
      <w:pPr>
        <w:pStyle w:val="Heading3"/>
      </w:pPr>
      <w:r>
        <w:t xml:space="preserve">6. Il guinzaglio che si accorcia — la sorveglianza e l’evitamento</w:t>
      </w:r>
    </w:p>
    <w:p>
      <w:pPr>
        <w:pStyle w:val="FirstParagraph"/>
      </w:pPr>
      <w:r>
        <w:rPr>
          <w:b/>
          <w:bCs/>
        </w:rPr>
        <w:t xml:space="preserve">La sequenza.</w:t>
      </w:r>
    </w:p>
    <w:p>
      <w:pPr>
        <w:pStyle w:val="Compact"/>
        <w:numPr>
          <w:ilvl w:val="0"/>
          <w:numId w:val="1016"/>
        </w:numPr>
      </w:pPr>
      <w:r>
        <w:t xml:space="preserve">Dopo qualche episodio in pubblico, il paziente comincia a controllare le sensazioni addominali.</w:t>
      </w:r>
    </w:p>
    <w:p>
      <w:pPr>
        <w:pStyle w:val="Compact"/>
        <w:numPr>
          <w:ilvl w:val="0"/>
          <w:numId w:val="1016"/>
        </w:numPr>
      </w:pPr>
      <w:r>
        <w:t xml:space="preserve">Il controllo abbassa la soglia a cui una sensazione normale diventa un segnale di allarme.</w:t>
      </w:r>
    </w:p>
    <w:p>
      <w:pPr>
        <w:pStyle w:val="Compact"/>
        <w:numPr>
          <w:ilvl w:val="0"/>
          <w:numId w:val="1016"/>
        </w:numPr>
      </w:pPr>
      <w:r>
        <w:t xml:space="preserve">Per sicurezza evita: prima il ristorante, poi la macchina lunga, poi la riunione, poi il viaggio.</w:t>
      </w:r>
    </w:p>
    <w:p>
      <w:pPr>
        <w:pStyle w:val="Compact"/>
        <w:numPr>
          <w:ilvl w:val="0"/>
          <w:numId w:val="1016"/>
        </w:numPr>
      </w:pPr>
      <w:r>
        <w:t xml:space="preserve">Ogni evitamento riduce la paura oggi, e conferma domani che quella situazione era pericolosa.</w:t>
      </w:r>
    </w:p>
    <w:p>
      <w:pPr>
        <w:pStyle w:val="Compact"/>
        <w:numPr>
          <w:ilvl w:val="0"/>
          <w:numId w:val="1016"/>
        </w:numPr>
      </w:pPr>
      <w:r>
        <w:t xml:space="preserve">Il raggio di vita si stringe, e il sintomo non si è mosso.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 misura più diretta è indiretta ma pesante. Le terapie psicologiche strutturate agiscono proprio su sorveglianza ed evitamento, e riducono la quota di pazienti ancora sintomatici: 41 studi randomizzati, 4.072 partecipanti, rischio relativo di restare sintomatici 0,61 per la terapia cognitivo-comportamentale autosomministrata, 0,62 in presenza, 0,67 per l’ipnoterapia diretta all’intestino.</w:t>
      </w:r>
      <w:r>
        <w:t xml:space="preserve"> </w:t>
      </w:r>
      <w:r>
        <w:rPr>
          <w:i/>
          <w:iCs/>
        </w:rPr>
        <w:t xml:space="preserve">Perché PROBABILE e non DIMOSTRATO:</w:t>
      </w:r>
      <w:r>
        <w:t xml:space="preserve"> </w:t>
      </w:r>
      <w:r>
        <w:t xml:space="preserve">gli autori dichiarano</w:t>
      </w:r>
      <w:r>
        <w:t xml:space="preserve"> </w:t>
      </w:r>
      <w:r>
        <w:rPr>
          <w:b/>
          <w:bCs/>
        </w:rPr>
        <w:t xml:space="preserve">rischio di distorsione alto, asimmetria del funnel plot ed efficacia probabilmente sovrastimata</w:t>
      </w:r>
      <w:r>
        <w:t xml:space="preserve"> </w:t>
      </w:r>
      <w:r>
        <w:t xml:space="preserve">(Black,</w:t>
      </w:r>
      <w:r>
        <w:t xml:space="preserve"> </w:t>
      </w:r>
      <w:r>
        <w:rPr>
          <w:i/>
          <w:iCs/>
        </w:rPr>
        <w:t xml:space="preserve">Gut</w:t>
      </w:r>
      <w:r>
        <w:t xml:space="preserve"> </w:t>
      </w:r>
      <w:r>
        <w:t xml:space="preserve">2020 — PMID 32276950). «Solidi» e «probabilmente sovrastimata» non stanno nella stessa frase.</w:t>
      </w:r>
    </w:p>
    <w:p>
      <w:pPr>
        <w:pStyle w:val="FirstParagraph"/>
      </w:pPr>
      <w:r>
        <w:rPr>
          <w:b/>
          <w:bCs/>
        </w:rPr>
        <w:t xml:space="preserve">In quanto tempo si muove.</w:t>
      </w:r>
      <w:r>
        <w:t xml:space="preserve"> </w:t>
      </w:r>
      <w:r>
        <w:t xml:space="preserve">È l’unico meccanismo di</w:t>
      </w:r>
      <w:r>
        <w:t xml:space="preserve"> </w:t>
      </w:r>
      <w:r>
        <w:rPr>
          <w:b/>
          <w:bCs/>
        </w:rPr>
        <w:t xml:space="preserve">apprendimento</w:t>
      </w:r>
      <w:r>
        <w:t xml:space="preserve"> </w:t>
      </w:r>
      <w:r>
        <w:t xml:space="preserve">del documento, e la sua scala è</w:t>
      </w:r>
      <w:r>
        <w:t xml:space="preserve"> </w:t>
      </w:r>
      <w:r>
        <w:rPr>
          <w:b/>
          <w:bCs/>
        </w:rPr>
        <w:t xml:space="preserve">settimane-mesi di non-evitamento ripetuto</w:t>
      </w:r>
      <w:r>
        <w:t xml:space="preserve">. Chi lo misura dopo tre sedute conclude che non funziona, e ha misurato la cosa sbagliata.</w:t>
      </w:r>
    </w:p>
    <w:p>
      <w:pPr>
        <w:pStyle w:val="BodyText"/>
      </w:pPr>
      <w:r>
        <w:rPr>
          <w:b/>
          <w:bCs/>
        </w:rPr>
        <w:t xml:space="preserve">Come si vede addosso al paziente.</w:t>
      </w:r>
      <w:r>
        <w:t xml:space="preserve"> </w:t>
      </w:r>
      <w:r>
        <w:t xml:space="preserve">Mappa dei bagni. Rituale mattutino di attesa. Rifiuti sistematici con scuse. Dieta che si restringe senza che nessun test l’abbia giustificata. E il segno che chiude:</w:t>
      </w:r>
      <w:r>
        <w:t xml:space="preserve"> </w:t>
      </w:r>
      <w:r>
        <w:rPr>
          <w:b/>
          <w:bCs/>
        </w:rPr>
        <w:t xml:space="preserve">non lo ha detto a nessuno.</w:t>
      </w:r>
    </w:p>
    <w:p>
      <w:pPr>
        <w:pStyle w:val="BodyText"/>
      </w:pPr>
      <w:r>
        <w:rPr>
          <w:b/>
          <w:bCs/>
        </w:rPr>
        <w:t xml:space="preserve">È il guinzaglio estensibile che qualcuno blocca un metro più corto ogni volta che lo usi: nessuno ha deciso niente, e il giardino in cui puoi muoverti si è ristretto.</w:t>
      </w:r>
    </w:p>
    <w:p>
      <w:pPr>
        <w:pStyle w:val="BodyText"/>
      </w:pPr>
      <w:r>
        <w:rPr>
          <w:b/>
          <w:bCs/>
        </w:rPr>
        <w:t xml:space="preserve">Le tre cose da ricordare, più una</w:t>
      </w:r>
    </w:p>
    <w:p>
      <w:pPr>
        <w:pStyle w:val="Compact"/>
        <w:numPr>
          <w:ilvl w:val="0"/>
          <w:numId w:val="1017"/>
        </w:numPr>
      </w:pPr>
      <w:r>
        <w:t xml:space="preserve">Il meccanismo con le prove migliori — gli acidi biliari — non è un bersaglio: è un cancello. Riconoscilo per primo.</w:t>
      </w:r>
    </w:p>
    <w:p>
      <w:pPr>
        <w:pStyle w:val="Compact"/>
        <w:numPr>
          <w:ilvl w:val="0"/>
          <w:numId w:val="1017"/>
        </w:numPr>
      </w:pPr>
      <w:r>
        <w:t xml:space="preserve">«Non c’è una regola» non è una lamentela vaga: è il segno clinico del quarto e del quinto meccanismo.</w:t>
      </w:r>
    </w:p>
    <w:p>
      <w:pPr>
        <w:pStyle w:val="Compact"/>
        <w:numPr>
          <w:ilvl w:val="0"/>
          <w:numId w:val="1017"/>
        </w:numPr>
      </w:pPr>
      <w:r>
        <w:t xml:space="preserve">Non spinge di più, trattiene di meno. Cambia la storia che il paziente si racconta, e cambia cosa cerchi.</w:t>
      </w:r>
    </w:p>
    <w:p>
      <w:pPr>
        <w:pStyle w:val="Compact"/>
        <w:numPr>
          <w:ilvl w:val="0"/>
          <w:numId w:val="1017"/>
        </w:numPr>
      </w:pPr>
      <w:r>
        <w:rPr>
          <w:b/>
          <w:bCs/>
        </w:rPr>
        <w:t xml:space="preserve">Perché ci sei tu.</w:t>
      </w:r>
      <w:r>
        <w:t xml:space="preserve"> </w:t>
      </w:r>
      <w:r>
        <w:t xml:space="preserve">L’ormone dello stress somministrato in vena aumenta la motilità del colon discendente più nei pazienti che nei sani. Un antagonista del suo recettore la riporta indietro, insieme al dolore e all’ansia evocati (Fukudo 1998 — PMID 9691924; Sagami 2004 — PMID 15194643).</w:t>
      </w:r>
      <w:r>
        <w:t xml:space="preserve"> </w:t>
      </w:r>
      <w:r>
        <w:rPr>
          <w:b/>
          <w:bCs/>
        </w:rPr>
        <w:t xml:space="preserve">Per te:</w:t>
      </w:r>
      <w:r>
        <w:t xml:space="preserve"> </w:t>
      </w:r>
      <w:r>
        <w:t xml:space="preserve">hai un meccanismo concreto da mettere al posto di «è ansia», ed è la cosa che questo paziente non ha mai ricevuto da nessuno. Questo ti autorizza a nominare il livello di attivazione come bersaglio clinico. Non ti autorizza a dire che le tue mani fanno quello che fa un antagonista recettoriale: quello studio ha usato un farmaco, non un tocco.</w:t>
      </w:r>
    </w:p>
    <w:p>
      <w:r>
        <w:pict>
          <v:rect style="width:0;height:1.5pt" o:hralign="center" o:hrstd="t" o:hr="t"/>
        </w:pict>
      </w:r>
    </w:p>
    <w:bookmarkEnd w:id="32"/>
    <w:bookmarkEnd w:id="33"/>
    <w:bookmarkStart w:id="34"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otto pattern, tre dei quali non sono bersagli ma cancelli, e il pattern si</w:t>
      </w:r>
      <w:r>
        <w:t xml:space="preserve"> </w:t>
      </w:r>
      <w:r>
        <w:rPr>
          <w:b/>
          <w:bCs/>
        </w:rPr>
        <w:t xml:space="preserve">presume</w:t>
      </w:r>
      <w:r>
        <w:t xml:space="preserve"> </w:t>
      </w:r>
      <w:r>
        <w:t xml:space="preserve">— non si diagnostica, perché quello è atto medico.</w:t>
      </w:r>
    </w:p>
    <w:p>
      <w:pPr>
        <w:pStyle w:val="FirstParagraph"/>
      </w:pPr>
      <w:r>
        <w:t xml:space="preserve">Questa condizione è un sintomo, non una malattia. Perciò i «sottotipi» non sono varianti di un quadro: sono quadri diversi. Il pattern che scegli è una</w:t>
      </w:r>
      <w:r>
        <w:t xml:space="preserve"> </w:t>
      </w:r>
      <w:r>
        <w:rPr>
          <w:b/>
          <w:bCs/>
        </w:rPr>
        <w:t xml:space="preserve">presunzione di lavoro</w:t>
      </w:r>
      <w:r>
        <w:t xml:space="preserve">: il preventivo, non la fattura. Si scrive in cartella come presunzione, e si dice al paziente come presunzione.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Acidi biliari</w:t>
            </w:r>
          </w:p>
        </w:tc>
        <w:tc>
          <w:tcPr/>
          <w:p>
            <w:pPr>
              <w:pStyle w:val="Compact"/>
            </w:pPr>
            <w:r>
              <w:t xml:space="preserve">Feci acquose, diete inutili, test mai fatto</w:t>
            </w:r>
          </w:p>
        </w:tc>
        <w:tc>
          <w:tcPr/>
          <w:p>
            <w:pPr>
              <w:pStyle w:val="Compact"/>
            </w:pPr>
            <w:r>
              <w:t xml:space="preserve">Primo</w:t>
            </w:r>
          </w:p>
        </w:tc>
        <w:tc>
          <w:tcPr/>
          <w:p>
            <w:pPr>
              <w:pStyle w:val="Compact"/>
            </w:pPr>
            <w:r>
              <w:t xml:space="preserve">Niente — invio</w:t>
            </w:r>
          </w:p>
        </w:tc>
      </w:tr>
      <w:tr>
        <w:tc>
          <w:tcPr/>
          <w:p>
            <w:pPr>
              <w:pStyle w:val="Compact"/>
            </w:pPr>
            <w:r>
              <w:t xml:space="preserve">Infiammatorio o strutturale</w:t>
            </w:r>
          </w:p>
        </w:tc>
        <w:tc>
          <w:tcPr/>
          <w:p>
            <w:pPr>
              <w:pStyle w:val="Compact"/>
            </w:pPr>
            <w:r>
              <w:t xml:space="preserve">Bandiera rossa presente</w:t>
            </w:r>
          </w:p>
        </w:tc>
        <w:tc>
          <w:tcPr/>
          <w:p>
            <w:pPr>
              <w:pStyle w:val="Compact"/>
            </w:pPr>
            <w:r>
              <w:t xml:space="preserve">Fuori elenco</w:t>
            </w:r>
          </w:p>
        </w:tc>
        <w:tc>
          <w:tcPr/>
          <w:p>
            <w:pPr>
              <w:pStyle w:val="Compact"/>
            </w:pPr>
            <w:r>
              <w:t xml:space="preserve">Niente — invio</w:t>
            </w:r>
          </w:p>
        </w:tc>
      </w:tr>
      <w:tr>
        <w:tc>
          <w:tcPr/>
          <w:p>
            <w:pPr>
              <w:pStyle w:val="Compact"/>
            </w:pPr>
            <w:r>
              <w:t xml:space="preserve">Post-infettivo</w:t>
            </w:r>
          </w:p>
        </w:tc>
        <w:tc>
          <w:tcPr/>
          <w:p>
            <w:pPr>
              <w:pStyle w:val="Compact"/>
            </w:pPr>
            <w:r>
              <w:t xml:space="preserve">Data d’inizio precisa</w:t>
            </w:r>
          </w:p>
        </w:tc>
        <w:tc>
          <w:tcPr/>
          <w:p>
            <w:pPr>
              <w:pStyle w:val="Compact"/>
            </w:pPr>
            <w:r>
              <w:t xml:space="preserve">Terzo</w:t>
            </w:r>
          </w:p>
        </w:tc>
        <w:tc>
          <w:tcPr/>
          <w:p>
            <w:pPr>
              <w:pStyle w:val="Compact"/>
            </w:pPr>
            <w:r>
              <w:t xml:space="preserve">Poco, e lento</w:t>
            </w:r>
          </w:p>
        </w:tc>
      </w:tr>
      <w:tr>
        <w:tc>
          <w:tcPr/>
          <w:p>
            <w:pPr>
              <w:pStyle w:val="Compact"/>
            </w:pPr>
            <w:r>
              <w:t xml:space="preserve">Attivazione dominante</w:t>
            </w:r>
          </w:p>
        </w:tc>
        <w:tc>
          <w:tcPr/>
          <w:p>
            <w:pPr>
              <w:pStyle w:val="Compact"/>
            </w:pPr>
            <w:r>
              <w:t xml:space="preserve">Meglio in vacanza, peggio nelle settimane tese</w:t>
            </w:r>
          </w:p>
        </w:tc>
        <w:tc>
          <w:tcPr/>
          <w:p>
            <w:pPr>
              <w:pStyle w:val="Compact"/>
            </w:pPr>
            <w:r>
              <w:t xml:space="preserve">Quarto</w:t>
            </w:r>
          </w:p>
        </w:tc>
        <w:tc>
          <w:tcPr/>
          <w:p>
            <w:pPr>
              <w:pStyle w:val="Compact"/>
            </w:pPr>
            <w:r>
              <w:t xml:space="preserve">Abbastanza</w:t>
            </w:r>
          </w:p>
        </w:tc>
      </w:tr>
      <w:tr>
        <w:tc>
          <w:tcPr/>
          <w:p>
            <w:pPr>
              <w:pStyle w:val="Compact"/>
            </w:pPr>
            <w:r>
              <w:t xml:space="preserve">Postprandiale</w:t>
            </w:r>
          </w:p>
        </w:tc>
        <w:tc>
          <w:tcPr/>
          <w:p>
            <w:pPr>
              <w:pStyle w:val="Compact"/>
            </w:pPr>
            <w:r>
              <w:t xml:space="preserve">Urgenza legata all’orario, non al menu</w:t>
            </w:r>
          </w:p>
        </w:tc>
        <w:tc>
          <w:tcPr/>
          <w:p>
            <w:pPr>
              <w:pStyle w:val="Compact"/>
            </w:pPr>
            <w:r>
              <w:t xml:space="preserve">Quinto</w:t>
            </w:r>
          </w:p>
        </w:tc>
        <w:tc>
          <w:tcPr/>
          <w:p>
            <w:pPr>
              <w:pStyle w:val="Compact"/>
            </w:pPr>
            <w:r>
              <w:t xml:space="preserve">Poco</w:t>
            </w:r>
          </w:p>
        </w:tc>
      </w:tr>
      <w:tr>
        <w:tc>
          <w:tcPr/>
          <w:p>
            <w:pPr>
              <w:pStyle w:val="Compact"/>
            </w:pPr>
            <w:r>
              <w:t xml:space="preserve">Sorveglianza ed evitamento</w:t>
            </w:r>
          </w:p>
        </w:tc>
        <w:tc>
          <w:tcPr/>
          <w:p>
            <w:pPr>
              <w:pStyle w:val="Compact"/>
            </w:pPr>
            <w:r>
              <w:t xml:space="preserve">Mappa dei bagni, vita ristretta</w:t>
            </w:r>
          </w:p>
        </w:tc>
        <w:tc>
          <w:tcPr/>
          <w:p>
            <w:pPr>
              <w:pStyle w:val="Compact"/>
            </w:pPr>
            <w:r>
              <w:t xml:space="preserve">Sesto</w:t>
            </w:r>
          </w:p>
        </w:tc>
        <w:tc>
          <w:tcPr/>
          <w:p>
            <w:pPr>
              <w:pStyle w:val="Compact"/>
            </w:pPr>
            <w:r>
              <w:t xml:space="preserve">Abbastanza</w:t>
            </w:r>
          </w:p>
        </w:tc>
      </w:tr>
      <w:tr>
        <w:tc>
          <w:tcPr/>
          <w:p>
            <w:pPr>
              <w:pStyle w:val="Compact"/>
            </w:pPr>
            <w:r>
              <w:t xml:space="preserve">Iatrogeno o da polioli</w:t>
            </w:r>
          </w:p>
        </w:tc>
        <w:tc>
          <w:tcPr/>
          <w:p>
            <w:pPr>
              <w:pStyle w:val="Compact"/>
            </w:pPr>
            <w:r>
              <w:t xml:space="preserve">Farmaco o dolcificante in corso</w:t>
            </w:r>
          </w:p>
        </w:tc>
        <w:tc>
          <w:tcPr/>
          <w:p>
            <w:pPr>
              <w:pStyle w:val="Compact"/>
            </w:pPr>
            <w:r>
              <w:t xml:space="preserve">Fuori elenco</w:t>
            </w:r>
          </w:p>
        </w:tc>
        <w:tc>
          <w:tcPr/>
          <w:p>
            <w:pPr>
              <w:pStyle w:val="Compact"/>
            </w:pPr>
            <w:r>
              <w:t xml:space="preserve">Niente — invio</w:t>
            </w:r>
          </w:p>
        </w:tc>
      </w:tr>
      <w:tr>
        <w:tc>
          <w:tcPr/>
          <w:p>
            <w:pPr>
              <w:pStyle w:val="Compact"/>
            </w:pPr>
            <w:r>
              <w:t xml:space="preserve">Disturbo dell’evacuazione</w:t>
            </w:r>
          </w:p>
        </w:tc>
        <w:tc>
          <w:tcPr/>
          <w:p>
            <w:pPr>
              <w:pStyle w:val="Compact"/>
            </w:pPr>
            <w:r>
              <w:t xml:space="preserve">Alterna, scariche piccole, mai finito</w:t>
            </w:r>
          </w:p>
        </w:tc>
        <w:tc>
          <w:tcPr/>
          <w:p>
            <w:pPr>
              <w:pStyle w:val="Compact"/>
            </w:pPr>
            <w:r>
              <w:t xml:space="preserve">Fuori elenco</w:t>
            </w:r>
          </w:p>
        </w:tc>
        <w:tc>
          <w:tcPr/>
          <w:p>
            <w:pPr>
              <w:pStyle w:val="Compact"/>
            </w:pPr>
            <w:r>
              <w:t xml:space="preserve">Poco, e dall’esterno</w:t>
            </w:r>
          </w:p>
        </w:tc>
      </w:tr>
    </w:tbl>
    <w:p>
      <w:pPr>
        <w:pStyle w:val="BlockText"/>
      </w:pPr>
      <w:r>
        <w:rPr>
          <w:b/>
          <w:bCs/>
        </w:rPr>
        <w:t xml:space="preserve">Attenzione — «invio» qui non significa dimissione.</w:t>
      </w:r>
      <w:r>
        <w:t xml:space="preserve"> </w:t>
      </w:r>
      <w:r>
        <w:t xml:space="preserve">Solo il pattern con bandiera rossa è ROSSO. Acidi biliari e iatrogeno sono due delle cinque forme di inquadramento incompleto, cioè</w:t>
      </w:r>
      <w:r>
        <w:t xml:space="preserve"> </w:t>
      </w:r>
      <w:r>
        <w:rPr>
          <w:b/>
          <w:bCs/>
        </w:rPr>
        <w:t xml:space="preserve">GIALLO</w:t>
      </w:r>
      <w:r>
        <w:t xml:space="preserve">: comunicazione scritta al curante mentre il paziente resta con te, sul tuo reperto.</w:t>
      </w:r>
    </w:p>
    <w:p>
      <w:pPr>
        <w:pStyle w:val="FirstParagraph"/>
      </w:pPr>
      <w:r>
        <w:rPr>
          <w:b/>
          <w:bCs/>
        </w:rPr>
        <w:t xml:space="preserve">Acidi biliari.</w:t>
      </w:r>
      <w:r>
        <w:t xml:space="preserve"> </w:t>
      </w:r>
      <w:r>
        <w:t xml:space="preserve">Il pattern con le prove migliori, e non è tuo. Lo distinguono tre cose: le feci acquose; l’anamnesi — colecistectomia, resezione ileale, Crohn dell’ileo, vecchia radioterapia pelvica —; il fatto che nessuna dieta di esclusione abbia cambiato niente. La risposta alla loperamide non lo distingue: si comunica al curante, e non apre il cancello.</w:t>
      </w:r>
      <w:r>
        <w:t xml:space="preserve"> </w:t>
      </w:r>
      <w:r>
        <w:rPr>
          <w:b/>
          <w:bCs/>
        </w:rPr>
        <w:t xml:space="preserve">Non è un pattern da trattare: è un cancello.</w:t>
      </w:r>
      <w:r>
        <w:t xml:space="preserve"> </w:t>
      </w:r>
      <w:r>
        <w:t xml:space="preserve">Si scrive nel referto al curante, e si nomina il test.</w:t>
      </w:r>
    </w:p>
    <w:p>
      <w:pPr>
        <w:pStyle w:val="BodyText"/>
      </w:pPr>
      <w:r>
        <w:rPr>
          <w:b/>
          <w:bCs/>
        </w:rPr>
        <w:t xml:space="preserve">Infiammatorio o strutturale.</w:t>
      </w:r>
      <w:r>
        <w:t xml:space="preserve"> </w:t>
      </w:r>
      <w:r>
        <w:t xml:space="preserve">Qualunque bandiera rossa della tabella di «Dove finisce il nostro campo». Anche una sola. Non è un sottotipo: è un’uscita.</w:t>
      </w:r>
    </w:p>
    <w:p>
      <w:pPr>
        <w:pStyle w:val="BodyText"/>
      </w:pPr>
      <w:r>
        <w:rPr>
          <w:b/>
          <w:bCs/>
        </w:rPr>
        <w:t xml:space="preserve">Post-infettivo.</w:t>
      </w:r>
      <w:r>
        <w:t xml:space="preserve"> </w:t>
      </w:r>
      <w:r>
        <w:t xml:space="preserve">Il paziente sa la data. Ci si può lavorare, con due avvertenze da dire prima: i tempi sono più lunghi, e il quadro tende a migliorare anche da solo nel tempo. E questa tendenza rende ancora più necessario misurare prima.</w:t>
      </w:r>
    </w:p>
    <w:p>
      <w:pPr>
        <w:pStyle w:val="BodyText"/>
      </w:pPr>
      <w:r>
        <w:rPr>
          <w:b/>
          <w:bCs/>
        </w:rPr>
        <w:t xml:space="preserve">Attivazione dominante.</w:t>
      </w:r>
      <w:r>
        <w:t xml:space="preserve"> </w:t>
      </w:r>
      <w:r>
        <w:t xml:space="preserve">È il pattern più frequente in uno studio osteopatico, ed è quello in cui hai</w:t>
      </w:r>
      <w:r>
        <w:t xml:space="preserve"> </w:t>
      </w:r>
      <w:r>
        <w:rPr>
          <w:b/>
          <w:bCs/>
        </w:rPr>
        <w:t xml:space="preserve">più</w:t>
      </w:r>
      <w:r>
        <w:t xml:space="preserve"> </w:t>
      </w:r>
      <w:r>
        <w:t xml:space="preserve">da fare, non meno. Quello che comanda è il livello di attivazione, e il livello di attivazione è precisamente ciò che il contatto lento, il ritmo del respiro e il tempo dedicato modulano. Il razionale, con la sua etichetta reale, sta in «Perché le mani possono cambiare qualcosa».</w:t>
      </w:r>
    </w:p>
    <w:p>
      <w:pPr>
        <w:pStyle w:val="BodyText"/>
      </w:pPr>
      <w:r>
        <w:rPr>
          <w:b/>
          <w:bCs/>
        </w:rPr>
        <w:t xml:space="preserve">Postprandiale.</w:t>
      </w:r>
      <w:r>
        <w:t xml:space="preserve"> </w:t>
      </w:r>
      <w:r>
        <w:t xml:space="preserve">L’orologio comanda più del menu. Qui puoi poco sul meccanismo, perché nessuno ha misurato il pattern retrogrado prima e dopo un trattamento manuale. E puoi molto sull’educazione: è il pattern in cui la spiegazione vale più del gesto, perché smonta anni di diete inutili.</w:t>
      </w:r>
    </w:p>
    <w:p>
      <w:pPr>
        <w:pStyle w:val="BodyText"/>
      </w:pPr>
      <w:r>
        <w:rPr>
          <w:b/>
          <w:bCs/>
        </w:rPr>
        <w:t xml:space="preserve">Sorveglianza ed evitamento.</w:t>
      </w:r>
      <w:r>
        <w:t xml:space="preserve"> </w:t>
      </w:r>
      <w:r>
        <w:t xml:space="preserve">Quasi sempre coesiste con gli altri e li amplifica. La leva migliore non è tua da erogare per intero, ma la parte educativa lo è. Vedi «Cosa può fare il paziente da solo».</w:t>
      </w:r>
    </w:p>
    <w:p>
      <w:pPr>
        <w:pStyle w:val="BodyText"/>
      </w:pPr>
      <w:r>
        <w:rPr>
          <w:b/>
          <w:bCs/>
        </w:rPr>
        <w:t xml:space="preserve">Iatrogeno o da polioli.</w:t>
      </w:r>
      <w:r>
        <w:t xml:space="preserve"> </w:t>
      </w:r>
      <w:r>
        <w:t xml:space="preserve">È l’unico pattern in cui una domanda sola chiude il caso, ed è quello che nessuno cerca. Da un lato i farmaci: metformina, magnesio, inibitori di pompa, SSRI, FANS, antibiotici recenti. Dall’altro i polioli dei prodotti «senza zucchero» — sorbitolo, maltitolo, gomme, integratori —, che nessuno considera cibo e quindi nessuno nomina.</w:t>
      </w:r>
      <w:r>
        <w:t xml:space="preserve"> </w:t>
      </w:r>
      <w:r>
        <w:rPr>
          <w:b/>
          <w:bCs/>
        </w:rPr>
        <w:t xml:space="preserve">Non è un pattern da trattare: è un cancello.</w:t>
      </w:r>
      <w:r>
        <w:t xml:space="preserve"> </w:t>
      </w:r>
      <w:r>
        <w:t xml:space="preserve">La sua chiave è la lista scritta di tutto ciò che il paziente ingerisce, con da quanto tempo, mandata al curante senza commento.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sul fatto che comandi in</w:t>
      </w:r>
      <w:r>
        <w:t xml:space="preserve"> </w:t>
      </w:r>
      <w:r>
        <w:rPr>
          <w:i/>
          <w:iCs/>
        </w:rPr>
        <w:t xml:space="preserve">questo</w:t>
      </w:r>
      <w:r>
        <w:t xml:space="preserve"> </w:t>
      </w:r>
      <w:r>
        <w:t xml:space="preserve">paziente. La diarrea da farmaci è dentro la diagnosi differenziale delle linee guida già citate (Arasaradnam 2018 — PMID 29653941). E l’associazione con inibitori di pompa, SSRI e FANS è misurata (Verhaegh 2016 — PMID 26956016). Non manca la prova: manca la domanda.</w:t>
      </w:r>
    </w:p>
    <w:p>
      <w:pPr>
        <w:pStyle w:val="FirstParagraph"/>
      </w:pPr>
      <w:r>
        <w:rPr>
          <w:b/>
          <w:bCs/>
        </w:rPr>
        <w:t xml:space="preserve">Disturbo dell’evacuazione.</w:t>
      </w:r>
      <w:r>
        <w:t xml:space="preserve"> </w:t>
      </w:r>
      <w:r>
        <w:t xml:space="preserve">È il paziente che</w:t>
      </w:r>
      <w:r>
        <w:t xml:space="preserve"> </w:t>
      </w:r>
      <w:r>
        <w:rPr>
          <w:b/>
          <w:bCs/>
        </w:rPr>
        <w:t xml:space="preserve">trattiene</w:t>
      </w:r>
      <w:r>
        <w:t xml:space="preserve"> </w:t>
      </w:r>
      <w:r>
        <w:t xml:space="preserve">e si presenta come se accelerasse. Alterna con periodi di blocco, ha scariche piccole, non ha mai la sensazione di aver finito. È il posto dove finiscono i tre segni che il documento raccoglieva sparsi. Tocca strutture raggiungibili</w:t>
      </w:r>
      <w:r>
        <w:t xml:space="preserve"> </w:t>
      </w:r>
      <w:r>
        <w:rPr>
          <w:b/>
          <w:bCs/>
        </w:rPr>
        <w:t xml:space="preserve">dall’esterno</w:t>
      </w:r>
      <w:r>
        <w:t xml:space="preserve">, e il divieto di contatto interno resta intatto.</w:t>
      </w:r>
      <w:r>
        <w:t xml:space="preserve"> </w:t>
      </w:r>
      <w:r>
        <w:rPr>
          <w:b/>
          <w:bCs/>
        </w:rPr>
        <w:t xml:space="preserve">IPOTESI</w:t>
      </w:r>
      <w:r>
        <w:t xml:space="preserve"> </w:t>
      </w:r>
      <w:r>
        <w:rPr>
          <w:i/>
          <w:iCs/>
        </w:rPr>
        <w:t xml:space="preserve">(meccanismo coerente, nessuno studio)</w:t>
      </w:r>
      <w:r>
        <w:t xml:space="preserve"> </w:t>
      </w:r>
      <w:r>
        <w:t xml:space="preserve">su tutto.</w:t>
      </w:r>
    </w:p>
    <w:p>
      <w:pPr>
        <w:pStyle w:val="BodyText"/>
      </w:pPr>
      <w:r>
        <w:rPr>
          <w:b/>
          <w:bCs/>
        </w:rPr>
        <w:t xml:space="preserve">E un modificatore che scavalca i pattern: l’età.</w:t>
      </w:r>
      <w:r>
        <w:t xml:space="preserve"> </w:t>
      </w:r>
      <w:r>
        <w:t xml:space="preserve">Sopra i 65 anni con esordio recente non si sceglie un pattern, si esce. In quella fascia la probabilità di colite microscopica, di causa farmacologica e di neoplasia è di un altro ordine. E quella paziente non racconta la mappa dei bagni, quindi il ritratto del primo capitolo non te la fa riconoscere.</w:t>
      </w:r>
    </w:p>
    <w:p>
      <w:pPr>
        <w:pStyle w:val="BlockText"/>
      </w:pPr>
      <w:r>
        <w:rPr>
          <w:b/>
          <w:bCs/>
        </w:rPr>
        <w:t xml:space="preserve">Condizioni spesso associate:</w:t>
      </w:r>
      <w:r>
        <w:t xml:space="preserve"> </w:t>
      </w:r>
      <w:r>
        <w:t xml:space="preserve">se il dolore addominale è il sintomo dominante, vedi la Bibbia del</w:t>
      </w:r>
      <w:r>
        <w:t xml:space="preserve"> </w:t>
      </w:r>
      <w:r>
        <w:rPr>
          <w:b/>
          <w:bCs/>
        </w:rPr>
        <w:t xml:space="preserve">colon irritabile</w:t>
      </w:r>
      <w:r>
        <w:t xml:space="preserve">. Se il sintomo che porta è la pancia gonfia più delle scariche, vedi la Bibbia del</w:t>
      </w:r>
      <w:r>
        <w:t xml:space="preserve"> </w:t>
      </w:r>
      <w:r>
        <w:rPr>
          <w:b/>
          <w:bCs/>
        </w:rPr>
        <w:t xml:space="preserve">gonfiore addominale</w:t>
      </w:r>
      <w:r>
        <w:t xml:space="preserve">. Se l’alvo alterna con periodi di blocco vero, vedi la Bibbia della</w:t>
      </w:r>
      <w:r>
        <w:t xml:space="preserve"> </w:t>
      </w:r>
      <w:r>
        <w:rPr>
          <w:b/>
          <w:bCs/>
        </w:rPr>
        <w:t xml:space="preserve">stitichezza</w:t>
      </w:r>
      <w:r>
        <w:t xml:space="preserve">. I quattro quadri condividono la mappa nervosa del colon distale e il meccanismo della soglia abbassata. Se lo stato di allarme è il tema che il paziente porta per primo, vedi anche la Bibbia dell’</w:t>
      </w:r>
      <w:r>
        <w:rPr>
          <w:b/>
          <w:bCs/>
        </w:rPr>
        <w:t xml:space="preserve">ansia somatizzata</w:t>
      </w:r>
      <w:r>
        <w:t xml:space="preserve">.</w:t>
      </w:r>
    </w:p>
    <w:p>
      <w:pPr>
        <w:pStyle w:val="FirstParagraph"/>
      </w:pPr>
      <w:r>
        <w:rPr>
          <w:b/>
          <w:bCs/>
        </w:rPr>
        <w:t xml:space="preserve">Le tre cose da ricordare, più una</w:t>
      </w:r>
    </w:p>
    <w:p>
      <w:pPr>
        <w:pStyle w:val="Compact"/>
        <w:numPr>
          <w:ilvl w:val="0"/>
          <w:numId w:val="1018"/>
        </w:numPr>
      </w:pPr>
      <w:r>
        <w:t xml:space="preserve">Tre pattern su otto sono cancelli, non bersagli. Trattarli è l’errore più costoso di questa condizione, e il più economico da evitare: due dei tre si riconoscono con una domanda.</w:t>
      </w:r>
    </w:p>
    <w:p>
      <w:pPr>
        <w:pStyle w:val="Compact"/>
        <w:numPr>
          <w:ilvl w:val="0"/>
          <w:numId w:val="1018"/>
        </w:numPr>
      </w:pPr>
      <w:r>
        <w:t xml:space="preserve">Il pattern si presume e si scrive come presunzione. La parola «diagnosi» non compare in cartella e non esce dalla tua bocca.</w:t>
      </w:r>
    </w:p>
    <w:p>
      <w:pPr>
        <w:pStyle w:val="Compact"/>
        <w:numPr>
          <w:ilvl w:val="0"/>
          <w:numId w:val="1018"/>
        </w:numPr>
      </w:pPr>
      <w:r>
        <w:t xml:space="preserve">I pattern coesistono. Il tuo compito è dire quale comanda oggi, non quale è presente.</w:t>
      </w:r>
    </w:p>
    <w:p>
      <w:pPr>
        <w:pStyle w:val="Compact"/>
        <w:numPr>
          <w:ilvl w:val="0"/>
          <w:numId w:val="1018"/>
        </w:numPr>
      </w:pPr>
      <w:r>
        <w:rPr>
          <w:b/>
          <w:bCs/>
        </w:rPr>
        <w:t xml:space="preserve">Perché ci sei tu.</w:t>
      </w:r>
      <w:r>
        <w:t xml:space="preserve"> </w:t>
      </w:r>
      <w:r>
        <w:t xml:space="preserve">Su questo pattern non ci sei. Poco più di un paziente su quattro con questo quadro ha un malassorbimento degli acidi biliari, con un test dedicato e una terapia dedicata: la stima aggregata su 908 persone è del 28,1% (Slattery 2015 — PMID 25913530). Questo ti autorizza a riconoscerlo e a mandarlo, prima di aprire un ciclo. Non ti autorizza a trattarlo, né a dire al paziente che «potrebbe essere»: quella frase è una diagnosi travestita.</w:t>
      </w:r>
    </w:p>
    <w:p>
      <w:r>
        <w:pict>
          <v:rect style="width:0;height:1.5pt" o:hralign="center" o:hrstd="t" o:hr="t"/>
        </w:pict>
      </w:r>
    </w:p>
    <w:bookmarkEnd w:id="34"/>
    <w:bookmarkStart w:id="40"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comanda il modello Neurologico, il Comportamentale porta le prove migliori del documento, e il Biomeccanico non governa nessun meccanismo — dirlo è più onesto che agganciargliene uno.</w:t>
      </w:r>
    </w:p>
    <w:p>
      <w:pPr>
        <w:pStyle w:val="FirstParagraph"/>
      </w:pPr>
      <w:r>
        <w:rPr>
          <w:b/>
          <w:bCs/>
        </w:rPr>
        <w:t xml:space="preserve">Prima di cominciare: i modelli sono cinque, i meccanismi sono sei, e uno dei sei non appartiene a nessun modello.</w:t>
      </w:r>
      <w:r>
        <w:t xml:space="preserve"> </w:t>
      </w:r>
      <w:r>
        <w:t xml:space="preserve">Gli acidi biliari — il meccanismo con le prove migliori del documento — non sono una lettura osteopatica: sono un cancello medico. Per questo il capitolo parte da cinque meccanismi su sei, e l’assenza è una scelta, non un buco.</w:t>
      </w:r>
    </w:p>
    <w:bookmarkStart w:id="35" w:name="biomeccanico-strutturale"/>
    <w:p>
      <w:pPr>
        <w:pStyle w:val="Heading3"/>
      </w:pPr>
      <w:r>
        <w:t xml:space="preserve">Biomeccanico-Strutturale</w:t>
      </w:r>
    </w:p>
    <w:p>
      <w:pPr>
        <w:pStyle w:val="FirstParagraph"/>
      </w:pPr>
      <w:r>
        <w:rPr>
          <w:b/>
          <w:bCs/>
        </w:rPr>
        <w:t xml:space="preserve">Cosa governa qui.</w:t>
      </w:r>
      <w:r>
        <w:t xml:space="preserve"> </w:t>
      </w:r>
      <w:r>
        <w:t xml:space="preserve">Nulla in proprio, ed è giusto dirlo. Sul colon distale non esiste una meccanica di contenitore paragonabile a quella misurata sul gonfiore addominale. E nessuno ha misurato mobilità viscerale o escursione diaframmatica prima e dopo un trattamento in questi pazienti.</w:t>
      </w:r>
    </w:p>
    <w:p>
      <w:pPr>
        <w:pStyle w:val="BodyText"/>
      </w:pPr>
      <w:r>
        <w:rPr>
          <w:b/>
          <w:bCs/>
        </w:rPr>
        <w:t xml:space="preserve">Dove è finito il viscerale.</w:t>
      </w:r>
      <w:r>
        <w:t xml:space="preserve"> </w:t>
      </w:r>
      <w:r>
        <w:t xml:space="preserve">Il viscerale non è un modello a sé: la sua metà meccanica vive qui, il suo riflesso nel Neurologico. Su questa condizione la metà meccanica è vuota, ed è il motivo per cui questa è la sezione più corta delle cinque.</w:t>
      </w:r>
    </w:p>
    <w:p>
      <w:pPr>
        <w:pStyle w:val="BodyText"/>
      </w:pPr>
      <w:r>
        <w:rPr>
          <w:b/>
          <w:bCs/>
        </w:rPr>
        <w:t xml:space="preserve">Gli attori.</w:t>
      </w:r>
      <w:r>
        <w:t xml:space="preserve"> </w:t>
      </w:r>
      <w:r>
        <w:t xml:space="preserve">Giunzione dorso-lombare, sacro, diaframma. Non come organi del sintomo, ma come distretti che condividono la mappa segmentaria del viscere.</w:t>
      </w:r>
    </w:p>
    <w:p>
      <w:pPr>
        <w:pStyle w:val="BodyText"/>
      </w:pPr>
      <w:r>
        <w:rPr>
          <w:b/>
          <w:bCs/>
        </w:rPr>
        <w:t xml:space="preserve">I segnali che ti dicono dove mettere le mani — non che il modello pesa.</w:t>
      </w:r>
      <w:r>
        <w:t xml:space="preserve"> </w:t>
      </w:r>
      <w:r>
        <w:t xml:space="preserve">Giunzione dorso-lombare e sacro orientano il</w:t>
      </w:r>
      <w:r>
        <w:t xml:space="preserve"> </w:t>
      </w:r>
      <w:r>
        <w:rPr>
          <w:b/>
          <w:bCs/>
        </w:rPr>
        <w:t xml:space="preserve">dove</w:t>
      </w:r>
      <w:r>
        <w:t xml:space="preserve">, per contiguità segmentaria. I due reperti che sembrano suoi — restrizione segmentaria più iperalgesia nello stesso territorio cutaneo — sono il riflesso viscero-somatico classico, e appartengono al Neurologico. Li trovi lì.</w:t>
      </w:r>
    </w:p>
    <w:p>
      <w:pPr>
        <w:pStyle w:val="BodyText"/>
      </w:pPr>
      <w:r>
        <w:rPr>
          <w:b/>
          <w:bCs/>
        </w:rPr>
        <w:t xml:space="preserve">Un vettore da non perdere.</w:t>
      </w:r>
      <w:r>
        <w:t xml:space="preserve"> </w:t>
      </w:r>
      <w:r>
        <w:t xml:space="preserve">Trauma sacrale o coccigeo, cicatrice addomino-pelvica, radioterapia. È un</w:t>
      </w:r>
      <w:r>
        <w:t xml:space="preserve"> </w:t>
      </w:r>
      <w:r>
        <w:rPr>
          <w:b/>
          <w:bCs/>
        </w:rPr>
        <w:t xml:space="preserve">modificatore che rompe la gerarchia</w:t>
      </w:r>
      <w:r>
        <w:t xml:space="preserve">, e va indagato prima di attribuire tutto al livello di attivazione.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La contiguità segmentaria è anatomia; il salto dal reperto manuale all’organo non è stato misurato.</w:t>
      </w:r>
    </w:p>
    <w:bookmarkEnd w:id="35"/>
    <w:bookmarkStart w:id="36" w:name="respiratorio-circolatorio"/>
    <w:p>
      <w:pPr>
        <w:pStyle w:val="Heading3"/>
      </w:pPr>
      <w:r>
        <w:t xml:space="preserve">Respiratorio-Circolatorio</w:t>
      </w:r>
    </w:p>
    <w:p>
      <w:pPr>
        <w:pStyle w:val="FirstParagraph"/>
      </w:pPr>
      <w:r>
        <w:rPr>
          <w:b/>
          <w:bCs/>
        </w:rPr>
        <w:t xml:space="preserve">Cosa governa qui.</w:t>
      </w:r>
      <w:r>
        <w:t xml:space="preserve"> </w:t>
      </w:r>
      <w:r>
        <w:t xml:space="preserve">Solo la metà</w:t>
      </w:r>
      <w:r>
        <w:t xml:space="preserve"> </w:t>
      </w:r>
      <w:r>
        <w:rPr>
          <w:b/>
          <w:bCs/>
        </w:rPr>
        <w:t xml:space="preserve">ventilatoria</w:t>
      </w:r>
      <w:r>
        <w:t xml:space="preserve">. La metà circolatoria — ritorno venoso, drenaggio linfatico, gradienti pressori — su questa condizione non ha nessuna misura, e non viene invocata.</w:t>
      </w:r>
    </w:p>
    <w:p>
      <w:pPr>
        <w:pStyle w:val="BodyText"/>
      </w:pPr>
      <w:r>
        <w:rPr>
          <w:b/>
          <w:bCs/>
        </w:rPr>
        <w:t xml:space="preserve">Gli attori.</w:t>
      </w:r>
      <w:r>
        <w:t xml:space="preserve"> </w:t>
      </w:r>
      <w:r>
        <w:t xml:space="preserve">Diaframma, coste basse, ritmo respiratorio.</w:t>
      </w:r>
    </w:p>
    <w:p>
      <w:pPr>
        <w:pStyle w:val="BodyText"/>
      </w:pPr>
      <w:r>
        <w:rPr>
          <w:b/>
          <w:bCs/>
        </w:rPr>
        <w:t xml:space="preserve">I segnali che ti dicono che pesa in questo paziente.</w:t>
      </w:r>
      <w:r>
        <w:t xml:space="preserve"> </w:t>
      </w:r>
      <w:r>
        <w:t xml:space="preserve">Respiro alto e corto a riposo. Escursione delle coste basse ridotta. Apnea quando il paziente parla dell’urgenza.</w:t>
      </w:r>
    </w:p>
    <w:p>
      <w:pPr>
        <w:pStyle w:val="BodyText"/>
      </w:pPr>
      <w:r>
        <w:rPr>
          <w:b/>
          <w:bCs/>
        </w:rPr>
        <w:t xml:space="preserve">Cosa possiede fra gli strumenti attivi.</w:t>
      </w:r>
      <w:r>
        <w:t xml:space="preserve"> </w:t>
      </w:r>
      <w:r>
        <w:t xml:space="preserve">Il respiro lento,</w:t>
      </w:r>
      <w:r>
        <w:t xml:space="preserve"> </w:t>
      </w:r>
      <w:r>
        <w:rPr>
          <w:b/>
          <w:bCs/>
        </w:rPr>
        <w:t xml:space="preserve">praticato dal paziente</w:t>
      </w:r>
      <w:r>
        <w:t xml:space="preserve"> </w:t>
      </w:r>
      <w:r>
        <w:t xml:space="preserve">e non condiviso sul lettino. La differenza non è formale: negli studi il guadagno viene da settimane di pratica quotidiana. Sta in «Cosa può fare il paziente da solo».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sull’effetto autonomico del respiro lento — 223 studi in una revisione con meta-analisi. Gli indici vagali della variabilità cardiaca salgono durante, subito dopo e dopo un ciclo (Laborde,</w:t>
      </w:r>
      <w:r>
        <w:t xml:space="preserve"> </w:t>
      </w:r>
      <w:r>
        <w:rPr>
          <w:i/>
          <w:iCs/>
        </w:rPr>
        <w:t xml:space="preserve">Neurosci Biobehav Rev</w:t>
      </w:r>
      <w:r>
        <w:t xml:space="preserve"> </w:t>
      </w:r>
      <w:r>
        <w:t xml:space="preserve">2022 — PMID 35623448).</w:t>
      </w:r>
      <w:r>
        <w:t xml:space="preserve"> </w:t>
      </w:r>
      <w:r>
        <w:rPr>
          <w:b/>
          <w:bCs/>
        </w:rPr>
        <w:t xml:space="preserve">Ma i salti sono due, e vanno dichiarati tutti e due.</w:t>
      </w:r>
      <w:r>
        <w:t xml:space="preserve"> </w:t>
      </w:r>
      <w:r>
        <w:rPr>
          <w:i/>
          <w:iCs/>
        </w:rPr>
        <w:t xml:space="preserve">Il salto di bersaglio autonomico:</w:t>
      </w:r>
      <w:r>
        <w:t xml:space="preserve"> </w:t>
      </w:r>
      <w:r>
        <w:t xml:space="preserve">quegli indici misurano il</w:t>
      </w:r>
      <w:r>
        <w:t xml:space="preserve"> </w:t>
      </w:r>
      <w:r>
        <w:rPr>
          <w:b/>
          <w:bCs/>
        </w:rPr>
        <w:t xml:space="preserve">tono vagale diretto al cuore</w:t>
      </w:r>
      <w:r>
        <w:t xml:space="preserve">. Il colon distale non ha innervazione vagale — è la mappa di «Le strutture in gioco». Un indice che sale sul cuore non ha una strada anatomica per arrivare al sigma. Quello che il respiro lento sposta plausibilmente è il</w:t>
      </w:r>
      <w:r>
        <w:t xml:space="preserve"> </w:t>
      </w:r>
      <w:r>
        <w:rPr>
          <w:b/>
          <w:bCs/>
        </w:rPr>
        <w:t xml:space="preserve">livello di allarme centrale</w:t>
      </w:r>
      <w:r>
        <w:t xml:space="preserve">, non il tono vagale del colon.</w:t>
      </w:r>
      <w:r>
        <w:t xml:space="preserve"> </w:t>
      </w:r>
      <w:r>
        <w:rPr>
          <w:i/>
          <w:iCs/>
        </w:rPr>
        <w:t xml:space="preserve">Il salto di sottotipo, e il rovescio esiste:</w:t>
      </w:r>
      <w:r>
        <w:t xml:space="preserve"> </w:t>
      </w:r>
      <w:r>
        <w:t xml:space="preserve">sui sintomi intestinali il respiro lento è stato misurato</w:t>
      </w:r>
      <w:r>
        <w:t xml:space="preserve"> </w:t>
      </w:r>
      <w:r>
        <w:rPr>
          <w:b/>
          <w:bCs/>
        </w:rPr>
        <w:t xml:space="preserve">nella forma con stitichezza</w:t>
      </w:r>
      <w:r>
        <w:t xml:space="preserve">. Erano 85 pazienti randomizzati, sei settimane a sei atti al minuto (Liu,</w:t>
      </w:r>
      <w:r>
        <w:t xml:space="preserve"> </w:t>
      </w:r>
      <w:r>
        <w:rPr>
          <w:i/>
          <w:iCs/>
        </w:rPr>
        <w:t xml:space="preserve">Front Neurosci</w:t>
      </w:r>
      <w:r>
        <w:t xml:space="preserve"> </w:t>
      </w:r>
      <w:r>
        <w:t xml:space="preserve">2022 — PMID 36408402). Il solo tentativo diretto su sindrome mista non ha mosso né gli indici della variabilità cardiaca né i sintomi, su tredici persone che hanno completato (Jurek,</w:t>
      </w:r>
      <w:r>
        <w:t xml:space="preserve"> </w:t>
      </w:r>
      <w:r>
        <w:rPr>
          <w:i/>
          <w:iCs/>
        </w:rPr>
        <w:t xml:space="preserve">Neurogastroenterol Motil</w:t>
      </w:r>
      <w:r>
        <w:t xml:space="preserve"> </w:t>
      </w:r>
      <w:r>
        <w:t xml:space="preserve">2022 — PMID 34595801). Non è un salto di popolazione: è di sottotipo, e ha un risultato negativo dentro.</w:t>
      </w:r>
    </w:p>
    <w:bookmarkEnd w:id="36"/>
    <w:bookmarkStart w:id="37" w:name="neurologico"/>
    <w:p>
      <w:pPr>
        <w:pStyle w:val="Heading3"/>
      </w:pPr>
      <w:r>
        <w:t xml:space="preserve">Neurologico</w:t>
      </w:r>
    </w:p>
    <w:p>
      <w:pPr>
        <w:pStyle w:val="FirstParagraph"/>
      </w:pPr>
      <w:r>
        <w:rPr>
          <w:b/>
          <w:bCs/>
        </w:rPr>
        <w:t xml:space="preserve">Cosa governa qui.</w:t>
      </w:r>
      <w:r>
        <w:t xml:space="preserve"> </w:t>
      </w:r>
      <w:r>
        <w:t xml:space="preserve">È il modello dominante. Governa il secondo meccanismo (la soglia abbassata), il terzo (la reattività lasciata dall’infezione), il quarto (l’asse dello stress) e il quinto (il pattern retrogrado che manca).</w:t>
      </w:r>
    </w:p>
    <w:p>
      <w:pPr>
        <w:pStyle w:val="BodyText"/>
      </w:pPr>
      <w:r>
        <w:rPr>
          <w:b/>
          <w:bCs/>
        </w:rPr>
        <w:t xml:space="preserve">Gli attori.</w:t>
      </w:r>
      <w:r>
        <w:t xml:space="preserve"> </w:t>
      </w:r>
      <w:r>
        <w:t xml:space="preserve">Splancnici pelvici S2-S4, splancnici lombari, sistema nervoso enterico, recettori del CRH sulla parete del colon, sensori di distensione del retto.</w:t>
      </w:r>
    </w:p>
    <w:p>
      <w:pPr>
        <w:pStyle w:val="BodyText"/>
      </w:pPr>
      <w:r>
        <w:rPr>
          <w:b/>
          <w:bCs/>
        </w:rPr>
        <w:t xml:space="preserve">Due vie dentro lo stesso modello.</w:t>
      </w:r>
      <w:r>
        <w:t xml:space="preserve"> </w:t>
      </w:r>
      <w:r>
        <w:t xml:space="preserve">L’</w:t>
      </w:r>
      <w:r>
        <w:rPr>
          <w:b/>
          <w:bCs/>
        </w:rPr>
        <w:t xml:space="preserve">estrinseca</w:t>
      </w:r>
      <w:r>
        <w:t xml:space="preserve"> </w:t>
      </w:r>
      <w:r>
        <w:t xml:space="preserve">è pontino-sacrale e simpatica: sposta soglia e motilità sotto stress, ed è quella su cui la contiguità segmentaria dà un razionale per mettere le mani (meccanismi 2 e 4). L’</w:t>
      </w:r>
      <w:r>
        <w:rPr>
          <w:b/>
          <w:bCs/>
        </w:rPr>
        <w:t xml:space="preserve">intrinseca</w:t>
      </w:r>
      <w:r>
        <w:t xml:space="preserve"> </w:t>
      </w:r>
      <w:r>
        <w:t xml:space="preserve">è il sistema nervoso enterico dentro la parete, che genera il pattern retrogrado: non ha un distretto esterno che la raggiunga (meccanismo 5). È la distinzione che decide se ha senso lavorare su un distretto segmentario.</w:t>
      </w:r>
    </w:p>
    <w:p>
      <w:pPr>
        <w:pStyle w:val="BodyText"/>
      </w:pPr>
      <w:r>
        <w:rPr>
          <w:b/>
          <w:bCs/>
        </w:rPr>
        <w:t xml:space="preserve">I segnali che ti dicono che pesa in questo paziente.</w:t>
      </w:r>
      <w:r>
        <w:t xml:space="preserve"> </w:t>
      </w:r>
      <w:r>
        <w:t xml:space="preserve">Il primo è il più discriminante di tutti: il sintomo</w:t>
      </w:r>
      <w:r>
        <w:t xml:space="preserve"> </w:t>
      </w:r>
      <w:r>
        <w:rPr>
          <w:b/>
          <w:bCs/>
        </w:rPr>
        <w:t xml:space="preserve">non segue</w:t>
      </w:r>
      <w:r>
        <w:t xml:space="preserve"> </w:t>
      </w:r>
      <w:r>
        <w:t xml:space="preserve">quello che mangia. Separa questo paziente da quello in cui pesa il carico alimentare. Poi: peggioramento nelle settimane tese a parità di dieta; meglio in vacanza mangiando peggio;</w:t>
      </w:r>
      <w:r>
        <w:t xml:space="preserve"> </w:t>
      </w:r>
      <w:r>
        <w:rPr>
          <w:b/>
          <w:bCs/>
        </w:rPr>
        <w:t xml:space="preserve">iperalgesia diffusa anche fuori dall’addome</w:t>
      </w:r>
      <w:r>
        <w:t xml:space="preserve">, che è il segno nociplastico e ha un nome; tessuti che rimbalzano ogni correzione. E infine i reperti riflessi segmentari: restrizione della giunzione dorso-lombare con iperalgesia alla pressione nello stesso territorio cutaneo; rigidità sacrale in un paziente che riferisce anche sintomi urinari o pelvici. Quest’ultima ha un substrato, cioè la convergenza vescica-colon del nucleo di Barrington.</w:t>
      </w:r>
    </w:p>
    <w:p>
      <w:pPr>
        <w:pStyle w:val="BlockText"/>
      </w:pPr>
      <w:r>
        <w:rPr>
          <w:b/>
          <w:bCs/>
        </w:rPr>
        <w:t xml:space="preserve">Quanto è solido:</w:t>
      </w:r>
      <w:r>
        <w:t xml:space="preserve"> </w:t>
      </w:r>
      <w:r>
        <w:t xml:space="preserve">l’etichetta si spezza.</w:t>
      </w:r>
      <w:r>
        <w:t xml:space="preserve"> </w:t>
      </w:r>
      <w:r>
        <w:rPr>
          <w:b/>
          <w:bCs/>
        </w:rPr>
        <w:t xml:space="preserve">Sul meccanismo: PROBABILE</w:t>
      </w:r>
      <w:r>
        <w:t xml:space="preserve"> </w:t>
      </w:r>
      <w:r>
        <w:rPr>
          <w:i/>
          <w:iCs/>
        </w:rPr>
        <w:t xml:space="preserve">(razionale forte, prove parziali)</w:t>
      </w:r>
      <w:r>
        <w:t xml:space="preserve"> </w:t>
      </w:r>
      <w:r>
        <w:t xml:space="preserve">— misurato nell’uomo, in campioni da venti persone (Fukudo 1998, PMID 9691924; Sagami 2004, PMID 15194643).</w:t>
      </w:r>
      <w:r>
        <w:t xml:space="preserve"> </w:t>
      </w:r>
      <w:r>
        <w:rPr>
          <w:b/>
          <w:bCs/>
        </w:rPr>
        <w:t xml:space="preserve">IPOTESI</w:t>
      </w:r>
      <w:r>
        <w:t xml:space="preserve"> </w:t>
      </w:r>
      <w:r>
        <w:rPr>
          <w:i/>
          <w:iCs/>
        </w:rPr>
        <w:t xml:space="preserve">(meccanismo coerente, nessuno studio)</w:t>
      </w:r>
      <w:r>
        <w:t xml:space="preserve"> </w:t>
      </w:r>
      <w:r>
        <w:t xml:space="preserve">sul fatto che un tocco lo modifichi. Sui reperti riflessi segmentari:</w:t>
      </w:r>
      <w:r>
        <w:t xml:space="preserve"> </w:t>
      </w:r>
      <w:r>
        <w:rPr>
          <w:b/>
          <w:bCs/>
        </w:rPr>
        <w:t xml:space="preserve">IPOTESI</w:t>
      </w:r>
      <w:r>
        <w:t xml:space="preserve">.</w:t>
      </w:r>
      <w:r>
        <w:t xml:space="preserve"> </w:t>
      </w:r>
      <w:r>
        <w:rPr>
          <w:b/>
          <w:bCs/>
        </w:rPr>
        <w:t xml:space="preserve">Sul fatto che sia questo il piano che comanda in questo paziente: RAGIONAMENTO</w:t>
      </w:r>
      <w:r>
        <w:t xml:space="preserve"> </w:t>
      </w:r>
      <w:r>
        <w:rPr>
          <w:i/>
          <w:iCs/>
        </w:rPr>
        <w:t xml:space="preserve">(cornice clinica, non una prova)</w:t>
      </w:r>
      <w:r>
        <w:t xml:space="preserve"> </w:t>
      </w:r>
      <w:r>
        <w:t xml:space="preserve">— nessuno ha misurato quale piano consumi più adattamento. «È il modello dominante» è una decisione di lettura, non un reperto.</w:t>
      </w:r>
    </w:p>
    <w:bookmarkEnd w:id="37"/>
    <w:bookmarkStart w:id="38" w:name="metabolico-energetico"/>
    <w:p>
      <w:pPr>
        <w:pStyle w:val="Heading3"/>
      </w:pPr>
      <w:r>
        <w:t xml:space="preserve">Metabolico-Energetico</w:t>
      </w:r>
    </w:p>
    <w:p>
      <w:pPr>
        <w:pStyle w:val="FirstParagraph"/>
      </w:pPr>
      <w:r>
        <w:rPr>
          <w:b/>
          <w:bCs/>
        </w:rPr>
        <w:t xml:space="preserve">Cosa governa qui.</w:t>
      </w:r>
      <w:r>
        <w:t xml:space="preserve"> </w:t>
      </w:r>
      <w:r>
        <w:t xml:space="preserve">Nessuno dei sei meccanismi, in proprio. Governa il carico che entra e la velocità con cui esce: pasti, alcol, caffeina, sonno, movimento.</w:t>
      </w:r>
      <w:r>
        <w:t xml:space="preserve"> </w:t>
      </w:r>
      <w:r>
        <w:rPr>
          <w:b/>
          <w:bCs/>
        </w:rPr>
        <w:t xml:space="preserve">Sono abitudini, non strutture: si valutano, si nominano, si rinviano.</w:t>
      </w:r>
    </w:p>
    <w:p>
      <w:pPr>
        <w:pStyle w:val="BodyText"/>
      </w:pPr>
      <w:r>
        <w:rPr>
          <w:b/>
          <w:bCs/>
        </w:rPr>
        <w:t xml:space="preserve">I segnali che ti dicono che pesa in questo paziente.</w:t>
      </w:r>
      <w:r>
        <w:t xml:space="preserve"> </w:t>
      </w:r>
      <w:r>
        <w:t xml:space="preserve">Consumo alto di alcol o caffeina. Sonno frammentato. Sedentarietà marcata. Dieta già ristretta a pochi alimenti senza che nessun test l’abbia giustificata. La dieta ristretta è un segnale di</w:t>
      </w:r>
      <w:r>
        <w:t xml:space="preserve"> </w:t>
      </w:r>
      <w:r>
        <w:rPr>
          <w:b/>
          <w:bCs/>
        </w:rPr>
        <w:t xml:space="preserve">rischio nutrizionale</w:t>
      </w:r>
      <w:r>
        <w:t xml:space="preserve"> </w:t>
      </w:r>
      <w:r>
        <w:t xml:space="preserve">e va al curante. E un malassorbimento non ancora escluso è anche una questione di osso, che cambia l’energia con cui ti avvicini a coste basse e giunzione dorso-lombare.</w:t>
      </w:r>
    </w:p>
    <w:p>
      <w:pPr>
        <w:pStyle w:val="BodyText"/>
      </w:pPr>
      <w:r>
        <w:rPr>
          <w:b/>
          <w:bCs/>
        </w:rPr>
        <w:t xml:space="preserve">Cosa possiede fra gli strumenti attivi.</w:t>
      </w:r>
      <w:r>
        <w:t xml:space="preserve"> </w:t>
      </w:r>
      <w:r>
        <w:t xml:space="preserve">L’attività fisica regolare —</w:t>
      </w:r>
      <w:r>
        <w:t xml:space="preserve"> </w:t>
      </w:r>
      <w:r>
        <w:rPr>
          <w:b/>
          <w:bCs/>
        </w:rPr>
        <w:t xml:space="preserve">PROBABILE</w:t>
      </w:r>
      <w:r>
        <w:t xml:space="preserve"> </w:t>
      </w:r>
      <w:r>
        <w:rPr>
          <w:i/>
          <w:iCs/>
        </w:rPr>
        <w:t xml:space="preserve">(razionale forte, prove parziali)</w:t>
      </w:r>
      <w:r>
        <w:t xml:space="preserve">, a certezza delle prove molto bassa, con i numeri in «Cosa può fare il paziente da solo».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leva dietetica gestita da un dietista. La dieta a basso contenuto di FODMAP è prima fra gli interventi dietetici in una meta-analisi a rete, con rischio relativo di non migliorare 0,67 (Black,</w:t>
      </w:r>
      <w:r>
        <w:t xml:space="preserve"> </w:t>
      </w:r>
      <w:r>
        <w:rPr>
          <w:i/>
          <w:iCs/>
        </w:rPr>
        <w:t xml:space="preserve">Gut</w:t>
      </w:r>
      <w:r>
        <w:t xml:space="preserve"> </w:t>
      </w:r>
      <w:r>
        <w:t xml:space="preserve">2022 — PMID 34376515).</w:t>
      </w:r>
      <w:r>
        <w:t xml:space="preserve"> </w:t>
      </w:r>
      <w:r>
        <w:rPr>
          <w:i/>
          <w:iCs/>
        </w:rPr>
        <w:t xml:space="preserve">Non DIMOSTRATO perché un intervento dietetico non è cecabile, e questo tiene la certezza sotto il livello di «solidi».</w:t>
      </w:r>
      <w:r>
        <w:t xml:space="preserve"> </w:t>
      </w:r>
      <w:r>
        <w:rPr>
          <w:b/>
          <w:bCs/>
        </w:rPr>
        <w:t xml:space="preserve">E non è atto osteopatico:</w:t>
      </w:r>
      <w:r>
        <w:t xml:space="preserve"> </w:t>
      </w:r>
      <w:r>
        <w:t xml:space="preserve">si nomina e si rinvia al dietista, e non si fa da soli.</w:t>
      </w:r>
    </w:p>
    <w:bookmarkEnd w:id="38"/>
    <w:bookmarkStart w:id="39"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sesto meccanismo — sorveglianza ed evitamento — e una parte del quarto, per la via dell’aspettativa.</w:t>
      </w:r>
      <w:r>
        <w:t xml:space="preserve"> </w:t>
      </w:r>
      <w:r>
        <w:rPr>
          <w:b/>
          <w:bCs/>
        </w:rPr>
        <w:t xml:space="preserve">E non è un accessorio: è co-dominante con il Neurologico</w:t>
      </w:r>
      <w:r>
        <w:t xml:space="preserve">, perché le due leve con le prove migliori dell’intero documento stanno qui.</w:t>
      </w:r>
    </w:p>
    <w:p>
      <w:pPr>
        <w:pStyle w:val="BodyText"/>
      </w:pPr>
      <w:r>
        <w:rPr>
          <w:b/>
          <w:bCs/>
        </w:rPr>
        <w:t xml:space="preserve">Gli attori.</w:t>
      </w:r>
      <w:r>
        <w:t xml:space="preserve"> </w:t>
      </w:r>
      <w:r>
        <w:t xml:space="preserve">Le credenze del paziente sul proprio intestino, la mappa dei bagni, il rituale mattutino, la restrizione alimentare autoimposta, e la relazione che hai con lui in stanza.</w:t>
      </w:r>
    </w:p>
    <w:p>
      <w:pPr>
        <w:pStyle w:val="BodyText"/>
      </w:pPr>
      <w:r>
        <w:rPr>
          <w:b/>
          <w:bCs/>
        </w:rPr>
        <w:t xml:space="preserve">I segnali che ti dicono che pesa in questo paziente.</w:t>
      </w:r>
      <w:r>
        <w:t xml:space="preserve"> </w:t>
      </w:r>
      <w:r>
        <w:t xml:space="preserve">Vita ristretta in modo sproporzionato rispetto alla gravità delle scariche. Controllo ripetuto delle sensazioni addominali. Il paziente che non lo ha mai detto a nessuno.</w:t>
      </w:r>
    </w:p>
    <w:p>
      <w:pPr>
        <w:pStyle w:val="BodyText"/>
      </w:pPr>
      <w:r>
        <w:rPr>
          <w:b/>
          <w:bCs/>
        </w:rPr>
        <w:t xml:space="preserve">Cosa possiede fra gli strumenti attivi.</w:t>
      </w:r>
      <w:r>
        <w:t xml:space="preserve"> </w:t>
      </w:r>
      <w:r>
        <w:t xml:space="preserve">Le terapie psicologiche dirette all’intestino. Sono le leve con le prove migliori dell’intero documento, e</w:t>
      </w:r>
      <w:r>
        <w:t xml:space="preserve"> </w:t>
      </w:r>
      <w:r>
        <w:rPr>
          <w:b/>
          <w:bCs/>
        </w:rPr>
        <w:t xml:space="preserve">non sono tue da erogare</w:t>
      </w:r>
      <w:r>
        <w:t xml:space="preserv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degli interventi strutturati — 41 studi randomizzati, 4.072 partecipanti (Black 2020 — PMID 32276950),</w:t>
      </w:r>
      <w:r>
        <w:t xml:space="preserve"> </w:t>
      </w:r>
      <w:r>
        <w:rPr>
          <w:i/>
          <w:iCs/>
        </w:rPr>
        <w:t xml:space="preserve">con rischio di distorsione alto e efficacia probabilmente sovrastimata, dichiarati dagli autori.</w:t>
      </w:r>
      <w:r>
        <w:t xml:space="preserve"> </w:t>
      </w:r>
      <w:r>
        <w:rPr>
          <w:i/>
          <w:iCs/>
        </w:rPr>
        <w:t xml:space="preserve">Il salto è di erogatore: quei programmi li erogano psicologi e terapeuti formati, non osteopati.</w:t>
      </w:r>
    </w:p>
    <w:p>
      <w:pPr>
        <w:pStyle w:val="FirstParagraph"/>
      </w:pPr>
      <w:r>
        <w:rPr>
          <w:b/>
          <w:bCs/>
        </w:rPr>
        <w:t xml:space="preserve">Le tre cose da ricordare, più una</w:t>
      </w:r>
    </w:p>
    <w:p>
      <w:pPr>
        <w:pStyle w:val="Compact"/>
        <w:numPr>
          <w:ilvl w:val="0"/>
          <w:numId w:val="1019"/>
        </w:numPr>
      </w:pPr>
      <w:r>
        <w:t xml:space="preserve">Il modello dominante è il Neurologico, co-dominante il Comportamentale, e la mappa che dà accesso al primo è sacrale e dorso-lombare.</w:t>
      </w:r>
    </w:p>
    <w:p>
      <w:pPr>
        <w:pStyle w:val="Compact"/>
        <w:numPr>
          <w:ilvl w:val="0"/>
          <w:numId w:val="1019"/>
        </w:numPr>
      </w:pPr>
      <w:r>
        <w:t xml:space="preserve">Il Biomeccanico non governa nessun meccanismo in proprio. Non riempire quella casella.</w:t>
      </w:r>
    </w:p>
    <w:p>
      <w:pPr>
        <w:pStyle w:val="Compact"/>
        <w:numPr>
          <w:ilvl w:val="0"/>
          <w:numId w:val="1019"/>
        </w:numPr>
      </w:pPr>
      <w:r>
        <w:t xml:space="preserve">Il segnale che il modello Neurologico pesa non è il legame coi pasti: è la sua</w:t>
      </w:r>
      <w:r>
        <w:t xml:space="preserve"> </w:t>
      </w:r>
      <w:r>
        <w:rPr>
          <w:b/>
          <w:bCs/>
        </w:rPr>
        <w:t xml:space="preserve">assenza</w:t>
      </w:r>
      <w:r>
        <w:t xml:space="preserve">.</w:t>
      </w:r>
    </w:p>
    <w:p>
      <w:pPr>
        <w:pStyle w:val="Compact"/>
        <w:numPr>
          <w:ilvl w:val="0"/>
          <w:numId w:val="1019"/>
        </w:numPr>
      </w:pPr>
      <w:r>
        <w:rPr>
          <w:b/>
          <w:bCs/>
        </w:rPr>
        <w:t xml:space="preserve">Perché ci sei tu.</w:t>
      </w:r>
      <w:r>
        <w:t xml:space="preserve"> </w:t>
      </w:r>
      <w:r>
        <w:t xml:space="preserve">Sono stati studiati 262 pazienti con questa sindrome. Il sollievo adeguato dai sintomi è passato dal 28% in lista d’attesa al 44% con il solo rituale terapeutico. È salito al 62% quando la relazione con l’operatore era curata con calore, attenzione e fiducia. La relazione è risultata la componente più robusta (Kaptchuk,</w:t>
      </w:r>
      <w:r>
        <w:t xml:space="preserve"> </w:t>
      </w:r>
      <w:r>
        <w:rPr>
          <w:i/>
          <w:iCs/>
        </w:rPr>
        <w:t xml:space="preserve">BMJ</w:t>
      </w:r>
      <w:r>
        <w:t xml:space="preserve"> </w:t>
      </w:r>
      <w:r>
        <w:t xml:space="preserve">2008 — PMID 18390493).</w:t>
      </w:r>
      <w:r>
        <w:t xml:space="preserve"> </w:t>
      </w:r>
      <w:r>
        <w:rPr>
          <w:b/>
          <w:bCs/>
        </w:rPr>
        <w:t xml:space="preserve">Per te:</w:t>
      </w:r>
      <w:r>
        <w:t xml:space="preserve"> </w:t>
      </w:r>
      <w:r>
        <w:t xml:space="preserve">il modo in cui stai in stanza ha qui un effetto misurato più grande di quello di molte tecniche. Questo ti autorizza a considerare tempo, ascolto e calma come parte del trattamento e non come cortesia. Non ti autorizza ad attribuire quell’effetto alla tecnica che hai fatto mentre lo ottenevi.</w:t>
      </w:r>
    </w:p>
    <w:p>
      <w:r>
        <w:pict>
          <v:rect style="width:0;height:1.5pt" o:hralign="center" o:hrstd="t" o:hr="t"/>
        </w:pict>
      </w:r>
    </w:p>
    <w:bookmarkEnd w:id="39"/>
    <w:bookmarkEnd w:id="40"/>
    <w:bookmarkStart w:id="46"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in tre mosse — prima se il paziente resta o esce, poi quale pattern comanda oggi, poi quale marker userai per verificarti, e il terzo passo è quello che quasi nessuno fa.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decidi, non una cosa dimostrata.</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bookmarkStart w:id="41" w:name="la-punta-e-il-sommerso"/>
    <w:p>
      <w:pPr>
        <w:pStyle w:val="Heading3"/>
      </w:pPr>
      <w:r>
        <w:t xml:space="preserve">La punta e il sommerso</w:t>
      </w:r>
    </w:p>
    <w:p>
      <w:pPr>
        <w:pStyle w:val="FirstParagraph"/>
      </w:pPr>
      <w:r>
        <w:t xml:space="preserve">Il paziente porta la punta: le scariche. Sotto ci sono sommersi diversi, e tre pazienti con la stessa punta chiedono tre decisioni diverse.</w:t>
      </w:r>
    </w:p>
    <w:p>
      <w:pPr>
        <w:pStyle w:val="BodyText"/>
      </w:pPr>
      <w:r>
        <w:rPr>
          <w:b/>
          <w:bCs/>
        </w:rPr>
        <w:t xml:space="preserve">Paziente A — la donna di 34 anni che ha smesso di viaggiare.</w:t>
      </w:r>
      <w:r>
        <w:t xml:space="preserve"> </w:t>
      </w:r>
      <w:r>
        <w:t xml:space="preserve">Scariche liquide da tre anni, mai di notte, mai sangue. Peggiora nelle settimane di consegna, e sta bene in agosto mangiando peggio. Ha già tolto glutine e lattosio senza cambiamenti. Respiro alto e corto, e si scusa due volte prima di salire sul lettino.</w:t>
      </w:r>
    </w:p>
    <w:p>
      <w:pPr>
        <w:pStyle w:val="BodyText"/>
      </w:pPr>
      <w:r>
        <w:rPr>
          <w:b/>
          <w:bCs/>
        </w:rPr>
        <w:t xml:space="preserve">Cosa fai.</w:t>
      </w:r>
      <w:r>
        <w:t xml:space="preserve"> </w:t>
      </w:r>
      <w:r>
        <w:t xml:space="preserve">Ha due meccanismi, il quarto e il sesto. L’arbitro è la proporzione: la restrizione di vita è</w:t>
      </w:r>
      <w:r>
        <w:t xml:space="preserve"> </w:t>
      </w:r>
      <w:r>
        <w:rPr>
          <w:b/>
          <w:bCs/>
        </w:rPr>
        <w:t xml:space="preserve">proporzionata</w:t>
      </w:r>
      <w:r>
        <w:t xml:space="preserve"> </w:t>
      </w:r>
      <w:r>
        <w:t xml:space="preserve">alla gravità delle scariche, quindi comanda il quarto. È la spesa messa accanto allo stipendio: la stessa cifra pesa in modo diverso. Il livello di attivazione</w:t>
      </w:r>
      <w:r>
        <w:t xml:space="preserve"> </w:t>
      </w:r>
      <w:r>
        <w:rPr>
          <w:b/>
          <w:bCs/>
        </w:rPr>
        <w:t xml:space="preserve">è il bersaglio, non un capolinea</w:t>
      </w:r>
      <w:r>
        <w:t xml:space="preserve">, ed è la paziente in cui hai più da fare.</w:t>
      </w:r>
    </w:p>
    <w:p>
      <w:pPr>
        <w:pStyle w:val="BodyText"/>
      </w:pPr>
      <w:r>
        <w:t xml:space="preserve">E i gesti si scrivono separati, perché hanno etichette diverse.</w:t>
      </w:r>
    </w:p>
    <w:p>
      <w:pPr>
        <w:pStyle w:val="Compact"/>
        <w:numPr>
          <w:ilvl w:val="0"/>
          <w:numId w:val="1020"/>
        </w:numPr>
      </w:pPr>
      <w:r>
        <w:t xml:space="preserve">Contatto lento, ritmo condiviso, tempo dedicato:</w:t>
      </w:r>
      <w:r>
        <w:t xml:space="preserve"> </w:t>
      </w:r>
      <w:r>
        <w:rPr>
          <w:b/>
          <w:bCs/>
        </w:rPr>
        <w:t xml:space="preserve">IPOTESI</w:t>
      </w:r>
      <w:r>
        <w:t xml:space="preserve">.</w:t>
      </w:r>
    </w:p>
    <w:p>
      <w:pPr>
        <w:pStyle w:val="Compact"/>
        <w:numPr>
          <w:ilvl w:val="0"/>
          <w:numId w:val="1020"/>
        </w:numPr>
      </w:pPr>
      <w:r>
        <w:t xml:space="preserve">Lavoro sul distretto dorso-lombare e sacrale: è la leva del</w:t>
      </w:r>
      <w:r>
        <w:t xml:space="preserve"> </w:t>
      </w:r>
      <w:r>
        <w:rPr>
          <w:b/>
          <w:bCs/>
        </w:rPr>
        <w:t xml:space="preserve">quinto</w:t>
      </w:r>
      <w:r>
        <w:t xml:space="preserve"> </w:t>
      </w:r>
      <w:r>
        <w:t xml:space="preserve">meccanismo, non del quarto, e porta</w:t>
      </w:r>
      <w:r>
        <w:t xml:space="preserve"> </w:t>
      </w:r>
      <w:r>
        <w:rPr>
          <w:b/>
          <w:bCs/>
        </w:rPr>
        <w:t xml:space="preserve">IPOTESI</w:t>
      </w:r>
      <w:r>
        <w:t xml:space="preserve">. È anche la sola leva del documento contraddetta da un dato: la stimolazione della stessa radice sacrale non ha battuto il finto trattamento su 227 pazienti in doppio cieco (Horrocks 2015).</w:t>
      </w:r>
    </w:p>
    <w:p>
      <w:pPr>
        <w:pStyle w:val="Compact"/>
        <w:numPr>
          <w:ilvl w:val="0"/>
          <w:numId w:val="1020"/>
        </w:numPr>
      </w:pPr>
      <w:r>
        <w:t xml:space="preserve">Il respiro lento è</w:t>
      </w:r>
      <w:r>
        <w:t xml:space="preserve"> </w:t>
      </w:r>
      <w:r>
        <w:rPr>
          <w:b/>
          <w:bCs/>
        </w:rPr>
        <w:t xml:space="preserve">DIMOSTRATO</w:t>
      </w:r>
      <w:r>
        <w:t xml:space="preserve"> </w:t>
      </w:r>
      <w:r>
        <w:t xml:space="preserve">sull’effetto autonomico. Ma è una pratica che la paziente fa a casa per settimane: quel DIMOSTRATO appartiene a «Cosa può fare il paziente da solo», non alle tue mani.</w:t>
      </w:r>
    </w:p>
    <w:p>
      <w:pPr>
        <w:pStyle w:val="FirstParagraph"/>
      </w:pPr>
      <w:r>
        <w:t xml:space="preserve">Fondere i tre pezzi in una leva sola fa ereditare al più debole l’etichetta del più forte.</w:t>
      </w:r>
    </w:p>
    <w:p>
      <w:pPr>
        <w:pStyle w:val="BodyText"/>
      </w:pPr>
      <w:r>
        <w:t xml:space="preserve">In parallelo: educazione sul quarto meccanismo, che è la cosa che nessuno le ha ancora spiegato.</w:t>
      </w:r>
    </w:p>
    <w:p>
      <w:pPr>
        <w:pStyle w:val="BodyText"/>
      </w:pPr>
      <w:r>
        <w:rPr>
          <w:b/>
          <w:bCs/>
        </w:rPr>
        <w:t xml:space="preserve">Paziente B — l’uomo di 52 anni che sta male alle otto del mattino.</w:t>
      </w:r>
      <w:r>
        <w:t xml:space="preserve"> </w:t>
      </w:r>
      <w:r>
        <w:t xml:space="preserve">Scariche acquose, urgentissime, quasi sempre entro un’ora dai pasti e al risveglio. Colecistectomia nove anni fa. Le diete non hanno fatto niente, e la loperamide la usa da mesi senza che nessuno abbia chiesto quanta.</w:t>
      </w:r>
    </w:p>
    <w:p>
      <w:pPr>
        <w:pStyle w:val="BodyText"/>
      </w:pPr>
      <w:r>
        <w:rPr>
          <w:b/>
          <w:bCs/>
        </w:rPr>
        <w:t xml:space="preserve">Cosa fai.</w:t>
      </w:r>
      <w:r>
        <w:t xml:space="preserve"> </w:t>
      </w:r>
      <w:r>
        <w:t xml:space="preserve">Non apri un ciclo su questo sintomo. Il pattern è il primo, e lo riconosci dalle feci acquose e dall’anamnesi, non dalla risposta al farmaco. La tua azione clinica è la</w:t>
      </w:r>
      <w:r>
        <w:t xml:space="preserve"> </w:t>
      </w:r>
      <w:r>
        <w:rPr>
          <w:b/>
          <w:bCs/>
        </w:rPr>
        <w:t xml:space="preserve">comunicazione scritta al curante</w:t>
      </w:r>
      <w:r>
        <w:t xml:space="preserve">, che nomina l’osservazione, il test e la quantità di loperamide assunta. Al paziente dici che ci sono accertamenti non ancora fatti e che li hai segnalati al suo medico.</w:t>
      </w:r>
      <w:r>
        <w:t xml:space="preserve"> </w:t>
      </w:r>
      <w:r>
        <w:rPr>
          <w:b/>
          <w:bCs/>
        </w:rPr>
        <w:t xml:space="preserve">Non gli dici quale sospetto li motiva.</w:t>
      </w:r>
      <w:r>
        <w:t xml:space="preserve"> </w:t>
      </w:r>
      <w:r>
        <w:rPr>
          <w:b/>
          <w:bCs/>
        </w:rPr>
        <w:t xml:space="preserve">Non è</w:t>
      </w:r>
      <w:r>
        <w:rPr>
          <w:b/>
          <w:bCs/>
        </w:rPr>
        <w:t xml:space="preserve"> </w:t>
      </w:r>
      <w:r>
        <w:rPr>
          <w:b/>
          <w:bCs/>
        </w:rPr>
        <w:t xml:space="preserve">“niente da fare”</w:t>
      </w:r>
      <w:r>
        <w:rPr>
          <w:b/>
          <w:bCs/>
        </w:rPr>
        <w:t xml:space="preserve">: è l’atto che gli cambia il percorso.</w:t>
      </w:r>
      <w:r>
        <w:t xml:space="preserve"> </w:t>
      </w:r>
      <w:r>
        <w:t xml:space="preserve">Se coesiste una lombalgia meccanica autonoma, quella la tratti, dichiarando in cartella che il sintomo intestinale è in attesa di inquadramento e non è il bersaglio.</w:t>
      </w:r>
    </w:p>
    <w:p>
      <w:pPr>
        <w:pStyle w:val="BodyText"/>
      </w:pPr>
      <w:r>
        <w:rPr>
          <w:b/>
          <w:bCs/>
        </w:rPr>
        <w:t xml:space="preserve">E se non ci fosse la colecistectomia?</w:t>
      </w:r>
      <w:r>
        <w:t xml:space="preserve"> </w:t>
      </w:r>
      <w:r>
        <w:t xml:space="preserve">Resterebbe un uomo che sta male dopo i pasti, cioè il quinto meccanismo. Tre osservazioni lo separano dal primo: le feci sono</w:t>
      </w:r>
      <w:r>
        <w:t xml:space="preserve"> </w:t>
      </w:r>
      <w:r>
        <w:rPr>
          <w:b/>
          <w:bCs/>
        </w:rPr>
        <w:t xml:space="preserve">acquose</w:t>
      </w:r>
      <w:r>
        <w:t xml:space="preserve"> </w:t>
      </w:r>
      <w:r>
        <w:t xml:space="preserve">e non molli; l’urgenza c’è anche</w:t>
      </w:r>
      <w:r>
        <w:t xml:space="preserve"> </w:t>
      </w:r>
      <w:r>
        <w:rPr>
          <w:b/>
          <w:bCs/>
        </w:rPr>
        <w:t xml:space="preserve">al risveglio, a digiuno</w:t>
      </w:r>
      <w:r>
        <w:t xml:space="preserve">; le diete non hanno spostato nulla. Se le prime due mancano, il quinto è più probabile. Ma il test non fatto resta un cancello aperto, e va scritto lo stesso.</w:t>
      </w:r>
    </w:p>
    <w:p>
      <w:pPr>
        <w:pStyle w:val="BodyText"/>
      </w:pPr>
      <w:r>
        <w:rPr>
          <w:b/>
          <w:bCs/>
        </w:rPr>
        <w:t xml:space="preserve">Paziente C — la donna di 41 anni che sa la data.</w:t>
      </w:r>
      <w:r>
        <w:t xml:space="preserve"> </w:t>
      </w:r>
      <w:r>
        <w:t xml:space="preserve">Tutto è iniziato dopo una giardiasi presa in viaggio, quattro anni fa. Da allora scariche a periodi, mai davvero libera. Ansia presente da prima. Vita progressivamente ristretta.</w:t>
      </w:r>
    </w:p>
    <w:p>
      <w:pPr>
        <w:pStyle w:val="BodyText"/>
      </w:pPr>
      <w:r>
        <w:rPr>
          <w:b/>
          <w:bCs/>
        </w:rPr>
        <w:t xml:space="preserve">Cosa fai.</w:t>
      </w:r>
      <w:r>
        <w:t xml:space="preserve"> </w:t>
      </w:r>
      <w:r>
        <w:t xml:space="preserve">Due meccanismi insieme, il terzo e il sesto, e qui comanda il sesto: la vita ristretta è</w:t>
      </w:r>
      <w:r>
        <w:t xml:space="preserve"> </w:t>
      </w:r>
      <w:r>
        <w:rPr>
          <w:b/>
          <w:bCs/>
        </w:rPr>
        <w:t xml:space="preserve">sproporzionata</w:t>
      </w:r>
      <w:r>
        <w:t xml:space="preserve"> </w:t>
      </w:r>
      <w:r>
        <w:t xml:space="preserve">rispetto alla gravità delle scariche. Lavori sull’attivazione con la leva che hai, e</w:t>
      </w:r>
      <w:r>
        <w:t xml:space="preserve"> </w:t>
      </w:r>
      <w:r>
        <w:rPr>
          <w:b/>
          <w:bCs/>
        </w:rPr>
        <w:t xml:space="preserve">nomini l’evitamento come bersaglio esplicito</w:t>
      </w:r>
      <w:r>
        <w:t xml:space="preserve">: è la parte educativa dello strumento con le prove migliori del documento. Prevedi tempi lunghi e dillo prima. E scegli con cura il marker, perché qui il miglioramento spontaneo esiste e ti ingannerà.</w:t>
      </w:r>
    </w:p>
    <w:bookmarkEnd w:id="41"/>
    <w:bookmarkStart w:id="42" w:name="perché-si-indaga-dallalto"/>
    <w:p>
      <w:pPr>
        <w:pStyle w:val="Heading3"/>
      </w:pPr>
      <w:r>
        <w:t xml:space="preserve">Perché si indaga dall’alto</w:t>
      </w:r>
    </w:p>
    <w:p>
      <w:pPr>
        <w:pStyle w:val="FirstParagraph"/>
      </w:pPr>
      <w:r>
        <w:t xml:space="preserve">Su una condizione comandata dal modello Neurologico l’indagine parte dal livello di attivazione, non dalla palpazione addominale.</w:t>
      </w:r>
    </w:p>
    <w:p>
      <w:pPr>
        <w:pStyle w:val="BodyText"/>
      </w:pPr>
      <w:r>
        <w:rPr>
          <w:b/>
          <w:bCs/>
        </w:rPr>
        <w:t xml:space="preserve">Con una precisazione che questa condizione impone.</w:t>
      </w:r>
      <w:r>
        <w:t xml:space="preserve"> </w:t>
      </w:r>
      <w:r>
        <w:t xml:space="preserve">Il primo passo non è il livello di attivazione: è il</w:t>
      </w:r>
      <w:r>
        <w:t xml:space="preserve"> </w:t>
      </w:r>
      <w:r>
        <w:rPr>
          <w:b/>
          <w:bCs/>
        </w:rPr>
        <w:t xml:space="preserve">cancello</w:t>
      </w:r>
      <w:r>
        <w:t xml:space="preserve">. Qui tre pattern su otto sono uscite. Indagare la dominanza prima di aver escluso le uscite significa costruire un piano su un paziente che non doveva restare.</w:t>
      </w:r>
    </w:p>
    <w:p>
      <w:pPr>
        <w:pStyle w:val="BodyText"/>
      </w:pPr>
      <w:r>
        <w:rPr>
          <w:b/>
          <w:bCs/>
        </w:rPr>
        <w:t xml:space="preserve">E c’è una regola del metodo che qui si applica per intero, invece di essere attenuata: non si tratta il punto in cui il paziente sente.</w:t>
      </w:r>
      <w:r>
        <w:t xml:space="preserve"> </w:t>
      </w:r>
      <w:r>
        <w:t xml:space="preserve">Il</w:t>
      </w:r>
      <w:r>
        <w:t xml:space="preserve"> </w:t>
      </w:r>
      <w:r>
        <w:rPr>
          <w:b/>
          <w:bCs/>
        </w:rPr>
        <w:t xml:space="preserve">Centro di Percezione</w:t>
      </w:r>
      <w:r>
        <w:t xml:space="preserve"> </w:t>
      </w:r>
      <w:r>
        <w:t xml:space="preserve">— la zona in cui il paziente colloca il sintomo — è l’addome. I</w:t>
      </w:r>
      <w:r>
        <w:t xml:space="preserve"> </w:t>
      </w:r>
      <w:r>
        <w:rPr>
          <w:b/>
          <w:bCs/>
        </w:rPr>
        <w:t xml:space="preserve">Centri di Coordinazione</w:t>
      </w:r>
      <w:r>
        <w:t xml:space="preserve"> </w:t>
      </w:r>
      <w:r>
        <w:t xml:space="preserve">raggiungibili a monte sono i distretti che condividono la mappa segmentaria del viscere: la</w:t>
      </w:r>
      <w:r>
        <w:t xml:space="preserve"> </w:t>
      </w:r>
      <w:r>
        <w:rPr>
          <w:b/>
          <w:bCs/>
        </w:rPr>
        <w:t xml:space="preserve">giunzione dorso-lombare</w:t>
      </w:r>
      <w:r>
        <w:t xml:space="preserve"> </w:t>
      </w:r>
      <w:r>
        <w:t xml:space="preserve">e il</w:t>
      </w:r>
      <w:r>
        <w:t xml:space="preserve"> </w:t>
      </w:r>
      <w:r>
        <w:rPr>
          <w:b/>
          <w:bCs/>
        </w:rPr>
        <w:t xml:space="preserve">sacro</w:t>
      </w:r>
      <w:r>
        <w:t xml:space="preserve">.</w:t>
      </w:r>
    </w:p>
    <w:p>
      <w:pPr>
        <w:pStyle w:val="BodyText"/>
      </w:pPr>
      <w:r>
        <w:t xml:space="preserve">Il motivo per cui la regola tiene su questa condizione è un fatto, non una cautela. Sull’addome il reperto palpatorio non è riproducibile fra operatori (Guillaud 2018 — PMID 29452579). E una massa o una resistenza addominale è una riga della tabella delle bandiere rosse prima di essere un reperto disfunzionale. Per questo l’addome si palpa per orientarsi e non si carica, e per questo il documento tiene l’addome fuori dalle prime mosse.</w:t>
      </w:r>
    </w:p>
    <w:p>
      <w:pPr>
        <w:pStyle w:val="BodyText"/>
      </w:pPr>
      <w:r>
        <w:t xml:space="preserve">Quello che resta intatto, e vale comunque, è la regola di verifica:</w:t>
      </w:r>
      <w:r>
        <w:t xml:space="preserve"> </w:t>
      </w:r>
      <w:r>
        <w:rPr>
          <w:b/>
          <w:bCs/>
        </w:rPr>
        <w:t xml:space="preserve">il marker con cui rivaluti appartiene a un piano che non hai trattato.</w:t>
      </w:r>
    </w:p>
    <w:bookmarkEnd w:id="42"/>
    <w:bookmarkStart w:id="43" w:name="X0a7f4f462dcd00a6589f49a5c8b1aabea9f89af"/>
    <w:p>
      <w:pPr>
        <w:pStyle w:val="Heading3"/>
      </w:pPr>
      <w:r>
        <w:t xml:space="preserve">La verifica, e che cosa può verificare davvero</w:t>
      </w:r>
    </w:p>
    <w:p>
      <w:pPr>
        <w:pStyle w:val="FirstParagraph"/>
      </w:pPr>
      <w:r>
        <w:t xml:space="preserve">Tratti in prova il piano che sospetti dominante, poi rivaluti. E qui c’è il dettaglio che separa una verifica da un auto-inganno:</w:t>
      </w:r>
      <w:r>
        <w:t xml:space="preserve"> </w:t>
      </w:r>
      <w:r>
        <w:rPr>
          <w:b/>
          <w:bCs/>
        </w:rPr>
        <w:t xml:space="preserve">il marker con cui rivaluti non deve stare dove hai appena lavorato.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che funziona ha quattro requisiti:</w:t>
      </w:r>
    </w:p>
    <w:p>
      <w:pPr>
        <w:pStyle w:val="Compact"/>
        <w:numPr>
          <w:ilvl w:val="0"/>
          <w:numId w:val="1021"/>
        </w:numPr>
      </w:pPr>
      <w:r>
        <w:rPr>
          <w:b/>
          <w:bCs/>
        </w:rPr>
        <w:t xml:space="preserve">misurabile in stanza</w:t>
      </w:r>
      <w:r>
        <w:t xml:space="preserve"> </w:t>
      </w:r>
      <w:r>
        <w:t xml:space="preserve">in meno di un minuto, con lo stesso metodo prima e dopo;</w:t>
      </w:r>
    </w:p>
    <w:p>
      <w:pPr>
        <w:pStyle w:val="Compact"/>
        <w:numPr>
          <w:ilvl w:val="0"/>
          <w:numId w:val="1021"/>
        </w:numPr>
      </w:pPr>
      <w:r>
        <w:rPr>
          <w:b/>
          <w:bCs/>
        </w:rPr>
        <w:t xml:space="preserve">scelto prima di trattare</w:t>
      </w:r>
      <w:r>
        <w:t xml:space="preserve">, e non cambiato dopo aver visto il risultato;</w:t>
      </w:r>
    </w:p>
    <w:p>
      <w:pPr>
        <w:pStyle w:val="Compact"/>
        <w:numPr>
          <w:ilvl w:val="0"/>
          <w:numId w:val="1021"/>
        </w:numPr>
      </w:pPr>
      <w:r>
        <w:rPr>
          <w:b/>
          <w:bCs/>
        </w:rPr>
        <w:t xml:space="preserve">estraneo a ciò che hai trattato</w:t>
      </w:r>
      <w:r>
        <w:t xml:space="preserve">;</w:t>
      </w:r>
    </w:p>
    <w:p>
      <w:pPr>
        <w:pStyle w:val="Compact"/>
        <w:numPr>
          <w:ilvl w:val="0"/>
          <w:numId w:val="1021"/>
        </w:numPr>
      </w:pPr>
      <w:r>
        <w:rPr>
          <w:b/>
          <w:bCs/>
        </w:rPr>
        <w:t xml:space="preserve">con una soglia dichiarata</w:t>
      </w:r>
      <w:r>
        <w:t xml:space="preserve">, perché senza soglia qualunque oscillazione diventa una conferma.</w:t>
      </w:r>
    </w:p>
    <w:p>
      <w:pPr>
        <w:pStyle w:val="FirstParagraph"/>
      </w:pPr>
      <w:r>
        <w:rPr>
          <w:b/>
          <w:bCs/>
        </w:rPr>
        <w:t xml:space="preserve">I marker di questa condizione non hanno tutti lo stesso ruolo.</w:t>
      </w:r>
      <w:r>
        <w:t xml:space="preserve"> </w:t>
      </w:r>
      <w:r>
        <w:t xml:space="preserve">I primi due sono</w:t>
      </w:r>
      <w:r>
        <w:t xml:space="preserve"> </w:t>
      </w:r>
      <w:r>
        <w:rPr>
          <w:b/>
          <w:bCs/>
        </w:rPr>
        <w:t xml:space="preserve">misure di stato</w:t>
      </w:r>
      <w:r>
        <w:t xml:space="preserve"> </w:t>
      </w:r>
      <w:r>
        <w:t xml:space="preserve">dentro la seduta: se hai lavorato sul respiro e sul diaframma non verificano niente, perché stanno sul piano che hai appena trattato. Il terzo è l’unica verifica che si allontana dal distretto trattato. Il quarto e il quinto sono</w:t>
      </w:r>
      <w:r>
        <w:t xml:space="preserve"> </w:t>
      </w:r>
      <w:r>
        <w:rPr>
          <w:b/>
          <w:bCs/>
        </w:rPr>
        <w:t xml:space="preserve">esiti</w:t>
      </w:r>
      <w:r>
        <w:t xml:space="preserve">.</w:t>
      </w:r>
    </w:p>
    <w:p>
      <w:pPr>
        <w:numPr>
          <w:ilvl w:val="0"/>
          <w:numId w:val="1022"/>
        </w:numPr>
      </w:pPr>
      <w:r>
        <w:rPr>
          <w:b/>
          <w:bCs/>
        </w:rPr>
        <w:t xml:space="preserve">Frequenza respiratoria a riposo</w:t>
      </w:r>
      <w:r>
        <w:t xml:space="preserve">, contata su 60 secondi senza avvisare il paziente.</w:t>
      </w:r>
      <w:r>
        <w:t xml:space="preserve"> </w:t>
      </w:r>
      <w:r>
        <w:rPr>
          <w:i/>
          <w:iCs/>
        </w:rPr>
        <w:t xml:space="preserve">Soglia:</w:t>
      </w:r>
      <w:r>
        <w:t xml:space="preserve"> </w:t>
      </w:r>
      <w:r>
        <w:t xml:space="preserve">variazione di almeno</w:t>
      </w:r>
      <w:r>
        <w:t xml:space="preserve"> </w:t>
      </w:r>
      <w:r>
        <w:rPr>
          <w:b/>
          <w:bCs/>
        </w:rPr>
        <w:t xml:space="preserve">3 atti al minuto rispetto al basale dello stesso paziente</w:t>
      </w:r>
      <w:r>
        <w:t xml:space="preserve">, nella stessa posizione. Non si usa una soglia assoluta: l’intervallo normale nell’adulto è 12-20 atti al minuto, e un valore fisso dentro quell’intervallo classificherebbe come attivati soggetti normali.</w:t>
      </w:r>
      <w:r>
        <w:t xml:space="preserve"> </w:t>
      </w:r>
      <w:r>
        <w:rPr>
          <w:i/>
          <w:iCs/>
        </w:rPr>
        <w:t xml:space="preserve">Piano:</w:t>
      </w:r>
      <w:r>
        <w:t xml:space="preserve"> </w:t>
      </w:r>
      <w:r>
        <w:t xml:space="preserve">respiratorio — quindi</w:t>
      </w:r>
      <w:r>
        <w:t xml:space="preserve"> </w:t>
      </w:r>
      <w:r>
        <w:rPr>
          <w:b/>
          <w:bCs/>
        </w:rPr>
        <w:t xml:space="preserve">non</w:t>
      </w:r>
      <w:r>
        <w:t xml:space="preserve"> </w:t>
      </w:r>
      <w:r>
        <w:t xml:space="preserve">verifica nulla se hai lavorato sul diaframma.</w:t>
      </w:r>
    </w:p>
    <w:p>
      <w:pPr>
        <w:numPr>
          <w:ilvl w:val="0"/>
          <w:numId w:val="1022"/>
        </w:numPr>
      </w:pPr>
      <w:r>
        <w:rPr>
          <w:b/>
          <w:bCs/>
        </w:rPr>
        <w:t xml:space="preserve">Escursione toracica bassa</w:t>
      </w:r>
      <w:r>
        <w:t xml:space="preserve">, con un metro da sarto al processo xifoideo, come differenza fra espirazione forzata e inspirazione massima.</w:t>
      </w:r>
      <w:r>
        <w:t xml:space="preserve"> </w:t>
      </w:r>
      <w:r>
        <w:rPr>
          <w:i/>
          <w:iCs/>
        </w:rPr>
        <w:t xml:space="preserve">Soglia:</w:t>
      </w:r>
      <w:r>
        <w:t xml:space="preserve"> </w:t>
      </w:r>
      <w:r>
        <w:t xml:space="preserve">variazione di almeno</w:t>
      </w:r>
      <w:r>
        <w:t xml:space="preserve"> </w:t>
      </w:r>
      <w:r>
        <w:rPr>
          <w:b/>
          <w:bCs/>
        </w:rPr>
        <w:t xml:space="preserve">1 cm rispetto alla misura basale dello stesso paziente</w:t>
      </w:r>
      <w:r>
        <w:t xml:space="preserve">, stessa posizione e stessa manovra.</w:t>
      </w:r>
      <w:r>
        <w:t xml:space="preserve"> </w:t>
      </w:r>
      <w:r>
        <w:rPr>
          <w:i/>
          <w:iCs/>
        </w:rPr>
        <w:t xml:space="preserve">Attenzione a cosa indicizza:</w:t>
      </w:r>
      <w:r>
        <w:t xml:space="preserve"> </w:t>
      </w:r>
      <w:r>
        <w:t xml:space="preserve">è una manovra</w:t>
      </w:r>
      <w:r>
        <w:t xml:space="preserve"> </w:t>
      </w:r>
      <w:r>
        <w:rPr>
          <w:b/>
          <w:bCs/>
        </w:rPr>
        <w:t xml:space="preserve">massimale</w:t>
      </w:r>
      <w:r>
        <w:t xml:space="preserve">, quindi misura capacità meccanica e sforzo volontario, non lo stato a riposo. Non è intercambiabile con il primo, e ha lo stesso limite di piano.</w:t>
      </w:r>
    </w:p>
    <w:p>
      <w:pPr>
        <w:numPr>
          <w:ilvl w:val="0"/>
          <w:numId w:val="1022"/>
        </w:numPr>
      </w:pPr>
      <w:r>
        <w:rPr>
          <w:b/>
          <w:bCs/>
        </w:rPr>
        <w:t xml:space="preserve">Soglia dolorosa alla pressione con algometro sull’angolo del trapezio superiore.</w:t>
      </w:r>
      <w:r>
        <w:t xml:space="preserve"> </w:t>
      </w:r>
      <w:r>
        <w:t xml:space="preserve">È il marker di verifica di questa condizione, e va capito</w:t>
      </w:r>
      <w:r>
        <w:t xml:space="preserve"> </w:t>
      </w:r>
      <w:r>
        <w:rPr>
          <w:b/>
          <w:bCs/>
        </w:rPr>
        <w:t xml:space="preserve">che cosa verifica davvero</w:t>
      </w:r>
      <w:r>
        <w:t xml:space="preserve">.</w:t>
      </w:r>
    </w:p>
    <w:p>
      <w:pPr>
        <w:numPr>
          <w:ilvl w:val="0"/>
          <w:numId w:val="1000"/>
        </w:numPr>
      </w:pPr>
      <w:r>
        <w:rPr>
          <w:i/>
          <w:iCs/>
        </w:rPr>
        <w:t xml:space="preserve">Cosa misura.</w:t>
      </w:r>
      <w:r>
        <w:t xml:space="preserve"> </w:t>
      </w:r>
      <w:r>
        <w:t xml:space="preserve">La componente</w:t>
      </w:r>
      <w:r>
        <w:t xml:space="preserve"> </w:t>
      </w:r>
      <w:r>
        <w:rPr>
          <w:b/>
          <w:bCs/>
        </w:rPr>
        <w:t xml:space="preserve">nociplastica</w:t>
      </w:r>
      <w:r>
        <w:t xml:space="preserve">, ed è lo strumento standard con cui la si misura: nelle condizioni nociplastiche le soglie sono più basse dei controlli in tutte le sedi testate (Sanders 2022 — PMID 35908377).</w:t>
      </w:r>
    </w:p>
    <w:p>
      <w:pPr>
        <w:numPr>
          <w:ilvl w:val="0"/>
          <w:numId w:val="1000"/>
        </w:numPr>
      </w:pPr>
      <w:r>
        <w:rPr>
          <w:i/>
          <w:iCs/>
        </w:rPr>
        <w:t xml:space="preserve">Cosa non verifica.</w:t>
      </w:r>
      <w:r>
        <w:t xml:space="preserve"> </w:t>
      </w:r>
      <w:r>
        <w:t xml:space="preserve">Il guadagno del sistema nervoso è</w:t>
      </w:r>
      <w:r>
        <w:t xml:space="preserve"> </w:t>
      </w:r>
      <w:r>
        <w:rPr>
          <w:b/>
          <w:bCs/>
        </w:rPr>
        <w:t xml:space="preserve">lo stesso piano</w:t>
      </w:r>
      <w:r>
        <w:t xml:space="preserve"> </w:t>
      </w:r>
      <w:r>
        <w:t xml:space="preserve">che la leva sull’attivazione tratta. Il trapezio è fuori</w:t>
      </w:r>
      <w:r>
        <w:t xml:space="preserve"> </w:t>
      </w:r>
      <w:r>
        <w:rPr>
          <w:b/>
          <w:bCs/>
        </w:rPr>
        <w:t xml:space="preserve">distretto</w:t>
      </w:r>
      <w:r>
        <w:t xml:space="preserve">, non fuori</w:t>
      </w:r>
      <w:r>
        <w:t xml:space="preserve"> </w:t>
      </w:r>
      <w:r>
        <w:rPr>
          <w:b/>
          <w:bCs/>
        </w:rPr>
        <w:t xml:space="preserve">modello</w:t>
      </w:r>
      <w:r>
        <w:t xml:space="preserve">. Verifica quindi la</w:t>
      </w:r>
      <w:r>
        <w:t xml:space="preserve"> </w:t>
      </w:r>
      <w:r>
        <w:rPr>
          <w:b/>
          <w:bCs/>
        </w:rPr>
        <w:t xml:space="preserve">generalizzazione</w:t>
      </w:r>
      <w:r>
        <w:t xml:space="preserve"> </w:t>
      </w:r>
      <w:r>
        <w:t xml:space="preserve">dell’effetto, non la dominanza del piano che hai scelto. Su questa condizione un marker davvero fuori modello non esiste, perché il Biomeccanico — unico candidato — il documento lo ha dichiarato vuoto. Dirlo è più onesto che chiamarlo «chiave di volta», che promette una prova che quel marker non può dare.</w:t>
      </w:r>
    </w:p>
    <w:p>
      <w:pPr>
        <w:numPr>
          <w:ilvl w:val="0"/>
          <w:numId w:val="1000"/>
        </w:numPr>
      </w:pPr>
      <w:r>
        <w:rPr>
          <w:i/>
          <w:iCs/>
        </w:rPr>
        <w:t xml:space="preserve">E qui va detta la cosa che indebolisce il marker, prima che la trovi qualcun altro.</w:t>
      </w:r>
      <w:r>
        <w:t xml:space="preserve"> </w:t>
      </w:r>
      <w:r>
        <w:t xml:space="preserve">Sanders misura in una coorte che mette insieme cinque condizioni nociplastiche, questa fra le altre. Il più grande studio di popolazione che ha testato la soglia</w:t>
      </w:r>
      <w:r>
        <w:t xml:space="preserve"> </w:t>
      </w:r>
      <w:r>
        <w:rPr>
          <w:b/>
          <w:bCs/>
        </w:rPr>
        <w:t xml:space="preserve">alla pressione</w:t>
      </w:r>
      <w:r>
        <w:t xml:space="preserve"> </w:t>
      </w:r>
      <w:r>
        <w:t xml:space="preserve">specificamente in questa sindrome — 4.689 persone —</w:t>
      </w:r>
      <w:r>
        <w:t xml:space="preserve"> </w:t>
      </w:r>
      <w:r>
        <w:rPr>
          <w:b/>
          <w:bCs/>
        </w:rPr>
        <w:t xml:space="preserve">non ha trovato differenza</w:t>
      </w:r>
      <w:r>
        <w:t xml:space="preserve">: la trova al calore e alla mano immersa nell’acqua ghiacciata, non all’algometro (Stabell,</w:t>
      </w:r>
      <w:r>
        <w:t xml:space="preserve"> </w:t>
      </w:r>
      <w:r>
        <w:rPr>
          <w:i/>
          <w:iCs/>
        </w:rPr>
        <w:t xml:space="preserve">Pain</w:t>
      </w:r>
      <w:r>
        <w:t xml:space="preserve"> </w:t>
      </w:r>
      <w:r>
        <w:t xml:space="preserve">2013 — PMID 23320954).</w:t>
      </w:r>
      <w:r>
        <w:t xml:space="preserve"> </w:t>
      </w:r>
      <w:r>
        <w:rPr>
          <w:i/>
          <w:iCs/>
        </w:rPr>
        <w:t xml:space="preserve">Il salto è di disegno: misurato come differenza fra gruppi in popolazione, non come risposta al trattamento nello stesso paziente.</w:t>
      </w:r>
      <w:r>
        <w:t xml:space="preserve"> </w:t>
      </w:r>
      <w:r>
        <w:t xml:space="preserve">Che i gruppi non si distinguano all’algometro non dice che il numero non si muova quando la persona migliora: dice che non è il segno con cui la si riconosce. Il marker resta, come misura di</w:t>
      </w:r>
      <w:r>
        <w:t xml:space="preserve"> </w:t>
      </w:r>
      <w:r>
        <w:rPr>
          <w:b/>
          <w:bCs/>
        </w:rPr>
        <w:t xml:space="preserve">cambiamento dentro lo stesso paziente</w:t>
      </w:r>
      <w:r>
        <w:t xml:space="preserve">. Quello che cade è l’idea che la soglia pressoria distingua questa popolazione.</w:t>
      </w:r>
    </w:p>
    <w:p>
      <w:pPr>
        <w:numPr>
          <w:ilvl w:val="0"/>
          <w:numId w:val="1000"/>
        </w:numPr>
      </w:pPr>
      <w:r>
        <w:rPr>
          <w:i/>
          <w:iCs/>
        </w:rPr>
        <w:t xml:space="preserve">Chi può usarlo.</w:t>
      </w:r>
      <w:r>
        <w:t xml:space="preserve"> </w:t>
      </w:r>
      <w:r>
        <w:t xml:space="preserve">L’algometria digitale è affidabile anche in mani poco esperte: concordanza intra-operatore da 0,94 a 0,97, fra operatori da 0,79 a 0,90 (Walton,</w:t>
      </w:r>
      <w:r>
        <w:t xml:space="preserve"> </w:t>
      </w:r>
      <w:r>
        <w:rPr>
          <w:i/>
          <w:iCs/>
        </w:rPr>
        <w:t xml:space="preserve">J Orthop Sports Phys Ther</w:t>
      </w:r>
      <w:r>
        <w:t xml:space="preserve"> </w:t>
      </w:r>
      <w:r>
        <w:t xml:space="preserve">2011 — PMID 21885906).</w:t>
      </w:r>
    </w:p>
    <w:p>
      <w:pPr>
        <w:numPr>
          <w:ilvl w:val="0"/>
          <w:numId w:val="1000"/>
        </w:numPr>
      </w:pPr>
      <w:r>
        <w:rPr>
          <w:i/>
          <w:iCs/>
        </w:rPr>
        <w:t xml:space="preserve">Soglia:</w:t>
      </w:r>
      <w:r>
        <w:t xml:space="preserve"> </w:t>
      </w:r>
      <w:r>
        <w:t xml:space="preserve">la letteratura non pubblica un cambiamento minimo rilevabile per questa popolazione.</w:t>
      </w:r>
      <w:r>
        <w:t xml:space="preserve"> </w:t>
      </w:r>
      <w:r>
        <w:rPr>
          <w:b/>
          <w:bCs/>
        </w:rPr>
        <w:t xml:space="preserve">La soglia che usiamo è una regola interna e va scritta come tale: il 15% della misura basale, mai meno.</w:t>
      </w:r>
    </w:p>
    <w:p>
      <w:pPr>
        <w:numPr>
          <w:ilvl w:val="0"/>
          <w:numId w:val="1022"/>
        </w:numPr>
      </w:pPr>
      <w:r>
        <w:rPr>
          <w:b/>
          <w:bCs/>
        </w:rPr>
        <w:t xml:space="preserve">Il preavviso, in minuti</w:t>
      </w:r>
      <w:r>
        <w:t xml:space="preserve"> </w:t>
      </w:r>
      <w:r>
        <w:t xml:space="preserve">fra prima sensazione e urgenza imperiosa, sui tre episodi più recenti, al basale e alla revisione, con la soglia dichiarata prima.</w:t>
      </w:r>
    </w:p>
    <w:p>
      <w:pPr>
        <w:numPr>
          <w:ilvl w:val="0"/>
          <w:numId w:val="1000"/>
        </w:numPr>
      </w:pPr>
      <w:r>
        <w:rPr>
          <w:i/>
          <w:iCs/>
        </w:rPr>
        <w:t xml:space="preserve">Attenzione:</w:t>
      </w:r>
      <w:r>
        <w:t xml:space="preserve"> </w:t>
      </w:r>
      <w:r>
        <w:t xml:space="preserve">è un</w:t>
      </w:r>
      <w:r>
        <w:t xml:space="preserve"> </w:t>
      </w:r>
      <w:r>
        <w:rPr>
          <w:b/>
          <w:bCs/>
        </w:rPr>
        <w:t xml:space="preserve">esito</w:t>
      </w:r>
      <w:r>
        <w:t xml:space="preserve">. Esiste perché il capitolo delle leve dichiara che quello che si guarda «non è il numero delle scariche, è il preavviso», e una promessa che non si misura è infalsificabile.</w:t>
      </w:r>
    </w:p>
    <w:p>
      <w:pPr>
        <w:numPr>
          <w:ilvl w:val="0"/>
          <w:numId w:val="1000"/>
        </w:numPr>
      </w:pPr>
      <w:r>
        <w:rPr>
          <w:b/>
          <w:bCs/>
        </w:rPr>
        <w:t xml:space="preserve">Guardare l’urgenza non è un’invenzione di questo documento.</w:t>
      </w:r>
      <w:r>
        <w:t xml:space="preserve"> </w:t>
      </w:r>
      <w:r>
        <w:t xml:space="preserve">È stata proposta come co-esito primario proprio per la forma con diarrea, dopo che l’ente regolatore aveva chiesto se questi pazienti sapessero dire cosa intendono per urgenza. Sanno dirlo: nei giorni con urgenza le evacuazioni sono 3,9 contro 1,8, e le feci più liquide, Bristol 5,4 contro 4,2 (Mangel,</w:t>
      </w:r>
      <w:r>
        <w:t xml:space="preserve"> </w:t>
      </w:r>
      <w:r>
        <w:rPr>
          <w:i/>
          <w:iCs/>
        </w:rPr>
        <w:t xml:space="preserve">Gastroenterol Res</w:t>
      </w:r>
      <w:r>
        <w:t xml:space="preserve"> </w:t>
      </w:r>
      <w:r>
        <w:t xml:space="preserve">2011 — PMID 27957006).</w:t>
      </w:r>
      <w:r>
        <w:t xml:space="preserve"> </w:t>
      </w:r>
      <w:r>
        <w:rPr>
          <w:i/>
          <w:iCs/>
        </w:rPr>
        <w:t xml:space="preserve">Il salto è di misura: lì l’urgenza è registrata come presenza o assenza in un diario giornaliero, non come minuti di preavviso — i minuti restano una convenzione interna a questo documento, e la loro soglia va dichiarata come tale.</w:t>
      </w:r>
    </w:p>
    <w:p>
      <w:pPr>
        <w:numPr>
          <w:ilvl w:val="0"/>
          <w:numId w:val="1022"/>
        </w:numPr>
      </w:pPr>
      <w:r>
        <w:rPr>
          <w:b/>
          <w:bCs/>
        </w:rPr>
        <w:t xml:space="preserve">Il diario delle scariche di tipo 6-7.</w:t>
      </w:r>
    </w:p>
    <w:p>
      <w:pPr>
        <w:numPr>
          <w:ilvl w:val="0"/>
          <w:numId w:val="1000"/>
        </w:numPr>
      </w:pPr>
      <w:r>
        <w:rPr>
          <w:i/>
          <w:iCs/>
        </w:rPr>
        <w:t xml:space="preserve">Attenzione:</w:t>
      </w:r>
      <w:r>
        <w:t xml:space="preserve"> </w:t>
      </w:r>
      <w:r>
        <w:rPr>
          <w:b/>
          <w:bCs/>
        </w:rPr>
        <w:t xml:space="preserve">non è un marker, è l’esito.</w:t>
      </w:r>
      <w:r>
        <w:t xml:space="preserve"> </w:t>
      </w:r>
      <w:r>
        <w:t xml:space="preserve">Serve a decidere se il ciclo continua, non a dirti se il tuo reperto era quello che comandava.</w:t>
      </w:r>
    </w:p>
    <w:p>
      <w:pPr>
        <w:numPr>
          <w:ilvl w:val="0"/>
          <w:numId w:val="1000"/>
        </w:numPr>
      </w:pPr>
      <w:r>
        <w:rPr>
          <w:b/>
          <w:bCs/>
        </w:rPr>
        <w:t xml:space="preserve">E il basale deve contenere almeno un’oscillazione completa</w:t>
      </w:r>
      <w:r>
        <w:t xml:space="preserve">, raccolto</w:t>
      </w:r>
      <w:r>
        <w:t xml:space="preserve"> </w:t>
      </w:r>
      <w:r>
        <w:rPr>
          <w:b/>
          <w:bCs/>
        </w:rPr>
        <w:t xml:space="preserve">prima</w:t>
      </w:r>
      <w:r>
        <w:t xml:space="preserve"> </w:t>
      </w:r>
      <w:r>
        <w:t xml:space="preserve">del primo trattamento. Su un quadro che alterna settimane buone e pessime, sette giorni possono cadere tutti dentro la settimana pessima, cioè quella in cui il paziente è arrivato. Un basale così è gonfiato, e la regressione verso la media diventa il tuo risultato.</w:t>
      </w:r>
    </w:p>
    <w:p>
      <w:pPr>
        <w:pStyle w:val="BlockText"/>
      </w:pPr>
      <w:r>
        <w:rPr>
          <w:b/>
          <w:bCs/>
        </w:rPr>
        <w:t xml:space="preserve">Attenzione — quello che non è un marker.</w:t>
      </w:r>
      <w:r>
        <w:t xml:space="preserve"> </w:t>
      </w:r>
      <w:r>
        <w:t xml:space="preserve">La palpazione viscerale. Una revisione sistematica dedicata all’osteopatia viscerale conclude che le tecniche diagnostiche usate</w:t>
      </w:r>
      <w:r>
        <w:t xml:space="preserve"> </w:t>
      </w:r>
      <w:r>
        <w:rPr>
          <w:b/>
          <w:bCs/>
        </w:rPr>
        <w:t xml:space="preserve">non sono affidabili</w:t>
      </w:r>
      <w:r>
        <w:t xml:space="preserve">. E che sull’efficacia lo studio meno distorto non trova differenze sull’esito principale (Guillaud,</w:t>
      </w:r>
      <w:r>
        <w:t xml:space="preserve"> </w:t>
      </w:r>
      <w:r>
        <w:rPr>
          <w:i/>
          <w:iCs/>
        </w:rPr>
        <w:t xml:space="preserve">BMC Complement Altern Med</w:t>
      </w:r>
      <w:r>
        <w:t xml:space="preserve"> </w:t>
      </w:r>
      <w:r>
        <w:t xml:space="preserve">2018 — PMID 29452579). Un reperto che due operatori non ritrovano allo stesso modo non può verificare niente.</w:t>
      </w:r>
    </w:p>
    <w:bookmarkEnd w:id="43"/>
    <w:bookmarkStart w:id="44" w:name="la-road-map"/>
    <w:p>
      <w:pPr>
        <w:pStyle w:val="Heading3"/>
      </w:pPr>
      <w:r>
        <w:t xml:space="preserve">La Road Map</w:t>
      </w:r>
    </w:p>
    <w:p>
      <w:pPr>
        <w:pStyle w:val="Compact"/>
        <w:numPr>
          <w:ilvl w:val="0"/>
          <w:numId w:val="1023"/>
        </w:numPr>
      </w:pPr>
      <w:r>
        <w:rPr>
          <w:b/>
          <w:bCs/>
        </w:rPr>
        <w:t xml:space="preserve">Bandiere rosse?</w:t>
      </w:r>
      <w:r>
        <w:t xml:space="preserve"> </w:t>
      </w:r>
      <w:r>
        <w:t xml:space="preserve">Se sì, il paziente esce con un’indicazione scritta. Nessun reperto scavalca questo passo.</w:t>
      </w:r>
    </w:p>
    <w:p>
      <w:pPr>
        <w:pStyle w:val="Compact"/>
        <w:numPr>
          <w:ilvl w:val="0"/>
          <w:numId w:val="1023"/>
        </w:numPr>
      </w:pPr>
      <w:r>
        <w:rPr>
          <w:b/>
          <w:bCs/>
        </w:rPr>
        <w:t xml:space="preserve">Il quadro degli acidi biliari?</w:t>
      </w:r>
      <w:r>
        <w:t xml:space="preserve"> </w:t>
      </w:r>
      <w:r>
        <w:t xml:space="preserve">Feci acquose, colecistectomia o resezione ileale, urgenza al risveglio, nessuna risposta alla dieta. Se sì, comunicazione scritta al curante prima di aprire qualunque ciclo.</w:t>
      </w:r>
    </w:p>
    <w:p>
      <w:pPr>
        <w:pStyle w:val="Compact"/>
        <w:numPr>
          <w:ilvl w:val="0"/>
          <w:numId w:val="1023"/>
        </w:numPr>
      </w:pPr>
      <w:r>
        <w:rPr>
          <w:b/>
          <w:bCs/>
        </w:rPr>
        <w:t xml:space="preserve">Cosa prendi, e da quanto?</w:t>
      </w:r>
      <w:r>
        <w:t xml:space="preserve"> </w:t>
      </w:r>
      <w:r>
        <w:t xml:space="preserve">Tutta la terapia in corso, non solo quella intestinale, più i prodotti «senza zucchero». È la domanda che chiude i casi iatrogeni, e nessun altro nel percorso la fa con calma.</w:t>
      </w:r>
    </w:p>
    <w:p>
      <w:pPr>
        <w:pStyle w:val="Compact"/>
        <w:numPr>
          <w:ilvl w:val="0"/>
          <w:numId w:val="1023"/>
        </w:numPr>
      </w:pPr>
      <w:r>
        <w:rPr>
          <w:b/>
          <w:bCs/>
        </w:rPr>
        <w:t xml:space="preserve">Cosa è stato escluso, e come?</w:t>
      </w:r>
      <w:r>
        <w:t xml:space="preserve"> </w:t>
      </w:r>
      <w:r>
        <w:t xml:space="preserve">Biopsie fatte o no. Celiachia cercata mangiando glutine o no. Giardia cercata o no.</w:t>
      </w:r>
    </w:p>
    <w:p>
      <w:pPr>
        <w:pStyle w:val="Compact"/>
        <w:numPr>
          <w:ilvl w:val="0"/>
          <w:numId w:val="1023"/>
        </w:numPr>
      </w:pPr>
      <w:r>
        <w:rPr>
          <w:b/>
          <w:bCs/>
        </w:rPr>
        <w:t xml:space="preserve">Qual è il livello di attivazione?</w:t>
      </w:r>
      <w:r>
        <w:t xml:space="preserve"> </w:t>
      </w:r>
      <w:r>
        <w:t xml:space="preserve">Frequenza respiratoria contata, qualità del tessuto, comportamento sul lettino, storia delle settimane buone e cattive.</w:t>
      </w:r>
    </w:p>
    <w:p>
      <w:pPr>
        <w:pStyle w:val="Compact"/>
        <w:numPr>
          <w:ilvl w:val="0"/>
          <w:numId w:val="1023"/>
        </w:numPr>
      </w:pPr>
      <w:r>
        <w:rPr>
          <w:b/>
          <w:bCs/>
        </w:rPr>
        <w:t xml:space="preserve">Quanto è ristretta la vita rispetto alla gravità del sintomo?</w:t>
      </w:r>
      <w:r>
        <w:t xml:space="preserve"> </w:t>
      </w:r>
      <w:r>
        <w:t xml:space="preserve">Misura il sesto meccanismo, e</w:t>
      </w:r>
      <w:r>
        <w:t xml:space="preserve"> </w:t>
      </w:r>
      <w:r>
        <w:rPr>
          <w:b/>
          <w:bCs/>
        </w:rPr>
        <w:t xml:space="preserve">arbitra fra il quarto e il sesto</w:t>
      </w:r>
      <w:r>
        <w:t xml:space="preserve">: restrizione proporzionata, comanda il quarto; sproporzionata, comanda il sesto. È un criterio di lettura — RAGIONAMENTO — e serve perché i due pattern coesistono quasi sempre e le azioni divergono.</w:t>
      </w:r>
    </w:p>
    <w:p>
      <w:pPr>
        <w:pStyle w:val="Compact"/>
        <w:numPr>
          <w:ilvl w:val="0"/>
          <w:numId w:val="1023"/>
        </w:numPr>
      </w:pPr>
      <w:r>
        <w:rPr>
          <w:b/>
          <w:bCs/>
        </w:rPr>
        <w:t xml:space="preserve">Quale marker, e quale soglia?</w:t>
      </w:r>
      <w:r>
        <w:t xml:space="preserve"> </w:t>
      </w:r>
      <w:r>
        <w:t xml:space="preserve">Si sceglie adesso, si scrive adesso, e non si cambia dopo.</w:t>
      </w:r>
    </w:p>
    <w:p>
      <w:pPr>
        <w:pStyle w:val="BlockText"/>
      </w:pPr>
      <w:r>
        <w:rPr>
          <w:b/>
          <w:bCs/>
        </w:rPr>
        <w:t xml:space="preserve">Attenzione — la leva di Attali non entra in nessuno dei tre pazienti-tipo</w:t>
      </w:r>
      <w:r>
        <w:t xml:space="preserve">, e la ragione va scritta: poggia su un trattamento</w:t>
      </w:r>
      <w:r>
        <w:t xml:space="preserve"> </w:t>
      </w:r>
      <w:r>
        <w:rPr>
          <w:b/>
          <w:bCs/>
        </w:rPr>
        <w:t xml:space="preserve">viscerale addominale</w:t>
      </w:r>
      <w:r>
        <w:t xml:space="preserve">, e questo documento tiene l’addome fuori dalle prime mosse. Se entra, entra dopo il VERDE e come tentativo dichiarato.</w:t>
      </w:r>
    </w:p>
    <w:bookmarkEnd w:id="44"/>
    <w:bookmarkStart w:id="45" w:name="i-tre-stati-del-paziente"/>
    <w:p>
      <w:pPr>
        <w:pStyle w:val="Heading3"/>
      </w:pPr>
      <w:r>
        <w:t xml:space="preserve">I tre stati del paziente</w:t>
      </w:r>
    </w:p>
    <w:p>
      <w:pPr>
        <w:pStyle w:val="Compact"/>
        <w:numPr>
          <w:ilvl w:val="0"/>
          <w:numId w:val="1024"/>
        </w:numPr>
      </w:pPr>
      <w:r>
        <w:rPr>
          <w:b/>
          <w:bCs/>
        </w:rPr>
        <w:t xml:space="preserve">In difesa</w:t>
      </w:r>
      <w:r>
        <w:t xml:space="preserve"> </w:t>
      </w:r>
      <w:r>
        <w:t xml:space="preserve">— teso, monosillabico, si scusa. È lo stato più frequente, perché il sintomo è imbarazzante. Parla al bisogno di sicurezza: dì dov’è il bagno prima che lo chieda, e dì che può fermarsi quando vuole. L’addome è il territorio che questo paziente presidia, e va trattato come tale.</w:t>
      </w:r>
    </w:p>
    <w:p>
      <w:pPr>
        <w:pStyle w:val="Compact"/>
        <w:numPr>
          <w:ilvl w:val="0"/>
          <w:numId w:val="1024"/>
        </w:numPr>
      </w:pPr>
      <w:r>
        <w:rPr>
          <w:b/>
          <w:bCs/>
        </w:rPr>
        <w:t xml:space="preserve">Emotivo</w:t>
      </w:r>
      <w:r>
        <w:t xml:space="preserve"> </w:t>
      </w:r>
      <w:r>
        <w:t xml:space="preserve">— racconta, collega il sintomo a un periodo della vita, cerca di essere creduto. Parla al bisogno di essere capito: qui la validazione</w:t>
      </w:r>
      <w:r>
        <w:t xml:space="preserve"> </w:t>
      </w:r>
      <w:r>
        <w:rPr>
          <w:b/>
          <w:bCs/>
        </w:rPr>
        <w:t xml:space="preserve">è</w:t>
      </w:r>
      <w:r>
        <w:t xml:space="preserve"> </w:t>
      </w:r>
      <w:r>
        <w:t xml:space="preserve">l’intervento, ed è spesso qui che il quarto e il sesto meccanismo comandano insieme.</w:t>
      </w:r>
    </w:p>
    <w:p>
      <w:pPr>
        <w:pStyle w:val="Compact"/>
        <w:numPr>
          <w:ilvl w:val="0"/>
          <w:numId w:val="1024"/>
        </w:numPr>
      </w:pPr>
      <w:r>
        <w:rPr>
          <w:b/>
          <w:bCs/>
        </w:rPr>
        <w:t xml:space="preserve">Razionale</w:t>
      </w:r>
      <w:r>
        <w:t xml:space="preserve"> </w:t>
      </w:r>
      <w:r>
        <w:t xml:space="preserve">— chiede il perché, porta i referti in ordine, vuole numeri. Parla al bisogno di logica: mostragli la mappa nervosa e il dato del pattern retrogrado. È il paziente che risponde meglio alla frase «non spinge di più, trattiene di meno».</w:t>
      </w:r>
    </w:p>
    <w:p>
      <w:pPr>
        <w:pStyle w:val="FirstParagraph"/>
      </w:pPr>
      <w:r>
        <w:rPr>
          <w:b/>
          <w:bCs/>
        </w:rPr>
        <w:t xml:space="preserve">Le tre cose da ricordare, più una</w:t>
      </w:r>
    </w:p>
    <w:p>
      <w:pPr>
        <w:pStyle w:val="Compact"/>
        <w:numPr>
          <w:ilvl w:val="0"/>
          <w:numId w:val="1025"/>
        </w:numPr>
      </w:pPr>
      <w:r>
        <w:t xml:space="preserve">Il primo passo non è la dominanza: è il cancello. Qui l’ordine è invertito rispetto alle altre condizioni, perché tre pattern su otto sono uscite.</w:t>
      </w:r>
    </w:p>
    <w:p>
      <w:pPr>
        <w:pStyle w:val="Compact"/>
        <w:numPr>
          <w:ilvl w:val="0"/>
          <w:numId w:val="1025"/>
        </w:numPr>
      </w:pPr>
      <w:r>
        <w:t xml:space="preserve">Il marker di verifica è l’algometria sul trapezio, ed è fuori</w:t>
      </w:r>
      <w:r>
        <w:t xml:space="preserve"> </w:t>
      </w:r>
      <w:r>
        <w:rPr>
          <w:b/>
          <w:bCs/>
        </w:rPr>
        <w:t xml:space="preserve">distretto</w:t>
      </w:r>
      <w:r>
        <w:t xml:space="preserve">, non fuori</w:t>
      </w:r>
      <w:r>
        <w:t xml:space="preserve"> </w:t>
      </w:r>
      <w:r>
        <w:rPr>
          <w:b/>
          <w:bCs/>
        </w:rPr>
        <w:t xml:space="preserve">modello</w:t>
      </w:r>
      <w:r>
        <w:t xml:space="preserve">: verifica se l’effetto si è generalizzato, non se hai scelto il piano giusto.</w:t>
      </w:r>
    </w:p>
    <w:p>
      <w:pPr>
        <w:pStyle w:val="Compact"/>
        <w:numPr>
          <w:ilvl w:val="0"/>
          <w:numId w:val="1025"/>
        </w:numPr>
      </w:pPr>
      <w:r>
        <w:t xml:space="preserve">Il diario delle scariche è l’esito, non il marker. Tenerli separati è ciò che ti impedisce di prenderti meriti della fluttuazione spontanea.</w:t>
      </w:r>
    </w:p>
    <w:p>
      <w:pPr>
        <w:pStyle w:val="Compact"/>
        <w:numPr>
          <w:ilvl w:val="0"/>
          <w:numId w:val="1025"/>
        </w:numPr>
      </w:pPr>
      <w:r>
        <w:rPr>
          <w:b/>
          <w:bCs/>
        </w:rPr>
        <w:t xml:space="preserve">Perché ci sei tu.</w:t>
      </w:r>
      <w:r>
        <w:t xml:space="preserve"> </w:t>
      </w:r>
      <w:r>
        <w:t xml:space="preserve">La revisione sistematica dedicata alle tecniche dell’osteopatia viscerale conclude che le tecniche diagnostiche usate non sono affidabili, su otto studi di riproducibilità (Guillaud 2018 — PMID 29452579).</w:t>
      </w:r>
      <w:r>
        <w:t xml:space="preserve"> </w:t>
      </w:r>
      <w:r>
        <w:rPr>
          <w:b/>
          <w:bCs/>
        </w:rPr>
        <w:t xml:space="preserve">Per te:</w:t>
      </w:r>
      <w:r>
        <w:t xml:space="preserve"> </w:t>
      </w:r>
      <w:r>
        <w:t xml:space="preserve">il tuo mandato clinico qui non può poggiare su un reperto viscerale palpato. Questo ti autorizza a scegliere marker misurabili con uno strumento e riproducibili, che è uno standard più alto di quello che usavamo. Non ti autorizza a scrivere in cartella «ansa sigmoidea ipomobile» come giustificazione di un ciclo.</w:t>
      </w:r>
    </w:p>
    <w:p>
      <w:r>
        <w:pict>
          <v:rect style="width:0;height:1.5pt" o:hralign="center" o:hrstd="t" o:hr="t"/>
        </w:pict>
      </w:r>
    </w:p>
    <w:bookmarkEnd w:id="45"/>
    <w:bookmarkEnd w:id="46"/>
    <w:bookmarkStart w:id="53"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la stessa presentazione può nascondere una malattia infiammatoria, una colite microscopica o un tumore, e il tuo lavoro è sapere cosa è stato guardato e cosa no.</w:t>
      </w:r>
    </w:p>
    <w:bookmarkStart w:id="47" w:name="le-bandiere-rosse"/>
    <w:p>
      <w:pPr>
        <w:pStyle w:val="Heading3"/>
      </w:pPr>
      <w:r>
        <w:t xml:space="preserve">Le bandiere rosse</w:t>
      </w:r>
    </w:p>
    <w:p>
      <w:pPr>
        <w:pStyle w:val="FirstParagraph"/>
      </w:pPr>
      <w:r>
        <w:t xml:space="preserve">Vengono da tre documenti. La linea guida inglese sull’indagine della diarrea cronica nell’adulto (Arasaradnam,</w:t>
      </w:r>
      <w:r>
        <w:t xml:space="preserve"> </w:t>
      </w:r>
      <w:r>
        <w:rPr>
          <w:i/>
          <w:iCs/>
        </w:rPr>
        <w:t xml:space="preserve">Gut</w:t>
      </w:r>
      <w:r>
        <w:t xml:space="preserve"> </w:t>
      </w:r>
      <w:r>
        <w:t xml:space="preserve">2018 — PMID 29653941). Quella americana sulla valutazione di laboratorio della diarrea funzionale e della sindrome con diarrea (Smalley,</w:t>
      </w:r>
      <w:r>
        <w:t xml:space="preserve"> </w:t>
      </w:r>
      <w:r>
        <w:rPr>
          <w:i/>
          <w:iCs/>
        </w:rPr>
        <w:t xml:space="preserve">Gastroenterology</w:t>
      </w:r>
      <w:r>
        <w:t xml:space="preserve"> </w:t>
      </w:r>
      <w:r>
        <w:t xml:space="preserve">2019 — PMID 31302098). E la linea guida europea dedicata a questo quadro (Savarino 2022 — PMID 35695704), che aggiunge il tenesmo.</w:t>
      </w:r>
    </w:p>
    <w:p>
      <w:pPr>
        <w:pStyle w:val="BodyText"/>
      </w:pPr>
      <w:r>
        <w:t xml:space="preserve">L’americana si applica al</w:t>
      </w:r>
      <w:r>
        <w:t xml:space="preserve"> </w:t>
      </w:r>
      <w:r>
        <w:rPr>
          <w:b/>
          <w:bCs/>
        </w:rPr>
        <w:t xml:space="preserve">paziente immunocompetente</w:t>
      </w:r>
      <w:r>
        <w:t xml:space="preserve"> </w:t>
      </w:r>
      <w:r>
        <w:t xml:space="preserve">con diarrea acquosa da almeno quattro settimane. Non si applica a chi ha diarrea ematica, segni di malassorbimento dei grassi o familiarità per malattia infiammatoria, tumore del colon o celiachia.</w:t>
      </w:r>
      <w:r>
        <w:t xml:space="preserve"> </w:t>
      </w:r>
      <w:r>
        <w:rPr>
          <w:b/>
          <w:bCs/>
        </w:rPr>
        <w:t xml:space="preserve">La prima condizione dell’ambito è l’immunocompetenza:</w:t>
      </w:r>
      <w:r>
        <w:t xml:space="preserve"> </w:t>
      </w:r>
      <w:r>
        <w:t xml:space="preserve">sono esattamente i casi che non devono restare da 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Disidratazione grave o confusione</w:t>
            </w:r>
          </w:p>
        </w:tc>
        <w:tc>
          <w:tcPr/>
          <w:p>
            <w:pPr>
              <w:pStyle w:val="Compact"/>
            </w:pPr>
            <w:r>
              <w:t xml:space="preserve">Pronto soccorso</w:t>
            </w:r>
          </w:p>
        </w:tc>
        <w:tc>
          <w:tcPr/>
          <w:p>
            <w:pPr>
              <w:pStyle w:val="Compact"/>
            </w:pPr>
            <w:r>
              <w:t xml:space="preserve">112</w:t>
            </w:r>
          </w:p>
        </w:tc>
      </w:tr>
      <w:tr>
        <w:tc>
          <w:tcPr/>
          <w:p>
            <w:pPr>
              <w:pStyle w:val="Compact"/>
            </w:pPr>
            <w:r>
              <w:t xml:space="preserve">Febbre insieme alle scariche</w:t>
            </w:r>
          </w:p>
        </w:tc>
        <w:tc>
          <w:tcPr/>
          <w:p>
            <w:pPr>
              <w:pStyle w:val="Compact"/>
            </w:pPr>
            <w:r>
              <w:t xml:space="preserve">Medico curante</w:t>
            </w:r>
          </w:p>
        </w:tc>
        <w:tc>
          <w:tcPr/>
          <w:p>
            <w:pPr>
              <w:pStyle w:val="Compact"/>
            </w:pPr>
            <w:r>
              <w:t xml:space="preserve">Urgente</w:t>
            </w:r>
          </w:p>
        </w:tc>
      </w:tr>
      <w:tr>
        <w:tc>
          <w:tcPr/>
          <w:p>
            <w:pPr>
              <w:pStyle w:val="Compact"/>
            </w:pPr>
            <w:r>
              <w:t xml:space="preserve">Massa addominale o rettale palpabile</w:t>
            </w:r>
          </w:p>
        </w:tc>
        <w:tc>
          <w:tcPr/>
          <w:p>
            <w:pPr>
              <w:pStyle w:val="Compact"/>
            </w:pPr>
            <w:r>
              <w:t xml:space="preserve">Medico curante, per gastroenterologia</w:t>
            </w:r>
          </w:p>
        </w:tc>
        <w:tc>
          <w:tcPr/>
          <w:p>
            <w:pPr>
              <w:pStyle w:val="Compact"/>
            </w:pPr>
            <w:r>
              <w:t xml:space="preserve">Urgente</w:t>
            </w:r>
          </w:p>
        </w:tc>
      </w:tr>
      <w:tr>
        <w:tc>
          <w:tcPr/>
          <w:p>
            <w:pPr>
              <w:pStyle w:val="Compact"/>
            </w:pPr>
            <w:r>
              <w:t xml:space="preserve">Diarrea durante o dopo antibiotici, o dopo ricovero</w:t>
            </w:r>
          </w:p>
        </w:tc>
        <w:tc>
          <w:tcPr/>
          <w:p>
            <w:pPr>
              <w:pStyle w:val="Compact"/>
            </w:pPr>
            <w:r>
              <w:t xml:space="preserve">Medico curante, per tossina di C. difficile</w:t>
            </w:r>
          </w:p>
        </w:tc>
        <w:tc>
          <w:tcPr/>
          <w:p>
            <w:pPr>
              <w:pStyle w:val="Compact"/>
            </w:pPr>
            <w:r>
              <w:t xml:space="preserve">Urgente</w:t>
            </w:r>
          </w:p>
        </w:tc>
      </w:tr>
      <w:tr>
        <w:tc>
          <w:tcPr/>
          <w:p>
            <w:pPr>
              <w:pStyle w:val="Compact"/>
            </w:pPr>
            <w:r>
              <w:t xml:space="preserve">Scariche prolungate in politerapia: diuretici, ACE-inibitori, sartani, anticoagulanti</w:t>
            </w:r>
          </w:p>
        </w:tc>
        <w:tc>
          <w:tcPr/>
          <w:p>
            <w:pPr>
              <w:pStyle w:val="Compact"/>
            </w:pPr>
            <w:r>
              <w:t xml:space="preserve">Medico curante</w:t>
            </w:r>
          </w:p>
        </w:tc>
        <w:tc>
          <w:tcPr/>
          <w:p>
            <w:pPr>
              <w:pStyle w:val="Compact"/>
            </w:pPr>
            <w:r>
              <w:t xml:space="preserve">Urgente</w:t>
            </w:r>
          </w:p>
        </w:tc>
      </w:tr>
      <w:tr>
        <w:tc>
          <w:tcPr/>
          <w:p>
            <w:pPr>
              <w:pStyle w:val="Compact"/>
            </w:pPr>
            <w:r>
              <w:t xml:space="preserve">Sangue nelle feci, persistente</w:t>
            </w:r>
          </w:p>
        </w:tc>
        <w:tc>
          <w:tcPr/>
          <w:p>
            <w:pPr>
              <w:pStyle w:val="Compact"/>
            </w:pPr>
            <w:r>
              <w:t xml:space="preserve">Medico curante, per gastroenterologia</w:t>
            </w:r>
          </w:p>
        </w:tc>
        <w:tc>
          <w:tcPr/>
          <w:p>
            <w:pPr>
              <w:pStyle w:val="Compact"/>
            </w:pPr>
            <w:r>
              <w:t xml:space="preserve">Invio, non attendere</w:t>
            </w:r>
          </w:p>
        </w:tc>
      </w:tr>
      <w:tr>
        <w:tc>
          <w:tcPr/>
          <w:p>
            <w:pPr>
              <w:pStyle w:val="Compact"/>
            </w:pPr>
            <w:r>
              <w:t xml:space="preserve">Calo di peso non voluto</w:t>
            </w:r>
          </w:p>
        </w:tc>
        <w:tc>
          <w:tcPr/>
          <w:p>
            <w:pPr>
              <w:pStyle w:val="Compact"/>
            </w:pPr>
            <w:r>
              <w:t xml:space="preserve">Medico curante, per gastroenterologia</w:t>
            </w:r>
          </w:p>
        </w:tc>
        <w:tc>
          <w:tcPr/>
          <w:p>
            <w:pPr>
              <w:pStyle w:val="Compact"/>
            </w:pPr>
            <w:r>
              <w:t xml:space="preserve">Invio, non attendere</w:t>
            </w:r>
          </w:p>
        </w:tc>
      </w:tr>
      <w:tr>
        <w:tc>
          <w:tcPr/>
          <w:p>
            <w:pPr>
              <w:pStyle w:val="Compact"/>
            </w:pPr>
            <w:r>
              <w:t xml:space="preserve">Anemia o carenza di ferro</w:t>
            </w:r>
          </w:p>
        </w:tc>
        <w:tc>
          <w:tcPr/>
          <w:p>
            <w:pPr>
              <w:pStyle w:val="Compact"/>
            </w:pPr>
            <w:r>
              <w:t xml:space="preserve">Medico curante</w:t>
            </w:r>
          </w:p>
        </w:tc>
        <w:tc>
          <w:tcPr/>
          <w:p>
            <w:pPr>
              <w:pStyle w:val="Compact"/>
            </w:pPr>
            <w:r>
              <w:t xml:space="preserve">Invio, non attendere</w:t>
            </w:r>
          </w:p>
        </w:tc>
      </w:tr>
      <w:tr>
        <w:tc>
          <w:tcPr/>
          <w:p>
            <w:pPr>
              <w:pStyle w:val="Compact"/>
            </w:pPr>
            <w:r>
              <w:t xml:space="preserve">Paziente immunodepresso: HIV, chemioterapia, biologici, trapianto</w:t>
            </w:r>
          </w:p>
        </w:tc>
        <w:tc>
          <w:tcPr/>
          <w:p>
            <w:pPr>
              <w:pStyle w:val="Compact"/>
            </w:pPr>
            <w:r>
              <w:t xml:space="preserve">Medico curante</w:t>
            </w:r>
          </w:p>
        </w:tc>
        <w:tc>
          <w:tcPr/>
          <w:p>
            <w:pPr>
              <w:pStyle w:val="Compact"/>
            </w:pPr>
            <w:r>
              <w:t xml:space="preserve">Invio, non attendere</w:t>
            </w:r>
          </w:p>
        </w:tc>
      </w:tr>
      <w:tr>
        <w:tc>
          <w:tcPr/>
          <w:p>
            <w:pPr>
              <w:pStyle w:val="Compact"/>
            </w:pPr>
            <w:r>
              <w:t xml:space="preserve">Alvo cambiato senza spiegazione, sopra i 50 anni</w:t>
            </w:r>
          </w:p>
        </w:tc>
        <w:tc>
          <w:tcPr/>
          <w:p>
            <w:pPr>
              <w:pStyle w:val="Compact"/>
            </w:pPr>
            <w:r>
              <w:t xml:space="preserve">Medico curante, per colonscopia</w:t>
            </w:r>
          </w:p>
        </w:tc>
        <w:tc>
          <w:tcPr/>
          <w:p>
            <w:pPr>
              <w:pStyle w:val="Compact"/>
            </w:pPr>
            <w:r>
              <w:t xml:space="preserve">Invio, non attendere</w:t>
            </w:r>
          </w:p>
        </w:tc>
      </w:tr>
      <w:tr>
        <w:tc>
          <w:tcPr/>
          <w:p>
            <w:pPr>
              <w:pStyle w:val="Compact"/>
            </w:pPr>
            <w:r>
              <w:t xml:space="preserve">Alvo cambiato senza spiegazione, sotto i 50 anni</w:t>
            </w:r>
          </w:p>
        </w:tc>
        <w:tc>
          <w:tcPr/>
          <w:p>
            <w:pPr>
              <w:pStyle w:val="Compact"/>
            </w:pPr>
            <w:r>
              <w:t xml:space="preserve">Medico curante, per colonscopia</w:t>
            </w:r>
          </w:p>
        </w:tc>
        <w:tc>
          <w:tcPr/>
          <w:p>
            <w:pPr>
              <w:pStyle w:val="Compact"/>
            </w:pPr>
            <w:r>
              <w:t xml:space="preserve">Invio</w:t>
            </w:r>
          </w:p>
        </w:tc>
      </w:tr>
      <w:tr>
        <w:tc>
          <w:tcPr/>
          <w:p>
            <w:pPr>
              <w:pStyle w:val="Compact"/>
            </w:pPr>
            <w:r>
              <w:t xml:space="preserve">Tenesmo</w:t>
            </w:r>
          </w:p>
        </w:tc>
        <w:tc>
          <w:tcPr/>
          <w:p>
            <w:pPr>
              <w:pStyle w:val="Compact"/>
            </w:pPr>
            <w:r>
              <w:t xml:space="preserve">Medico curante, per gastroenterologia</w:t>
            </w:r>
          </w:p>
        </w:tc>
        <w:tc>
          <w:tcPr/>
          <w:p>
            <w:pPr>
              <w:pStyle w:val="Compact"/>
            </w:pPr>
            <w:r>
              <w:t xml:space="preserve">Invio</w:t>
            </w:r>
          </w:p>
        </w:tc>
      </w:tr>
      <w:tr>
        <w:tc>
          <w:tcPr/>
          <w:p>
            <w:pPr>
              <w:pStyle w:val="Compact"/>
            </w:pPr>
            <w:r>
              <w:t xml:space="preserve">Incontinenza fecale riferita</w:t>
            </w:r>
          </w:p>
        </w:tc>
        <w:tc>
          <w:tcPr/>
          <w:p>
            <w:pPr>
              <w:pStyle w:val="Compact"/>
            </w:pPr>
            <w:r>
              <w:t xml:space="preserve">Medico curante, per gastroenterologia o pavimento pelvico</w:t>
            </w:r>
          </w:p>
        </w:tc>
        <w:tc>
          <w:tcPr/>
          <w:p>
            <w:pPr>
              <w:pStyle w:val="Compact"/>
            </w:pPr>
            <w:r>
              <w:t xml:space="preserve">Invio</w:t>
            </w:r>
          </w:p>
        </w:tc>
      </w:tr>
      <w:tr>
        <w:tc>
          <w:tcPr/>
          <w:p>
            <w:pPr>
              <w:pStyle w:val="Compact"/>
            </w:pPr>
            <w:r>
              <w:t xml:space="preserve">Diarrea che sveglia di notte</w:t>
            </w:r>
          </w:p>
        </w:tc>
        <w:tc>
          <w:tcPr/>
          <w:p>
            <w:pPr>
              <w:pStyle w:val="Compact"/>
            </w:pPr>
            <w:r>
              <w:t xml:space="preserve">Medico curante, per gastroenterologia</w:t>
            </w:r>
          </w:p>
        </w:tc>
        <w:tc>
          <w:tcPr/>
          <w:p>
            <w:pPr>
              <w:pStyle w:val="Compact"/>
            </w:pPr>
            <w:r>
              <w:t xml:space="preserve">Invio</w:t>
            </w:r>
          </w:p>
        </w:tc>
      </w:tr>
      <w:tr>
        <w:tc>
          <w:tcPr/>
          <w:p>
            <w:pPr>
              <w:pStyle w:val="Compact"/>
            </w:pPr>
            <w:r>
              <w:t xml:space="preserve">Diarrea continua da meno di 3 mesi</w:t>
            </w:r>
          </w:p>
        </w:tc>
        <w:tc>
          <w:tcPr/>
          <w:p>
            <w:pPr>
              <w:pStyle w:val="Compact"/>
            </w:pPr>
            <w:r>
              <w:t xml:space="preserve">Medico curante</w:t>
            </w:r>
          </w:p>
        </w:tc>
        <w:tc>
          <w:tcPr/>
          <w:p>
            <w:pPr>
              <w:pStyle w:val="Compact"/>
            </w:pPr>
            <w:r>
              <w:t xml:space="preserve">Invio</w:t>
            </w:r>
          </w:p>
        </w:tc>
      </w:tr>
      <w:tr>
        <w:tc>
          <w:tcPr/>
          <w:p>
            <w:pPr>
              <w:pStyle w:val="Compact"/>
            </w:pPr>
            <w:r>
              <w:t xml:space="preserve">Esordio dopo viaggio in area tropicale</w:t>
            </w:r>
          </w:p>
        </w:tc>
        <w:tc>
          <w:tcPr/>
          <w:p>
            <w:pPr>
              <w:pStyle w:val="Compact"/>
            </w:pPr>
            <w:r>
              <w:t xml:space="preserve">Medico curante, per parassitologico</w:t>
            </w:r>
          </w:p>
        </w:tc>
        <w:tc>
          <w:tcPr/>
          <w:p>
            <w:pPr>
              <w:pStyle w:val="Compact"/>
            </w:pPr>
            <w:r>
              <w:t xml:space="preserve">Invio</w:t>
            </w:r>
          </w:p>
        </w:tc>
      </w:tr>
      <w:tr>
        <w:tc>
          <w:tcPr/>
          <w:p>
            <w:pPr>
              <w:pStyle w:val="Compact"/>
            </w:pPr>
            <w:r>
              <w:t xml:space="preserve">Familiarità per MICI, celiachia, tumore del colon</w:t>
            </w:r>
          </w:p>
        </w:tc>
        <w:tc>
          <w:tcPr/>
          <w:p>
            <w:pPr>
              <w:pStyle w:val="Compact"/>
            </w:pPr>
            <w:r>
              <w:t xml:space="preserve">Medico curante</w:t>
            </w:r>
          </w:p>
        </w:tc>
        <w:tc>
          <w:tcPr/>
          <w:p>
            <w:pPr>
              <w:pStyle w:val="Compact"/>
            </w:pPr>
            <w:r>
              <w:t xml:space="preserve">Invio</w:t>
            </w:r>
          </w:p>
        </w:tc>
      </w:tr>
      <w:tr>
        <w:tc>
          <w:tcPr/>
          <w:p>
            <w:pPr>
              <w:pStyle w:val="Compact"/>
            </w:pPr>
            <w:r>
              <w:t xml:space="preserve">Feci untuose o galleggianti</w:t>
            </w:r>
          </w:p>
        </w:tc>
        <w:tc>
          <w:tcPr/>
          <w:p>
            <w:pPr>
              <w:pStyle w:val="Compact"/>
            </w:pPr>
            <w:r>
              <w:t xml:space="preserve">Medico curante</w:t>
            </w:r>
          </w:p>
        </w:tc>
        <w:tc>
          <w:tcPr/>
          <w:p>
            <w:pPr>
              <w:pStyle w:val="Compact"/>
            </w:pPr>
            <w:r>
              <w:t xml:space="preserve">Invio</w:t>
            </w:r>
          </w:p>
        </w:tc>
      </w:tr>
    </w:tbl>
    <w:p>
      <w:pPr>
        <w:pStyle w:val="BodyText"/>
      </w:pPr>
      <w:r>
        <w:rPr>
          <w:b/>
          <w:bCs/>
        </w:rPr>
        <w:t xml:space="preserve">Tre righe hanno bisogno di una ragione, perché senza non verranno applicate.</w:t>
      </w:r>
    </w:p>
    <w:p>
      <w:pPr>
        <w:pStyle w:val="Compact"/>
        <w:numPr>
          <w:ilvl w:val="0"/>
          <w:numId w:val="1026"/>
        </w:numPr>
      </w:pPr>
      <w:r>
        <w:rPr>
          <w:b/>
          <w:bCs/>
        </w:rPr>
        <w:t xml:space="preserve">Meno di tre mesi.</w:t>
      </w:r>
      <w:r>
        <w:t xml:space="preserve"> </w:t>
      </w:r>
      <w:r>
        <w:t xml:space="preserve">Non contraddice le quattro settimane della definizione. Sotto i tre mesi una causa infettiva o farmacologica resta la più probabile. Il paziente è già cronico per la definizione, e non è ancora tuo per il triage.</w:t>
      </w:r>
    </w:p>
    <w:p>
      <w:pPr>
        <w:pStyle w:val="Compact"/>
        <w:numPr>
          <w:ilvl w:val="0"/>
          <w:numId w:val="1026"/>
        </w:numPr>
      </w:pPr>
      <w:r>
        <w:rPr>
          <w:b/>
          <w:bCs/>
        </w:rPr>
        <w:t xml:space="preserve">Antibiotici o ricovero recenti.</w:t>
      </w:r>
      <w:r>
        <w:t xml:space="preserve"> </w:t>
      </w:r>
      <w:r>
        <w:t xml:space="preserve">Sono il fattore di rischio principale del</w:t>
      </w:r>
      <w:r>
        <w:t xml:space="preserve"> </w:t>
      </w:r>
      <w:r>
        <w:rPr>
          <w:i/>
          <w:iCs/>
        </w:rPr>
        <w:t xml:space="preserve">Clostridioides difficile</w:t>
      </w:r>
      <w:r>
        <w:t xml:space="preserve">, quadro che va dalla diarrea lieve al megacolon tossico (Mounsey 2020 — PMID 32003951). Fino al riscontro la seduta si rimanda.</w:t>
      </w:r>
    </w:p>
    <w:p>
      <w:pPr>
        <w:pStyle w:val="Compact"/>
        <w:numPr>
          <w:ilvl w:val="0"/>
          <w:numId w:val="1026"/>
        </w:numPr>
      </w:pPr>
      <w:r>
        <w:rPr>
          <w:b/>
          <w:bCs/>
        </w:rPr>
        <w:t xml:space="preserve">Scariche prolungate in politerapia.</w:t>
      </w:r>
      <w:r>
        <w:t xml:space="preserve"> </w:t>
      </w:r>
      <w:r>
        <w:t xml:space="preserve">Il danno renale acuto da disidratazione nell’anziano ha esordio</w:t>
      </w:r>
      <w:r>
        <w:t xml:space="preserve"> </w:t>
      </w:r>
      <w:r>
        <w:rPr>
          <w:b/>
          <w:bCs/>
        </w:rPr>
        <w:t xml:space="preserve">non acuto nell’80% dei casi</w:t>
      </w:r>
      <w:r>
        <w:t xml:space="preserve">. La combinazione più frequente è diuretico più inibitore del sistema renina-angiotensina, e il 40% dei ricoveri sarebbe evitabile (Coppes 2024 — PMID 38831143). In chi prende warfarin la diarrea si associa agli eventi emorragici (Shalansky 2007 — PMID 17723077).</w:t>
      </w:r>
      <w:r>
        <w:t xml:space="preserve"> </w:t>
      </w:r>
      <w:r>
        <w:rPr>
          <w:b/>
          <w:bCs/>
        </w:rPr>
        <w:t xml:space="preserve">Confusione e disidratazione grave non sono un cancello: sono il referto del pronto soccorso.</w:t>
      </w:r>
      <w:r>
        <w:t xml:space="preserve"> </w:t>
      </w:r>
      <w:r>
        <w:t xml:space="preserve">Tu segnali prima, senza dare consigli su idratazione o farmaci.</w:t>
      </w:r>
    </w:p>
    <w:bookmarkEnd w:id="47"/>
    <w:bookmarkStart w:id="48" w:name="X8a45cb57d60ab7f3bfcd15a48a80fd288c8db58"/>
    <w:p>
      <w:pPr>
        <w:pStyle w:val="Heading3"/>
      </w:pPr>
      <w:r>
        <w:t xml:space="preserve">Il cancello d’ingresso — un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rPr>
          <w:b/>
          <w:bCs/>
        </w:rPr>
        <w:t xml:space="preserve">Il mandato clinico</w:t>
      </w:r>
      <w:r>
        <w:t xml:space="preserve"> </w:t>
      </w:r>
      <w:r>
        <w:t xml:space="preserve">— avere qualcosa da trattare oggi — nasce da due cose: un reperto disfunzionale trovato e documentato, e un marker che si muove quando lo tratti.</w:t>
      </w:r>
      <w:r>
        <w:t xml:space="preserve"> </w:t>
      </w:r>
      <w:r>
        <w:rPr>
          <w:b/>
          <w:bCs/>
        </w:rPr>
        <w:t xml:space="preserve">Senza reperto e senza marker non hai un motivo per lavorare, nemmeno con la diagnosi in mano.</w:t>
      </w:r>
      <w:r>
        <w:t xml:space="preserve"> </w:t>
      </w:r>
      <w:r>
        <w:t xml:space="preserve">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Un reperto positivo giustifica il tuo lavoro, non sostituisce l’inquadramento medico.</w:t>
      </w:r>
      <w:r>
        <w:t xml:space="preserve"> </w:t>
      </w:r>
      <w:r>
        <w:t xml:space="preserve">Trovare una restrizione dorso-lombare e un’iperalgesia nel territorio corrispondente non esclude niente.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FirstParagraph"/>
      </w:pPr>
      <w:r>
        <w:rPr>
          <w:b/>
          <w:bCs/>
        </w:rPr>
        <w:t xml:space="preserve">🔴 ROSSO — Stop.</w:t>
      </w:r>
      <w:r>
        <w:t xml:space="preserve"> </w:t>
      </w:r>
      <w:r>
        <w:t xml:space="preserve">Basta una sola bandiera rossa della tabella. Non si apre un ciclo e non si rimanda alla prossima seduta: il paziente esce con un’indicazione medica</w:t>
      </w:r>
      <w:r>
        <w:t xml:space="preserve"> </w:t>
      </w:r>
      <w:r>
        <w:rPr>
          <w:b/>
          <w:bCs/>
        </w:rPr>
        <w:t xml:space="preserve">esplicita e scritta</w:t>
      </w:r>
      <w:r>
        <w:t xml:space="preserve">, con i tempi della colonna.</w:t>
      </w:r>
    </w:p>
    <w:p>
      <w:pPr>
        <w:pStyle w:val="BodyText"/>
      </w:pPr>
      <w:r>
        <w:t xml:space="preserve">La concessione sulla disfunzione muscolo-scheletrica autonoma esiste, ma è</w:t>
      </w:r>
      <w:r>
        <w:t xml:space="preserve"> </w:t>
      </w:r>
      <w:r>
        <w:rPr>
          <w:b/>
          <w:bCs/>
        </w:rPr>
        <w:t xml:space="preserve">legata alla colonna dei tempi</w:t>
      </w:r>
      <w:r>
        <w:t xml:space="preserve">. Si tratta solo nelle righe «Invio» e «Invio, non attendere». Nelle righe</w:t>
      </w:r>
      <w:r>
        <w:t xml:space="preserve"> </w:t>
      </w:r>
      <w:r>
        <w:rPr>
          <w:b/>
          <w:bCs/>
        </w:rPr>
        <w:t xml:space="preserve">«112» e «Urgente» la seduta si chiude e il paziente esce</w:t>
      </w:r>
      <w:r>
        <w:t xml:space="preserve">: un anziano confuso sul lettino è mezz’ora persa. E dove si tratta, il documento del trattamento dichiara che il sintomo intestinale è in attesa di inquadramento e</w:t>
      </w:r>
      <w:r>
        <w:t xml:space="preserve"> </w:t>
      </w:r>
      <w:r>
        <w:rPr>
          <w:b/>
          <w:bCs/>
        </w:rPr>
        <w:t xml:space="preserve">non è il bersaglio</w:t>
      </w:r>
      <w:r>
        <w:t xml:space="preserve">.</w:t>
      </w:r>
    </w:p>
    <w:p>
      <w:pPr>
        <w:pStyle w:val="BlockText"/>
      </w:pPr>
      <w:r>
        <w:rPr>
          <w:b/>
          <w:bCs/>
        </w:rPr>
        <w:t xml:space="preserve">Attenzione — il rachide non fa eccezione.</w:t>
      </w:r>
      <w:r>
        <w:t xml:space="preserve"> </w:t>
      </w:r>
      <w:r>
        <w:t xml:space="preserve">Prendi un paziente con calo di peso, anemia, sangue nelle feci o alvo cambiato. Il suo rachide</w:t>
      </w:r>
      <w:r>
        <w:t xml:space="preserve"> </w:t>
      </w:r>
      <w:r>
        <w:rPr>
          <w:b/>
          <w:bCs/>
        </w:rPr>
        <w:t xml:space="preserve">non è un rachide meccanico finché il medico non lo ha detto</w:t>
      </w:r>
      <w:r>
        <w:t xml:space="preserve">, e fino ad allora non si tratta come tale. Sono le stesse righe della tabella. Ed è la presentazione con cui una neoplasia colorettale con diffusione vertebrale arriva in ambito manuale (Chu 2022 — PMID 36415398).</w:t>
      </w:r>
    </w:p>
    <w:p>
      <w:pPr>
        <w:pStyle w:val="FirstParagraph"/>
      </w:pP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altrove.</w:t>
      </w:r>
    </w:p>
    <w:p>
      <w:pPr>
        <w:pStyle w:val="BodyText"/>
      </w:pPr>
      <w:r>
        <w:t xml:space="preserve">«Inquadramento incompleto» ha qui</w:t>
      </w:r>
      <w:r>
        <w:t xml:space="preserve"> </w:t>
      </w:r>
      <w:r>
        <w:rPr>
          <w:b/>
          <w:bCs/>
        </w:rPr>
        <w:t xml:space="preserve">cinque</w:t>
      </w:r>
      <w:r>
        <w:t xml:space="preserve"> </w:t>
      </w:r>
      <w:r>
        <w:t xml:space="preserve">forme precise:</w:t>
      </w:r>
    </w:p>
    <w:p>
      <w:pPr>
        <w:pStyle w:val="Compact"/>
        <w:numPr>
          <w:ilvl w:val="0"/>
          <w:numId w:val="1027"/>
        </w:numPr>
      </w:pPr>
      <w:r>
        <w:t xml:space="preserve">colonscopia fatta</w:t>
      </w:r>
      <w:r>
        <w:t xml:space="preserve"> </w:t>
      </w:r>
      <w:r>
        <w:rPr>
          <w:b/>
          <w:bCs/>
        </w:rPr>
        <w:t xml:space="preserve">senza</w:t>
      </w:r>
      <w:r>
        <w:t xml:space="preserve"> </w:t>
      </w:r>
      <w:r>
        <w:t xml:space="preserve">biopsie del colon destro e sinistro, quindi colite microscopica non esclusa;</w:t>
      </w:r>
    </w:p>
    <w:p>
      <w:pPr>
        <w:pStyle w:val="Compact"/>
        <w:numPr>
          <w:ilvl w:val="0"/>
          <w:numId w:val="1027"/>
        </w:numPr>
      </w:pPr>
      <w:r>
        <w:t xml:space="preserve">sierologia celiaca fatta</w:t>
      </w:r>
      <w:r>
        <w:t xml:space="preserve"> </w:t>
      </w:r>
      <w:r>
        <w:rPr>
          <w:b/>
          <w:bCs/>
        </w:rPr>
        <w:t xml:space="preserve">dopo</w:t>
      </w:r>
      <w:r>
        <w:t xml:space="preserve"> </w:t>
      </w:r>
      <w:r>
        <w:t xml:space="preserve">che il paziente aveva già tolto il glutine da solo;</w:t>
      </w:r>
    </w:p>
    <w:p>
      <w:pPr>
        <w:pStyle w:val="Compact"/>
        <w:numPr>
          <w:ilvl w:val="0"/>
          <w:numId w:val="1027"/>
        </w:numPr>
      </w:pPr>
      <w:r>
        <w:t xml:space="preserve">Giardia mai cercata, che la linea guida americana raccomanda di testare;</w:t>
      </w:r>
    </w:p>
    <w:p>
      <w:pPr>
        <w:pStyle w:val="Compact"/>
        <w:numPr>
          <w:ilvl w:val="0"/>
          <w:numId w:val="1027"/>
        </w:numPr>
      </w:pPr>
      <w:r>
        <w:t xml:space="preserve">acidi biliari mai indagati, né con SeHCAT né con il C4 sierico;</w:t>
      </w:r>
    </w:p>
    <w:p>
      <w:pPr>
        <w:pStyle w:val="Compact"/>
        <w:numPr>
          <w:ilvl w:val="0"/>
          <w:numId w:val="1027"/>
        </w:numPr>
      </w:pPr>
      <w:r>
        <w:rPr>
          <w:b/>
          <w:bCs/>
        </w:rPr>
        <w:t xml:space="preserve">terapia in corso mai rivista</w:t>
      </w:r>
      <w:r>
        <w:t xml:space="preserve"> </w:t>
      </w:r>
      <w:r>
        <w:t xml:space="preserve">— tutta, non solo quella intestinale, più i prodotti «senza zucchero». È l’unico buco che si chiude in due minuti, ed è quello che nessuno apre.</w:t>
      </w:r>
    </w:p>
    <w:p>
      <w:pPr>
        <w:pStyle w:val="FirstParagraph"/>
      </w:pPr>
      <w:r>
        <w:t xml:space="preserve">Si lavora a</w:t>
      </w:r>
      <w:r>
        <w:t xml:space="preserve"> </w:t>
      </w:r>
      <w:r>
        <w:rPr>
          <w:b/>
          <w:bCs/>
        </w:rPr>
        <w:t xml:space="preserve">cinque condizioni</w:t>
      </w:r>
      <w:r>
        <w:t xml:space="preserve">, tutte verificabili:</w:t>
      </w:r>
    </w:p>
    <w:p>
      <w:pPr>
        <w:pStyle w:val="Compact"/>
        <w:numPr>
          <w:ilvl w:val="0"/>
          <w:numId w:val="1028"/>
        </w:numPr>
      </w:pPr>
      <w:r>
        <w:rPr>
          <w:b/>
          <w:bCs/>
        </w:rPr>
        <w:t xml:space="preserve">Un reperto tuo, positivo e scritto in cartella.</w:t>
      </w:r>
      <w:r>
        <w:t xml:space="preserve"> </w:t>
      </w:r>
      <w:r>
        <w:t xml:space="preserve">Non «il paziente ha diarrea ricorrente», ma il reperto meccanico o la misura di attivazione che giustifica il tuo lavoro.</w:t>
      </w:r>
    </w:p>
    <w:p>
      <w:pPr>
        <w:pStyle w:val="Compact"/>
        <w:numPr>
          <w:ilvl w:val="0"/>
          <w:numId w:val="1028"/>
        </w:numPr>
      </w:pPr>
      <w:r>
        <w:rPr>
          <w:b/>
          <w:bCs/>
        </w:rPr>
        <w:t xml:space="preserve">Il paziente sa cosa tratti e cosa no.</w:t>
      </w:r>
      <w:r>
        <w:t xml:space="preserve"> </w:t>
      </w:r>
      <w:r>
        <w:t xml:space="preserve">Frase da usare:</w:t>
      </w:r>
      <w:r>
        <w:t xml:space="preserve"> </w:t>
      </w:r>
      <w:r>
        <w:rPr>
          <w:i/>
          <w:iCs/>
        </w:rPr>
        <w:t xml:space="preserve">«io lavoro sulla componente meccanica e sul livello di attivazione che ho trovato. Il quadro intestinale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t xml:space="preserve">Una comunicazione</w:t>
      </w:r>
      <w:r>
        <w:t xml:space="preserve"> </w:t>
      </w:r>
      <w:r>
        <w:rPr>
          <w:b/>
          <w:bCs/>
        </w:rPr>
        <w:t xml:space="preserve">scritta</w:t>
      </w:r>
      <w:r>
        <w:t xml:space="preserve"> </w:t>
      </w:r>
      <w:r>
        <w:t xml:space="preserve">al curante che nomina i buchi trovati, non un rinvio verbale affidato al paziente.</w:t>
      </w:r>
    </w:p>
    <w:p>
      <w:pPr>
        <w:pStyle w:val="Compact"/>
        <w:numPr>
          <w:ilvl w:val="0"/>
          <w:numId w:val="1028"/>
        </w:numPr>
      </w:pPr>
      <w:r>
        <w:rPr>
          <w:b/>
          <w:bCs/>
        </w:rPr>
        <w:t xml:space="preserve">Tempo definito</w:t>
      </w:r>
      <w:r>
        <w:t xml:space="preserve">, con revisione programmata a calendario. Entro quel tempo il marker si muove, oppure il quadro cambia uscita.</w:t>
      </w:r>
      <w:r>
        <w:t xml:space="preserve"> </w:t>
      </w:r>
      <w:r>
        <w:rPr>
          <w:b/>
          <w:bCs/>
        </w:rPr>
        <w:t xml:space="preserve">La ragione numerica:</w:t>
      </w:r>
      <w:r>
        <w:t xml:space="preserve"> </w:t>
      </w:r>
      <w:r>
        <w:t xml:space="preserve">fra il 2 e il 5% di questi pazienti riceve, entro sei anni da accertamenti negativi, una diagnosi organica alternativa (El-Serag 2004 — PMID 15080847). La revisione programmata non è una cautela procedurale: è la risposta a quel numero.</w:t>
      </w:r>
    </w:p>
    <w:p>
      <w:pPr>
        <w:pStyle w:val="Compact"/>
        <w:numPr>
          <w:ilvl w:val="0"/>
          <w:numId w:val="1028"/>
        </w:numPr>
      </w:pPr>
      <w:r>
        <w:rPr>
          <w:b/>
          <w:bCs/>
        </w:rPr>
        <w:t xml:space="preserve">L’addome si palpa per orientarsi, e non si carica.</w:t>
      </w:r>
      <w:r>
        <w:t xml:space="preserve"> </w:t>
      </w:r>
      <w:r>
        <w:t xml:space="preserve">Finché i buchi restano aperti, una resistenza o una massa che trovi tu</w:t>
      </w:r>
      <w:r>
        <w:t xml:space="preserve"> </w:t>
      </w:r>
      <w:r>
        <w:rPr>
          <w:b/>
          <w:bCs/>
        </w:rPr>
        <w:t xml:space="preserve">non è un reperto disfunzionale</w:t>
      </w:r>
      <w:r>
        <w:t xml:space="preserve">: è la riga «massa addominale palpabile» della tabella, e chiude il cancello.</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w:t>
      </w:r>
      <w:r>
        <w:t xml:space="preserve"> </w:t>
      </w:r>
      <w:r>
        <w:rPr>
          <w:b/>
          <w:bCs/>
        </w:rPr>
        <w:t xml:space="preserve">prioritaria</w:t>
      </w:r>
      <w:r>
        <w:t xml:space="preserve">.</w:t>
      </w:r>
    </w:p>
    <w:p>
      <w:pPr>
        <w:pStyle w:val="BodyText"/>
      </w:pPr>
      <w:r>
        <w:rPr>
          <w:b/>
          <w:bCs/>
        </w:rPr>
        <w:t xml:space="preserve">🟢 VERDE — Si procede</w:t>
      </w:r>
      <w:r>
        <w:t xml:space="preserve"> </w:t>
      </w:r>
      <w:r>
        <w:t xml:space="preserve">secondo Procedura. Servono nessuna bandiera rossa e</w:t>
      </w:r>
      <w:r>
        <w:t xml:space="preserve"> </w:t>
      </w:r>
      <w:r>
        <w:rPr>
          <w:b/>
          <w:bCs/>
        </w:rPr>
        <w:t xml:space="preserve">tutte</w:t>
      </w:r>
      <w:r>
        <w:t xml:space="preserve"> </w:t>
      </w:r>
      <w:r>
        <w:t xml:space="preserve">le condizioni seguenti: colonscopia con biopsie del colon destro e sinistro negativa; calprotectina fecale nella norma; sierologia celiaca negativa eseguita mangiando glutine; ricerca di Giardia negativa; valutazione degli acidi biliari eseguita, oppure — dove il test non è ottenibile — la questione posta per iscritto al curante e da lui chiusa; terapia in corso rivista.</w:t>
      </w:r>
      <w:r>
        <w:t xml:space="preserve"> </w:t>
      </w:r>
      <w:r>
        <w:rPr>
          <w:b/>
          <w:bCs/>
        </w:rPr>
        <w:t xml:space="preserve">Se manca anche una sola di queste, l’uscita è GIALLO.</w:t>
      </w:r>
    </w:p>
    <w:p>
      <w:pPr>
        <w:pStyle w:val="BodyText"/>
      </w:pPr>
      <w:r>
        <w:rPr>
          <w:b/>
          <w:bCs/>
        </w:rPr>
        <w:t xml:space="preserve">Perché il cancello ha tre uscite e non due.</w:t>
      </w:r>
      <w:r>
        <w:t xml:space="preserve"> </w:t>
      </w:r>
      <w:r>
        <w:t xml:space="preserve">Un triage binario — dentro o fuori — su questa condizione manda fuori la maggioranza dei pazienti, perché l’inquadramento incompleto è la situazione più frequente. E</w:t>
      </w:r>
      <w:r>
        <w:t xml:space="preserve"> </w:t>
      </w:r>
      <w:r>
        <w:rPr>
          <w:b/>
          <w:bCs/>
        </w:rPr>
        <w:t xml:space="preserve">una regola scritta e disattesa vale meno di nessuna regola</w:t>
      </w:r>
      <w:r>
        <w:t xml:space="preserve">: chi la trova impraticabile smette di applicarla anche dove serve, e il primo pezzo che salta è il ROSSO. Il GIALLO non è un permesso: è ciò che rende eseguibile il ROSSO.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rispetto all’ultima valutazione medica. Compaiono sangue, febbre, calo di peso o scariche notturne dove non c’erano: il quadro</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Il ROSSO poggia sull’indicazione medica. Il GIALLO poggia sul reperto in cartella e sulla comunicazione al curante. Il VERDE poggia su</w:t>
      </w:r>
      <w:r>
        <w:t xml:space="preserve"> </w:t>
      </w:r>
      <w:r>
        <w:rPr>
          <w:b/>
          <w:bCs/>
        </w:rPr>
        <w:t xml:space="preserve">quale criterio risulta soddisfatto, da quale referto e con quale data</w:t>
      </w:r>
      <w:r>
        <w:t xml:space="preserve">. E tutte e tre poggiano sulla revisione programmata.</w:t>
      </w:r>
      <w:r>
        <w:t xml:space="preserve"> </w:t>
      </w:r>
      <w:r>
        <w:rPr>
          <w:b/>
          <w:bCs/>
        </w:rPr>
        <w:t xml:space="preserve">Quello che non è scritto non esiste</w:t>
      </w:r>
      <w:r>
        <w:t xml:space="preserve">, né per il collega che riprende il paziente, né per il medico, né per chi dovesse chiedere conto di una scelta fra due anni.</w:t>
      </w:r>
    </w:p>
    <w:bookmarkEnd w:id="48"/>
    <w:bookmarkStart w:id="49" w:name="Xe7a05fdecdba7339032c7e64e0b47f18942b905"/>
    <w:p>
      <w:pPr>
        <w:pStyle w:val="Heading3"/>
      </w:pPr>
      <w:r>
        <w:t xml:space="preserve">Cosa prende il paziente, e perché non lo commenti</w:t>
      </w:r>
    </w:p>
    <w:p>
      <w:pPr>
        <w:pStyle w:val="FirstParagraph"/>
      </w:pPr>
      <w:r>
        <w:rPr>
          <w:b/>
          <w:bCs/>
        </w:rPr>
        <w:t xml:space="preserve">Si comincia dalla lista intera, non da quella intestinale.</w:t>
      </w:r>
      <w:r>
        <w:t xml:space="preserve"> </w:t>
      </w:r>
      <w:r>
        <w:t xml:space="preserve">Tutti i farmaci in corso, con da quanto tempo, più i prodotti «senza zucchero». È la domanda che il percorso standard non fa per mancanza di tempo, e tu il tempo ce l’hai.</w:t>
      </w:r>
    </w:p>
    <w:p>
      <w:pPr>
        <w:pStyle w:val="BodyText"/>
      </w:pPr>
      <w:r>
        <w:t xml:space="preserve">I numeri vengono da 1.211 casi e 6.041 controlli (Verhaegh,</w:t>
      </w:r>
      <w:r>
        <w:t xml:space="preserve"> </w:t>
      </w:r>
      <w:r>
        <w:rPr>
          <w:i/>
          <w:iCs/>
        </w:rPr>
        <w:t xml:space="preserve">Aliment Pharmacol Ther</w:t>
      </w:r>
      <w:r>
        <w:t xml:space="preserve"> </w:t>
      </w:r>
      <w:r>
        <w:t xml:space="preserve">2016 — PMID 26956016). Uso corrente di</w:t>
      </w:r>
      <w:r>
        <w:t xml:space="preserve"> </w:t>
      </w:r>
      <w:r>
        <w:rPr>
          <w:b/>
          <w:bCs/>
        </w:rPr>
        <w:t xml:space="preserve">inibitori di pompa</w:t>
      </w:r>
      <w:r>
        <w:t xml:space="preserve"> </w:t>
      </w:r>
      <w:r>
        <w:t xml:space="preserve">e colite microscopica: odds ratio aggiustato 3,37 (IC 2,77-4,09).</w:t>
      </w:r>
      <w:r>
        <w:t xml:space="preserve"> </w:t>
      </w:r>
      <w:r>
        <w:rPr>
          <w:b/>
          <w:bCs/>
        </w:rPr>
        <w:t xml:space="preserve">SSRI</w:t>
      </w:r>
      <w:r>
        <w:t xml:space="preserve">: 2,03.</w:t>
      </w:r>
      <w:r>
        <w:t xml:space="preserve"> </w:t>
      </w:r>
      <w:r>
        <w:rPr>
          <w:b/>
          <w:bCs/>
        </w:rPr>
        <w:t xml:space="preserve">FANS</w:t>
      </w:r>
      <w:r>
        <w:t xml:space="preserve">: 1,86. FANS e inibitore di pompa insieme: rischio quintuplicato. Aggiungi metformina, magnesio, antibiotici recenti e i polioli.</w:t>
      </w:r>
    </w:p>
    <w:p>
      <w:pPr>
        <w:pStyle w:val="BodyText"/>
      </w:pPr>
      <w:r>
        <w:rPr>
          <w:b/>
          <w:bCs/>
        </w:rPr>
        <w:t xml:space="preserve">La lista si scrive e si manda. Non si commenta, e non si suggerisce di sospendere niente.</w:t>
      </w:r>
    </w:p>
    <w:p>
      <w:pPr>
        <w:pStyle w:val="BodyText"/>
      </w:pPr>
      <w:r>
        <w:rPr>
          <w:b/>
          <w:bCs/>
        </w:rPr>
        <w:t xml:space="preserve">Poi i farmaci presi contro la diarrea.</w:t>
      </w:r>
      <w:r>
        <w:t xml:space="preserve"> </w:t>
      </w:r>
      <w:r>
        <w:t xml:space="preserve">La</w:t>
      </w:r>
      <w:r>
        <w:t xml:space="preserve"> </w:t>
      </w:r>
      <w:r>
        <w:rPr>
          <w:b/>
          <w:bCs/>
        </w:rPr>
        <w:t xml:space="preserve">loperamide</w:t>
      </w:r>
      <w:r>
        <w:t xml:space="preserve"> </w:t>
      </w:r>
      <w:r>
        <w:t xml:space="preserve">blocca l’episodio, non tocca soglia né comando, e non discrimina fra le cause.</w:t>
      </w:r>
      <w:r>
        <w:t xml:space="preserve"> </w:t>
      </w:r>
      <w:r>
        <w:rPr>
          <w:b/>
          <w:bCs/>
        </w:rPr>
        <w:t xml:space="preserve">Fermenti lattici e probiotici</w:t>
      </w:r>
      <w:r>
        <w:t xml:space="preserve"> </w:t>
      </w:r>
      <w:r>
        <w:t xml:space="preserve">hanno effetto variabile a seconda del ceppo. Gli</w:t>
      </w:r>
      <w:r>
        <w:t xml:space="preserve"> </w:t>
      </w:r>
      <w:r>
        <w:rPr>
          <w:b/>
          <w:bCs/>
        </w:rPr>
        <w:t xml:space="preserve">antispastici</w:t>
      </w:r>
      <w:r>
        <w:t xml:space="preserve"> </w:t>
      </w:r>
      <w:r>
        <w:t xml:space="preserve">— otilonio bromuro, mebeverina, trimebutina — agiscono sul crampo e non sull’urgenza. La</w:t>
      </w:r>
      <w:r>
        <w:t xml:space="preserve"> </w:t>
      </w:r>
      <w:r>
        <w:rPr>
          <w:b/>
          <w:bCs/>
        </w:rPr>
        <w:t xml:space="preserve">rifaximina</w:t>
      </w:r>
      <w:r>
        <w:t xml:space="preserve"> </w:t>
      </w:r>
      <w:r>
        <w:t xml:space="preserve">è un antibiotico non assorbibile prescritto in cicli.</w:t>
      </w:r>
    </w:p>
    <w:p>
      <w:pPr>
        <w:pStyle w:val="BlockText"/>
      </w:pPr>
      <w:r>
        <w:rPr>
          <w:b/>
          <w:bCs/>
        </w:rPr>
        <w:t xml:space="preserve">Attenzione — la loperamide in autogestione si quantifica.</w:t>
      </w:r>
      <w:r>
        <w:t xml:space="preserve"> </w:t>
      </w:r>
      <w:r>
        <w:t xml:space="preserve">Quante compresse al giorno, e da quanto tempo. Nel database delle segnalazioni americane figurano 48 eventi cardiaci gravi da loperamide: 13 prolungamenti del QT, 7 torsioni di punta, 10 decessi. In 17 casi su 48 il farmaco era stato preso</w:t>
      </w:r>
      <w:r>
        <w:t xml:space="preserve"> </w:t>
      </w:r>
      <w:r>
        <w:rPr>
          <w:b/>
          <w:bCs/>
        </w:rPr>
        <w:t xml:space="preserve">per trattare la diarrea</w:t>
      </w:r>
      <w:r>
        <w:t xml:space="preserve">, non per abuso (Swank 2017 — PMID 28073687). Il numero si scrive e si manda al curante. Devi anche sapere che non si assume in presenza di febbre o sangue nelle feci: non per dirlo al posto del medico, ma per riconoscere la situazione quando ce l’hai davanti.</w:t>
      </w:r>
    </w:p>
    <w:p>
      <w:pPr>
        <w:pStyle w:val="FirstParagraph"/>
      </w:pPr>
      <w:r>
        <w:rPr>
          <w:b/>
          <w:bCs/>
        </w:rPr>
        <w:t xml:space="preserve">Nessuna valutazione, nessun suggerimento di modifica, nemmeno in forma dubitativa.</w:t>
      </w:r>
      <w:r>
        <w:t xml:space="preserve"> </w:t>
      </w:r>
      <w:r>
        <w:t xml:space="preserve">Decide il prescrittore. Quello che fai tu è</w:t>
      </w:r>
      <w:r>
        <w:t xml:space="preserve"> </w:t>
      </w:r>
      <w:r>
        <w:rPr>
          <w:b/>
          <w:bCs/>
        </w:rPr>
        <w:t xml:space="preserve">osservare la risposta e riferirla</w:t>
      </w:r>
      <w:r>
        <w:t xml:space="preserve">, senza interpretarla.</w:t>
      </w:r>
    </w:p>
    <w:bookmarkEnd w:id="49"/>
    <w:bookmarkStart w:id="50" w:name="X1ac5a1b3cdf7e22e51df529af64ae60c55cc369"/>
    <w:p>
      <w:pPr>
        <w:pStyle w:val="Heading3"/>
      </w:pPr>
      <w:r>
        <w:t xml:space="preserve">Cosa dichiari nel consenso, su questa condizione</w:t>
      </w:r>
    </w:p>
    <w:p>
      <w:pPr>
        <w:pStyle w:val="FirstParagraph"/>
      </w:pPr>
      <w:r>
        <w:t xml:space="preserve">Quattro cose che qui scrivi e in un’altra Bibbia non scriveresti.</w:t>
      </w:r>
    </w:p>
    <w:p>
      <w:pPr>
        <w:pStyle w:val="Compact"/>
        <w:numPr>
          <w:ilvl w:val="0"/>
          <w:numId w:val="1029"/>
        </w:numPr>
      </w:pPr>
      <w:r>
        <w:t xml:space="preserve">Che</w:t>
      </w:r>
      <w:r>
        <w:t xml:space="preserve"> </w:t>
      </w:r>
      <w:r>
        <w:rPr>
          <w:b/>
          <w:bCs/>
        </w:rPr>
        <w:t xml:space="preserve">l’oggetto del trattamento è la disfunzione somatica e il livello di attivazione</w:t>
      </w:r>
      <w:r>
        <w:t xml:space="preserve">, non la cura della diarrea, e che la diarrea ricorrente richiede inquadramento medico indipendentemente da quello che fai tu.</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Compact"/>
        <w:numPr>
          <w:ilvl w:val="0"/>
          <w:numId w:val="1030"/>
        </w:numPr>
      </w:pPr>
      <w:r>
        <w:t xml:space="preserve">Che</w:t>
      </w:r>
      <w:r>
        <w:t xml:space="preserve"> </w:t>
      </w:r>
      <w:r>
        <w:rPr>
          <w:b/>
          <w:bCs/>
        </w:rPr>
        <w:t xml:space="preserve">la sola sintesi quantitativa esistente sul trattamento manuale in questo quadro non ha trovato un effetto sulla diarrea</w:t>
      </w:r>
      <w:r>
        <w:t xml:space="preserve">, e che il beneficio sostenuto dalle prove riguarda il dolore addominale. E qui va scritto anche il rovescio. Proprio su quell’esito la risposta al solo placebo è la più alta:</w:t>
      </w:r>
      <w:r>
        <w:t xml:space="preserve"> </w:t>
      </w:r>
      <w:r>
        <w:rPr>
          <w:b/>
          <w:bCs/>
        </w:rPr>
        <w:t xml:space="preserve">40,2% sul dolore contro 16,2% sulla consistenza delle feci</w:t>
      </w:r>
      <w:r>
        <w:t xml:space="preserve">, su 3.908 pazienti nei bracci placebo di 17 studi (Barberio,</w:t>
      </w:r>
      <w:r>
        <w:t xml:space="preserve"> </w:t>
      </w:r>
      <w:r>
        <w:rPr>
          <w:i/>
          <w:iCs/>
        </w:rPr>
        <w:t xml:space="preserve">Clin Gastroenterol Hepatol</w:t>
      </w:r>
      <w:r>
        <w:t xml:space="preserve"> </w:t>
      </w:r>
      <w:r>
        <w:t xml:space="preserve">2022 — PMID 34425274).</w:t>
      </w:r>
    </w:p>
    <w:p>
      <w:pPr>
        <w:pStyle w:val="Compact"/>
        <w:numPr>
          <w:ilvl w:val="0"/>
          <w:numId w:val="1030"/>
        </w:numPr>
      </w:pPr>
      <w:r>
        <w:t xml:space="preserve">Che</w:t>
      </w:r>
      <w:r>
        <w:t xml:space="preserve"> </w:t>
      </w:r>
      <w:r>
        <w:rPr>
          <w:b/>
          <w:bCs/>
        </w:rPr>
        <w:t xml:space="preserve">il trattamento si affianca alla terapia medica e non la sostituisce</w:t>
      </w:r>
      <w:r>
        <w:t xml:space="preserve">, e che la comparsa di sangue, febbre, calo di peso, scariche notturne</w:t>
      </w:r>
      <w:r>
        <w:t xml:space="preserve"> </w:t>
      </w:r>
      <w:r>
        <w:rPr>
          <w:b/>
          <w:bCs/>
        </w:rPr>
        <w:t xml:space="preserve">o segni di disidratazione</w:t>
      </w:r>
      <w:r>
        <w:t xml:space="preserve"> </w:t>
      </w:r>
      <w:r>
        <w:t xml:space="preserve">interrompe il ciclo e rimanda al medico. I segni di disidratazione si dicono con parole d’uso: bocca secca, poca o nessuna urina per molte ore, vertigine ad alzarsi, confusione. E la destinazione è il pronto soccorso, non lo studio.</w:t>
      </w:r>
    </w:p>
    <w:p>
      <w:pPr>
        <w:pStyle w:val="Compact"/>
        <w:numPr>
          <w:ilvl w:val="0"/>
          <w:numId w:val="1030"/>
        </w:numPr>
      </w:pPr>
      <w:r>
        <w:t xml:space="preserve">Che</w:t>
      </w:r>
      <w:r>
        <w:t xml:space="preserve"> </w:t>
      </w:r>
      <w:r>
        <w:rPr>
          <w:b/>
          <w:bCs/>
        </w:rPr>
        <w:t xml:space="preserve">il trattamento non prevede in nessun caso contatto interno o manovre anorettali.</w:t>
      </w:r>
    </w:p>
    <w:bookmarkEnd w:id="50"/>
    <w:bookmarkStart w:id="51" w:name="X981d4ada8bad081246fe7079d0331a602675b7a"/>
    <w:p>
      <w:pPr>
        <w:pStyle w:val="Heading3"/>
      </w:pPr>
      <w:r>
        <w:t xml:space="preserve">Il confine di atto, dove questa condizione lo mette alla prova</w:t>
      </w:r>
    </w:p>
    <w:p>
      <w:pPr>
        <w:pStyle w:val="FirstParagraph"/>
      </w:pPr>
      <w:r>
        <w:rPr>
          <w:b/>
          <w:bCs/>
        </w:rPr>
        <w:t xml:space="preserve">Nessun contatto interno.</w:t>
      </w:r>
      <w:r>
        <w:t xml:space="preserve"> </w:t>
      </w:r>
      <w:r>
        <w:t xml:space="preserve">Il DPR 131/2021 — il</w:t>
      </w:r>
      <w:r>
        <w:t xml:space="preserve"> </w:t>
      </w:r>
      <w:r>
        <w:rPr>
          <w:b/>
          <w:bCs/>
        </w:rPr>
        <w:t xml:space="preserve">Profilo</w:t>
      </w:r>
      <w:r>
        <w:t xml:space="preserve"> </w:t>
      </w:r>
      <w:r>
        <w:t xml:space="preserve">dell’osteopata — definisce l’osteopatia con</w:t>
      </w:r>
      <w:r>
        <w:t xml:space="preserve"> </w:t>
      </w:r>
      <w:r>
        <w:rPr>
          <w:b/>
          <w:bCs/>
        </w:rPr>
        <w:t xml:space="preserve">tecniche manuali, non invasive ed esterne</w:t>
      </w:r>
      <w:r>
        <w:t xml:space="preserve">, ed è la formula letterale. Il DPCM 25 marzo 2026 inquadra l’osteopata come professionista sanitario. Su una condizione con urgenza e componente anorettale la tentazione esiste, e la risposta è no: esplorazione rettale, manometria e riaddestramento anorettale sono fuori dal perimetro.</w:t>
      </w:r>
    </w:p>
    <w:p>
      <w:pPr>
        <w:pStyle w:val="BodyText"/>
      </w:pPr>
      <w:r>
        <w:rPr>
          <w:b/>
          <w:bCs/>
        </w:rPr>
        <w:t xml:space="preserve">Non produci una misura diagnostica.</w:t>
      </w:r>
      <w:r>
        <w:t xml:space="preserve"> </w:t>
      </w:r>
      <w:r>
        <w:t xml:space="preserve">Puoi provocare una risposta e osservarla. Non puoi produrre un dato che sostituisce un accertamento. «Ti sento un colon infiammato» è una diagnosi travestita.</w:t>
      </w:r>
    </w:p>
    <w:p>
      <w:pPr>
        <w:pStyle w:val="BodyText"/>
      </w:pPr>
      <w:r>
        <w:rPr>
          <w:b/>
          <w:bCs/>
        </w:rPr>
        <w:t xml:space="preserve">Non commenti né modifichi la dieta di esclusione</w:t>
      </w:r>
      <w:r>
        <w:t xml:space="preserve"> </w:t>
      </w:r>
      <w:r>
        <w:t xml:space="preserve">in corso. La nomini al curante se ti sembra rischiosa sul piano nutrizionale, e ti fermi lì.</w:t>
      </w:r>
    </w:p>
    <w:p>
      <w:pPr>
        <w:pStyle w:val="BodyText"/>
      </w:pPr>
      <w:r>
        <w:rPr>
          <w:b/>
          <w:bCs/>
        </w:rPr>
        <w:t xml:space="preserve">Non nomini il sospetto diagnostico al paziente.</w:t>
      </w:r>
      <w:r>
        <w:t xml:space="preserve"> </w:t>
      </w:r>
      <w:r>
        <w:t xml:space="preserve">Non dici «potrebbe essere un problema di sali biliari». Al paziente dici che ci sono accertamenti non ancora fatti e che li hai segnalati al suo medico. Al curante scrivi che il pattern è compatibile e che il test esiste. La differenza fra le due cose è il confine.</w:t>
      </w:r>
    </w:p>
    <w:bookmarkEnd w:id="51"/>
    <w:bookmarkStart w:id="52" w:name="il-rapporto-con-il-prescrittore"/>
    <w:p>
      <w:pPr>
        <w:pStyle w:val="Heading3"/>
      </w:pPr>
      <w:r>
        <w:t xml:space="preserve">Il rapporto con il prescrittore</w:t>
      </w:r>
    </w:p>
    <w:p>
      <w:pPr>
        <w:pStyle w:val="FirstParagraph"/>
      </w:pPr>
      <w:r>
        <w:t xml:space="preserve">Qui il canale medico non è una formalità: è il modo in cui il paziente ottiene gli accertamenti che gli mancano.</w:t>
      </w:r>
    </w:p>
    <w:p>
      <w:pPr>
        <w:pStyle w:val="BodyText"/>
      </w:pPr>
      <w:r>
        <w:t xml:space="preserve">La comunicazione scritta nomina</w:t>
      </w:r>
      <w:r>
        <w:t xml:space="preserve"> </w:t>
      </w:r>
      <w:r>
        <w:rPr>
          <w:b/>
          <w:bCs/>
        </w:rPr>
        <w:t xml:space="preserve">cosa hai osservato</w:t>
      </w:r>
      <w:r>
        <w:t xml:space="preserve">, non cosa sospetti. Cioè: la risposta alla loperamide e la quantità assunta; l’assenza di risposta alle diete; la presenza o assenza di biopsie nel referto; la data d’inizio, se legata a un’infezione;</w:t>
      </w:r>
      <w:r>
        <w:t xml:space="preserve"> </w:t>
      </w:r>
      <w:r>
        <w:rPr>
          <w:b/>
          <w:bCs/>
        </w:rPr>
        <w:t xml:space="preserve">la lista completa dei farmaci con da quanto tempo</w:t>
      </w:r>
      <w:r>
        <w:t xml:space="preserve">. Sono osservazioni, e un medico le usa. E un peggioramento prolungato in un paziente in politerapia</w:t>
      </w:r>
      <w:r>
        <w:t xml:space="preserve"> </w:t>
      </w:r>
      <w:r>
        <w:rPr>
          <w:b/>
          <w:bCs/>
        </w:rPr>
        <w:t xml:space="preserve">si comunica mentre è in corso</w:t>
      </w:r>
      <w:r>
        <w:t xml:space="preserve">, non alla fine del ciclo.</w:t>
      </w:r>
    </w:p>
    <w:p>
      <w:pPr>
        <w:pStyle w:val="BodyText"/>
      </w:pPr>
      <w:r>
        <w:rPr>
          <w:b/>
          <w:bCs/>
        </w:rPr>
        <w:t xml:space="preserve">Se sbagli campo, il danno non è tuo: è del paziente.</w:t>
      </w:r>
      <w:r>
        <w:t xml:space="preserve"> </w:t>
      </w:r>
      <w:r>
        <w:t xml:space="preserve">Perde mesi su un ciclo, mentre una colite microscopica o un malassorbimento restano non trattati.</w:t>
      </w:r>
      <w:r>
        <w:t xml:space="preserve"> </w:t>
      </w:r>
      <w:r>
        <w:rPr>
          <w:b/>
          <w:bCs/>
        </w:rPr>
        <w:t xml:space="preserve">Il tempo perso è l’effetto avverso più probabile di questa condizione — non l’unico:</w:t>
      </w:r>
      <w:r>
        <w:t xml:space="preserve"> </w:t>
      </w:r>
      <w:r>
        <w:t xml:space="preserve">gli eventi avversi maggiori della terapia manuale restano rari, circa lo 0,13%, ma esistono. Quelli minori o moderati e transitori sono riportati nel 22-41% (Carnes,</w:t>
      </w:r>
      <w:r>
        <w:t xml:space="preserve"> </w:t>
      </w:r>
      <w:r>
        <w:rPr>
          <w:i/>
          <w:iCs/>
        </w:rPr>
        <w:t xml:space="preserve">Man Ther</w:t>
      </w:r>
      <w:r>
        <w:t xml:space="preserve"> </w:t>
      </w:r>
      <w:r>
        <w:t xml:space="preserve">2010 — PMID 20097115).</w:t>
      </w:r>
    </w:p>
    <w:p>
      <w:pPr>
        <w:pStyle w:val="BodyText"/>
      </w:pPr>
      <w:r>
        <w:rPr>
          <w:b/>
          <w:bCs/>
        </w:rPr>
        <w:t xml:space="preserve">Le tre cose da ricordare, più una</w:t>
      </w:r>
    </w:p>
    <w:p>
      <w:pPr>
        <w:pStyle w:val="Compact"/>
        <w:numPr>
          <w:ilvl w:val="0"/>
          <w:numId w:val="1031"/>
        </w:numPr>
      </w:pPr>
      <w:r>
        <w:t xml:space="preserve">Anche una sola bandiera rossa chiude il cancello. Nessun reperto positivo la scavalca.</w:t>
      </w:r>
    </w:p>
    <w:p>
      <w:pPr>
        <w:pStyle w:val="Compact"/>
        <w:numPr>
          <w:ilvl w:val="0"/>
          <w:numId w:val="1031"/>
        </w:numPr>
      </w:pPr>
      <w:r>
        <w:t xml:space="preserve">«Inquadramento incompleto» ha qui cinque forme: biopsie, celiachia a dieta iniziata, Giardia, acidi biliari, terapia in corso. Cercale nel referto e nella scatola dei farmaci, non nel racconto.</w:t>
      </w:r>
    </w:p>
    <w:p>
      <w:pPr>
        <w:pStyle w:val="Compact"/>
        <w:numPr>
          <w:ilvl w:val="0"/>
          <w:numId w:val="1031"/>
        </w:numPr>
      </w:pPr>
      <w:r>
        <w:t xml:space="preserve">La comunicazione al curante è scritta, contiene osservazioni e non sospetti diagnostici, e parte mentre il paziente resta con te.</w:t>
      </w:r>
    </w:p>
    <w:p>
      <w:pPr>
        <w:pStyle w:val="Compact"/>
        <w:numPr>
          <w:ilvl w:val="0"/>
          <w:numId w:val="1031"/>
        </w:numPr>
      </w:pPr>
      <w:r>
        <w:rPr>
          <w:b/>
          <w:bCs/>
        </w:rPr>
        <w:t xml:space="preserve">Perché ci sei tu.</w:t>
      </w:r>
      <w:r>
        <w:t xml:space="preserve"> </w:t>
      </w:r>
      <w:r>
        <w:t xml:space="preserve">La linea guida inglese raccomanda con forza la colonscopia</w:t>
      </w:r>
      <w:r>
        <w:t xml:space="preserve"> </w:t>
      </w:r>
      <w:r>
        <w:rPr>
          <w:b/>
          <w:bCs/>
        </w:rPr>
        <w:t xml:space="preserve">con biopsie del colon destro e sinistro</w:t>
      </w:r>
      <w:r>
        <w:t xml:space="preserve">, non rettali, per escludere la colite microscopica. In quella malattia il colon appare normale a occhio nudo (Arasaradnam 2018 — PMID 29653941).</w:t>
      </w:r>
      <w:r>
        <w:t xml:space="preserve"> </w:t>
      </w:r>
      <w:r>
        <w:rPr>
          <w:b/>
          <w:bCs/>
        </w:rPr>
        <w:t xml:space="preserve">Per te:</w:t>
      </w:r>
      <w:r>
        <w:t xml:space="preserve"> </w:t>
      </w:r>
      <w:r>
        <w:t xml:space="preserve">«colonscopia negativa» nel racconto del paziente non basta, e sei spesso l’unico del percorso che ha il tempo di aprire il referto e cercare la parola «biopsie». Questo ti autorizza a fare quella domanda e a scriverla al curante. Non ti autorizza a interpretare il referto né a dire al paziente cosa è stato escluso.</w:t>
      </w:r>
    </w:p>
    <w:p>
      <w:r>
        <w:pict>
          <v:rect style="width:0;height:1.5pt" o:hralign="center" o:hrstd="t" o:hr="t"/>
        </w:pict>
      </w:r>
    </w:p>
    <w:bookmarkEnd w:id="52"/>
    <w:bookmarkEnd w:id="53"/>
    <w:bookmarkStart w:id="59" w:name="capitolo-10-cosa-dice-la-scienza"/>
    <w:p>
      <w:pPr>
        <w:pStyle w:val="Heading2"/>
      </w:pPr>
      <w:r>
        <w:t xml:space="preserve">Capitolo 10 — Cosa dice la scienza</w:t>
      </w:r>
    </w:p>
    <w:p>
      <w:pPr>
        <w:pStyle w:val="BlockText"/>
      </w:pPr>
      <w:r>
        <w:rPr>
          <w:b/>
          <w:bCs/>
        </w:rPr>
        <w:t xml:space="preserve">In una riga:</w:t>
      </w:r>
      <w:r>
        <w:t xml:space="preserve"> </w:t>
      </w:r>
      <w:r>
        <w:t xml:space="preserve">sulla diarrea, l’unica sintesi quantitativa esistente del nostro trattamento non ha trovato niente — e va detto per primo, perché è la cosa che rende credibile tutto il resto del documento.</w:t>
      </w:r>
    </w:p>
    <w:bookmarkStart w:id="54" w:name="le-due-ancore"/>
    <w:p>
      <w:pPr>
        <w:pStyle w:val="Heading3"/>
      </w:pPr>
      <w:r>
        <w:t xml:space="preserve">Le due ancore</w:t>
      </w:r>
    </w:p>
    <w:p>
      <w:pPr>
        <w:pStyle w:val="FirstParagraph"/>
      </w:pPr>
      <w:r>
        <w:rPr>
          <w:b/>
          <w:bCs/>
        </w:rPr>
        <w:t xml:space="preserve">L’ancora clinica è Francesco Buffone</w:t>
      </w:r>
      <w:r>
        <w:t xml:space="preserve">, ricercatore osteopata fra Manima di Milano e il dipartimento di ricerca dell’Istituto SOMA, con formazione in metodologia della ricerca clinica alla Harvard T.H. Chan School of Public Health. Con Tarantino, Bergna e Vismara ha prodotto</w:t>
      </w:r>
      <w:r>
        <w:t xml:space="preserve"> </w:t>
      </w:r>
      <w:r>
        <w:rPr>
          <w:b/>
          <w:bCs/>
        </w:rPr>
        <w:t xml:space="preserve">l’unica revisione sistematica con meta-analisi del trattamento manipolativo osteopatico su questo quadro</w:t>
      </w:r>
      <w:r>
        <w:t xml:space="preserve">, esito per esito.</w:t>
      </w:r>
    </w:p>
    <w:p>
      <w:pPr>
        <w:pStyle w:val="BodyText"/>
      </w:pPr>
      <w:r>
        <w:rPr>
          <w:b/>
          <w:bCs/>
        </w:rPr>
        <w:t xml:space="preserve">Limiti dichiarati:</w:t>
      </w:r>
      <w:r>
        <w:t xml:space="preserve"> </w:t>
      </w:r>
      <w:r>
        <w:t xml:space="preserve">è un gruppo osteopatico che valuta l’osteopatia; quattro studi su cinque hanno «alcune preoccupazioni» sul rischio di distorsione e uno è ad alto rischio; i pazienti in tutto sono poche centinaia. È un’ancora metodologica, non di scoperta —</w:t>
      </w:r>
      <w:r>
        <w:t xml:space="preserve"> </w:t>
      </w:r>
      <w:r>
        <w:rPr>
          <w:b/>
          <w:bCs/>
        </w:rPr>
        <w:t xml:space="preserve">ed è l’ancora che ci dà il risultato peggiore: è per questo che la teniamo.</w:t>
      </w:r>
    </w:p>
    <w:p>
      <w:pPr>
        <w:pStyle w:val="BodyText"/>
      </w:pPr>
      <w:r>
        <w:rPr>
          <w:b/>
          <w:bCs/>
        </w:rPr>
        <w:t xml:space="preserve">L’ancora fisiologica è Shin Fukudo</w:t>
      </w:r>
      <w:r>
        <w:t xml:space="preserve">, medicina comportamentale, Tohoku University School of Medicine, Sendai. È chi ha stabilito</w:t>
      </w:r>
      <w:r>
        <w:t xml:space="preserve"> </w:t>
      </w:r>
      <w:r>
        <w:rPr>
          <w:b/>
          <w:bCs/>
        </w:rPr>
        <w:t xml:space="preserve">nell’uomo</w:t>
      </w:r>
      <w:r>
        <w:t xml:space="preserve"> </w:t>
      </w:r>
      <w:r>
        <w:t xml:space="preserve">che lo stress muove il colon: il CRF in vena aumenta la motilità del colon discendente, di più nei pazienti; e — con Sagami — un antagonista del recettore riporta indietro motilità e dolore evocato. È attivo, ed è co-autore dello studio epidemiologico globale della Rome Foundation.</w:t>
      </w:r>
    </w:p>
    <w:p>
      <w:pPr>
        <w:pStyle w:val="BodyText"/>
      </w:pPr>
      <w:r>
        <w:t xml:space="preserve">Le ancore sono due perché le funzioni sono separate: una regge la prova clinica, l’altra il razionale.</w:t>
      </w:r>
      <w:r>
        <w:t xml:space="preserve"> </w:t>
      </w:r>
      <w:r>
        <w:rPr>
          <w:b/>
          <w:bCs/>
        </w:rPr>
        <w:t xml:space="preserve">E la seconda è molto più autorevole della prima.</w:t>
      </w:r>
      <w:r>
        <w:t xml:space="preserve"> </w:t>
      </w:r>
      <w:r>
        <w:t xml:space="preserve">Dichiararlo è più forte che gonfiare.</w:t>
      </w:r>
    </w:p>
    <w:bookmarkEnd w:id="54"/>
    <w:bookmarkStart w:id="55"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Buffone 2023 (37685480)</w:t>
            </w:r>
          </w:p>
        </w:tc>
        <w:tc>
          <w:tcPr/>
          <w:p>
            <w:pPr>
              <w:pStyle w:val="Compact"/>
            </w:pPr>
            <w:r>
              <w:t xml:space="preserve">5 randomizzati, OMT contro finto o nulla</w:t>
            </w:r>
          </w:p>
        </w:tc>
        <w:tc>
          <w:tcPr/>
          <w:p>
            <w:pPr>
              <w:pStyle w:val="Compact"/>
            </w:pPr>
            <w:r>
              <w:t xml:space="preserve">Dichiarare il dolore, mai la diarrea</w:t>
            </w:r>
          </w:p>
        </w:tc>
      </w:tr>
      <w:tr>
        <w:tc>
          <w:tcPr/>
          <w:p>
            <w:pPr>
              <w:pStyle w:val="Compact"/>
            </w:pPr>
            <w:r>
              <w:t xml:space="preserve">El-Serag 2004 (15080847)</w:t>
            </w:r>
          </w:p>
        </w:tc>
        <w:tc>
          <w:tcPr/>
          <w:p>
            <w:pPr>
              <w:pStyle w:val="Compact"/>
            </w:pPr>
            <w:r>
              <w:t xml:space="preserve">14 studi longitudinali, storia naturale</w:t>
            </w:r>
          </w:p>
        </w:tc>
        <w:tc>
          <w:tcPr/>
          <w:p>
            <w:pPr>
              <w:pStyle w:val="Compact"/>
            </w:pPr>
            <w:r>
              <w:t xml:space="preserve">Misurare prima, e programmare la revisione</w:t>
            </w:r>
          </w:p>
        </w:tc>
      </w:tr>
      <w:tr>
        <w:tc>
          <w:tcPr/>
          <w:p>
            <w:pPr>
              <w:pStyle w:val="Compact"/>
            </w:pPr>
            <w:r>
              <w:t xml:space="preserve">Liu 2022 (36408402)</w:t>
            </w:r>
          </w:p>
        </w:tc>
        <w:tc>
          <w:tcPr/>
          <w:p>
            <w:pPr>
              <w:pStyle w:val="Compact"/>
            </w:pPr>
            <w:r>
              <w:t xml:space="preserve">85 randomizzati, respiro lento, IBS-C</w:t>
            </w:r>
          </w:p>
        </w:tc>
        <w:tc>
          <w:tcPr/>
          <w:p>
            <w:pPr>
              <w:pStyle w:val="Compact"/>
            </w:pPr>
            <w:r>
              <w:t xml:space="preserve">Insegnare il respiro, dichiarando il sottotipo</w:t>
            </w:r>
          </w:p>
        </w:tc>
      </w:tr>
      <w:tr>
        <w:tc>
          <w:tcPr/>
          <w:p>
            <w:pPr>
              <w:pStyle w:val="Compact"/>
            </w:pPr>
            <w:r>
              <w:t xml:space="preserve">Barberio 2022 (34425274)</w:t>
            </w:r>
          </w:p>
        </w:tc>
        <w:tc>
          <w:tcPr/>
          <w:p>
            <w:pPr>
              <w:pStyle w:val="Compact"/>
            </w:pPr>
            <w:r>
              <w:t xml:space="preserve">3.908 pazienti in placebo, per esito</w:t>
            </w:r>
          </w:p>
        </w:tc>
        <w:tc>
          <w:tcPr/>
          <w:p>
            <w:pPr>
              <w:pStyle w:val="Compact"/>
            </w:pPr>
            <w:r>
              <w:t xml:space="preserve">Sapere quanto vale il placebo sul tuo bersaglio</w:t>
            </w:r>
          </w:p>
        </w:tc>
      </w:tr>
      <w:tr>
        <w:tc>
          <w:tcPr/>
          <w:p>
            <w:pPr>
              <w:pStyle w:val="Compact"/>
            </w:pPr>
            <w:r>
              <w:t xml:space="preserve">Slattery 2015 (25913530)</w:t>
            </w:r>
          </w:p>
        </w:tc>
        <w:tc>
          <w:tcPr/>
          <w:p>
            <w:pPr>
              <w:pStyle w:val="Compact"/>
            </w:pPr>
            <w:r>
              <w:t xml:space="preserve">6 studi, 908 pazienti, SeHCAT</w:t>
            </w:r>
          </w:p>
        </w:tc>
        <w:tc>
          <w:tcPr/>
          <w:p>
            <w:pPr>
              <w:pStyle w:val="Compact"/>
            </w:pPr>
            <w:r>
              <w:t xml:space="preserve">Cercare il cancello degli acidi biliari</w:t>
            </w:r>
          </w:p>
        </w:tc>
      </w:tr>
      <w:tr>
        <w:tc>
          <w:tcPr/>
          <w:p>
            <w:pPr>
              <w:pStyle w:val="Compact"/>
            </w:pPr>
            <w:r>
              <w:t xml:space="preserve">Klem 2017 (28069350)</w:t>
            </w:r>
          </w:p>
        </w:tc>
        <w:tc>
          <w:tcPr/>
          <w:p>
            <w:pPr>
              <w:pStyle w:val="Compact"/>
            </w:pPr>
            <w:r>
              <w:t xml:space="preserve">45 studi, 21.421 persone dopo enterite</w:t>
            </w:r>
          </w:p>
        </w:tc>
        <w:tc>
          <w:tcPr/>
          <w:p>
            <w:pPr>
              <w:pStyle w:val="Compact"/>
            </w:pPr>
            <w:r>
              <w:t xml:space="preserve">Chiedere la data d’inizio</w:t>
            </w:r>
          </w:p>
        </w:tc>
      </w:tr>
      <w:tr>
        <w:tc>
          <w:tcPr/>
          <w:p>
            <w:pPr>
              <w:pStyle w:val="Compact"/>
            </w:pPr>
            <w:r>
              <w:t xml:space="preserve">Fukudo 1998 (9691924)</w:t>
            </w:r>
          </w:p>
        </w:tc>
        <w:tc>
          <w:tcPr/>
          <w:p>
            <w:pPr>
              <w:pStyle w:val="Compact"/>
            </w:pPr>
            <w:r>
              <w:t xml:space="preserve">10 pazienti, 10 sani, manometria colica</w:t>
            </w:r>
          </w:p>
        </w:tc>
        <w:tc>
          <w:tcPr/>
          <w:p>
            <w:pPr>
              <w:pStyle w:val="Compact"/>
            </w:pPr>
            <w:r>
              <w:t xml:space="preserve">Nominare il meccanismo dello stress</w:t>
            </w:r>
          </w:p>
        </w:tc>
      </w:tr>
      <w:tr>
        <w:tc>
          <w:tcPr/>
          <w:p>
            <w:pPr>
              <w:pStyle w:val="Compact"/>
            </w:pPr>
            <w:r>
              <w:t xml:space="preserve">Sagami 2004 (15194643)</w:t>
            </w:r>
          </w:p>
        </w:tc>
        <w:tc>
          <w:tcPr/>
          <w:p>
            <w:pPr>
              <w:pStyle w:val="Compact"/>
            </w:pPr>
            <w:r>
              <w:t xml:space="preserve">10 pazienti, 10 sani, antagonista CRH</w:t>
            </w:r>
          </w:p>
        </w:tc>
        <w:tc>
          <w:tcPr/>
          <w:p>
            <w:pPr>
              <w:pStyle w:val="Compact"/>
            </w:pPr>
            <w:r>
              <w:t xml:space="preserve">Dire che la direzione è reversibile</w:t>
            </w:r>
          </w:p>
        </w:tc>
      </w:tr>
      <w:tr>
        <w:tc>
          <w:tcPr/>
          <w:p>
            <w:pPr>
              <w:pStyle w:val="Compact"/>
            </w:pPr>
            <w:r>
              <w:t xml:space="preserve">Wiklendt 2023 (37162180)</w:t>
            </w:r>
          </w:p>
        </w:tc>
        <w:tc>
          <w:tcPr/>
          <w:p>
            <w:pPr>
              <w:pStyle w:val="Compact"/>
            </w:pPr>
            <w:r>
              <w:t xml:space="preserve">13 pazienti, 12 sani, 72 sensori</w:t>
            </w:r>
          </w:p>
        </w:tc>
        <w:tc>
          <w:tcPr/>
          <w:p>
            <w:pPr>
              <w:pStyle w:val="Compact"/>
            </w:pPr>
            <w:r>
              <w:t xml:space="preserve">Smontare la teoria dell’acceleratore</w:t>
            </w:r>
          </w:p>
        </w:tc>
      </w:tr>
      <w:tr>
        <w:tc>
          <w:tcPr/>
          <w:p>
            <w:pPr>
              <w:pStyle w:val="Compact"/>
            </w:pPr>
            <w:r>
              <w:t xml:space="preserve">Attali 2013 (23981319)</w:t>
            </w:r>
          </w:p>
        </w:tc>
        <w:tc>
          <w:tcPr/>
          <w:p>
            <w:pPr>
              <w:pStyle w:val="Compact"/>
            </w:pPr>
            <w:r>
              <w:t xml:space="preserve">31 pazienti, crossover con placebo</w:t>
            </w:r>
          </w:p>
        </w:tc>
        <w:tc>
          <w:tcPr/>
          <w:p>
            <w:pPr>
              <w:pStyle w:val="Compact"/>
            </w:pPr>
            <w:r>
              <w:t xml:space="preserve">Dire che la soglia rettale si è mossa</w:t>
            </w:r>
          </w:p>
        </w:tc>
      </w:tr>
      <w:tr>
        <w:tc>
          <w:tcPr/>
          <w:p>
            <w:pPr>
              <w:pStyle w:val="Compact"/>
            </w:pPr>
            <w:r>
              <w:t xml:space="preserve">Florance 2012 (22546751)</w:t>
            </w:r>
          </w:p>
        </w:tc>
        <w:tc>
          <w:tcPr/>
          <w:p>
            <w:pPr>
              <w:pStyle w:val="Compact"/>
            </w:pPr>
            <w:r>
              <w:t xml:space="preserve">30 pazienti, osteopatia contro finta</w:t>
            </w:r>
          </w:p>
        </w:tc>
        <w:tc>
          <w:tcPr/>
          <w:p>
            <w:pPr>
              <w:pStyle w:val="Compact"/>
            </w:pPr>
            <w:r>
              <w:t xml:space="preserve">Non aspettarti nemmeno un effetto breve rilevante</w:t>
            </w:r>
          </w:p>
        </w:tc>
      </w:tr>
      <w:tr>
        <w:tc>
          <w:tcPr/>
          <w:p>
            <w:pPr>
              <w:pStyle w:val="Compact"/>
            </w:pPr>
            <w:r>
              <w:t xml:space="preserve">Manabe 2010 (20025692)</w:t>
            </w:r>
          </w:p>
        </w:tc>
        <w:tc>
          <w:tcPr/>
          <w:p>
            <w:pPr>
              <w:pStyle w:val="Compact"/>
            </w:pPr>
            <w:r>
              <w:t xml:space="preserve">287 pazienti, 170 sani, scintigrafia</w:t>
            </w:r>
          </w:p>
        </w:tc>
        <w:tc>
          <w:tcPr/>
          <w:p>
            <w:pPr>
              <w:pStyle w:val="Compact"/>
            </w:pPr>
            <w:r>
              <w:t xml:space="preserve">Non presumere un transito alterato</w:t>
            </w:r>
          </w:p>
        </w:tc>
      </w:tr>
      <w:tr>
        <w:tc>
          <w:tcPr/>
          <w:p>
            <w:pPr>
              <w:pStyle w:val="Compact"/>
            </w:pPr>
            <w:r>
              <w:t xml:space="preserve">Simrén 2017 (27581702)</w:t>
            </w:r>
          </w:p>
        </w:tc>
        <w:tc>
          <w:tcPr/>
          <w:p>
            <w:pPr>
              <w:pStyle w:val="Compact"/>
            </w:pPr>
            <w:r>
              <w:t xml:space="preserve">472 pazienti, due coorti</w:t>
            </w:r>
          </w:p>
        </w:tc>
        <w:tc>
          <w:tcPr/>
          <w:p>
            <w:pPr>
              <w:pStyle w:val="Compact"/>
            </w:pPr>
            <w:r>
              <w:t xml:space="preserve">Chiedere dell’incontinenza</w:t>
            </w:r>
          </w:p>
        </w:tc>
      </w:tr>
      <w:tr>
        <w:tc>
          <w:tcPr/>
          <w:p>
            <w:pPr>
              <w:pStyle w:val="Compact"/>
            </w:pPr>
            <w:r>
              <w:t xml:space="preserve">Kaptchuk 2008 (18390493)</w:t>
            </w:r>
          </w:p>
        </w:tc>
        <w:tc>
          <w:tcPr/>
          <w:p>
            <w:pPr>
              <w:pStyle w:val="Compact"/>
            </w:pPr>
            <w:r>
              <w:t xml:space="preserve">262 pazienti, tre livelli di relazione</w:t>
            </w:r>
          </w:p>
        </w:tc>
        <w:tc>
          <w:tcPr/>
          <w:p>
            <w:pPr>
              <w:pStyle w:val="Compact"/>
            </w:pPr>
            <w:r>
              <w:t xml:space="preserve">Curare come stai in stanza</w:t>
            </w:r>
          </w:p>
        </w:tc>
      </w:tr>
      <w:tr>
        <w:tc>
          <w:tcPr/>
          <w:p>
            <w:pPr>
              <w:pStyle w:val="Compact"/>
            </w:pPr>
            <w:r>
              <w:t xml:space="preserve">Black 2020 (32276950)</w:t>
            </w:r>
          </w:p>
        </w:tc>
        <w:tc>
          <w:tcPr/>
          <w:p>
            <w:pPr>
              <w:pStyle w:val="Compact"/>
            </w:pPr>
            <w:r>
              <w:t xml:space="preserve">41 randomizzati, 4.072 partecipanti</w:t>
            </w:r>
          </w:p>
        </w:tc>
        <w:tc>
          <w:tcPr/>
          <w:p>
            <w:pPr>
              <w:pStyle w:val="Compact"/>
            </w:pPr>
            <w:r>
              <w:t xml:space="preserve">Nominare l’evitamento e rinviare</w:t>
            </w:r>
          </w:p>
        </w:tc>
      </w:tr>
      <w:tr>
        <w:tc>
          <w:tcPr/>
          <w:p>
            <w:pPr>
              <w:pStyle w:val="Compact"/>
            </w:pPr>
            <w:r>
              <w:t xml:space="preserve">Johannesson 2011 (21206488)</w:t>
            </w:r>
          </w:p>
        </w:tc>
        <w:tc>
          <w:tcPr/>
          <w:p>
            <w:pPr>
              <w:pStyle w:val="Compact"/>
            </w:pPr>
            <w:r>
              <w:t xml:space="preserve">102 pazienti, attività fisica</w:t>
            </w:r>
          </w:p>
        </w:tc>
        <w:tc>
          <w:tcPr/>
          <w:p>
            <w:pPr>
              <w:pStyle w:val="Compact"/>
            </w:pPr>
            <w:r>
              <w:t xml:space="preserve">Insegnare e monitorare il movimento</w:t>
            </w:r>
          </w:p>
        </w:tc>
      </w:tr>
      <w:tr>
        <w:tc>
          <w:tcPr/>
          <w:p>
            <w:pPr>
              <w:pStyle w:val="Compact"/>
            </w:pPr>
            <w:r>
              <w:t xml:space="preserve">Guillaud 2018 (29452579)</w:t>
            </w:r>
          </w:p>
        </w:tc>
        <w:tc>
          <w:tcPr/>
          <w:p>
            <w:pPr>
              <w:pStyle w:val="Compact"/>
            </w:pPr>
            <w:r>
              <w:t xml:space="preserve">8 studi di affidabilità, 6 di efficacia</w:t>
            </w:r>
          </w:p>
        </w:tc>
        <w:tc>
          <w:tcPr/>
          <w:p>
            <w:pPr>
              <w:pStyle w:val="Compact"/>
            </w:pPr>
            <w:r>
              <w:t xml:space="preserve">Non fondare il mandato sulla palpazione</w:t>
            </w:r>
          </w:p>
        </w:tc>
      </w:tr>
      <w:tr>
        <w:tc>
          <w:tcPr/>
          <w:p>
            <w:pPr>
              <w:pStyle w:val="Compact"/>
            </w:pPr>
            <w:r>
              <w:t xml:space="preserve">Horrocks 2015 (26422980)</w:t>
            </w:r>
          </w:p>
        </w:tc>
        <w:tc>
          <w:tcPr/>
          <w:p>
            <w:pPr>
              <w:pStyle w:val="Compact"/>
            </w:pPr>
            <w:r>
              <w:t xml:space="preserve">227 pazienti, stimolazione contro finta</w:t>
            </w:r>
          </w:p>
        </w:tc>
        <w:tc>
          <w:tcPr/>
          <w:p>
            <w:pPr>
              <w:pStyle w:val="Compact"/>
            </w:pPr>
            <w:r>
              <w:t xml:space="preserve">Non attribuirsi ciò che fa il finto gesto</w:t>
            </w:r>
          </w:p>
        </w:tc>
      </w:tr>
      <w:tr>
        <w:tc>
          <w:tcPr/>
          <w:p>
            <w:pPr>
              <w:pStyle w:val="Compact"/>
            </w:pPr>
            <w:r>
              <w:t xml:space="preserve">Lembo 2021 (33605656)</w:t>
            </w:r>
          </w:p>
        </w:tc>
        <w:tc>
          <w:tcPr/>
          <w:p>
            <w:pPr>
              <w:pStyle w:val="Compact"/>
            </w:pPr>
            <w:r>
              <w:t xml:space="preserve">262 pazienti, placebo aperto contro cieco</w:t>
            </w:r>
          </w:p>
        </w:tc>
        <w:tc>
          <w:tcPr/>
          <w:p>
            <w:pPr>
              <w:pStyle w:val="Compact"/>
            </w:pPr>
            <w:r>
              <w:t xml:space="preserve">Sapere quanto rende senza il tuo gesto</w:t>
            </w:r>
          </w:p>
        </w:tc>
      </w:tr>
      <w:tr>
        <w:tc>
          <w:tcPr/>
          <w:p>
            <w:pPr>
              <w:pStyle w:val="Compact"/>
            </w:pPr>
            <w:r>
              <w:t xml:space="preserve">Müller 2014 (24917634)</w:t>
            </w:r>
          </w:p>
        </w:tc>
        <w:tc>
          <w:tcPr/>
          <w:p>
            <w:pPr>
              <w:pStyle w:val="Compact"/>
            </w:pPr>
            <w:r>
              <w:t xml:space="preserve">5 randomizzati, 204 pazienti, non aggregati</w:t>
            </w:r>
          </w:p>
        </w:tc>
        <w:tc>
          <w:tcPr/>
          <w:p>
            <w:pPr>
              <w:pStyle w:val="Compact"/>
            </w:pPr>
            <w:r>
              <w:t xml:space="preserve">Nominare le sintesi favorevoli, e perché</w:t>
            </w:r>
          </w:p>
        </w:tc>
      </w:tr>
    </w:tbl>
    <w:bookmarkEnd w:id="55"/>
    <w:bookmarkStart w:id="56" w:name="i-tre-cerchi"/>
    <w:p>
      <w:pPr>
        <w:pStyle w:val="Heading3"/>
      </w:pPr>
      <w:r>
        <w:t xml:space="preserve">I tre cerchi</w:t>
      </w:r>
    </w:p>
    <w:p>
      <w:pPr>
        <w:pStyle w:val="FirstParagraph"/>
      </w:pPr>
      <w:r>
        <w:rPr>
          <w:b/>
          <w:bCs/>
        </w:rPr>
        <w:t xml:space="preserve">Cerchio 1 — l’evidenza specifica.</w:t>
      </w:r>
      <w:r>
        <w:t xml:space="preserve"> </w:t>
      </w:r>
      <w:r>
        <w:t xml:space="preserve">Esiste, ed è in gran parte contro di noi sull’esito che dà il nome a questa Bibbia.</w:t>
      </w:r>
    </w:p>
    <w:p>
      <w:pPr>
        <w:pStyle w:val="BodyText"/>
      </w:pPr>
      <w:r>
        <w:t xml:space="preserve">Cinque studi randomizzati, esito per esito.</w:t>
      </w:r>
      <w:r>
        <w:t xml:space="preserve"> </w:t>
      </w:r>
      <w:r>
        <w:rPr>
          <w:b/>
          <w:bCs/>
        </w:rPr>
        <w:t xml:space="preserve">Il dolore addominale migliora</w:t>
      </w:r>
      <w:r>
        <w:t xml:space="preserve"> </w:t>
      </w:r>
      <w:r>
        <w:t xml:space="preserve">— dimensione dell’effetto −1,14, intervallo da −1,66 a −0,62.</w:t>
      </w:r>
      <w:r>
        <w:t xml:space="preserve"> </w:t>
      </w:r>
      <w:r>
        <w:rPr>
          <w:b/>
          <w:bCs/>
        </w:rPr>
        <w:t xml:space="preserve">La stitichezza migliora</w:t>
      </w:r>
      <w:r>
        <w:t xml:space="preserve"> </w:t>
      </w:r>
      <w:r>
        <w:t xml:space="preserve">— −0,66, da −1,12 a −0,20.</w:t>
      </w:r>
      <w:r>
        <w:t xml:space="preserve"> </w:t>
      </w:r>
      <w:r>
        <w:rPr>
          <w:b/>
          <w:bCs/>
        </w:rPr>
        <w:t xml:space="preserve">Il punteggio globale no</w:t>
      </w:r>
      <w:r>
        <w:t xml:space="preserve"> </w:t>
      </w:r>
      <w:r>
        <w:t xml:space="preserve">— −0,34, da −0,83 a 0,16.</w:t>
      </w:r>
      <w:r>
        <w:t xml:space="preserve"> </w:t>
      </w:r>
      <w:r>
        <w:rPr>
          <w:b/>
          <w:bCs/>
        </w:rPr>
        <w:t xml:space="preserve">La diarrea no</w:t>
      </w:r>
      <w:r>
        <w:t xml:space="preserve"> </w:t>
      </w:r>
      <w:r>
        <w:t xml:space="preserve">— −1,20, da −2,84 a</w:t>
      </w:r>
      <w:r>
        <w:t xml:space="preserve"> </w:t>
      </w:r>
      <w:r>
        <w:rPr>
          <w:b/>
          <w:bCs/>
        </w:rPr>
        <w:t xml:space="preserve">0,43</w:t>
      </w:r>
      <w:r>
        <w:t xml:space="preserve">. La qualità delle prove è bassa per i primi due e</w:t>
      </w:r>
      <w:r>
        <w:t xml:space="preserve"> </w:t>
      </w:r>
      <w:r>
        <w:rPr>
          <w:b/>
          <w:bCs/>
        </w:rPr>
        <w:t xml:space="preserve">molto bassa per la diarrea</w:t>
      </w:r>
      <w:r>
        <w:t xml:space="preserve"> </w:t>
      </w:r>
      <w:r>
        <w:t xml:space="preserve">(Buffone,</w:t>
      </w:r>
      <w:r>
        <w:t xml:space="preserve"> </w:t>
      </w:r>
      <w:r>
        <w:rPr>
          <w:i/>
          <w:iCs/>
        </w:rPr>
        <w:t xml:space="preserve">Healthcare</w:t>
      </w:r>
      <w:r>
        <w:t xml:space="preserve"> </w:t>
      </w:r>
      <w:r>
        <w:t xml:space="preserve">2023 — PMID 37685480).</w:t>
      </w:r>
    </w:p>
    <w:p>
      <w:pPr>
        <w:pStyle w:val="BlockText"/>
      </w:pPr>
      <w:r>
        <w:rPr>
          <w:b/>
          <w:bCs/>
        </w:rPr>
        <w:t xml:space="preserve">Cosa cambia per te — come si leggono questi numeri.</w:t>
      </w:r>
      <w:r>
        <w:t xml:space="preserve"> </w:t>
      </w:r>
      <w:r>
        <w:t xml:space="preserve">Il segno negativo indica miglioramento.</w:t>
      </w:r>
      <w:r>
        <w:t xml:space="preserve"> </w:t>
      </w:r>
      <w:r>
        <w:rPr>
          <w:b/>
          <w:bCs/>
        </w:rPr>
        <w:t xml:space="preserve">Quando l’intervallo comprende lo zero, la differenza non è distinguibile da zero:</w:t>
      </w:r>
      <w:r>
        <w:t xml:space="preserve"> </w:t>
      </w:r>
      <w:r>
        <w:t xml:space="preserve">è per questo che −0,66 conta e −1,20 no, benché il secondo sembri più grande. L’intervallo della diarrea va da un beneficio enorme a un peggioramento. Significa che gli studi non concordano e che i pazienti sono pochi.</w:t>
      </w:r>
    </w:p>
    <w:p>
      <w:pPr>
        <w:pStyle w:val="BlockText"/>
      </w:pPr>
      <w:r>
        <w:rPr>
          <w:b/>
          <w:bCs/>
        </w:rPr>
        <w:t xml:space="preserve">E sugli eventi avversi la formulazione va scelta con cura.</w:t>
      </w:r>
      <w:r>
        <w:t xml:space="preserve"> </w:t>
      </w:r>
      <w:r>
        <w:t xml:space="preserve">Nei cinque studi aggregati non ne sono stati segnalati di importanti —</w:t>
      </w:r>
      <w:r>
        <w:t xml:space="preserve"> </w:t>
      </w:r>
      <w:r>
        <w:rPr>
          <w:b/>
          <w:bCs/>
        </w:rPr>
        <w:t xml:space="preserve">su poche centinaia di pazienti, numerosità che non può escluderli</w:t>
      </w:r>
      <w:r>
        <w:t xml:space="preserve">. Negli studi osteopatici la segnalazione degli eventi avversi è spesso assente del tutto (Bagagiolo,</w:t>
      </w:r>
      <w:r>
        <w:t xml:space="preserve"> </w:t>
      </w:r>
      <w:r>
        <w:rPr>
          <w:i/>
          <w:iCs/>
        </w:rPr>
        <w:t xml:space="preserve">BMJ Open</w:t>
      </w:r>
      <w:r>
        <w:t xml:space="preserve"> </w:t>
      </w:r>
      <w:r>
        <w:t xml:space="preserve">2022 — PMID 35414546).</w:t>
      </w:r>
      <w:r>
        <w:t xml:space="preserve"> </w:t>
      </w:r>
      <w:r>
        <w:rPr>
          <w:b/>
          <w:bCs/>
        </w:rPr>
        <w:t xml:space="preserve">E la rassegna più recente li segnala:</w:t>
      </w:r>
      <w:r>
        <w:t xml:space="preserve"> </w:t>
      </w:r>
      <w:r>
        <w:t xml:space="preserve">una revisione di mappatura su 730 record e 30 studi elenca gli</w:t>
      </w:r>
      <w:r>
        <w:t xml:space="preserve"> </w:t>
      </w:r>
      <w:r>
        <w:rPr>
          <w:b/>
          <w:bCs/>
        </w:rPr>
        <w:t xml:space="preserve">eventi avversi occasionali</w:t>
      </w:r>
      <w:r>
        <w:t xml:space="preserve"> </w:t>
      </w:r>
      <w:r>
        <w:t xml:space="preserve">fra le tre ragioni di cautela. Le altre due sono la mancanza di studi solidi e i risultati discordanti (Płóciennik-Korycka,</w:t>
      </w:r>
      <w:r>
        <w:t xml:space="preserve"> </w:t>
      </w:r>
      <w:r>
        <w:rPr>
          <w:i/>
          <w:iCs/>
        </w:rPr>
        <w:t xml:space="preserve">Complement Ther Med</w:t>
      </w:r>
      <w:r>
        <w:t xml:space="preserve"> </w:t>
      </w:r>
      <w:r>
        <w:t xml:space="preserve">2025 — PMID 39880320).</w:t>
      </w:r>
      <w:r>
        <w:t xml:space="preserve"> </w:t>
      </w:r>
      <w:r>
        <w:rPr>
          <w:i/>
          <w:iCs/>
        </w:rPr>
        <w:t xml:space="preserve">Il salto è di intervento e di numerosità: quella rassegna copre agopuntura, digitopressione, riflessologia e metodi tradizionali cinesi oltre all’osteopatia, e gli eventi avversi non sono attribuiti alla nostra tecnica né contati.</w:t>
      </w:r>
      <w:r>
        <w:t xml:space="preserve"> </w:t>
      </w:r>
      <w:r>
        <w:t xml:space="preserve">La formulazione da usare non è quindi</w:t>
      </w:r>
      <w:r>
        <w:t xml:space="preserve"> </w:t>
      </w:r>
      <w:r>
        <w:rPr>
          <w:i/>
          <w:iCs/>
        </w:rPr>
        <w:t xml:space="preserve">«non ne sono stati segnalati»</w:t>
      </w:r>
      <w:r>
        <w:t xml:space="preserve">, ma</w:t>
      </w:r>
      <w:r>
        <w:t xml:space="preserve"> </w:t>
      </w:r>
      <w:r>
        <w:rPr>
          <w:b/>
          <w:bCs/>
        </w:rPr>
        <w:t xml:space="preserve">«sono stati segnalati come occasionali, e nessuno li ha contati»</w:t>
      </w:r>
      <w:r>
        <w:t xml:space="preserve">.</w:t>
      </w:r>
      <w:r>
        <w:t xml:space="preserve"> </w:t>
      </w:r>
      <w:r>
        <w:rPr>
          <w:b/>
          <w:bCs/>
        </w:rPr>
        <w:t xml:space="preserve">Non segnalato non è assente</w:t>
      </w:r>
      <w:r>
        <w:t xml:space="preserve">, ed è la stessa distinzione che questo capitolo applica all’efficacia.</w:t>
      </w:r>
    </w:p>
    <w:p>
      <w:pPr>
        <w:pStyle w:val="FirstParagraph"/>
      </w:pPr>
      <w:r>
        <w:rPr>
          <w:b/>
          <w:bCs/>
        </w:rPr>
        <w:t xml:space="preserve">Esistono altre due sintesi su questo quadro, e concludono in senso favorevole.</w:t>
      </w:r>
      <w:r>
        <w:t xml:space="preserve"> </w:t>
      </w:r>
      <w:r>
        <w:t xml:space="preserve">Vanno nominate, perché chi le cerca le trova in dieci secondi.</w:t>
      </w:r>
    </w:p>
    <w:p>
      <w:pPr>
        <w:pStyle w:val="BodyText"/>
      </w:pPr>
      <w:r>
        <w:t xml:space="preserve">La prima raccoglie cinque randomizzati e</w:t>
      </w:r>
      <w:r>
        <w:t xml:space="preserve"> </w:t>
      </w:r>
      <w:r>
        <w:rPr>
          <w:b/>
          <w:bCs/>
        </w:rPr>
        <w:t xml:space="preserve">204 pazienti</w:t>
      </w:r>
      <w:r>
        <w:t xml:space="preserve"> </w:t>
      </w:r>
      <w:r>
        <w:t xml:space="preserve">— gli stessi che Buffone aggrega esito per esito. È una revisione sistematica che dichiara di</w:t>
      </w:r>
      <w:r>
        <w:t xml:space="preserve"> </w:t>
      </w:r>
      <w:r>
        <w:rPr>
          <w:b/>
          <w:bCs/>
        </w:rPr>
        <w:t xml:space="preserve">non aver potuto aggregare</w:t>
      </w:r>
      <w:r>
        <w:t xml:space="preserve">, per eterogeneità di esiti e di controlli. Tutti e cinque gli studi riportano miglioramenti a breve più marcati con l’osteopatia che con la finta o le cure standard. La conclusione è</w:t>
      </w:r>
      <w:r>
        <w:t xml:space="preserve"> </w:t>
      </w:r>
      <w:r>
        <w:rPr>
          <w:i/>
          <w:iCs/>
        </w:rPr>
        <w:t xml:space="preserve">«prove preliminari che può essere utile»</w:t>
      </w:r>
      <w:r>
        <w:t xml:space="preserve"> </w:t>
      </w:r>
      <w:r>
        <w:t xml:space="preserve">(Müller,</w:t>
      </w:r>
      <w:r>
        <w:t xml:space="preserve"> </w:t>
      </w:r>
      <w:r>
        <w:rPr>
          <w:i/>
          <w:iCs/>
        </w:rPr>
        <w:t xml:space="preserve">J Am Osteopath Assoc</w:t>
      </w:r>
      <w:r>
        <w:t xml:space="preserve"> </w:t>
      </w:r>
      <w:r>
        <w:t xml:space="preserve">2014 — PMID 24917634). La seconda è una rassegna narrativa più recente, e conclude nello stesso verso (Lotfi,</w:t>
      </w:r>
      <w:r>
        <w:t xml:space="preserve"> </w:t>
      </w:r>
      <w:r>
        <w:rPr>
          <w:i/>
          <w:iCs/>
        </w:rPr>
        <w:t xml:space="preserve">Cureus</w:t>
      </w:r>
      <w:r>
        <w:t xml:space="preserve"> </w:t>
      </w:r>
      <w:r>
        <w:t xml:space="preserve">2023 — PMID 37621836).</w:t>
      </w:r>
    </w:p>
    <w:p>
      <w:pPr>
        <w:pStyle w:val="BodyText"/>
      </w:pPr>
      <w:r>
        <w:rPr>
          <w:i/>
          <w:iCs/>
        </w:rPr>
        <w:t xml:space="preserve">Né l’una né l’altra è una meta-analisi: la prima dichiara di non aver aggregato per eterogeneità, la seconda è una rassegna narrativa. L’affermazione di unicità di questo capitolo riguarda la sola sintesi</w:t>
      </w:r>
      <w:r>
        <w:rPr>
          <w:i/>
          <w:iCs/>
        </w:rPr>
        <w:t xml:space="preserve"> </w:t>
      </w:r>
      <w:r>
        <w:rPr>
          <w:b/>
          <w:bCs/>
          <w:i/>
          <w:iCs/>
        </w:rPr>
        <w:t xml:space="preserve">quantitativa</w:t>
      </w:r>
      <w:r>
        <w:rPr>
          <w:i/>
          <w:iCs/>
        </w:rPr>
        <w:t xml:space="preserve">, e senza quell’aggettivo diventa falso.</w:t>
      </w:r>
    </w:p>
    <w:p>
      <w:pPr>
        <w:pStyle w:val="BodyText"/>
      </w:pPr>
      <w:r>
        <w:rPr>
          <w:b/>
          <w:bCs/>
        </w:rPr>
        <w:t xml:space="preserve">La differenza fra le due conclusioni non è una controversia scientifica: è una differenza di metodo.</w:t>
      </w:r>
      <w:r>
        <w:t xml:space="preserve"> </w:t>
      </w:r>
      <w:r>
        <w:t xml:space="preserve">Contare quanti studi hanno un segno favorevole non è misurare quanto grande sia l’effetto. Quando quegli stessi cinque studi vengono aggregati, sulla diarrea l’intervallo attraversa lo zero.</w:t>
      </w:r>
    </w:p>
    <w:p>
      <w:pPr>
        <w:pStyle w:val="BodyText"/>
      </w:pPr>
      <w:r>
        <w:rPr>
          <w:b/>
          <w:bCs/>
        </w:rPr>
        <w:t xml:space="preserve">Per te:</w:t>
      </w:r>
      <w:r>
        <w:t xml:space="preserve"> </w:t>
      </w:r>
      <w:r>
        <w:t xml:space="preserve">l’esito che dà il nome a questa condizione è quello su cui la nostra sola sintesi</w:t>
      </w:r>
      <w:r>
        <w:t xml:space="preserve"> </w:t>
      </w:r>
      <w:r>
        <w:rPr>
          <w:b/>
          <w:bCs/>
        </w:rPr>
        <w:t xml:space="preserve">quantitativa</w:t>
      </w:r>
      <w:r>
        <w:t xml:space="preserve"> </w:t>
      </w:r>
      <w:r>
        <w:t xml:space="preserve">non trova nulla, con la qualità di prove più bassa dell’analisi. Il bersaglio dichiarabile è il</w:t>
      </w:r>
      <w:r>
        <w:t xml:space="preserve"> </w:t>
      </w:r>
      <w:r>
        <w:rPr>
          <w:b/>
          <w:bCs/>
        </w:rPr>
        <w:t xml:space="preserve">dolore addominale</w:t>
      </w:r>
      <w:r>
        <w:t xml:space="preserve">.</w:t>
      </w:r>
      <w:r>
        <w:t xml:space="preserve"> </w:t>
      </w:r>
      <w:r>
        <w:rPr>
          <w:i/>
          <w:iCs/>
        </w:rPr>
        <w:t xml:space="preserve">«Trattiamo la diarrea»</w:t>
      </w:r>
      <w:r>
        <w:t xml:space="preserve"> </w:t>
      </w:r>
      <w:r>
        <w:t xml:space="preserve">promette esattamente ciò che quella meta-analisi ha cercato e non ha trovato.</w:t>
      </w:r>
      <w:r>
        <w:t xml:space="preserve"> </w:t>
      </w:r>
      <w:r>
        <w:rPr>
          <w:i/>
          <w:iCs/>
        </w:rPr>
        <w:t xml:space="preserve">«Lavoriamo sul dolore e sul livello di attivazione, e misuriamo il resto»</w:t>
      </w:r>
      <w:r>
        <w:t xml:space="preserve"> </w:t>
      </w:r>
      <w:r>
        <w:t xml:space="preserve">dice quello che i dati sostengono.</w:t>
      </w:r>
    </w:p>
    <w:p>
      <w:pPr>
        <w:pStyle w:val="BodyText"/>
      </w:pPr>
      <w:r>
        <w:t xml:space="preserve">Dentro il cerchio 1, due studi vanno letti a parte.</w:t>
      </w:r>
    </w:p>
    <w:p>
      <w:pPr>
        <w:pStyle w:val="BodyText"/>
      </w:pPr>
      <w:r>
        <w:rPr>
          <w:b/>
          <w:bCs/>
        </w:rPr>
        <w:t xml:space="preserve">Attali 2013 è il più interessante e il più fragile.</w:t>
      </w:r>
      <w:r>
        <w:t xml:space="preserve"> </w:t>
      </w:r>
      <w:r>
        <w:t xml:space="preserve">Trentuno pazienti refrattari, in crossover</w:t>
      </w:r>
      <w:r>
        <w:t xml:space="preserve"> </w:t>
      </w:r>
      <w:r>
        <w:rPr>
          <w:b/>
          <w:bCs/>
        </w:rPr>
        <w:t xml:space="preserve">controllato con placebo</w:t>
      </w:r>
      <w:r>
        <w:t xml:space="preserve">. Dopo osteopatia viscerale la sensibilità rettale si riduce: salgono volume soglia, volume di sensazione costante e volume massimo tollerabile, p &lt; 0,001. Dopo le manipolazioni placebo non cambia. Il tempo di transito colico</w:t>
      </w:r>
      <w:r>
        <w:t xml:space="preserve"> </w:t>
      </w:r>
      <w:r>
        <w:rPr>
          <w:b/>
          <w:bCs/>
        </w:rPr>
        <w:t xml:space="preserve">non cambia</w:t>
      </w:r>
      <w:r>
        <w:t xml:space="preserve"> </w:t>
      </w:r>
      <w:r>
        <w:t xml:space="preserve">(PMID 23981319).</w:t>
      </w:r>
    </w:p>
    <w:p>
      <w:pPr>
        <w:pStyle w:val="BodyText"/>
      </w:pPr>
      <w:r>
        <w:t xml:space="preserve">Lo stesso lavoro riporta anche un</w:t>
      </w:r>
      <w:r>
        <w:t xml:space="preserve"> </w:t>
      </w:r>
      <w:r>
        <w:rPr>
          <w:b/>
          <w:bCs/>
        </w:rPr>
        <w:t xml:space="preserve">miglioramento della diarrea auto-riferita</w:t>
      </w:r>
      <w:r>
        <w:t xml:space="preserve">, e a un anno i punteggi restano più bassi dell’arruolamento. Va detto, perché chi apre il testo lo trova in dieci secondi. Non cambia la conclusione: è auto-riferito su scala analogica, in aperto, senza test fra i bracci. Ed è uno dei cinque studi che dentro Buffone 2023 producono l’intervallo che attraversa lo zero.</w:t>
      </w:r>
    </w:p>
    <w:p>
      <w:pPr>
        <w:pStyle w:val="BodyText"/>
      </w:pPr>
      <w:r>
        <w:rPr>
          <w:b/>
          <w:bCs/>
        </w:rPr>
        <w:t xml:space="preserve">Per te:</w:t>
      </w:r>
      <w:r>
        <w:t xml:space="preserve"> </w:t>
      </w:r>
      <w:r>
        <w:t xml:space="preserve">è la sola misura fisiologica mossa sotto le nostre mani su questo quadro, e va nella direzione del secondo meccanismo. Ma il confronto è</w:t>
      </w:r>
      <w:r>
        <w:t xml:space="preserve"> </w:t>
      </w:r>
      <w:r>
        <w:rPr>
          <w:b/>
          <w:bCs/>
        </w:rPr>
        <w:t xml:space="preserve">dentro</w:t>
      </w:r>
      <w:r>
        <w:t xml:space="preserve"> </w:t>
      </w:r>
      <w:r>
        <w:t xml:space="preserve">ciascun braccio più che</w:t>
      </w:r>
      <w:r>
        <w:t xml:space="preserve"> </w:t>
      </w:r>
      <w:r>
        <w:rPr>
          <w:b/>
          <w:bCs/>
        </w:rPr>
        <w:t xml:space="preserve">fra</w:t>
      </w:r>
      <w:r>
        <w:t xml:space="preserve"> </w:t>
      </w:r>
      <w:r>
        <w:t xml:space="preserve">i due. E in tredici anni nessuno l’ha replicato. Usalo per dire che una misura si è mossa, non che funziona.</w:t>
      </w:r>
    </w:p>
    <w:p>
      <w:pPr>
        <w:pStyle w:val="BodyText"/>
      </w:pPr>
      <w:r>
        <w:rPr>
          <w:b/>
          <w:bCs/>
        </w:rPr>
        <w:t xml:space="preserve">Florance 2012 va letto contro la scala.</w:t>
      </w:r>
      <w:r>
        <w:t xml:space="preserve"> </w:t>
      </w:r>
      <w:r>
        <w:t xml:space="preserve">A sette giorni la differenza era statisticamente significativa: 32,2 punti contro 9,0, p = 0,01.</w:t>
      </w:r>
      <w:r>
        <w:t xml:space="preserve"> </w:t>
      </w:r>
      <w:r>
        <w:rPr>
          <w:b/>
          <w:bCs/>
        </w:rPr>
        <w:t xml:space="preserve">Ma l’IBS-SSS, quella scala, considera affidabile un miglioramento solo da 50 punti in su</w:t>
      </w:r>
      <w:r>
        <w:t xml:space="preserve"> </w:t>
      </w:r>
      <w:r>
        <w:t xml:space="preserve">(Francis 1997 — PMID 9146781, lo studio che l’ha validata). Fra i bracci la differenza era di 23.</w:t>
      </w:r>
      <w:r>
        <w:t xml:space="preserve"> </w:t>
      </w:r>
      <w:r>
        <w:rPr>
          <w:b/>
          <w:bCs/>
        </w:rPr>
        <w:t xml:space="preserve">A ventotto giorni era sparita</w:t>
      </w:r>
      <w:r>
        <w:t xml:space="preserve"> </w:t>
      </w:r>
      <w:r>
        <w:t xml:space="preserve">(p = 0,4), e</w:t>
      </w:r>
      <w:r>
        <w:t xml:space="preserve"> </w:t>
      </w:r>
      <w:r>
        <w:rPr>
          <w:b/>
          <w:bCs/>
        </w:rPr>
        <w:t xml:space="preserve">frequenza e consistenza delle feci non sono cambiate</w:t>
      </w:r>
      <w:r>
        <w:t xml:space="preserve"> </w:t>
      </w:r>
      <w:r>
        <w:t xml:space="preserve">(PMID 22546751). È significatività statistica su una differenza che lo strumento non considera un miglioramento.</w:t>
      </w:r>
    </w:p>
    <w:p>
      <w:pPr>
        <w:pStyle w:val="BodyText"/>
      </w:pPr>
      <w:r>
        <w:rPr>
          <w:b/>
          <w:bCs/>
        </w:rPr>
        <w:t xml:space="preserve">Cerchio 2 — l’evidenza trasversale sul meccanismo.</w:t>
      </w:r>
    </w:p>
    <w:p>
      <w:pPr>
        <w:pStyle w:val="Compact"/>
        <w:numPr>
          <w:ilvl w:val="0"/>
          <w:numId w:val="1032"/>
        </w:numPr>
      </w:pPr>
      <w:r>
        <w:rPr>
          <w:b/>
          <w:bCs/>
        </w:rPr>
        <w:t xml:space="preserve">L’asse dello stress muove davvero il colon.</w:t>
      </w:r>
      <w:r>
        <w:t xml:space="preserve"> </w:t>
      </w:r>
      <w:r>
        <w:t xml:space="preserve">L’ormone in vena aumenta la motilità del colon discendente, di più nei pazienti; un antagonista riporta indietro risposta motoria, dolore e ansia.</w:t>
      </w:r>
      <w:r>
        <w:t xml:space="preserve"> </w:t>
      </w:r>
      <w:r>
        <w:rPr>
          <w:i/>
          <w:iCs/>
        </w:rPr>
        <w:t xml:space="preserve">Il salto è di intervento: misurato con un farmaco, non con una mano.</w:t>
      </w:r>
      <w:r>
        <w:t xml:space="preserve"> </w:t>
      </w:r>
      <w:r>
        <w:t xml:space="preserve">(Fukudo 1998 — PMID 9691924; Sagami 2004 — PMID 15194643)</w:t>
      </w:r>
    </w:p>
    <w:p>
      <w:pPr>
        <w:pStyle w:val="Compact"/>
        <w:numPr>
          <w:ilvl w:val="0"/>
          <w:numId w:val="1032"/>
        </w:numPr>
      </w:pPr>
      <w:r>
        <w:rPr>
          <w:b/>
          <w:bCs/>
        </w:rPr>
        <w:t xml:space="preserve">Il respiro lento sposta gli indici vagali</w:t>
      </w:r>
      <w:r>
        <w:t xml:space="preserve">, su 223 studi (Laborde 2022 — PMID 35623448). Nella forma con stitichezza ha alzato le tre soglie rettali su 85 randomizzati (Liu 2022 — PMID 36408402). Su sindrome mista non ha mosso né indici né sintomi, in tredici persone (Jurek 2022 — PMID 34595801).</w:t>
      </w:r>
      <w:r>
        <w:t xml:space="preserve"> </w:t>
      </w:r>
      <w:r>
        <w:rPr>
          <w:i/>
          <w:iCs/>
        </w:rPr>
        <w:t xml:space="preserve">Due salti, di bersaglio autonomico — quegli indici sono cardiaci, e il colon distale non è vagale — e di sottotipo.</w:t>
      </w:r>
    </w:p>
    <w:p>
      <w:pPr>
        <w:pStyle w:val="Compact"/>
        <w:numPr>
          <w:ilvl w:val="0"/>
          <w:numId w:val="1032"/>
        </w:numPr>
      </w:pPr>
      <w:r>
        <w:rPr>
          <w:b/>
          <w:bCs/>
        </w:rPr>
        <w:t xml:space="preserve">Il pasto raggiunge il retto anche come segnale, e il segnale dipende dal grasso.</w:t>
      </w:r>
      <w:r>
        <w:t xml:space="preserve"> </w:t>
      </w:r>
      <w:r>
        <w:t xml:space="preserve">È il riflesso duodeno-rettale: la soglia di fastidio passa da 34±4 a 24±6 g.</w:t>
      </w:r>
      <w:r>
        <w:t xml:space="preserve"> </w:t>
      </w:r>
      <w:r>
        <w:rPr>
          <w:i/>
          <w:iCs/>
        </w:rPr>
        <w:t xml:space="preserve">Il salto è di via: è un riflesso misurato, non un effetto del tocco.</w:t>
      </w:r>
      <w:r>
        <w:t xml:space="preserve"> </w:t>
      </w:r>
      <w:r>
        <w:t xml:space="preserve">(Caldarella 2005 — PMID 15667496)</w:t>
      </w:r>
    </w:p>
    <w:p>
      <w:pPr>
        <w:pStyle w:val="Compact"/>
        <w:numPr>
          <w:ilvl w:val="0"/>
          <w:numId w:val="1032"/>
        </w:numPr>
      </w:pPr>
      <w:r>
        <w:rPr>
          <w:b/>
          <w:bCs/>
        </w:rPr>
        <w:t xml:space="preserve">La relazione terapeutica pesa, e pesa molto.</w:t>
      </w:r>
      <w:r>
        <w:t xml:space="preserve"> </w:t>
      </w:r>
      <w:r>
        <w:t xml:space="preserve">Sollievo adeguato nel 28% in lista d’attesa, 44% col solo rituale, 62% con relazione curata.</w:t>
      </w:r>
      <w:r>
        <w:t xml:space="preserve"> </w:t>
      </w:r>
      <w:r>
        <w:rPr>
          <w:i/>
          <w:iCs/>
        </w:rPr>
        <w:t xml:space="preserve">Il salto è di intervento: misurato con una finta agopuntura su pazienti con questa sindrome, non con un trattamento manuale.</w:t>
      </w:r>
      <w:r>
        <w:t xml:space="preserve"> </w:t>
      </w:r>
      <w:r>
        <w:t xml:space="preserve">(Kaptchuk 2008 — PMID 18390493)</w:t>
      </w:r>
    </w:p>
    <w:p>
      <w:pPr>
        <w:pStyle w:val="Compact"/>
        <w:numPr>
          <w:ilvl w:val="0"/>
          <w:numId w:val="1032"/>
        </w:numPr>
      </w:pPr>
      <w:r>
        <w:rPr>
          <w:b/>
          <w:bCs/>
        </w:rPr>
        <w:t xml:space="preserve">E su questi stessi pazienti un placebo dichiarato vale quanto uno in cieco.</w:t>
      </w:r>
      <w:r>
        <w:t xml:space="preserve"> </w:t>
      </w:r>
      <w:r>
        <w:t xml:space="preserve">Duecentosessantadue adulti con questa sindrome, tre bracci a sei settimane. Il miglioramento del punteggio di gravità è stato maggiore con la pillola dichiarata inerte che senza pillola: 90,6 contro 52,3, p = 0,038. E</w:t>
      </w:r>
      <w:r>
        <w:t xml:space="preserve"> </w:t>
      </w:r>
      <w:r>
        <w:rPr>
          <w:b/>
          <w:bCs/>
        </w:rPr>
        <w:t xml:space="preserve">non diverso</w:t>
      </w:r>
      <w:r>
        <w:t xml:space="preserve"> </w:t>
      </w:r>
      <w:r>
        <w:t xml:space="preserve">da quello del placebo in doppio cieco: 100,3 contro 90,6, p = 0,485. Il rituale, la spiegazione e la relazione non hanno bisogno della finzione per funzionare, e su questa sindrome sono una parte misurata dell’effetto.</w:t>
      </w:r>
      <w:r>
        <w:t xml:space="preserve"> </w:t>
      </w:r>
      <w:r>
        <w:rPr>
          <w:i/>
          <w:iCs/>
        </w:rPr>
        <w:t xml:space="preserve">Il salto è di intervento: misurato con una pillola inerte dichiarata, in questi stessi pazienti, non con un trattamento manuale — il salto è di intervento, non di popolazione.</w:t>
      </w:r>
      <w:r>
        <w:t xml:space="preserve"> </w:t>
      </w:r>
      <w:r>
        <w:t xml:space="preserve">(Lembo,</w:t>
      </w:r>
      <w:r>
        <w:t xml:space="preserve"> </w:t>
      </w:r>
      <w:r>
        <w:rPr>
          <w:i/>
          <w:iCs/>
        </w:rPr>
        <w:t xml:space="preserve">Pain</w:t>
      </w:r>
      <w:r>
        <w:t xml:space="preserve"> </w:t>
      </w:r>
      <w:r>
        <w:t xml:space="preserve">2021 — PMID 33605656)</w:t>
      </w:r>
    </w:p>
    <w:p>
      <w:pPr>
        <w:pStyle w:val="Compact"/>
        <w:numPr>
          <w:ilvl w:val="0"/>
          <w:numId w:val="1032"/>
        </w:numPr>
      </w:pPr>
      <w:r>
        <w:rPr>
          <w:b/>
          <w:bCs/>
        </w:rPr>
        <w:t xml:space="preserve">E il finto gesto ottiene molto, su un sintomo vicino al nostro.</w:t>
      </w:r>
      <w:r>
        <w:t xml:space="preserve"> </w:t>
      </w:r>
      <w:r>
        <w:t xml:space="preserve">Stimolazione del nervo tibiale contro stimolazione finta per l’incontinenza fecale, 227 pazienti in doppio cieco: dimezza gli episodi settimanali il 38% del gruppo vero e il</w:t>
      </w:r>
      <w:r>
        <w:t xml:space="preserve"> </w:t>
      </w:r>
      <w:r>
        <w:rPr>
          <w:b/>
          <w:bCs/>
        </w:rPr>
        <w:t xml:space="preserve">31% del finto</w:t>
      </w:r>
      <w:r>
        <w:t xml:space="preserve">, senza differenza (p = 0,396).</w:t>
      </w:r>
      <w:r>
        <w:t xml:space="preserve"> </w:t>
      </w:r>
      <w:r>
        <w:rPr>
          <w:i/>
          <w:iCs/>
        </w:rPr>
        <w:t xml:space="preserve">Il salto è di intervento e di popolazione.</w:t>
      </w:r>
      <w:r>
        <w:t xml:space="preserve"> </w:t>
      </w:r>
      <w:r>
        <w:t xml:space="preserve">(Horrocks 2015 — PMID 26422980)</w:t>
      </w:r>
    </w:p>
    <w:p>
      <w:pPr>
        <w:pStyle w:val="Compact"/>
        <w:numPr>
          <w:ilvl w:val="0"/>
          <w:numId w:val="1032"/>
        </w:numPr>
      </w:pPr>
      <w:r>
        <w:rPr>
          <w:b/>
          <w:bCs/>
        </w:rPr>
        <w:t xml:space="preserve">Gli interventi manuali osteopatici e gli indici psicofisiologici — e qui il dato è scomodo.</w:t>
      </w:r>
      <w:r>
        <w:t xml:space="preserve"> </w:t>
      </w:r>
      <w:r>
        <w:t xml:space="preserve">Venti studi randomizzati. La riduzione della depressione è più marcata nelle popolazioni con dolore, g = −0,61, da −1,06 a −0,17, con intervalli di previsione ampi dichiarati dagli autori. Ma sugli indici autonomici la stessa sintesi misura un</w:t>
      </w:r>
      <w:r>
        <w:t xml:space="preserve"> </w:t>
      </w:r>
      <w:r>
        <w:rPr>
          <w:b/>
          <w:bCs/>
        </w:rPr>
        <w:t xml:space="preserve">aumento della conduttanza cutanea, g = 0,67, IC da 0,00 a 1,34, p = 0,05</w:t>
      </w:r>
      <w:r>
        <w:t xml:space="preserve">: cioè</w:t>
      </w:r>
      <w:r>
        <w:t xml:space="preserve"> </w:t>
      </w:r>
      <w:r>
        <w:rPr>
          <w:b/>
          <w:bCs/>
        </w:rPr>
        <w:t xml:space="preserve">più</w:t>
      </w:r>
      <w:r>
        <w:t xml:space="preserve"> </w:t>
      </w:r>
      <w:r>
        <w:t xml:space="preserve">attivazione simpatica, non meno, con l’intervallo che tocca lo zero. La leva di questa condizione è abbassare il livello di attivazione, e la meta-analisi più ampia la misura nel verso contrario.</w:t>
      </w:r>
      <w:r>
        <w:t xml:space="preserve"> </w:t>
      </w:r>
      <w:r>
        <w:rPr>
          <w:i/>
          <w:iCs/>
        </w:rPr>
        <w:t xml:space="preserve">Il salto è di popolazione e di bersaglio.</w:t>
      </w:r>
      <w:r>
        <w:t xml:space="preserve"> </w:t>
      </w:r>
      <w:r>
        <w:t xml:space="preserve">(Gordon 2025 — PMID 39920074)</w:t>
      </w:r>
    </w:p>
    <w:p>
      <w:pPr>
        <w:pStyle w:val="FirstParagraph"/>
      </w:pPr>
      <w:r>
        <w:rPr>
          <w:b/>
          <w:bCs/>
        </w:rPr>
        <w:t xml:space="preserve">Cerchio 3 — la fisiologia.</w:t>
      </w:r>
      <w:r>
        <w:t xml:space="preserve"> </w:t>
      </w:r>
      <w:r>
        <w:t xml:space="preserve">Qui stanno l’innervazione del colon distale dagli splancnici pelvici e lombari e l’anello pontino-sacrale del CRF; il pattern ciclico retrogrado e il suo comportamento dopo il pasto (Wiklendt 2023 — PMID 37162180); il riflesso duodeno-rettale ai lipidi (Caldarella 2005 — PMID 15667496); il circolo entero-epatico degli acidi biliari e la sua rottura. Regge il</w:t>
      </w:r>
      <w:r>
        <w:t xml:space="preserve"> </w:t>
      </w:r>
      <w:r>
        <w:rPr>
          <w:b/>
          <w:bCs/>
        </w:rPr>
        <w:t xml:space="preserve">razionale</w:t>
      </w:r>
      <w:r>
        <w:t xml:space="preserve">, mai l’efficacia.</w:t>
      </w:r>
    </w:p>
    <w:bookmarkEnd w:id="56"/>
    <w:bookmarkStart w:id="57" w:name="cosa-possiamo-dire-e-cosa-no"/>
    <w:p>
      <w:pPr>
        <w:pStyle w:val="Heading3"/>
      </w:pPr>
      <w:r>
        <w:t xml:space="preserve">Cosa possiamo dire e cosa no</w:t>
      </w:r>
    </w:p>
    <w:p>
      <w:pPr>
        <w:pStyle w:val="FirstParagraph"/>
      </w:pPr>
      <w:r>
        <w:rPr>
          <w:b/>
          <w:bCs/>
        </w:rPr>
        <w:t xml:space="preserve">Possiamo dire</w:t>
      </w:r>
      <w:r>
        <w:t xml:space="preserve"> </w:t>
      </w:r>
      <w:r>
        <w:t xml:space="preserve">queste cose.</w:t>
      </w:r>
    </w:p>
    <w:p>
      <w:pPr>
        <w:pStyle w:val="Compact"/>
        <w:numPr>
          <w:ilvl w:val="0"/>
          <w:numId w:val="1033"/>
        </w:numPr>
      </w:pPr>
      <w:r>
        <w:t xml:space="preserve">Che sul dolore addominale la sintesi quantitativa è a favore, con qualità bassa. E sapendo che proprio su quell’esito il solo placebo ottiene il</w:t>
      </w:r>
      <w:r>
        <w:t xml:space="preserve"> </w:t>
      </w:r>
      <w:r>
        <w:rPr>
          <w:b/>
          <w:bCs/>
        </w:rPr>
        <w:t xml:space="preserve">40,2%</w:t>
      </w:r>
      <w:r>
        <w:t xml:space="preserve"> </w:t>
      </w:r>
      <w:r>
        <w:t xml:space="preserve">di risposta contro il</w:t>
      </w:r>
      <w:r>
        <w:t xml:space="preserve"> </w:t>
      </w:r>
      <w:r>
        <w:rPr>
          <w:b/>
          <w:bCs/>
        </w:rPr>
        <w:t xml:space="preserve">16,2%</w:t>
      </w:r>
      <w:r>
        <w:t xml:space="preserve"> </w:t>
      </w:r>
      <w:r>
        <w:t xml:space="preserve">sulla consistenza delle feci, su 3.908 pazienti (Barberio 2022 — PMID 34425274): cioè che il bersaglio che ci siamo scelti è quello dove il finto trattamento rende di più.</w:t>
      </w:r>
    </w:p>
    <w:p>
      <w:pPr>
        <w:pStyle w:val="Compact"/>
        <w:numPr>
          <w:ilvl w:val="0"/>
          <w:numId w:val="1033"/>
        </w:numPr>
      </w:pPr>
      <w:r>
        <w:t xml:space="preserve">Che in uno studio crossover con placebo la soglia rettale si è mossa, e col placebo no.</w:t>
      </w:r>
    </w:p>
    <w:p>
      <w:pPr>
        <w:pStyle w:val="Compact"/>
        <w:numPr>
          <w:ilvl w:val="0"/>
          <w:numId w:val="1033"/>
        </w:numPr>
      </w:pPr>
      <w:r>
        <w:t xml:space="preserve">Che l’asse dello stress ha una via motoria misurata sul colon dell’uomo, reversibile con un antagonista.</w:t>
      </w:r>
    </w:p>
    <w:p>
      <w:pPr>
        <w:pStyle w:val="Compact"/>
        <w:numPr>
          <w:ilvl w:val="0"/>
          <w:numId w:val="1033"/>
        </w:numPr>
      </w:pPr>
      <w:r>
        <w:t xml:space="preserve">Che il respiro lento alza gli indici vagali, su altre popolazioni.</w:t>
      </w:r>
    </w:p>
    <w:p>
      <w:pPr>
        <w:pStyle w:val="Compact"/>
        <w:numPr>
          <w:ilvl w:val="0"/>
          <w:numId w:val="1033"/>
        </w:numPr>
      </w:pPr>
      <w:r>
        <w:t xml:space="preserve">Che la relazione con l’operatore ha su questi pazienti un effetto misurato e grande.</w:t>
      </w:r>
    </w:p>
    <w:p>
      <w:pPr>
        <w:pStyle w:val="Compact"/>
        <w:numPr>
          <w:ilvl w:val="0"/>
          <w:numId w:val="1033"/>
        </w:numPr>
      </w:pPr>
      <w:r>
        <w:t xml:space="preserve">Che sorveglianza ed evitamento sono modificabili, con programmi erogati da altri.</w:t>
      </w:r>
    </w:p>
    <w:p>
      <w:pPr>
        <w:pStyle w:val="FirstParagraph"/>
      </w:pPr>
      <w:r>
        <w:rPr>
          <w:b/>
          <w:bCs/>
        </w:rPr>
        <w:t xml:space="preserve">Non possiamo dire</w:t>
      </w:r>
      <w:r>
        <w:t xml:space="preserve"> </w:t>
      </w:r>
      <w:r>
        <w:t xml:space="preserve">queste altre.</w:t>
      </w:r>
    </w:p>
    <w:p>
      <w:pPr>
        <w:pStyle w:val="Compact"/>
        <w:numPr>
          <w:ilvl w:val="0"/>
          <w:numId w:val="1034"/>
        </w:numPr>
      </w:pPr>
      <w:r>
        <w:t xml:space="preserve">Che il trattamento manuale riduce la diarrea: è stato cercato e non trovato.</w:t>
      </w:r>
    </w:p>
    <w:p>
      <w:pPr>
        <w:pStyle w:val="Compact"/>
        <w:numPr>
          <w:ilvl w:val="0"/>
          <w:numId w:val="1034"/>
        </w:numPr>
      </w:pPr>
      <w:r>
        <w:t xml:space="preserve">Che cambia frequenza o consistenza delle feci: sono state misurate contro finta osteopatia e non sono cambiate.</w:t>
      </w:r>
    </w:p>
    <w:p>
      <w:pPr>
        <w:pStyle w:val="Compact"/>
        <w:numPr>
          <w:ilvl w:val="0"/>
          <w:numId w:val="1034"/>
        </w:numPr>
      </w:pPr>
      <w:r>
        <w:t xml:space="preserve">Che l’effetto dura: a ventotto giorni era sparito.</w:t>
      </w:r>
    </w:p>
    <w:p>
      <w:pPr>
        <w:pStyle w:val="Compact"/>
        <w:numPr>
          <w:ilvl w:val="0"/>
          <w:numId w:val="1034"/>
        </w:numPr>
      </w:pPr>
      <w:r>
        <w:t xml:space="preserve">Che il transito colico si modifica: Attali l’ha misurato e non è cambiato.</w:t>
      </w:r>
    </w:p>
    <w:p>
      <w:pPr>
        <w:pStyle w:val="Compact"/>
        <w:numPr>
          <w:ilvl w:val="0"/>
          <w:numId w:val="1034"/>
        </w:numPr>
      </w:pPr>
      <w:r>
        <w:t xml:space="preserve">Che la palpazione viscerale identifica qualcosa di riproducibile.</w:t>
      </w:r>
    </w:p>
    <w:p>
      <w:pPr>
        <w:pStyle w:val="Compact"/>
        <w:numPr>
          <w:ilvl w:val="0"/>
          <w:numId w:val="1034"/>
        </w:numPr>
      </w:pPr>
      <w:r>
        <w:t xml:space="preserve">Che «gli studi lo confermano», perché su questo esito dicono di no.</w:t>
      </w:r>
    </w:p>
    <w:p>
      <w:pPr>
        <w:pStyle w:val="Compact"/>
        <w:numPr>
          <w:ilvl w:val="0"/>
          <w:numId w:val="1034"/>
        </w:numPr>
      </w:pPr>
      <w:r>
        <w:t xml:space="preserve">Che le due sintesi favorevoli aggiungano prove, perché contano gli stessi cinque studi senza aggregarli.</w:t>
      </w:r>
    </w:p>
    <w:p>
      <w:pPr>
        <w:pStyle w:val="Compact"/>
        <w:numPr>
          <w:ilvl w:val="0"/>
          <w:numId w:val="1034"/>
        </w:numPr>
      </w:pPr>
      <w:r>
        <w:t xml:space="preserve">Che il miglioramento che vedi sia del tuo gesto, perché su questi pazienti un placebo dichiarato ottiene quanto uno in cieco.</w:t>
      </w:r>
    </w:p>
    <w:p>
      <w:pPr>
        <w:pStyle w:val="Compact"/>
        <w:numPr>
          <w:ilvl w:val="0"/>
          <w:numId w:val="1034"/>
        </w:numPr>
      </w:pPr>
      <w:r>
        <w:t xml:space="preserve">Che il trattamento manuale in questo quadro sia privo di eventi avversi, perché la rassegna più recente li segnala come occasionali e nessuno li ha contati.</w:t>
      </w:r>
    </w:p>
    <w:bookmarkEnd w:id="57"/>
    <w:bookmarkStart w:id="58" w:name="quando-la-scienza-tace"/>
    <w:p>
      <w:pPr>
        <w:pStyle w:val="Heading3"/>
      </w:pPr>
      <w:r>
        <w:t xml:space="preserve">Quando la scienza tace</w:t>
      </w:r>
    </w:p>
    <w:p>
      <w:pPr>
        <w:pStyle w:val="FirstParagraph"/>
      </w:pPr>
      <w:r>
        <w:t xml:space="preserve">Su questa condizione la scienza non tace del tutto: parla, e su un esito dice di no. Ma c’è un’assenza vera, ed è più stretta e più utile di quella che si dichiara di solito.</w:t>
      </w:r>
    </w:p>
    <w:p>
      <w:pPr>
        <w:pStyle w:val="BodyText"/>
      </w:pPr>
      <w:r>
        <w:rPr>
          <w:b/>
          <w:bCs/>
        </w:rPr>
        <w:t xml:space="preserve">1. Assenza di prove non è prova di assenza — con una precisazione.</w:t>
      </w:r>
      <w:r>
        <w:t xml:space="preserve"> </w:t>
      </w:r>
      <w:r>
        <w:t xml:space="preserve">Che nessuno abbia misurato una cosa dice solo che nessuno l’ha misurata. Ma quando qualcuno l’ha misurata e non ha trovato nulla, quello</w:t>
      </w:r>
      <w:r>
        <w:t xml:space="preserve"> </w:t>
      </w:r>
      <w:r>
        <w:rPr>
          <w:b/>
          <w:bCs/>
        </w:rPr>
        <w:t xml:space="preserve">è</w:t>
      </w:r>
      <w:r>
        <w:t xml:space="preserve"> </w:t>
      </w:r>
      <w:r>
        <w:t xml:space="preserve">un dato, e va in «Cosa non possiamo dire», non qui. Tenere separate le due situazioni è ciò che rende questa sezione onesta invece che consolatoria.</w:t>
      </w:r>
    </w:p>
    <w:p>
      <w:pPr>
        <w:pStyle w:val="BodyText"/>
      </w:pPr>
      <w:r>
        <w:rPr>
          <w:b/>
          <w:bCs/>
        </w:rPr>
        <w:t xml:space="preserve">2. Di che assenza si tratta.</w:t>
      </w:r>
      <w:r>
        <w:t xml:space="preserve"> </w:t>
      </w:r>
      <w:r>
        <w:t xml:space="preserve">Cinque randomizzati esistono. Quello che manca è più stretto, e sono tre cose.</w:t>
      </w:r>
    </w:p>
    <w:p>
      <w:pPr>
        <w:pStyle w:val="Compact"/>
        <w:numPr>
          <w:ilvl w:val="0"/>
          <w:numId w:val="1035"/>
        </w:numPr>
      </w:pPr>
      <w:r>
        <w:t xml:space="preserve">La</w:t>
      </w:r>
      <w:r>
        <w:t xml:space="preserve"> </w:t>
      </w:r>
      <w:r>
        <w:rPr>
          <w:b/>
          <w:bCs/>
        </w:rPr>
        <w:t xml:space="preserve">numerosità</w:t>
      </w:r>
      <w:r>
        <w:t xml:space="preserve">: poche centinaia di pazienti, che su un esito variabile come le scariche non distinguono un effetto piccolo da nessun effetto.</w:t>
      </w:r>
    </w:p>
    <w:p>
      <w:pPr>
        <w:pStyle w:val="Compact"/>
        <w:numPr>
          <w:ilvl w:val="0"/>
          <w:numId w:val="1035"/>
        </w:numPr>
      </w:pPr>
      <w:r>
        <w:t xml:space="preserve">Il</w:t>
      </w:r>
      <w:r>
        <w:t xml:space="preserve"> </w:t>
      </w:r>
      <w:r>
        <w:rPr>
          <w:b/>
          <w:bCs/>
        </w:rPr>
        <w:t xml:space="preserve">tempo</w:t>
      </w:r>
      <w:r>
        <w:t xml:space="preserve">: l’unico controllo a ventotto giorni ha visto sparire la differenza, e oltre non ha guardato nessuno.</w:t>
      </w:r>
    </w:p>
    <w:p>
      <w:pPr>
        <w:pStyle w:val="Compact"/>
        <w:numPr>
          <w:ilvl w:val="0"/>
          <w:numId w:val="1035"/>
        </w:numPr>
      </w:pPr>
      <w:r>
        <w:t xml:space="preserve">E la cosa più importante:</w:t>
      </w:r>
      <w:r>
        <w:t xml:space="preserve"> </w:t>
      </w:r>
      <w:r>
        <w:rPr>
          <w:b/>
          <w:bCs/>
        </w:rPr>
        <w:t xml:space="preserve">nessuno ha misurato le leve che questa Bibbia dichiara.</w:t>
      </w:r>
      <w:r>
        <w:t xml:space="preserve"> </w:t>
      </w:r>
      <w:r>
        <w:t xml:space="preserve">Nessuno studio ha preso il livello di attivazione come bersaglio, misurato una soglia dolorosa fuori dall’addome prima e dopo, e guardato il diario delle scariche. Gli studi esistenti hanno misurato un pacchetto viscerale su un esito globale: è un’altra domanda.</w:t>
      </w:r>
    </w:p>
    <w:p>
      <w:pPr>
        <w:pStyle w:val="FirstParagraph"/>
      </w:pPr>
      <w:r>
        <w:rPr>
          <w:b/>
          <w:bCs/>
        </w:rPr>
        <w:t xml:space="preserve">3. Su cosa ti basi allora</w:t>
      </w:r>
      <w:r>
        <w:t xml:space="preserve">, in ordine di forza: il</w:t>
      </w:r>
      <w:r>
        <w:t xml:space="preserve"> </w:t>
      </w:r>
      <w:r>
        <w:rPr>
          <w:b/>
          <w:bCs/>
        </w:rPr>
        <w:t xml:space="preserve">meccanismo fisiologico</w:t>
      </w:r>
      <w:r>
        <w:t xml:space="preserve"> </w:t>
      </w:r>
      <w:r>
        <w:t xml:space="preserve">dei cerchi 2 e 3; poi il</w:t>
      </w:r>
      <w:r>
        <w:t xml:space="preserve"> </w:t>
      </w:r>
      <w:r>
        <w:rPr>
          <w:b/>
          <w:bCs/>
        </w:rPr>
        <w:t xml:space="preserve">ragionamento clinico</w:t>
      </w:r>
      <w:r>
        <w:t xml:space="preserve">, dichiarato come tale; poi la</w:t>
      </w:r>
      <w:r>
        <w:t xml:space="preserve"> </w:t>
      </w:r>
      <w:r>
        <w:rPr>
          <w:b/>
          <w:bCs/>
        </w:rPr>
        <w:t xml:space="preserve">verifica sul singolo paziente</w:t>
      </w:r>
      <w:r>
        <w:t xml:space="preserve">, con un marker scelto prima e una soglia dichiarata prima.</w:t>
      </w:r>
    </w:p>
    <w:p>
      <w:pPr>
        <w:pStyle w:val="BodyText"/>
      </w:pPr>
      <w:r>
        <w:rPr>
          <w:b/>
          <w:bCs/>
        </w:rPr>
        <w:t xml:space="preserve">4. Cosa separa tutto questo dal pensiero magico.</w:t>
      </w:r>
      <w:r>
        <w:t xml:space="preserve"> </w:t>
      </w:r>
      <w:r>
        <w:t xml:space="preserve">La verifica, e nient’altro. Scegliere il marker prima e accettarne il verdetto è scienza applicata a un caso singolo. Sceglierlo dopo aver visto migliorare il paziente, no. Su una condizione che oscilla da sola, è l’unica cosa che ti separa dall’attribuirti la primavera.</w:t>
      </w:r>
    </w:p>
    <w:p>
      <w:pPr>
        <w:pStyle w:val="BodyText"/>
      </w:pPr>
      <w:r>
        <w:rPr>
          <w:b/>
          <w:bCs/>
        </w:rPr>
        <w:t xml:space="preserve">5. Cosa questo non autorizza.</w:t>
      </w:r>
      <w:r>
        <w:t xml:space="preserve"> </w:t>
      </w:r>
      <w:r>
        <w:t xml:space="preserve">Non autorizza a promettere un esito. Non autorizza a scrivere DIMOSTRATO dove c’è IPOTESI. Non autorizza a dire che «gli studi lo confermano»: su questo esito dicono il contrario, e il paziente può leggerli.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36"/>
        </w:numPr>
      </w:pPr>
      <w:r>
        <w:t xml:space="preserve">Sull’esito che dà il nome a questa condizione la nostra unica meta-analisi non trova nulla. Dillo tu, prima che lo scopra qualcun altro.</w:t>
      </w:r>
    </w:p>
    <w:p>
      <w:pPr>
        <w:pStyle w:val="Compact"/>
        <w:numPr>
          <w:ilvl w:val="0"/>
          <w:numId w:val="1036"/>
        </w:numPr>
      </w:pPr>
      <w:r>
        <w:t xml:space="preserve">La misura fisiologica che si è mossa sotto le nostre mani è la soglia rettale, in 31 pazienti, mai replicata in tredici anni.</w:t>
      </w:r>
    </w:p>
    <w:p>
      <w:pPr>
        <w:pStyle w:val="Compact"/>
        <w:numPr>
          <w:ilvl w:val="0"/>
          <w:numId w:val="1036"/>
        </w:numPr>
      </w:pPr>
      <w:r>
        <w:t xml:space="preserve">L’assenza vera non è «nessuno ha studiato»: è che nessuno ha studiato le leve che questa Bibbia dichiara.</w:t>
      </w:r>
    </w:p>
    <w:p>
      <w:pPr>
        <w:pStyle w:val="Compact"/>
        <w:numPr>
          <w:ilvl w:val="0"/>
          <w:numId w:val="1036"/>
        </w:numPr>
      </w:pPr>
      <w:r>
        <w:rPr>
          <w:b/>
          <w:bCs/>
        </w:rPr>
        <w:t xml:space="preserve">Perché ci sei tu.</w:t>
      </w:r>
      <w:r>
        <w:t xml:space="preserve"> </w:t>
      </w:r>
      <w:r>
        <w:t xml:space="preserve">Nella meta-analisi il dolore addominale migliora con dimensione dell’effetto −1,14, intervallo da −1,66 a −0,62. La diarrea no: −1,20, con intervallo da −2,84 a 0,43 e qualità di prove molto bassa (Buffone 2023 — PMID 37685480).</w:t>
      </w:r>
      <w:r>
        <w:t xml:space="preserve"> </w:t>
      </w:r>
      <w:r>
        <w:rPr>
          <w:b/>
          <w:bCs/>
        </w:rPr>
        <w:t xml:space="preserve">Per te:</w:t>
      </w:r>
      <w:r>
        <w:t xml:space="preserve"> </w:t>
      </w:r>
      <w:r>
        <w:t xml:space="preserve">hai un bersaglio, ed è uno solo. Questo ti autorizza a dichiarare il dolore addominale come esito atteso e a scriverlo nel consenso. Non ti autorizza a dichiarare la diarrea, che è precisamente ciò che il paziente ti chiederà di promettere.</w:t>
      </w:r>
    </w:p>
    <w:p>
      <w:r>
        <w:pict>
          <v:rect style="width:0;height:1.5pt" o:hralign="center" o:hrstd="t" o:hr="t"/>
        </w:pict>
      </w:r>
    </w:p>
    <w:bookmarkEnd w:id="58"/>
    <w:bookmarkEnd w:id="59"/>
    <w:bookmarkStart w:id="6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un meccanismo su sei le mani non hanno nulla da offrire, e va detto per primo; sugli altri cinque il razionale esiste — su uno dei cinque con il bersaglio che manca — con etichette che vanno da IPOTESI a PROBABILE e mai oltre.</w:t>
      </w:r>
    </w:p>
    <w:bookmarkStart w:id="60" w:name="X7b24e6ae9a1bd1d2ae9eefaef88af03186ef945"/>
    <w:p>
      <w:pPr>
        <w:pStyle w:val="Heading3"/>
      </w:pPr>
      <w:r>
        <w:t xml:space="preserve">Cosa non possono fare le mani, detto per primo</w:t>
      </w:r>
    </w:p>
    <w:p>
      <w:pPr>
        <w:pStyle w:val="FirstParagraph"/>
      </w:pPr>
      <w:r>
        <w:rPr>
          <w:b/>
          <w:bCs/>
        </w:rPr>
        <w:t xml:space="preserve">Non riassorbono un acido biliare.</w:t>
      </w:r>
      <w:r>
        <w:t xml:space="preserve"> </w:t>
      </w:r>
      <w:r>
        <w:t xml:space="preserve">Il primo meccanismo ha le prove migliori del capitolo «Cosa si rompe», ed è fuori dalla nostra portata: lì la nostra azione clinica è la comunicazione scritta.</w:t>
      </w:r>
    </w:p>
    <w:p>
      <w:pPr>
        <w:pStyle w:val="BodyText"/>
      </w:pPr>
      <w:r>
        <w:rPr>
          <w:b/>
          <w:bCs/>
        </w:rPr>
        <w:t xml:space="preserve">Non modificano il transito colico.</w:t>
      </w:r>
      <w:r>
        <w:t xml:space="preserve"> </w:t>
      </w:r>
      <w:r>
        <w:t xml:space="preserve">L’unico studio che l’ha misurato prima e dopo non ha trovato variazioni (Attali 2013).</w:t>
      </w:r>
    </w:p>
    <w:p>
      <w:pPr>
        <w:pStyle w:val="BodyText"/>
      </w:pPr>
      <w:r>
        <w:rPr>
          <w:b/>
          <w:bCs/>
        </w:rPr>
        <w:t xml:space="preserve">Non cambiano la consistenza delle feci.</w:t>
      </w:r>
      <w:r>
        <w:t xml:space="preserve"> </w:t>
      </w:r>
      <w:r>
        <w:t xml:space="preserve">L’unico studio con finta osteopatia le ha misurate, e non sono cambiate (Florance 2012).</w:t>
      </w:r>
    </w:p>
    <w:bookmarkEnd w:id="60"/>
    <w:bookmarkStart w:id="61" w:name="X34212471334f0fc1a27c39cbc6d9bbfbff2d916"/>
    <w:p>
      <w:pPr>
        <w:pStyle w:val="Heading3"/>
      </w:pPr>
      <w:r>
        <w:t xml:space="preserve">Meccanismo 2 — la soglia dell’urgenza abbassata</w:t>
      </w:r>
    </w:p>
    <w:p>
      <w:pPr>
        <w:pStyle w:val="FirstParagraph"/>
      </w:pPr>
      <w:r>
        <w:rPr>
          <w:b/>
          <w:bCs/>
        </w:rPr>
        <w:t xml:space="preserve">Su cosa può agire una mano.</w:t>
      </w:r>
      <w:r>
        <w:t xml:space="preserve"> </w:t>
      </w:r>
      <w:r>
        <w:t xml:space="preserve">Sul livello di attivazione generale, che modula il guadagno con cui un segnale viscerale normale viene letto come urgenza. Non su un accesso diretto al retto.</w:t>
      </w:r>
    </w:p>
    <w:p>
      <w:pPr>
        <w:pStyle w:val="BodyText"/>
      </w:pPr>
      <w:r>
        <w:rPr>
          <w:b/>
          <w:bCs/>
        </w:rPr>
        <w:t xml:space="preserve">Che effetto ci si aspetta.</w:t>
      </w:r>
      <w:r>
        <w:t xml:space="preserve"> </w:t>
      </w:r>
      <w:r>
        <w:t xml:space="preserve">Un innalzamento della soglia a cui la distensione diventa desiderio impellente. Non meno scariche:</w:t>
      </w:r>
      <w:r>
        <w:t xml:space="preserve"> </w:t>
      </w:r>
      <w:r>
        <w:rPr>
          <w:b/>
          <w:bCs/>
        </w:rPr>
        <w:t xml:space="preserve">quello che si guarda è il preavviso</w:t>
      </w:r>
      <w:r>
        <w:t xml:space="preserve">, misurato in minuti, con la soglia fissata prima. Al paziente si dice così — «guardiamo se cambia» — non «cambierà».</w:t>
      </w:r>
    </w:p>
    <w:p>
      <w:pPr>
        <w:pStyle w:val="BlockText"/>
      </w:pPr>
      <w:r>
        <w:rPr>
          <w:b/>
          <w:bCs/>
        </w:rPr>
        <w:t xml:space="preserve">Quanto è solido:</w:t>
      </w:r>
      <w:r>
        <w:t xml:space="preserve"> </w:t>
      </w:r>
      <w:r>
        <w:t xml:space="preserve">l’etichetta si spezza.</w:t>
      </w:r>
      <w:r>
        <w:t xml:space="preserve"> </w:t>
      </w:r>
      <w:r>
        <w:rPr>
          <w:b/>
          <w:bCs/>
        </w:rPr>
        <w:t xml:space="preserve">Sul fatto che un trattamento viscerale abbia spostato le soglie rettali in quello studio: PROBABILE</w:t>
      </w:r>
      <w:r>
        <w:t xml:space="preserve"> </w:t>
      </w:r>
      <w:r>
        <w:rPr>
          <w:i/>
          <w:iCs/>
        </w:rPr>
        <w:t xml:space="preserve">(razionale forte, prove parziali)</w:t>
      </w:r>
      <w:r>
        <w:t xml:space="preserve">. Volume soglia, volume di sensazione costante e volume massimo tollerabile sono aumentati dopo trattamento e non dopo placebo, in 31 pazienti refrattari di un solo centro, mai replicato in tredici anni;</w:t>
      </w:r>
      <w:r>
        <w:t xml:space="preserve"> </w:t>
      </w:r>
      <w:r>
        <w:rPr>
          <w:b/>
          <w:bCs/>
        </w:rPr>
        <w:t xml:space="preserve">e il confronto è dentro ciascun braccio, non fra i due bracci</w:t>
      </w:r>
      <w:r>
        <w:t xml:space="preserve"> </w:t>
      </w:r>
      <w:r>
        <w:t xml:space="preserve">(Attali 2013 — PMID 23981319). Quel trattamento è viscerale addominale: non entra nelle prime mosse, entra dopo il VERDE e come tentativo dichiarato (vedi «Come ragiono davanti a questo paziente»).</w:t>
      </w:r>
      <w:r>
        <w:t xml:space="preserve"> </w:t>
      </w:r>
      <w:r>
        <w:rPr>
          <w:b/>
          <w:bCs/>
        </w:rPr>
        <w:t xml:space="preserve">Sul fatto che quello spostamento si traduca in più preavviso per il paziente: IPOTESI</w:t>
      </w:r>
      <w:r>
        <w:t xml:space="preserve"> </w:t>
      </w:r>
      <w:r>
        <w:rPr>
          <w:i/>
          <w:iCs/>
        </w:rPr>
        <w:t xml:space="preserve">(meccanismo coerente, nessuno studio)</w:t>
      </w:r>
      <w:r>
        <w:t xml:space="preserve"> </w:t>
      </w:r>
      <w:r>
        <w:t xml:space="preserve">— Attali ha misurato volumi in laboratorio, non minuti nella vita di una persona.</w:t>
      </w:r>
      <w:r>
        <w:t xml:space="preserve"> </w:t>
      </w:r>
      <w:r>
        <w:rPr>
          <w:b/>
          <w:bCs/>
        </w:rPr>
        <w:t xml:space="preserve">Sul fatto che il tuo gesto abbassi il livello di attivazione: IPOTESI</w:t>
      </w:r>
      <w:r>
        <w:t xml:space="preserve"> </w:t>
      </w:r>
      <w:r>
        <w:rPr>
          <w:i/>
          <w:iCs/>
        </w:rPr>
        <w:t xml:space="preserve">(meccanismo coerente, nessuno studio)</w:t>
      </w:r>
      <w:r>
        <w:t xml:space="preserve">. Sono tre oggetti diversi, e altrove nel documento questa leva porta IPOTESI proprio perché lì si parla del terzo.</w:t>
      </w:r>
    </w:p>
    <w:p>
      <w:pPr>
        <w:pStyle w:val="FirstParagraph"/>
      </w:pPr>
      <w:r>
        <w:rPr>
          <w:b/>
          <w:bCs/>
        </w:rPr>
        <w:t xml:space="preserve">In quanto tempo si vedrebbe.</w:t>
      </w:r>
      <w:r>
        <w:t xml:space="preserve"> </w:t>
      </w:r>
      <w:r>
        <w:t xml:space="preserve">L’effetto di stato è dentro la seduta. Lo spostamento della soglia, se c’è, si valuta a settimane.</w:t>
      </w:r>
    </w:p>
    <w:bookmarkEnd w:id="61"/>
    <w:bookmarkStart w:id="62" w:name="X2fcab93dbb1df6eff5b96901e9d467445d95a72"/>
    <w:p>
      <w:pPr>
        <w:pStyle w:val="Heading3"/>
      </w:pPr>
      <w:r>
        <w:t xml:space="preserve">Meccanismo 3 — la reattività lasciata dall’infezione</w:t>
      </w:r>
    </w:p>
    <w:p>
      <w:pPr>
        <w:pStyle w:val="FirstParagraph"/>
      </w:pPr>
      <w:r>
        <w:rPr>
          <w:b/>
          <w:bCs/>
        </w:rPr>
        <w:t xml:space="preserve">Su cosa può agire una mano.</w:t>
      </w:r>
      <w:r>
        <w:t xml:space="preserve"> </w:t>
      </w:r>
      <w:r>
        <w:t xml:space="preserve">Non sulla mucosa. Sul livello di attivazione che mantiene alto il guadagno di un sistema già sensibilizzato, e sulla componente di sorveglianza che quasi sempre si è aggiunta negli anni.</w:t>
      </w:r>
    </w:p>
    <w:p>
      <w:pPr>
        <w:pStyle w:val="BodyText"/>
      </w:pPr>
      <w:r>
        <w:rPr>
          <w:b/>
          <w:bCs/>
        </w:rPr>
        <w:t xml:space="preserve">Che effetto ci si aspetta.</w:t>
      </w:r>
      <w:r>
        <w:t xml:space="preserve"> </w:t>
      </w:r>
      <w:r>
        <w:t xml:space="preserve">Una riduzione dell’amplificazione, non un ritorno allo stato precedente.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Nessuno ha misurato un trattamento manuale in questo sottogruppo.</w:t>
      </w:r>
    </w:p>
    <w:p>
      <w:pPr>
        <w:pStyle w:val="FirstParagraph"/>
      </w:pPr>
      <w:r>
        <w:rPr>
          <w:b/>
          <w:bCs/>
        </w:rPr>
        <w:t xml:space="preserve">In quanto tempo si vedrebbe.</w:t>
      </w:r>
      <w:r>
        <w:t xml:space="preserve"> </w:t>
      </w:r>
      <w:r>
        <w:t xml:space="preserve">Più lentamente che negli altri pattern, e dillo prima di cominciare. È anche il meccanismo in cui il miglioramento spontaneo pesa di più, quindi è quello in cui il basale conta di più.</w:t>
      </w:r>
    </w:p>
    <w:bookmarkEnd w:id="62"/>
    <w:bookmarkStart w:id="63" w:name="Xd120b67d4fb1b2f9510ec0f1fc08f859d814e9f"/>
    <w:p>
      <w:pPr>
        <w:pStyle w:val="Heading3"/>
      </w:pPr>
      <w:r>
        <w:t xml:space="preserve">Meccanismo 4 — l’asse dello stress che muove il colon</w:t>
      </w:r>
    </w:p>
    <w:p>
      <w:pPr>
        <w:pStyle w:val="FirstParagraph"/>
      </w:pPr>
      <w:r>
        <w:rPr>
          <w:b/>
          <w:bCs/>
        </w:rPr>
        <w:t xml:space="preserve">Su cosa può agire una mano.</w:t>
      </w:r>
      <w:r>
        <w:t xml:space="preserve"> </w:t>
      </w:r>
      <w:r>
        <w:t xml:space="preserve">Sul livello di attivazione, attraverso il contatto lento, il ritmo del respiro e il contesto della seduta.</w:t>
      </w:r>
      <w:r>
        <w:t xml:space="preserve"> </w:t>
      </w:r>
      <w:r>
        <w:rPr>
          <w:b/>
          <w:bCs/>
        </w:rPr>
        <w:t xml:space="preserve">Questa è la leva di questa condizione</w:t>
      </w:r>
      <w:r>
        <w:t xml:space="preserve">, e va nominata con la sua etichetta.</w:t>
      </w:r>
    </w:p>
    <w:p>
      <w:pPr>
        <w:pStyle w:val="BodyText"/>
      </w:pPr>
      <w:r>
        <w:rPr>
          <w:b/>
          <w:bCs/>
        </w:rPr>
        <w:t xml:space="preserve">Che effetto ci si aspetta.</w:t>
      </w:r>
      <w:r>
        <w:t xml:space="preserve"> </w:t>
      </w:r>
      <w:r>
        <w:t xml:space="preserve">Un abbassamento del livello di attivazione, con la conseguenza attesa sull’intensità del sintomo prima che sul numero degli episodi.</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Sulla catena «asse dello stress → motilità del colon distale»: PROBABILE</w:t>
      </w:r>
      <w:r>
        <w:t xml:space="preserve"> </w:t>
      </w:r>
      <w:r>
        <w:rPr>
          <w:i/>
          <w:iCs/>
        </w:rPr>
        <w:t xml:space="preserve">(razionale forte, prove parziali)</w:t>
      </w:r>
      <w:r>
        <w:t xml:space="preserve"> </w:t>
      </w:r>
      <w:r>
        <w:t xml:space="preserve">— misurata nell’uomo, in due studi da venti persone (Fukudo 1998; Sagami 2004).</w:t>
      </w:r>
      <w:r>
        <w:t xml:space="preserve"> </w:t>
      </w:r>
      <w:r>
        <w:rPr>
          <w:b/>
          <w:bCs/>
        </w:rPr>
        <w:t xml:space="preserve">Sul fatto che un tocco abbassi quel livello: IPOTESI</w:t>
      </w:r>
      <w:r>
        <w:t xml:space="preserve"> </w:t>
      </w:r>
      <w:r>
        <w:rPr>
          <w:i/>
          <w:iCs/>
        </w:rPr>
        <w:t xml:space="preserve">(meccanismo coerente, nessuno studio)</w:t>
      </w:r>
      <w:r>
        <w:t xml:space="preserve">.</w:t>
      </w:r>
      <w:r>
        <w:t xml:space="preserve"> </w:t>
      </w:r>
      <w:r>
        <w:rPr>
          <w:b/>
          <w:bCs/>
        </w:rPr>
        <w:t xml:space="preserve">Sull’effetto autonomico del respiro lento: DIMOSTRATO</w:t>
      </w:r>
      <w:r>
        <w:t xml:space="preserve"> </w:t>
      </w:r>
      <w:r>
        <w:rPr>
          <w:i/>
          <w:iCs/>
        </w:rPr>
        <w:t xml:space="preserve">(studi sull’uomo, solidi)</w:t>
      </w:r>
      <w:r>
        <w:t xml:space="preserve"> </w:t>
      </w:r>
      <w:r>
        <w:t xml:space="preserve">— ma</w:t>
      </w:r>
      <w:r>
        <w:t xml:space="preserve"> </w:t>
      </w:r>
      <w:r>
        <w:rPr>
          <w:b/>
          <w:bCs/>
        </w:rPr>
        <w:t xml:space="preserve">è la pratica del paziente, non il tuo gesto</w:t>
      </w:r>
      <w:r>
        <w:t xml:space="preserve"> </w:t>
      </w:r>
      <w:r>
        <w:t xml:space="preserve">(Laborde 2022 — PMID 35623448). Negli studi il guadagno viene da settimane di esercizio quotidiano, non da un respiro condiviso sul lettino: quell’etichetta appartiene a «Cosa può fare il paziente da solo», e attaccarla alla tua leva è farle dire una cosa che non ha misurato.</w:t>
      </w:r>
    </w:p>
    <w:p>
      <w:pPr>
        <w:pStyle w:val="BlockText"/>
      </w:pPr>
      <w:r>
        <w:rPr>
          <w:b/>
          <w:bCs/>
        </w:rPr>
        <w:t xml:space="preserve">Attenzione — il dato più scomodo del capitolo, scritto per esteso.</w:t>
      </w:r>
      <w:r>
        <w:t xml:space="preserve"> </w:t>
      </w:r>
      <w:r>
        <w:t xml:space="preserve">La meta-analisi più ampia sugli effetti psicofisiologici degli interventi osteopatici misura un</w:t>
      </w:r>
      <w:r>
        <w:t xml:space="preserve"> </w:t>
      </w:r>
      <w:r>
        <w:rPr>
          <w:b/>
          <w:bCs/>
        </w:rPr>
        <w:t xml:space="preserve">aumento della conduttanza cutanea, g = 0,67 (IC 0,00-1,34)</w:t>
      </w:r>
      <w:r>
        <w:t xml:space="preserve">: cioè più attivazione simpatica, non meno, con un intervallo che tocca lo zero (Gordon 2025 — PMID 39920074). La direzione dell’effetto del contatto non è stabilita, e su questo indice è misurata nel verso opposto a quello che il metodo suppone. Il razionale di questa leva poggia sul contesto e sulla pratica respiratoria del paziente più che sul gesto, e va scritto così.</w:t>
      </w:r>
    </w:p>
    <w:p>
      <w:pPr>
        <w:pStyle w:val="FirstParagraph"/>
      </w:pPr>
      <w:r>
        <w:rPr>
          <w:b/>
          <w:bCs/>
        </w:rPr>
        <w:t xml:space="preserve">In quanto tempo si vedrebbe.</w:t>
      </w:r>
      <w:r>
        <w:t xml:space="preserve"> </w:t>
      </w:r>
      <w:r>
        <w:t xml:space="preserve">L’effetto di stato è dentro la seduta ed è misurabile con la frequenza respiratoria —</w:t>
      </w:r>
      <w:r>
        <w:t xml:space="preserve"> </w:t>
      </w:r>
      <w:r>
        <w:rPr>
          <w:b/>
          <w:bCs/>
        </w:rPr>
        <w:t xml:space="preserve">e si esaurisce in ore</w:t>
      </w:r>
      <w:r>
        <w:t xml:space="preserve">. Lo spostamento della soglia, se c’è, è</w:t>
      </w:r>
      <w:r>
        <w:t xml:space="preserve"> </w:t>
      </w:r>
      <w:r>
        <w:rPr>
          <w:b/>
          <w:bCs/>
        </w:rPr>
        <w:t xml:space="preserve">un’altra cosa</w:t>
      </w:r>
      <w:r>
        <w:t xml:space="preserve">: chiede ripetizione, e si valuta a settimane. Le due scale non stanno sulla stessa curva e vanno tenute separate. L’unico effetto controllato contro finta osteopatia che questo documento conosce era</w:t>
      </w:r>
      <w:r>
        <w:t xml:space="preserve"> </w:t>
      </w:r>
      <w:r>
        <w:rPr>
          <w:b/>
          <w:bCs/>
        </w:rPr>
        <w:t xml:space="preserve">sparito a ventotto giorni</w:t>
      </w:r>
      <w:r>
        <w:t xml:space="preserve"> </w:t>
      </w:r>
      <w:r>
        <w:t xml:space="preserve">(Florance 2012).</w:t>
      </w:r>
    </w:p>
    <w:bookmarkEnd w:id="63"/>
    <w:bookmarkStart w:id="64" w:name="X66d4eba653eeffbe8adfa113e00a7805bd9860d"/>
    <w:p>
      <w:pPr>
        <w:pStyle w:val="Heading3"/>
      </w:pPr>
      <w:r>
        <w:t xml:space="preserve">Meccanismo 5 — il pattern retrogrado che manca dopo il pasto</w:t>
      </w:r>
    </w:p>
    <w:p>
      <w:pPr>
        <w:pStyle w:val="FirstParagraph"/>
      </w:pPr>
      <w:r>
        <w:rPr>
          <w:b/>
          <w:bCs/>
        </w:rPr>
        <w:t xml:space="preserve">Su cosa può agire una mano.</w:t>
      </w:r>
      <w:r>
        <w:t xml:space="preserve"> </w:t>
      </w:r>
      <w:r>
        <w:t xml:space="preserve">Sul distretto dorso-lombare e sul sacro, che condividono la mappa segmentaria del colon distale. L’idea è modulare il bilancio fra le due vie autonomiche che regolano quel pattern.</w:t>
      </w:r>
    </w:p>
    <w:p>
      <w:pPr>
        <w:pStyle w:val="BodyText"/>
      </w:pPr>
      <w:r>
        <w:rPr>
          <w:b/>
          <w:bCs/>
        </w:rPr>
        <w:t xml:space="preserve">Che effetto ci si aspetta.</w:t>
      </w:r>
      <w:r>
        <w:t xml:space="preserve"> </w:t>
      </w:r>
      <w:r>
        <w:t xml:space="preserve">Sulla carta, un recupero della componente di ritenzione postprandiale.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Nessuno ha misurato quel pattern prima e dopo un trattamento manuale. E c’è un dato contrario. La stimolazione periferica meglio studiata sulla stessa via è quella del nervo tibiale, che condivide la radice sacrale: non ha battuto il finto trattamento sull’esito principale, in 227 pazienti in doppio cieco (Horrocks 2015 — PMID 26422980).</w:t>
      </w:r>
    </w:p>
    <w:p>
      <w:pPr>
        <w:pStyle w:val="FirstParagraph"/>
      </w:pPr>
      <w:r>
        <w:rPr>
          <w:b/>
          <w:bCs/>
        </w:rPr>
        <w:t xml:space="preserve">In quanto tempo si vedrebbe.</w:t>
      </w:r>
      <w:r>
        <w:t xml:space="preserve"> </w:t>
      </w:r>
      <w:r>
        <w:t xml:space="preserve">Qui il problema non è che manchi la misura:</w:t>
      </w:r>
      <w:r>
        <w:t xml:space="preserve"> </w:t>
      </w:r>
      <w:r>
        <w:rPr>
          <w:b/>
          <w:bCs/>
        </w:rPr>
        <w:t xml:space="preserve">manca il bersaglio.</w:t>
      </w:r>
      <w:r>
        <w:t xml:space="preserve"> </w:t>
      </w:r>
      <w:r>
        <w:t xml:space="preserve">Il ritmo lo genera la rete nervosa dentro la parete, e le vie autonomiche lo modulano soltanto. Una mano, al massimo, agisce sul modulatore. È il rubinetto di casa: puoi aprirlo e chiuderlo, non sei tu a fare l’acqua.</w:t>
      </w:r>
      <w:r>
        <w:t xml:space="preserve"> </w:t>
      </w:r>
      <w:r>
        <w:rPr>
          <w:b/>
          <w:bCs/>
        </w:rPr>
        <w:t xml:space="preserve">Su questo meccanismo la leva più forte che hai non è manuale: è la spiegazione.</w:t>
      </w:r>
      <w:r>
        <w:t xml:space="preserve"> </w:t>
      </w:r>
      <w:r>
        <w:t xml:space="preserve">Smontare la teoria dell’acceleratore cambia quello che il paziente fa a tavola per i prossimi dieci anni.</w:t>
      </w:r>
    </w:p>
    <w:bookmarkEnd w:id="64"/>
    <w:bookmarkStart w:id="65" w:name="Xde0af37ee18f673125a1ce415e9d57cc5b833f7"/>
    <w:p>
      <w:pPr>
        <w:pStyle w:val="Heading3"/>
      </w:pPr>
      <w:r>
        <w:t xml:space="preserve">Meccanismo 6 — la sorveglianza e l’evitamento</w:t>
      </w:r>
    </w:p>
    <w:p>
      <w:pPr>
        <w:pStyle w:val="FirstParagraph"/>
      </w:pPr>
      <w:r>
        <w:rPr>
          <w:b/>
          <w:bCs/>
        </w:rPr>
        <w:t xml:space="preserve">Su cosa può agire una mano.</w:t>
      </w:r>
      <w:r>
        <w:t xml:space="preserve"> </w:t>
      </w:r>
      <w:r>
        <w:t xml:space="preserve">Indirettamente, attraverso il contesto. Serve un professionista che nomini il problema senza imbarazzo, che dica dov’è il bagno prima che glielo chiedano e che dichiari l’evitamento come bersaglio. Chi fa così cambia la cornice in cui il paziente interpreta le proprie sensazioni.</w:t>
      </w:r>
    </w:p>
    <w:p>
      <w:pPr>
        <w:pStyle w:val="BodyText"/>
      </w:pPr>
      <w:r>
        <w:rPr>
          <w:b/>
          <w:bCs/>
        </w:rPr>
        <w:t xml:space="preserve">Che effetto ci si aspetta.</w:t>
      </w:r>
      <w:r>
        <w:t xml:space="preserve"> </w:t>
      </w:r>
      <w:r>
        <w:t xml:space="preserve">Un ampliamento del raggio di vita, che si misura in situazioni riprese e non in scariche evitate.</w:t>
      </w:r>
    </w:p>
    <w:p>
      <w:pPr>
        <w:pStyle w:val="BlockText"/>
      </w:pPr>
      <w:r>
        <w:rPr>
          <w:b/>
          <w:bCs/>
        </w:rPr>
        <w:t xml:space="preserve">Quanto è solido:</w:t>
      </w:r>
      <w:r>
        <w:t xml:space="preserve"> </w:t>
      </w:r>
      <w:r>
        <w:t xml:space="preserve">l’etichetta si spezza, perché l’affermazione a cui si attaccava non era quella misurata.</w:t>
      </w:r>
      <w:r>
        <w:t xml:space="preserve"> </w:t>
      </w:r>
      <w:r>
        <w:rPr>
          <w:b/>
          <w:bCs/>
        </w:rPr>
        <w:t xml:space="preserve">Sull’esito dei programmi strutturati: PROBABILE</w:t>
      </w:r>
      <w:r>
        <w:t xml:space="preserve"> </w:t>
      </w:r>
      <w:r>
        <w:rPr>
          <w:i/>
          <w:iCs/>
        </w:rPr>
        <w:t xml:space="preserve">(razionale forte, prove parziali)</w:t>
      </w:r>
      <w:r>
        <w:t xml:space="preserve"> </w:t>
      </w:r>
      <w:r>
        <w:t xml:space="preserve">— 41 randomizzati e 4.072 partecipanti, con rischio di distorsione alto ed efficacia probabilmente sovrastimata dichiarati dagli autori (Black 2020 — PMID 32276950),</w:t>
      </w:r>
      <w:r>
        <w:t xml:space="preserve"> </w:t>
      </w:r>
      <w:r>
        <w:rPr>
          <w:i/>
          <w:iCs/>
        </w:rPr>
        <w:t xml:space="preserve">e il salto di erogatore: quei programmi li erogano psicologi e terapeuti formati.</w:t>
      </w:r>
      <w:r>
        <w:t xml:space="preserve"> </w:t>
      </w:r>
      <w:r>
        <w:rPr>
          <w:b/>
          <w:bCs/>
        </w:rPr>
        <w:t xml:space="preserve">Sull’effetto del contesto e della relazione in questi pazienti: PROBABILE</w:t>
      </w:r>
      <w:r>
        <w:t xml:space="preserve"> </w:t>
      </w:r>
      <w:r>
        <w:rPr>
          <w:i/>
          <w:iCs/>
        </w:rPr>
        <w:t xml:space="preserve">(razionale forte, prove parziali)</w:t>
      </w:r>
      <w:r>
        <w:t xml:space="preserve"> </w:t>
      </w:r>
      <w:r>
        <w:t xml:space="preserve">(Kaptchuk 2008 — PMID 18390493).</w:t>
      </w:r>
      <w:r>
        <w:t xml:space="preserve"> </w:t>
      </w:r>
      <w:r>
        <w:rPr>
          <w:b/>
          <w:bCs/>
        </w:rPr>
        <w:t xml:space="preserve">Sul fatto che la parte educativa erogata da te sposti l’evitamento: IPOTESI</w:t>
      </w:r>
      <w:r>
        <w:t xml:space="preserve"> </w:t>
      </w:r>
      <w:r>
        <w:rPr>
          <w:i/>
          <w:iCs/>
        </w:rPr>
        <w:t xml:space="preserve">(meccanismo coerente, nessuno studio)</w:t>
      </w:r>
      <w:r>
        <w:t xml:space="preserve">. È questa la cosa di cui parla il paragrafo qui sopra.</w:t>
      </w:r>
    </w:p>
    <w:p>
      <w:pPr>
        <w:pStyle w:val="FirstParagraph"/>
      </w:pPr>
      <w:r>
        <w:rPr>
          <w:b/>
          <w:bCs/>
        </w:rPr>
        <w:t xml:space="preserve">In quanto tempo si vedrebbe.</w:t>
      </w:r>
      <w:r>
        <w:t xml:space="preserve"> </w:t>
      </w:r>
      <w:r>
        <w:t xml:space="preserve">Settimane-mesi di non-evitamento ripetuto. È apprendimento, e una seduta non ne mostra niente.</w:t>
      </w:r>
    </w:p>
    <w:bookmarkEnd w:id="65"/>
    <w:bookmarkStart w:id="66" w:name="X313a9305afc17cefd332a43187892ca69ddea55"/>
    <w:p>
      <w:pPr>
        <w:pStyle w:val="Heading3"/>
      </w:pPr>
      <w:r>
        <w:t xml:space="preserve">Cosa fa l’osteopata che il resto del percorso non fa</w:t>
      </w:r>
    </w:p>
    <w:p>
      <w:pPr>
        <w:pStyle w:val="Compact"/>
        <w:numPr>
          <w:ilvl w:val="0"/>
          <w:numId w:val="1037"/>
        </w:numPr>
      </w:pPr>
      <w:r>
        <w:rPr>
          <w:b/>
          <w:bCs/>
        </w:rPr>
        <w:t xml:space="preserve">Guarda il livello di attivazione come una variabile misurabile</w:t>
      </w:r>
      <w:r>
        <w:t xml:space="preserve">, non come un tratto di carattere. Nessun altro nel percorso conta gli atti respiratori di questo paziente.</w:t>
      </w:r>
    </w:p>
    <w:p>
      <w:pPr>
        <w:pStyle w:val="Compact"/>
        <w:numPr>
          <w:ilvl w:val="0"/>
          <w:numId w:val="1037"/>
        </w:numPr>
      </w:pPr>
      <w:r>
        <w:rPr>
          <w:b/>
          <w:bCs/>
        </w:rPr>
        <w:t xml:space="preserve">Ha il tempo di aprire il referto e la scatola dei farmaci</w:t>
      </w:r>
      <w:r>
        <w:t xml:space="preserve"> </w:t>
      </w:r>
      <w:r>
        <w:t xml:space="preserve">— biopsie, celiachia a dieta iniziata, Giardia, acidi biliari, terapia in corso. È tempo, non competenza esclusiva, ed è la ragione per cui funziona.</w:t>
      </w:r>
    </w:p>
    <w:p>
      <w:pPr>
        <w:pStyle w:val="Compact"/>
        <w:numPr>
          <w:ilvl w:val="0"/>
          <w:numId w:val="1037"/>
        </w:numPr>
      </w:pPr>
      <w:r>
        <w:rPr>
          <w:b/>
          <w:bCs/>
        </w:rPr>
        <w:t xml:space="preserve">Dispone di un contesto ad alta dose di relazione</w:t>
      </w:r>
      <w:r>
        <w:t xml:space="preserve">, che su questa sindrome ha un effetto misurato grande. Non è una tecnica, ed è meglio dirlo che spacciarlo.</w:t>
      </w:r>
    </w:p>
    <w:p>
      <w:pPr>
        <w:pStyle w:val="FirstParagraph"/>
      </w:pPr>
      <w:r>
        <w:rPr>
          <w:i/>
          <w:iCs/>
        </w:rPr>
        <w:t xml:space="preserve">Il come si fa</w:t>
      </w:r>
      <w:r>
        <w:rPr>
          <w:i/>
          <w:iCs/>
        </w:rPr>
        <w:t xml:space="preserve"> </w:t>
      </w:r>
      <w:r>
        <w:rPr>
          <w:b/>
          <w:bCs/>
          <w:i/>
          <w:iCs/>
        </w:rPr>
        <w:t xml:space="preserve">non è qui</w:t>
      </w:r>
      <w:r>
        <w:rPr>
          <w:i/>
          <w:iCs/>
        </w:rPr>
        <w:t xml:space="preserve">. Sta nella Procedura della diarrea ricorrente: due pagine, tecniche, dosi e piano delle sedute.</w:t>
      </w:r>
    </w:p>
    <w:p>
      <w:pPr>
        <w:pStyle w:val="BodyText"/>
      </w:pPr>
      <w:r>
        <w:rPr>
          <w:b/>
          <w:bCs/>
        </w:rPr>
        <w:t xml:space="preserve">Le tre cose da ricordare, più una</w:t>
      </w:r>
    </w:p>
    <w:p>
      <w:pPr>
        <w:pStyle w:val="Compact"/>
        <w:numPr>
          <w:ilvl w:val="0"/>
          <w:numId w:val="1038"/>
        </w:numPr>
      </w:pPr>
      <w:r>
        <w:t xml:space="preserve">Su un meccanismo su sei le mani non hanno nulla, e l’azione clinica è la comunicazione scritta. Sugli altri cinque il razionale esiste, e su uno dei cinque manca il bersaglio.</w:t>
      </w:r>
    </w:p>
    <w:p>
      <w:pPr>
        <w:pStyle w:val="Compact"/>
        <w:numPr>
          <w:ilvl w:val="0"/>
          <w:numId w:val="1038"/>
        </w:numPr>
      </w:pPr>
      <w:r>
        <w:t xml:space="preserve">La leva di questa condizione è il livello di attivazione, e sul gesto regge</w:t>
      </w:r>
      <w:r>
        <w:t xml:space="preserve"> </w:t>
      </w:r>
      <w:r>
        <w:rPr>
          <w:b/>
          <w:bCs/>
        </w:rPr>
        <w:t xml:space="preserve">IPOTESI</w:t>
      </w:r>
      <w:r>
        <w:t xml:space="preserve">. Il DIMOSTRATO del respiro lento appartiene alla pratica del paziente, non alle tue mani: non confonderli.</w:t>
      </w:r>
    </w:p>
    <w:p>
      <w:pPr>
        <w:pStyle w:val="Compact"/>
        <w:numPr>
          <w:ilvl w:val="0"/>
          <w:numId w:val="1038"/>
        </w:numPr>
      </w:pPr>
      <w:r>
        <w:t xml:space="preserve">Quello che guardiamo non è il numero delle scariche: è il preavviso e l’intensità. Si dichiara prima come</w:t>
      </w:r>
      <w:r>
        <w:t xml:space="preserve"> </w:t>
      </w:r>
      <w:r>
        <w:rPr>
          <w:b/>
          <w:bCs/>
        </w:rPr>
        <w:t xml:space="preserve">misura</w:t>
      </w:r>
      <w:r>
        <w:t xml:space="preserve">, non come promessa — «guardiamo se cambia», non «cambierà».</w:t>
      </w:r>
    </w:p>
    <w:p>
      <w:pPr>
        <w:pStyle w:val="Compact"/>
        <w:numPr>
          <w:ilvl w:val="0"/>
          <w:numId w:val="1038"/>
        </w:numPr>
      </w:pPr>
      <w:r>
        <w:rPr>
          <w:b/>
          <w:bCs/>
        </w:rPr>
        <w:t xml:space="preserve">Perché ci sei tu.</w:t>
      </w:r>
      <w:r>
        <w:t xml:space="preserve"> </w:t>
      </w:r>
      <w:r>
        <w:t xml:space="preserve">In 31 pazienti refrattari, in crossover controllato con placebo, dopo trattamento viscerale la sensibilità rettale è diminuita: volume soglia, volume di sensazione costante e volume massimo tollerabile sono aumentati, p &lt; 0,001. Dopo le manipolazioni placebo non è cambiata (Attali 2013 — PMID 23981319).</w:t>
      </w:r>
      <w:r>
        <w:t xml:space="preserve"> </w:t>
      </w:r>
      <w:r>
        <w:rPr>
          <w:b/>
          <w:bCs/>
        </w:rPr>
        <w:t xml:space="preserve">Per te:</w:t>
      </w:r>
      <w:r>
        <w:t xml:space="preserve"> </w:t>
      </w:r>
      <w:r>
        <w:t xml:space="preserve">è l’unica misura fisiologica esistente che si sia mossa sotto le nostre mani su questo quadro. Questo ti autorizza a dire che una misura si è mossa, e quale. Non ti autorizza a dire che è un risultato stabilito: in tredici anni nessuno l’ha rifatto.</w:t>
      </w:r>
    </w:p>
    <w:p>
      <w:r>
        <w:pict>
          <v:rect style="width:0;height:1.5pt" o:hralign="center" o:hrstd="t" o:hr="t"/>
        </w:pict>
      </w:r>
    </w:p>
    <w:bookmarkEnd w:id="66"/>
    <w:bookmarkEnd w:id="67"/>
    <w:bookmarkStart w:id="7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le leve con le prove migliori non sono le tue mani: una delle quattro non è tua da erogare in nessuna forma, e nessuna delle altre tre è tua da fare al posto del paziente.</w:t>
      </w:r>
    </w:p>
    <w:p>
      <w:pPr>
        <w:pStyle w:val="FirstParagraph"/>
      </w:pPr>
      <w:r>
        <w:t xml:space="preserve">Sono quattro: le terapie psicologiche dirette all’intestino, il respiro lento praticato dal paziente, l’attività fisica regolare e l’educazione al meccanismo.</w:t>
      </w:r>
      <w:r>
        <w:t xml:space="preserve"> </w:t>
      </w:r>
      <w:r>
        <w:rPr>
          <w:b/>
          <w:bCs/>
        </w:rPr>
        <w:t xml:space="preserve">Come e quando consegnarle sta nella Procedura.</w:t>
      </w:r>
    </w:p>
    <w:bookmarkStart w:id="68" w:name="Xcba5cb2c86b40170b6a8397eecbe32fa2d28ecb"/>
    <w:p>
      <w:pPr>
        <w:pStyle w:val="Heading3"/>
      </w:pPr>
      <w:r>
        <w:t xml:space="preserve">1. Le terapie psicologiche dirette all’intestino</w:t>
      </w:r>
    </w:p>
    <w:p>
      <w:pPr>
        <w:pStyle w:val="FirstParagraph"/>
      </w:pPr>
      <w:r>
        <w:rPr>
          <w:b/>
          <w:bCs/>
        </w:rPr>
        <w:t xml:space="preserve">Cos’è.</w:t>
      </w:r>
      <w:r>
        <w:t xml:space="preserve"> </w:t>
      </w:r>
      <w:r>
        <w:t xml:space="preserve">Programmi strutturati che lavorano sulla relazione fra attenzione, evitamento e sintomo: terapia cognitivo-comportamentale in presenza, autosomministrata o via internet, e ipnoterapia diretta all’intestino.</w:t>
      </w:r>
    </w:p>
    <w:p>
      <w:pPr>
        <w:pStyle w:val="BodyText"/>
      </w:pPr>
      <w:r>
        <w:rPr>
          <w:b/>
          <w:bCs/>
        </w:rPr>
        <w:t xml:space="preserve">Su quale meccanismo agisce.</w:t>
      </w:r>
      <w:r>
        <w:t xml:space="preserve"> </w:t>
      </w:r>
      <w:r>
        <w:t xml:space="preserve">Sul sesto, «il guinzaglio che si accorcia», e sul quarto per la via dell’aspettativa.</w:t>
      </w:r>
    </w:p>
    <w:p>
      <w:pPr>
        <w:pStyle w:val="BodyText"/>
      </w:pPr>
      <w:r>
        <w:rPr>
          <w:b/>
          <w:bCs/>
        </w:rPr>
        <w:t xml:space="preserve">Cosa hanno misurato gli studi.</w:t>
      </w:r>
      <w:r>
        <w:t xml:space="preserve"> </w:t>
      </w:r>
      <w:r>
        <w:t xml:space="preserve">Quarantuno studi randomizzati e 4.072 partecipanti. Il rischio relativo di restare sintomatici a fine trattamento è</w:t>
      </w:r>
      <w:r>
        <w:t xml:space="preserve"> </w:t>
      </w:r>
      <w:r>
        <w:rPr>
          <w:b/>
          <w:bCs/>
        </w:rPr>
        <w:t xml:space="preserve">0,61</w:t>
      </w:r>
      <w:r>
        <w:t xml:space="preserve"> </w:t>
      </w:r>
      <w:r>
        <w:t xml:space="preserve">per la terapia cognitivo-comportamentale autosomministrata o a contatto minimo,</w:t>
      </w:r>
      <w:r>
        <w:t xml:space="preserve"> </w:t>
      </w:r>
      <w:r>
        <w:rPr>
          <w:b/>
          <w:bCs/>
        </w:rPr>
        <w:t xml:space="preserve">0,62</w:t>
      </w:r>
      <w:r>
        <w:t xml:space="preserve"> </w:t>
      </w:r>
      <w:r>
        <w:t xml:space="preserve">per quella in presenza,</w:t>
      </w:r>
      <w:r>
        <w:t xml:space="preserve"> </w:t>
      </w:r>
      <w:r>
        <w:rPr>
          <w:b/>
          <w:bCs/>
        </w:rPr>
        <w:t xml:space="preserve">0,67</w:t>
      </w:r>
      <w:r>
        <w:t xml:space="preserve"> </w:t>
      </w:r>
      <w:r>
        <w:t xml:space="preserve">per l’ipnoterapia diretta all’intestino. Nessuna è risultata superiore a un’altra. Gli autori dichiarano un rischio di distorsione alto e un’asimmetria del funnel plot, e concludono che l’efficacia è probabilmente sovrastimata (Black 2020 — PMID 32276950).</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w:t>
      </w:r>
      <w:r>
        <w:t xml:space="preserve"> </w:t>
      </w:r>
      <w:r>
        <w:rPr>
          <w:i/>
          <w:iCs/>
        </w:rPr>
        <w:t xml:space="preserve">rischio di bias alto, efficacia probabilmente sovrastimata</w:t>
      </w:r>
      <w:r>
        <w:t xml:space="preserve">, parole degli autori —</w:t>
      </w:r>
      <w:r>
        <w:t xml:space="preserve"> </w:t>
      </w:r>
      <w:r>
        <w:rPr>
          <w:b/>
          <w:bCs/>
        </w:rPr>
        <w:t xml:space="preserve">con il salto dichiarato: è di erogatore.</w:t>
      </w:r>
      <w:r>
        <w:t xml:space="preserve"> </w:t>
      </w:r>
      <w:r>
        <w:t xml:space="preserve">Negli studi il programma è erogato da psicologi, terapeuti formati o piattaforme con contatto guidato, non da osteopati. Quello che puoi fare tu è la parte educativa, nominare l’evitamento come bersaglio, e il rinvio.</w:t>
      </w:r>
    </w:p>
    <w:p>
      <w:pPr>
        <w:pStyle w:val="FirstParagraph"/>
      </w:pPr>
      <w:r>
        <w:rPr>
          <w:b/>
          <w:bCs/>
        </w:rPr>
        <w:t xml:space="preserve">Cosa non fa.</w:t>
      </w:r>
      <w:r>
        <w:t xml:space="preserve"> </w:t>
      </w:r>
      <w:r>
        <w:t xml:space="preserve">Non sostituisce un percorso psicologico, e chiamare «terapia cognitivo-comportamentale» quello che fai tu sarebbe falso. Non funziona se arriva come</w:t>
      </w:r>
      <w:r>
        <w:t xml:space="preserve"> </w:t>
      </w:r>
      <w:r>
        <w:rPr>
          <w:i/>
          <w:iCs/>
        </w:rPr>
        <w:t xml:space="preserve">«è ansia»</w:t>
      </w:r>
      <w:r>
        <w:t xml:space="preserve">. E cosa succeda quando il paziente smette, questa sintesi non lo dice.</w:t>
      </w:r>
    </w:p>
    <w:bookmarkEnd w:id="68"/>
    <w:bookmarkStart w:id="69" w:name="il-respiro-lento-praticato-dal-paziente"/>
    <w:p>
      <w:pPr>
        <w:pStyle w:val="Heading3"/>
      </w:pPr>
      <w:r>
        <w:t xml:space="preserve">2. Il respiro lento praticato dal paziente</w:t>
      </w:r>
    </w:p>
    <w:p>
      <w:pPr>
        <w:pStyle w:val="FirstParagraph"/>
      </w:pPr>
      <w:r>
        <w:rPr>
          <w:b/>
          <w:bCs/>
        </w:rPr>
        <w:t xml:space="preserve">Cos’è.</w:t>
      </w:r>
      <w:r>
        <w:t xml:space="preserve"> </w:t>
      </w:r>
      <w:r>
        <w:t xml:space="preserve">Respirare lentamente, attorno a sei atti al minuto, per un tempo definito e ripetuto nei giorni. È una pratica, non un gesto che avviene sul lettino. Ed è tua da insegnare, non tua da erogare: gli dai la ricetta, non gli cucini la cena.</w:t>
      </w:r>
    </w:p>
    <w:p>
      <w:pPr>
        <w:pStyle w:val="BodyText"/>
      </w:pPr>
      <w:r>
        <w:rPr>
          <w:b/>
          <w:bCs/>
        </w:rPr>
        <w:t xml:space="preserve">Su quale meccanismo agisce.</w:t>
      </w:r>
      <w:r>
        <w:t xml:space="preserve"> </w:t>
      </w:r>
      <w:r>
        <w:t xml:space="preserve">Sul secondo, «il campanello collegato al cancello», che è esattamente ciò che quelle soglie misurano. E sul quarto, per la via dell’attivazione.</w:t>
      </w:r>
    </w:p>
    <w:p>
      <w:pPr>
        <w:pStyle w:val="BodyText"/>
      </w:pPr>
      <w:r>
        <w:rPr>
          <w:b/>
          <w:bCs/>
        </w:rPr>
        <w:t xml:space="preserve">Cosa hanno misurato gli studi.</w:t>
      </w:r>
      <w:r>
        <w:t xml:space="preserve"> </w:t>
      </w:r>
      <w:r>
        <w:t xml:space="preserve">Ottantacinque pazienti randomizzati, sei atti al minuto — quattro secondi dentro, sei fuori —, trenta minuti al giorno per sei settimane. Le tre soglie rettali erano più alte del controllo (p &lt; 0,001; 0,017; 0,018), e il punteggio di gravità migliore su tutti e cinque i sotto-punteggi (Liu,</w:t>
      </w:r>
      <w:r>
        <w:t xml:space="preserve"> </w:t>
      </w:r>
      <w:r>
        <w:rPr>
          <w:i/>
          <w:iCs/>
        </w:rPr>
        <w:t xml:space="preserve">Front Neurosci</w:t>
      </w:r>
      <w:r>
        <w:t xml:space="preserve"> </w:t>
      </w:r>
      <w:r>
        <w:t xml:space="preserve">2022 — PMID 36408402).</w:t>
      </w:r>
      <w:r>
        <w:t xml:space="preserve"> </w:t>
      </w:r>
      <w:r>
        <w:rPr>
          <w:b/>
          <w:bCs/>
        </w:rPr>
        <w:t xml:space="preserve">Sono le stesse tre soglie che questo documento celebra come l’unica misura mossa dalle nostre mani, in 31 refrattari. Qui si sono mosse in 85 randomizzati, con una pratica che il paziente fa da solo.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 meccanismo,</w:t>
      </w:r>
      <w:r>
        <w:t xml:space="preserve"> </w:t>
      </w:r>
      <w:r>
        <w:rPr>
          <w:b/>
          <w:bCs/>
        </w:rPr>
        <w:t xml:space="preserve">IPOTESI</w:t>
      </w:r>
      <w:r>
        <w:t xml:space="preserve"> </w:t>
      </w:r>
      <w:r>
        <w:rPr>
          <w:i/>
          <w:iCs/>
        </w:rPr>
        <w:t xml:space="preserve">(meccanismo coerente, nessuno studio)</w:t>
      </w:r>
      <w:r>
        <w:t xml:space="preserve"> </w:t>
      </w:r>
      <w:r>
        <w:t xml:space="preserve">sulla forma con diarrea.</w:t>
      </w:r>
      <w:r>
        <w:t xml:space="preserve"> </w:t>
      </w:r>
      <w:r>
        <w:rPr>
          <w:b/>
          <w:bCs/>
        </w:rPr>
        <w:t xml:space="preserve">Due salti, entrambi dichiarati.</w:t>
      </w:r>
      <w:r>
        <w:t xml:space="preserve"> </w:t>
      </w:r>
      <w:r>
        <w:rPr>
          <w:i/>
          <w:iCs/>
        </w:rPr>
        <w:t xml:space="preserve">Di sottotipo:</w:t>
      </w:r>
      <w:r>
        <w:t xml:space="preserve"> </w:t>
      </w:r>
      <w:r>
        <w:t xml:space="preserve">Liu ha misurato nella forma con</w:t>
      </w:r>
      <w:r>
        <w:t xml:space="preserve"> </w:t>
      </w:r>
      <w:r>
        <w:rPr>
          <w:b/>
          <w:bCs/>
        </w:rPr>
        <w:t xml:space="preserve">stitichezza</w:t>
      </w:r>
      <w:r>
        <w:t xml:space="preserve">, non in questa.</w:t>
      </w:r>
      <w:r>
        <w:t xml:space="preserve"> </w:t>
      </w:r>
      <w:r>
        <w:rPr>
          <w:i/>
          <w:iCs/>
        </w:rPr>
        <w:t xml:space="preserve">Di disegno:</w:t>
      </w:r>
      <w:r>
        <w:t xml:space="preserve"> </w:t>
      </w:r>
      <w:r>
        <w:t xml:space="preserve">non in cieco, senza un finto respiro come confronto.</w:t>
      </w:r>
    </w:p>
    <w:p>
      <w:pPr>
        <w:pStyle w:val="FirstParagraph"/>
      </w:pPr>
      <w:r>
        <w:rPr>
          <w:b/>
          <w:bCs/>
        </w:rPr>
        <w:t xml:space="preserve">Cosa non fa.</w:t>
      </w:r>
      <w:r>
        <w:t xml:space="preserve"> </w:t>
      </w:r>
      <w:r>
        <w:t xml:space="preserve">Il rovescio esiste, ed è dello stesso anno. Quattordici pazienti con sindrome mista randomizzati a quattro settimane di respiro lento, tredici completati. La funzione microvascolare è migliorata, ma</w:t>
      </w:r>
      <w:r>
        <w:t xml:space="preserve"> </w:t>
      </w:r>
      <w:r>
        <w:rPr>
          <w:b/>
          <w:bCs/>
        </w:rPr>
        <w:t xml:space="preserve">indici della variabilità cardiaca, recupero della frequenza cardiaca e punteggio di gravità sono rimasti invariati</w:t>
      </w:r>
      <w:r>
        <w:t xml:space="preserve"> </w:t>
      </w:r>
      <w:r>
        <w:t xml:space="preserve">(Jurek,</w:t>
      </w:r>
      <w:r>
        <w:t xml:space="preserve"> </w:t>
      </w:r>
      <w:r>
        <w:rPr>
          <w:i/>
          <w:iCs/>
        </w:rPr>
        <w:t xml:space="preserve">Neurogastroenterol Motil</w:t>
      </w:r>
      <w:r>
        <w:t xml:space="preserve"> </w:t>
      </w:r>
      <w:r>
        <w:t xml:space="preserve">2022 — PMID 34595801). E il salto di bersaglio autonomico resta: quegli indici sono cardiaci, e il colon distale non è vagale.</w:t>
      </w:r>
    </w:p>
    <w:bookmarkEnd w:id="69"/>
    <w:bookmarkStart w:id="70" w:name="lattività-fisica-regolare"/>
    <w:p>
      <w:pPr>
        <w:pStyle w:val="Heading3"/>
      </w:pPr>
      <w:r>
        <w:t xml:space="preserve">3. L’attività fisica regolare</w:t>
      </w:r>
    </w:p>
    <w:p>
      <w:pPr>
        <w:pStyle w:val="FirstParagraph"/>
      </w:pPr>
      <w:r>
        <w:rPr>
          <w:b/>
          <w:bCs/>
        </w:rPr>
        <w:t xml:space="preserve">Cos’è.</w:t>
      </w:r>
      <w:r>
        <w:t xml:space="preserve"> </w:t>
      </w:r>
      <w:r>
        <w:t xml:space="preserve">Muoversi più di adesso, con un’attività che la persona sceglie e sostiene: camminare, bicicletta, ginnastica leggera.</w:t>
      </w:r>
    </w:p>
    <w:p>
      <w:pPr>
        <w:pStyle w:val="BodyText"/>
      </w:pPr>
      <w:r>
        <w:rPr>
          <w:b/>
          <w:bCs/>
        </w:rPr>
        <w:t xml:space="preserve">Su quale meccanismo agisce.</w:t>
      </w:r>
      <w:r>
        <w:t xml:space="preserve"> </w:t>
      </w:r>
      <w:r>
        <w:t xml:space="preserve">Sul quarto, «il campanello e la pompa sullo stesso interruttore», per la via autonomica.</w:t>
      </w:r>
    </w:p>
    <w:p>
      <w:pPr>
        <w:pStyle w:val="BodyText"/>
      </w:pPr>
      <w:r>
        <w:rPr>
          <w:b/>
          <w:bCs/>
        </w:rPr>
        <w:t xml:space="preserve">Cosa hanno misurato gli studi.</w:t>
      </w:r>
      <w:r>
        <w:t xml:space="preserve"> </w:t>
      </w:r>
      <w:r>
        <w:t xml:space="preserve">Centodue pazienti randomizzati, 75 hanno completato. Il gruppo istruito da un fisioterapista ad aumentare l’attività ha migliorato il punteggio di gravità della sindrome di 51 punti in mediana. Il gruppo di controllo di 5, p = 0,003. E la quota di pazienti che</w:t>
      </w:r>
      <w:r>
        <w:t xml:space="preserve"> </w:t>
      </w:r>
      <w:r>
        <w:rPr>
          <w:b/>
          <w:bCs/>
        </w:rPr>
        <w:t xml:space="preserve">peggiorava</w:t>
      </w:r>
      <w:r>
        <w:t xml:space="preserve"> </w:t>
      </w:r>
      <w:r>
        <w:t xml:space="preserve">durante lo studio era significativamente maggiore nel gruppo di controllo. Ai partecipanti attivi era stata consigliata attività moderata o vigorosa per 20-30 minuti, da tre a cinque volte a settimana (Johannesson,</w:t>
      </w:r>
      <w:r>
        <w:t xml:space="preserve"> </w:t>
      </w:r>
      <w:r>
        <w:rPr>
          <w:i/>
          <w:iCs/>
        </w:rPr>
        <w:t xml:space="preserve">Am J Gastroenterol</w:t>
      </w:r>
      <w:r>
        <w:t xml:space="preserve"> </w:t>
      </w:r>
      <w:r>
        <w:t xml:space="preserve">2011 — PMID 21206488).</w:t>
      </w:r>
    </w:p>
    <w:p>
      <w:pPr>
        <w:pStyle w:val="BodyText"/>
      </w:pPr>
      <w:r>
        <w:t xml:space="preserve">La sintesi che contiene quello studio dà un quadro più severo: undici randomizzati e 622 partecipanti, nessuno a basso rischio di distorsione. Sui sintomi globali la differenza media standardizzata è</w:t>
      </w:r>
      <w:r>
        <w:t xml:space="preserve"> </w:t>
      </w:r>
      <w:r>
        <w:rPr>
          <w:b/>
          <w:bCs/>
        </w:rPr>
        <w:t xml:space="preserve">−0,93</w:t>
      </w:r>
      <w:r>
        <w:t xml:space="preserve"> </w:t>
      </w:r>
      <w:r>
        <w:t xml:space="preserve">(IC da −1,44 a −0,42) su 185 partecipanti, ma con</w:t>
      </w:r>
      <w:r>
        <w:t xml:space="preserve"> </w:t>
      </w:r>
      <w:r>
        <w:rPr>
          <w:b/>
          <w:bCs/>
        </w:rPr>
        <w:t xml:space="preserve">certezza delle prove molto bassa</w:t>
      </w:r>
      <w:r>
        <w:t xml:space="preserve">. Sulla qualità di vita non c’è miglioramento. E</w:t>
      </w:r>
      <w:r>
        <w:t xml:space="preserve"> </w:t>
      </w:r>
      <w:r>
        <w:rPr>
          <w:b/>
          <w:bCs/>
        </w:rPr>
        <w:t xml:space="preserve">sul dolore addominale non c’è effetto — 0,01, da −0,48 a 0,50</w:t>
      </w:r>
      <w:r>
        <w:t xml:space="preserve">, su 64 partecipanti (Nunan,</w:t>
      </w:r>
      <w:r>
        <w:t xml:space="preserve"> </w:t>
      </w:r>
      <w:r>
        <w:rPr>
          <w:i/>
          <w:iCs/>
        </w:rPr>
        <w:t xml:space="preserve">Cochrane Database Syst Rev</w:t>
      </w:r>
      <w:r>
        <w:t xml:space="preserve"> </w:t>
      </w:r>
      <w:r>
        <w:t xml:space="preserve">2022 — PMID 35766861).</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w:t>
      </w:r>
      <w:r>
        <w:t xml:space="preserve"> </w:t>
      </w:r>
      <w:r>
        <w:rPr>
          <w:b/>
          <w:bCs/>
        </w:rPr>
        <w:t xml:space="preserve">a certezza delle prove molto bassa</w:t>
      </w:r>
      <w:r>
        <w:t xml:space="preserve"> </w:t>
      </w:r>
      <w:r>
        <w:t xml:space="preserve">e con nessuno studio a basso rischio di distorsione.</w:t>
      </w:r>
    </w:p>
    <w:p>
      <w:pPr>
        <w:pStyle w:val="FirstParagraph"/>
      </w:pPr>
      <w:r>
        <w:rPr>
          <w:b/>
          <w:bCs/>
        </w:rPr>
        <w:t xml:space="preserve">Cosa non fa.</w:t>
      </w:r>
      <w:r>
        <w:t xml:space="preserve"> </w:t>
      </w:r>
      <w:r>
        <w:rPr>
          <w:b/>
          <w:bCs/>
        </w:rPr>
        <w:t xml:space="preserve">Non agisce sul dolore addominale</w:t>
      </w:r>
      <w:r>
        <w:t xml:space="preserve">, che è l’unico esito che questa Bibbia autorizza a dichiarare: presentare il movimento come leva su quel bersaglio è dire il contrario della sintesi migliore. Non è stato misurato sulla diarrea come esito separato. E non basta consigliarlo: nello studio l’aumento è arrivato da istruzioni date da un professionista, non da una raccomandazione generica.</w:t>
      </w:r>
    </w:p>
    <w:p>
      <w:pPr>
        <w:pStyle w:val="BodyText"/>
      </w:pPr>
      <w:r>
        <w:rPr>
          <w:b/>
          <w:bCs/>
        </w:rPr>
        <w:t xml:space="preserve">Se il paziente continua.</w:t>
      </w:r>
      <w:r>
        <w:t xml:space="preserve"> </w:t>
      </w:r>
      <w:r>
        <w:t xml:space="preserve">A 5,2 anni mediani sono stati rivisti 39 dei 76 pazienti originali. Il punteggio di gravità era sceso da 276 a 218, e le ore di attività salite da 3,2 a 5,2 —</w:t>
      </w:r>
      <w:r>
        <w:t xml:space="preserve"> </w:t>
      </w:r>
      <w:r>
        <w:rPr>
          <w:b/>
          <w:bCs/>
        </w:rPr>
        <w:t xml:space="preserve">non controllato, metà coorte non rintracciata</w:t>
      </w:r>
      <w:r>
        <w:t xml:space="preserve"> </w:t>
      </w:r>
      <w:r>
        <w:t xml:space="preserve">(Johannesson 2015 — PMID 25593485). Il guadagno appartiene all’abitudine, non alle otto settimane.</w:t>
      </w:r>
    </w:p>
    <w:bookmarkEnd w:id="70"/>
    <w:bookmarkStart w:id="71" w:name="leducazione-al-meccanismo"/>
    <w:p>
      <w:pPr>
        <w:pStyle w:val="Heading3"/>
      </w:pPr>
      <w:r>
        <w:t xml:space="preserve">4. L’educazione al meccanismo</w:t>
      </w:r>
    </w:p>
    <w:p>
      <w:pPr>
        <w:pStyle w:val="FirstParagraph"/>
      </w:pPr>
      <w:r>
        <w:rPr>
          <w:b/>
          <w:bCs/>
        </w:rPr>
        <w:t xml:space="preserve">Cos’è.</w:t>
      </w:r>
      <w:r>
        <w:t xml:space="preserve"> </w:t>
      </w:r>
      <w:r>
        <w:t xml:space="preserve">Spiegare quello che questa Bibbia contiene, in parole del paziente. Cioè: che il transito nella maggior parte dei casi è normale; che il problema non è un acceleratore premuto ma un freno che non trattiene; che l’asse dello stress ha una via misurata su questo organo; e che l’evitamento riduce la paura oggi e la aumenta domani.</w:t>
      </w:r>
    </w:p>
    <w:p>
      <w:pPr>
        <w:pStyle w:val="BodyText"/>
      </w:pPr>
      <w:r>
        <w:rPr>
          <w:b/>
          <w:bCs/>
        </w:rPr>
        <w:t xml:space="preserve">Su quale meccanismo agisce.</w:t>
      </w:r>
      <w:r>
        <w:t xml:space="preserve"> </w:t>
      </w:r>
      <w:r>
        <w:t xml:space="preserve">Sul quinto e sul sesto direttamente, sul quarto indirettamente.</w:t>
      </w:r>
    </w:p>
    <w:p>
      <w:pPr>
        <w:pStyle w:val="BodyText"/>
      </w:pPr>
      <w:r>
        <w:rPr>
          <w:b/>
          <w:bCs/>
        </w:rPr>
        <w:t xml:space="preserve">Cosa hanno misurato gli studi.</w:t>
      </w:r>
      <w:r>
        <w:t xml:space="preserve"> </w:t>
      </w:r>
      <w:r>
        <w:t xml:space="preserve">Il dato più diretto è quello sulle componenti del contesto, raccontato per esteso in «Cosa dice la scienza»: 28%, 44%, 62% (Kaptchuk 2008 — PMID 18390493).</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sull’effetto dell’informazione e del contesto in questi pazienti.</w:t>
      </w:r>
      <w:r>
        <w:t xml:space="preserve"> </w:t>
      </w:r>
      <w:r>
        <w:rPr>
          <w:b/>
          <w:bCs/>
        </w:rPr>
        <w:t xml:space="preserve">IPOTESI</w:t>
      </w:r>
      <w:r>
        <w:t xml:space="preserve"> </w:t>
      </w:r>
      <w:r>
        <w:rPr>
          <w:i/>
          <w:iCs/>
        </w:rPr>
        <w:t xml:space="preserve">(meccanismo coerente, nessuno studio)</w:t>
      </w:r>
      <w:r>
        <w:t xml:space="preserve"> </w:t>
      </w:r>
      <w:r>
        <w:t xml:space="preserve">sul fatto che la specifica spiegazione meccanicistica di questa Bibbia produca un effetto: nessuno l’ha misurata.</w:t>
      </w:r>
    </w:p>
    <w:p>
      <w:pPr>
        <w:pStyle w:val="FirstParagraph"/>
      </w:pPr>
      <w:r>
        <w:rPr>
          <w:b/>
          <w:bCs/>
        </w:rPr>
        <w:t xml:space="preserve">Cosa non fa.</w:t>
      </w:r>
      <w:r>
        <w:t xml:space="preserve"> </w:t>
      </w:r>
      <w:r>
        <w:t xml:space="preserve">Non riduce le scariche. E ha un limite da dire: al paziente che ha già sentito «è stress» dieci volte, una spiegazione che somigli a quella chiude la porta. La differenza sta nel nominare un circuito, un recettore e un organo, non uno stato d’animo.</w:t>
      </w:r>
    </w:p>
    <w:p>
      <w:pPr>
        <w:pStyle w:val="BodyText"/>
      </w:pPr>
      <w:r>
        <w:rPr>
          <w:b/>
          <w:bCs/>
        </w:rPr>
        <w:t xml:space="preserve">E una famiglia che non entra.</w:t>
      </w:r>
      <w:r>
        <w:t xml:space="preserve"> </w:t>
      </w:r>
      <w:r>
        <w:t xml:space="preserve">Chiesta l’incontinenza fecale, la tentazione è dare esercizi sfinterici o del pavimento pelvico.</w:t>
      </w:r>
      <w:r>
        <w:t xml:space="preserve"> </w:t>
      </w:r>
      <w:r>
        <w:rPr>
          <w:b/>
          <w:bCs/>
        </w:rPr>
        <w:t xml:space="preserve">Su questo quadro quella famiglia non regge nessuna etichetta:</w:t>
      </w:r>
      <w:r>
        <w:t xml:space="preserve"> </w:t>
      </w:r>
      <w:r>
        <w:t xml:space="preserve">21 studi, 1.525 partecipanti, dati che non permettono una valutazione definitiva (Norton 2012 — PMID 22786479). La domanda serve a</w:t>
      </w:r>
      <w:r>
        <w:t xml:space="preserve"> </w:t>
      </w:r>
      <w:r>
        <w:rPr>
          <w:b/>
          <w:bCs/>
        </w:rPr>
        <w:t xml:space="preserve">instradare</w:t>
      </w:r>
      <w:r>
        <w:t xml:space="preserve">, non ad aprire un lavoro.</w:t>
      </w:r>
    </w:p>
    <w:p>
      <w:pPr>
        <w:pStyle w:val="BodyText"/>
      </w:pPr>
      <w:r>
        <w:rPr>
          <w:i/>
          <w:iCs/>
        </w:rPr>
        <w:t xml:space="preserve">Come e quando consegnarlo al tuo paziente sta nella Procedura.</w:t>
      </w:r>
    </w:p>
    <w:p>
      <w:pPr>
        <w:pStyle w:val="BodyText"/>
      </w:pPr>
      <w:r>
        <w:rPr>
          <w:b/>
          <w:bCs/>
        </w:rPr>
        <w:t xml:space="preserve">Le tre cose da ricordare, più una</w:t>
      </w:r>
    </w:p>
    <w:p>
      <w:pPr>
        <w:pStyle w:val="Compact"/>
        <w:numPr>
          <w:ilvl w:val="0"/>
          <w:numId w:val="1039"/>
        </w:numPr>
      </w:pPr>
      <w:r>
        <w:t xml:space="preserve">Le leve meglio documentate di questo documento non passano dalle tue mani. Una sola — le terapie psicologiche — non è tua da erogare in nessuna forma. Il respiro è tuo da insegnare, e nemmeno quello è tuo da erogare sul lettino.</w:t>
      </w:r>
    </w:p>
    <w:p>
      <w:pPr>
        <w:pStyle w:val="Compact"/>
        <w:numPr>
          <w:ilvl w:val="0"/>
          <w:numId w:val="1039"/>
        </w:numPr>
      </w:pPr>
      <w:r>
        <w:t xml:space="preserve">L’effetto della singola seduta e quello della ripetizione sono cose diverse: il guadagno dell’attività fisica appartiene all’allenamento, non alla tecnica.</w:t>
      </w:r>
    </w:p>
    <w:p>
      <w:pPr>
        <w:pStyle w:val="Compact"/>
        <w:numPr>
          <w:ilvl w:val="0"/>
          <w:numId w:val="1039"/>
        </w:numPr>
      </w:pPr>
      <w:r>
        <w:t xml:space="preserve">La spiegazione funziona solo se nomina un meccanismo, non uno stato d’animo. È tutta lì la differenza dal «è ansia» da cui il paziente scappa.</w:t>
      </w:r>
    </w:p>
    <w:p>
      <w:pPr>
        <w:pStyle w:val="Compact"/>
        <w:numPr>
          <w:ilvl w:val="0"/>
          <w:numId w:val="1039"/>
        </w:numPr>
      </w:pPr>
      <w:r>
        <w:rPr>
          <w:b/>
          <w:bCs/>
        </w:rPr>
        <w:t xml:space="preserve">Perché ci sei tu.</w:t>
      </w:r>
      <w:r>
        <w:t xml:space="preserve"> </w:t>
      </w:r>
      <w:r>
        <w:t xml:space="preserve">Le leve con le prove migliori su questo quadro sono cose che il paziente fa: 41 studi randomizzati e 4.072 partecipanti per i programmi psicologici strutturati, uno studio randomizzato con 102 pazienti per l’attività fisica (Black 2020 — PMID 32276950; Johannesson 2011 — PMID 21206488).</w:t>
      </w:r>
      <w:r>
        <w:t xml:space="preserve"> </w:t>
      </w:r>
      <w:r>
        <w:rPr>
          <w:b/>
          <w:bCs/>
        </w:rPr>
        <w:t xml:space="preserve">Per te:</w:t>
      </w:r>
      <w:r>
        <w:t xml:space="preserve"> </w:t>
      </w:r>
      <w:r>
        <w:t xml:space="preserve">sei nella posizione di insegnarle, di monitorarle e di mandare la persona giusta a chi le eroga per intero. Questo ti autorizza a fare quel lavoro e a considerarlo lavoro clinico. Non ti autorizza a chiamare «terapia cognitivo-comportamentale» quello che fai tu.</w:t>
      </w:r>
    </w:p>
    <w:p>
      <w:r>
        <w:pict>
          <v:rect style="width:0;height:1.5pt" o:hralign="center" o:hrstd="t" o:hr="t"/>
        </w:pict>
      </w:r>
    </w:p>
    <w:bookmarkEnd w:id="71"/>
    <w:bookmarkEnd w:id="72"/>
    <w:bookmarkStart w:id="76"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questo paziente non ha mai ricevuto è che il suo intestino non corre di più — trattiene di meno, e questo cambia cosa ha senso provare.</w:t>
      </w:r>
    </w:p>
    <w:bookmarkStart w:id="73" w:name="lo-script-di-spiegazione"/>
    <w:p>
      <w:pPr>
        <w:pStyle w:val="Heading3"/>
      </w:pPr>
      <w:r>
        <w:t xml:space="preserve">Lo script di spiegazione</w:t>
      </w:r>
    </w:p>
    <w:p>
      <w:pPr>
        <w:pStyle w:val="FirstParagraph"/>
      </w:pPr>
      <w:r>
        <w:rPr>
          <w:i/>
          <w:iCs/>
        </w:rPr>
        <w:t xml:space="preserve">«Il tuo intestino non va più veloce. Succede il contrario: la parte finale smette di trattenere. Il freno motore si stacca in discesa: nessuno accelera. Per questo nessun alimento ti dà una regola: non c’è un colpevole singolo. Contano però grasso e volume insieme. Quel freno non posso rimetterlo, e nessuno l’ha mai misurato prima e dopo un trattamento. Lavoro sul livello di allarme, che tiene bassa la soglia, e sulla componente meccanica. Non è nella tua testa: passa da nervi veri. Il quadro intestinale va inquadrato dal tuo medico. Io intanto non aspetto: misuriamo insieme, prima e dopo.»</w:t>
      </w:r>
    </w:p>
    <w:bookmarkEnd w:id="73"/>
    <w:bookmarkStart w:id="74" w:name="le-obiezioni-e-le-risposte-oneste"/>
    <w:p>
      <w:pPr>
        <w:pStyle w:val="Heading3"/>
      </w:pPr>
      <w:r>
        <w:t xml:space="preserve">Le obiezioni, e le risposte oneste</w:t>
      </w:r>
    </w:p>
    <w:p>
      <w:pPr>
        <w:pStyle w:val="FirstParagraph"/>
      </w:pPr>
      <w:r>
        <w:rPr>
          <w:b/>
          <w:bCs/>
        </w:rPr>
        <w:t xml:space="preserve">«La colonscopia è perfetta: quindi me lo invento?»</w:t>
      </w:r>
      <w:r>
        <w:t xml:space="preserve"> </w:t>
      </w:r>
      <w:r>
        <w:t xml:space="preserve">No, e i due fatti convivono. La colonscopia dice che la struttura è sana, ed è un’ottima notizia. Non dice niente su come quella struttura viene comandata, che è un’altra cosa e si misura in un altro modo. Una domanda però te la faccio: nel referto c’è scritto che sono state fatte le biopsie? Se non c’è, è un’informazione che passo al tuo medico.</w:t>
      </w:r>
    </w:p>
    <w:p>
      <w:pPr>
        <w:pStyle w:val="BodyText"/>
      </w:pPr>
      <w:r>
        <w:rPr>
          <w:b/>
          <w:bCs/>
        </w:rPr>
        <w:t xml:space="preserve">«Mi hanno detto che è ansia.»</w:t>
      </w:r>
      <w:r>
        <w:t xml:space="preserve"> </w:t>
      </w:r>
      <w:r>
        <w:t xml:space="preserve">La tensione c’entra, ma non nel modo in cui te l’hanno detto. Esiste una sostanza dello stress che agisce su un circuito nervoso che scende fino al tuo intestino, e ha recettori anche sulla sua parete. Quando la si somministra in vena, l’intestino si muove di più, e nelle persone con questo problema si muove più che negli altri. Quando si blocca quel recettore, torna indietro. Non è immaginazione: è un circuito, ed è quello su cui si può lavorare.</w:t>
      </w:r>
    </w:p>
    <w:p>
      <w:pPr>
        <w:pStyle w:val="BodyText"/>
      </w:pPr>
      <w:r>
        <w:rPr>
          <w:b/>
          <w:bCs/>
        </w:rPr>
        <w:t xml:space="preserve">«Ho paura dell’urgenza anche durante la seduta.»</w:t>
      </w:r>
      <w:r>
        <w:t xml:space="preserve"> </w:t>
      </w:r>
      <w:r>
        <w:t xml:space="preserve">Ne parliamo prima. Il bagno è lì, ti dico dov’è adesso, e ti fermi quando vuoi senza chiedere il permesso. Qui è un argomento normale, non un imbarazzo. Se ti succede, non è un problema per me e non lo è per la seduta. E una cosa che nessuno ti ha mai detto:</w:t>
      </w:r>
      <w:r>
        <w:t xml:space="preserve"> </w:t>
      </w:r>
      <w:r>
        <w:rPr>
          <w:b/>
          <w:bCs/>
        </w:rPr>
        <w:t xml:space="preserve">l’urgenza è un’onda, sale e scende</w:t>
      </w:r>
      <w:r>
        <w:t xml:space="preserve">, e il muscolo volontario che chiude il canale serve a comprare quei minuti mentre il retto si accomoda.</w:t>
      </w:r>
    </w:p>
    <w:p>
      <w:pPr>
        <w:pStyle w:val="BodyText"/>
      </w:pPr>
      <w:r>
        <w:rPr>
          <w:b/>
          <w:bCs/>
        </w:rPr>
        <w:t xml:space="preserve">«Quando devo preoccuparmi e chiamare qualcuno?»</w:t>
      </w:r>
      <w:r>
        <w:t xml:space="preserve"> </w:t>
      </w:r>
      <w:r>
        <w:t xml:space="preserve">Sangue, febbre, calo di peso, scariche che ti svegliano di notte: quelle interrompono quello che facciamo qui e vanno dal tuo medico. E poi i segni che perdi troppi liquidi — bocca secca, poca o nessuna urina per molte ore, vertigine quando ti alzi, confusione. Lì non si passa da me: si va in pronto soccorso.</w:t>
      </w:r>
    </w:p>
    <w:p>
      <w:pPr>
        <w:pStyle w:val="BodyText"/>
      </w:pPr>
      <w:r>
        <w:rPr>
          <w:b/>
          <w:bCs/>
        </w:rPr>
        <w:t xml:space="preserve">«Ho già tolto tutti i cibi sospetti.»</w:t>
      </w:r>
      <w:r>
        <w:t xml:space="preserve"> </w:t>
      </w:r>
      <w:r>
        <w:t xml:space="preserve">E va e viene lo stesso. Che è esattamente quello che ci si aspetta se il problema non è cosa entra, ma come viene gestito. Quello che voglio sapere non è la lista di cosa hai tolto: è a che ora della giornata succede, e cosa stava succedendo nella tua vita nelle settimane peggiori.</w:t>
      </w:r>
    </w:p>
    <w:bookmarkEnd w:id="74"/>
    <w:bookmarkStart w:id="75" w:name="cosa-non-promettere-mai"/>
    <w:p>
      <w:pPr>
        <w:pStyle w:val="Heading3"/>
      </w:pPr>
      <w:r>
        <w:t xml:space="preserve">Cosa non promettere mai</w:t>
      </w:r>
    </w:p>
    <w:p>
      <w:pPr>
        <w:pStyle w:val="FirstParagraph"/>
      </w:pPr>
      <w:r>
        <w:t xml:space="preserve">Non promettere che le scariche diminuiranno: è l’esito che la sola meta-analisi esistente ha cercato e non ha trovato. Non promettere una tempistica. Non dire «gli studi lo confermano», perché su questo esito gli studi dicono di no e lui può leggerli in dieci minuti.</w:t>
      </w:r>
    </w:p>
    <w:p>
      <w:pPr>
        <w:pStyle w:val="BodyText"/>
      </w:pPr>
      <w:r>
        <w:rPr>
          <w:b/>
          <w:bCs/>
        </w:rPr>
        <w:t xml:space="preserve">Sii cauto nelle promesse verbali, e iper-competente nell’approccio manuale.</w:t>
      </w:r>
    </w:p>
    <w:p>
      <w:pPr>
        <w:pStyle w:val="BodyText"/>
      </w:pPr>
      <w:r>
        <w:rPr>
          <w:b/>
          <w:bCs/>
        </w:rPr>
        <w:t xml:space="preserve">Le tre cose da ricordare, più una</w:t>
      </w:r>
    </w:p>
    <w:p>
      <w:pPr>
        <w:pStyle w:val="Compact"/>
        <w:numPr>
          <w:ilvl w:val="0"/>
          <w:numId w:val="1040"/>
        </w:numPr>
      </w:pPr>
      <w:r>
        <w:t xml:space="preserve">«Non corre di più, trattiene di meno» è la frase che cambia questo colloquio. Usala per prima.</w:t>
      </w:r>
    </w:p>
    <w:p>
      <w:pPr>
        <w:pStyle w:val="Compact"/>
        <w:numPr>
          <w:ilvl w:val="0"/>
          <w:numId w:val="1040"/>
        </w:numPr>
      </w:pPr>
      <w:r>
        <w:t xml:space="preserve">Nomina il bagno prima che lo faccia lui: toglie al paziente la parte più imbarazzante della conversazione, e gliela toglie tu.</w:t>
      </w:r>
    </w:p>
    <w:p>
      <w:pPr>
        <w:pStyle w:val="Compact"/>
        <w:numPr>
          <w:ilvl w:val="0"/>
          <w:numId w:val="1040"/>
        </w:numPr>
      </w:pPr>
      <w:r>
        <w:t xml:space="preserve">Rispondere a «è ansia» con un ormone, un recettore e un organo è diverso dal rispondere con una rassicurazione.</w:t>
      </w:r>
    </w:p>
    <w:p>
      <w:pPr>
        <w:pStyle w:val="Compact"/>
        <w:numPr>
          <w:ilvl w:val="0"/>
          <w:numId w:val="1040"/>
        </w:numPr>
      </w:pPr>
      <w:r>
        <w:rPr>
          <w:b/>
          <w:bCs/>
        </w:rPr>
        <w:t xml:space="preserve">Perché ci sei tu.</w:t>
      </w:r>
      <w:r>
        <w:t xml:space="preserve"> </w:t>
      </w:r>
      <w:r>
        <w:t xml:space="preserve">Dopo una gastroenterite infettiva la sindrome dell’intestino irritabile compare nel 10,1% a dodici mesi, con rischio 4,2 volte maggiore rispetto a chi non l’ha avuta. Dopo un’infezione da protozoi o parassiti la quota è del 41,9% (Klem 2017 — PMID 28069350).</w:t>
      </w:r>
      <w:r>
        <w:t xml:space="preserve"> </w:t>
      </w:r>
      <w:r>
        <w:rPr>
          <w:b/>
          <w:bCs/>
        </w:rPr>
        <w:t xml:space="preserve">Per te:</w:t>
      </w:r>
      <w:r>
        <w:t xml:space="preserve"> </w:t>
      </w:r>
      <w:r>
        <w:t xml:space="preserve">al paziente che sa la data d’inizio puoi dare una storia vera del proprio corpo, invece della sensazione di essersela inventata. Questo ti autorizza a dire che l’inizio è reale e documentato. Non ti autorizza a promettere che si torna al punto di prima.</w:t>
      </w:r>
    </w:p>
    <w:p>
      <w:r>
        <w:pict>
          <v:rect style="width:0;height:1.5pt" o:hralign="center" o:hrstd="t" o:hr="t"/>
        </w:pict>
      </w:r>
    </w:p>
    <w:bookmarkEnd w:id="75"/>
    <w:bookmarkEnd w:id="76"/>
    <w:bookmarkStart w:id="77" w:name="capitolo-14-cosa-fare-adesso"/>
    <w:p>
      <w:pPr>
        <w:pStyle w:val="Heading2"/>
      </w:pPr>
      <w:r>
        <w:t xml:space="preserve">Capitolo 14 — Cosa fare adesso</w:t>
      </w:r>
    </w:p>
    <w:p>
      <w:pPr>
        <w:pStyle w:val="BlockText"/>
      </w:pPr>
      <w:r>
        <w:rPr>
          <w:b/>
          <w:bCs/>
        </w:rPr>
        <w:t xml:space="preserve">In una riga:</w:t>
      </w:r>
      <w:r>
        <w:t xml:space="preserve"> </w:t>
      </w:r>
      <w:r>
        <w:t xml:space="preserve">tre cose cambiano da lunedì, e la prima è una domanda che fai prima di toccare qualsiasi cosa.</w:t>
      </w:r>
    </w:p>
    <w:p>
      <w:pPr>
        <w:pStyle w:val="FirstParagraph"/>
      </w:pPr>
      <w:r>
        <w:t xml:space="preserve">Ti arriva una persona che ha organizzato la vita attorno ai bagni e ha tutti gli esami negativi. In due casi su tre il transito è normale: il tubo funziona, e a non funzionare è il comando. Cioè la soglia a cui il retto chiede, il freno che dopo il pasto smette di trattenere, l’asse dello stress che su questo organo ha una via motoria misurata.</w:t>
      </w:r>
    </w:p>
    <w:p>
      <w:pPr>
        <w:pStyle w:val="BodyText"/>
      </w:pPr>
      <w:r>
        <w:t xml:space="preserve">Ma prima di tutto questo ci sono le uscite. Un paziente su quattro ha un problema di acidi biliari, che ha un test e una terapia. Chi prende un farmaco o un dolcificante che causa scariche esce con una domanda sola. E chiunque abbia una bandiera rossa non deve salire sul lettino.</w:t>
      </w:r>
    </w:p>
    <w:p>
      <w:pPr>
        <w:pStyle w:val="BodyText"/>
      </w:pPr>
      <w:r>
        <w:t xml:space="preserve">Quello che resta è tuo, e ha una leva sola: il livello di attivazione,</w:t>
      </w:r>
      <w:r>
        <w:t xml:space="preserve"> </w:t>
      </w:r>
      <w:r>
        <w:rPr>
          <w:b/>
          <w:bCs/>
        </w:rPr>
        <w:t xml:space="preserve">IPOTESI sul gesto</w:t>
      </w:r>
      <w:r>
        <w:t xml:space="preserve">, mentre il DIMOSTRATO del respiro appartiene alla pratica del paziente e non alle tue mani. E ha una verifica sola: un marker fuori distretto scelto prima, con la soglia scritta prima, che ti dice se l’effetto si è generalizzato.</w:t>
      </w:r>
    </w:p>
    <w:p>
      <w:pPr>
        <w:pStyle w:val="BodyText"/>
      </w:pPr>
      <w:r>
        <w:rPr>
          <w:b/>
          <w:bCs/>
        </w:rPr>
        <w:t xml:space="preserve">Le tre cose che cambi da lunedì.</w:t>
      </w:r>
    </w:p>
    <w:p>
      <w:pPr>
        <w:pStyle w:val="Compact"/>
        <w:numPr>
          <w:ilvl w:val="0"/>
          <w:numId w:val="1041"/>
        </w:numPr>
      </w:pPr>
      <w:r>
        <w:rPr>
          <w:b/>
          <w:bCs/>
        </w:rPr>
        <w:t xml:space="preserve">Chiedi la lista di tutto quello che prende, e guarda il referto della colonscopia cercando la parola «biopsie».</w:t>
      </w:r>
      <w:r>
        <w:t xml:space="preserve"> </w:t>
      </w:r>
      <w:r>
        <w:t xml:space="preserve">Prima di aprire un ciclo, prima di palpare. Sono le due domande che nessuno fa e che costano due minuti, e sono le prime due righe della tua comunicazione al curante. È il controllo dell’olio prima di partire.</w:t>
      </w:r>
    </w:p>
    <w:p>
      <w:pPr>
        <w:pStyle w:val="Compact"/>
        <w:numPr>
          <w:ilvl w:val="0"/>
          <w:numId w:val="1041"/>
        </w:numPr>
      </w:pPr>
      <w:r>
        <w:rPr>
          <w:b/>
          <w:bCs/>
        </w:rPr>
        <w:t xml:space="preserve">Dì al paziente che il suo intestino non corre di più, ma trattiene di meno.</w:t>
      </w:r>
      <w:r>
        <w:t xml:space="preserve"> </w:t>
      </w:r>
      <w:r>
        <w:t xml:space="preserve">È vero, è misurato, e smonta la premessa di tutte le diete che ha già fatto.</w:t>
      </w:r>
    </w:p>
    <w:p>
      <w:pPr>
        <w:pStyle w:val="Compact"/>
        <w:numPr>
          <w:ilvl w:val="0"/>
          <w:numId w:val="1041"/>
        </w:numPr>
      </w:pPr>
      <w:r>
        <w:rPr>
          <w:b/>
          <w:bCs/>
        </w:rPr>
        <w:t xml:space="preserve">Smetti di promettere le scariche.</w:t>
      </w:r>
      <w:r>
        <w:t xml:space="preserve"> </w:t>
      </w:r>
      <w:r>
        <w:t xml:space="preserve">Il bersaglio che le prove ti danno è il dolore addominale, e il resto lo misuri. Chi promette l’esito che la letteratura non ha trovato perde il paziente alla quarta seduta, e ha ragione lui.</w:t>
      </w:r>
    </w:p>
    <w:p>
      <w:pPr>
        <w:pStyle w:val="FirstParagraph"/>
      </w:pPr>
      <w:r>
        <w:rPr>
          <w:i/>
          <w:iCs/>
        </w:rPr>
        <w:t xml:space="preserve">Su questa condizione non sei quello che risolve. Sei quello che, per la prima volta in anni, guarda il referto invece del racconto, dà a una persona un meccanismo al posto di un’etichetta, e misura invece di sperare. È un mestiere più piccolo di quello che ci racconteremmo volentieri, ed è l’unico che regge quando qualcuno chiede conto.</w:t>
      </w:r>
    </w:p>
    <w:p>
      <w:pPr>
        <w:pStyle w:val="BodyText"/>
      </w:pPr>
      <w:r>
        <w:rPr>
          <w:b/>
          <w:bCs/>
        </w:rPr>
        <w:t xml:space="preserve">Le tre cose da ricordare, più una</w:t>
      </w:r>
    </w:p>
    <w:p>
      <w:pPr>
        <w:pStyle w:val="Compact"/>
        <w:numPr>
          <w:ilvl w:val="0"/>
          <w:numId w:val="1042"/>
        </w:numPr>
      </w:pPr>
      <w:r>
        <w:t xml:space="preserve">Chiedi la lista dei farmaci e cerca «biopsie» nel referto, prima di toccare qualsiasi cosa.</w:t>
      </w:r>
    </w:p>
    <w:p>
      <w:pPr>
        <w:pStyle w:val="Compact"/>
        <w:numPr>
          <w:ilvl w:val="0"/>
          <w:numId w:val="1042"/>
        </w:numPr>
      </w:pPr>
      <w:r>
        <w:t xml:space="preserve">Dì che non corre di più, ma trattiene di meno.</w:t>
      </w:r>
    </w:p>
    <w:p>
      <w:pPr>
        <w:pStyle w:val="Compact"/>
        <w:numPr>
          <w:ilvl w:val="0"/>
          <w:numId w:val="1042"/>
        </w:numPr>
      </w:pPr>
      <w:r>
        <w:t xml:space="preserve">Smetti di promettere le scariche: il bersaglio dichiarabile è il dolore addominale.</w:t>
      </w:r>
    </w:p>
    <w:p>
      <w:pPr>
        <w:pStyle w:val="Compact"/>
        <w:numPr>
          <w:ilvl w:val="0"/>
          <w:numId w:val="1042"/>
        </w:numPr>
      </w:pPr>
      <w:r>
        <w:rPr>
          <w:b/>
          <w:bCs/>
        </w:rPr>
        <w:t xml:space="preserve">Perché ci sei tu.</w:t>
      </w:r>
      <w:r>
        <w:t xml:space="preserve"> </w:t>
      </w:r>
      <w:r>
        <w:t xml:space="preserve">Stimolazione del nervo tibiale contro stimolazione finta per l’incontinenza fecale, in doppio cieco, su 227 pazienti. Ha dimezzato gli episodi il 38% del gruppo vero e il</w:t>
      </w:r>
      <w:r>
        <w:t xml:space="preserve"> </w:t>
      </w:r>
      <w:r>
        <w:rPr>
          <w:b/>
          <w:bCs/>
        </w:rPr>
        <w:t xml:space="preserve">31% del gruppo finto</w:t>
      </w:r>
      <w:r>
        <w:t xml:space="preserve">, senza differenza significativa (Horrocks 2015 — PMID 26422980).</w:t>
      </w:r>
      <w:r>
        <w:t xml:space="preserve"> </w:t>
      </w:r>
      <w:r>
        <w:rPr>
          <w:b/>
          <w:bCs/>
        </w:rPr>
        <w:t xml:space="preserve">Per te:</w:t>
      </w:r>
      <w:r>
        <w:t xml:space="preserve"> </w:t>
      </w:r>
      <w:r>
        <w:t xml:space="preserve">su questo territorio quasi un terzo del risultato arriva dal contesto, dall’attenzione e dal tempo. Sono cose che tu hai, e che nel percorso standard nessuno offre. Questo ti autorizza a considerarle parte del trattamento e a curarle deliberatamente. Non ti autorizza ad attribuire al tuo gesto ciò che il finto gesto ottiene da solo.</w:t>
      </w:r>
    </w:p>
    <w:p>
      <w:r>
        <w:pict>
          <v:rect style="width:0;height:1.5pt" o:hralign="center" o:hrstd="t" o:hr="t"/>
        </w:pict>
      </w:r>
    </w:p>
    <w:bookmarkEnd w:id="77"/>
    <w:bookmarkStart w:id="78" w:name="appendice-a-glossario"/>
    <w:p>
      <w:pPr>
        <w:pStyle w:val="Heading2"/>
      </w:pPr>
      <w:r>
        <w:t xml:space="preserve">Appendice A — Glossario</w:t>
      </w:r>
    </w:p>
    <w:p>
      <w:pPr>
        <w:pStyle w:val="FirstParagraph"/>
      </w:pPr>
      <w:r>
        <w:rPr>
          <w:b/>
          <w:bCs/>
        </w:rPr>
        <w:t xml:space="preserve">Acidi biliari</w:t>
      </w:r>
      <w:r>
        <w:t xml:space="preserve"> </w:t>
      </w:r>
      <w:r>
        <w:t xml:space="preserve">— sostanze prodotte dal fegato per digerire i grassi, normalmente riassorbite nell’ileo terminale; se arrivano nel colon richiamano acqua e accelerano la motilità.</w:t>
      </w:r>
    </w:p>
    <w:p>
      <w:pPr>
        <w:pStyle w:val="BodyText"/>
      </w:pPr>
      <w:r>
        <w:rPr>
          <w:b/>
          <w:bCs/>
        </w:rPr>
        <w:t xml:space="preserve">Algometria</w:t>
      </w:r>
      <w:r>
        <w:t xml:space="preserve"> </w:t>
      </w:r>
      <w:r>
        <w:t xml:space="preserve">— misura della soglia dolorosa alla pressione con uno strumento a punta calibrata.</w:t>
      </w:r>
    </w:p>
    <w:p>
      <w:pPr>
        <w:pStyle w:val="BodyText"/>
      </w:pPr>
      <w:r>
        <w:rPr>
          <w:b/>
          <w:bCs/>
        </w:rPr>
        <w:t xml:space="preserve">Barostato rettale</w:t>
      </w:r>
      <w:r>
        <w:t xml:space="preserve"> </w:t>
      </w:r>
      <w:r>
        <w:t xml:space="preserve">— apparecchio che distende il retto con volumi o pressioni controllate e registra a che punto compare la sensazione.</w:t>
      </w:r>
    </w:p>
    <w:p>
      <w:pPr>
        <w:pStyle w:val="BodyText"/>
      </w:pPr>
      <w:r>
        <w:rPr>
          <w:b/>
          <w:bCs/>
        </w:rPr>
        <w:t xml:space="preserve">C4 sierico</w:t>
      </w:r>
      <w:r>
        <w:t xml:space="preserve"> </w:t>
      </w:r>
      <w:r>
        <w:t xml:space="preserve">— dosaggio del 7-alfa-idrossi-4-colesten-3-one nel sangue a digiuno: alternativa al SeHCAT per valutare il malassorbimento degli acidi biliari.</w:t>
      </w:r>
    </w:p>
    <w:p>
      <w:pPr>
        <w:pStyle w:val="BodyText"/>
      </w:pPr>
      <w:r>
        <w:rPr>
          <w:b/>
          <w:bCs/>
        </w:rPr>
        <w:t xml:space="preserve">Calprotectina fecale</w:t>
      </w:r>
      <w:r>
        <w:t xml:space="preserve"> </w:t>
      </w:r>
      <w:r>
        <w:t xml:space="preserve">— proteina misurabile nelle feci che segnala infiammazione della parete intestinale.</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Centro di Coordinazione / Centro di Percezione (CC / CP)</w:t>
      </w:r>
      <w:r>
        <w:t xml:space="preserve"> </w:t>
      </w:r>
      <w:r>
        <w:t xml:space="preserve">— nel lessico del metodo, il</w:t>
      </w:r>
      <w:r>
        <w:t xml:space="preserve"> </w:t>
      </w:r>
      <w:r>
        <w:rPr>
          <w:i/>
          <w:iCs/>
        </w:rPr>
        <w:t xml:space="preserve">Centro di Percezione</w:t>
      </w:r>
      <w:r>
        <w:t xml:space="preserve"> </w:t>
      </w:r>
      <w:r>
        <w:t xml:space="preserve">è la zona in cui il paziente colloca il sintomo, il</w:t>
      </w:r>
      <w:r>
        <w:t xml:space="preserve"> </w:t>
      </w:r>
      <w:r>
        <w:rPr>
          <w:i/>
          <w:iCs/>
        </w:rPr>
        <w:t xml:space="preserve">Centro di Coordinazione</w:t>
      </w:r>
      <w:r>
        <w:t xml:space="preserve"> </w:t>
      </w:r>
      <w:r>
        <w:t xml:space="preserve">un punto a monte che concorre a governare quella funzione. La regola d’uso è che si indaga e si tratta a monte, non dove il paziente sente.</w:t>
      </w:r>
    </w:p>
    <w:p>
      <w:pPr>
        <w:pStyle w:val="BodyText"/>
      </w:pPr>
      <w:r>
        <w:rPr>
          <w:b/>
          <w:bCs/>
        </w:rPr>
        <w:t xml:space="preserve">Colite microscopica</w:t>
      </w:r>
      <w:r>
        <w:t xml:space="preserve"> </w:t>
      </w:r>
      <w:r>
        <w:t xml:space="preserve">— infiammazione del colon visibile solo al microscopio: la colonscopia appare normale e serve la biopsia.</w:t>
      </w:r>
    </w:p>
    <w:p>
      <w:pPr>
        <w:pStyle w:val="BodyText"/>
      </w:pPr>
      <w:r>
        <w:rPr>
          <w:b/>
          <w:bCs/>
        </w:rPr>
        <w:t xml:space="preserve">Compenso</w:t>
      </w:r>
      <w:r>
        <w:t xml:space="preserve"> </w:t>
      </w:r>
      <w:r>
        <w:t xml:space="preserve">— un adattamento che il corpo mette in atto per continuare a funzionare nonostante un problema. Costa qualcosa e regge finché può. Il sintomo compare spesso dove il compenso ha ceduto, non dove il problema è nato.</w:t>
      </w:r>
    </w:p>
    <w:p>
      <w:pPr>
        <w:pStyle w:val="BodyText"/>
      </w:pPr>
      <w:r>
        <w:rPr>
          <w:b/>
          <w:bCs/>
        </w:rPr>
        <w:t xml:space="preserve">CRH o CRF (ormone di rilascio della corticotropina)</w:t>
      </w:r>
      <w:r>
        <w:t xml:space="preserve"> </w:t>
      </w:r>
      <w:r>
        <w:t xml:space="preserve">— mediatore dello stress con due destini: la via endocrina verso il cortisolo, e una via nervosa centrale che dal ponte scende sul parasimpatico sacrale. Sul colon conta la seconda.</w:t>
      </w:r>
    </w:p>
    <w:p>
      <w:pPr>
        <w:pStyle w:val="BodyText"/>
      </w:pPr>
      <w:r>
        <w:rPr>
          <w:b/>
          <w:bCs/>
        </w:rPr>
        <w:t xml:space="preserve">Crossover</w:t>
      </w:r>
      <w:r>
        <w:t xml:space="preserve"> </w:t>
      </w:r>
      <w:r>
        <w:t xml:space="preserve">— disegno di studio in cui ogni partecipante riceve, in tempi diversi, sia l’intervento sia il confronto.</w:t>
      </w:r>
    </w:p>
    <w:p>
      <w:pPr>
        <w:pStyle w:val="BodyText"/>
      </w:pPr>
      <w:r>
        <w:rPr>
          <w:b/>
          <w:bCs/>
        </w:rPr>
        <w:t xml:space="preserve">Dimensione dell’effetto</w:t>
      </w:r>
      <w:r>
        <w:t xml:space="preserve"> </w:t>
      </w:r>
      <w:r>
        <w:t xml:space="preserve">— numero che dice quanto è grande una differenza, indipendentemente dall’unità di misura usata.</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Flessura splenica</w:t>
      </w:r>
      <w:r>
        <w:t xml:space="preserve"> </w:t>
      </w:r>
      <w:r>
        <w:t xml:space="preserve">— l’angolo del colon sotto la milza; segna il confine fra il territorio vagale e quello sacrale.</w:t>
      </w:r>
    </w:p>
    <w:p>
      <w:pPr>
        <w:pStyle w:val="BodyText"/>
      </w:pPr>
      <w:r>
        <w:rPr>
          <w:b/>
          <w:bCs/>
        </w:rPr>
        <w:t xml:space="preserve">Fuori distretto / fuori modello</w:t>
      </w:r>
      <w:r>
        <w:t xml:space="preserve"> </w:t>
      </w:r>
      <w:r>
        <w:t xml:space="preserve">— un marker è</w:t>
      </w:r>
      <w:r>
        <w:t xml:space="preserve"> </w:t>
      </w:r>
      <w:r>
        <w:rPr>
          <w:i/>
          <w:iCs/>
        </w:rPr>
        <w:t xml:space="preserve">fuori distretto</w:t>
      </w:r>
      <w:r>
        <w:t xml:space="preserve"> </w:t>
      </w:r>
      <w:r>
        <w:t xml:space="preserve">se lo misuri lontano da dove hai lavorato,</w:t>
      </w:r>
      <w:r>
        <w:t xml:space="preserve"> </w:t>
      </w:r>
      <w:r>
        <w:rPr>
          <w:i/>
          <w:iCs/>
        </w:rPr>
        <w:t xml:space="preserve">fuori modello</w:t>
      </w:r>
      <w:r>
        <w:t xml:space="preserve"> </w:t>
      </w:r>
      <w:r>
        <w:t xml:space="preserve">se appartiene a un piano diverso da quello che hai trattato. Non sono la stessa cosa.</w:t>
      </w:r>
    </w:p>
    <w:p>
      <w:pPr>
        <w:pStyle w:val="BodyText"/>
      </w:pPr>
      <w:r>
        <w:rPr>
          <w:b/>
          <w:bCs/>
        </w:rPr>
        <w:t xml:space="preserve">Funnel plot (asimmetria del)</w:t>
      </w:r>
      <w:r>
        <w:t xml:space="preserve"> </w:t>
      </w:r>
      <w:r>
        <w:t xml:space="preserve">— grafico che confronta studi grandi e piccoli; se è asimmetrico è probabile che i risultati negativi non siano stati pubblicati.</w:t>
      </w:r>
    </w:p>
    <w:p>
      <w:pPr>
        <w:pStyle w:val="BodyText"/>
      </w:pPr>
      <w:r>
        <w:rPr>
          <w:b/>
          <w:bCs/>
        </w:rPr>
        <w:t xml:space="preserve">Guadagno (del sistema nervoso)</w:t>
      </w:r>
      <w:r>
        <w:t xml:space="preserve"> </w:t>
      </w:r>
      <w:r>
        <w:t xml:space="preserve">— quanto un segnale viene amplificato lungo la via che lo porta al cervello. A guadagno alto uno stimolo normale produce una sensazione forte.</w:t>
      </w:r>
    </w:p>
    <w:p>
      <w:pPr>
        <w:pStyle w:val="BodyText"/>
      </w:pPr>
      <w:r>
        <w:rPr>
          <w:b/>
          <w:bCs/>
        </w:rPr>
        <w:t xml:space="preserve">FODMAP</w:t>
      </w:r>
      <w:r>
        <w:t xml:space="preserve"> </w:t>
      </w:r>
      <w:r>
        <w:t xml:space="preserve">— gruppo di carboidrati fermentabili a catena corta, oggetto di diete di esclusione.</w:t>
      </w:r>
    </w:p>
    <w:p>
      <w:pPr>
        <w:pStyle w:val="BodyText"/>
      </w:pPr>
      <w:r>
        <w:rPr>
          <w:b/>
          <w:bCs/>
        </w:rPr>
        <w:t xml:space="preserve">IBS-SSS (punteggio di gravità)</w:t>
      </w:r>
      <w:r>
        <w:t xml:space="preserve"> </w:t>
      </w:r>
      <w:r>
        <w:t xml:space="preserve">— scala da 0 a 500 usata negli studi su questa sindrome; il suo lavoro di validazione considera affidabile un miglioramento da 50 punti in su. È il punteggio mosso da Florance 2012 e da Lembo 2021.</w:t>
      </w:r>
    </w:p>
    <w:p>
      <w:pPr>
        <w:pStyle w:val="BodyText"/>
      </w:pPr>
      <w:r>
        <w:rPr>
          <w:b/>
          <w:bCs/>
        </w:rPr>
        <w:t xml:space="preserve">Intervalli di previsione</w:t>
      </w:r>
      <w:r>
        <w:t xml:space="preserve"> </w:t>
      </w:r>
      <w:r>
        <w:t xml:space="preserve">— intervallo che dice entro quali valori è atteso il risultato di uno studio futuro. Più ampio dell’intervallo di confidenza.</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MICI</w:t>
      </w:r>
      <w:r>
        <w:t xml:space="preserve"> </w:t>
      </w:r>
      <w:r>
        <w:t xml:space="preserve">— malattie infiammatorie croniche intestinali: morbo di Crohn e rettocolite ulcerosa.</w:t>
      </w:r>
    </w:p>
    <w:p>
      <w:pPr>
        <w:pStyle w:val="BodyText"/>
      </w:pPr>
      <w:r>
        <w:rPr>
          <w:b/>
          <w:bCs/>
        </w:rPr>
        <w:t xml:space="preserve">Meta-analisi a rete</w:t>
      </w:r>
      <w:r>
        <w:t xml:space="preserve"> </w:t>
      </w:r>
      <w:r>
        <w:t xml:space="preserve">— analisi che confronta fra loro interventi mai messi a confronto diretto, passando per un comparatore comune.</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Nervi splancnici lombari</w:t>
      </w:r>
      <w:r>
        <w:t xml:space="preserve"> </w:t>
      </w:r>
      <w:r>
        <w:t xml:space="preserve">— via simpatica del colon distale, dai gangli lombari al plesso mesenterico inferiore.</w:t>
      </w:r>
    </w:p>
    <w:p>
      <w:pPr>
        <w:pStyle w:val="BodyText"/>
      </w:pPr>
      <w:r>
        <w:rPr>
          <w:b/>
          <w:bCs/>
        </w:rPr>
        <w:t xml:space="preserve">Nociplastico</w:t>
      </w:r>
      <w:r>
        <w:t xml:space="preserve"> </w:t>
      </w:r>
      <w:r>
        <w:t xml:space="preserve">— dolore o sensazione generati da un guadagno alterato del sistema nervoso, senza danno del tessuto (</w:t>
      </w:r>
      <w:r>
        <w:rPr>
          <w:i/>
          <w:iCs/>
        </w:rPr>
        <w:t xml:space="preserve">nocicettivo</w:t>
      </w:r>
      <w:r>
        <w:t xml:space="preserve">) e senza lesione del nervo (</w:t>
      </w:r>
      <w:r>
        <w:rPr>
          <w:i/>
          <w:iCs/>
        </w:rPr>
        <w:t xml:space="preserve">neuropatico</w:t>
      </w:r>
      <w:r>
        <w:t xml:space="preserve">).</w:t>
      </w:r>
    </w:p>
    <w:p>
      <w:pPr>
        <w:pStyle w:val="BodyText"/>
      </w:pPr>
      <w:r>
        <w:rPr>
          <w:b/>
          <w:bCs/>
        </w:rPr>
        <w:t xml:space="preserve">Nucleo di Barrington</w:t>
      </w:r>
      <w:r>
        <w:t xml:space="preserve"> </w:t>
      </w:r>
      <w:r>
        <w:t xml:space="preserve">— nucleo del ponte che riceve da vescica e colon e proietta sul parasimpatico sacrale; è il relè della via dello stress su questo organo.</w:t>
      </w:r>
    </w:p>
    <w:p>
      <w:pPr>
        <w:pStyle w:val="BodyText"/>
      </w:pPr>
      <w:r>
        <w:rPr>
          <w:b/>
          <w:bCs/>
        </w:rPr>
        <w:t xml:space="preserve">Nervi splancnici pelvici (S2-S4)</w:t>
      </w:r>
      <w:r>
        <w:t xml:space="preserve"> </w:t>
      </w:r>
      <w:r>
        <w:t xml:space="preserve">— via parasimpatica del colon distale, del sigma e del retto.</w:t>
      </w:r>
    </w:p>
    <w:p>
      <w:pPr>
        <w:pStyle w:val="BodyText"/>
      </w:pPr>
      <w:r>
        <w:rPr>
          <w:b/>
          <w:bCs/>
        </w:rPr>
        <w:t xml:space="preserve">Pattern ciclico retrogrado</w:t>
      </w:r>
      <w:r>
        <w:t xml:space="preserve"> </w:t>
      </w:r>
      <w:r>
        <w:t xml:space="preserve">— movimento ritmico del colon distale diretto all’indietro, che tiene il contenuto lontano dal retto.</w:t>
      </w:r>
    </w:p>
    <w:p>
      <w:pPr>
        <w:pStyle w:val="BodyText"/>
      </w:pPr>
      <w:r>
        <w:rPr>
          <w:b/>
          <w:bCs/>
        </w:rPr>
        <w:t xml:space="preserve">Polioli</w:t>
      </w:r>
      <w:r>
        <w:t xml:space="preserve"> </w:t>
      </w:r>
      <w:r>
        <w:t xml:space="preserve">— dolcificanti dei prodotti «senza zucchero» (sorbitolo, maltitolo, xilitolo); a dosi ripetute richiamano acqua nel lume e producono scariche.</w:t>
      </w:r>
    </w:p>
    <w:p>
      <w:pPr>
        <w:pStyle w:val="BodyText"/>
      </w:pPr>
      <w:r>
        <w:rPr>
          <w:b/>
          <w:bCs/>
        </w:rPr>
        <w:t xml:space="preserve">Profilo (il)</w:t>
      </w:r>
      <w:r>
        <w:t xml:space="preserve"> </w:t>
      </w:r>
      <w:r>
        <w:t xml:space="preserve">— il profilo professionale dell’osteopata definito dal DPR 131/2021: tecniche manuali, non invasive ed esterne, in riferimento alla diagnosi di competenza medica.</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Regressione verso la media</w:t>
      </w:r>
      <w:r>
        <w:t xml:space="preserve"> </w:t>
      </w:r>
      <w:r>
        <w:t xml:space="preserve">— chi arriva nel suo momento peggiore tende a stare meglio dopo, senza che nessuno abbia fatto niente. È la ragione per cui il marker si sceglie prima.</w:t>
      </w:r>
    </w:p>
    <w:p>
      <w:pPr>
        <w:pStyle w:val="BodyText"/>
      </w:pPr>
      <w:r>
        <w:rPr>
          <w:b/>
          <w:bCs/>
        </w:rPr>
        <w:t xml:space="preserve">Rischio di distorsione (bias)</w:t>
      </w:r>
      <w:r>
        <w:t xml:space="preserve"> </w:t>
      </w:r>
      <w:r>
        <w:t xml:space="preserve">— quanto il disegno di uno studio può aver spinto il risultato in una direzione.</w:t>
      </w:r>
    </w:p>
    <w:p>
      <w:pPr>
        <w:pStyle w:val="BodyText"/>
      </w:pPr>
      <w:r>
        <w:rPr>
          <w:b/>
          <w:bCs/>
        </w:rPr>
        <w:t xml:space="preserve">Rischio relativo</w:t>
      </w:r>
      <w:r>
        <w:t xml:space="preserve"> </w:t>
      </w:r>
      <w:r>
        <w:t xml:space="preserve">— quante volte un esito è più o meno frequente in un gruppo rispetto a un altro. Sotto 1 indica riduzione.</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Riflesso retto-anale inibitorio (campionamento anale)</w:t>
      </w:r>
      <w:r>
        <w:t xml:space="preserve"> </w:t>
      </w:r>
      <w:r>
        <w:t xml:space="preserve">— rilasciamento momentaneo dello sfintere interno che permette al canale anale di distinguere gas, liquido e solido.</w:t>
      </w:r>
    </w:p>
    <w:p>
      <w:pPr>
        <w:pStyle w:val="BodyText"/>
      </w:pPr>
      <w:r>
        <w:rPr>
          <w:b/>
          <w:bCs/>
        </w:rPr>
        <w:t xml:space="preserve">Scala di Bristol</w:t>
      </w:r>
      <w:r>
        <w:t xml:space="preserve"> </w:t>
      </w:r>
      <w:r>
        <w:t xml:space="preserve">— classificazione della forma delle feci da 1 (dure e separate) a 7 (acquose).</w:t>
      </w:r>
    </w:p>
    <w:p>
      <w:pPr>
        <w:pStyle w:val="BodyText"/>
      </w:pPr>
      <w:r>
        <w:rPr>
          <w:b/>
          <w:bCs/>
        </w:rPr>
        <w:t xml:space="preserve">SeHCAT</w:t>
      </w:r>
      <w:r>
        <w:t xml:space="preserve"> </w:t>
      </w:r>
      <w:r>
        <w:t xml:space="preserve">— test con acido tauroselcolico marcato che misura il riassorbimento degli acidi biliari.</w:t>
      </w:r>
    </w:p>
    <w:p>
      <w:pPr>
        <w:pStyle w:val="BodyText"/>
      </w:pPr>
      <w:r>
        <w:rPr>
          <w:b/>
          <w:bCs/>
        </w:rPr>
        <w:t xml:space="preserve">Sequestrante degli acidi biliari</w:t>
      </w:r>
      <w:r>
        <w:t xml:space="preserve"> </w:t>
      </w:r>
      <w:r>
        <w:t xml:space="preserve">— farmaco che lega gli acidi biliari nel lume (colestiramina e simili); la risposta a questo farmaco, non alla loperamide, è quella che discrimina il primo meccanismo.</w:t>
      </w:r>
    </w:p>
    <w:p>
      <w:pPr>
        <w:pStyle w:val="BodyText"/>
      </w:pPr>
      <w:r>
        <w:rPr>
          <w:b/>
          <w:bCs/>
        </w:rPr>
        <w:t xml:space="preserve">SIBO</w:t>
      </w:r>
      <w:r>
        <w:t xml:space="preserve"> </w:t>
      </w:r>
      <w:r>
        <w:t xml:space="preserve">— sovracrescita batterica del piccolo intestino, valutata con breath test.</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rettale</w:t>
      </w:r>
      <w:r>
        <w:t xml:space="preserve"> </w:t>
      </w:r>
      <w:r>
        <w:t xml:space="preserve">— volume o pressione a cui la distensione del retto produce prima sensazione, desiderio di evacuare o dolore.</w:t>
      </w:r>
    </w:p>
    <w:p>
      <w:pPr>
        <w:pStyle w:val="BodyText"/>
      </w:pPr>
      <w:r>
        <w:rPr>
          <w:b/>
          <w:bCs/>
        </w:rPr>
        <w:t xml:space="preserve">Tenesmo</w:t>
      </w:r>
      <w:r>
        <w:t xml:space="preserve"> </w:t>
      </w:r>
      <w:r>
        <w:t xml:space="preserve">— stimolo doloroso e persistente a evacuare che resta anche dopo l’evacuazione. È una bandiera rossa.</w:t>
      </w:r>
    </w:p>
    <w:p>
      <w:pPr>
        <w:pStyle w:val="BodyText"/>
      </w:pPr>
      <w:r>
        <w:rPr>
          <w:b/>
          <w:bCs/>
        </w:rPr>
        <w:t xml:space="preserve">Transito colico</w:t>
      </w:r>
      <w:r>
        <w:t xml:space="preserve"> </w:t>
      </w:r>
      <w:r>
        <w:t xml:space="preserve">— tempo impiegato dal contenuto ad attraversare il colon, misurabile con scintigrafia o marcatori radiopachi.</w:t>
      </w:r>
    </w:p>
    <w:p>
      <w:r>
        <w:pict>
          <v:rect style="width:0;height:1.5pt" o:hralign="center" o:hrstd="t" o:hr="t"/>
        </w:pict>
      </w:r>
    </w:p>
    <w:bookmarkEnd w:id="78"/>
    <w:bookmarkStart w:id="138" w:name="appendice-b-le-fonti"/>
    <w:p>
      <w:pPr>
        <w:pStyle w:val="Heading2"/>
      </w:pPr>
      <w:r>
        <w:t xml:space="preserve">Appendice B — Le fonti</w:t>
      </w:r>
    </w:p>
    <w:p>
      <w:pPr>
        <w:pStyle w:val="FirstParagraph"/>
      </w:pPr>
      <w:r>
        <w:t xml:space="preserve">Nell’ordine in cui compaiono nel testo.</w:t>
      </w:r>
    </w:p>
    <w:p>
      <w:pPr>
        <w:pStyle w:val="Compact"/>
        <w:numPr>
          <w:ilvl w:val="0"/>
          <w:numId w:val="1043"/>
        </w:numPr>
      </w:pPr>
      <w:r>
        <w:t xml:space="preserve">Lembo A, Sultan S, Chang L, Heidelbaugh JJ, Smalley W, Verne GN.</w:t>
      </w:r>
      <w:r>
        <w:t xml:space="preserve"> </w:t>
      </w:r>
      <w:r>
        <w:rPr>
          <w:i/>
          <w:iCs/>
        </w:rPr>
        <w:t xml:space="preserve">AGA Clinical Practice Guideline on the Pharmacological Management of Irritable Bowel Syndrome With Diarrhea.</w:t>
      </w:r>
      <w:r>
        <w:t xml:space="preserve"> </w:t>
      </w:r>
      <w:r>
        <w:t xml:space="preserve">Gastroenterology 2022;163(1):137-151. —</w:t>
      </w:r>
      <w:r>
        <w:t xml:space="preserve"> </w:t>
      </w:r>
      <w:hyperlink r:id="rId79">
        <w:r>
          <w:rPr>
            <w:rStyle w:val="Hyperlink"/>
          </w:rPr>
          <w:t xml:space="preserve">PMID 35738725</w:t>
        </w:r>
      </w:hyperlink>
    </w:p>
    <w:p>
      <w:pPr>
        <w:pStyle w:val="Compact"/>
        <w:numPr>
          <w:ilvl w:val="0"/>
          <w:numId w:val="1043"/>
        </w:numPr>
      </w:pPr>
      <w:r>
        <w:t xml:space="preserve">Slattery SA, Niaz O, Aziz Q, Ford AC, Farmer AD.</w:t>
      </w:r>
      <w:r>
        <w:t xml:space="preserve"> </w:t>
      </w:r>
      <w:r>
        <w:rPr>
          <w:i/>
          <w:iCs/>
        </w:rPr>
        <w:t xml:space="preserve">Systematic review with meta-analysis: the prevalence of bile acid malabsorption in the irritable bowel syndrome with diarrhoea.</w:t>
      </w:r>
      <w:r>
        <w:t xml:space="preserve"> </w:t>
      </w:r>
      <w:r>
        <w:t xml:space="preserve">Aliment Pharmacol Ther 2015;42(1):3-11. —</w:t>
      </w:r>
      <w:r>
        <w:t xml:space="preserve"> </w:t>
      </w:r>
      <w:hyperlink r:id="rId80">
        <w:r>
          <w:rPr>
            <w:rStyle w:val="Hyperlink"/>
          </w:rPr>
          <w:t xml:space="preserve">PMID 25913530</w:t>
        </w:r>
      </w:hyperlink>
    </w:p>
    <w:p>
      <w:pPr>
        <w:pStyle w:val="Compact"/>
        <w:numPr>
          <w:ilvl w:val="0"/>
          <w:numId w:val="1043"/>
        </w:numPr>
      </w:pPr>
      <w:r>
        <w:t xml:space="preserve">Arasaradnam RP, Brown S, Forbes A, et al. </w:t>
      </w:r>
      <w:r>
        <w:rPr>
          <w:i/>
          <w:iCs/>
        </w:rPr>
        <w:t xml:space="preserve">Guidelines for the investigation of chronic diarrhoea in adults: British Society of Gastroenterology, 3rd edition.</w:t>
      </w:r>
      <w:r>
        <w:t xml:space="preserve"> </w:t>
      </w:r>
      <w:r>
        <w:t xml:space="preserve">Gut 2018;67(8):1380-1399. —</w:t>
      </w:r>
      <w:r>
        <w:t xml:space="preserve"> </w:t>
      </w:r>
      <w:hyperlink r:id="rId81">
        <w:r>
          <w:rPr>
            <w:rStyle w:val="Hyperlink"/>
          </w:rPr>
          <w:t xml:space="preserve">PMID 29653941</w:t>
        </w:r>
      </w:hyperlink>
    </w:p>
    <w:p>
      <w:pPr>
        <w:pStyle w:val="Compact"/>
        <w:numPr>
          <w:ilvl w:val="0"/>
          <w:numId w:val="1043"/>
        </w:numPr>
      </w:pPr>
      <w:r>
        <w:t xml:space="preserve">Savarino E, Zingone F, Barberio B, et al. </w:t>
      </w:r>
      <w:r>
        <w:rPr>
          <w:i/>
          <w:iCs/>
        </w:rPr>
        <w:t xml:space="preserve">Functional bowel disorders with diarrhoea: Clinical guidelines of the United European Gastroenterology and European Society for Neurogastroenterology and Motility.</w:t>
      </w:r>
      <w:r>
        <w:t xml:space="preserve"> </w:t>
      </w:r>
      <w:r>
        <w:t xml:space="preserve">United European Gastroenterol J 2022;10(6):556-584. —</w:t>
      </w:r>
      <w:r>
        <w:t xml:space="preserve"> </w:t>
      </w:r>
      <w:hyperlink r:id="rId82">
        <w:r>
          <w:rPr>
            <w:rStyle w:val="Hyperlink"/>
          </w:rPr>
          <w:t xml:space="preserve">PMID 35695704</w:t>
        </w:r>
      </w:hyperlink>
    </w:p>
    <w:p>
      <w:pPr>
        <w:pStyle w:val="Compact"/>
        <w:numPr>
          <w:ilvl w:val="0"/>
          <w:numId w:val="1043"/>
        </w:numPr>
      </w:pPr>
      <w:r>
        <w:t xml:space="preserve">Simrén M, Palsson OS, Heymen S, Bajor A, Törnblom H, Whitehead WE.</w:t>
      </w:r>
      <w:r>
        <w:t xml:space="preserve"> </w:t>
      </w:r>
      <w:r>
        <w:rPr>
          <w:i/>
          <w:iCs/>
        </w:rPr>
        <w:t xml:space="preserve">Fecal incontinence in irritable bowel syndrome: Prevalence and associated factors in Swedish and American patients.</w:t>
      </w:r>
      <w:r>
        <w:t xml:space="preserve"> </w:t>
      </w:r>
      <w:r>
        <w:t xml:space="preserve">Neurogastroenterol Motil 2017;29(2). —</w:t>
      </w:r>
      <w:r>
        <w:t xml:space="preserve"> </w:t>
      </w:r>
      <w:hyperlink r:id="rId83">
        <w:r>
          <w:rPr>
            <w:rStyle w:val="Hyperlink"/>
          </w:rPr>
          <w:t xml:space="preserve">PMID 27581702</w:t>
        </w:r>
      </w:hyperlink>
    </w:p>
    <w:p>
      <w:pPr>
        <w:pStyle w:val="Compact"/>
        <w:numPr>
          <w:ilvl w:val="0"/>
          <w:numId w:val="1043"/>
        </w:numPr>
      </w:pPr>
      <w:r>
        <w:t xml:space="preserve">Sperber AD, Bangdiwala SI, Drossman DA, et al. </w:t>
      </w:r>
      <w:r>
        <w:rPr>
          <w:i/>
          <w:iCs/>
        </w:rPr>
        <w:t xml:space="preserve">Worldwide Prevalence and Burden of Functional Gastrointestinal Disorders, Results of Rome Foundation Global Study.</w:t>
      </w:r>
      <w:r>
        <w:t xml:space="preserve"> </w:t>
      </w:r>
      <w:r>
        <w:t xml:space="preserve">Gastroenterology 2021;160(1):99-114.e3. —</w:t>
      </w:r>
      <w:r>
        <w:t xml:space="preserve"> </w:t>
      </w:r>
      <w:hyperlink r:id="rId84">
        <w:r>
          <w:rPr>
            <w:rStyle w:val="Hyperlink"/>
          </w:rPr>
          <w:t xml:space="preserve">PMID 32294476</w:t>
        </w:r>
      </w:hyperlink>
    </w:p>
    <w:p>
      <w:pPr>
        <w:pStyle w:val="Compact"/>
        <w:numPr>
          <w:ilvl w:val="0"/>
          <w:numId w:val="1043"/>
        </w:numPr>
      </w:pPr>
      <w:r>
        <w:t xml:space="preserve">Manabe N, Wong BS, Camilleri M, Burton D, McKinzie S, Zinsmeister AR.</w:t>
      </w:r>
      <w:r>
        <w:t xml:space="preserve"> </w:t>
      </w:r>
      <w:r>
        <w:rPr>
          <w:i/>
          <w:iCs/>
        </w:rPr>
        <w:t xml:space="preserve">Lower functional gastrointestinal disorders: evidence of abnormal colonic transit in a 287 patient cohort.</w:t>
      </w:r>
      <w:r>
        <w:t xml:space="preserve"> </w:t>
      </w:r>
      <w:r>
        <w:t xml:space="preserve">Neurogastroenterol Motil 2010;22(3):293-e82. —</w:t>
      </w:r>
      <w:r>
        <w:t xml:space="preserve"> </w:t>
      </w:r>
      <w:hyperlink r:id="rId85">
        <w:r>
          <w:rPr>
            <w:rStyle w:val="Hyperlink"/>
          </w:rPr>
          <w:t xml:space="preserve">PMID 20025692</w:t>
        </w:r>
      </w:hyperlink>
    </w:p>
    <w:p>
      <w:pPr>
        <w:pStyle w:val="Compact"/>
        <w:numPr>
          <w:ilvl w:val="0"/>
          <w:numId w:val="1043"/>
        </w:numPr>
      </w:pPr>
      <w:r>
        <w:t xml:space="preserve">Duthie HL, Bennett RC.</w:t>
      </w:r>
      <w:r>
        <w:t xml:space="preserve"> </w:t>
      </w:r>
      <w:r>
        <w:rPr>
          <w:i/>
          <w:iCs/>
        </w:rPr>
        <w:t xml:space="preserve">The relation of sensation in the anal canal to the functional anal sphincter: a possible factor in anal continence.</w:t>
      </w:r>
      <w:r>
        <w:t xml:space="preserve"> </w:t>
      </w:r>
      <w:r>
        <w:t xml:space="preserve">Gut 1963;4(2):179-182. —</w:t>
      </w:r>
      <w:r>
        <w:t xml:space="preserve"> </w:t>
      </w:r>
      <w:hyperlink r:id="rId86">
        <w:r>
          <w:rPr>
            <w:rStyle w:val="Hyperlink"/>
          </w:rPr>
          <w:t xml:space="preserve">PMID 18668760</w:t>
        </w:r>
      </w:hyperlink>
    </w:p>
    <w:p>
      <w:pPr>
        <w:pStyle w:val="Compact"/>
        <w:numPr>
          <w:ilvl w:val="0"/>
          <w:numId w:val="1043"/>
        </w:numPr>
      </w:pPr>
      <w:r>
        <w:t xml:space="preserve">Wiklendt L, Mohd Rosli R, Kumar R, et al. </w:t>
      </w:r>
      <w:r>
        <w:rPr>
          <w:i/>
          <w:iCs/>
        </w:rPr>
        <w:t xml:space="preserve">Inhibited postprandial retrograde cyclic motor pattern in the distal colon of patients with diarrhea-predominant irritable bowel syndrome.</w:t>
      </w:r>
      <w:r>
        <w:t xml:space="preserve"> </w:t>
      </w:r>
      <w:r>
        <w:t xml:space="preserve">Am J Physiol Gastrointest Liver Physiol 2023;325(1):G62-G79. —</w:t>
      </w:r>
      <w:r>
        <w:t xml:space="preserve"> </w:t>
      </w:r>
      <w:hyperlink r:id="rId87">
        <w:r>
          <w:rPr>
            <w:rStyle w:val="Hyperlink"/>
          </w:rPr>
          <w:t xml:space="preserve">PMID 37162180</w:t>
        </w:r>
      </w:hyperlink>
    </w:p>
    <w:p>
      <w:pPr>
        <w:pStyle w:val="Compact"/>
        <w:numPr>
          <w:ilvl w:val="0"/>
          <w:numId w:val="1043"/>
        </w:numPr>
      </w:pPr>
      <w:r>
        <w:t xml:space="preserve">Wedlake L, A’Hern R, Russell D, Thomas K, Walters JR, Andreyev HJ.</w:t>
      </w:r>
      <w:r>
        <w:t xml:space="preserve"> </w:t>
      </w:r>
      <w:r>
        <w:rPr>
          <w:i/>
          <w:iCs/>
        </w:rPr>
        <w:t xml:space="preserve">Systematic review: the prevalence of idiopathic bile acid malabsorption as diagnosed by SeHCAT scanning in patients with diarrhoea-predominant irritable bowel syndrome.</w:t>
      </w:r>
      <w:r>
        <w:t xml:space="preserve"> </w:t>
      </w:r>
      <w:r>
        <w:t xml:space="preserve">Aliment Pharmacol Ther 2009;30(7):707-717. —</w:t>
      </w:r>
      <w:r>
        <w:t xml:space="preserve"> </w:t>
      </w:r>
      <w:hyperlink r:id="rId88">
        <w:r>
          <w:rPr>
            <w:rStyle w:val="Hyperlink"/>
          </w:rPr>
          <w:t xml:space="preserve">PMID 19570102</w:t>
        </w:r>
      </w:hyperlink>
    </w:p>
    <w:p>
      <w:pPr>
        <w:pStyle w:val="Compact"/>
        <w:numPr>
          <w:ilvl w:val="0"/>
          <w:numId w:val="1043"/>
        </w:numPr>
      </w:pPr>
      <w:r>
        <w:t xml:space="preserve">Smalley W, Falck-Ytter C, Carrasco-Labra A, Wani S, Lytvyn L, Falck-Ytter Y.</w:t>
      </w:r>
      <w:r>
        <w:t xml:space="preserve"> </w:t>
      </w:r>
      <w:r>
        <w:rPr>
          <w:i/>
          <w:iCs/>
        </w:rPr>
        <w:t xml:space="preserve">AGA Clinical Practice Guidelines on the Laboratory Evaluation of Functional Diarrhea and Diarrhea-Predominant Irritable Bowel Syndrome in Adults (IBS-D).</w:t>
      </w:r>
      <w:r>
        <w:t xml:space="preserve"> </w:t>
      </w:r>
      <w:r>
        <w:t xml:space="preserve">Gastroenterology 2019;157(3):851-854. —</w:t>
      </w:r>
      <w:r>
        <w:t xml:space="preserve"> </w:t>
      </w:r>
      <w:hyperlink r:id="rId89">
        <w:r>
          <w:rPr>
            <w:rStyle w:val="Hyperlink"/>
          </w:rPr>
          <w:t xml:space="preserve">PMID 31302098</w:t>
        </w:r>
      </w:hyperlink>
    </w:p>
    <w:p>
      <w:pPr>
        <w:pStyle w:val="Compact"/>
        <w:numPr>
          <w:ilvl w:val="0"/>
          <w:numId w:val="1043"/>
        </w:numPr>
      </w:pPr>
      <w:r>
        <w:t xml:space="preserve">Klem F, Wadhwa A, Prokop LJ, et al. </w:t>
      </w:r>
      <w:r>
        <w:rPr>
          <w:i/>
          <w:iCs/>
        </w:rPr>
        <w:t xml:space="preserve">Prevalence, Risk Factors, and Outcomes of Irritable Bowel Syndrome After Infectious Enteritis: A Systematic Review and Meta-analysis.</w:t>
      </w:r>
      <w:r>
        <w:t xml:space="preserve"> </w:t>
      </w:r>
      <w:r>
        <w:t xml:space="preserve">Gastroenterology 2017;152(5):1042-1054.e1. —</w:t>
      </w:r>
      <w:r>
        <w:t xml:space="preserve"> </w:t>
      </w:r>
      <w:hyperlink r:id="rId90">
        <w:r>
          <w:rPr>
            <w:rStyle w:val="Hyperlink"/>
          </w:rPr>
          <w:t xml:space="preserve">PMID 28069350</w:t>
        </w:r>
      </w:hyperlink>
    </w:p>
    <w:p>
      <w:pPr>
        <w:pStyle w:val="Compact"/>
        <w:numPr>
          <w:ilvl w:val="0"/>
          <w:numId w:val="1043"/>
        </w:numPr>
      </w:pPr>
      <w:r>
        <w:t xml:space="preserve">Fukudo S, Nomura T, Hongo M.</w:t>
      </w:r>
      <w:r>
        <w:t xml:space="preserve"> </w:t>
      </w:r>
      <w:r>
        <w:rPr>
          <w:i/>
          <w:iCs/>
        </w:rPr>
        <w:t xml:space="preserve">Impact of corticotropin-releasing hormone on gastrointestinal motility and adrenocorticotropic hormone in normal controls and patients with irritable bowel syndrome.</w:t>
      </w:r>
      <w:r>
        <w:t xml:space="preserve"> </w:t>
      </w:r>
      <w:r>
        <w:t xml:space="preserve">Gut 1998;42(6):845-849. —</w:t>
      </w:r>
      <w:r>
        <w:t xml:space="preserve"> </w:t>
      </w:r>
      <w:hyperlink r:id="rId91">
        <w:r>
          <w:rPr>
            <w:rStyle w:val="Hyperlink"/>
          </w:rPr>
          <w:t xml:space="preserve">PMID 9691924</w:t>
        </w:r>
      </w:hyperlink>
    </w:p>
    <w:p>
      <w:pPr>
        <w:pStyle w:val="Compact"/>
        <w:numPr>
          <w:ilvl w:val="0"/>
          <w:numId w:val="1043"/>
        </w:numPr>
      </w:pPr>
      <w:r>
        <w:t xml:space="preserve">Sagami Y, Shimada Y, Tayama J, et al. </w:t>
      </w:r>
      <w:r>
        <w:rPr>
          <w:i/>
          <w:iCs/>
        </w:rPr>
        <w:t xml:space="preserve">Effect of a corticotropin releasing hormone receptor antagonist on colonic sensory and motor function in patients with irritable bowel syndrome.</w:t>
      </w:r>
      <w:r>
        <w:t xml:space="preserve"> </w:t>
      </w:r>
      <w:r>
        <w:t xml:space="preserve">Gut 2004;53(7):958-964. —</w:t>
      </w:r>
      <w:r>
        <w:t xml:space="preserve"> </w:t>
      </w:r>
      <w:hyperlink r:id="rId92">
        <w:r>
          <w:rPr>
            <w:rStyle w:val="Hyperlink"/>
          </w:rPr>
          <w:t xml:space="preserve">PMID 15194643</w:t>
        </w:r>
      </w:hyperlink>
    </w:p>
    <w:p>
      <w:pPr>
        <w:pStyle w:val="Compact"/>
        <w:numPr>
          <w:ilvl w:val="0"/>
          <w:numId w:val="1043"/>
        </w:numPr>
      </w:pPr>
      <w:r>
        <w:t xml:space="preserve">Black CJ, Thakur ER, Houghton LA, Quigley EMM, Moayyedi P, Ford AC.</w:t>
      </w:r>
      <w:r>
        <w:t xml:space="preserve"> </w:t>
      </w:r>
      <w:r>
        <w:rPr>
          <w:i/>
          <w:iCs/>
        </w:rPr>
        <w:t xml:space="preserve">Efficacy of psychological therapies for irritable bowel syndrome: systematic review and network meta-analysis.</w:t>
      </w:r>
      <w:r>
        <w:t xml:space="preserve"> </w:t>
      </w:r>
      <w:r>
        <w:t xml:space="preserve">Gut 2020;69(8):1441-1451. —</w:t>
      </w:r>
      <w:r>
        <w:t xml:space="preserve"> </w:t>
      </w:r>
      <w:hyperlink r:id="rId93">
        <w:r>
          <w:rPr>
            <w:rStyle w:val="Hyperlink"/>
          </w:rPr>
          <w:t xml:space="preserve">PMID 32276950</w:t>
        </w:r>
      </w:hyperlink>
    </w:p>
    <w:p>
      <w:pPr>
        <w:pStyle w:val="Compact"/>
        <w:numPr>
          <w:ilvl w:val="0"/>
          <w:numId w:val="1043"/>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2022;138:104711. —</w:t>
      </w:r>
      <w:r>
        <w:t xml:space="preserve"> </w:t>
      </w:r>
      <w:hyperlink r:id="rId94">
        <w:r>
          <w:rPr>
            <w:rStyle w:val="Hyperlink"/>
          </w:rPr>
          <w:t xml:space="preserve">PMID 35623448</w:t>
        </w:r>
      </w:hyperlink>
    </w:p>
    <w:p>
      <w:pPr>
        <w:pStyle w:val="Compact"/>
        <w:numPr>
          <w:ilvl w:val="0"/>
          <w:numId w:val="1043"/>
        </w:numPr>
      </w:pPr>
      <w:r>
        <w:t xml:space="preserve">Black CJ, Staudacher HM, Ford AC.</w:t>
      </w:r>
      <w:r>
        <w:t xml:space="preserve"> </w:t>
      </w:r>
      <w:r>
        <w:rPr>
          <w:i/>
          <w:iCs/>
        </w:rPr>
        <w:t xml:space="preserve">Efficacy of a low FODMAP diet in irritable bowel syndrome: systematic review and network meta-analysis.</w:t>
      </w:r>
      <w:r>
        <w:t xml:space="preserve"> </w:t>
      </w:r>
      <w:r>
        <w:t xml:space="preserve">Gut 2022;71(6):1117-1126. —</w:t>
      </w:r>
      <w:r>
        <w:t xml:space="preserve"> </w:t>
      </w:r>
      <w:hyperlink r:id="rId95">
        <w:r>
          <w:rPr>
            <w:rStyle w:val="Hyperlink"/>
          </w:rPr>
          <w:t xml:space="preserve">PMID 34376515</w:t>
        </w:r>
      </w:hyperlink>
    </w:p>
    <w:p>
      <w:pPr>
        <w:pStyle w:val="Compact"/>
        <w:numPr>
          <w:ilvl w:val="0"/>
          <w:numId w:val="1043"/>
        </w:numPr>
      </w:pPr>
      <w:r>
        <w:t xml:space="preserve">Kaptchuk TJ, Kelley JM, Conboy LA, et al. </w:t>
      </w:r>
      <w:r>
        <w:rPr>
          <w:i/>
          <w:iCs/>
        </w:rPr>
        <w:t xml:space="preserve">Components of placebo effect: randomised controlled trial in patients with irritable bowel syndrome.</w:t>
      </w:r>
      <w:r>
        <w:t xml:space="preserve"> </w:t>
      </w:r>
      <w:r>
        <w:t xml:space="preserve">BMJ 2008;336(7651):999-1003. —</w:t>
      </w:r>
      <w:r>
        <w:t xml:space="preserve"> </w:t>
      </w:r>
      <w:hyperlink r:id="rId96">
        <w:r>
          <w:rPr>
            <w:rStyle w:val="Hyperlink"/>
          </w:rPr>
          <w:t xml:space="preserve">PMID 18390493</w:t>
        </w:r>
      </w:hyperlink>
    </w:p>
    <w:p>
      <w:pPr>
        <w:pStyle w:val="Compact"/>
        <w:numPr>
          <w:ilvl w:val="0"/>
          <w:numId w:val="1043"/>
        </w:numPr>
      </w:pPr>
      <w:r>
        <w:t xml:space="preserve">Walton DM, Macdermid JC, Nielson W, Teasell RW, Chiasson M, Brown L.</w:t>
      </w:r>
      <w:r>
        <w:t xml:space="preserve"> </w:t>
      </w:r>
      <w:r>
        <w:rPr>
          <w:i/>
          <w:iCs/>
        </w:rPr>
        <w:t xml:space="preserve">Reliability, standard error, and minimum detectable change of clinical pressure pain threshold testing in people with and without acute neck pain.</w:t>
      </w:r>
      <w:r>
        <w:t xml:space="preserve"> </w:t>
      </w:r>
      <w:r>
        <w:t xml:space="preserve">J Orthop Sports Phys Ther 2011;41(9):644-650. —</w:t>
      </w:r>
      <w:r>
        <w:t xml:space="preserve"> </w:t>
      </w:r>
      <w:hyperlink r:id="rId97">
        <w:r>
          <w:rPr>
            <w:rStyle w:val="Hyperlink"/>
          </w:rPr>
          <w:t xml:space="preserve">PMID 21885906</w:t>
        </w:r>
      </w:hyperlink>
    </w:p>
    <w:p>
      <w:pPr>
        <w:pStyle w:val="Compact"/>
        <w:numPr>
          <w:ilvl w:val="0"/>
          <w:numId w:val="1043"/>
        </w:numPr>
      </w:pPr>
      <w:r>
        <w:t xml:space="preserve">Guillaud A, Darbois N, Monvoisin R, Pinsault N.</w:t>
      </w:r>
      <w:r>
        <w:t xml:space="preserve"> </w:t>
      </w:r>
      <w:r>
        <w:rPr>
          <w:i/>
          <w:iCs/>
        </w:rPr>
        <w:t xml:space="preserve">Reliability of diagnosis and clinical efficacy of visceral osteopathy: a systematic review.</w:t>
      </w:r>
      <w:r>
        <w:t xml:space="preserve"> </w:t>
      </w:r>
      <w:r>
        <w:t xml:space="preserve">BMC Complement Altern Med 2018;18(1):65. —</w:t>
      </w:r>
      <w:r>
        <w:t xml:space="preserve"> </w:t>
      </w:r>
      <w:hyperlink r:id="rId98">
        <w:r>
          <w:rPr>
            <w:rStyle w:val="Hyperlink"/>
          </w:rPr>
          <w:t xml:space="preserve">PMID 29452579</w:t>
        </w:r>
      </w:hyperlink>
    </w:p>
    <w:p>
      <w:pPr>
        <w:pStyle w:val="Compact"/>
        <w:numPr>
          <w:ilvl w:val="0"/>
          <w:numId w:val="1043"/>
        </w:numPr>
      </w:pPr>
      <w:r>
        <w:t xml:space="preserve">Buffone F, Tarantino AG, Belloni F, et al. </w:t>
      </w:r>
      <w:r>
        <w:rPr>
          <w:i/>
          <w:iCs/>
        </w:rPr>
        <w:t xml:space="preserve">Effectiveness of Osteopathic Manipulative Treatment in Adults with Irritable Bowel Syndrome: A Systematic Review and Meta-Analysis.</w:t>
      </w:r>
      <w:r>
        <w:t xml:space="preserve"> </w:t>
      </w:r>
      <w:r>
        <w:t xml:space="preserve">Healthcare (Basel) 2023;11(17):2442. —</w:t>
      </w:r>
      <w:r>
        <w:t xml:space="preserve"> </w:t>
      </w:r>
      <w:hyperlink r:id="rId99">
        <w:r>
          <w:rPr>
            <w:rStyle w:val="Hyperlink"/>
          </w:rPr>
          <w:t xml:space="preserve">PMID 37685480</w:t>
        </w:r>
      </w:hyperlink>
    </w:p>
    <w:p>
      <w:pPr>
        <w:pStyle w:val="Compact"/>
        <w:numPr>
          <w:ilvl w:val="0"/>
          <w:numId w:val="1043"/>
        </w:numPr>
      </w:pPr>
      <w:r>
        <w:t xml:space="preserve">Attali TV, Bouchoucha M, Benamouzig R.</w:t>
      </w:r>
      <w:r>
        <w:t xml:space="preserve"> </w:t>
      </w:r>
      <w:r>
        <w:rPr>
          <w:i/>
          <w:iCs/>
        </w:rPr>
        <w:t xml:space="preserve">Treatment of refractory irritable bowel syndrome with visceral osteopathy: short-term and long-term results of a randomized trial.</w:t>
      </w:r>
      <w:r>
        <w:t xml:space="preserve"> </w:t>
      </w:r>
      <w:r>
        <w:t xml:space="preserve">J Dig Dis 2013;14(12):654-661. —</w:t>
      </w:r>
      <w:r>
        <w:t xml:space="preserve"> </w:t>
      </w:r>
      <w:hyperlink r:id="rId100">
        <w:r>
          <w:rPr>
            <w:rStyle w:val="Hyperlink"/>
          </w:rPr>
          <w:t xml:space="preserve">PMID 23981319</w:t>
        </w:r>
      </w:hyperlink>
    </w:p>
    <w:p>
      <w:pPr>
        <w:pStyle w:val="Compact"/>
        <w:numPr>
          <w:ilvl w:val="0"/>
          <w:numId w:val="1043"/>
        </w:numPr>
      </w:pPr>
      <w:r>
        <w:t xml:space="preserve">Florance BM, Frin G, Dainese R, et al. </w:t>
      </w:r>
      <w:r>
        <w:rPr>
          <w:i/>
          <w:iCs/>
        </w:rPr>
        <w:t xml:space="preserve">Osteopathy improves the severity of irritable bowel syndrome: a pilot randomized sham-controlled study.</w:t>
      </w:r>
      <w:r>
        <w:t xml:space="preserve"> </w:t>
      </w:r>
      <w:r>
        <w:t xml:space="preserve">Eur J Gastroenterol Hepatol 2012;24(8):944-949. —</w:t>
      </w:r>
      <w:r>
        <w:t xml:space="preserve"> </w:t>
      </w:r>
      <w:hyperlink r:id="rId101">
        <w:r>
          <w:rPr>
            <w:rStyle w:val="Hyperlink"/>
          </w:rPr>
          <w:t xml:space="preserve">PMID 22546751</w:t>
        </w:r>
      </w:hyperlink>
    </w:p>
    <w:p>
      <w:pPr>
        <w:pStyle w:val="Compact"/>
        <w:numPr>
          <w:ilvl w:val="0"/>
          <w:numId w:val="1043"/>
        </w:numPr>
      </w:pPr>
      <w:r>
        <w:t xml:space="preserve">Horrocks EJ, Bremner SA, Stevens N, et al. </w:t>
      </w:r>
      <w:r>
        <w:rPr>
          <w:i/>
          <w:iCs/>
        </w:rPr>
        <w:t xml:space="preserve">Double-blind randomised controlled trial of percutaneous tibial nerve stimulation versus sham electrical stimulation in the treatment of faecal incontinence: CONFIDeNT.</w:t>
      </w:r>
      <w:r>
        <w:t xml:space="preserve"> </w:t>
      </w:r>
      <w:r>
        <w:t xml:space="preserve">Health Technol Assess 2015;19(77):1-164. —</w:t>
      </w:r>
      <w:r>
        <w:t xml:space="preserve"> </w:t>
      </w:r>
      <w:hyperlink r:id="rId102">
        <w:r>
          <w:rPr>
            <w:rStyle w:val="Hyperlink"/>
          </w:rPr>
          <w:t xml:space="preserve">PMID 26422980</w:t>
        </w:r>
      </w:hyperlink>
    </w:p>
    <w:p>
      <w:pPr>
        <w:pStyle w:val="Compact"/>
        <w:numPr>
          <w:ilvl w:val="0"/>
          <w:numId w:val="1043"/>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BMJ Open 2025;15(2):e095933. —</w:t>
      </w:r>
      <w:r>
        <w:t xml:space="preserve"> </w:t>
      </w:r>
      <w:hyperlink r:id="rId103">
        <w:r>
          <w:rPr>
            <w:rStyle w:val="Hyperlink"/>
          </w:rPr>
          <w:t xml:space="preserve">PMID 39920074</w:t>
        </w:r>
      </w:hyperlink>
    </w:p>
    <w:p>
      <w:pPr>
        <w:pStyle w:val="Compact"/>
        <w:numPr>
          <w:ilvl w:val="0"/>
          <w:numId w:val="1043"/>
        </w:numPr>
      </w:pPr>
      <w:r>
        <w:t xml:space="preserve">Johannesson E, Simrén M, Strid H, Bajor A, Sadik R.</w:t>
      </w:r>
      <w:r>
        <w:t xml:space="preserve"> </w:t>
      </w:r>
      <w:r>
        <w:rPr>
          <w:i/>
          <w:iCs/>
        </w:rPr>
        <w:t xml:space="preserve">Physical activity improves symptoms in irritable bowel syndrome: a randomized controlled trial.</w:t>
      </w:r>
      <w:r>
        <w:t xml:space="preserve"> </w:t>
      </w:r>
      <w:r>
        <w:t xml:space="preserve">Am J Gastroenterol 2011;106(5):915-922. —</w:t>
      </w:r>
      <w:r>
        <w:t xml:space="preserve"> </w:t>
      </w:r>
      <w:hyperlink r:id="rId104">
        <w:r>
          <w:rPr>
            <w:rStyle w:val="Hyperlink"/>
          </w:rPr>
          <w:t xml:space="preserve">PMID 21206488</w:t>
        </w:r>
      </w:hyperlink>
    </w:p>
    <w:p>
      <w:pPr>
        <w:pStyle w:val="FirstParagraph"/>
      </w:pPr>
      <w:r>
        <w:rPr>
          <w:b/>
          <w:bCs/>
        </w:rPr>
        <w:t xml:space="preserve">Fonti aggiunte nella v2, dopo il 1º livello di revisione.</w:t>
      </w:r>
    </w:p>
    <w:p>
      <w:pPr>
        <w:pStyle w:val="Compact"/>
        <w:numPr>
          <w:ilvl w:val="0"/>
          <w:numId w:val="1044"/>
        </w:numPr>
      </w:pPr>
      <w:r>
        <w:t xml:space="preserve">El-Serag HB, Pilgrim P, Schoenfeld P.</w:t>
      </w:r>
      <w:r>
        <w:t xml:space="preserve"> </w:t>
      </w:r>
      <w:r>
        <w:rPr>
          <w:i/>
          <w:iCs/>
        </w:rPr>
        <w:t xml:space="preserve">Systemic review: Natural history of irritable bowel syndrome.</w:t>
      </w:r>
      <w:r>
        <w:t xml:space="preserve"> </w:t>
      </w:r>
      <w:r>
        <w:t xml:space="preserve">Aliment Pharmacol Ther 2004;19(8):861-870. —</w:t>
      </w:r>
      <w:r>
        <w:t xml:space="preserve"> </w:t>
      </w:r>
      <w:hyperlink r:id="rId105">
        <w:r>
          <w:rPr>
            <w:rStyle w:val="Hyperlink"/>
          </w:rPr>
          <w:t xml:space="preserve">PMID 15080847</w:t>
        </w:r>
      </w:hyperlink>
    </w:p>
    <w:p>
      <w:pPr>
        <w:pStyle w:val="Compact"/>
        <w:numPr>
          <w:ilvl w:val="0"/>
          <w:numId w:val="1044"/>
        </w:numPr>
      </w:pPr>
      <w:r>
        <w:t xml:space="preserve">van der Veek PPJ, Van Rood YR, Masclee AAM.</w:t>
      </w:r>
      <w:r>
        <w:t xml:space="preserve"> </w:t>
      </w:r>
      <w:r>
        <w:rPr>
          <w:i/>
          <w:iCs/>
        </w:rPr>
        <w:t xml:space="preserve">Symptom severity but not psychopathology predicts visceral hypersensitivity in irritable bowel syndrome.</w:t>
      </w:r>
      <w:r>
        <w:t xml:space="preserve"> </w:t>
      </w:r>
      <w:r>
        <w:t xml:space="preserve">Clin Gastroenterol Hepatol 2008;6(3):321-328. —</w:t>
      </w:r>
      <w:r>
        <w:t xml:space="preserve"> </w:t>
      </w:r>
      <w:hyperlink r:id="rId106">
        <w:r>
          <w:rPr>
            <w:rStyle w:val="Hyperlink"/>
          </w:rPr>
          <w:t xml:space="preserve">PMID 18258487</w:t>
        </w:r>
      </w:hyperlink>
    </w:p>
    <w:p>
      <w:pPr>
        <w:pStyle w:val="Compact"/>
        <w:numPr>
          <w:ilvl w:val="0"/>
          <w:numId w:val="1044"/>
        </w:numPr>
      </w:pPr>
      <w:r>
        <w:t xml:space="preserve">Caldarella MP, Milano A, Laterza F, et al. </w:t>
      </w:r>
      <w:r>
        <w:rPr>
          <w:i/>
          <w:iCs/>
        </w:rPr>
        <w:t xml:space="preserve">Visceral sensitivity and symptoms in patients with constipation- or diarrhea-predominant irritable bowel syndrome: effect of a low-fat intraduodenal infusion.</w:t>
      </w:r>
      <w:r>
        <w:t xml:space="preserve"> </w:t>
      </w:r>
      <w:r>
        <w:t xml:space="preserve">Am J Gastroenterol 2005;100(2):383-389. —</w:t>
      </w:r>
      <w:r>
        <w:t xml:space="preserve"> </w:t>
      </w:r>
      <w:hyperlink r:id="rId107">
        <w:r>
          <w:rPr>
            <w:rStyle w:val="Hyperlink"/>
          </w:rPr>
          <w:t xml:space="preserve">PMID 15667496</w:t>
        </w:r>
      </w:hyperlink>
    </w:p>
    <w:p>
      <w:pPr>
        <w:pStyle w:val="Compact"/>
        <w:numPr>
          <w:ilvl w:val="0"/>
          <w:numId w:val="1044"/>
        </w:numPr>
      </w:pPr>
      <w:r>
        <w:t xml:space="preserve">Francis CY, Morris J, Whorwell PJ.</w:t>
      </w:r>
      <w:r>
        <w:t xml:space="preserve"> </w:t>
      </w:r>
      <w:r>
        <w:rPr>
          <w:i/>
          <w:iCs/>
        </w:rPr>
        <w:t xml:space="preserve">The irritable bowel severity scoring system: a simple method of monitoring irritable bowel syndrome and its progress.</w:t>
      </w:r>
      <w:r>
        <w:t xml:space="preserve"> </w:t>
      </w:r>
      <w:r>
        <w:t xml:space="preserve">Aliment Pharmacol Ther 1997;11(2):395-402. —</w:t>
      </w:r>
      <w:r>
        <w:t xml:space="preserve"> </w:t>
      </w:r>
      <w:hyperlink r:id="rId108">
        <w:r>
          <w:rPr>
            <w:rStyle w:val="Hyperlink"/>
          </w:rPr>
          <w:t xml:space="preserve">PMID 9146781</w:t>
        </w:r>
      </w:hyperlink>
    </w:p>
    <w:p>
      <w:pPr>
        <w:pStyle w:val="Compact"/>
        <w:numPr>
          <w:ilvl w:val="0"/>
          <w:numId w:val="1044"/>
        </w:numPr>
      </w:pPr>
      <w:r>
        <w:t xml:space="preserve">Barberio B, Savarino EV, Black CJ, Ford AC.</w:t>
      </w:r>
      <w:r>
        <w:t xml:space="preserve"> </w:t>
      </w:r>
      <w:r>
        <w:rPr>
          <w:i/>
          <w:iCs/>
        </w:rPr>
        <w:t xml:space="preserve">Placebo Response Rates in Trials of Licensed Drugs for Irritable Bowel Syndrome With Constipation or Diarrhea: Meta-analysis.</w:t>
      </w:r>
      <w:r>
        <w:t xml:space="preserve"> </w:t>
      </w:r>
      <w:r>
        <w:t xml:space="preserve">Clin Gastroenterol Hepatol 2022;20(5):e923-e944. —</w:t>
      </w:r>
      <w:r>
        <w:t xml:space="preserve"> </w:t>
      </w:r>
      <w:hyperlink r:id="rId109">
        <w:r>
          <w:rPr>
            <w:rStyle w:val="Hyperlink"/>
          </w:rPr>
          <w:t xml:space="preserve">PMID 34425274</w:t>
        </w:r>
      </w:hyperlink>
    </w:p>
    <w:p>
      <w:pPr>
        <w:pStyle w:val="Compact"/>
        <w:numPr>
          <w:ilvl w:val="0"/>
          <w:numId w:val="1044"/>
        </w:numPr>
      </w:pPr>
      <w:r>
        <w:t xml:space="preserve">Liu J, Lv C, Wang W, et al. </w:t>
      </w:r>
      <w:r>
        <w:rPr>
          <w:i/>
          <w:iCs/>
        </w:rPr>
        <w:t xml:space="preserve">Slow, deep breathing intervention improved symptoms and altered rectal sensitivity in patients with constipation-predominant irritable bowel syndrome.</w:t>
      </w:r>
      <w:r>
        <w:t xml:space="preserve"> </w:t>
      </w:r>
      <w:r>
        <w:t xml:space="preserve">Front Neurosci 2022;16:1034547. —</w:t>
      </w:r>
      <w:r>
        <w:t xml:space="preserve"> </w:t>
      </w:r>
      <w:hyperlink r:id="rId110">
        <w:r>
          <w:rPr>
            <w:rStyle w:val="Hyperlink"/>
          </w:rPr>
          <w:t xml:space="preserve">PMID 36408402</w:t>
        </w:r>
      </w:hyperlink>
    </w:p>
    <w:p>
      <w:pPr>
        <w:pStyle w:val="Compact"/>
        <w:numPr>
          <w:ilvl w:val="0"/>
          <w:numId w:val="1044"/>
        </w:numPr>
      </w:pPr>
      <w:r>
        <w:t xml:space="preserve">Jurek MK, Seavey H, Guidry M, et al. </w:t>
      </w:r>
      <w:r>
        <w:rPr>
          <w:i/>
          <w:iCs/>
        </w:rPr>
        <w:t xml:space="preserve">The effects of slow deep breathing on microvascular and autonomic function and symptoms in adults with irritable bowel syndrome: A pilot study.</w:t>
      </w:r>
      <w:r>
        <w:t xml:space="preserve"> </w:t>
      </w:r>
      <w:r>
        <w:t xml:space="preserve">Neurogastroenterol Motil 2022;34(5):e14275. —</w:t>
      </w:r>
      <w:r>
        <w:t xml:space="preserve"> </w:t>
      </w:r>
      <w:hyperlink r:id="rId111">
        <w:r>
          <w:rPr>
            <w:rStyle w:val="Hyperlink"/>
          </w:rPr>
          <w:t xml:space="preserve">PMID 34595801</w:t>
        </w:r>
      </w:hyperlink>
    </w:p>
    <w:p>
      <w:pPr>
        <w:pStyle w:val="Compact"/>
        <w:numPr>
          <w:ilvl w:val="0"/>
          <w:numId w:val="1044"/>
        </w:numPr>
      </w:pPr>
      <w:r>
        <w:t xml:space="preserve">Nunan D, Cai T, Gardener AD, et al. </w:t>
      </w:r>
      <w:r>
        <w:rPr>
          <w:i/>
          <w:iCs/>
        </w:rPr>
        <w:t xml:space="preserve">Physical activity for treatment of irritable bowel syndrome.</w:t>
      </w:r>
      <w:r>
        <w:t xml:space="preserve"> </w:t>
      </w:r>
      <w:r>
        <w:t xml:space="preserve">Cochrane Database Syst Rev 2022;6:CD011497. —</w:t>
      </w:r>
      <w:r>
        <w:t xml:space="preserve"> </w:t>
      </w:r>
      <w:hyperlink r:id="rId112">
        <w:r>
          <w:rPr>
            <w:rStyle w:val="Hyperlink"/>
          </w:rPr>
          <w:t xml:space="preserve">PMID 35766861</w:t>
        </w:r>
      </w:hyperlink>
    </w:p>
    <w:p>
      <w:pPr>
        <w:pStyle w:val="Compact"/>
        <w:numPr>
          <w:ilvl w:val="0"/>
          <w:numId w:val="1044"/>
        </w:numPr>
      </w:pPr>
      <w:r>
        <w:t xml:space="preserve">Johannesson E, Ringström G, Abrahamsson H, Sadik R.</w:t>
      </w:r>
      <w:r>
        <w:t xml:space="preserve"> </w:t>
      </w:r>
      <w:r>
        <w:rPr>
          <w:i/>
          <w:iCs/>
        </w:rPr>
        <w:t xml:space="preserve">Intervention to increase physical activity in irritable bowel syndrome shows long-term positive effects.</w:t>
      </w:r>
      <w:r>
        <w:t xml:space="preserve"> </w:t>
      </w:r>
      <w:r>
        <w:t xml:space="preserve">World J Gastroenterol 2015;21(2):600-608. —</w:t>
      </w:r>
      <w:r>
        <w:t xml:space="preserve"> </w:t>
      </w:r>
      <w:hyperlink r:id="rId113">
        <w:r>
          <w:rPr>
            <w:rStyle w:val="Hyperlink"/>
          </w:rPr>
          <w:t xml:space="preserve">PMID 25593485</w:t>
        </w:r>
      </w:hyperlink>
    </w:p>
    <w:p>
      <w:pPr>
        <w:pStyle w:val="Compact"/>
        <w:numPr>
          <w:ilvl w:val="0"/>
          <w:numId w:val="1044"/>
        </w:numPr>
      </w:pPr>
      <w:r>
        <w:t xml:space="preserve">Norton C, Cody JD.</w:t>
      </w:r>
      <w:r>
        <w:t xml:space="preserve"> </w:t>
      </w:r>
      <w:r>
        <w:rPr>
          <w:i/>
          <w:iCs/>
        </w:rPr>
        <w:t xml:space="preserve">Biofeedback and/or sphincter exercises for the treatment of faecal incontinence in adults.</w:t>
      </w:r>
      <w:r>
        <w:t xml:space="preserve"> </w:t>
      </w:r>
      <w:r>
        <w:t xml:space="preserve">Cochrane Database Syst Rev 2012;(7):CD002111. —</w:t>
      </w:r>
      <w:r>
        <w:t xml:space="preserve"> </w:t>
      </w:r>
      <w:hyperlink r:id="rId114">
        <w:r>
          <w:rPr>
            <w:rStyle w:val="Hyperlink"/>
          </w:rPr>
          <w:t xml:space="preserve">PMID 22786479</w:t>
        </w:r>
      </w:hyperlink>
    </w:p>
    <w:p>
      <w:pPr>
        <w:pStyle w:val="Compact"/>
        <w:numPr>
          <w:ilvl w:val="0"/>
          <w:numId w:val="1044"/>
        </w:numPr>
      </w:pPr>
      <w:r>
        <w:t xml:space="preserve">Tong J, Zheng Q, Zhang C, Lo R, Shen J, Ran Z.</w:t>
      </w:r>
      <w:r>
        <w:t xml:space="preserve"> </w:t>
      </w:r>
      <w:r>
        <w:rPr>
          <w:i/>
          <w:iCs/>
        </w:rPr>
        <w:t xml:space="preserve">Incidence, prevalence, and temporal trends of microscopic colitis: a systematic review and meta-analysis.</w:t>
      </w:r>
      <w:r>
        <w:t xml:space="preserve"> </w:t>
      </w:r>
      <w:r>
        <w:t xml:space="preserve">Am J Gastroenterol 2015;110(2):265-276. —</w:t>
      </w:r>
      <w:r>
        <w:t xml:space="preserve"> </w:t>
      </w:r>
      <w:hyperlink r:id="rId115">
        <w:r>
          <w:rPr>
            <w:rStyle w:val="Hyperlink"/>
          </w:rPr>
          <w:t xml:space="preserve">PMID 25623658</w:t>
        </w:r>
      </w:hyperlink>
    </w:p>
    <w:p>
      <w:pPr>
        <w:pStyle w:val="Compact"/>
        <w:numPr>
          <w:ilvl w:val="0"/>
          <w:numId w:val="1044"/>
        </w:numPr>
      </w:pPr>
      <w:r>
        <w:t xml:space="preserve">Verhaegh BPM, de Vries F, Masclee AAM, et al. </w:t>
      </w:r>
      <w:r>
        <w:rPr>
          <w:i/>
          <w:iCs/>
        </w:rPr>
        <w:t xml:space="preserve">High risk of drug-induced microscopic colitis with concomitant use of NSAIDs and proton pump inhibitors.</w:t>
      </w:r>
      <w:r>
        <w:t xml:space="preserve"> </w:t>
      </w:r>
      <w:r>
        <w:t xml:space="preserve">Aliment Pharmacol Ther 2016;43(9):1004-1013. —</w:t>
      </w:r>
      <w:r>
        <w:t xml:space="preserve"> </w:t>
      </w:r>
      <w:hyperlink r:id="rId116">
        <w:r>
          <w:rPr>
            <w:rStyle w:val="Hyperlink"/>
          </w:rPr>
          <w:t xml:space="preserve">PMID 26956016</w:t>
        </w:r>
      </w:hyperlink>
    </w:p>
    <w:p>
      <w:pPr>
        <w:pStyle w:val="Compact"/>
        <w:numPr>
          <w:ilvl w:val="0"/>
          <w:numId w:val="1044"/>
        </w:numPr>
      </w:pPr>
      <w:r>
        <w:t xml:space="preserve">Mounsey A, Lacy Smith K, Reddy VC, Nickolich S.</w:t>
      </w:r>
      <w:r>
        <w:t xml:space="preserve"> </w:t>
      </w:r>
      <w:r>
        <w:rPr>
          <w:i/>
          <w:iCs/>
        </w:rPr>
        <w:t xml:space="preserve">Clostridioides difficile Infection: Update on Management.</w:t>
      </w:r>
      <w:r>
        <w:t xml:space="preserve"> </w:t>
      </w:r>
      <w:r>
        <w:t xml:space="preserve">Am Fam Physician 2020;101(3):168-175. —</w:t>
      </w:r>
      <w:r>
        <w:t xml:space="preserve"> </w:t>
      </w:r>
      <w:hyperlink r:id="rId117">
        <w:r>
          <w:rPr>
            <w:rStyle w:val="Hyperlink"/>
          </w:rPr>
          <w:t xml:space="preserve">PMID 32003951</w:t>
        </w:r>
      </w:hyperlink>
    </w:p>
    <w:p>
      <w:pPr>
        <w:pStyle w:val="Compact"/>
        <w:numPr>
          <w:ilvl w:val="0"/>
          <w:numId w:val="1044"/>
        </w:numPr>
      </w:pPr>
      <w:r>
        <w:t xml:space="preserve">Coppes T, Stolk W, van den Bemt BJF, et al. </w:t>
      </w:r>
      <w:r>
        <w:rPr>
          <w:i/>
          <w:iCs/>
        </w:rPr>
        <w:t xml:space="preserve">Preventability of hospital admissions for acute kidney injury or dehydration in older patients using diuretics or RAS inhibitors.</w:t>
      </w:r>
      <w:r>
        <w:t xml:space="preserve"> </w:t>
      </w:r>
      <w:r>
        <w:t xml:space="preserve">Eur J Clin Pharmacol 2024;80(9):1381-1389. —</w:t>
      </w:r>
      <w:r>
        <w:t xml:space="preserve"> </w:t>
      </w:r>
      <w:hyperlink r:id="rId118">
        <w:r>
          <w:rPr>
            <w:rStyle w:val="Hyperlink"/>
          </w:rPr>
          <w:t xml:space="preserve">PMID 38831143</w:t>
        </w:r>
      </w:hyperlink>
    </w:p>
    <w:p>
      <w:pPr>
        <w:pStyle w:val="Compact"/>
        <w:numPr>
          <w:ilvl w:val="0"/>
          <w:numId w:val="1044"/>
        </w:numPr>
      </w:pPr>
      <w:r>
        <w:t xml:space="preserve">Shalansky S, Lynd L, Richardson K, Ingaszewski A, Kerr C.</w:t>
      </w:r>
      <w:r>
        <w:t xml:space="preserve"> </w:t>
      </w:r>
      <w:r>
        <w:rPr>
          <w:i/>
          <w:iCs/>
        </w:rPr>
        <w:t xml:space="preserve">Risk of warfarin-related bleeding events and supratherapeutic international normalized ratios associated with complementary and alternative medicine: a longitudinal analysis.</w:t>
      </w:r>
      <w:r>
        <w:t xml:space="preserve"> </w:t>
      </w:r>
      <w:r>
        <w:t xml:space="preserve">Pharmacotherapy 2007;27(9):1237-1247. —</w:t>
      </w:r>
      <w:r>
        <w:t xml:space="preserve"> </w:t>
      </w:r>
      <w:hyperlink r:id="rId119">
        <w:r>
          <w:rPr>
            <w:rStyle w:val="Hyperlink"/>
          </w:rPr>
          <w:t xml:space="preserve">PMID 17723077</w:t>
        </w:r>
      </w:hyperlink>
    </w:p>
    <w:p>
      <w:pPr>
        <w:pStyle w:val="Compact"/>
        <w:numPr>
          <w:ilvl w:val="0"/>
          <w:numId w:val="1044"/>
        </w:numPr>
      </w:pPr>
      <w:r>
        <w:t xml:space="preserve">Swank KA, Wu E, Kortepeter C, McAninch J, Levin RL.</w:t>
      </w:r>
      <w:r>
        <w:t xml:space="preserve"> </w:t>
      </w:r>
      <w:r>
        <w:rPr>
          <w:i/>
          <w:iCs/>
        </w:rPr>
        <w:t xml:space="preserve">Adverse event detection using the FDA post-marketing drug safety surveillance system: Cardiotoxicity associated with loperamide abuse and misuse.</w:t>
      </w:r>
      <w:r>
        <w:t xml:space="preserve"> </w:t>
      </w:r>
      <w:r>
        <w:t xml:space="preserve">J Am Pharm Assoc 2017;57(2S):S63-S67. —</w:t>
      </w:r>
      <w:r>
        <w:t xml:space="preserve"> </w:t>
      </w:r>
      <w:hyperlink r:id="rId120">
        <w:r>
          <w:rPr>
            <w:rStyle w:val="Hyperlink"/>
          </w:rPr>
          <w:t xml:space="preserve">PMID 28073687</w:t>
        </w:r>
      </w:hyperlink>
    </w:p>
    <w:p>
      <w:pPr>
        <w:pStyle w:val="Compact"/>
        <w:numPr>
          <w:ilvl w:val="0"/>
          <w:numId w:val="1044"/>
        </w:numPr>
      </w:pPr>
      <w:r>
        <w:t xml:space="preserve">Carnes D, Mars TS, Mullinger B, Froud R, Underwood M.</w:t>
      </w:r>
      <w:r>
        <w:t xml:space="preserve"> </w:t>
      </w:r>
      <w:r>
        <w:rPr>
          <w:i/>
          <w:iCs/>
        </w:rPr>
        <w:t xml:space="preserve">Adverse events and manual therapy: a systematic review.</w:t>
      </w:r>
      <w:r>
        <w:t xml:space="preserve"> </w:t>
      </w:r>
      <w:r>
        <w:t xml:space="preserve">Man Ther 2010;15(4):355-363. —</w:t>
      </w:r>
      <w:r>
        <w:t xml:space="preserve"> </w:t>
      </w:r>
      <w:hyperlink r:id="rId121">
        <w:r>
          <w:rPr>
            <w:rStyle w:val="Hyperlink"/>
          </w:rPr>
          <w:t xml:space="preserve">PMID 20097115</w:t>
        </w:r>
      </w:hyperlink>
    </w:p>
    <w:p>
      <w:pPr>
        <w:pStyle w:val="Compact"/>
        <w:numPr>
          <w:ilvl w:val="0"/>
          <w:numId w:val="1044"/>
        </w:numPr>
      </w:pPr>
      <w:r>
        <w:t xml:space="preserve">Bagagiolo D, Rosa D, Borrelli F.</w:t>
      </w:r>
      <w:r>
        <w:t xml:space="preserve"> </w:t>
      </w:r>
      <w:r>
        <w:rPr>
          <w:i/>
          <w:iCs/>
        </w:rPr>
        <w:t xml:space="preserve">Efficacy and safety of osteopathic manipulative treatment: an overview of systematic reviews.</w:t>
      </w:r>
      <w:r>
        <w:t xml:space="preserve"> </w:t>
      </w:r>
      <w:r>
        <w:t xml:space="preserve">BMJ Open 2022;12(4):e053468. —</w:t>
      </w:r>
      <w:r>
        <w:t xml:space="preserve"> </w:t>
      </w:r>
      <w:hyperlink r:id="rId122">
        <w:r>
          <w:rPr>
            <w:rStyle w:val="Hyperlink"/>
          </w:rPr>
          <w:t xml:space="preserve">PMID 35414546</w:t>
        </w:r>
      </w:hyperlink>
    </w:p>
    <w:p>
      <w:pPr>
        <w:pStyle w:val="Compact"/>
        <w:numPr>
          <w:ilvl w:val="0"/>
          <w:numId w:val="1044"/>
        </w:numPr>
      </w:pPr>
      <w:r>
        <w:t xml:space="preserve">Oh D, Huh SJ, Nam H, et al. </w:t>
      </w:r>
      <w:r>
        <w:rPr>
          <w:i/>
          <w:iCs/>
        </w:rPr>
        <w:t xml:space="preserve">Pelvic insufficiency fracture after pelvic radiotherapy for cervical cancer: analysis of risk factors.</w:t>
      </w:r>
      <w:r>
        <w:t xml:space="preserve"> </w:t>
      </w:r>
      <w:r>
        <w:t xml:space="preserve">Int J Radiat Oncol Biol Phys 2008;70(4):1183-1188. —</w:t>
      </w:r>
      <w:r>
        <w:t xml:space="preserve"> </w:t>
      </w:r>
      <w:hyperlink r:id="rId123">
        <w:r>
          <w:rPr>
            <w:rStyle w:val="Hyperlink"/>
          </w:rPr>
          <w:t xml:space="preserve">PMID 17919836</w:t>
        </w:r>
      </w:hyperlink>
    </w:p>
    <w:p>
      <w:pPr>
        <w:pStyle w:val="Compact"/>
        <w:numPr>
          <w:ilvl w:val="0"/>
          <w:numId w:val="1044"/>
        </w:numPr>
      </w:pPr>
      <w:r>
        <w:t xml:space="preserve">Chu ECP, Trager RJ, Lai CR, Leung BKM.</w:t>
      </w:r>
      <w:r>
        <w:t xml:space="preserve"> </w:t>
      </w:r>
      <w:r>
        <w:rPr>
          <w:i/>
          <w:iCs/>
        </w:rPr>
        <w:t xml:space="preserve">Clinical Presentation of Vertebral Metastasis of Prostate Cancer in a Chiropractic Setting: Two Cases and Review of Literature.</w:t>
      </w:r>
      <w:r>
        <w:t xml:space="preserve"> </w:t>
      </w:r>
      <w:r>
        <w:t xml:space="preserve">Cureus 2022;14(11):e31074. —</w:t>
      </w:r>
      <w:r>
        <w:t xml:space="preserve"> </w:t>
      </w:r>
      <w:hyperlink r:id="rId124">
        <w:r>
          <w:rPr>
            <w:rStyle w:val="Hyperlink"/>
          </w:rPr>
          <w:t xml:space="preserve">PMID 36415398</w:t>
        </w:r>
      </w:hyperlink>
    </w:p>
    <w:p>
      <w:pPr>
        <w:pStyle w:val="Compact"/>
        <w:numPr>
          <w:ilvl w:val="0"/>
          <w:numId w:val="1044"/>
        </w:numPr>
      </w:pPr>
      <w:r>
        <w:t xml:space="preserve">Valentino RJ, Kosboth M, Colflesh M, Miselis RR.</w:t>
      </w:r>
      <w:r>
        <w:t xml:space="preserve"> </w:t>
      </w:r>
      <w:r>
        <w:rPr>
          <w:i/>
          <w:iCs/>
        </w:rPr>
        <w:t xml:space="preserve">Transneuronal labeling from the rat distal colon: anatomic evidence for regulation of distal colon function by a pontine corticotropin-releasing factor system.</w:t>
      </w:r>
      <w:r>
        <w:t xml:space="preserve"> </w:t>
      </w:r>
      <w:r>
        <w:t xml:space="preserve">J Comp Neurol 2000;417(4):399-414. —</w:t>
      </w:r>
      <w:r>
        <w:t xml:space="preserve"> </w:t>
      </w:r>
      <w:hyperlink r:id="rId125">
        <w:r>
          <w:rPr>
            <w:rStyle w:val="Hyperlink"/>
          </w:rPr>
          <w:t xml:space="preserve">PMID 10701863</w:t>
        </w:r>
      </w:hyperlink>
    </w:p>
    <w:p>
      <w:pPr>
        <w:pStyle w:val="Compact"/>
        <w:numPr>
          <w:ilvl w:val="0"/>
          <w:numId w:val="1044"/>
        </w:numPr>
      </w:pPr>
      <w:r>
        <w:t xml:space="preserve">Rouzade-Dominguez ML, Pernar L, Beck S, Valentino RJ.</w:t>
      </w:r>
      <w:r>
        <w:t xml:space="preserve"> </w:t>
      </w:r>
      <w:r>
        <w:rPr>
          <w:i/>
          <w:iCs/>
        </w:rPr>
        <w:t xml:space="preserve">Convergent responses of Barrington’s nucleus neurons to pelvic visceral stimuli in the rat.</w:t>
      </w:r>
      <w:r>
        <w:t xml:space="preserve"> </w:t>
      </w:r>
      <w:r>
        <w:t xml:space="preserve">Eur J Neurosci 2003;18(12):3325-3334. —</w:t>
      </w:r>
      <w:r>
        <w:t xml:space="preserve"> </w:t>
      </w:r>
      <w:hyperlink r:id="rId126">
        <w:r>
          <w:rPr>
            <w:rStyle w:val="Hyperlink"/>
          </w:rPr>
          <w:t xml:space="preserve">PMID 14686905</w:t>
        </w:r>
      </w:hyperlink>
    </w:p>
    <w:p>
      <w:pPr>
        <w:pStyle w:val="Compact"/>
        <w:numPr>
          <w:ilvl w:val="0"/>
          <w:numId w:val="1044"/>
        </w:numPr>
      </w:pPr>
      <w:r>
        <w:t xml:space="preserve">Costa M, Wiklendt L, Keightley L, et al. </w:t>
      </w:r>
      <w:r>
        <w:rPr>
          <w:i/>
          <w:iCs/>
        </w:rPr>
        <w:t xml:space="preserve">New insights into neurogenic cyclic motor activity in the isolated mouse colon.</w:t>
      </w:r>
      <w:r>
        <w:t xml:space="preserve"> </w:t>
      </w:r>
      <w:r>
        <w:t xml:space="preserve">Neurogastroenterol Motil 2020;32(3):e13743. —</w:t>
      </w:r>
      <w:r>
        <w:t xml:space="preserve"> </w:t>
      </w:r>
      <w:hyperlink r:id="rId127">
        <w:r>
          <w:rPr>
            <w:rStyle w:val="Hyperlink"/>
          </w:rPr>
          <w:t xml:space="preserve">PMID 31709829</w:t>
        </w:r>
      </w:hyperlink>
    </w:p>
    <w:p>
      <w:pPr>
        <w:pStyle w:val="Compact"/>
        <w:numPr>
          <w:ilvl w:val="0"/>
          <w:numId w:val="1044"/>
        </w:numPr>
      </w:pPr>
      <w:r>
        <w:t xml:space="preserve">Cohen SP, Vase L, Hooten WM.</w:t>
      </w:r>
      <w:r>
        <w:t xml:space="preserve"> </w:t>
      </w:r>
      <w:r>
        <w:rPr>
          <w:i/>
          <w:iCs/>
        </w:rPr>
        <w:t xml:space="preserve">Chronic pain: an update on burden, best practices, and new advances.</w:t>
      </w:r>
      <w:r>
        <w:t xml:space="preserve"> </w:t>
      </w:r>
      <w:r>
        <w:t xml:space="preserve">Lancet 2021;397(10289):2082-2097. —</w:t>
      </w:r>
      <w:r>
        <w:t xml:space="preserve"> </w:t>
      </w:r>
      <w:hyperlink r:id="rId128">
        <w:r>
          <w:rPr>
            <w:rStyle w:val="Hyperlink"/>
          </w:rPr>
          <w:t xml:space="preserve">PMID 34062143</w:t>
        </w:r>
      </w:hyperlink>
    </w:p>
    <w:p>
      <w:pPr>
        <w:pStyle w:val="Compact"/>
        <w:numPr>
          <w:ilvl w:val="0"/>
          <w:numId w:val="1044"/>
        </w:numPr>
      </w:pPr>
      <w:r>
        <w:t xml:space="preserve">Sanders AE, Weatherspoon ED, Ehrmann BM, et al. </w:t>
      </w:r>
      <w:r>
        <w:rPr>
          <w:i/>
          <w:iCs/>
        </w:rPr>
        <w:t xml:space="preserve">Circulating polyunsaturated fatty acids, pressure pain thresholds, and nociplastic pain conditions.</w:t>
      </w:r>
      <w:r>
        <w:t xml:space="preserve"> </w:t>
      </w:r>
      <w:r>
        <w:t xml:space="preserve">Prostaglandins Leukot Essent Fatty Acids 2022;184:102476. Coorte OPPERA-2, 605 adulti, algometria in sei sedi, cinque condizioni nociplastiche fra cui questa. —</w:t>
      </w:r>
      <w:r>
        <w:t xml:space="preserve"> </w:t>
      </w:r>
      <w:hyperlink r:id="rId129">
        <w:r>
          <w:rPr>
            <w:rStyle w:val="Hyperlink"/>
          </w:rPr>
          <w:t xml:space="preserve">PMID 35908377</w:t>
        </w:r>
      </w:hyperlink>
    </w:p>
    <w:p>
      <w:pPr>
        <w:pStyle w:val="Compact"/>
        <w:numPr>
          <w:ilvl w:val="0"/>
          <w:numId w:val="1044"/>
        </w:numPr>
      </w:pPr>
      <w:r>
        <w:t xml:space="preserve">Midenfjord I, Grinsvall C, Koj P, et al. </w:t>
      </w:r>
      <w:r>
        <w:rPr>
          <w:i/>
          <w:iCs/>
        </w:rPr>
        <w:t xml:space="preserve">Central sensitization and severity of gastrointestinal symptoms in irritable bowel syndrome, chronic pain syndromes, and inflammatory bowel disease.</w:t>
      </w:r>
      <w:r>
        <w:t xml:space="preserve"> </w:t>
      </w:r>
      <w:r>
        <w:t xml:space="preserve">Neurogastroenterol Motil 2021;33(11):e14156. —</w:t>
      </w:r>
      <w:r>
        <w:t xml:space="preserve"> </w:t>
      </w:r>
      <w:hyperlink r:id="rId130">
        <w:r>
          <w:rPr>
            <w:rStyle w:val="Hyperlink"/>
          </w:rPr>
          <w:t xml:space="preserve">PMID 33860970</w:t>
        </w:r>
      </w:hyperlink>
    </w:p>
    <w:p>
      <w:pPr>
        <w:pStyle w:val="Compact"/>
        <w:numPr>
          <w:ilvl w:val="0"/>
          <w:numId w:val="1044"/>
        </w:numPr>
      </w:pPr>
      <w:r>
        <w:t xml:space="preserve">Sperber AD, Hreinsson JP, Simrén M, et al. </w:t>
      </w:r>
      <w:r>
        <w:rPr>
          <w:i/>
          <w:iCs/>
        </w:rPr>
        <w:t xml:space="preserve">Rome V global epidemiology and validation survey: prevalence of disorders of gut-brain interaction and comparison with the Rome IV global epidemiology study.</w:t>
      </w:r>
      <w:r>
        <w:t xml:space="preserve"> </w:t>
      </w:r>
      <w:r>
        <w:t xml:space="preserve">Gut 2026;75(10):1887-1897. —</w:t>
      </w:r>
      <w:r>
        <w:t xml:space="preserve"> </w:t>
      </w:r>
      <w:hyperlink r:id="rId131">
        <w:r>
          <w:rPr>
            <w:rStyle w:val="Hyperlink"/>
          </w:rPr>
          <w:t xml:space="preserve">PMID 42613194</w:t>
        </w:r>
      </w:hyperlink>
    </w:p>
    <w:p>
      <w:pPr>
        <w:pStyle w:val="FirstParagraph"/>
      </w:pPr>
      <w:r>
        <w:rPr>
          <w:b/>
          <w:bCs/>
        </w:rPr>
        <w:t xml:space="preserve">Fonti aggiunte nella v3, dopo il 2º livello di revisione.</w:t>
      </w:r>
    </w:p>
    <w:p>
      <w:pPr>
        <w:pStyle w:val="Compact"/>
        <w:numPr>
          <w:ilvl w:val="0"/>
          <w:numId w:val="1045"/>
        </w:numPr>
      </w:pPr>
      <w:r>
        <w:t xml:space="preserve">Müller A, Franke H, Resch KL, Fryer G.</w:t>
      </w:r>
      <w:r>
        <w:t xml:space="preserve"> </w:t>
      </w:r>
      <w:r>
        <w:rPr>
          <w:i/>
          <w:iCs/>
        </w:rPr>
        <w:t xml:space="preserve">Effectiveness of osteopathic manipulative therapy for managing symptoms of irritable bowel syndrome: a systematic review.</w:t>
      </w:r>
      <w:r>
        <w:t xml:space="preserve"> </w:t>
      </w:r>
      <w:r>
        <w:t xml:space="preserve">J Am Osteopath Assoc 2014;114(6):470-479. —</w:t>
      </w:r>
      <w:r>
        <w:t xml:space="preserve"> </w:t>
      </w:r>
      <w:hyperlink r:id="rId132">
        <w:r>
          <w:rPr>
            <w:rStyle w:val="Hyperlink"/>
          </w:rPr>
          <w:t xml:space="preserve">PMID 24917634</w:t>
        </w:r>
      </w:hyperlink>
    </w:p>
    <w:p>
      <w:pPr>
        <w:pStyle w:val="Compact"/>
        <w:numPr>
          <w:ilvl w:val="0"/>
          <w:numId w:val="1045"/>
        </w:numPr>
      </w:pPr>
      <w:r>
        <w:t xml:space="preserve">Lotfi C, Blair J, Jumrukovska A, Grubb M.</w:t>
      </w:r>
      <w:r>
        <w:t xml:space="preserve"> </w:t>
      </w:r>
      <w:r>
        <w:rPr>
          <w:i/>
          <w:iCs/>
        </w:rPr>
        <w:t xml:space="preserve">Effectiveness of Osteopathic Manipulative Treatment in Treating Symptoms of Irritable Bowel Syndrome: A Literature Review.</w:t>
      </w:r>
      <w:r>
        <w:t xml:space="preserve"> </w:t>
      </w:r>
      <w:r>
        <w:t xml:space="preserve">Cureus 2023;15(7):e42393. —</w:t>
      </w:r>
      <w:r>
        <w:t xml:space="preserve"> </w:t>
      </w:r>
      <w:hyperlink r:id="rId133">
        <w:r>
          <w:rPr>
            <w:rStyle w:val="Hyperlink"/>
          </w:rPr>
          <w:t xml:space="preserve">PMID 37621836</w:t>
        </w:r>
      </w:hyperlink>
    </w:p>
    <w:p>
      <w:pPr>
        <w:pStyle w:val="Compact"/>
        <w:numPr>
          <w:ilvl w:val="0"/>
          <w:numId w:val="1045"/>
        </w:numPr>
      </w:pPr>
      <w:r>
        <w:t xml:space="preserve">Lembo A, Kelley JM, Nee J, et al. </w:t>
      </w:r>
      <w:r>
        <w:rPr>
          <w:i/>
          <w:iCs/>
        </w:rPr>
        <w:t xml:space="preserve">Open-label placebo vs double-blind placebo for irritable bowel syndrome: a randomized clinical trial.</w:t>
      </w:r>
      <w:r>
        <w:t xml:space="preserve"> </w:t>
      </w:r>
      <w:r>
        <w:t xml:space="preserve">Pain 2021;162(9):2428-2435. —</w:t>
      </w:r>
      <w:r>
        <w:t xml:space="preserve"> </w:t>
      </w:r>
      <w:hyperlink r:id="rId134">
        <w:r>
          <w:rPr>
            <w:rStyle w:val="Hyperlink"/>
          </w:rPr>
          <w:t xml:space="preserve">PMID 33605656</w:t>
        </w:r>
      </w:hyperlink>
    </w:p>
    <w:p>
      <w:pPr>
        <w:pStyle w:val="Compact"/>
        <w:numPr>
          <w:ilvl w:val="0"/>
          <w:numId w:val="1045"/>
        </w:numPr>
      </w:pPr>
      <w:r>
        <w:t xml:space="preserve">Płóciennik-Korycka N, Pani SM, Bruc B, Contu P, Wrzesińska M.</w:t>
      </w:r>
      <w:r>
        <w:t xml:space="preserve"> </w:t>
      </w:r>
      <w:r>
        <w:rPr>
          <w:i/>
          <w:iCs/>
        </w:rPr>
        <w:t xml:space="preserve">Exploring manual therapy in the management of irritable bowel syndrome in adults: A scoping review.</w:t>
      </w:r>
      <w:r>
        <w:t xml:space="preserve"> </w:t>
      </w:r>
      <w:r>
        <w:t xml:space="preserve">Complement Ther Med 2025;89:103136. —</w:t>
      </w:r>
      <w:r>
        <w:t xml:space="preserve"> </w:t>
      </w:r>
      <w:hyperlink r:id="rId135">
        <w:r>
          <w:rPr>
            <w:rStyle w:val="Hyperlink"/>
          </w:rPr>
          <w:t xml:space="preserve">PMID 39880320</w:t>
        </w:r>
      </w:hyperlink>
    </w:p>
    <w:p>
      <w:pPr>
        <w:pStyle w:val="Compact"/>
        <w:numPr>
          <w:ilvl w:val="0"/>
          <w:numId w:val="1045"/>
        </w:numPr>
      </w:pPr>
      <w:r>
        <w:t xml:space="preserve">Stabell N, Stubhaug A, Flægstad T, Nielsen CS.</w:t>
      </w:r>
      <w:r>
        <w:t xml:space="preserve"> </w:t>
      </w:r>
      <w:r>
        <w:rPr>
          <w:i/>
          <w:iCs/>
        </w:rPr>
        <w:t xml:space="preserve">Increased pain sensitivity among adults reporting irritable bowel syndrome symptoms in a large population-based study.</w:t>
      </w:r>
      <w:r>
        <w:t xml:space="preserve"> </w:t>
      </w:r>
      <w:r>
        <w:t xml:space="preserve">Pain 2013;154(3):385-392. —</w:t>
      </w:r>
      <w:r>
        <w:t xml:space="preserve"> </w:t>
      </w:r>
      <w:hyperlink r:id="rId136">
        <w:r>
          <w:rPr>
            <w:rStyle w:val="Hyperlink"/>
          </w:rPr>
          <w:t xml:space="preserve">PMID 23320954</w:t>
        </w:r>
      </w:hyperlink>
    </w:p>
    <w:p>
      <w:pPr>
        <w:pStyle w:val="Compact"/>
        <w:numPr>
          <w:ilvl w:val="0"/>
          <w:numId w:val="1045"/>
        </w:numPr>
      </w:pPr>
      <w:r>
        <w:t xml:space="preserve">Mangel AW, Wang J, Sherrill B, Gnanasakthy A, Ervin C, Fehnel SE.</w:t>
      </w:r>
      <w:r>
        <w:t xml:space="preserve"> </w:t>
      </w:r>
      <w:r>
        <w:rPr>
          <w:i/>
          <w:iCs/>
        </w:rPr>
        <w:t xml:space="preserve">Urgency as an Endpoint in Irritable Bowel Syndrome.</w:t>
      </w:r>
      <w:r>
        <w:t xml:space="preserve"> </w:t>
      </w:r>
      <w:r>
        <w:t xml:space="preserve">Gastroenterol Res 2011;4(1):9-12. —</w:t>
      </w:r>
      <w:r>
        <w:t xml:space="preserve"> </w:t>
      </w:r>
      <w:hyperlink r:id="rId137">
        <w:r>
          <w:rPr>
            <w:rStyle w:val="Hyperlink"/>
          </w:rPr>
          <w:t xml:space="preserve">PMID 27957006</w:t>
        </w:r>
      </w:hyperlink>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4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5" Target="https://pubmed.ncbi.nlm.nih.gov/10701863/" TargetMode="External" /><Relationship Type="http://schemas.openxmlformats.org/officeDocument/2006/relationships/hyperlink" Id="rId126" Target="https://pubmed.ncbi.nlm.nih.gov/14686905/" TargetMode="External" /><Relationship Type="http://schemas.openxmlformats.org/officeDocument/2006/relationships/hyperlink" Id="rId105" Target="https://pubmed.ncbi.nlm.nih.gov/15080847/" TargetMode="External" /><Relationship Type="http://schemas.openxmlformats.org/officeDocument/2006/relationships/hyperlink" Id="rId92" Target="https://pubmed.ncbi.nlm.nih.gov/15194643/" TargetMode="External" /><Relationship Type="http://schemas.openxmlformats.org/officeDocument/2006/relationships/hyperlink" Id="rId107" Target="https://pubmed.ncbi.nlm.nih.gov/15667496/" TargetMode="External" /><Relationship Type="http://schemas.openxmlformats.org/officeDocument/2006/relationships/hyperlink" Id="rId119" Target="https://pubmed.ncbi.nlm.nih.gov/17723077/" TargetMode="External" /><Relationship Type="http://schemas.openxmlformats.org/officeDocument/2006/relationships/hyperlink" Id="rId123" Target="https://pubmed.ncbi.nlm.nih.gov/17919836/" TargetMode="External" /><Relationship Type="http://schemas.openxmlformats.org/officeDocument/2006/relationships/hyperlink" Id="rId106" Target="https://pubmed.ncbi.nlm.nih.gov/18258487/" TargetMode="External" /><Relationship Type="http://schemas.openxmlformats.org/officeDocument/2006/relationships/hyperlink" Id="rId96" Target="https://pubmed.ncbi.nlm.nih.gov/18390493/" TargetMode="External" /><Relationship Type="http://schemas.openxmlformats.org/officeDocument/2006/relationships/hyperlink" Id="rId86" Target="https://pubmed.ncbi.nlm.nih.gov/18668760/" TargetMode="External" /><Relationship Type="http://schemas.openxmlformats.org/officeDocument/2006/relationships/hyperlink" Id="rId88" Target="https://pubmed.ncbi.nlm.nih.gov/19570102/" TargetMode="External" /><Relationship Type="http://schemas.openxmlformats.org/officeDocument/2006/relationships/hyperlink" Id="rId85" Target="https://pubmed.ncbi.nlm.nih.gov/20025692/" TargetMode="External" /><Relationship Type="http://schemas.openxmlformats.org/officeDocument/2006/relationships/hyperlink" Id="rId121" Target="https://pubmed.ncbi.nlm.nih.gov/20097115/" TargetMode="External" /><Relationship Type="http://schemas.openxmlformats.org/officeDocument/2006/relationships/hyperlink" Id="rId104" Target="https://pubmed.ncbi.nlm.nih.gov/21206488/" TargetMode="External" /><Relationship Type="http://schemas.openxmlformats.org/officeDocument/2006/relationships/hyperlink" Id="rId97" Target="https://pubmed.ncbi.nlm.nih.gov/21885906/" TargetMode="External" /><Relationship Type="http://schemas.openxmlformats.org/officeDocument/2006/relationships/hyperlink" Id="rId101" Target="https://pubmed.ncbi.nlm.nih.gov/22546751/" TargetMode="External" /><Relationship Type="http://schemas.openxmlformats.org/officeDocument/2006/relationships/hyperlink" Id="rId114" Target="https://pubmed.ncbi.nlm.nih.gov/22786479/" TargetMode="External" /><Relationship Type="http://schemas.openxmlformats.org/officeDocument/2006/relationships/hyperlink" Id="rId136" Target="https://pubmed.ncbi.nlm.nih.gov/23320954/" TargetMode="External" /><Relationship Type="http://schemas.openxmlformats.org/officeDocument/2006/relationships/hyperlink" Id="rId100" Target="https://pubmed.ncbi.nlm.nih.gov/23981319/" TargetMode="External" /><Relationship Type="http://schemas.openxmlformats.org/officeDocument/2006/relationships/hyperlink" Id="rId132" Target="https://pubmed.ncbi.nlm.nih.gov/24917634/" TargetMode="External" /><Relationship Type="http://schemas.openxmlformats.org/officeDocument/2006/relationships/hyperlink" Id="rId113" Target="https://pubmed.ncbi.nlm.nih.gov/25593485/" TargetMode="External" /><Relationship Type="http://schemas.openxmlformats.org/officeDocument/2006/relationships/hyperlink" Id="rId115" Target="https://pubmed.ncbi.nlm.nih.gov/25623658/" TargetMode="External" /><Relationship Type="http://schemas.openxmlformats.org/officeDocument/2006/relationships/hyperlink" Id="rId80" Target="https://pubmed.ncbi.nlm.nih.gov/25913530/" TargetMode="External" /><Relationship Type="http://schemas.openxmlformats.org/officeDocument/2006/relationships/hyperlink" Id="rId102" Target="https://pubmed.ncbi.nlm.nih.gov/26422980/" TargetMode="External" /><Relationship Type="http://schemas.openxmlformats.org/officeDocument/2006/relationships/hyperlink" Id="rId116" Target="https://pubmed.ncbi.nlm.nih.gov/26956016/" TargetMode="External" /><Relationship Type="http://schemas.openxmlformats.org/officeDocument/2006/relationships/hyperlink" Id="rId83" Target="https://pubmed.ncbi.nlm.nih.gov/27581702/" TargetMode="External" /><Relationship Type="http://schemas.openxmlformats.org/officeDocument/2006/relationships/hyperlink" Id="rId137" Target="https://pubmed.ncbi.nlm.nih.gov/27957006/" TargetMode="External" /><Relationship Type="http://schemas.openxmlformats.org/officeDocument/2006/relationships/hyperlink" Id="rId90" Target="https://pubmed.ncbi.nlm.nih.gov/28069350/" TargetMode="External" /><Relationship Type="http://schemas.openxmlformats.org/officeDocument/2006/relationships/hyperlink" Id="rId120" Target="https://pubmed.ncbi.nlm.nih.gov/28073687/" TargetMode="External" /><Relationship Type="http://schemas.openxmlformats.org/officeDocument/2006/relationships/hyperlink" Id="rId98" Target="https://pubmed.ncbi.nlm.nih.gov/29452579/" TargetMode="External" /><Relationship Type="http://schemas.openxmlformats.org/officeDocument/2006/relationships/hyperlink" Id="rId81" Target="https://pubmed.ncbi.nlm.nih.gov/29653941/" TargetMode="External" /><Relationship Type="http://schemas.openxmlformats.org/officeDocument/2006/relationships/hyperlink" Id="rId89" Target="https://pubmed.ncbi.nlm.nih.gov/31302098/" TargetMode="External" /><Relationship Type="http://schemas.openxmlformats.org/officeDocument/2006/relationships/hyperlink" Id="rId127" Target="https://pubmed.ncbi.nlm.nih.gov/31709829/" TargetMode="External" /><Relationship Type="http://schemas.openxmlformats.org/officeDocument/2006/relationships/hyperlink" Id="rId117" Target="https://pubmed.ncbi.nlm.nih.gov/32003951/" TargetMode="External" /><Relationship Type="http://schemas.openxmlformats.org/officeDocument/2006/relationships/hyperlink" Id="rId93" Target="https://pubmed.ncbi.nlm.nih.gov/32276950/" TargetMode="External" /><Relationship Type="http://schemas.openxmlformats.org/officeDocument/2006/relationships/hyperlink" Id="rId84" Target="https://pubmed.ncbi.nlm.nih.gov/32294476/" TargetMode="External" /><Relationship Type="http://schemas.openxmlformats.org/officeDocument/2006/relationships/hyperlink" Id="rId134" Target="https://pubmed.ncbi.nlm.nih.gov/33605656/" TargetMode="External" /><Relationship Type="http://schemas.openxmlformats.org/officeDocument/2006/relationships/hyperlink" Id="rId130" Target="https://pubmed.ncbi.nlm.nih.gov/33860970/" TargetMode="External" /><Relationship Type="http://schemas.openxmlformats.org/officeDocument/2006/relationships/hyperlink" Id="rId128" Target="https://pubmed.ncbi.nlm.nih.gov/34062143/" TargetMode="External" /><Relationship Type="http://schemas.openxmlformats.org/officeDocument/2006/relationships/hyperlink" Id="rId95" Target="https://pubmed.ncbi.nlm.nih.gov/34376515/" TargetMode="External" /><Relationship Type="http://schemas.openxmlformats.org/officeDocument/2006/relationships/hyperlink" Id="rId109" Target="https://pubmed.ncbi.nlm.nih.gov/34425274/" TargetMode="External" /><Relationship Type="http://schemas.openxmlformats.org/officeDocument/2006/relationships/hyperlink" Id="rId111" Target="https://pubmed.ncbi.nlm.nih.gov/34595801/" TargetMode="External" /><Relationship Type="http://schemas.openxmlformats.org/officeDocument/2006/relationships/hyperlink" Id="rId122" Target="https://pubmed.ncbi.nlm.nih.gov/35414546/" TargetMode="External" /><Relationship Type="http://schemas.openxmlformats.org/officeDocument/2006/relationships/hyperlink" Id="rId94" Target="https://pubmed.ncbi.nlm.nih.gov/35623448/" TargetMode="External" /><Relationship Type="http://schemas.openxmlformats.org/officeDocument/2006/relationships/hyperlink" Id="rId82" Target="https://pubmed.ncbi.nlm.nih.gov/35695704/" TargetMode="External" /><Relationship Type="http://schemas.openxmlformats.org/officeDocument/2006/relationships/hyperlink" Id="rId79" Target="https://pubmed.ncbi.nlm.nih.gov/35738725/" TargetMode="External" /><Relationship Type="http://schemas.openxmlformats.org/officeDocument/2006/relationships/hyperlink" Id="rId112" Target="https://pubmed.ncbi.nlm.nih.gov/35766861/" TargetMode="External" /><Relationship Type="http://schemas.openxmlformats.org/officeDocument/2006/relationships/hyperlink" Id="rId129" Target="https://pubmed.ncbi.nlm.nih.gov/35908377/" TargetMode="External" /><Relationship Type="http://schemas.openxmlformats.org/officeDocument/2006/relationships/hyperlink" Id="rId110" Target="https://pubmed.ncbi.nlm.nih.gov/36408402/" TargetMode="External" /><Relationship Type="http://schemas.openxmlformats.org/officeDocument/2006/relationships/hyperlink" Id="rId124" Target="https://pubmed.ncbi.nlm.nih.gov/36415398/" TargetMode="External" /><Relationship Type="http://schemas.openxmlformats.org/officeDocument/2006/relationships/hyperlink" Id="rId87" Target="https://pubmed.ncbi.nlm.nih.gov/37162180/" TargetMode="External" /><Relationship Type="http://schemas.openxmlformats.org/officeDocument/2006/relationships/hyperlink" Id="rId133" Target="https://pubmed.ncbi.nlm.nih.gov/37621836/" TargetMode="External" /><Relationship Type="http://schemas.openxmlformats.org/officeDocument/2006/relationships/hyperlink" Id="rId99" Target="https://pubmed.ncbi.nlm.nih.gov/37685480/" TargetMode="External" /><Relationship Type="http://schemas.openxmlformats.org/officeDocument/2006/relationships/hyperlink" Id="rId118" Target="https://pubmed.ncbi.nlm.nih.gov/38831143/" TargetMode="External" /><Relationship Type="http://schemas.openxmlformats.org/officeDocument/2006/relationships/hyperlink" Id="rId135" Target="https://pubmed.ncbi.nlm.nih.gov/39880320/" TargetMode="External" /><Relationship Type="http://schemas.openxmlformats.org/officeDocument/2006/relationships/hyperlink" Id="rId103" Target="https://pubmed.ncbi.nlm.nih.gov/39920074/" TargetMode="External" /><Relationship Type="http://schemas.openxmlformats.org/officeDocument/2006/relationships/hyperlink" Id="rId131" Target="https://pubmed.ncbi.nlm.nih.gov/42613194/" TargetMode="External" /><Relationship Type="http://schemas.openxmlformats.org/officeDocument/2006/relationships/hyperlink" Id="rId108" Target="https://pubmed.ncbi.nlm.nih.gov/9146781/" TargetMode="External" /><Relationship Type="http://schemas.openxmlformats.org/officeDocument/2006/relationships/hyperlink" Id="rId91" Target="https://pubmed.ncbi.nlm.nih.gov/9691924/" TargetMode="External" /></Relationships>
</file>

<file path=word/_rels/footnotes.xml.rels><?xml version="1.0" encoding="UTF-8"?><Relationships xmlns="http://schemas.openxmlformats.org/package/2006/relationships"><Relationship Type="http://schemas.openxmlformats.org/officeDocument/2006/relationships/hyperlink" Id="rId125" Target="https://pubmed.ncbi.nlm.nih.gov/10701863/" TargetMode="External" /><Relationship Type="http://schemas.openxmlformats.org/officeDocument/2006/relationships/hyperlink" Id="rId126" Target="https://pubmed.ncbi.nlm.nih.gov/14686905/" TargetMode="External" /><Relationship Type="http://schemas.openxmlformats.org/officeDocument/2006/relationships/hyperlink" Id="rId105" Target="https://pubmed.ncbi.nlm.nih.gov/15080847/" TargetMode="External" /><Relationship Type="http://schemas.openxmlformats.org/officeDocument/2006/relationships/hyperlink" Id="rId92" Target="https://pubmed.ncbi.nlm.nih.gov/15194643/" TargetMode="External" /><Relationship Type="http://schemas.openxmlformats.org/officeDocument/2006/relationships/hyperlink" Id="rId107" Target="https://pubmed.ncbi.nlm.nih.gov/15667496/" TargetMode="External" /><Relationship Type="http://schemas.openxmlformats.org/officeDocument/2006/relationships/hyperlink" Id="rId119" Target="https://pubmed.ncbi.nlm.nih.gov/17723077/" TargetMode="External" /><Relationship Type="http://schemas.openxmlformats.org/officeDocument/2006/relationships/hyperlink" Id="rId123" Target="https://pubmed.ncbi.nlm.nih.gov/17919836/" TargetMode="External" /><Relationship Type="http://schemas.openxmlformats.org/officeDocument/2006/relationships/hyperlink" Id="rId106" Target="https://pubmed.ncbi.nlm.nih.gov/18258487/" TargetMode="External" /><Relationship Type="http://schemas.openxmlformats.org/officeDocument/2006/relationships/hyperlink" Id="rId96" Target="https://pubmed.ncbi.nlm.nih.gov/18390493/" TargetMode="External" /><Relationship Type="http://schemas.openxmlformats.org/officeDocument/2006/relationships/hyperlink" Id="rId86" Target="https://pubmed.ncbi.nlm.nih.gov/18668760/" TargetMode="External" /><Relationship Type="http://schemas.openxmlformats.org/officeDocument/2006/relationships/hyperlink" Id="rId88" Target="https://pubmed.ncbi.nlm.nih.gov/19570102/" TargetMode="External" /><Relationship Type="http://schemas.openxmlformats.org/officeDocument/2006/relationships/hyperlink" Id="rId85" Target="https://pubmed.ncbi.nlm.nih.gov/20025692/" TargetMode="External" /><Relationship Type="http://schemas.openxmlformats.org/officeDocument/2006/relationships/hyperlink" Id="rId121" Target="https://pubmed.ncbi.nlm.nih.gov/20097115/" TargetMode="External" /><Relationship Type="http://schemas.openxmlformats.org/officeDocument/2006/relationships/hyperlink" Id="rId104" Target="https://pubmed.ncbi.nlm.nih.gov/21206488/" TargetMode="External" /><Relationship Type="http://schemas.openxmlformats.org/officeDocument/2006/relationships/hyperlink" Id="rId97" Target="https://pubmed.ncbi.nlm.nih.gov/21885906/" TargetMode="External" /><Relationship Type="http://schemas.openxmlformats.org/officeDocument/2006/relationships/hyperlink" Id="rId101" Target="https://pubmed.ncbi.nlm.nih.gov/22546751/" TargetMode="External" /><Relationship Type="http://schemas.openxmlformats.org/officeDocument/2006/relationships/hyperlink" Id="rId114" Target="https://pubmed.ncbi.nlm.nih.gov/22786479/" TargetMode="External" /><Relationship Type="http://schemas.openxmlformats.org/officeDocument/2006/relationships/hyperlink" Id="rId136" Target="https://pubmed.ncbi.nlm.nih.gov/23320954/" TargetMode="External" /><Relationship Type="http://schemas.openxmlformats.org/officeDocument/2006/relationships/hyperlink" Id="rId100" Target="https://pubmed.ncbi.nlm.nih.gov/23981319/" TargetMode="External" /><Relationship Type="http://schemas.openxmlformats.org/officeDocument/2006/relationships/hyperlink" Id="rId132" Target="https://pubmed.ncbi.nlm.nih.gov/24917634/" TargetMode="External" /><Relationship Type="http://schemas.openxmlformats.org/officeDocument/2006/relationships/hyperlink" Id="rId113" Target="https://pubmed.ncbi.nlm.nih.gov/25593485/" TargetMode="External" /><Relationship Type="http://schemas.openxmlformats.org/officeDocument/2006/relationships/hyperlink" Id="rId115" Target="https://pubmed.ncbi.nlm.nih.gov/25623658/" TargetMode="External" /><Relationship Type="http://schemas.openxmlformats.org/officeDocument/2006/relationships/hyperlink" Id="rId80" Target="https://pubmed.ncbi.nlm.nih.gov/25913530/" TargetMode="External" /><Relationship Type="http://schemas.openxmlformats.org/officeDocument/2006/relationships/hyperlink" Id="rId102" Target="https://pubmed.ncbi.nlm.nih.gov/26422980/" TargetMode="External" /><Relationship Type="http://schemas.openxmlformats.org/officeDocument/2006/relationships/hyperlink" Id="rId116" Target="https://pubmed.ncbi.nlm.nih.gov/26956016/" TargetMode="External" /><Relationship Type="http://schemas.openxmlformats.org/officeDocument/2006/relationships/hyperlink" Id="rId83" Target="https://pubmed.ncbi.nlm.nih.gov/27581702/" TargetMode="External" /><Relationship Type="http://schemas.openxmlformats.org/officeDocument/2006/relationships/hyperlink" Id="rId137" Target="https://pubmed.ncbi.nlm.nih.gov/27957006/" TargetMode="External" /><Relationship Type="http://schemas.openxmlformats.org/officeDocument/2006/relationships/hyperlink" Id="rId90" Target="https://pubmed.ncbi.nlm.nih.gov/28069350/" TargetMode="External" /><Relationship Type="http://schemas.openxmlformats.org/officeDocument/2006/relationships/hyperlink" Id="rId120" Target="https://pubmed.ncbi.nlm.nih.gov/28073687/" TargetMode="External" /><Relationship Type="http://schemas.openxmlformats.org/officeDocument/2006/relationships/hyperlink" Id="rId98" Target="https://pubmed.ncbi.nlm.nih.gov/29452579/" TargetMode="External" /><Relationship Type="http://schemas.openxmlformats.org/officeDocument/2006/relationships/hyperlink" Id="rId81" Target="https://pubmed.ncbi.nlm.nih.gov/29653941/" TargetMode="External" /><Relationship Type="http://schemas.openxmlformats.org/officeDocument/2006/relationships/hyperlink" Id="rId89" Target="https://pubmed.ncbi.nlm.nih.gov/31302098/" TargetMode="External" /><Relationship Type="http://schemas.openxmlformats.org/officeDocument/2006/relationships/hyperlink" Id="rId127" Target="https://pubmed.ncbi.nlm.nih.gov/31709829/" TargetMode="External" /><Relationship Type="http://schemas.openxmlformats.org/officeDocument/2006/relationships/hyperlink" Id="rId117" Target="https://pubmed.ncbi.nlm.nih.gov/32003951/" TargetMode="External" /><Relationship Type="http://schemas.openxmlformats.org/officeDocument/2006/relationships/hyperlink" Id="rId93" Target="https://pubmed.ncbi.nlm.nih.gov/32276950/" TargetMode="External" /><Relationship Type="http://schemas.openxmlformats.org/officeDocument/2006/relationships/hyperlink" Id="rId84" Target="https://pubmed.ncbi.nlm.nih.gov/32294476/" TargetMode="External" /><Relationship Type="http://schemas.openxmlformats.org/officeDocument/2006/relationships/hyperlink" Id="rId134" Target="https://pubmed.ncbi.nlm.nih.gov/33605656/" TargetMode="External" /><Relationship Type="http://schemas.openxmlformats.org/officeDocument/2006/relationships/hyperlink" Id="rId130" Target="https://pubmed.ncbi.nlm.nih.gov/33860970/" TargetMode="External" /><Relationship Type="http://schemas.openxmlformats.org/officeDocument/2006/relationships/hyperlink" Id="rId128" Target="https://pubmed.ncbi.nlm.nih.gov/34062143/" TargetMode="External" /><Relationship Type="http://schemas.openxmlformats.org/officeDocument/2006/relationships/hyperlink" Id="rId95" Target="https://pubmed.ncbi.nlm.nih.gov/34376515/" TargetMode="External" /><Relationship Type="http://schemas.openxmlformats.org/officeDocument/2006/relationships/hyperlink" Id="rId109" Target="https://pubmed.ncbi.nlm.nih.gov/34425274/" TargetMode="External" /><Relationship Type="http://schemas.openxmlformats.org/officeDocument/2006/relationships/hyperlink" Id="rId111" Target="https://pubmed.ncbi.nlm.nih.gov/34595801/" TargetMode="External" /><Relationship Type="http://schemas.openxmlformats.org/officeDocument/2006/relationships/hyperlink" Id="rId122" Target="https://pubmed.ncbi.nlm.nih.gov/35414546/" TargetMode="External" /><Relationship Type="http://schemas.openxmlformats.org/officeDocument/2006/relationships/hyperlink" Id="rId94" Target="https://pubmed.ncbi.nlm.nih.gov/35623448/" TargetMode="External" /><Relationship Type="http://schemas.openxmlformats.org/officeDocument/2006/relationships/hyperlink" Id="rId82" Target="https://pubmed.ncbi.nlm.nih.gov/35695704/" TargetMode="External" /><Relationship Type="http://schemas.openxmlformats.org/officeDocument/2006/relationships/hyperlink" Id="rId79" Target="https://pubmed.ncbi.nlm.nih.gov/35738725/" TargetMode="External" /><Relationship Type="http://schemas.openxmlformats.org/officeDocument/2006/relationships/hyperlink" Id="rId112" Target="https://pubmed.ncbi.nlm.nih.gov/35766861/" TargetMode="External" /><Relationship Type="http://schemas.openxmlformats.org/officeDocument/2006/relationships/hyperlink" Id="rId129" Target="https://pubmed.ncbi.nlm.nih.gov/35908377/" TargetMode="External" /><Relationship Type="http://schemas.openxmlformats.org/officeDocument/2006/relationships/hyperlink" Id="rId110" Target="https://pubmed.ncbi.nlm.nih.gov/36408402/" TargetMode="External" /><Relationship Type="http://schemas.openxmlformats.org/officeDocument/2006/relationships/hyperlink" Id="rId124" Target="https://pubmed.ncbi.nlm.nih.gov/36415398/" TargetMode="External" /><Relationship Type="http://schemas.openxmlformats.org/officeDocument/2006/relationships/hyperlink" Id="rId87" Target="https://pubmed.ncbi.nlm.nih.gov/37162180/" TargetMode="External" /><Relationship Type="http://schemas.openxmlformats.org/officeDocument/2006/relationships/hyperlink" Id="rId133" Target="https://pubmed.ncbi.nlm.nih.gov/37621836/" TargetMode="External" /><Relationship Type="http://schemas.openxmlformats.org/officeDocument/2006/relationships/hyperlink" Id="rId99" Target="https://pubmed.ncbi.nlm.nih.gov/37685480/" TargetMode="External" /><Relationship Type="http://schemas.openxmlformats.org/officeDocument/2006/relationships/hyperlink" Id="rId118" Target="https://pubmed.ncbi.nlm.nih.gov/38831143/" TargetMode="External" /><Relationship Type="http://schemas.openxmlformats.org/officeDocument/2006/relationships/hyperlink" Id="rId135" Target="https://pubmed.ncbi.nlm.nih.gov/39880320/" TargetMode="External" /><Relationship Type="http://schemas.openxmlformats.org/officeDocument/2006/relationships/hyperlink" Id="rId103" Target="https://pubmed.ncbi.nlm.nih.gov/39920074/" TargetMode="External" /><Relationship Type="http://schemas.openxmlformats.org/officeDocument/2006/relationships/hyperlink" Id="rId131" Target="https://pubmed.ncbi.nlm.nih.gov/42613194/" TargetMode="External" /><Relationship Type="http://schemas.openxmlformats.org/officeDocument/2006/relationships/hyperlink" Id="rId108" Target="https://pubmed.ncbi.nlm.nih.gov/9146781/" TargetMode="External" /><Relationship Type="http://schemas.openxmlformats.org/officeDocument/2006/relationships/hyperlink" Id="rId91" Target="https://pubmed.ncbi.nlm.nih.gov/96919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Diarrea Ricorrente</dc:title>
  <dc:creator>Mobilitas — Direzione Osteopatica</dc:creator>
  <dc:language>it-IT</dc:language>
  <cp:keywords/>
  <dcterms:created xsi:type="dcterms:W3CDTF">2026-09-10T14:40:33Z</dcterms:created>
  <dcterms:modified xsi:type="dcterms:W3CDTF">2026-09-10T14:40:33Z</dcterms:modified>
</cp:coreProperties>
</file>

<file path=docProps/custom.xml><?xml version="1.0" encoding="utf-8"?>
<Properties xmlns="http://schemas.openxmlformats.org/officeDocument/2006/custom-properties" xmlns:vt="http://schemas.openxmlformats.org/officeDocument/2006/docPropsVTypes"/>
</file>