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diarrea-ricorrente"/>
    <w:p>
      <w:pPr>
        <w:pStyle w:val="Heading1"/>
      </w:pPr>
      <w:r>
        <w:t xml:space="preserve">Mappa concettuale — Diarrea ricorrente</w:t>
      </w:r>
    </w:p>
    <w:p>
      <w:pPr>
        <w:pStyle w:val="FirstParagraph"/>
      </w:pPr>
      <w:r>
        <w:rPr>
          <w:b/>
          <w:bCs/>
        </w:rPr>
        <w:t xml:space="preserve">Mobilitas / OsteoTouch</w:t>
      </w:r>
      <w:r>
        <w:t xml:space="preserve"> </w:t>
      </w:r>
      <w:r>
        <w:t xml:space="preserve">· Ancora clinica: Francesco Buffone · Ancora fisiologica: Shin Fukudo · v7.0 lingua · 10 settembre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Scariche non formate e urgenti che si ripetono per più di quattro settimane, con esami negativi e vita riorganizzata attorno ai bagni.</w:t>
      </w:r>
      <w:r>
        <w:t xml:space="preserve"> </w:t>
      </w:r>
      <w:r>
        <w:t xml:space="preserve">Il quadro che questa Bibbia descrive riguarda circa 1-2 adulti su cento: via internet, la sindrome con diarrea l’1,2% e la diarrea funzionale il 4,7%. Nei campioni domiciliari molto meno.</w:t>
      </w:r>
      <w:r>
        <w:t xml:space="preserve"> </w:t>
      </w:r>
      <w:r>
        <w:t xml:space="preserve">Da sola oscilla: dal 2 al 18% peggiora, il 30-50% resta invariato, il resto migliora. E dal 2 al 5% riceve entro sei anni una diagnosi organica alternativa.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allarme centrale, infezione pregressa o acidi biliari non riassorbiti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CRF scende dal ponte sul parasimpatico sacrale, e il freno del colon distale smette di trattenere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retto si riempie prima del previsto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parità di tensione di parete il segnale arriva amplificato, e la soglia di urgenza si abbassa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scarica urgente con poco preavviso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sorveglianza ed evitamento restringono la vita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Acidi biliari nel colon</w:t>
            </w:r>
          </w:p>
        </w:tc>
        <w:tc>
          <w:tcPr/>
          <w:p>
            <w:pPr>
              <w:pStyle w:val="Compact"/>
            </w:pPr>
            <w:r>
              <w:t xml:space="preserve">Feci acquose, colecistectomia, test mai fatto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urgenza abbassata</w:t>
            </w:r>
          </w:p>
        </w:tc>
        <w:tc>
          <w:tcPr/>
          <w:p>
            <w:pPr>
              <w:pStyle w:val="Compact"/>
            </w:pPr>
            <w:r>
              <w:t xml:space="preserve">Poco preavviso, volumi piccoli</w:t>
            </w:r>
          </w:p>
        </w:tc>
        <w:tc>
          <w:tcPr/>
          <w:p>
            <w:pPr>
              <w:pStyle w:val="Compact"/>
            </w:pPr>
            <w:r>
              <w:t xml:space="preserve">DIMOSTRATO / RAGIONAMENTO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Reattività post-infettiva</w:t>
            </w:r>
          </w:p>
        </w:tc>
        <w:tc>
          <w:tcPr/>
          <w:p>
            <w:pPr>
              <w:pStyle w:val="Compact"/>
            </w:pPr>
            <w:r>
              <w:t xml:space="preserve">Data d’inizio precisa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CRF dal ponte sul sacro</w:t>
            </w:r>
          </w:p>
        </w:tc>
        <w:tc>
          <w:tcPr/>
          <w:p>
            <w:pPr>
              <w:pStyle w:val="Compact"/>
            </w:pPr>
            <w:r>
              <w:t xml:space="preserve">Meglio in vacanza, peggio nelle settimane tese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Freno retrogrado assente</w:t>
            </w:r>
          </w:p>
        </w:tc>
        <w:tc>
          <w:tcPr/>
          <w:p>
            <w:pPr>
              <w:pStyle w:val="Compact"/>
            </w:pPr>
            <w:r>
              <w:t xml:space="preserve">Urgenza legata all’orario, non al menu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Sorveglianza ed evitamento</w:t>
            </w:r>
          </w:p>
        </w:tc>
        <w:tc>
          <w:tcPr/>
          <w:p>
            <w:pPr>
              <w:pStyle w:val="Compact"/>
            </w:pPr>
            <w:r>
              <w:t xml:space="preserve">Mappa dei bagni, vita ristretta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I meccanismi 2 e 3 sono la componente</w:t>
      </w:r>
      <w:r>
        <w:t xml:space="preserve"> </w:t>
      </w:r>
      <w:r>
        <w:rPr>
          <w:b/>
          <w:bCs/>
        </w:rPr>
        <w:t xml:space="preserve">nociplastica</w:t>
      </w:r>
      <w:r>
        <w:t xml:space="preserve">: guadagno alterato, senza danno del tessuto e senza lesione del nervo.</w:t>
      </w:r>
    </w:p>
    <w:p>
      <w:r>
        <w:pict>
          <v:rect style="width:0;height:1.5pt" o:hralign="center" o:hrstd="t" o:hr="t"/>
        </w:pict>
      </w:r>
    </w:p>
    <w:bookmarkEnd w:id="11"/>
    <w:bookmarkStart w:id="12" w:name="i-pattern-e-chi-comanda"/>
    <w:p>
      <w:pPr>
        <w:pStyle w:val="Heading2"/>
      </w:pPr>
      <w:r>
        <w:t xml:space="preserve">4 ·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Acidi biliari</w:t>
            </w:r>
          </w:p>
        </w:tc>
        <w:tc>
          <w:tcPr/>
          <w:p>
            <w:pPr>
              <w:pStyle w:val="Compact"/>
            </w:pPr>
            <w:r>
              <w:t xml:space="preserve">Feci acquose, diete inutili, test mai fatto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Infiammatorio o strutturale</w:t>
            </w:r>
          </w:p>
        </w:tc>
        <w:tc>
          <w:tcPr/>
          <w:p>
            <w:pPr>
              <w:pStyle w:val="Compact"/>
            </w:pPr>
            <w:r>
              <w:t xml:space="preserve">Bandiera rossa presente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Iatrogeno o da polioli</w:t>
            </w:r>
          </w:p>
        </w:tc>
        <w:tc>
          <w:tcPr/>
          <w:p>
            <w:pPr>
              <w:pStyle w:val="Compact"/>
            </w:pPr>
            <w:r>
              <w:t xml:space="preserve">Farmaco o dolcificante in corso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Post-infettivo</w:t>
            </w:r>
          </w:p>
        </w:tc>
        <w:tc>
          <w:tcPr/>
          <w:p>
            <w:pPr>
              <w:pStyle w:val="Compact"/>
            </w:pPr>
            <w:r>
              <w:t xml:space="preserve">Sa la data d’inizio</w:t>
            </w:r>
          </w:p>
        </w:tc>
        <w:tc>
          <w:tcPr/>
          <w:p>
            <w:pPr>
              <w:pStyle w:val="Compact"/>
            </w:pPr>
            <w:r>
              <w:t xml:space="preserve">Poco, e lento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Attivazione dominante</w:t>
            </w:r>
          </w:p>
        </w:tc>
        <w:tc>
          <w:tcPr/>
          <w:p>
            <w:pPr>
              <w:pStyle w:val="Compact"/>
            </w:pPr>
            <w:r>
              <w:t xml:space="preserve">In vacanza sta meglio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Postprandiale</w:t>
            </w:r>
          </w:p>
        </w:tc>
        <w:tc>
          <w:tcPr/>
          <w:p>
            <w:pPr>
              <w:pStyle w:val="Compact"/>
            </w:pPr>
            <w:r>
              <w:t xml:space="preserve">Comanda l’orologio, non il menu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Sorveglianza ed evitamento</w:t>
            </w:r>
          </w:p>
        </w:tc>
        <w:tc>
          <w:tcPr/>
          <w:p>
            <w:pPr>
              <w:pStyle w:val="Compact"/>
            </w:pPr>
            <w:r>
              <w:t xml:space="preserve">Non lo ha detto a nessuno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Disturbo dell’evacuazione</w:t>
            </w:r>
          </w:p>
        </w:tc>
        <w:tc>
          <w:tcPr/>
          <w:p>
            <w:pPr>
              <w:pStyle w:val="Compact"/>
            </w:pPr>
            <w:r>
              <w:t xml:space="preserve">Alterna, scariche piccole, mai finito</w:t>
            </w:r>
          </w:p>
        </w:tc>
        <w:tc>
          <w:tcPr/>
          <w:p>
            <w:pPr>
              <w:pStyle w:val="Compact"/>
            </w:pPr>
            <w:r>
              <w:t xml:space="preserve">Poco, e dall’esterno</w:t>
            </w:r>
          </w:p>
        </w:tc>
      </w:tr>
    </w:tbl>
    <w:p>
      <w:pPr>
        <w:pStyle w:val="BodyText"/>
      </w:pPr>
      <w:r>
        <w:rPr>
          <w:b/>
          <w:bCs/>
        </w:rPr>
        <w:t xml:space="preserve">«Niente — invio» non è dimissione.</w:t>
      </w:r>
      <w:r>
        <w:t xml:space="preserve"> </w:t>
      </w:r>
      <w:r>
        <w:t xml:space="preserve">Solo il pattern con bandiera rossa è ROSSO. Acidi biliari e iatrogeno sono GIALLO: comunicazione scritta al curante, e il paziente resta con te sul tuo reperto.</w:t>
      </w:r>
      <w:r>
        <w:t xml:space="preserve"> </w:t>
      </w:r>
      <w:r>
        <w:rPr>
          <w:b/>
          <w:bCs/>
        </w:rPr>
        <w:t xml:space="preserve">Modificatore che scavalca tutto: sopra i 65 anni con esordio recente non si sceglie un pattern, si esce.</w:t>
      </w:r>
      <w:r>
        <w:t xml:space="preserve"> </w:t>
      </w:r>
      <w:r>
        <w:rPr>
          <w:b/>
          <w:bCs/>
        </w:rPr>
        <w:t xml:space="preserve">Arbitro fra attivazione e sorveglianza:</w:t>
      </w:r>
      <w:r>
        <w:t xml:space="preserve"> </w:t>
      </w:r>
      <w:r>
        <w:t xml:space="preserve">restrizione di vita proporzionata alla gravità → comanda l’attivazione; sproporzionata → comanda la sorveglianza.</w:t>
      </w:r>
    </w:p>
    <w:p>
      <w:r>
        <w:pict>
          <v:rect style="width:0;height:1.5pt" o:hralign="center" o:hrstd="t" o:hr="t"/>
        </w:pict>
      </w:r>
    </w:p>
    <w:bookmarkEnd w:id="12"/>
    <w:bookmarkStart w:id="13" w:name="i-marker-e-le-soglie"/>
    <w:p>
      <w:pPr>
        <w:pStyle w:val="Heading2"/>
      </w:pPr>
      <w:r>
        <w:t xml:space="preserve">5 · I marker e le soglie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</w:t>
            </w:r>
          </w:p>
        </w:tc>
        <w:tc>
          <w:tcPr/>
          <w:p>
            <w:pPr>
              <w:pStyle w:val="Compact"/>
            </w:pPr>
            <w:r>
              <w:t xml:space="preserve">60 s, senza avvisare</w:t>
            </w:r>
          </w:p>
        </w:tc>
        <w:tc>
          <w:tcPr/>
          <w:p>
            <w:pPr>
              <w:pStyle w:val="Compact"/>
            </w:pPr>
            <w:r>
              <w:t xml:space="preserve">≥ 3 atti/min dal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toracica bassa</w:t>
            </w:r>
          </w:p>
        </w:tc>
        <w:tc>
          <w:tcPr/>
          <w:p>
            <w:pPr>
              <w:pStyle w:val="Compact"/>
            </w:pPr>
            <w:r>
              <w:t xml:space="preserve">Metro, al processo xifoideo</w:t>
            </w:r>
          </w:p>
        </w:tc>
        <w:tc>
          <w:tcPr/>
          <w:p>
            <w:pPr>
              <w:pStyle w:val="Compact"/>
            </w:pPr>
            <w:r>
              <w:t xml:space="preserve">≥ 1 cm dalla misura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pressoria, trapezio</w:t>
            </w:r>
          </w:p>
        </w:tc>
        <w:tc>
          <w:tcPr/>
          <w:p>
            <w:pPr>
              <w:pStyle w:val="Compact"/>
            </w:pPr>
            <w:r>
              <w:t xml:space="preserve">Algometro —</w:t>
            </w:r>
            <w:r>
              <w:t xml:space="preserve"> </w:t>
            </w:r>
            <w:r>
              <w:rPr>
                <w:b/>
                <w:bCs/>
              </w:rPr>
              <w:t xml:space="preserve">fuori distretto</w:t>
            </w:r>
          </w:p>
        </w:tc>
        <w:tc>
          <w:tcPr/>
          <w:p>
            <w:pPr>
              <w:pStyle w:val="Compact"/>
            </w:pPr>
            <w:r>
              <w:t xml:space="preserve">≥ 15% del basale (regola interna)</w:t>
            </w:r>
          </w:p>
        </w:tc>
      </w:tr>
    </w:tbl>
    <w:p>
      <w:pPr>
        <w:pStyle w:val="BodyText"/>
      </w:pPr>
      <w:r>
        <w:t xml:space="preserve">I primi due sono misure di</w:t>
      </w:r>
      <w:r>
        <w:t xml:space="preserve"> </w:t>
      </w:r>
      <w:r>
        <w:rPr>
          <w:b/>
          <w:bCs/>
        </w:rPr>
        <w:t xml:space="preserve">stato</w:t>
      </w:r>
      <w:r>
        <w:t xml:space="preserve">: se hai lavorato su respiro e diaframma non verificano niente.</w:t>
      </w:r>
      <w:r>
        <w:t xml:space="preserve"> </w:t>
      </w:r>
      <w:r>
        <w:t xml:space="preserve">Il terzo è fuori</w:t>
      </w:r>
      <w:r>
        <w:t xml:space="preserve"> </w:t>
      </w:r>
      <w:r>
        <w:rPr>
          <w:b/>
          <w:bCs/>
        </w:rPr>
        <w:t xml:space="preserve">distretto</w:t>
      </w:r>
      <w:r>
        <w:t xml:space="preserve">, non fuori</w:t>
      </w:r>
      <w:r>
        <w:t xml:space="preserve"> </w:t>
      </w:r>
      <w:r>
        <w:rPr>
          <w:b/>
          <w:bCs/>
        </w:rPr>
        <w:t xml:space="preserve">modello</w:t>
      </w:r>
      <w:r>
        <w:t xml:space="preserve">: verifica la generalizzazione dell’effetto, non la dominanza del piano. E misura un</w:t>
      </w:r>
      <w:r>
        <w:t xml:space="preserve"> </w:t>
      </w:r>
      <w:r>
        <w:rPr>
          <w:b/>
          <w:bCs/>
        </w:rPr>
        <w:t xml:space="preserve">cambiamento dentro lo stesso paziente</w:t>
      </w:r>
      <w:r>
        <w:t xml:space="preserve">: il più grande studio di popolazione non trova differenza di soglia pressoria fra chi ha questa sindrome e chi no (Stabell 2013 — PMID 23320954).</w:t>
      </w:r>
      <w:r>
        <w:t xml:space="preserve"> </w:t>
      </w:r>
      <w:r>
        <w:rPr>
          <w:b/>
          <w:bCs/>
        </w:rPr>
        <w:t xml:space="preserve">Esiti, non marker:</w:t>
      </w:r>
      <w:r>
        <w:t xml:space="preserve"> </w:t>
      </w:r>
      <w:r>
        <w:t xml:space="preserve">il preavviso in minuti e il diario delle scariche Bristol 6-7. Il basale deve contenere almeno un’oscillazione completa. La palpazione viscerale non è un marker: non è riproducibile.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Compact"/>
        <w:numPr>
          <w:ilvl w:val="0"/>
          <w:numId w:val="1001"/>
        </w:numPr>
      </w:pPr>
      <w:r>
        <w:t xml:space="preserve">Disidratazione grave o confusione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Febbre con le scariche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Massa addominale o rettale → medico curante, gastroenterologia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Diarrea durante o dopo antibiotici, o dopo ricovero → medico curante, tossina di C. difficile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Scariche prolungate in politerapia (diuretici, ACE-inibitori, sartani, anticoagulanti)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Sangue nelle feci persistente → medico curante, gastroenterologia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Calo di peso non voluto → medico curante, gastroenterologia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Anemia o carenza di ferro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Paziente immunodepresso (HIV, chemioterapia, biologici, trapianto)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Alvo cambiato senza spiegazione, sopra i 50 anni → medico curante, colonscopia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Alvo cambiato senza spiegazione, sotto i 50 anni → medico curante, colonscopia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Tenesmo → medico curante, gastroenterologia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Incontinenza fecale riferita → medico curante, gastroenterologia o pavimento pelvico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Diarrea che sveglia di notte → medico curante, gastroenterologia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Diarrea continua da meno di 3 mesi → medico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Esordio dopo viaggio tropicale → medico curante, parassitologico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Familiarità per MICI, celiachia, tumore del colon → medico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Feci untuose o galleggianti → medico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FirstParagraph"/>
      </w:pPr>
      <w:r>
        <w:rPr>
          <w:b/>
          <w:bCs/>
        </w:rPr>
        <w:t xml:space="preserve">Nelle righe 112 e Urgente la seduta si chiude.</w:t>
      </w:r>
      <w:r>
        <w:t xml:space="preserve"> </w:t>
      </w:r>
      <w:r>
        <w:t xml:space="preserve">Nelle altre si può trattare la disfunzione muscolo-scheletrica autonoma, dichiarando che il sintomo intestinale non è il bersaglio.</w:t>
      </w:r>
    </w:p>
    <w:p>
      <w:r>
        <w:pict>
          <v:rect style="width:0;height:1.5pt" o:hralign="center" o:hrstd="t" o:hr="t"/>
        </w:pict>
      </w:r>
    </w:p>
    <w:bookmarkEnd w:id="14"/>
    <w:bookmarkStart w:id="15" w:name="la-frase-per-il-paziente"/>
    <w:p>
      <w:pPr>
        <w:pStyle w:val="Heading2"/>
      </w:pPr>
      <w:r>
        <w:t xml:space="preserve">7 · La frase per il paziente</w:t>
      </w:r>
    </w:p>
    <w:p>
      <w:pPr>
        <w:pStyle w:val="FirstParagraph"/>
      </w:pPr>
      <w:r>
        <w:rPr>
          <w:i/>
          <w:iCs/>
        </w:rPr>
        <w:t xml:space="preserve">«Il tuo intestino non va più veloce: la parte finale, che normalmente trattiene e aspetta, smette di farlo. È come il freno motore che si stacca in discesa — nessuno ha toccato l’acceleratore, e la macchina va più veloce lo stesso. Per questo nessun alimento ti dà una regola: non c’è un colpevole singolo, anche se quanto grasso e quanto volume arrivano insieme conta. Quel freno io non posso rimetterlo. Lavoro sul livello di allarme che tiene bassa la soglia, e il quadro intestinale va comunque inquadrato dal tuo medico.»</w:t>
      </w:r>
    </w:p>
    <w:p>
      <w:r>
        <w:pict>
          <v:rect style="width:0;height:1.5pt" o:hralign="center" o:hrstd="t" o:hr="t"/>
        </w:pict>
      </w:r>
    </w:p>
    <w:bookmarkEnd w:id="15"/>
    <w:bookmarkStart w:id="16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L’esito che dà il nome a questa condizione è l’unico su cui la</w:t>
      </w:r>
      <w:r>
        <w:t xml:space="preserve"> </w:t>
      </w:r>
      <w:r>
        <w:rPr>
          <w:b/>
          <w:bCs/>
        </w:rPr>
        <w:t xml:space="preserve">sola sintesi quantitativa esistente</w:t>
      </w:r>
      <w:r>
        <w:t xml:space="preserve"> </w:t>
      </w:r>
      <w:r>
        <w:t xml:space="preserve">del nostro trattamento non trova niente: sulla diarrea l’intervallo va da −2,84 a</w:t>
      </w:r>
      <w:r>
        <w:t xml:space="preserve"> </w:t>
      </w:r>
      <w:r>
        <w:rPr>
          <w:b/>
          <w:bCs/>
        </w:rPr>
        <w:t xml:space="preserve">0,43</w:t>
      </w:r>
      <w:r>
        <w:t xml:space="preserve"> </w:t>
      </w:r>
      <w:r>
        <w:t xml:space="preserve">e attraversa lo zero, con la qualità di prove più bassa dell’analisi, mentre il dolore addominale migliora (Buffone 2023 — PMID 37685480). Il bersaglio dichiarabile è quindi uno solo. E c’è un motivo per cui vale la pena esserci: in</w:t>
      </w:r>
      <w:r>
        <w:t xml:space="preserve"> </w:t>
      </w:r>
      <w:r>
        <w:rPr>
          <w:b/>
          <w:bCs/>
        </w:rPr>
        <w:t xml:space="preserve">due pazienti su tre</w:t>
      </w:r>
      <w:r>
        <w:t xml:space="preserve"> </w:t>
      </w:r>
      <w:r>
        <w:t xml:space="preserve">il transito del colon misurato con scintigrafia è</w:t>
      </w:r>
      <w:r>
        <w:t xml:space="preserve"> </w:t>
      </w:r>
      <w:r>
        <w:rPr>
          <w:b/>
          <w:bCs/>
        </w:rPr>
        <w:t xml:space="preserve">normale</w:t>
      </w:r>
      <w:r>
        <w:t xml:space="preserve">. Il tubo funziona, e a non funzionare è il comando, che nessuno nel percorso standard guarda (Manabe 2010 — PMID 20025692). Questo ti autorizza a lavorare sul livello di attivazione e a dichiarare il</w:t>
      </w:r>
      <w:r>
        <w:t xml:space="preserve"> </w:t>
      </w:r>
      <w:r>
        <w:rPr>
          <w:b/>
          <w:bCs/>
        </w:rPr>
        <w:t xml:space="preserve">dolore addominale</w:t>
      </w:r>
      <w:r>
        <w:t xml:space="preserve">. Non ti autorizza a dichiarare la diarrea. E nemmeno ad attribuirti il miglioramento che vedi: su questi pazienti un placebo dichiarato inerte ottiene quanto uno in cieco (Lembo 2021 — PMID 33605656), e sul dolore il solo placebo rende il 40,2% contro il 16,2% sulle feci (Barberio 2022 — PMID 34425274).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2026-09-10T14:40:38Z</dcterms:created>
  <dcterms:modified xsi:type="dcterms:W3CDTF">2026-09-10T14:40:38Z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