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Gonfiore Addominale</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7" w:name="Xe61d13eb331d3a0b3fc624c06b2baa872d2d77d"/>
    <w:p>
      <w:pPr>
        <w:pStyle w:val="Heading1"/>
      </w:pPr>
      <w:r>
        <w:t xml:space="preserve">Bibbia Teorica — Gonfiore addominale (gonfiore e distensione addominale funzionale)</w:t>
      </w:r>
    </w:p>
    <w:p>
      <w:pPr>
        <w:pStyle w:val="FirstParagraph"/>
      </w:pPr>
      <w:r>
        <w:rPr>
          <w:b/>
          <w:bCs/>
        </w:rPr>
        <w:t xml:space="preserve">Mobilitas / OsteoTouch — Direzione Osteopatica</w:t>
      </w:r>
      <w:r>
        <w:t xml:space="preserve"> </w:t>
      </w:r>
      <w:r>
        <w:rPr>
          <w:b/>
          <w:bCs/>
        </w:rPr>
        <w:t xml:space="preserve">Ancora clinica:</w:t>
      </w:r>
      <w:r>
        <w:t xml:space="preserve"> </w:t>
      </w:r>
      <w:r>
        <w:t xml:space="preserve">Elizabeth Barba, Unità di Neurogastroenterologia e Motilità, Hospital Clínic e Hospital Universitari Vall d’Hebron, Barcellona</w:t>
      </w:r>
      <w:r>
        <w:t xml:space="preserve"> </w:t>
      </w:r>
      <w:r>
        <w:rPr>
          <w:b/>
          <w:bCs/>
        </w:rPr>
        <w:t xml:space="preserve">Ancora fisiologica:</w:t>
      </w:r>
      <w:r>
        <w:t xml:space="preserve"> </w:t>
      </w:r>
      <w:r>
        <w:t xml:space="preserve">Fernando Azpiroz, Digestive System Research Unit, Hospital Universitari Vall d’Hebron, Barcellona</w:t>
      </w:r>
      <w:r>
        <w:t xml:space="preserve"> </w:t>
      </w:r>
      <w:r>
        <w:rPr>
          <w:b/>
          <w:bCs/>
        </w:rPr>
        <w:t xml:space="preserve">Versione:</w:t>
      </w:r>
      <w:r>
        <w:t xml:space="preserve"> </w:t>
      </w:r>
      <w:r>
        <w:t xml:space="preserve">v7 (revisione di lingua, 6º livello — versione finale) ·</w:t>
      </w:r>
      <w:r>
        <w:t xml:space="preserve"> </w:t>
      </w:r>
      <w:r>
        <w:rPr>
          <w:b/>
          <w:bCs/>
        </w:rPr>
        <w:t xml:space="preserve">Data:</w:t>
      </w:r>
      <w:r>
        <w:t xml:space="preserve"> </w:t>
      </w:r>
      <w:r>
        <w:t xml:space="preserve">4 settembre 2026</w:t>
      </w:r>
    </w:p>
    <w:p>
      <w:pPr>
        <w:pStyle w:val="BodyText"/>
      </w:pPr>
      <w:r>
        <w:rPr>
          <w:i/>
          <w:iCs/>
        </w:rPr>
        <w:t xml:space="preserve">Il corpo pesa ~19.200 parole contro un tetto di 13.000. La mappa di taglio del 4º livello è stata applicata per intero — tutte le voci RIDONDANTE e tutte le COMPRIMIBILE — e vale ~900 parole reali. Il residuo non è ridondanza: è ampiezza. Cinque meccanismi, cinque modelli, cinque leve, quattro strumenti attivi, e un capitolo di limiti che i livelli 2 e 3 hanno dichiarato intoccabile riga per riga. Non è stata tolta nessuna frase-ponte, nessuna qualificazione, nessuna etichetta, nessun PMID, nessuna bandiera rossa e nessuno slot di chiusura per rientrare in un numero. La deviazione è registrata (D-019) invece che nascosta.</w:t>
      </w:r>
    </w:p>
    <w:p>
      <w:r>
        <w:pict>
          <v:rect style="width:0;height:1.5pt" o:hralign="center" o:hrstd="t" o:hr="t"/>
        </w:pict>
      </w:r>
    </w:p>
    <w:bookmarkStart w:id="9"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qui c’è quello che devi</w:t>
      </w:r>
      <w:r>
        <w:t xml:space="preserve"> </w:t>
      </w:r>
      <w:r>
        <w:rPr>
          <w:b/>
          <w:bCs/>
        </w:rPr>
        <w:t xml:space="preserve">sapere</w:t>
      </w:r>
      <w:r>
        <w:t xml:space="preserve"> </w:t>
      </w:r>
      <w:r>
        <w:t xml:space="preserve">sul gonfiore addominale; quello che devi</w:t>
      </w:r>
      <w:r>
        <w:t xml:space="preserve"> </w:t>
      </w:r>
      <w:r>
        <w:rPr>
          <w:b/>
          <w:bCs/>
        </w:rPr>
        <w:t xml:space="preserve">fare</w:t>
      </w:r>
      <w:r>
        <w:t xml:space="preserve"> </w:t>
      </w:r>
      <w:r>
        <w:t xml:space="preserve">in stanza sta nella Procedura.</w:t>
      </w:r>
    </w:p>
    <w:p>
      <w:pPr>
        <w:pStyle w:val="FirstParagraph"/>
      </w:pPr>
      <w:r>
        <w:rPr>
          <w:b/>
          <w:bCs/>
        </w:rPr>
        <w:t xml:space="preserve">A chi parla.</w:t>
      </w:r>
      <w:r>
        <w:t xml:space="preserve"> </w:t>
      </w:r>
      <w:r>
        <w:t xml:space="preserve">All’osteopata del team. Non ti spieghiamo cos’è il diaframma: ti spieghiamo cosa fa</w:t>
      </w:r>
      <w:r>
        <w:t xml:space="preserve"> </w:t>
      </w:r>
      <w:r>
        <w:rPr>
          <w:b/>
          <w:bCs/>
        </w:rPr>
        <w:t xml:space="preserve">qui</w:t>
      </w:r>
      <w:r>
        <w:t xml:space="preserve">, e perché è il protagonista.</w:t>
      </w:r>
    </w:p>
    <w:p>
      <w:pPr>
        <w:pStyle w:val="BodyText"/>
      </w:pPr>
      <w:r>
        <w:rPr>
          <w:b/>
          <w:bCs/>
        </w:rPr>
        <w:t xml:space="preserve">Cosa c’è qui e cosa no.</w:t>
      </w:r>
      <w:r>
        <w:t xml:space="preserve"> </w:t>
      </w:r>
      <w:r>
        <w:t xml:space="preserve">Qui c’è che cos’è, perché succede, quali meccanismi la tengono in piedi, quanto è solido ciascuno e perché una mano può agire. Tecniche, dosi, sequenze e piano delle sedute stanno nella Procedura. Il gonfiore addominale è un</w:t>
      </w:r>
      <w:r>
        <w:t xml:space="preserve"> </w:t>
      </w:r>
      <w:r>
        <w:rPr>
          <w:b/>
          <w:bCs/>
        </w:rPr>
        <w:t xml:space="preserve">sintomo</w:t>
      </w:r>
      <w:r>
        <w:t xml:space="preserve">, non una malattia. Sta sopra tre Bibbie già scritte — Colon irritabile, Stitichezza, Problemi digestivi — e quando il paziente appartiene a una di quelle, si rimanda lì.</w:t>
      </w:r>
    </w:p>
    <w:p>
      <w:pPr>
        <w:pStyle w:val="BodyText"/>
      </w:pPr>
      <w:r>
        <w:rPr>
          <w:b/>
          <w:bCs/>
        </w:rPr>
        <w:t xml:space="preserve">Le etichette di solidità.</w:t>
      </w:r>
      <w:r>
        <w:t xml:space="preserve"> </w:t>
      </w:r>
      <w:r>
        <w:t xml:space="preserve">Ogni meccanismo, modello e leva ne porta una. La prosa afferma, l’onestà sta nell’etichetta.</w:t>
      </w:r>
    </w:p>
    <w:p>
      <w:pPr>
        <w:pStyle w:val="Compact"/>
        <w:numPr>
          <w:ilvl w:val="0"/>
          <w:numId w:val="1001"/>
        </w:numPr>
      </w:pPr>
      <w:r>
        <w:rPr>
          <w:b/>
          <w:bCs/>
        </w:rPr>
        <w:t xml:space="preserve">DIMOSTRATO</w:t>
      </w:r>
      <w:r>
        <w:t xml:space="preserve"> </w:t>
      </w:r>
      <w:r>
        <w:rPr>
          <w:i/>
          <w:iCs/>
        </w:rPr>
        <w:t xml:space="preserve">(studi sull’uomo, solidi)</w:t>
      </w:r>
    </w:p>
    <w:p>
      <w:pPr>
        <w:pStyle w:val="Compact"/>
        <w:numPr>
          <w:ilvl w:val="0"/>
          <w:numId w:val="1001"/>
        </w:numPr>
      </w:pPr>
      <w:r>
        <w:rPr>
          <w:b/>
          <w:bCs/>
        </w:rPr>
        <w:t xml:space="preserve">PROBABILE</w:t>
      </w:r>
      <w:r>
        <w:t xml:space="preserve"> </w:t>
      </w:r>
      <w:r>
        <w:rPr>
          <w:i/>
          <w:iCs/>
        </w:rPr>
        <w:t xml:space="preserve">(razionale forte, prove parziali)</w:t>
      </w:r>
    </w:p>
    <w:p>
      <w:pPr>
        <w:pStyle w:val="Compact"/>
        <w:numPr>
          <w:ilvl w:val="0"/>
          <w:numId w:val="1001"/>
        </w:numPr>
      </w:pPr>
      <w:r>
        <w:rPr>
          <w:b/>
          <w:bCs/>
        </w:rPr>
        <w:t xml:space="preserve">IPOTESI</w:t>
      </w:r>
      <w:r>
        <w:t xml:space="preserve"> </w:t>
      </w:r>
      <w:r>
        <w:rPr>
          <w:i/>
          <w:iCs/>
        </w:rPr>
        <w:t xml:space="preserve">(meccanismo coerente, nessuno studio)</w:t>
      </w:r>
    </w:p>
    <w:p>
      <w:pPr>
        <w:pStyle w:val="Compact"/>
        <w:numPr>
          <w:ilvl w:val="0"/>
          <w:numId w:val="1001"/>
        </w:numPr>
      </w:pPr>
      <w:r>
        <w:rPr>
          <w:b/>
          <w:bCs/>
        </w:rPr>
        <w:t xml:space="preserve">RAGIONAMENTO</w:t>
      </w:r>
      <w:r>
        <w:t xml:space="preserve"> </w:t>
      </w:r>
      <w:r>
        <w:rPr>
          <w:i/>
          <w:iCs/>
        </w:rPr>
        <w:t xml:space="preserve">(cornice clinica, non una prova)</w:t>
      </w:r>
    </w:p>
    <w:p>
      <w:pPr>
        <w:pStyle w:val="FirstParagraph"/>
      </w:pPr>
      <w:r>
        <w:t xml:space="preserve">Quando i pezzi di un’affermazione non hanno la stessa forza,</w:t>
      </w:r>
      <w:r>
        <w:t xml:space="preserve"> </w:t>
      </w:r>
      <w:r>
        <w:rPr>
          <w:b/>
          <w:bCs/>
        </w:rPr>
        <w:t xml:space="preserve">l’etichetta si spezza</w:t>
      </w:r>
      <w:r>
        <w:t xml:space="preserve">: ciascun pezzo porta la sua. Quando lo studio è su un’altra malattia, un’altra popolazione o un altro erogatore, accanto all’etichetta si scrive il</w:t>
      </w:r>
      <w:r>
        <w:t xml:space="preserve"> </w:t>
      </w:r>
      <w:r>
        <w:rPr>
          <w:b/>
          <w:bCs/>
        </w:rPr>
        <w:t xml:space="preserve">salto</w:t>
      </w:r>
      <w:r>
        <w:t xml:space="preserve">. Un salto dichiarato accompagna l’etichetta, e non ne ripara una troppo alta. La prova contraria si scrive nella frase, nominata e citata: l’etichetta resta quella che è.</w:t>
      </w:r>
    </w:p>
    <w:p>
      <w:pPr>
        <w:pStyle w:val="BodyText"/>
      </w:pPr>
      <w:r>
        <w:rPr>
          <w:b/>
          <w:bCs/>
        </w:rPr>
        <w:t xml:space="preserve">Come si studia questa Bibbia.</w:t>
      </w:r>
      <w:r>
        <w:t xml:space="preserve"> </w:t>
      </w:r>
      <w:r>
        <w:t xml:space="preserve">Prima lettura tutta di fila, senza appunti. Seconda passata con un paziente vero in testa, su «Cosa si rompe» e «Come ragiono davanti a questo paziente». Poi la prova che conta:</w:t>
      </w:r>
      <w:r>
        <w:t xml:space="preserve"> </w:t>
      </w:r>
      <w:r>
        <w:rPr>
          <w:b/>
          <w:bCs/>
        </w:rPr>
        <w:t xml:space="preserve">chiudi il documento e parla.</w:t>
      </w:r>
      <w:r>
        <w:t xml:space="preserve"> </w:t>
      </w:r>
      <w:r>
        <w:t xml:space="preserve">Di’ ad alta voce i cinque meccanismi e da cosa si sospetta ciascuno — quello che non sai dire non l’hai imparato. Prima del primo paziente leggi la</w:t>
      </w:r>
      <w:r>
        <w:t xml:space="preserve"> </w:t>
      </w:r>
      <w:r>
        <w:rPr>
          <w:b/>
          <w:bCs/>
        </w:rPr>
        <w:t xml:space="preserve">Mappa concettuale</w:t>
      </w:r>
      <w:r>
        <w:t xml:space="preserve">, due minuti: non la Bibbia. Dopo i primi tre pazienti rileggi «Dove finisce il nostro campo» e «Cosa dice la scienza»: dicono un’altra cosa quando hai avuto qualcuno davanti. A sei mesi, solo la Mappa. Se un blocco non ti riaccende il capitolo, quello è il capitolo da rileggere.</w:t>
      </w:r>
      <w:r>
        <w:t xml:space="preserve"> </w:t>
      </w: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2"/>
        </w:numPr>
      </w:pPr>
      <w:r>
        <w:t xml:space="preserve">La prosa afferma, l’etichetta qualifica. Un’affermazione senza etichetta è un’etichetta da cercare: ci deve essere.</w:t>
      </w:r>
    </w:p>
    <w:p>
      <w:pPr>
        <w:pStyle w:val="Compact"/>
        <w:numPr>
          <w:ilvl w:val="0"/>
          <w:numId w:val="1002"/>
        </w:numPr>
      </w:pPr>
      <w:r>
        <w:t xml:space="preserve">Le ancore sono due perché le prove sono di due tipi: chi ha misurato il meccanismo, e chi ha misurato la correzione.</w:t>
      </w:r>
    </w:p>
    <w:p>
      <w:pPr>
        <w:pStyle w:val="Compact"/>
        <w:numPr>
          <w:ilvl w:val="0"/>
          <w:numId w:val="1002"/>
        </w:numPr>
      </w:pPr>
      <w:r>
        <w:t xml:space="preserve">Il gonfiore è un sintomo, non una diagnosi: questo documento ti insegna a smistare prima che a trattare.</w:t>
      </w:r>
    </w:p>
    <w:p>
      <w:pPr>
        <w:pStyle w:val="Compact"/>
        <w:numPr>
          <w:ilvl w:val="0"/>
          <w:numId w:val="1002"/>
        </w:numPr>
      </w:pPr>
      <w:r>
        <w:rPr>
          <w:b/>
          <w:bCs/>
        </w:rPr>
        <w:t xml:space="preserve">Perché ci sei tu.</w:t>
      </w:r>
      <w:r>
        <w:t xml:space="preserve"> </w:t>
      </w:r>
      <w:r>
        <w:t xml:space="preserve">Il gesto che corregge il guasto principale di questa condizione è stato misurato contro un placebo due volte, dallo stesso gruppo. Nel primo studio il punteggio di distensione è sceso del 66% nel braccio trattato, senza effetto corrispondente nel braccio placebo (Barba, 2024, PMID 38467383). Nel secondo la distensione riferita è scesa del 56% contro il 13% di un placebo attivo a base di simeticone (Barba, 2017, PMID 28705783). Questo ti autorizza a studiare una leva che ha due randomizzati controllati con placebo alle spalle. Non ti autorizza a chiamarla osteopatia: in quegli studi il segnale che guidava il paziente veniva da un’apparecchiatura in un laboratorio di motilità.</w:t>
      </w:r>
    </w:p>
    <w:p>
      <w:pPr>
        <w:pStyle w:val="FirstParagraph"/>
      </w:pPr>
      <w:r>
        <w:t xml:space="preserve">Buon nutrimento!</w:t>
      </w:r>
    </w:p>
    <w:p>
      <w:r>
        <w:pict>
          <v:rect style="width:0;height:1.5pt" o:hralign="center" o:hrstd="t" o:hr="t"/>
        </w:pict>
      </w:r>
    </w:p>
    <w:bookmarkEnd w:id="9"/>
    <w:bookmarkStart w:id="13"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una donna che ha eliminato mezza tavola, ha fatto una colonscopia perfetta, e alle sei di sera sembra un’altra persona rispetto a come si è svegliata.</w:t>
      </w:r>
    </w:p>
    <w:bookmarkStart w:id="10" w:name="come-lo-racconta-lei"/>
    <w:p>
      <w:pPr>
        <w:pStyle w:val="Heading3"/>
      </w:pPr>
      <w:r>
        <w:t xml:space="preserve">Come lo racconta lei</w:t>
      </w:r>
    </w:p>
    <w:p>
      <w:pPr>
        <w:pStyle w:val="FirstParagraph"/>
      </w:pPr>
      <w:r>
        <w:t xml:space="preserve">Non parla di intestino. Parla di</w:t>
      </w:r>
      <w:r>
        <w:t xml:space="preserve"> </w:t>
      </w:r>
      <w:r>
        <w:rPr>
          <w:b/>
          <w:bCs/>
        </w:rPr>
        <w:t xml:space="preserve">vestiti</w:t>
      </w:r>
      <w:r>
        <w:t xml:space="preserve"> </w:t>
      </w:r>
      <w:r>
        <w:t xml:space="preserve">e di</w:t>
      </w:r>
      <w:r>
        <w:t xml:space="preserve"> </w:t>
      </w:r>
      <w:r>
        <w:rPr>
          <w:b/>
          <w:bCs/>
        </w:rPr>
        <w:t xml:space="preserve">orari</w:t>
      </w:r>
      <w:r>
        <w:t xml:space="preserve">.</w:t>
      </w:r>
    </w:p>
    <w:p>
      <w:pPr>
        <w:pStyle w:val="BodyText"/>
      </w:pPr>
      <w:r>
        <w:rPr>
          <w:i/>
          <w:iCs/>
        </w:rPr>
        <w:t xml:space="preserve">«La mattina sono piatta. Alle sei di sera sembro di quattro mesi. È lo stesso corpo, la stessa persona, e non ci capisco niente.»</w:t>
      </w:r>
    </w:p>
    <w:p>
      <w:pPr>
        <w:pStyle w:val="BodyText"/>
      </w:pPr>
      <w:r>
        <w:rPr>
          <w:i/>
          <w:iCs/>
        </w:rPr>
        <w:t xml:space="preserve">«Quando sono gonfia non respiro bene. La pancia spinge verso l’alto e il respiro non scende. Mi sento stretta dentro il mio stesso corpo.»</w:t>
      </w:r>
    </w:p>
    <w:p>
      <w:pPr>
        <w:pStyle w:val="BodyText"/>
      </w:pPr>
      <w:r>
        <w:t xml:space="preserve">Tieni quest’ultima frase: è l’unica che descrive un meccanismo, e nel verso giusto.</w:t>
      </w:r>
    </w:p>
    <w:bookmarkEnd w:id="10"/>
    <w:bookmarkStart w:id="11" w:name="cosa-ha-già-fatto"/>
    <w:p>
      <w:pPr>
        <w:pStyle w:val="Heading3"/>
      </w:pPr>
      <w:r>
        <w:t xml:space="preserve">Cosa ha già fatto</w:t>
      </w:r>
    </w:p>
    <w:p>
      <w:pPr>
        <w:pStyle w:val="FirstParagraph"/>
      </w:pPr>
      <w:r>
        <w:t xml:space="preserve">Ha tolto glutine, lattosio, lieviti, cipolla. Ha fatto la dieta a basso contenuto di FODMAP. Ha preso fermenti lattici, carbone vegetale, simeticone, enzimi digestivi, tisane. Ha fatto l’ecografia dell’addome, i test per le intolleranze, il breath test, spesso la colonscopia e la gastroscopia.</w:t>
      </w:r>
    </w:p>
    <w:p>
      <w:pPr>
        <w:pStyle w:val="BodyText"/>
      </w:pPr>
      <w:r>
        <w:t xml:space="preserve">Gli esami sono negativi, ed è la notizia migliore che abbia ricevuto. Poi le hanno detto</w:t>
      </w:r>
      <w:r>
        <w:t xml:space="preserve"> </w:t>
      </w:r>
      <w:r>
        <w:rPr>
          <w:i/>
          <w:iCs/>
        </w:rPr>
        <w:t xml:space="preserve">«è colon irritabile, ci devi convivere»</w:t>
      </w:r>
      <w:r>
        <w:t xml:space="preserve"> </w:t>
      </w:r>
      <w:r>
        <w:t xml:space="preserve">oppure</w:t>
      </w:r>
      <w:r>
        <w:t xml:space="preserve"> </w:t>
      </w:r>
      <w:r>
        <w:rPr>
          <w:i/>
          <w:iCs/>
        </w:rPr>
        <w:t xml:space="preserve">«è stress»</w:t>
      </w:r>
      <w:r>
        <w:t xml:space="preserve">, e lì la conversazione si è chiusa. Arriva stanca e diffidente: il percorso le ha detto cosa</w:t>
      </w:r>
      <w:r>
        <w:t xml:space="preserve"> </w:t>
      </w:r>
      <w:r>
        <w:rPr>
          <w:b/>
          <w:bCs/>
        </w:rPr>
        <w:t xml:space="preserve">non</w:t>
      </w:r>
      <w:r>
        <w:t xml:space="preserve"> </w:t>
      </w:r>
      <w:r>
        <w:t xml:space="preserve">ha, e niente su cosa fare.</w:t>
      </w:r>
    </w:p>
    <w:p>
      <w:pPr>
        <w:pStyle w:val="BodyText"/>
      </w:pPr>
      <w:r>
        <w:rPr>
          <w:b/>
          <w:bCs/>
        </w:rPr>
        <w:t xml:space="preserve">Quella lista non è una diagnosi differenziale fatta.</w:t>
      </w:r>
      <w:r>
        <w:t xml:space="preserve"> </w:t>
      </w:r>
      <w:r>
        <w:t xml:space="preserve">Una dieta senza glutine iniziata prima del test rende la</w:t>
      </w:r>
      <w:r>
        <w:t xml:space="preserve"> </w:t>
      </w:r>
      <w:r>
        <w:rPr>
          <w:b/>
          <w:bCs/>
        </w:rPr>
        <w:t xml:space="preserve">sierologia celiaca falsamente negativa</w:t>
      </w:r>
      <w:r>
        <w:t xml:space="preserve">. Chi ha tolto il glutine da sola non ha escluso la celiachia: si è chiusa la porta del test. Il consenso europeo chiede lo screening con anticorpi anti-transglutaminasi e IgA totali</w:t>
      </w:r>
      <w:r>
        <w:t xml:space="preserve"> </w:t>
      </w:r>
      <w:r>
        <w:rPr>
          <w:b/>
          <w:bCs/>
        </w:rPr>
        <w:t xml:space="preserve">mentre il paziente mangia glutine</w:t>
      </w:r>
      <w:r>
        <w:t xml:space="preserve"> </w:t>
      </w:r>
      <w:r>
        <w:t xml:space="preserve">(Melchior, 2025, PMID 40844856). L’aggiornamento americano lo raccomanda in tutti i pazienti con gonfiore (Moshiree, 2023, PMID 37452811). È un’informazione che passi al curante.</w:t>
      </w:r>
      <w:r>
        <w:t xml:space="preserve"> </w:t>
      </w:r>
      <w:r>
        <w:rPr>
          <w:b/>
          <w:bCs/>
        </w:rPr>
        <w:t xml:space="preserve">Non commenti la dieta e non le dici di rimettere il glutine: quella è una decisione del medico.</w:t>
      </w:r>
    </w:p>
    <w:bookmarkEnd w:id="11"/>
    <w:bookmarkStart w:id="12" w:name="cosa-nessuno-ha-guardato"/>
    <w:p>
      <w:pPr>
        <w:pStyle w:val="Heading3"/>
      </w:pPr>
      <w:r>
        <w:t xml:space="preserve">Cosa nessuno ha guardato</w:t>
      </w:r>
    </w:p>
    <w:p>
      <w:pPr>
        <w:pStyle w:val="FirstParagraph"/>
      </w:pPr>
      <w:r>
        <w:t xml:space="preserve">Nessuno le ha misurato la circonferenza addominale al mattino e alla sera. Nessuno le ha guardato come si muove il torace quando respira da seduta. Il percorso gastroenterologico cerca dentro il tubo, e lì ha fatto tutto quello che doveva. Il guasto principale non sta dentro il tubo: sta nei muscoli che gli stanno intorno, ed è l’unica parte del problema che si valuta con le mani.</w:t>
      </w:r>
    </w:p>
    <w:p>
      <w:pPr>
        <w:pStyle w:val="BodyText"/>
      </w:pPr>
      <w:r>
        <w:t xml:space="preserve">Le domande che ti farà sono tre, e le risposte le hai.</w:t>
      </w:r>
      <w:r>
        <w:t xml:space="preserve"> </w:t>
      </w:r>
      <w:r>
        <w:rPr>
          <w:i/>
          <w:iCs/>
        </w:rPr>
        <w:t xml:space="preserve">«Ho già tolto glutine e lattosio, perché sono ancora gonfia?»</w:t>
      </w:r>
      <w:r>
        <w:t xml:space="preserve"> </w:t>
      </w:r>
      <w:r>
        <w:t xml:space="preserve">e</w:t>
      </w:r>
      <w:r>
        <w:t xml:space="preserve"> </w:t>
      </w:r>
      <w:r>
        <w:rPr>
          <w:i/>
          <w:iCs/>
        </w:rPr>
        <w:t xml:space="preserve">«ma allora è tutta aria?»</w:t>
      </w:r>
      <w:r>
        <w:t xml:space="preserve"> </w:t>
      </w:r>
      <w:r>
        <w:t xml:space="preserve">stanno entrambe in «Cosa si rompe», primo e terzo meccanismo.</w:t>
      </w:r>
      <w:r>
        <w:t xml:space="preserve"> </w:t>
      </w:r>
      <w:r>
        <w:rPr>
          <w:i/>
          <w:iCs/>
        </w:rPr>
        <w:t xml:space="preserve">«Gli esami sono negativi, vuol dire che non ho niente?»</w:t>
      </w:r>
      <w:r>
        <w:t xml:space="preserve"> </w:t>
      </w:r>
      <w:r>
        <w:t xml:space="preserve">sta in «Dove finisce il nostro campo», e la parte che conta è cosa un esame negativo</w:t>
      </w:r>
      <w:r>
        <w:t xml:space="preserve"> </w:t>
      </w:r>
      <w:r>
        <w:rPr>
          <w:b/>
          <w:bCs/>
        </w:rPr>
        <w:t xml:space="preserve">non</w:t>
      </w:r>
      <w:r>
        <w:t xml:space="preserve"> </w:t>
      </w:r>
      <w:r>
        <w:t xml:space="preserve">esclude.</w:t>
      </w:r>
    </w:p>
    <w:p>
      <w:pPr>
        <w:pStyle w:val="BodyText"/>
      </w:pPr>
      <w:r>
        <w:rPr>
          <w:b/>
          <w:bCs/>
        </w:rPr>
        <w:t xml:space="preserve">Le tre cose da ricordare, più una</w:t>
      </w:r>
    </w:p>
    <w:p>
      <w:pPr>
        <w:pStyle w:val="Compact"/>
        <w:numPr>
          <w:ilvl w:val="0"/>
          <w:numId w:val="1003"/>
        </w:numPr>
      </w:pPr>
      <w:r>
        <w:t xml:space="preserve">Il segno che vale tutta l’anamnesi è uno:</w:t>
      </w:r>
      <w:r>
        <w:t xml:space="preserve"> </w:t>
      </w:r>
      <w:r>
        <w:rPr>
          <w:b/>
          <w:bCs/>
        </w:rPr>
        <w:t xml:space="preserve">piatta al mattino, distesa la sera.</w:t>
      </w:r>
      <w:r>
        <w:t xml:space="preserve"> </w:t>
      </w:r>
      <w:r>
        <w:t xml:space="preserve">Chiedilo per primo.</w:t>
      </w:r>
    </w:p>
    <w:p>
      <w:pPr>
        <w:pStyle w:val="Compact"/>
        <w:numPr>
          <w:ilvl w:val="0"/>
          <w:numId w:val="1003"/>
        </w:numPr>
      </w:pPr>
      <w:r>
        <w:t xml:space="preserve">La lista di cibi eliminati è un dato clinico e insieme un problema: l’alimentazione è già stata provata a fondo, e la celiachia potrebbe non essere più testabile.</w:t>
      </w:r>
    </w:p>
    <w:p>
      <w:pPr>
        <w:pStyle w:val="Compact"/>
        <w:numPr>
          <w:ilvl w:val="0"/>
          <w:numId w:val="1003"/>
        </w:numPr>
      </w:pPr>
      <w:r>
        <w:t xml:space="preserve">La frase</w:t>
      </w:r>
      <w:r>
        <w:t xml:space="preserve"> </w:t>
      </w:r>
      <w:r>
        <w:rPr>
          <w:i/>
          <w:iCs/>
        </w:rPr>
        <w:t xml:space="preserve">«quando sono gonfia non respiro»</w:t>
      </w:r>
      <w:r>
        <w:t xml:space="preserve"> </w:t>
      </w:r>
      <w:r>
        <w:t xml:space="preserve">è il paziente che ti descrive il meccanismo. Non liquidarla come figura retorica.</w:t>
      </w:r>
    </w:p>
    <w:p>
      <w:pPr>
        <w:pStyle w:val="Compact"/>
        <w:numPr>
          <w:ilvl w:val="0"/>
          <w:numId w:val="1003"/>
        </w:numPr>
      </w:pPr>
      <w:r>
        <w:rPr>
          <w:b/>
          <w:bCs/>
        </w:rPr>
        <w:t xml:space="preserve">Perché ci sei tu.</w:t>
      </w:r>
      <w:r>
        <w:t xml:space="preserve"> </w:t>
      </w:r>
      <w:r>
        <w:t xml:space="preserve">Quasi due persone su dieci nel mondo riferiscono gonfiore almeno una volta a settimana, e le donne circa il doppio degli uomini (Ballou, 2023, PMID 37315866). Questo ti autorizza a trattare il gonfiore come un motivo d’accesso ordinario e non come un capriccio estetico. Non ti autorizza a dedurne un bisogno di trattamento: il dato misura quanto è diffuso il sintomo, non quanti hanno bisogno di te.</w:t>
      </w:r>
    </w:p>
    <w:p>
      <w:r>
        <w:pict>
          <v:rect style="width:0;height:1.5pt" o:hralign="center" o:hrstd="t" o:hr="t"/>
        </w:pict>
      </w:r>
    </w:p>
    <w:bookmarkEnd w:id="12"/>
    <w:bookmarkEnd w:id="13"/>
    <w:bookmarkStart w:id="19" w:name="capitolo-2-che-cosè-davvero"/>
    <w:p>
      <w:pPr>
        <w:pStyle w:val="Heading2"/>
      </w:pPr>
      <w:r>
        <w:t xml:space="preserve">Capitolo 2 — Che cos’è davvero</w:t>
      </w:r>
    </w:p>
    <w:p>
      <w:pPr>
        <w:pStyle w:val="BlockText"/>
      </w:pPr>
      <w:r>
        <w:rPr>
          <w:b/>
          <w:bCs/>
        </w:rPr>
        <w:t xml:space="preserve">In una riga:</w:t>
      </w:r>
      <w:r>
        <w:t xml:space="preserve"> </w:t>
      </w:r>
      <w:r>
        <w:t xml:space="preserve">«gonfiore» e «distensione» sono due cose diverse, il paziente le chiama con lo stesso nome, e distinguerle cambia tutto quello che fai dopo.</w:t>
      </w:r>
    </w:p>
    <w:bookmarkStart w:id="14" w:name="le-due-parole-e-perché-non-sono-sinonimi"/>
    <w:p>
      <w:pPr>
        <w:pStyle w:val="Heading3"/>
      </w:pPr>
      <w:r>
        <w:t xml:space="preserve">Le due parole, e perché non sono sinonimi</w:t>
      </w:r>
    </w:p>
    <w:p>
      <w:pPr>
        <w:pStyle w:val="FirstParagraph"/>
      </w:pPr>
      <w:r>
        <w:rPr>
          <w:b/>
          <w:bCs/>
        </w:rPr>
        <w:t xml:space="preserve">Il gonfiore è una sensazione</w:t>
      </w:r>
      <w:r>
        <w:t xml:space="preserve">: pienezza, tensione, ingombro. Si misura solo chiedendoglielo.</w:t>
      </w:r>
      <w:r>
        <w:t xml:space="preserve"> </w:t>
      </w:r>
      <w:r>
        <w:rPr>
          <w:b/>
          <w:bCs/>
        </w:rPr>
        <w:t xml:space="preserve">La distensione è un segno</w:t>
      </w:r>
      <w:r>
        <w:t xml:space="preserve">: l’aumento visibile e misurabile della circonferenza addominale. Si misura con un metro a nastro.</w:t>
      </w:r>
    </w:p>
    <w:p>
      <w:pPr>
        <w:pStyle w:val="BodyText"/>
      </w:pPr>
      <w:r>
        <w:t xml:space="preserve">Vanno spesso insieme e non coincidono. Una donna può sentirsi gonfia con la circonferenza invariata, un’altra può avere cinque centimetri in più senza star male (Malagelada, 2017, PMID 28508867). Il consenso europeo le tiene separate per questo (Melchior, 2025, PMID 40844856). Da qui la prima decisione clinica del documento:</w:t>
      </w:r>
      <w:r>
        <w:t xml:space="preserve"> </w:t>
      </w:r>
      <w:r>
        <w:rPr>
          <w:b/>
          <w:bCs/>
        </w:rPr>
        <w:t xml:space="preserve">chi si sente gonfio e chi si vede gonfio non hanno lo stesso guasto, e non rispondono alle stesse leve.</w:t>
      </w:r>
    </w:p>
    <w:bookmarkEnd w:id="14"/>
    <w:bookmarkStart w:id="15" w:name="come-si-chiama-nel-referto"/>
    <w:p>
      <w:pPr>
        <w:pStyle w:val="Heading3"/>
      </w:pPr>
      <w:r>
        <w:t xml:space="preserve">Come si chiama nel referto</w:t>
      </w:r>
    </w:p>
    <w:p>
      <w:pPr>
        <w:pStyle w:val="FirstParagraph"/>
      </w:pPr>
      <w:r>
        <w:t xml:space="preserve">Il paziente arriva con una di queste etichette, e nessuna dice quello che lui pensa che dica.</w:t>
      </w:r>
    </w:p>
    <w:p>
      <w:pPr>
        <w:pStyle w:val="BodyText"/>
      </w:pPr>
      <w:r>
        <w:rPr>
          <w:b/>
          <w:bCs/>
        </w:rPr>
        <w:t xml:space="preserve">Gonfiore e distensione addominale funzionale.</w:t>
      </w:r>
      <w:r>
        <w:t xml:space="preserve"> </w:t>
      </w:r>
      <w:r>
        <w:t xml:space="preserve">È la diagnosi dei criteri di Roma IV. Si formula</w:t>
      </w:r>
      <w:r>
        <w:t xml:space="preserve"> </w:t>
      </w:r>
      <w:r>
        <w:rPr>
          <w:b/>
          <w:bCs/>
        </w:rPr>
        <w:t xml:space="preserve">dopo</w:t>
      </w:r>
      <w:r>
        <w:t xml:space="preserve"> </w:t>
      </w:r>
      <w:r>
        <w:t xml:space="preserve">aver escluso le cause organiche, sulla base della storia, dell’esame obiettivo e dell’assenza di segni d’allarme (Melchior, 2025, PMID 40844856).</w:t>
      </w:r>
      <w:r>
        <w:t xml:space="preserve"> </w:t>
      </w:r>
      <w:r>
        <w:t xml:space="preserve">“Funzionale”</w:t>
      </w:r>
      <w:r>
        <w:t xml:space="preserve"> </w:t>
      </w:r>
      <w:r>
        <w:t xml:space="preserve">significa che nessun esame trova un danno di struttura, non che il sintomo sia immaginato: qui il meccanismo è stato misurato con tomografia ed elettromiografia, ed è muscolare. È l’auto che passa la revisione e non parte lo stesso.</w:t>
      </w:r>
    </w:p>
    <w:p>
      <w:pPr>
        <w:pStyle w:val="BodyText"/>
      </w:pPr>
      <w:r>
        <w:rPr>
          <w:b/>
          <w:bCs/>
        </w:rPr>
        <w:t xml:space="preserve">Sindrome dell’intestino irritabile</w:t>
      </w:r>
      <w:r>
        <w:t xml:space="preserve"> </w:t>
      </w:r>
      <w:r>
        <w:t xml:space="preserve">e</w:t>
      </w:r>
      <w:r>
        <w:t xml:space="preserve"> </w:t>
      </w:r>
      <w:r>
        <w:rPr>
          <w:b/>
          <w:bCs/>
        </w:rPr>
        <w:t xml:space="preserve">dispepsia funzionale.</w:t>
      </w:r>
      <w:r>
        <w:t xml:space="preserve"> </w:t>
      </w:r>
      <w:r>
        <w:t xml:space="preserve">Nella prima il gonfiore è un sintomo fra altri: con dolore legato all’evacuazione e alvo alterato, usa la Bibbia del Colon irritabile. Nella seconda è alto, con sazietà precoce dopo il pasto: usa quella dei Problemi digestivi. E sappi che il guasto motorio che stai imparando a cercare è stato misurato anche lì (Barba, 2014, PMID 23645627).</w:t>
      </w:r>
    </w:p>
    <w:p>
      <w:pPr>
        <w:pStyle w:val="BlockText"/>
      </w:pPr>
      <w:r>
        <w:rPr>
          <w:b/>
          <w:bCs/>
        </w:rPr>
        <w:t xml:space="preserve">Attenzione.</w:t>
      </w:r>
      <w:r>
        <w:t xml:space="preserve"> </w:t>
      </w:r>
      <w:r>
        <w:t xml:space="preserve">La diagnosi è atto medico. Qui impari a leggere un referto e a capire cosa lascia fuori, non a formularne uno.</w:t>
      </w:r>
    </w:p>
    <w:bookmarkEnd w:id="15"/>
    <w:bookmarkStart w:id="16" w:name="quanto-è-diffuso-e-chi-arriva-da-te"/>
    <w:p>
      <w:pPr>
        <w:pStyle w:val="Heading3"/>
      </w:pPr>
      <w:r>
        <w:t xml:space="preserve">Quanto è diffuso, e chi arriva da te</w:t>
      </w:r>
    </w:p>
    <w:p>
      <w:pPr>
        <w:pStyle w:val="FirstParagraph"/>
      </w:pPr>
      <w:r>
        <w:t xml:space="preserve">In ambulatorio gastroenterologico sono arrivate 261 persone per gonfiore o distensione. Poco più di una su due aveva un disturbo funzionale, circa una su sei una causa organica. Il gruppo organico era</w:t>
      </w:r>
      <w:r>
        <w:t xml:space="preserve"> </w:t>
      </w:r>
      <w:r>
        <w:rPr>
          <w:b/>
          <w:bCs/>
        </w:rPr>
        <w:t xml:space="preserve">più anziano e con indice di massa corporea più basso</w:t>
      </w:r>
      <w:r>
        <w:t xml:space="preserve"> </w:t>
      </w:r>
      <w:r>
        <w:t xml:space="preserve">(Chen, 2024, PMID 38173159).</w:t>
      </w:r>
      <w:r>
        <w:t xml:space="preserve"> </w:t>
      </w:r>
      <w:r>
        <w:rPr>
          <w:b/>
          <w:bCs/>
        </w:rPr>
        <w:t xml:space="preserve">Per te:</w:t>
      </w:r>
      <w:r>
        <w:t xml:space="preserve"> </w:t>
      </w:r>
      <w:r>
        <w:t xml:space="preserve">una persona su sei fra quelle che ti si siedono davanti, se non ha ancora fatto un inquadramento, ha qualcosa che non è tuo.</w:t>
      </w:r>
    </w:p>
    <w:p>
      <w:pPr>
        <w:pStyle w:val="BodyText"/>
      </w:pPr>
      <w:r>
        <w:t xml:space="preserve">Nella popolazione generale la quota è più alta: quasi il 18% riferisce gonfiore almeno una volta a settimana (Ballou, 2023, PMID 37315866). Il primo numero misura chi ha chiesto aiuto, il secondo chi ha il sintomo. Lo stesso studio aggiunge il dato che serve al cancello:</w:t>
      </w:r>
      <w:r>
        <w:t xml:space="preserve"> </w:t>
      </w:r>
      <w:r>
        <w:rPr>
          <w:b/>
          <w:bCs/>
        </w:rPr>
        <w:t xml:space="preserve">la prevalenza cala con l’età.</w:t>
      </w:r>
      <w:r>
        <w:t xml:space="preserve"> </w:t>
      </w:r>
      <w:r>
        <w:t xml:space="preserve">Quindi un gonfiore nuovo in una persona anziana e magra è molto più sospetto della media.</w:t>
      </w:r>
    </w:p>
    <w:bookmarkEnd w:id="16"/>
    <w:bookmarkStart w:id="17" w:name="X52b6a26cc3809a74f9122a461013cd7aa62abe6"/>
    <w:p>
      <w:pPr>
        <w:pStyle w:val="Heading3"/>
      </w:pPr>
      <w:r>
        <w:t xml:space="preserve">Come evolve nel tempo, in una coorte in cura</w:t>
      </w:r>
    </w:p>
    <w:p>
      <w:pPr>
        <w:pStyle w:val="FirstParagraph"/>
      </w:pPr>
      <w:r>
        <w:t xml:space="preserve">Evolve meglio di quanto ti aspetti, ed è l’informazione che ti protegge dai meriti che non hai. Dei 261 arruolati</w:t>
      </w:r>
      <w:r>
        <w:t xml:space="preserve"> </w:t>
      </w:r>
      <w:r>
        <w:rPr>
          <w:b/>
          <w:bCs/>
        </w:rPr>
        <w:t xml:space="preserve">139 sono arrivati ai tre anni</w:t>
      </w:r>
      <w:r>
        <w:t xml:space="preserve">: quasi metà della coorte è andata persa. Fra chi ha completato</w:t>
      </w:r>
      <w:r>
        <w:t xml:space="preserve"> </w:t>
      </w:r>
      <w:r>
        <w:rPr>
          <w:b/>
          <w:bCs/>
        </w:rPr>
        <w:t xml:space="preserve">l’82% è migliorato e il 18% no</w:t>
      </w:r>
      <w:r>
        <w:t xml:space="preserve">, ed erano pazienti in cura abituale, non persone osservate senza fare nulla. Il dolore addominale, quando presente, era un fattore prognostico</w:t>
      </w:r>
      <w:r>
        <w:t xml:space="preserve"> </w:t>
      </w:r>
      <w:r>
        <w:rPr>
          <w:b/>
          <w:bCs/>
        </w:rPr>
        <w:t xml:space="preserve">favorevole</w:t>
      </w:r>
      <w:r>
        <w:t xml:space="preserve"> </w:t>
      </w:r>
      <w:r>
        <w:t xml:space="preserve">(Chen, 2024, PMID 38173159).</w:t>
      </w:r>
    </w:p>
    <w:p>
      <w:pPr>
        <w:pStyle w:val="BodyText"/>
      </w:pPr>
      <w:r>
        <w:rPr>
          <w:b/>
          <w:bCs/>
        </w:rPr>
        <w:t xml:space="preserve">Per te:</w:t>
      </w:r>
      <w:r>
        <w:t xml:space="preserve"> </w:t>
      </w:r>
      <w:r>
        <w:t xml:space="preserve">quattro pazienti su cinque migliorano nel giro di anni, e la fluttuazione da un giorno all’altro</w:t>
      </w:r>
      <w:r>
        <w:t xml:space="preserve"> </w:t>
      </w:r>
      <w:r>
        <w:rPr>
          <w:b/>
          <w:bCs/>
        </w:rPr>
        <w:t xml:space="preserve">è</w:t>
      </w:r>
      <w:r>
        <w:t xml:space="preserve"> </w:t>
      </w:r>
      <w:r>
        <w:t xml:space="preserve">il sintomo stesso. Quindi un singolo confronto prima-dopo non separa il tuo effetto dal decorso naturale. Il marker fuori piano e le misure ripetute sono l’unica difesa contro il merito immeritato.</w:t>
      </w:r>
    </w:p>
    <w:bookmarkEnd w:id="17"/>
    <w:bookmarkStart w:id="18" w:name="cosa-non-è"/>
    <w:p>
      <w:pPr>
        <w:pStyle w:val="Heading3"/>
      </w:pPr>
      <w:r>
        <w:t xml:space="preserve">Cosa non è</w:t>
      </w:r>
    </w:p>
    <w:p>
      <w:pPr>
        <w:pStyle w:val="Compact"/>
        <w:numPr>
          <w:ilvl w:val="0"/>
          <w:numId w:val="1004"/>
        </w:numPr>
      </w:pPr>
      <w:r>
        <w:rPr>
          <w:b/>
          <w:bCs/>
        </w:rPr>
        <w:t xml:space="preserve">Non è grasso addominale</w:t>
      </w:r>
      <w:r>
        <w:t xml:space="preserve">, che non compare alle sei di sera e non sparisce di notte. E</w:t>
      </w:r>
      <w:r>
        <w:t xml:space="preserve"> </w:t>
      </w:r>
      <w:r>
        <w:rPr>
          <w:b/>
          <w:bCs/>
        </w:rPr>
        <w:t xml:space="preserve">non è eruttazione sovragastrica</w:t>
      </w:r>
      <w:r>
        <w:t xml:space="preserve">, cioè aria deglutita e subito rilanciata, che risale in salve rapide durante la conversazione e mai nel sonno.</w:t>
      </w:r>
    </w:p>
    <w:p>
      <w:pPr>
        <w:pStyle w:val="Compact"/>
        <w:numPr>
          <w:ilvl w:val="0"/>
          <w:numId w:val="1004"/>
        </w:numPr>
      </w:pPr>
      <w:r>
        <w:rPr>
          <w:b/>
          <w:bCs/>
        </w:rPr>
        <w:t xml:space="preserve">Non è ascite.</w:t>
      </w:r>
      <w:r>
        <w:t xml:space="preserve"> </w:t>
      </w:r>
      <w:r>
        <w:t xml:space="preserve">Il discriminante utile a te non è l’orario: sono i tre segni che il consenso europeo nomina —</w:t>
      </w:r>
      <w:r>
        <w:t xml:space="preserve"> </w:t>
      </w:r>
      <w:r>
        <w:rPr>
          <w:b/>
          <w:bCs/>
        </w:rPr>
        <w:t xml:space="preserve">ottusità mobile ai fianchi, segno del fiotto, segno della pozza</w:t>
      </w:r>
      <w:r>
        <w:t xml:space="preserve"> </w:t>
      </w:r>
      <w:r>
        <w:t xml:space="preserve">(Melchior, 2025, PMID 40844856). Se li trovi, o se l’addome cresce e non regredisce la notte, vedi la riga corrispondente nelle bandiere rosse.</w:t>
      </w:r>
    </w:p>
    <w:p>
      <w:pPr>
        <w:pStyle w:val="Compact"/>
        <w:numPr>
          <w:ilvl w:val="0"/>
          <w:numId w:val="1004"/>
        </w:numPr>
      </w:pPr>
      <w:r>
        <w:rPr>
          <w:b/>
          <w:bCs/>
        </w:rPr>
        <w:t xml:space="preserve">Non è ritenzione di liquidi.</w:t>
      </w:r>
      <w:r>
        <w:t xml:space="preserve"> </w:t>
      </w:r>
      <w:r>
        <w:t xml:space="preserve">Un addome che cresce</w:t>
      </w:r>
      <w:r>
        <w:t xml:space="preserve"> </w:t>
      </w:r>
      <w:r>
        <w:rPr>
          <w:b/>
          <w:bCs/>
        </w:rPr>
        <w:t xml:space="preserve">insieme</w:t>
      </w:r>
      <w:r>
        <w:t xml:space="preserve"> </w:t>
      </w:r>
      <w:r>
        <w:t xml:space="preserve">a gambe e caviglie gonfie, o con aumento di peso, fa pensare a cirrosi, scompenso destro, sindrome nefrosica o carcinosi peritoneale. Si manda al curante, non a un’altra Bibbia.</w:t>
      </w:r>
    </w:p>
    <w:p>
      <w:pPr>
        <w:pStyle w:val="Compact"/>
        <w:numPr>
          <w:ilvl w:val="0"/>
          <w:numId w:val="1004"/>
        </w:numPr>
      </w:pPr>
      <w:r>
        <w:rPr>
          <w:b/>
          <w:bCs/>
        </w:rPr>
        <w:t xml:space="preserve">Non è celiachia — e qui va nominata.</w:t>
      </w:r>
      <w:r>
        <w:t xml:space="preserve"> </w:t>
      </w:r>
      <w:r>
        <w:t xml:space="preserve">La sierologia è raccomandata in tutti i pazienti con gonfiore (Moshiree, 2023, PMID 37452811) e va fatta</w:t>
      </w:r>
      <w:r>
        <w:t xml:space="preserve"> </w:t>
      </w:r>
      <w:r>
        <w:rPr>
          <w:b/>
          <w:bCs/>
        </w:rPr>
        <w:t xml:space="preserve">in dieta libera</w:t>
      </w:r>
      <w:r>
        <w:t xml:space="preserve">. La tua paziente tipica il glutine l’ha già tolto: se la celiachia non è stata cercata prima, adesso non è più cercabile senza riesposizione. È un’informazione da girare al curante, non una dieta da consigliare.</w:t>
      </w:r>
    </w:p>
    <w:p>
      <w:pPr>
        <w:pStyle w:val="Compact"/>
        <w:numPr>
          <w:ilvl w:val="0"/>
          <w:numId w:val="1004"/>
        </w:numPr>
      </w:pPr>
      <w:r>
        <w:rPr>
          <w:b/>
          <w:bCs/>
        </w:rPr>
        <w:t xml:space="preserve">Non è una gravidanza.</w:t>
      </w:r>
      <w:r>
        <w:t xml:space="preserve"> </w:t>
      </w:r>
      <w:r>
        <w:t xml:space="preserve">In una donna in età fertile con aumento di circonferenza e ritardo mestruale, questa è la prima cosa da escludere, prima di qualunque contatto profondo sull’addome.</w:t>
      </w:r>
    </w:p>
    <w:p>
      <w:pPr>
        <w:pStyle w:val="FirstParagraph"/>
      </w:pPr>
      <w:r>
        <w:rPr>
          <w:b/>
          <w:bCs/>
        </w:rPr>
        <w:t xml:space="preserve">Le tre cose da ricordare, più una</w:t>
      </w:r>
    </w:p>
    <w:p>
      <w:pPr>
        <w:pStyle w:val="Compact"/>
        <w:numPr>
          <w:ilvl w:val="0"/>
          <w:numId w:val="1005"/>
        </w:numPr>
      </w:pPr>
      <w:r>
        <w:rPr>
          <w:b/>
          <w:bCs/>
        </w:rPr>
        <w:t xml:space="preserve">Gonfiore è una sensazione, distensione è un segno.</w:t>
      </w:r>
      <w:r>
        <w:t xml:space="preserve"> </w:t>
      </w:r>
      <w:r>
        <w:t xml:space="preserve">Se non hai il metro a nastro, hai raccolto solo metà dell’informazione.</w:t>
      </w:r>
    </w:p>
    <w:p>
      <w:pPr>
        <w:pStyle w:val="Compact"/>
        <w:numPr>
          <w:ilvl w:val="0"/>
          <w:numId w:val="1005"/>
        </w:numPr>
      </w:pPr>
      <w:r>
        <w:t xml:space="preserve">“Funzionale”</w:t>
      </w:r>
      <w:r>
        <w:t xml:space="preserve"> </w:t>
      </w:r>
      <w:r>
        <w:t xml:space="preserve">vuol dire che nessun esame trova un danno, non che il meccanismo non esista: qui è muscolare, ed è stato misurato.</w:t>
      </w:r>
    </w:p>
    <w:p>
      <w:pPr>
        <w:pStyle w:val="Compact"/>
        <w:numPr>
          <w:ilvl w:val="0"/>
          <w:numId w:val="1005"/>
        </w:numPr>
      </w:pPr>
      <w:r>
        <w:t xml:space="preserve">La maggior parte dei pazienti migliora nel giro di anni. Quindi il tuo confronto prima-dopo dev’essere stretto e ripetuto, o non dimostra niente.</w:t>
      </w:r>
    </w:p>
    <w:p>
      <w:pPr>
        <w:pStyle w:val="Compact"/>
        <w:numPr>
          <w:ilvl w:val="0"/>
          <w:numId w:val="1005"/>
        </w:numPr>
      </w:pPr>
      <w:r>
        <w:rPr>
          <w:b/>
          <w:bCs/>
        </w:rPr>
        <w:t xml:space="preserve">Perché ci sei tu.</w:t>
      </w:r>
      <w:r>
        <w:t xml:space="preserve"> </w:t>
      </w:r>
      <w:r>
        <w:t xml:space="preserve">In tre anni solo il 22,7% dei pazienti ha mantenuto la stessa diagnosi funzionale: l’etichetta cambiava nella grande maggioranza dei casi (Chen, 2024, PMID 38173159). Questo ti autorizza a fondare il tuo lavoro su un reperto tuo e su un marker, non sull’etichetta che il paziente porta in mano. Non ti autorizza a sostituire quell’etichetta con una tua: che sia instabile non la rende superflua, la rende una fotografia da rifare.</w:t>
      </w:r>
    </w:p>
    <w:p>
      <w:r>
        <w:pict>
          <v:rect style="width:0;height:1.5pt" o:hralign="center" o:hrstd="t" o:hr="t"/>
        </w:pict>
      </w:r>
    </w:p>
    <w:bookmarkEnd w:id="18"/>
    <w:bookmarkEnd w:id="19"/>
    <w:bookmarkStart w:id="27" w:name="capitolo-3-le-strutture-in-gioco"/>
    <w:p>
      <w:pPr>
        <w:pStyle w:val="Heading2"/>
      </w:pPr>
      <w:r>
        <w:t xml:space="preserve">Capitolo 3 — Le strutture in gioco</w:t>
      </w:r>
    </w:p>
    <w:p>
      <w:pPr>
        <w:pStyle w:val="BlockText"/>
      </w:pPr>
      <w:r>
        <w:rPr>
          <w:b/>
          <w:bCs/>
        </w:rPr>
        <w:t xml:space="preserve">In una riga:</w:t>
      </w:r>
      <w:r>
        <w:t xml:space="preserve"> </w:t>
      </w:r>
      <w:r>
        <w:t xml:space="preserve">la cavità addominale è una stanza a</w:t>
      </w:r>
      <w:r>
        <w:t xml:space="preserve"> </w:t>
      </w:r>
      <w:r>
        <w:rPr>
          <w:b/>
          <w:bCs/>
        </w:rPr>
        <w:t xml:space="preserve">contenuto costante</w:t>
      </w:r>
      <w:r>
        <w:t xml:space="preserve">, con un tetto muscolare che si muove, quattro pareti che si adattano e un pavimento che quasi nessuno guarda; il gonfiore nasce quando tetto e pareti ne cambiano la forma nel verso sbagliato.</w:t>
      </w:r>
    </w:p>
    <w:bookmarkStart w:id="20" w:name="il-diaframma-il-tetto-della-stanza"/>
    <w:p>
      <w:pPr>
        <w:pStyle w:val="Heading3"/>
      </w:pPr>
      <w:r>
        <w:t xml:space="preserve">Il diaframma — il tetto della stanza</w:t>
      </w:r>
    </w:p>
    <w:p>
      <w:pPr>
        <w:pStyle w:val="FirstParagraph"/>
      </w:pPr>
      <w:r>
        <w:rPr>
          <w:b/>
          <w:bCs/>
        </w:rPr>
        <w:t xml:space="preserve">Cos’è.</w:t>
      </w:r>
      <w:r>
        <w:t xml:space="preserve"> </w:t>
      </w:r>
      <w:r>
        <w:t xml:space="preserve">Il muscolo a cupola che separa torace e addome, inserito su coste, sterno e primi corpi lombari. Contraendosi</w:t>
      </w:r>
      <w:r>
        <w:t xml:space="preserve"> </w:t>
      </w:r>
      <w:r>
        <w:rPr>
          <w:b/>
          <w:bCs/>
        </w:rPr>
        <w:t xml:space="preserve">scende</w:t>
      </w:r>
      <w:r>
        <w:t xml:space="preserve">, rilasciandosi</w:t>
      </w:r>
      <w:r>
        <w:t xml:space="preserve"> </w:t>
      </w:r>
      <w:r>
        <w:rPr>
          <w:b/>
          <w:bCs/>
        </w:rPr>
        <w:t xml:space="preserve">risale</w:t>
      </w:r>
      <w:r>
        <w:t xml:space="preserve">.</w:t>
      </w:r>
    </w:p>
    <w:p>
      <w:pPr>
        <w:pStyle w:val="BodyText"/>
      </w:pPr>
      <w:r>
        <w:rPr>
          <w:b/>
          <w:bCs/>
        </w:rPr>
        <w:t xml:space="preserve">Perché conta qui.</w:t>
      </w:r>
      <w:r>
        <w:t xml:space="preserve"> </w:t>
      </w:r>
      <w:r>
        <w:t xml:space="preserve">È l’unica parete che può cambiare la forma della cavità senza che entri o esca niente. Se scende, la cavità ha meno spazio in alto e il contenuto si sposta in avanti e in basso. È il primo anello del guasto principale.</w:t>
      </w:r>
    </w:p>
    <w:bookmarkEnd w:id="20"/>
    <w:bookmarkStart w:id="21" w:name="Xd82f27fd7d88f55dc2b23ed6373f5ab7b604661"/>
    <w:p>
      <w:pPr>
        <w:pStyle w:val="Heading3"/>
      </w:pPr>
      <w:r>
        <w:t xml:space="preserve">La parete addominale anterolaterale — i quattro muscoli che tengono la forma</w:t>
      </w:r>
    </w:p>
    <w:p>
      <w:pPr>
        <w:pStyle w:val="FirstParagraph"/>
      </w:pPr>
      <w:r>
        <w:rPr>
          <w:b/>
          <w:bCs/>
        </w:rPr>
        <w:t xml:space="preserve">Cos’è.</w:t>
      </w:r>
      <w:r>
        <w:t xml:space="preserve"> </w:t>
      </w:r>
      <w:r>
        <w:t xml:space="preserve">Il retto dell’addome davanti, e ai lati i tre strati sovrapposti: obliquo esterno, obliquo interno, trasverso. Regolano il</w:t>
      </w:r>
      <w:r>
        <w:t xml:space="preserve"> </w:t>
      </w:r>
      <w:r>
        <w:rPr>
          <w:b/>
          <w:bCs/>
        </w:rPr>
        <w:t xml:space="preserve">tono di contenimento</w:t>
      </w:r>
      <w:r>
        <w:t xml:space="preserve">, cioè tengono la sagoma quando il contenuto aumenta.</w:t>
      </w:r>
    </w:p>
    <w:p>
      <w:pPr>
        <w:pStyle w:val="BodyText"/>
      </w:pPr>
      <w:r>
        <w:rPr>
          <w:b/>
          <w:bCs/>
        </w:rPr>
        <w:t xml:space="preserve">Perché conta qui.</w:t>
      </w:r>
      <w:r>
        <w:t xml:space="preserve"> </w:t>
      </w:r>
      <w:r>
        <w:t xml:space="preserve">Il muscolo che in questi pazienti si comporta al contrario ha un nome preciso:</w:t>
      </w:r>
      <w:r>
        <w:t xml:space="preserve"> </w:t>
      </w:r>
      <w:r>
        <w:rPr>
          <w:b/>
          <w:bCs/>
        </w:rPr>
        <w:t xml:space="preserve">l’obliquo interno</w:t>
      </w:r>
      <w:r>
        <w:t xml:space="preserve">. Sotto carico di gas si rilassa invece di contrarsi, e l’obliquo esterno non produce l’aumento di tono che nel sano compare (Tremolaterra, 2006, PMID 16618400). Sono muscoli scheletrici, volontari, valutabili con le mani. Sono nostri.</w:t>
      </w:r>
    </w:p>
    <w:p>
      <w:pPr>
        <w:pStyle w:val="BlockText"/>
      </w:pPr>
      <w:r>
        <w:rPr>
          <w:b/>
          <w:bCs/>
        </w:rPr>
        <w:t xml:space="preserve">Definizione — che cosa vuol dire «sotto carico».</w:t>
      </w:r>
      <w:r>
        <w:t xml:space="preserve"> </w:t>
      </w:r>
      <w:r>
        <w:t xml:space="preserve">Negli studi il carico è un volume introdotto apposta: gas infuso nel digiuno, o un pasto sperimentale. In stanza quel carico non ce l’hai, e le sue veci le fanno</w:t>
      </w:r>
      <w:r>
        <w:t xml:space="preserve"> </w:t>
      </w:r>
      <w:r>
        <w:rPr>
          <w:b/>
          <w:bCs/>
        </w:rPr>
        <w:t xml:space="preserve">il pasto vero e l’ora della giornata</w:t>
      </w:r>
      <w:r>
        <w:t xml:space="preserve">. Chi valuta solo a stomaco vuoto non vedrà mai il guasto. Il secondo surrogato è il</w:t>
      </w:r>
      <w:r>
        <w:t xml:space="preserve"> </w:t>
      </w:r>
      <w:r>
        <w:rPr>
          <w:b/>
          <w:bCs/>
        </w:rPr>
        <w:t xml:space="preserve">verso che il paziente sa produrre</w:t>
      </w:r>
      <w:r>
        <w:t xml:space="preserve">, perché il pattern è riproducibile su comando (Livovsky, 2021, PMID 33670508): chiedergli di respirare facendo sporgere la pancia mostra quale verso quel corpo ha imparato.</w:t>
      </w:r>
    </w:p>
    <w:p>
      <w:pPr>
        <w:pStyle w:val="BlockText"/>
      </w:pPr>
      <w:r>
        <w:rPr>
          <w:b/>
          <w:bCs/>
        </w:rPr>
        <w:t xml:space="preserve">Quanto è solido:</w:t>
      </w:r>
      <w:r>
        <w:t xml:space="preserve"> </w:t>
      </w:r>
      <w:r>
        <w:t xml:space="preserve">l’etichetta si spezza. Scegliere il momento in cui valuti è</w:t>
      </w:r>
      <w:r>
        <w:t xml:space="preserve"> </w:t>
      </w:r>
      <w:r>
        <w:rPr>
          <w:b/>
          <w:bCs/>
        </w:rPr>
        <w:t xml:space="preserve">RAGIONAMENTO</w:t>
      </w:r>
      <w:r>
        <w:t xml:space="preserve"> </w:t>
      </w:r>
      <w:r>
        <w:rPr>
          <w:i/>
          <w:iCs/>
        </w:rPr>
        <w:t xml:space="preserve">(cornice clinica, non una prova)</w:t>
      </w:r>
      <w:r>
        <w:t xml:space="preserve">. Che la manovra volontaria valga come reperto è</w:t>
      </w:r>
      <w:r>
        <w:t xml:space="preserve"> </w:t>
      </w:r>
      <w:r>
        <w:rPr>
          <w:b/>
          <w:bCs/>
        </w:rPr>
        <w:t xml:space="preserve">IPOTESI</w:t>
      </w:r>
      <w:r>
        <w:t xml:space="preserve"> </w:t>
      </w:r>
      <w:r>
        <w:rPr>
          <w:i/>
          <w:iCs/>
        </w:rPr>
        <w:t xml:space="preserve">(meccanismo coerente, nessuno studio)</w:t>
      </w:r>
      <w:r>
        <w:t xml:space="preserve">: il pattern è riproducibile su comando in volontarie sane, e nessuno ha verificato che riprodurlo separi il paziente dal sano.</w:t>
      </w:r>
    </w:p>
    <w:p>
      <w:pPr>
        <w:pStyle w:val="FirstParagraph"/>
      </w:pPr>
      <w:r>
        <w:rPr>
          <w:b/>
          <w:bCs/>
        </w:rPr>
        <w:t xml:space="preserve">La parete che ha una storia.</w:t>
      </w:r>
      <w:r>
        <w:t xml:space="preserve"> </w:t>
      </w:r>
      <w:r>
        <w:t xml:space="preserve">Il muro che smette di spingere non è sempre un difetto di reclutamento: può esserlo di</w:t>
      </w:r>
      <w:r>
        <w:t xml:space="preserve"> </w:t>
      </w:r>
      <w:r>
        <w:rPr>
          <w:b/>
          <w:bCs/>
        </w:rPr>
        <w:t xml:space="preserve">struttura</w:t>
      </w:r>
      <w:r>
        <w:t xml:space="preserve">. Diastasi dei retti, linea alba cedevole, cicatrici di cesareo o laparoscopia. Dove la parete è cedevole per architettura, il riapprendimento motorio ha un tetto più basso, da dire al paziente prima e non dopo.</w:t>
      </w:r>
      <w:r>
        <w:t xml:space="preserve"> </w:t>
      </w:r>
      <w:r>
        <w:rPr>
          <w:b/>
          <w:bCs/>
        </w:rPr>
        <w:t xml:space="preserve">IPOTESI</w:t>
      </w:r>
      <w:r>
        <w:t xml:space="preserve"> </w:t>
      </w:r>
      <w:r>
        <w:rPr>
          <w:i/>
          <w:iCs/>
        </w:rPr>
        <w:t xml:space="preserve">(meccanismo coerente, nessuno studio)</w:t>
      </w:r>
      <w:r>
        <w:t xml:space="preserve">.</w:t>
      </w:r>
    </w:p>
    <w:bookmarkEnd w:id="21"/>
    <w:bookmarkStart w:id="22" w:name="Xcc05939014c523e59cba686d0142fcf382705c4"/>
    <w:p>
      <w:pPr>
        <w:pStyle w:val="Heading3"/>
      </w:pPr>
      <w:r>
        <w:t xml:space="preserve">Il pavimento — la parete che manca a quasi tutte le descrizioni</w:t>
      </w:r>
    </w:p>
    <w:p>
      <w:pPr>
        <w:pStyle w:val="FirstParagraph"/>
      </w:pPr>
      <w:r>
        <w:t xml:space="preserve">La pressione dentro l’addome ha tre facce: tetto, pareti e fondo. Se il perineo non partecipa, il volume che il tetto spinge in giù ha una sola via d’uscita, in avanti. Non partecipare significa scendere invece di risalire quando il paziente contrae la parete.</w:t>
      </w:r>
      <w:r>
        <w:t xml:space="preserve"> </w:t>
      </w:r>
      <w:r>
        <w:rPr>
          <w:b/>
          <w:bCs/>
        </w:rPr>
        <w:t xml:space="preserve">Perché conta qui.</w:t>
      </w:r>
      <w:r>
        <w:t xml:space="preserve"> </w:t>
      </w:r>
      <w:r>
        <w:t xml:space="preserve">Spiega il paziente che non riesce a reclutare la parete per quanto glielo insegni, e spiega il sottogruppo post-gravidico.</w:t>
      </w:r>
      <w:r>
        <w:t xml:space="preserve"> </w:t>
      </w:r>
      <w:r>
        <w:rPr>
          <w:b/>
          <w:bCs/>
        </w:rPr>
        <w:t xml:space="preserve">IPOTESI</w:t>
      </w:r>
      <w:r>
        <w:t xml:space="preserve"> </w:t>
      </w:r>
      <w:r>
        <w:rPr>
          <w:i/>
          <w:iCs/>
        </w:rPr>
        <w:t xml:space="preserve">(meccanismo coerente, nessuno studio)</w:t>
      </w:r>
      <w:r>
        <w:t xml:space="preserve">: nessuno l’ha misurato in questi pazienti.</w:t>
      </w:r>
    </w:p>
    <w:p>
      <w:pPr>
        <w:pStyle w:val="BlockText"/>
      </w:pPr>
      <w:r>
        <w:rPr>
          <w:b/>
          <w:bCs/>
        </w:rPr>
        <w:t xml:space="preserve">Attenzione.</w:t>
      </w:r>
      <w:r>
        <w:t xml:space="preserve"> </w:t>
      </w:r>
      <w:r>
        <w:t xml:space="preserve">Qui si parla di osservazione e lavoro</w:t>
      </w:r>
      <w:r>
        <w:t xml:space="preserve"> </w:t>
      </w:r>
      <w:r>
        <w:rPr>
          <w:b/>
          <w:bCs/>
        </w:rPr>
        <w:t xml:space="preserve">esterni</w:t>
      </w:r>
      <w:r>
        <w:t xml:space="preserve">, coordinati col respiro. Non è il riaddestramento anorettale del capitolo sui pattern, e</w:t>
      </w:r>
      <w:r>
        <w:t xml:space="preserve"> </w:t>
      </w:r>
      <w:r>
        <w:rPr>
          <w:b/>
          <w:bCs/>
        </w:rPr>
        <w:t xml:space="preserve">ogni contatto interno resta escluso dall’atto osteopatico dal DPR 131/2021</w:t>
      </w:r>
      <w:r>
        <w:t xml:space="preserve">.</w:t>
      </w:r>
    </w:p>
    <w:bookmarkEnd w:id="22"/>
    <w:bookmarkStart w:id="23" w:name="Xe8032f1b92a59f1e6493fef31fc4fedea7517a3"/>
    <w:p>
      <w:pPr>
        <w:pStyle w:val="Heading3"/>
      </w:pPr>
      <w:r>
        <w:t xml:space="preserve">I muscoli intercostali — la parte che nessuno guarda</w:t>
      </w:r>
    </w:p>
    <w:p>
      <w:pPr>
        <w:pStyle w:val="FirstParagraph"/>
      </w:pPr>
      <w:r>
        <w:t xml:space="preserve">Muovono le coste, e con esse il diametro antero-posteriore del torace. Durante gli episodi di distensione la loro attività elettrica sale del 14% e quel diametro aumenta di 6 mm (Barba, 2015, PMID 25500424). Sono anche</w:t>
      </w:r>
      <w:r>
        <w:t xml:space="preserve"> </w:t>
      </w:r>
      <w:r>
        <w:rPr>
          <w:b/>
          <w:bCs/>
        </w:rPr>
        <w:t xml:space="preserve">ricchi di fusi neuromuscolari</w:t>
      </w:r>
      <w:r>
        <w:t xml:space="preserve">, cioè di sensori di tensione, e il loro ingresso raggiunge i motoneuroni del frenico. È la porta di senso che il diaframma da solo non ha.</w:t>
      </w:r>
    </w:p>
    <w:p>
      <w:pPr>
        <w:pStyle w:val="BodyText"/>
      </w:pPr>
      <w:r>
        <w:rPr>
          <w:b/>
          <w:bCs/>
        </w:rPr>
        <w:t xml:space="preserve">Per te:</w:t>
      </w:r>
      <w:r>
        <w:t xml:space="preserve"> </w:t>
      </w:r>
      <w:r>
        <w:t xml:space="preserve">quando è distesa non ha solo la pancia più grande, ha il torace configurato diversamente. L’escursione toracica bassa che misuri è parte del quadro, non un reperto a parte.</w:t>
      </w:r>
    </w:p>
    <w:p>
      <w:pPr>
        <w:pStyle w:val="BlockText"/>
      </w:pPr>
      <w:r>
        <w:rPr>
          <w:b/>
          <w:bCs/>
        </w:rPr>
        <w:t xml:space="preserve">Attenzione — le coste basse.</w:t>
      </w:r>
      <w:r>
        <w:t xml:space="preserve"> </w:t>
      </w:r>
      <w:r>
        <w:t xml:space="preserve">Sono il bersaglio più nominato di questa condizione, e insieme la sede dell’evento avverso più documentato della terapia manuale sul torace: la frattura costale, riportata soprattutto in donne fra i 55 e i 75 anni e con osteopenia (To, 2020, PMID 32476664). Questa popolazione è in larga parte femminile, spesso magra, in parte post-menopausale. Età, magrezza, menopausa, calo di peso, cortisone protratto e una frattura da fragilità pregressa cambiano ciò che quella regione tollera. La conoscenza sta qui; la regola di dosaggio sta nella Procedura.</w:t>
      </w:r>
    </w:p>
    <w:bookmarkEnd w:id="23"/>
    <w:bookmarkStart w:id="24" w:name="X0814ec36bcc940a4e7b83cb0142f57ab378abcb"/>
    <w:p>
      <w:pPr>
        <w:pStyle w:val="Heading3"/>
      </w:pPr>
      <w:r>
        <w:t xml:space="preserve">La giunzione dorso-lombare — dove il diaframma poggia dietro</w:t>
      </w:r>
    </w:p>
    <w:p>
      <w:pPr>
        <w:pStyle w:val="FirstParagraph"/>
      </w:pPr>
      <w:r>
        <w:rPr>
          <w:b/>
          <w:bCs/>
        </w:rPr>
        <w:t xml:space="preserve">Cos’è.</w:t>
      </w:r>
      <w:r>
        <w:t xml:space="preserve"> </w:t>
      </w:r>
      <w:r>
        <w:t xml:space="preserve">Il passaggio fra ultime coste e prime lombari, dove i pilastri del diaframma si ancorano a L1-L3 a destra e L1-L2 a sinistra.</w:t>
      </w:r>
    </w:p>
    <w:p>
      <w:pPr>
        <w:pStyle w:val="BodyText"/>
      </w:pPr>
      <w:r>
        <w:rPr>
          <w:b/>
          <w:bCs/>
        </w:rPr>
        <w:t xml:space="preserve">Perché conta qui.</w:t>
      </w:r>
      <w:r>
        <w:t xml:space="preserve"> </w:t>
      </w:r>
      <w:r>
        <w:t xml:space="preserve">È l’unica regione vertebrale con un rapporto meccanico diretto con il tetto della stanza: se è rigida, l’escursione del diaframma è vincolata dalla sua base. È anche il livello segmentale che riceve le afferenze dell’intestino. Che tutto questo modifichi la distensione</w:t>
      </w:r>
      <w:r>
        <w:t xml:space="preserve"> </w:t>
      </w:r>
      <w:r>
        <w:rPr>
          <w:b/>
          <w:bCs/>
        </w:rPr>
        <w:t xml:space="preserve">non è stato misurato</w:t>
      </w:r>
      <w:r>
        <w:t xml:space="preserve">, e va detto ogni volta che la regione compare: le prove sui determinanti muscolo-scheletrici spinali sono preliminari (Zadeh, 2025, PMID 40636528).</w:t>
      </w:r>
    </w:p>
    <w:p>
      <w:pPr>
        <w:pStyle w:val="BlockText"/>
      </w:pPr>
      <w:r>
        <w:rPr>
          <w:b/>
          <w:bCs/>
        </w:rPr>
        <w:t xml:space="preserve">Attenzione — che cosa c’è sotto.</w:t>
      </w:r>
      <w:r>
        <w:t xml:space="preserve"> </w:t>
      </w:r>
      <w:r>
        <w:t xml:space="preserve">I pilastri si ancorano a L1-L3, e</w:t>
      </w:r>
      <w:r>
        <w:t xml:space="preserve"> </w:t>
      </w:r>
      <w:r>
        <w:rPr>
          <w:b/>
          <w:bCs/>
        </w:rPr>
        <w:t xml:space="preserve">l’aorta addominale decorre davanti agli stessi corpi vertebrali</w:t>
      </w:r>
      <w:r>
        <w:t xml:space="preserve"> </w:t>
      </w:r>
      <w:r>
        <w:t xml:space="preserve">fino alla biforcazione in L4, con la loggia renale ai lati. Un contatto anteriore profondo qui è un contatto sopra l’aorta. L’aneurisma dell’aorta addominale è asintomatico fino alla rottura, e il suo unico reperto obiettivo è una massa</w:t>
      </w:r>
      <w:r>
        <w:t xml:space="preserve"> </w:t>
      </w:r>
      <w:r>
        <w:rPr>
          <w:b/>
          <w:bCs/>
        </w:rPr>
        <w:t xml:space="preserve">pulsante ed espansiva</w:t>
      </w:r>
      <w:r>
        <w:t xml:space="preserve"> </w:t>
      </w:r>
      <w:r>
        <w:t xml:space="preserve">sulla linea mediana (Chaikof, 2018, PMID 29268916). Una pulsazione ampia ed espansiva sotto la mano non è un reperto da qualificare: è un reperto da cui si toglie la mano. E davanti alla colonna, accanto all’aorta, c’è il</w:t>
      </w:r>
      <w:r>
        <w:t xml:space="preserve"> </w:t>
      </w:r>
      <w:r>
        <w:rPr>
          <w:b/>
          <w:bCs/>
        </w:rPr>
        <w:t xml:space="preserve">pancreas</w:t>
      </w:r>
      <w:r>
        <w:t xml:space="preserve">. Ne esiste un caso descritto di rottura dopo un massaggio addominale vigoroso, con emorragia massiva e laparotomia d’urgenza (</w:t>
      </w:r>
      <w:r>
        <w:rPr>
          <w:i/>
          <w:iCs/>
        </w:rPr>
        <w:t xml:space="preserve">World J Clin Cases</w:t>
      </w:r>
      <w:r>
        <w:t xml:space="preserve"> </w:t>
      </w:r>
      <w:r>
        <w:t xml:space="preserve">2022, PMID 35663070). È un caso singolo, riportato dagli autori come il primo: non stabilisce un’incidenza, stabilisce che l’evento è possibile.</w:t>
      </w:r>
    </w:p>
    <w:bookmarkEnd w:id="24"/>
    <w:bookmarkStart w:id="26" w:name="Xff43e9f7bf085819e68513a691f5e271f9efdb3"/>
    <w:p>
      <w:pPr>
        <w:pStyle w:val="Heading3"/>
      </w:pPr>
      <w:r>
        <w:t xml:space="preserve">L’innervazione — la mappa che serve, e quella che non serve</w:t>
      </w:r>
    </w:p>
    <w:p>
      <w:pPr>
        <w:pStyle w:val="FirstParagraph"/>
      </w:pPr>
      <w:r>
        <w:t xml:space="preserve">Il diaframma riceve il</w:t>
      </w:r>
      <w:r>
        <w:t xml:space="preserve"> </w:t>
      </w:r>
      <w:r>
        <w:rPr>
          <w:b/>
          <w:bCs/>
        </w:rPr>
        <w:t xml:space="preserve">nervo frenico</w:t>
      </w:r>
      <w:r>
        <w:t xml:space="preserve">, da C3-C5. È l’unico ponte cervicale che questa condizione possiede, ed è</w:t>
      </w:r>
      <w:r>
        <w:t xml:space="preserve"> </w:t>
      </w:r>
      <w:r>
        <w:rPr>
          <w:b/>
          <w:bCs/>
        </w:rPr>
        <w:t xml:space="preserve">misto</w:t>
      </w:r>
      <w:r>
        <w:t xml:space="preserve">: circa un terzo delle fibre porta informazione dal diaframma al midollo. Non è una via viscerale e non lo diventa. È l’unica via afferente che il collo ha verso il diaframma, e nessuno ha verificato che un contatto la usi.</w:t>
      </w:r>
    </w:p>
    <w:p>
      <w:pPr>
        <w:pStyle w:val="BodyText"/>
      </w:pPr>
      <w:r>
        <w:t xml:space="preserve">Il colon segue una catena diversa, e la parte che conta è quella</w:t>
      </w:r>
      <w:r>
        <w:t xml:space="preserve"> </w:t>
      </w:r>
      <w:r>
        <w:rPr>
          <w:b/>
          <w:bCs/>
        </w:rPr>
        <w:t xml:space="preserve">afferente</w:t>
      </w:r>
      <w:r>
        <w:t xml:space="preserve">, cioè quella che porta la sensazione. Le afferenze del colon fino al sigma corrono con gli</w:t>
      </w:r>
      <w:r>
        <w:t xml:space="preserve"> </w:t>
      </w:r>
      <w:r>
        <w:rPr>
          <w:b/>
          <w:bCs/>
        </w:rPr>
        <w:t xml:space="preserve">splancnici</w:t>
      </w:r>
      <w:r>
        <w:t xml:space="preserve"> </w:t>
      </w:r>
      <w:r>
        <w:t xml:space="preserve">e arrivano al corno dorsale</w:t>
      </w:r>
      <w:r>
        <w:t xml:space="preserve"> </w:t>
      </w:r>
      <w:r>
        <w:rPr>
          <w:b/>
          <w:bCs/>
        </w:rPr>
        <w:t xml:space="preserve">T5-L2</w:t>
      </w:r>
      <w:r>
        <w:t xml:space="preserve">. Quelle predominanti per la distensione del retto arrivano dagli</w:t>
      </w:r>
      <w:r>
        <w:t xml:space="preserve"> </w:t>
      </w:r>
      <w:r>
        <w:rPr>
          <w:b/>
          <w:bCs/>
        </w:rPr>
        <w:t xml:space="preserve">splancnici pelvici, S2-S4</w:t>
      </w:r>
      <w:r>
        <w:t xml:space="preserve">. Le vagali portano informazione regolatoria, non nocicettiva.</w:t>
      </w:r>
      <w:r>
        <w:t xml:space="preserve"> </w:t>
      </w:r>
      <w:r>
        <w:rPr>
          <w:b/>
          <w:bCs/>
        </w:rPr>
        <w:t xml:space="preserve">Conseguenza pratica:</w:t>
      </w:r>
      <w:r>
        <w:t xml:space="preserve"> </w:t>
      </w:r>
      <w:r>
        <w:t xml:space="preserve">il livello segmentale che riceve l’ingresso di questo sintomo è il</w:t>
      </w:r>
      <w:r>
        <w:t xml:space="preserve"> </w:t>
      </w:r>
      <w:r>
        <w:rPr>
          <w:b/>
          <w:bCs/>
        </w:rPr>
        <w:t xml:space="preserve">toracico basso e dorso-lombare</w:t>
      </w:r>
      <w:r>
        <w:t xml:space="preserve"> </w:t>
      </w:r>
      <w:r>
        <w:t xml:space="preserve">— dove metti già le mani, e adesso non solo per una ragione meccanica.</w:t>
      </w:r>
    </w:p>
    <w:p>
      <w:pPr>
        <w:pStyle w:val="BlockText"/>
      </w:pPr>
      <w:r>
        <w:rPr>
          <w:b/>
          <w:bCs/>
        </w:rPr>
        <w:t xml:space="preserve">Attenzione.</w:t>
      </w:r>
      <w:r>
        <w:t xml:space="preserve"> </w:t>
      </w:r>
      <w:r>
        <w:t xml:space="preserve">Non esiste una proiezione riflessa del colon sul rachide cervicale. Cercarlo è tempo perso su un distretto che quel viscere non raggiunge. La cervicale entra qui per una sola porta, il frenico, e per una sola ragione, la ventilazione.</w:t>
      </w:r>
    </w:p>
    <w:p>
      <w:pPr>
        <w:pStyle w:val="FirstParagraph"/>
      </w:pPr>
      <w:r>
        <w:rPr>
          <w:b/>
          <w:bCs/>
        </w:rPr>
        <w:t xml:space="preserve">La chicca.</w:t>
      </w:r>
      <w:r>
        <w:t xml:space="preserve"> </w:t>
      </w:r>
      <w:r>
        <w:t xml:space="preserve">La flessura splenica è insieme lo spartiacque nervoso del colon e il punto in cui il colon è</w:t>
      </w:r>
      <w:r>
        <w:t xml:space="preserve"> </w:t>
      </w:r>
      <w:r>
        <w:rPr>
          <w:b/>
          <w:bCs/>
        </w:rPr>
        <w:t xml:space="preserve">appeso al diaframma</w:t>
      </w:r>
      <w:r>
        <w:t xml:space="preserve">, dal legamento freno-colico. Un diaframma che non risale carica proprio quel segmento, che diventa un reperto atteso.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nessuno ha misurato il carico sul legamento freno-colico in questi pazienti.</w:t>
      </w:r>
    </w:p>
    <w:p>
      <w:pPr>
        <w:pStyle w:val="FirstParagraph"/>
      </w:pPr>
      <w:r>
        <w:rPr>
          <w:b/>
          <w:bCs/>
        </w:rPr>
        <w:t xml:space="preserve">Le tre cose da ricordare, più una</w:t>
      </w:r>
    </w:p>
    <w:p>
      <w:pPr>
        <w:pStyle w:val="Compact"/>
        <w:numPr>
          <w:ilvl w:val="0"/>
          <w:numId w:val="1006"/>
        </w:numPr>
      </w:pPr>
      <w:r>
        <w:t xml:space="preserve">La forma della stanza non è fissa: la cambia il diaframma, e di parecchio. Il contenuto in genere è lo stesso.</w:t>
      </w:r>
    </w:p>
    <w:p>
      <w:pPr>
        <w:pStyle w:val="Compact"/>
        <w:numPr>
          <w:ilvl w:val="0"/>
          <w:numId w:val="1006"/>
        </w:numPr>
      </w:pPr>
      <w:r>
        <w:t xml:space="preserve">L’obliquo interno è il muscolo che si comporta al contrario. Sapere il nome cambia dove appoggi la mano.</w:t>
      </w:r>
    </w:p>
    <w:p>
      <w:pPr>
        <w:pStyle w:val="Compact"/>
        <w:numPr>
          <w:ilvl w:val="0"/>
          <w:numId w:val="1006"/>
        </w:numPr>
      </w:pPr>
      <w:r>
        <w:t xml:space="preserve">Il colon distale non parla al collo. La sua sensazione arriva al toracico basso e alla dorso-lombare — e sotto quella regione, davanti, c’è l’aorta.</w:t>
      </w:r>
    </w:p>
    <w:p>
      <w:pPr>
        <w:pStyle w:val="Heading2"/>
        <w:numPr>
          <w:ilvl w:val="0"/>
          <w:numId w:val="1006"/>
        </w:numPr>
      </w:pPr>
      <w:bookmarkStart w:id="25" w:name="X92def5beed8de145e3fd74ae2ce644932b135d0"/>
      <w:r>
        <w:rPr>
          <w:b/>
          <w:bCs/>
        </w:rPr>
        <w:t xml:space="preserve">Perché ci sei tu.</w:t>
      </w:r>
      <w:r>
        <w:t xml:space="preserve"> </w:t>
      </w:r>
      <w:r>
        <w:t xml:space="preserve">Nei sani un carico di gas fa contrarre l’obliquo esterno dell’11%. Sotto lo stesso carico, nei pazienti la parete non si contrae affatto e l’obliquo interno si rilassa del 26% (Tremolaterra, 2006, PMID 16618400). Questo ti autorizza a dire che il bersaglio è muscolo-scheletrico, e quindi nel tuo dominio. Non ti autorizza a dire che il tuo tocco corregge quel comportamento: lo studio ha misurato il guasto, non un trattamento.</w:t>
      </w:r>
      <w:bookmarkEnd w:id="25"/>
    </w:p>
    <w:bookmarkEnd w:id="26"/>
    <w:bookmarkEnd w:id="27"/>
    <w:bookmarkStart w:id="28"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in un addome sano l’arrivo di volume viene accolto da una risposta coordinata — il diaframma sale e la parete anteriore si contrae — e la pancia cambia forma pochissimo.</w:t>
      </w:r>
    </w:p>
    <w:p>
      <w:pPr>
        <w:pStyle w:val="FirstParagraph"/>
      </w:pPr>
      <w:r>
        <w:t xml:space="preserve">Il fenomeno si chiama</w:t>
      </w:r>
      <w:r>
        <w:t xml:space="preserve"> </w:t>
      </w:r>
      <w:r>
        <w:rPr>
          <w:b/>
          <w:bCs/>
        </w:rPr>
        <w:t xml:space="preserve">accomodazione addominale</w:t>
      </w:r>
      <w:r>
        <w:t xml:space="preserve">. Non è la pancia che si lascia spingere: è un riflesso motorio che ridistribuisce il contenuto nel modo che costa meno. È la valigia che si chiude spostando le cose dentro, non prendendone una più grande. È stato misurato nell’uomo con elettromiografia, metro a nastro e tomografia (Villoria, 2008, PMID 18786126).</w:t>
      </w:r>
    </w:p>
    <w:p>
      <w:pPr>
        <w:pStyle w:val="Compact"/>
        <w:numPr>
          <w:ilvl w:val="0"/>
          <w:numId w:val="1007"/>
        </w:numPr>
      </w:pPr>
      <w:r>
        <w:rPr>
          <w:b/>
          <w:bCs/>
        </w:rPr>
        <w:t xml:space="preserve">In piedi, a riposo, il tono della parete anteriore è alto e quello del diaframma è basso.</w:t>
      </w:r>
      <w:r>
        <w:t xml:space="preserve"> </w:t>
      </w:r>
      <w:r>
        <w:t xml:space="preserve">Da sdraiati si inverte.</w:t>
      </w:r>
    </w:p>
    <w:p>
      <w:pPr>
        <w:pStyle w:val="Compact"/>
        <w:numPr>
          <w:ilvl w:val="0"/>
          <w:numId w:val="1007"/>
        </w:numPr>
      </w:pPr>
      <w:r>
        <w:rPr>
          <w:b/>
          <w:bCs/>
        </w:rPr>
        <w:t xml:space="preserve">Arriva volume nella cavità.</w:t>
      </w:r>
      <w:r>
        <w:t xml:space="preserve"> </w:t>
      </w:r>
      <w:r>
        <w:t xml:space="preserve">Nello studio era un litro e mezzo di gas</w:t>
      </w:r>
      <w:r>
        <w:t xml:space="preserve"> </w:t>
      </w:r>
      <w:r>
        <w:rPr>
          <w:b/>
          <w:bCs/>
        </w:rPr>
        <w:t xml:space="preserve">infuso in laboratorio</w:t>
      </w:r>
      <w:r>
        <w:t xml:space="preserve">: un carico sperimentale, non una quantità che si produce mangiando.</w:t>
      </w:r>
    </w:p>
    <w:p>
      <w:pPr>
        <w:pStyle w:val="Compact"/>
        <w:numPr>
          <w:ilvl w:val="0"/>
          <w:numId w:val="1007"/>
        </w:numPr>
      </w:pPr>
      <w:r>
        <w:rPr>
          <w:b/>
          <w:bCs/>
        </w:rPr>
        <w:t xml:space="preserve">Il diaframma si rilassa e risale</w:t>
      </w:r>
      <w:r>
        <w:t xml:space="preserve">: attività elettrica giù del 21%, escursione verso l’alto di 17,6 mm.</w:t>
      </w:r>
    </w:p>
    <w:p>
      <w:pPr>
        <w:pStyle w:val="Compact"/>
        <w:numPr>
          <w:ilvl w:val="0"/>
          <w:numId w:val="1007"/>
        </w:numPr>
      </w:pPr>
      <w:r>
        <w:rPr>
          <w:b/>
          <w:bCs/>
        </w:rPr>
        <w:t xml:space="preserve">La parete anteriore si contrae.</w:t>
      </w:r>
    </w:p>
    <w:p>
      <w:pPr>
        <w:pStyle w:val="Compact"/>
        <w:numPr>
          <w:ilvl w:val="0"/>
          <w:numId w:val="1007"/>
        </w:numPr>
      </w:pPr>
      <w:r>
        <w:rPr>
          <w:b/>
          <w:bCs/>
        </w:rPr>
        <w:t xml:space="preserve">Il contenuto si sposta verso l’alto, sotto le coste, dove c’è spazio</w:t>
      </w:r>
      <w:r>
        <w:t xml:space="preserve">, e la circonferenza aumenta di 7,3 mm.</w:t>
      </w:r>
    </w:p>
    <w:p>
      <w:pPr>
        <w:pStyle w:val="FirstParagraph"/>
      </w:pPr>
      <w:r>
        <w:t xml:space="preserve">Sette millimetri: il prezzo che un addome sano paga per accogliere un litro e mezzo di gas infuso.</w:t>
      </w:r>
    </w:p>
    <w:p>
      <w:pPr>
        <w:pStyle w:val="BodyText"/>
      </w:pPr>
      <w:r>
        <w:rPr>
          <w:b/>
          <w:bCs/>
        </w:rPr>
        <w:t xml:space="preserve">Per te:</w:t>
      </w:r>
      <w:r>
        <w:t xml:space="preserve"> </w:t>
      </w:r>
      <w:r>
        <w:t xml:space="preserve">valuti</w:t>
      </w:r>
      <w:r>
        <w:t xml:space="preserve"> </w:t>
      </w:r>
      <w:r>
        <w:rPr>
          <w:b/>
          <w:bCs/>
        </w:rPr>
        <w:t xml:space="preserve">in piedi</w:t>
      </w:r>
      <w:r>
        <w:t xml:space="preserve">, perché lì il corpo usa la risposta che stai cercando. E la postura resta identica fra i due rilievi: altrimenti non confronti due momenti, confronti due fisiologie.</w:t>
      </w:r>
    </w:p>
    <w:p>
      <w:pPr>
        <w:pStyle w:val="BodyText"/>
      </w:pPr>
      <w:r>
        <w:rPr>
          <w:b/>
          <w:bCs/>
        </w:rPr>
        <w:t xml:space="preserve">Da sdraiati la risposta si capovolge.</w:t>
      </w:r>
      <w:r>
        <w:t xml:space="preserve"> </w:t>
      </w:r>
      <w:r>
        <w:t xml:space="preserve">Il diaframma si contrae del 15% invece di rilassarsi, la parete priva di tono posturale non cambia, e la circonferenza aumenta di 8,6 mm. Come il tuo paziente accoglie un pasto dipende anche da come sta messo mentre lo accoglie.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misura diretta su soggetti sani (Villoria,</w:t>
      </w:r>
      <w:r>
        <w:t xml:space="preserve"> </w:t>
      </w:r>
      <w:r>
        <w:rPr>
          <w:i/>
          <w:iCs/>
        </w:rPr>
        <w:t xml:space="preserve">Am J Gastroenterol</w:t>
      </w:r>
      <w:r>
        <w:t xml:space="preserve"> </w:t>
      </w:r>
      <w:r>
        <w:t xml:space="preserve">2008, PMID 18786126).</w:t>
      </w:r>
    </w:p>
    <w:p>
      <w:pPr>
        <w:pStyle w:val="FirstParagraph"/>
      </w:pPr>
      <w:r>
        <w:t xml:space="preserve">Questo è il sistema che funziona. Ora vediamo dove si rompe.</w:t>
      </w:r>
    </w:p>
    <w:p>
      <w:pPr>
        <w:pStyle w:val="BodyText"/>
      </w:pPr>
      <w:r>
        <w:rPr>
          <w:b/>
          <w:bCs/>
        </w:rPr>
        <w:t xml:space="preserve">Le tre cose da ricordare, più una</w:t>
      </w:r>
    </w:p>
    <w:p>
      <w:pPr>
        <w:pStyle w:val="Compact"/>
        <w:numPr>
          <w:ilvl w:val="0"/>
          <w:numId w:val="1008"/>
        </w:numPr>
      </w:pPr>
      <w:r>
        <w:t xml:space="preserve">L’accomodazione è</w:t>
      </w:r>
      <w:r>
        <w:t xml:space="preserve"> </w:t>
      </w:r>
      <w:r>
        <w:rPr>
          <w:b/>
          <w:bCs/>
        </w:rPr>
        <w:t xml:space="preserve">attiva</w:t>
      </w:r>
      <w:r>
        <w:t xml:space="preserve">: la pancia sana non subisce il volume, lo ridistribuisce.</w:t>
      </w:r>
    </w:p>
    <w:p>
      <w:pPr>
        <w:pStyle w:val="Compact"/>
        <w:numPr>
          <w:ilvl w:val="0"/>
          <w:numId w:val="1008"/>
        </w:numPr>
      </w:pPr>
      <w:r>
        <w:t xml:space="preserve">Nel sano il diaframma</w:t>
      </w:r>
      <w:r>
        <w:t xml:space="preserve"> </w:t>
      </w:r>
      <w:r>
        <w:rPr>
          <w:b/>
          <w:bCs/>
        </w:rPr>
        <w:t xml:space="preserve">sale</w:t>
      </w:r>
      <w:r>
        <w:t xml:space="preserve"> </w:t>
      </w:r>
      <w:r>
        <w:t xml:space="preserve">quando arriva volume. È il verso normale, ed è quello che serve per riconoscere l’anomalia.</w:t>
      </w:r>
    </w:p>
    <w:p>
      <w:pPr>
        <w:pStyle w:val="Compact"/>
        <w:numPr>
          <w:ilvl w:val="0"/>
          <w:numId w:val="1008"/>
        </w:numPr>
      </w:pPr>
      <w:r>
        <w:t xml:space="preserve">La postura cambia la risposta: in piedi e da sdraiati il corpo accoglie un pasto in due modi diversi.</w:t>
      </w:r>
    </w:p>
    <w:p>
      <w:pPr>
        <w:pStyle w:val="Compact"/>
        <w:numPr>
          <w:ilvl w:val="0"/>
          <w:numId w:val="1008"/>
        </w:numPr>
      </w:pPr>
      <w:r>
        <w:rPr>
          <w:b/>
          <w:bCs/>
        </w:rPr>
        <w:t xml:space="preserve">Perché ci sei tu.</w:t>
      </w:r>
      <w:r>
        <w:t xml:space="preserve"> </w:t>
      </w:r>
      <w:r>
        <w:t xml:space="preserve">La risposta normale a un carico comprende un rilassamento del diaframma del 21% e una risalita di 17,6 mm, cioè un evento muscolo-scheletrico misurato nell’uomo (Villoria, 2008, PMID 18786126). Questo ti autorizza a valutare il paziente in piedi e non solo sdraiato. Non ti autorizza a dedurne una postura da correggere: il dato descrive due configurazioni normali, non una giusta e una sbagliata.</w:t>
      </w:r>
    </w:p>
    <w:p>
      <w:r>
        <w:pict>
          <v:rect style="width:0;height:1.5pt" o:hralign="center" o:hrstd="t" o:hr="t"/>
        </w:pict>
      </w:r>
    </w:p>
    <w:bookmarkEnd w:id="28"/>
    <w:bookmarkStart w:id="34"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nella grande maggioranza dei pazienti il contenuto dell’addome non è aumentato — è la forma del contenitore a essere cambiata, perché il tetto scende invece di salire e le pareti mollano invece di reggere.</w:t>
      </w:r>
    </w:p>
    <w:p>
      <w:pPr>
        <w:pStyle w:val="FirstParagraph"/>
      </w:pPr>
      <w:r>
        <w:t xml:space="preserve">Cinque meccanismi, dal più solido al meno solido. Accanto a ciascuno trovi il modello osteopatico che lo rivendica, perché la tracciabilità non deve restare al lettore.</w:t>
      </w:r>
    </w:p>
    <w:bookmarkStart w:id="29" w:name="X4ca9b6bd20aa3e70cf27e0ddb5c3af45a62b963"/>
    <w:p>
      <w:pPr>
        <w:pStyle w:val="Heading3"/>
      </w:pPr>
      <w:r>
        <w:t xml:space="preserve">1. Il tetto che scende invece di salire — modelli Biomeccanico e Respiratorio</w:t>
      </w:r>
    </w:p>
    <w:p>
      <w:pPr>
        <w:pStyle w:val="FirstParagraph"/>
      </w:pPr>
      <w:r>
        <w:t xml:space="preserve">Si chiama</w:t>
      </w:r>
      <w:r>
        <w:t xml:space="preserve"> </w:t>
      </w:r>
      <w:r>
        <w:rPr>
          <w:b/>
          <w:bCs/>
        </w:rPr>
        <w:t xml:space="preserve">dissinergia addomino-frenica</w:t>
      </w:r>
      <w:r>
        <w:t xml:space="preserve">, ed è il guasto meglio documentato di questa condizione.</w:t>
      </w:r>
    </w:p>
    <w:p>
      <w:pPr>
        <w:pStyle w:val="BodyText"/>
      </w:pPr>
      <w:r>
        <w:rPr>
          <w:b/>
          <w:bCs/>
        </w:rPr>
        <w:t xml:space="preserve">La sequenza.</w:t>
      </w:r>
    </w:p>
    <w:p>
      <w:pPr>
        <w:pStyle w:val="Compact"/>
        <w:numPr>
          <w:ilvl w:val="0"/>
          <w:numId w:val="1009"/>
        </w:numPr>
      </w:pPr>
      <w:r>
        <w:t xml:space="preserve">Arriva volume nella cavità addominale — un pasto, gas del colon, entrambi.</w:t>
      </w:r>
    </w:p>
    <w:p>
      <w:pPr>
        <w:pStyle w:val="Compact"/>
        <w:numPr>
          <w:ilvl w:val="0"/>
          <w:numId w:val="1009"/>
        </w:numPr>
      </w:pPr>
      <w:r>
        <w:rPr>
          <w:b/>
          <w:bCs/>
        </w:rPr>
        <w:t xml:space="preserve">Il volume attiva i meccanocettori della parete intestinale</w:t>
      </w:r>
      <w:r>
        <w:t xml:space="preserve">, cioè i recettori che rispondono alla deformazione. Il segnale sale con le afferenze spinali degli splancnici fino al corno dorsale toraco-lombare. Da lì partono i comandi motori somatici: alla parete per via segmentale (T6-L1), al diaframma attraverso il pool frenico (C3-C5), per relè sovraspinale. È un</w:t>
      </w:r>
      <w:r>
        <w:t xml:space="preserve"> </w:t>
      </w:r>
      <w:r>
        <w:rPr>
          <w:b/>
          <w:bCs/>
        </w:rPr>
        <w:t xml:space="preserve">riflesso viscerosomatico</w:t>
      </w:r>
      <w:r>
        <w:t xml:space="preserve">, e qui è invertito. Che esista è anatomia;</w:t>
      </w:r>
      <w:r>
        <w:t xml:space="preserve"> </w:t>
      </w:r>
      <w:r>
        <w:rPr>
          <w:b/>
          <w:bCs/>
        </w:rPr>
        <w:t xml:space="preserve">perché si inverta non è noto</w:t>
      </w:r>
      <w:r>
        <w:t xml:space="preserve">, e lo scrivono gli autori che l’hanno misurato (Damianos, Azpiroz, Barba, 2023, PMID 36191283).</w:t>
      </w:r>
    </w:p>
    <w:p>
      <w:pPr>
        <w:pStyle w:val="Compact"/>
        <w:numPr>
          <w:ilvl w:val="0"/>
          <w:numId w:val="1009"/>
        </w:numPr>
      </w:pPr>
      <w:r>
        <w:rPr>
          <w:b/>
          <w:bCs/>
        </w:rPr>
        <w:t xml:space="preserve">Il diaframma si contrae e scende</w:t>
      </w:r>
      <w:r>
        <w:t xml:space="preserve"> </w:t>
      </w:r>
      <w:r>
        <w:t xml:space="preserve">invece di rilassarsi e risalire: 12 mm di discesa, attività elettrica su del 19%.</w:t>
      </w:r>
    </w:p>
    <w:p>
      <w:pPr>
        <w:pStyle w:val="Compact"/>
        <w:numPr>
          <w:ilvl w:val="0"/>
          <w:numId w:val="1009"/>
        </w:numPr>
      </w:pPr>
      <w:r>
        <w:rPr>
          <w:b/>
          <w:bCs/>
        </w:rPr>
        <w:t xml:space="preserve">Si contraggono gli intercostali</w:t>
      </w:r>
      <w:r>
        <w:t xml:space="preserve">: attività su del 14%, diametro antero-posteriore del torace su di 6 mm, volume polmonare su di mezzo litro.</w:t>
      </w:r>
    </w:p>
    <w:p>
      <w:pPr>
        <w:pStyle w:val="Compact"/>
        <w:numPr>
          <w:ilvl w:val="0"/>
          <w:numId w:val="1009"/>
        </w:numPr>
      </w:pPr>
      <w:r>
        <w:rPr>
          <w:b/>
          <w:bCs/>
        </w:rPr>
        <w:t xml:space="preserve">La parete anteriore, invece di contenere, sporge</w:t>
      </w:r>
      <w:r>
        <w:t xml:space="preserve">: 32 mm di circonferenza in più.</w:t>
      </w:r>
    </w:p>
    <w:p>
      <w:pPr>
        <w:pStyle w:val="Compact"/>
        <w:numPr>
          <w:ilvl w:val="0"/>
          <w:numId w:val="1009"/>
        </w:numPr>
      </w:pPr>
      <w:r>
        <w:t xml:space="preserve">Il contenuto non è aumentato di un millilitro: è stato spinto in basso e in avanti dall’unica parete che poteva spingerlo.</w:t>
      </w:r>
    </w:p>
    <w:p>
      <w:pPr>
        <w:pStyle w:val="FirstParagraph"/>
      </w:pPr>
      <w:r>
        <w:rPr>
          <w:b/>
          <w:bCs/>
        </w:rPr>
        <w:t xml:space="preserve">Per te:</w:t>
      </w:r>
      <w:r>
        <w:t xml:space="preserve"> </w:t>
      </w:r>
      <w:r>
        <w:t xml:space="preserve">i 32 mm di circonferenza in più sono l’ordine di grandezza contro cui tari il tuo marker. La soglia di 20 mm del Capitolo 8 sta sotto questo numero apposta.</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45 pazienti con distensione visibile, studiati con tomografia addomino-toracica ed elettromiografia della parete durante l’episodio e a riposo (Barba,</w:t>
      </w:r>
      <w:r>
        <w:t xml:space="preserve"> </w:t>
      </w:r>
      <w:r>
        <w:rPr>
          <w:i/>
          <w:iCs/>
        </w:rPr>
        <w:t xml:space="preserve">Gastroenterology</w:t>
      </w:r>
      <w:r>
        <w:t xml:space="preserve"> </w:t>
      </w:r>
      <w:r>
        <w:t xml:space="preserve">2015, PMID 25500424). Il fenomeno era già stato isolato con un modello di provocazione su 20 pazienti e 15 controlli sani (Villoria,</w:t>
      </w:r>
      <w:r>
        <w:t xml:space="preserve"> </w:t>
      </w:r>
      <w:r>
        <w:rPr>
          <w:i/>
          <w:iCs/>
        </w:rPr>
        <w:t xml:space="preserve">Am J Gastroenterol</w:t>
      </w:r>
      <w:r>
        <w:t xml:space="preserve"> </w:t>
      </w:r>
      <w:r>
        <w:t xml:space="preserve">2011, PMID 21540894). Due studi indipendenti: è la ragione per cui qui l’etichetta più alta è meritata.</w:t>
      </w:r>
    </w:p>
    <w:p>
      <w:pPr>
        <w:pStyle w:val="FirstParagraph"/>
      </w:pPr>
      <w:r>
        <w:rPr>
          <w:b/>
          <w:bCs/>
        </w:rPr>
        <w:t xml:space="preserve">Una conseguenza, su due contatti diversi.</w:t>
      </w:r>
      <w:r>
        <w:t xml:space="preserve"> </w:t>
      </w:r>
      <w:r>
        <w:t xml:space="preserve">Parete e diaframma sono comandati a due livelli diversi. La parete è</w:t>
      </w:r>
      <w:r>
        <w:t xml:space="preserve"> </w:t>
      </w:r>
      <w:r>
        <w:rPr>
          <w:b/>
          <w:bCs/>
        </w:rPr>
        <w:t xml:space="preserve">segmentale e locale</w:t>
      </w:r>
      <w:r>
        <w:t xml:space="preserve">, e per quella via una mano può plausibilmente entrare. Il diaframma no: nessun segmento toracico lo raggiunge, e ci si entra solo meccanicamente, dalle sue inserzioni.</w:t>
      </w:r>
    </w:p>
    <w:p>
      <w:pPr>
        <w:pStyle w:val="BodyText"/>
      </w:pPr>
      <w:r>
        <w:rPr>
          <w:b/>
          <w:bCs/>
        </w:rPr>
        <w:t xml:space="preserve">Come si vede addosso al paziente.</w:t>
      </w:r>
      <w:r>
        <w:t xml:space="preserve"> </w:t>
      </w:r>
      <w:r>
        <w:t xml:space="preserve">Pancia piatta al mattino e distesa a fine giornata, con l’aumento</w:t>
      </w:r>
      <w:r>
        <w:t xml:space="preserve"> </w:t>
      </w:r>
      <w:r>
        <w:rPr>
          <w:b/>
          <w:bCs/>
        </w:rPr>
        <w:t xml:space="preserve">dopo i pasti</w:t>
      </w:r>
      <w:r>
        <w:t xml:space="preserve">. Torace più</w:t>
      </w:r>
      <w:r>
        <w:t xml:space="preserve"> </w:t>
      </w:r>
      <w:r>
        <w:t xml:space="preserve">“aperto”</w:t>
      </w:r>
      <w:r>
        <w:t xml:space="preserve"> </w:t>
      </w:r>
      <w:r>
        <w:t xml:space="preserve">quando è gonfia, coste basse allargate. Respiro corto quando è distesa. Sollievo netto sdraiandosi — e questo non contraddice il Capitolo 4, perché lì la posizione supina peggiorava la risposta a un</w:t>
      </w:r>
      <w:r>
        <w:t xml:space="preserve"> </w:t>
      </w:r>
      <w:r>
        <w:rPr>
          <w:b/>
          <w:bCs/>
        </w:rPr>
        <w:t xml:space="preserve">carico infuso</w:t>
      </w:r>
      <w:r>
        <w:t xml:space="preserve">, mentre qui scarica per gravità una</w:t>
      </w:r>
      <w:r>
        <w:t xml:space="preserve"> </w:t>
      </w:r>
      <w:r>
        <w:rPr>
          <w:b/>
          <w:bCs/>
        </w:rPr>
        <w:t xml:space="preserve">sagoma già distesa</w:t>
      </w:r>
      <w:r>
        <w:t xml:space="preserve">.</w:t>
      </w:r>
    </w:p>
    <w:p>
      <w:pPr>
        <w:pStyle w:val="BodyText"/>
      </w:pPr>
      <w:r>
        <w:rPr>
          <w:b/>
          <w:bCs/>
        </w:rPr>
        <w:t xml:space="preserve">È lo stantuffo della pompa da bici spinto in giù con l’ugello tappato: dentro non è entrato niente, e il tubo si tende lo stesso.</w:t>
      </w:r>
    </w:p>
    <w:bookmarkEnd w:id="29"/>
    <w:bookmarkStart w:id="30" w:name="Xd86ecaaef0db5f2686ab1681aa45617a6a615d1"/>
    <w:p>
      <w:pPr>
        <w:pStyle w:val="Heading3"/>
      </w:pPr>
      <w:r>
        <w:t xml:space="preserve">2. Il muro di contenimento che smette di spingere — Biomeccanico (l’effettore) e Neurologico (l’arco riflesso)</w:t>
      </w:r>
    </w:p>
    <w:p>
      <w:pPr>
        <w:pStyle w:val="FirstParagraph"/>
      </w:pPr>
      <w:r>
        <w:t xml:space="preserve">La parete addominale non è un sacco passivo. È la seconda metà del riflesso di accomodazione, e in questi pazienti la sua metà non arriva.</w:t>
      </w:r>
    </w:p>
    <w:p>
      <w:pPr>
        <w:pStyle w:val="BodyText"/>
      </w:pPr>
      <w:r>
        <w:rPr>
          <w:b/>
          <w:bCs/>
        </w:rPr>
        <w:t xml:space="preserve">La sequenza.</w:t>
      </w:r>
      <w:r>
        <w:t xml:space="preserve"> </w:t>
      </w:r>
      <w:r>
        <w:t xml:space="preserve">Arriva il carico.</w:t>
      </w:r>
      <w:r>
        <w:t xml:space="preserve"> </w:t>
      </w:r>
      <w:r>
        <w:rPr>
          <w:b/>
          <w:bCs/>
        </w:rPr>
        <w:t xml:space="preserve">L’obliquo esterno non aumenta il tono</w:t>
      </w:r>
      <w:r>
        <w:t xml:space="preserve">: nei sani sale dell’11%, nei pazienti resta dov’era.</w:t>
      </w:r>
      <w:r>
        <w:t xml:space="preserve"> </w:t>
      </w:r>
      <w:r>
        <w:rPr>
          <w:b/>
          <w:bCs/>
        </w:rPr>
        <w:t xml:space="preserve">L’obliquo interno fa il contrario: si rilassa del 26%.</w:t>
      </w:r>
      <w:r>
        <w:t xml:space="preserve"> </w:t>
      </w:r>
      <w:r>
        <w:t xml:space="preserve">La sagoma non è più tenuta da nessuno e cede in avanti. Con lo stesso volume infuso la circonferenza aumenta di 11 mm, contro i 6 mm dei sani. E il fastidio riferito sale da 3,0 a 4,5 su una scala a sette punti.</w:t>
      </w:r>
    </w:p>
    <w:p>
      <w:pPr>
        <w:pStyle w:val="BodyText"/>
      </w:pPr>
      <w:r>
        <w:rPr>
          <w:b/>
          <w:bCs/>
        </w:rPr>
        <w:t xml:space="preserve">Per te:</w:t>
      </w:r>
      <w:r>
        <w:t xml:space="preserve"> </w:t>
      </w:r>
      <w:r>
        <w:t xml:space="preserve">cinque millimetri di differenza fra pazienti e sani il metro li vede e la mano no. Quello che cerchi con le dita è il</w:t>
      </w:r>
      <w:r>
        <w:t xml:space="preserve"> </w:t>
      </w:r>
      <w:r>
        <w:rPr>
          <w:b/>
          <w:bCs/>
        </w:rPr>
        <w:t xml:space="preserve">verso</w:t>
      </w:r>
      <w:r>
        <w:t xml:space="preserve"> </w:t>
      </w:r>
      <w:r>
        <w:t xml:space="preserve">del reclutamento, non l’entità del cedimento.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w:t>
      </w:r>
      <w:r>
        <w:t xml:space="preserve"> </w:t>
      </w:r>
      <w:r>
        <w:rPr>
          <w:b/>
          <w:bCs/>
        </w:rPr>
        <w:t xml:space="preserve">con il denominatore scritto dentro l’etichetta perché è piccolo</w:t>
      </w:r>
      <w:r>
        <w:t xml:space="preserve">: 12 pazienti e 12 controlli, elettromiografia di superficie multicanale su retto, obliquo esterno e obliquo interno bilateralmente (Tremolaterra,</w:t>
      </w:r>
      <w:r>
        <w:t xml:space="preserve"> </w:t>
      </w:r>
      <w:r>
        <w:rPr>
          <w:i/>
          <w:iCs/>
        </w:rPr>
        <w:t xml:space="preserve">Gastroenterology</w:t>
      </w:r>
      <w:r>
        <w:t xml:space="preserve"> </w:t>
      </w:r>
      <w:r>
        <w:t xml:space="preserve">2006, PMID 16618400). Studio unico, mai replicato. Il titolo originale lo chiama un</w:t>
      </w:r>
      <w:r>
        <w:t xml:space="preserve"> </w:t>
      </w:r>
      <w:r>
        <w:rPr>
          <w:b/>
          <w:bCs/>
        </w:rPr>
        <w:t xml:space="preserve">riflesso viscerosomatico compromesso</w:t>
      </w:r>
      <w:r>
        <w:t xml:space="preserve">: il guasto è nell’arco riflesso, l’effettore che vedi è muscolo scheletrico. Un riflesso fallito non si corregge trattando solo l’effettore, ed è la ragione per cui in letteratura ha funzionato il riapprendimento.</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p>
      <w:pPr>
        <w:pStyle w:val="FirstParagraph"/>
      </w:pPr>
      <w:r>
        <w:t xml:space="preserve">Questo è il punto in cui il gonfiore diventa una disfunzione somatica in senso proprio: un muscolo scheletrico che non esprime la funzione che dovrebbe.</w:t>
      </w:r>
    </w:p>
    <w:p>
      <w:pPr>
        <w:pStyle w:val="BodyText"/>
      </w:pPr>
      <w:r>
        <w:rPr>
          <w:b/>
          <w:bCs/>
        </w:rPr>
        <w:t xml:space="preserve">Come si vede addosso al paziente.</w:t>
      </w:r>
      <w:r>
        <w:t xml:space="preserve"> </w:t>
      </w:r>
      <w:r>
        <w:t xml:space="preserve">Addome che sporge simmetrico e</w:t>
      </w:r>
      <w:r>
        <w:t xml:space="preserve"> </w:t>
      </w:r>
      <w:r>
        <w:t xml:space="preserve">“molle”</w:t>
      </w:r>
      <w:r>
        <w:t xml:space="preserve"> </w:t>
      </w:r>
      <w:r>
        <w:t xml:space="preserve">sotto l’ombelico, parte alta tesa, difficoltà a contrarre la parete senza trattenere il respiro. La durezza convive con una parete che non partecipa: è tesa perché spinta da dentro.</w:t>
      </w:r>
      <w:r>
        <w:t xml:space="preserve"> </w:t>
      </w:r>
      <w:r>
        <w:rPr>
          <w:b/>
          <w:bCs/>
        </w:rPr>
        <w:t xml:space="preserve">Prima di attribuire tutto al reclutamento, escludi una diastasi dei retti o un’ernia ombelicale.</w:t>
      </w:r>
    </w:p>
    <w:p>
      <w:pPr>
        <w:pStyle w:val="BodyText"/>
      </w:pPr>
      <w:r>
        <w:rPr>
          <w:b/>
          <w:bCs/>
        </w:rPr>
        <w:t xml:space="preserve">È un muro di contenimento che smette di spingere: la terra dietro non è aumentata, ma comincia a franare in avanti.</w:t>
      </w:r>
    </w:p>
    <w:bookmarkEnd w:id="30"/>
    <w:bookmarkStart w:id="31" w:name="Xa4c51745443b7e41085ab6136af22bafbbe3d23"/>
    <w:p>
      <w:pPr>
        <w:pStyle w:val="Heading3"/>
      </w:pPr>
      <w:r>
        <w:t xml:space="preserve">3. La stessa aria, spinta più piano — Metabolico (il carico che entra) e Neurologico (la velocità con cui esce)</w:t>
      </w:r>
    </w:p>
    <w:p>
      <w:pPr>
        <w:pStyle w:val="FirstParagraph"/>
      </w:pPr>
      <w:r>
        <w:t xml:space="preserve">Qui casca l’idea più diffusa su questa condizione, con dati alla mano.</w:t>
      </w:r>
    </w:p>
    <w:p>
      <w:pPr>
        <w:pStyle w:val="BodyText"/>
      </w:pPr>
      <w:r>
        <w:rPr>
          <w:b/>
          <w:bCs/>
        </w:rPr>
        <w:t xml:space="preserve">La sequenza.</w:t>
      </w:r>
      <w:r>
        <w:t xml:space="preserve"> </w:t>
      </w:r>
      <w:r>
        <w:t xml:space="preserve">Il gas intestinale in un adulto sano è circa 95 millilitri, e nei pazienti</w:t>
      </w:r>
      <w:r>
        <w:t xml:space="preserve"> </w:t>
      </w:r>
      <w:r>
        <w:rPr>
          <w:b/>
          <w:bCs/>
        </w:rPr>
        <w:t xml:space="preserve">fuori dall’episodio</w:t>
      </w:r>
      <w:r>
        <w:t xml:space="preserve"> </w:t>
      </w:r>
      <w:r>
        <w:t xml:space="preserve">è indistinguibile da quello dei sani. Durante un episodio risulta aumentato o mal distribuito</w:t>
      </w:r>
      <w:r>
        <w:t xml:space="preserve"> </w:t>
      </w:r>
      <w:r>
        <w:rPr>
          <w:b/>
          <w:bCs/>
        </w:rPr>
        <w:t xml:space="preserve">in circa un quarto</w:t>
      </w:r>
      <w:r>
        <w:t xml:space="preserve"> </w:t>
      </w:r>
      <w:r>
        <w:t xml:space="preserve">dei pazienti; negli altri tre quarti no. Su una popolazione diversa — pazienti con gonfiore</w:t>
      </w:r>
      <w:r>
        <w:t xml:space="preserve"> </w:t>
      </w:r>
      <w:r>
        <w:rPr>
          <w:b/>
          <w:bCs/>
        </w:rPr>
        <w:t xml:space="preserve">non selezionati</w:t>
      </w:r>
      <w:r>
        <w:t xml:space="preserve"> </w:t>
      </w:r>
      <w:r>
        <w:t xml:space="preserve">per contenuto di gas — la differenza non è la produzione ma la</w:t>
      </w:r>
      <w:r>
        <w:t xml:space="preserve"> </w:t>
      </w:r>
      <w:r>
        <w:rPr>
          <w:b/>
          <w:bCs/>
        </w:rPr>
        <w:t xml:space="preserve">propulsione</w:t>
      </w:r>
      <w:r>
        <w:t xml:space="preserve">: a riposo trattenevano il 45% del gas infuso, con un pedalare leggero il 24%. E il sintomo segue.</w:t>
      </w:r>
    </w:p>
    <w:p>
      <w:pPr>
        <w:pStyle w:val="BlockText"/>
      </w:pPr>
      <w:r>
        <w:rPr>
          <w:b/>
          <w:bCs/>
        </w:rPr>
        <w:t xml:space="preserve">Quanto è solido:</w:t>
      </w:r>
      <w:r>
        <w:t xml:space="preserve"> </w:t>
      </w:r>
      <w:r>
        <w:t xml:space="preserve">l’etichetta si spezza. Che il volume di gas sia normale nella maggior parte dei pazienti durante l’episodio è</w:t>
      </w:r>
      <w:r>
        <w:t xml:space="preserve"> </w:t>
      </w:r>
      <w:r>
        <w:rPr>
          <w:b/>
          <w:bCs/>
        </w:rPr>
        <w:t xml:space="preserve">DIMOSTRATO</w:t>
      </w:r>
      <w:r>
        <w:t xml:space="preserve"> </w:t>
      </w:r>
      <w:r>
        <w:rPr>
          <w:i/>
          <w:iCs/>
        </w:rPr>
        <w:t xml:space="preserve">(studi sull’uomo, solidi)</w:t>
      </w:r>
      <w:r>
        <w:t xml:space="preserve">. Lo studio conta 88 pazienti in condizioni basali, 82 durante un episodio e 37 controlli sani, con tomografia e analisi automatica del contenuto gassoso (Bendezú,</w:t>
      </w:r>
      <w:r>
        <w:t xml:space="preserve"> </w:t>
      </w:r>
      <w:r>
        <w:rPr>
          <w:i/>
          <w:iCs/>
        </w:rPr>
        <w:t xml:space="preserve">Neurogastroenterol Motil</w:t>
      </w:r>
      <w:r>
        <w:t xml:space="preserve"> </w:t>
      </w:r>
      <w:r>
        <w:t xml:space="preserve">2015, PMID 26095329). Che il problema sia la propulsione e non la produzione è</w:t>
      </w:r>
      <w:r>
        <w:t xml:space="preserve"> </w:t>
      </w:r>
      <w:r>
        <w:rPr>
          <w:b/>
          <w:bCs/>
        </w:rPr>
        <w:t xml:space="preserve">PROBABILE</w:t>
      </w:r>
      <w:r>
        <w:t xml:space="preserve"> </w:t>
      </w:r>
      <w:r>
        <w:rPr>
          <w:i/>
          <w:iCs/>
        </w:rPr>
        <w:t xml:space="preserve">(razionale forte, prove parziali)</w:t>
      </w:r>
      <w:r>
        <w:t xml:space="preserve"> </w:t>
      </w:r>
      <w:r>
        <w:t xml:space="preserve">— 8 pazienti con gonfiore in un modello sperimentale di infusione digiunale (Villoria,</w:t>
      </w:r>
      <w:r>
        <w:t xml:space="preserve"> </w:t>
      </w:r>
      <w:r>
        <w:rPr>
          <w:i/>
          <w:iCs/>
        </w:rPr>
        <w:t xml:space="preserve">Am J Gastroenterol</w:t>
      </w:r>
      <w:r>
        <w:t xml:space="preserve"> </w:t>
      </w:r>
      <w:r>
        <w:t xml:space="preserve">2006, PMID 17029608). Quel dato è misurato su pazienti con gonfiore in generale,</w:t>
      </w:r>
      <w:r>
        <w:t xml:space="preserve"> </w:t>
      </w:r>
      <w:r>
        <w:rPr>
          <w:b/>
          <w:bCs/>
        </w:rPr>
        <w:t xml:space="preserve">non</w:t>
      </w:r>
      <w:r>
        <w:t xml:space="preserve"> </w:t>
      </w:r>
      <w:r>
        <w:t xml:space="preserve">sul sottogruppo con gas aumentato.</w:t>
      </w:r>
    </w:p>
    <w:p>
      <w:pPr>
        <w:pStyle w:val="FirstParagraph"/>
      </w:pPr>
      <w:r>
        <w:rPr>
          <w:b/>
          <w:bCs/>
        </w:rPr>
        <w:t xml:space="preserve">Come si vede addosso al paziente.</w:t>
      </w:r>
      <w:r>
        <w:t xml:space="preserve"> </w:t>
      </w:r>
      <w:r>
        <w:t xml:space="preserve">Rumori frequenti, flatulenza abbondante, sollievo riproducibile dopo l’evacuazione. È il sottogruppo in cui la componente alimentare pesa davvero, e l’unico in cui la dieta ha senso come leva principale.</w:t>
      </w:r>
    </w:p>
    <w:p>
      <w:pPr>
        <w:pStyle w:val="BodyText"/>
      </w:pPr>
      <w:r>
        <w:rPr>
          <w:b/>
          <w:bCs/>
        </w:rPr>
        <w:t xml:space="preserve">È la coda al casello con una cassa sola aperta: le macchine sono le stesse di sempre, e restano ferme molto più a lungo.</w:t>
      </w:r>
    </w:p>
    <w:bookmarkEnd w:id="31"/>
    <w:bookmarkStart w:id="32" w:name="Xb3985cb1090a4fd57b6b60b3850b4c7bef6bf4b"/>
    <w:p>
      <w:pPr>
        <w:pStyle w:val="Heading3"/>
      </w:pPr>
      <w:r>
        <w:t xml:space="preserve">4. Il rilevatore montato sopra il tostapane — modello Neurologico</w:t>
      </w:r>
    </w:p>
    <w:p>
      <w:pPr>
        <w:pStyle w:val="FirstParagraph"/>
      </w:pPr>
      <w:r>
        <w:t xml:space="preserve">C’è un secondo modo di arrivare al gonfiore, e non passa dai muscoli: passa dalla soglia a cui un contenuto normale diventa sensazione.</w:t>
      </w:r>
    </w:p>
    <w:p>
      <w:pPr>
        <w:pStyle w:val="BodyText"/>
      </w:pPr>
      <w:r>
        <w:rPr>
          <w:b/>
          <w:bCs/>
        </w:rPr>
        <w:t xml:space="preserve">La sequenza.</w:t>
      </w:r>
      <w:r>
        <w:t xml:space="preserve"> </w:t>
      </w:r>
      <w:r>
        <w:t xml:space="preserve">La distensione delle pareti intestinali genera segnali che di norma non arrivano alla coscienza.</w:t>
      </w:r>
      <w:r>
        <w:t xml:space="preserve"> </w:t>
      </w:r>
      <w:r>
        <w:rPr>
          <w:b/>
          <w:bCs/>
        </w:rPr>
        <w:t xml:space="preserve">Poi il segnale viene amplificato lungo la via</w:t>
      </w:r>
      <w:r>
        <w:t xml:space="preserve">, e i posti sono tre. La periferia, dove le afferenze si sensibilizzano. Il corno dorsale, dove il guadagno del segnale sale. Oppure la</w:t>
      </w:r>
      <w:r>
        <w:t xml:space="preserve"> </w:t>
      </w:r>
      <w:r>
        <w:rPr>
          <w:b/>
          <w:bCs/>
        </w:rPr>
        <w:t xml:space="preserve">modulazione discendente</w:t>
      </w:r>
      <w:r>
        <w:t xml:space="preserve">, cioè il freno che di solito tiene sotto quel segnale e che adesso non lo tiene più. L’attenzione al corpo agisce sull’ultimo dei tre, l’unico che si muove in pochi minuti — e che torna indietro altrettanto in fretta. Il contenuto è lo stesso di sempre, e adesso si sente,</w:t>
      </w:r>
      <w:r>
        <w:t xml:space="preserve"> </w:t>
      </w:r>
      <w:r>
        <w:rPr>
          <w:b/>
          <w:bCs/>
        </w:rPr>
        <w:t xml:space="preserve">senza</w:t>
      </w:r>
      <w:r>
        <w:t xml:space="preserve"> </w:t>
      </w:r>
      <w:r>
        <w:t xml:space="preserve">aumento della circonferenza.</w:t>
      </w:r>
    </w:p>
    <w:p>
      <w:pPr>
        <w:pStyle w:val="BodyText"/>
      </w:pPr>
      <w:r>
        <w:t xml:space="preserve">Qui c’è il dato che ribalta l’intuizione clinica. Fra i pazienti con sindrome dell’intestino irritabile, quelli che riferivano</w:t>
      </w:r>
      <w:r>
        <w:t xml:space="preserve"> </w:t>
      </w:r>
      <w:r>
        <w:rPr>
          <w:b/>
          <w:bCs/>
        </w:rPr>
        <w:t xml:space="preserve">solo gonfiore senza distensione</w:t>
      </w:r>
      <w:r>
        <w:t xml:space="preserve"> </w:t>
      </w:r>
      <w:r>
        <w:t xml:space="preserve">avevano soglie rettali di dolore</w:t>
      </w:r>
      <w:r>
        <w:t xml:space="preserve"> </w:t>
      </w:r>
      <w:r>
        <w:rPr>
          <w:b/>
          <w:bCs/>
        </w:rPr>
        <w:t xml:space="preserve">più basse di quelli che si distendevano davvero</w:t>
      </w:r>
      <w:r>
        <w:t xml:space="preserve">. Raggruppati per soglia, gli iposensibili si distendevano più degli ipersensibili (Agrawal,</w:t>
      </w:r>
      <w:r>
        <w:t xml:space="preserve"> </w:t>
      </w:r>
      <w:r>
        <w:rPr>
          <w:i/>
          <w:iCs/>
        </w:rPr>
        <w:t xml:space="preserve">Gastroenterology</w:t>
      </w:r>
      <w:r>
        <w:t xml:space="preserve"> </w:t>
      </w:r>
      <w:r>
        <w:t xml:space="preserve">2008, PMID 18455167). È un confronto</w:t>
      </w:r>
      <w:r>
        <w:t xml:space="preserve"> </w:t>
      </w:r>
      <w:r>
        <w:rPr>
          <w:b/>
          <w:bCs/>
        </w:rPr>
        <w:t xml:space="preserve">fra i due gruppi</w:t>
      </w:r>
      <w:r>
        <w:t xml:space="preserve">, non una misura contro soggetti sani.</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con denominatore e salto scritti dentro: 39 pazienti con stitichezza e 29 con diarrea, circonferenza registrata per 24 ore con pletismografia e soglie rettali misurate con barostato (Agrawal, 2008, PMID 18455167).</w:t>
      </w:r>
      <w:r>
        <w:t xml:space="preserve"> </w:t>
      </w:r>
      <w:r>
        <w:rPr>
          <w:b/>
          <w:bCs/>
        </w:rPr>
        <w:t xml:space="preserve">Il salto è di condizione:</w:t>
      </w:r>
      <w:r>
        <w:t xml:space="preserve"> </w:t>
      </w:r>
      <w:r>
        <w:t xml:space="preserve">l’intero campione era sindrome dell’intestino irritabile secondo Roma II, non gonfiore funzionale isolato.</w:t>
      </w:r>
    </w:p>
    <w:p>
      <w:pPr>
        <w:pStyle w:val="FirstParagraph"/>
      </w:pPr>
      <w:r>
        <w:rPr>
          <w:b/>
          <w:bCs/>
        </w:rPr>
        <w:t xml:space="preserve">Per te:</w:t>
      </w:r>
      <w:r>
        <w:t xml:space="preserve"> </w:t>
      </w:r>
      <w:r>
        <w:t xml:space="preserve">chi si sente gonfia senza vedersi gonfia e chi si vede gonfia senza star male non sono due gradi dello stesso problema. Sono due strade opposte, e la prima domanda della tua anamnesi le separa:</w:t>
      </w:r>
      <w:r>
        <w:t xml:space="preserve"> </w:t>
      </w:r>
      <w:r>
        <w:rPr>
          <w:i/>
          <w:iCs/>
        </w:rPr>
        <w:t xml:space="preserve">«la circonferenza cambia davvero, o è la sensazione?»</w:t>
      </w:r>
    </w:p>
    <w:p>
      <w:pPr>
        <w:pStyle w:val="BodyText"/>
      </w:pPr>
      <w:r>
        <w:rPr>
          <w:b/>
          <w:bCs/>
        </w:rPr>
        <w:t xml:space="preserve">Come si vede addosso al paziente.</w:t>
      </w:r>
      <w:r>
        <w:t xml:space="preserve"> </w:t>
      </w:r>
      <w:r>
        <w:t xml:space="preserve">Sensazione intensa con il metro fermo, e soprattutto l’</w:t>
      </w:r>
      <w:r>
        <w:rPr>
          <w:b/>
          <w:bCs/>
        </w:rPr>
        <w:t xml:space="preserve">assenza</w:t>
      </w:r>
      <w:r>
        <w:t xml:space="preserve"> </w:t>
      </w:r>
      <w:r>
        <w:t xml:space="preserve">del legame con i pasti. Accanto: dolore addominale diffuso, sonno cattivo, dolore in altre sedi — il corredo nociplastico.</w:t>
      </w:r>
    </w:p>
    <w:p>
      <w:pPr>
        <w:pStyle w:val="BodyText"/>
      </w:pPr>
      <w:r>
        <w:rPr>
          <w:b/>
          <w:bCs/>
        </w:rPr>
        <w:t xml:space="preserve">E qui va detta la parola.</w:t>
      </w:r>
      <w:r>
        <w:t xml:space="preserve"> </w:t>
      </w:r>
      <w:r>
        <w:t xml:space="preserve">I due quadri appartengono a categorie di dolore diverse (Damianos, Azpiroz, Barba, 2023, PMID 36191283). La</w:t>
      </w:r>
      <w:r>
        <w:t xml:space="preserve"> </w:t>
      </w:r>
      <w:r>
        <w:rPr>
          <w:b/>
          <w:bCs/>
        </w:rPr>
        <w:t xml:space="preserve">distensione visibile</w:t>
      </w:r>
      <w:r>
        <w:t xml:space="preserve"> </w:t>
      </w:r>
      <w:r>
        <w:t xml:space="preserve">è un problema</w:t>
      </w:r>
      <w:r>
        <w:t xml:space="preserve"> </w:t>
      </w:r>
      <w:r>
        <w:rPr>
          <w:b/>
          <w:bCs/>
        </w:rPr>
        <w:t xml:space="preserve">motorio</w:t>
      </w:r>
      <w:r>
        <w:t xml:space="preserve">, dove la nocicezione non è il motore. Il</w:t>
      </w:r>
      <w:r>
        <w:t xml:space="preserve"> </w:t>
      </w:r>
      <w:r>
        <w:rPr>
          <w:b/>
          <w:bCs/>
        </w:rPr>
        <w:t xml:space="preserve">gonfiore senza distensione</w:t>
      </w:r>
      <w:r>
        <w:t xml:space="preserve"> </w:t>
      </w:r>
      <w:r>
        <w:t xml:space="preserve">è</w:t>
      </w:r>
      <w:r>
        <w:t xml:space="preserve"> </w:t>
      </w:r>
      <w:r>
        <w:rPr>
          <w:b/>
          <w:bCs/>
        </w:rPr>
        <w:t xml:space="preserve">nociplastico</w:t>
      </w:r>
      <w:r>
        <w:t xml:space="preserve">: il sistema nervoso amplifica un ingresso normale o sottosoglia. Con quella parola sulla pagina ti aspetti le cose giuste sul secondo pattern. Il marker meccanico</w:t>
      </w:r>
      <w:r>
        <w:t xml:space="preserve"> </w:t>
      </w:r>
      <w:r>
        <w:rPr>
          <w:b/>
          <w:bCs/>
        </w:rPr>
        <w:t xml:space="preserve">non si muoverà</w:t>
      </w:r>
      <w:r>
        <w:t xml:space="preserve">, e non è un fallimento. Il carico locale non sposta il quadro e può peggiorarlo. Sonno cattivo, dolore diffuso e fatica diventano anamnesi invece che rumore.</w:t>
      </w:r>
    </w:p>
    <w:p>
      <w:pPr>
        <w:pStyle w:val="BodyText"/>
      </w:pPr>
      <w:r>
        <w:rPr>
          <w:b/>
          <w:bCs/>
        </w:rPr>
        <w:t xml:space="preserve">È un rilevatore di fumo montato sopra il tostapane: non c’è più fumo di ieri, e adesso suona ogni mattina.</w:t>
      </w:r>
    </w:p>
    <w:bookmarkEnd w:id="32"/>
    <w:bookmarkStart w:id="33" w:name="Xc244d9e2586c6b42ae52b62b585cd420f25027b"/>
    <w:p>
      <w:pPr>
        <w:pStyle w:val="Heading3"/>
      </w:pPr>
      <w:r>
        <w:t xml:space="preserve">5. Il sale a fine cottura — modello Comportamentale</w:t>
      </w:r>
    </w:p>
    <w:p>
      <w:pPr>
        <w:pStyle w:val="FirstParagraph"/>
      </w:pPr>
      <w:r>
        <w:t xml:space="preserve">Lo stato di attivazione va messo al posto giusto: il posto sbagliato è quello che la paziente si è già sentita dire.</w:t>
      </w:r>
    </w:p>
    <w:p>
      <w:pPr>
        <w:pStyle w:val="BodyText"/>
      </w:pPr>
      <w:r>
        <w:rPr>
          <w:b/>
          <w:bCs/>
        </w:rPr>
        <w:t xml:space="preserve">La sequenza.</w:t>
      </w:r>
      <w:r>
        <w:t xml:space="preserve"> </w:t>
      </w:r>
      <w:r>
        <w:t xml:space="preserve">Un periodo teso alza il livello di attivazione. L’attenzione al corpo aumenta, e la soglia a cui un segnale addominale diventa sintomo si abbassa per la via della modulazione discendente.</w:t>
      </w:r>
      <w:r>
        <w:t xml:space="preserve"> </w:t>
      </w:r>
      <w:r>
        <w:rPr>
          <w:b/>
          <w:bCs/>
        </w:rPr>
        <w:t xml:space="preserve">E l’attenzione puntata sull’addome produce la manovra che il primo meccanismo descrive</w:t>
      </w:r>
      <w:r>
        <w:t xml:space="preserve"> </w:t>
      </w:r>
      <w:r>
        <w:t xml:space="preserve">— parete che molla, diaframma che scende — una manovra che si può fare volontariamente (Livovsky, 2021, PMID 33670508). L’anello non è un tono immaginato: è un gesto osservabile. Il gonfiore riferito aumenta a parità di cibo e di contenuto.</w:t>
      </w:r>
    </w:p>
    <w:p>
      <w:pPr>
        <w:pStyle w:val="BodyText"/>
      </w:pPr>
      <w:r>
        <w:rPr>
          <w:b/>
          <w:bCs/>
        </w:rPr>
        <w:t xml:space="preserve">Lo stress qui è un amplificatore, non un generatore.</w:t>
      </w:r>
      <w:r>
        <w:t xml:space="preserve"> </w:t>
      </w:r>
      <w:r>
        <w:t xml:space="preserve">Non produce l’aria e non produce la distensione: cambia quanto la distensione si sente, e quanto facilmente il pattern parte. Nell’unico randomizzato che ha guardato la variabile, chi partiva con più ansia migliorava di più con gli esercizi di respiro (Chakraborty, 2025, PMID 41323646).</w:t>
      </w:r>
    </w:p>
    <w:p>
      <w:pPr>
        <w:pStyle w:val="BlockText"/>
      </w:pPr>
      <w:r>
        <w:rPr>
          <w:b/>
          <w:bCs/>
        </w:rPr>
        <w:t xml:space="preserve">Quanto è solido:</w:t>
      </w:r>
      <w:r>
        <w:t xml:space="preserve"> </w:t>
      </w:r>
      <w:r>
        <w:t xml:space="preserve">l’etichetta si spezza. Che il tono posturale addomino-toracico peggiori la percezione di un pasto è</w:t>
      </w:r>
      <w:r>
        <w:t xml:space="preserve"> </w:t>
      </w:r>
      <w:r>
        <w:rPr>
          <w:b/>
          <w:bCs/>
        </w:rPr>
        <w:t xml:space="preserve">PROBABILE</w:t>
      </w:r>
      <w:r>
        <w:t xml:space="preserve"> </w:t>
      </w:r>
      <w:r>
        <w:rPr>
          <w:i/>
          <w:iCs/>
        </w:rPr>
        <w:t xml:space="preserve">(razionale forte, prove parziali)</w:t>
      </w:r>
      <w:r>
        <w:t xml:space="preserve"> </w:t>
      </w:r>
      <w:r>
        <w:t xml:space="preserve">— un solo studio, su 16 donne sane, con manovre di trenta secondi ed esito soggettivo: la contrazione volontaria ha prodotto 21 mm di discesa del diaframma, 32 mm di circonferenza in più e un peggioramento del benessere digestivo (Livovsky,</w:t>
      </w:r>
      <w:r>
        <w:t xml:space="preserve"> </w:t>
      </w:r>
      <w:r>
        <w:rPr>
          <w:i/>
          <w:iCs/>
        </w:rPr>
        <w:t xml:space="preserve">Nutrients</w:t>
      </w:r>
      <w:r>
        <w:t xml:space="preserve"> </w:t>
      </w:r>
      <w:r>
        <w:t xml:space="preserve">2021, PMID 33670508).</w:t>
      </w:r>
      <w:r>
        <w:t xml:space="preserve"> </w:t>
      </w:r>
      <w:r>
        <w:rPr>
          <w:b/>
          <w:bCs/>
        </w:rPr>
        <w:t xml:space="preserve">Il salto è di popolazione:</w:t>
      </w:r>
      <w:r>
        <w:t xml:space="preserve"> </w:t>
      </w:r>
      <w:r>
        <w:t xml:space="preserve">volontarie sane con un pasto sperimentale, non pazienti con gonfiore cronico. Che lo stato di attivazione sia la via per cui quel tono si altera nella vita reale è</w:t>
      </w:r>
      <w:r>
        <w:t xml:space="preserve"> </w:t>
      </w:r>
      <w:r>
        <w:rPr>
          <w:b/>
          <w:bCs/>
        </w:rPr>
        <w:t xml:space="preserve">IPOTESI</w:t>
      </w:r>
      <w:r>
        <w:t xml:space="preserve"> </w:t>
      </w:r>
      <w:r>
        <w:rPr>
          <w:i/>
          <w:iCs/>
        </w:rPr>
        <w:t xml:space="preserve">(meccanismo coerente, nessuno studio)</w:t>
      </w:r>
      <w:r>
        <w:t xml:space="preserve">.</w:t>
      </w:r>
    </w:p>
    <w:p>
      <w:pPr>
        <w:pStyle w:val="FirstParagraph"/>
      </w:pPr>
      <w:r>
        <w:rPr>
          <w:b/>
          <w:bCs/>
        </w:rPr>
        <w:t xml:space="preserve">Per te:</w:t>
      </w:r>
      <w:r>
        <w:t xml:space="preserve"> </w:t>
      </w:r>
      <w:r>
        <w:t xml:space="preserve">trenta secondi nel verso sbagliato valgono 32 mm di circonferenza. Qualunque cosa insegni sul respiro, il verso lo verifichi addosso al paziente prima che esca dallo studio.</w:t>
      </w:r>
    </w:p>
    <w:p>
      <w:pPr>
        <w:pStyle w:val="BodyText"/>
      </w:pPr>
      <w:r>
        <w:rPr>
          <w:b/>
          <w:bCs/>
        </w:rPr>
        <w:t xml:space="preserve">Come si vede addosso al paziente.</w:t>
      </w:r>
      <w:r>
        <w:t xml:space="preserve"> </w:t>
      </w:r>
      <w:r>
        <w:rPr>
          <w:i/>
          <w:iCs/>
        </w:rPr>
        <w:t xml:space="preserve">«Non c’è una regola»</w:t>
      </w:r>
      <w:r>
        <w:t xml:space="preserve">: lo stesso piatto oggi va bene e domani no. Peggioramento nelle settimane tese a parità di cibo, controllo ripetuto della pancia, restrizione che si allarga senza che nessun test l’abbia giustificata. E il dettaglio che vale una domanda:</w:t>
      </w:r>
      <w:r>
        <w:t xml:space="preserve"> </w:t>
      </w:r>
      <w:r>
        <w:rPr>
          <w:b/>
          <w:bCs/>
        </w:rPr>
        <w:t xml:space="preserve">in vacanza sta meglio mangiando peggio.</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e regge finché può. Il sintomo compare spesso dove il compenso ha ceduto, non dove il problema è nato.</w:t>
      </w:r>
    </w:p>
    <w:p>
      <w:pPr>
        <w:pStyle w:val="FirstParagraph"/>
      </w:pPr>
      <w:r>
        <w:t xml:space="preserve">Il pattern motorio di questa condizione nasce come compenso: è il modo con cui un tronco già teso accoglie un carico che non riesce a ridistribuire. Costa la sagoma, e il paziente la paga alle sei di sera.</w:t>
      </w:r>
    </w:p>
    <w:p>
      <w:pPr>
        <w:pStyle w:val="BodyText"/>
      </w:pPr>
      <w:r>
        <w:rPr>
          <w:b/>
          <w:bCs/>
        </w:rPr>
        <w:t xml:space="preserve">È il sale a fine cottura: non aggiunge un grammo di cibo nel piatto, e cambia quanto lo senti.</w:t>
      </w:r>
    </w:p>
    <w:p>
      <w:pPr>
        <w:pStyle w:val="BodyText"/>
      </w:pPr>
      <w:r>
        <w:t xml:space="preserve">Il consenso europeo elenca fra i meccanismi anche</w:t>
      </w:r>
      <w:r>
        <w:t xml:space="preserve"> </w:t>
      </w:r>
      <w:r>
        <w:rPr>
          <w:b/>
          <w:bCs/>
        </w:rPr>
        <w:t xml:space="preserve">dismotilità intestinale</w:t>
      </w:r>
      <w:r>
        <w:t xml:space="preserve"> </w:t>
      </w:r>
      <w:r>
        <w:t xml:space="preserve">e</w:t>
      </w:r>
      <w:r>
        <w:t xml:space="preserve"> </w:t>
      </w:r>
      <w:r>
        <w:rPr>
          <w:b/>
          <w:bCs/>
        </w:rPr>
        <w:t xml:space="preserve">disbiosi</w:t>
      </w:r>
      <w:r>
        <w:t xml:space="preserve"> </w:t>
      </w:r>
      <w:r>
        <w:t xml:space="preserve">(Melchior, 2025, PMID 40844856). Non compaiono qui perché nessuna delle due ha una leva manuale.</w:t>
      </w:r>
    </w:p>
    <w:p>
      <w:pPr>
        <w:pStyle w:val="BodyText"/>
      </w:pPr>
      <w:r>
        <w:rPr>
          <w:b/>
          <w:bCs/>
        </w:rPr>
        <w:t xml:space="preserve">Le tre cose da ricordare, più una</w:t>
      </w:r>
    </w:p>
    <w:p>
      <w:pPr>
        <w:pStyle w:val="Compact"/>
        <w:numPr>
          <w:ilvl w:val="0"/>
          <w:numId w:val="1010"/>
        </w:numPr>
      </w:pPr>
      <w:r>
        <w:t xml:space="preserve">Il guasto principale è</w:t>
      </w:r>
      <w:r>
        <w:t xml:space="preserve"> </w:t>
      </w:r>
      <w:r>
        <w:rPr>
          <w:b/>
          <w:bCs/>
        </w:rPr>
        <w:t xml:space="preserve">motorio</w:t>
      </w:r>
      <w:r>
        <w:t xml:space="preserve">, non alimentare: il tetto scende e la parete sporge, dentro un riflesso viscerosomatico invertito.</w:t>
      </w:r>
    </w:p>
    <w:p>
      <w:pPr>
        <w:pStyle w:val="Compact"/>
        <w:numPr>
          <w:ilvl w:val="0"/>
          <w:numId w:val="1010"/>
        </w:numPr>
      </w:pPr>
      <w:r>
        <w:t xml:space="preserve">Chi si</w:t>
      </w:r>
      <w:r>
        <w:t xml:space="preserve"> </w:t>
      </w:r>
      <w:r>
        <w:rPr>
          <w:b/>
          <w:bCs/>
        </w:rPr>
        <w:t xml:space="preserve">sente</w:t>
      </w:r>
      <w:r>
        <w:t xml:space="preserve"> </w:t>
      </w:r>
      <w:r>
        <w:t xml:space="preserve">gonfia ha soglie più basse di chi si</w:t>
      </w:r>
      <w:r>
        <w:t xml:space="preserve"> </w:t>
      </w:r>
      <w:r>
        <w:rPr>
          <w:b/>
          <w:bCs/>
        </w:rPr>
        <w:t xml:space="preserve">vede</w:t>
      </w:r>
      <w:r>
        <w:t xml:space="preserve"> </w:t>
      </w:r>
      <w:r>
        <w:t xml:space="preserve">gonfia. Sono due categorie diverse: la prima nociplastica, la seconda motoria.</w:t>
      </w:r>
    </w:p>
    <w:p>
      <w:pPr>
        <w:pStyle w:val="Compact"/>
        <w:numPr>
          <w:ilvl w:val="0"/>
          <w:numId w:val="1010"/>
        </w:numPr>
      </w:pPr>
      <w:r>
        <w:t xml:space="preserve">Lo stress amplifica, non genera. Dirlo in questi termini è ciò che ti distingue da chi l’ha liquidata.</w:t>
      </w:r>
    </w:p>
    <w:p>
      <w:pPr>
        <w:pStyle w:val="Compact"/>
        <w:numPr>
          <w:ilvl w:val="0"/>
          <w:numId w:val="1010"/>
        </w:numPr>
      </w:pPr>
      <w:r>
        <w:rPr>
          <w:b/>
          <w:bCs/>
        </w:rPr>
        <w:t xml:space="preserve">Perché ci sei tu.</w:t>
      </w:r>
      <w:r>
        <w:t xml:space="preserve"> </w:t>
      </w:r>
      <w:r>
        <w:t xml:space="preserve">Durante un episodio di distensione solo circa un quarto dei pazienti ha un contenuto gassoso fuori dalla norma (Bendezú, 2015, PMID 26095329). Questo ti autorizza a smettere di cercare l’aria e a guardare la forma, che è la parte del problema su cui hai le mani. Non ti autorizza a escludere il gas: in un quarto dei pazienti c’è davvero, e quel quarto risponde a leve che non sono le tue.</w:t>
      </w:r>
    </w:p>
    <w:p>
      <w:r>
        <w:pict>
          <v:rect style="width:0;height:1.5pt" o:hralign="center" o:hrstd="t" o:hr="t"/>
        </w:pict>
      </w:r>
    </w:p>
    <w:bookmarkEnd w:id="33"/>
    <w:bookmarkEnd w:id="34"/>
    <w:bookmarkStart w:id="41" w:name="X73cfc9b44780cb1d9f2357b3490cfca0ad098e4"/>
    <w:p>
      <w:pPr>
        <w:pStyle w:val="Heading2"/>
      </w:pPr>
      <w:r>
        <w:t xml:space="preserve">Capitolo 6 — Non è una condizione sola: i pattern</w:t>
      </w:r>
    </w:p>
    <w:p>
      <w:pPr>
        <w:pStyle w:val="BlockText"/>
      </w:pPr>
      <w:r>
        <w:rPr>
          <w:b/>
          <w:bCs/>
        </w:rPr>
        <w:t xml:space="preserve">In una riga:</w:t>
      </w:r>
      <w:r>
        <w:t xml:space="preserve"> </w:t>
      </w:r>
      <w:r>
        <w:t xml:space="preserve">«gonfiore addominale» nomina un sintomo, non una malattia; i cinque quadri qui sotto sono condizioni diverse, e due di loro non sono bersagli ma cancelli.</w:t>
      </w:r>
    </w:p>
    <w:p>
      <w:pPr>
        <w:pStyle w:val="FirstParagraph"/>
      </w:pPr>
      <w:r>
        <w:t xml:space="preserve">Il pattern</w:t>
      </w:r>
      <w:r>
        <w:t xml:space="preserve"> </w:t>
      </w:r>
      <w:r>
        <w:rPr>
          <w:b/>
          <w:bCs/>
        </w:rPr>
        <w:t xml:space="preserve">si presume</w:t>
      </w:r>
      <w:r>
        <w:t xml:space="preserve">: si scrive in cartella e si dice al paziente come presunzione. Scegliere fra questi cinque quadri è, nel suo esito finale, un atto diagnostico, e quello resta del medico.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Distensione visibile postprandiale</w:t>
            </w:r>
          </w:p>
        </w:tc>
        <w:tc>
          <w:tcPr/>
          <w:p>
            <w:pPr>
              <w:pStyle w:val="Compact"/>
            </w:pPr>
            <w:r>
              <w:t xml:space="preserve">Circonferenza che cresce nella giornata</w:t>
            </w:r>
          </w:p>
        </w:tc>
        <w:tc>
          <w:tcPr/>
          <w:p>
            <w:pPr>
              <w:pStyle w:val="Compact"/>
            </w:pPr>
            <w:r>
              <w:t xml:space="preserve">Dissinergia, quadro motorio</w:t>
            </w:r>
          </w:p>
        </w:tc>
        <w:tc>
          <w:tcPr/>
          <w:p>
            <w:pPr>
              <w:pStyle w:val="Compact"/>
            </w:pPr>
            <w:r>
              <w:t xml:space="preserve">Molto</w:t>
            </w:r>
          </w:p>
        </w:tc>
      </w:tr>
      <w:tr>
        <w:tc>
          <w:tcPr/>
          <w:p>
            <w:pPr>
              <w:pStyle w:val="Compact"/>
            </w:pPr>
            <w:r>
              <w:t xml:space="preserve">Gonfiore senza distensione</w:t>
            </w:r>
          </w:p>
        </w:tc>
        <w:tc>
          <w:tcPr/>
          <w:p>
            <w:pPr>
              <w:pStyle w:val="Compact"/>
            </w:pPr>
            <w:r>
              <w:t xml:space="preserve">Sensazione forte, metro fermo</w:t>
            </w:r>
          </w:p>
        </w:tc>
        <w:tc>
          <w:tcPr/>
          <w:p>
            <w:pPr>
              <w:pStyle w:val="Compact"/>
            </w:pPr>
            <w:r>
              <w:t xml:space="preserve">Soglia abbassata, profilo nociplastico</w:t>
            </w:r>
          </w:p>
        </w:tc>
        <w:tc>
          <w:tcPr/>
          <w:p>
            <w:pPr>
              <w:pStyle w:val="Compact"/>
            </w:pPr>
            <w:r>
              <w:t xml:space="preserve">Abbastanza</w:t>
            </w:r>
          </w:p>
        </w:tc>
      </w:tr>
      <w:tr>
        <w:tc>
          <w:tcPr/>
          <w:p>
            <w:pPr>
              <w:pStyle w:val="Compact"/>
            </w:pPr>
            <w:r>
              <w:t xml:space="preserve">Gonfiore legato all’evacuazione</w:t>
            </w:r>
          </w:p>
        </w:tc>
        <w:tc>
          <w:tcPr/>
          <w:p>
            <w:pPr>
              <w:pStyle w:val="Compact"/>
            </w:pPr>
            <w:r>
              <w:t xml:space="preserve">Sollievo netto dopo il bagno</w:t>
            </w:r>
          </w:p>
        </w:tc>
        <w:tc>
          <w:tcPr/>
          <w:p>
            <w:pPr>
              <w:pStyle w:val="Compact"/>
            </w:pPr>
            <w:r>
              <w:t xml:space="preserve">Evacuazione difficoltosa</w:t>
            </w:r>
          </w:p>
        </w:tc>
        <w:tc>
          <w:tcPr/>
          <w:p>
            <w:pPr>
              <w:pStyle w:val="Compact"/>
            </w:pPr>
            <w:r>
              <w:t xml:space="preserve">Poco: si riconosce e si manda</w:t>
            </w:r>
          </w:p>
        </w:tc>
      </w:tr>
      <w:tr>
        <w:tc>
          <w:tcPr/>
          <w:p>
            <w:pPr>
              <w:pStyle w:val="Compact"/>
            </w:pPr>
            <w:r>
              <w:t xml:space="preserve">Gonfiore con gas davvero aumentato</w:t>
            </w:r>
          </w:p>
        </w:tc>
        <w:tc>
          <w:tcPr/>
          <w:p>
            <w:pPr>
              <w:pStyle w:val="Compact"/>
            </w:pPr>
            <w:r>
              <w:t xml:space="preserve">Rumori, flatulenza, dieta che pesa</w:t>
            </w:r>
          </w:p>
        </w:tc>
        <w:tc>
          <w:tcPr/>
          <w:p>
            <w:pPr>
              <w:pStyle w:val="Compact"/>
            </w:pPr>
            <w:r>
              <w:t xml:space="preserve">Transito e fermentazione</w:t>
            </w:r>
          </w:p>
        </w:tc>
        <w:tc>
          <w:tcPr/>
          <w:p>
            <w:pPr>
              <w:pStyle w:val="Compact"/>
            </w:pPr>
            <w:r>
              <w:t xml:space="preserve">Poco: leva del dietista</w:t>
            </w:r>
          </w:p>
        </w:tc>
      </w:tr>
      <w:tr>
        <w:tc>
          <w:tcPr/>
          <w:p>
            <w:pPr>
              <w:pStyle w:val="Compact"/>
            </w:pPr>
            <w:r>
              <w:t xml:space="preserve">Gonfiore con segni d’allarme</w:t>
            </w:r>
          </w:p>
        </w:tc>
        <w:tc>
          <w:tcPr/>
          <w:p>
            <w:pPr>
              <w:pStyle w:val="Compact"/>
            </w:pPr>
            <w:r>
              <w:t xml:space="preserve">Vedi la tabella delle bandiere rosse</w:t>
            </w:r>
          </w:p>
        </w:tc>
        <w:tc>
          <w:tcPr/>
          <w:p>
            <w:pPr>
              <w:pStyle w:val="Compact"/>
            </w:pPr>
            <w:r>
              <w:t xml:space="preserve">Causa organica</w:t>
            </w:r>
          </w:p>
        </w:tc>
        <w:tc>
          <w:tcPr/>
          <w:p>
            <w:pPr>
              <w:pStyle w:val="Compact"/>
            </w:pPr>
            <w:r>
              <w:t xml:space="preserve">Niente: è un cancello</w:t>
            </w:r>
          </w:p>
        </w:tc>
      </w:tr>
    </w:tbl>
    <w:bookmarkStart w:id="35" w:name="distensione-visibile-postprandiale"/>
    <w:p>
      <w:pPr>
        <w:pStyle w:val="Heading3"/>
      </w:pPr>
      <w:r>
        <w:t xml:space="preserve">1. Distensione visibile postprandiale</w:t>
      </w:r>
    </w:p>
    <w:p>
      <w:pPr>
        <w:pStyle w:val="FirstParagraph"/>
      </w:pPr>
      <w:r>
        <w:t xml:space="preserve">È il pattern per cui questo documento esiste. Circonferenza piatta al mattino, aumento dopo i pasti, riduzione notturna: il paziente descrive il cambio di taglia, non il dolore. Qui comanda il primo meccanismo, il bersaglio è muscolo-scheletrico, e la leva ha alle spalle due randomizzati controllati con placebo — su un biofeedback strumentale, non su una mano.</w:t>
      </w:r>
      <w:r>
        <w:t xml:space="preserve"> </w:t>
      </w:r>
      <w:r>
        <w:rPr>
          <w:b/>
          <w:bCs/>
        </w:rPr>
        <w:t xml:space="preserve">Una variante inquina il tuo unico marker oggettivo: il gonfiore che segue il calendario e non i pasti</w:t>
      </w:r>
      <w:r>
        <w:t xml:space="preserve">, perché il ritmo mestruale muove la circonferenza per una ragione che non hai trattato. È la bilancia che pesa anche i vestiti: il numero sale, e non hai mangiato di più.</w:t>
      </w:r>
    </w:p>
    <w:bookmarkEnd w:id="35"/>
    <w:bookmarkStart w:id="36" w:name="gonfiore-senza-distensione"/>
    <w:p>
      <w:pPr>
        <w:pStyle w:val="Heading3"/>
      </w:pPr>
      <w:r>
        <w:t xml:space="preserve">2. Gonfiore senza distensione</w:t>
      </w:r>
    </w:p>
    <w:p>
      <w:pPr>
        <w:pStyle w:val="FirstParagraph"/>
      </w:pPr>
      <w:r>
        <w:t xml:space="preserve">La sensazione è intensa e il metro non si muove. Spesso convive con dolore addominale e altri sintomi della sindrome dell’intestino irritabile. Comanda il quarto meccanismo, la soglia, con profilo nociplastico: la leva non è sulla forma, ma sul livello di attivazione e sul modo in cui il segnale viene interpretato. Si tratta lo stesso, con la sua etichetta reale, e solo se comunque c’è un reperto tuo. La leva che non eroghi tu, su questo pattern, non è un parere isolato: dietro ci sono 67 studi randomizzati (Thakur, 2025, PMID 41077057), con i limiti che trovi nella scheda Comportamentale. Se c’è anche dolore legato all’evacuazione e alvo alterato, apri la Bibbia del</w:t>
      </w:r>
      <w:r>
        <w:t xml:space="preserve"> </w:t>
      </w:r>
      <w:r>
        <w:rPr>
          <w:b/>
          <w:bCs/>
        </w:rPr>
        <w:t xml:space="preserve">Colon irritabile</w:t>
      </w:r>
      <w:r>
        <w:t xml:space="preserve">.</w:t>
      </w:r>
    </w:p>
    <w:bookmarkEnd w:id="36"/>
    <w:bookmarkStart w:id="37" w:name="X7f8085005e461515de83ae40784fff7a396865c"/>
    <w:p>
      <w:pPr>
        <w:pStyle w:val="Heading3"/>
      </w:pPr>
      <w:r>
        <w:t xml:space="preserve">3. Gonfiore legato all’evacuazione — è un cancello, non un bersaglio</w:t>
      </w:r>
    </w:p>
    <w:p>
      <w:pPr>
        <w:pStyle w:val="FirstParagraph"/>
      </w:pPr>
      <w:r>
        <w:t xml:space="preserve">Il gonfiore si riduce nettamente dopo l’evacuazione e peggiora nei giorni senza. Quando dietro c’è un’evacuazione difficoltosa il trattamento di riferimento è il riaddestramento anorettale, indicato dalla manometria — raccomandata proprio in questi pazienti (Moshiree, 2023, PMID 37452811).</w:t>
      </w:r>
    </w:p>
    <w:p>
      <w:pPr>
        <w:pStyle w:val="BlockText"/>
      </w:pPr>
      <w:r>
        <w:rPr>
          <w:b/>
          <w:bCs/>
        </w:rPr>
        <w:t xml:space="preserve">Attenzione.</w:t>
      </w:r>
      <w:r>
        <w:t xml:space="preserve"> </w:t>
      </w:r>
      <w:r>
        <w:t xml:space="preserve">Il riaddestramento anorettale passa da un contatto interno, che è fuori dall’atto osteopatico (DPR 131/2021), in ogni forma e con ogni motivazione. Su questo pattern il tuo atto clinico principale è il riconoscimento e l’invio. Per il resto, vedi la Bibbia della</w:t>
      </w:r>
      <w:r>
        <w:t xml:space="preserve"> </w:t>
      </w:r>
      <w:r>
        <w:rPr>
          <w:b/>
          <w:bCs/>
        </w:rPr>
        <w:t xml:space="preserve">Stitichezza</w:t>
      </w:r>
      <w:r>
        <w:t xml:space="preserve">.</w:t>
      </w:r>
    </w:p>
    <w:bookmarkEnd w:id="37"/>
    <w:bookmarkStart w:id="38" w:name="Xafd48f4b95878cd066624d915a9b21f31df7e11"/>
    <w:p>
      <w:pPr>
        <w:pStyle w:val="Heading3"/>
      </w:pPr>
      <w:r>
        <w:t xml:space="preserve">4. Gonfiore con gas davvero aumentato — leva prevalentemente non nostra</w:t>
      </w:r>
    </w:p>
    <w:p>
      <w:pPr>
        <w:pStyle w:val="FirstParagraph"/>
      </w:pPr>
      <w:r>
        <w:t xml:space="preserve">È il quarto di pazienti del terzo meccanismo. La leva con le prove migliori è dietetica e la eroga un dietista. Quello che resta tuo è il movimento leggero, misurato sulla ritenzione di gas.</w:t>
      </w:r>
    </w:p>
    <w:bookmarkEnd w:id="38"/>
    <w:bookmarkStart w:id="40" w:name="X49c041421c0cc89c8f7533c0c4b50293ee036d5"/>
    <w:p>
      <w:pPr>
        <w:pStyle w:val="Heading3"/>
      </w:pPr>
      <w:r>
        <w:t xml:space="preserve">5. Gonfiore con segni d’allarme — è un cancello, e viene prima di tutto</w:t>
      </w:r>
    </w:p>
    <w:p>
      <w:pPr>
        <w:pStyle w:val="FirstParagraph"/>
      </w:pPr>
      <w:r>
        <w:t xml:space="preserve">Non è un pattern da trattare: vedi la tabella delle bandiere rosse in «Dove finisce il nostro campo».</w:t>
      </w:r>
    </w:p>
    <w:p>
      <w:pPr>
        <w:pStyle w:val="BodyText"/>
      </w:pPr>
      <w:r>
        <w:rPr>
          <w:b/>
          <w:bCs/>
        </w:rPr>
        <w:t xml:space="preserve">Quando rimandi, non stai rimandando a un altro guasto.</w:t>
      </w:r>
      <w:r>
        <w:t xml:space="preserve"> </w:t>
      </w:r>
      <w:r>
        <w:t xml:space="preserve">La stessa dissinergia — diaframma che si contrae mentre la parete alta si rilascia — è stata misurata anche nella dispepsia funzionale. Lì si accompagna a un volume di pasto tollerato di 604 ± 310 ml contro 913 ± 308 ml nei sani (Barba, 2014, PMID 23645627).</w:t>
      </w:r>
      <w:r>
        <w:t xml:space="preserve"> </w:t>
      </w:r>
      <w:r>
        <w:rPr>
          <w:i/>
          <w:iCs/>
        </w:rPr>
        <w:t xml:space="preserve">Misurato su dieci pazienti con dispepsia funzionale e gonfiore postprandiale, non su gonfiore e distensione funzionali: dice che il meccanismo attraversa le due etichette, non che le due condizioni si trattino allo stesso modo.</w:t>
      </w:r>
      <w:r>
        <w:t xml:space="preserve"> </w:t>
      </w:r>
      <w:r>
        <w:t xml:space="preserve">Cambia l’etichetta e cambia chi inquadra; non cambia il guasto che valuti con le mani.</w:t>
      </w:r>
    </w:p>
    <w:p>
      <w:pPr>
        <w:pStyle w:val="BlockText"/>
      </w:pPr>
      <w:r>
        <w:rPr>
          <w:b/>
          <w:bCs/>
        </w:rPr>
        <w:t xml:space="preserve">Condizioni associate:</w:t>
      </w:r>
      <w:r>
        <w:t xml:space="preserve"> </w:t>
      </w:r>
      <w:r>
        <w:t xml:space="preserve">dolore legato all’evacuazione e alvo alterato →</w:t>
      </w:r>
      <w:r>
        <w:t xml:space="preserve"> </w:t>
      </w:r>
      <w:r>
        <w:rPr>
          <w:b/>
          <w:bCs/>
        </w:rPr>
        <w:t xml:space="preserve">Colon irritabile</w:t>
      </w:r>
      <w:r>
        <w:t xml:space="preserve">; gonfiore alto con sazietà precoce →</w:t>
      </w:r>
      <w:r>
        <w:t xml:space="preserve"> </w:t>
      </w:r>
      <w:r>
        <w:rPr>
          <w:b/>
          <w:bCs/>
        </w:rPr>
        <w:t xml:space="preserve">Problemi digestivi</w:t>
      </w:r>
      <w:r>
        <w:t xml:space="preserve">; sforzo evacuativo →</w:t>
      </w:r>
      <w:r>
        <w:t xml:space="preserve"> </w:t>
      </w:r>
      <w:r>
        <w:rPr>
          <w:b/>
          <w:bCs/>
        </w:rPr>
        <w:t xml:space="preserve">Stitichezza</w:t>
      </w:r>
      <w:r>
        <w:t xml:space="preserve">; rigurgito e bruciore →</w:t>
      </w:r>
      <w:r>
        <w:t xml:space="preserve"> </w:t>
      </w:r>
      <w:r>
        <w:rPr>
          <w:b/>
          <w:bCs/>
        </w:rPr>
        <w:t xml:space="preserve">Reflusso gastrico</w:t>
      </w:r>
      <w:r>
        <w:t xml:space="preserve">; respiro corto anche senza gonfiore →</w:t>
      </w:r>
      <w:r>
        <w:t xml:space="preserve"> </w:t>
      </w:r>
      <w:r>
        <w:rPr>
          <w:b/>
          <w:bCs/>
        </w:rPr>
        <w:t xml:space="preserve">Difficoltà respiratorie funzionali</w:t>
      </w:r>
      <w:r>
        <w:t xml:space="preserve">.</w:t>
      </w:r>
    </w:p>
    <w:p>
      <w:pPr>
        <w:pStyle w:val="FirstParagraph"/>
      </w:pPr>
      <w:r>
        <w:rPr>
          <w:b/>
          <w:bCs/>
        </w:rPr>
        <w:t xml:space="preserve">Le tre cose da ricordare, più una</w:t>
      </w:r>
    </w:p>
    <w:p>
      <w:pPr>
        <w:pStyle w:val="Compact"/>
        <w:numPr>
          <w:ilvl w:val="0"/>
          <w:numId w:val="1011"/>
        </w:numPr>
      </w:pPr>
      <w:r>
        <w:t xml:space="preserve">La prima domanda dell’anamnesi è:</w:t>
      </w:r>
      <w:r>
        <w:t xml:space="preserve"> </w:t>
      </w:r>
      <w:r>
        <w:rPr>
          <w:b/>
          <w:bCs/>
        </w:rPr>
        <w:t xml:space="preserve">la circonferenza cambia davvero?</w:t>
      </w:r>
      <w:r>
        <w:t xml:space="preserve"> </w:t>
      </w:r>
      <w:r>
        <w:t xml:space="preserve">Separa i primi due pattern, e sono i due su cui lavori diversamente.</w:t>
      </w:r>
    </w:p>
    <w:p>
      <w:pPr>
        <w:pStyle w:val="Compact"/>
        <w:numPr>
          <w:ilvl w:val="0"/>
          <w:numId w:val="1011"/>
        </w:numPr>
      </w:pPr>
      <w:r>
        <w:t xml:space="preserve">Due pattern su cinque sono cancelli. Riconoscerli è un atto clinico, non un ripiego.</w:t>
      </w:r>
    </w:p>
    <w:p>
      <w:pPr>
        <w:pStyle w:val="Compact"/>
        <w:numPr>
          <w:ilvl w:val="0"/>
          <w:numId w:val="1011"/>
        </w:numPr>
      </w:pPr>
      <w:r>
        <w:t xml:space="preserve">Il pattern si presume e si scrive come presunzione. Non lo si comunica come diagnosi.</w:t>
      </w:r>
    </w:p>
    <w:p>
      <w:pPr>
        <w:pStyle w:val="Heading2"/>
        <w:numPr>
          <w:ilvl w:val="0"/>
          <w:numId w:val="1011"/>
        </w:numPr>
      </w:pPr>
      <w:bookmarkStart w:id="39" w:name="X6ac81c5edcc2dd94fb131bf6855c321ba5592b0"/>
      <w:r>
        <w:rPr>
          <w:b/>
          <w:bCs/>
        </w:rPr>
        <w:t xml:space="preserve">Perché ci sei tu.</w:t>
      </w:r>
      <w:r>
        <w:t xml:space="preserve"> </w:t>
      </w:r>
      <w:r>
        <w:t xml:space="preserve">Su questo pattern non ci sei: circa una persona su sei fra quelle che arrivano in ambulatorio con gonfiore o distensione come motivo principale ha una causa organica. Quel gruppo è più anziano e più magro (Chen, 2024, PMID 38173159). Questo ti autorizza a riconoscere quel profilo e a mandarlo. Non ti autorizza a trattarlo mentre aspetti che qualcuno lo guardi.</w:t>
      </w:r>
      <w:bookmarkEnd w:id="39"/>
    </w:p>
    <w:bookmarkEnd w:id="40"/>
    <w:bookmarkEnd w:id="41"/>
    <w:bookmarkStart w:id="47"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i modelli non pesano tutti uguale, e il peso cambia con il pattern — nel primo comandano Biomeccanico e Respiratorio, nel secondo Neurologico e Comportamentale.</w:t>
      </w:r>
    </w:p>
    <w:p>
      <w:pPr>
        <w:pStyle w:val="FirstParagraph"/>
      </w:pPr>
      <w:r>
        <w:rPr>
          <w:b/>
          <w:bCs/>
        </w:rPr>
        <w:t xml:space="preserve">La gerarchia, dichiarata per pattern.</w:t>
      </w:r>
      <w:r>
        <w:t xml:space="preserve"> </w:t>
      </w:r>
      <w:r>
        <w:t xml:space="preserve">Nella distensione visibile postprandiale il piano che sequestra più capacità di adattamento è la</w:t>
      </w:r>
      <w:r>
        <w:t xml:space="preserve"> </w:t>
      </w:r>
      <w:r>
        <w:rPr>
          <w:b/>
          <w:bCs/>
        </w:rPr>
        <w:t xml:space="preserve">meccanica del contenitore</w:t>
      </w:r>
      <w:r>
        <w:t xml:space="preserve">, e sopra di essa la regolazione è quasi sempre in ordine. Nel gonfiore senza distensione comanda la</w:t>
      </w:r>
      <w:r>
        <w:t xml:space="preserve"> </w:t>
      </w:r>
      <w:r>
        <w:rPr>
          <w:b/>
          <w:bCs/>
        </w:rPr>
        <w:t xml:space="preserve">regolazione</w:t>
      </w:r>
      <w:r>
        <w:t xml:space="preserve">, e il contenitore non è il bersaglio. È la stessa gerarchia di «Come ragiono davanti a questo paziente»: non ce ne sono due.</w:t>
      </w:r>
    </w:p>
    <w:bookmarkStart w:id="42" w:name="biomeccanico-strutturale"/>
    <w:p>
      <w:pPr>
        <w:pStyle w:val="Heading3"/>
      </w:pPr>
      <w:r>
        <w:t xml:space="preserve">Biomeccanico-Strutturale</w:t>
      </w:r>
    </w:p>
    <w:p>
      <w:pPr>
        <w:pStyle w:val="FirstParagraph"/>
      </w:pPr>
      <w:r>
        <w:rPr>
          <w:b/>
          <w:bCs/>
        </w:rPr>
        <w:t xml:space="preserve">Cosa governa qui.</w:t>
      </w:r>
      <w:r>
        <w:t xml:space="preserve"> </w:t>
      </w:r>
      <w:r>
        <w:t xml:space="preserve">La forma del contenitore: quanto spazio ha la cavità, e chi glielo cambia.</w:t>
      </w:r>
    </w:p>
    <w:p>
      <w:pPr>
        <w:pStyle w:val="BodyText"/>
      </w:pPr>
      <w:r>
        <w:rPr>
          <w:b/>
          <w:bCs/>
        </w:rPr>
        <w:t xml:space="preserve">Gli attori.</w:t>
      </w:r>
      <w:r>
        <w:t xml:space="preserve"> </w:t>
      </w:r>
      <w:r>
        <w:t xml:space="preserve">Diaframma, parete anterolaterale, coste basse, pavimento perineale, giunzione dorso-lombare. Su quest’ultima vale la clausola del Capitolo 3: il suo effetto sulla distensione</w:t>
      </w:r>
      <w:r>
        <w:t xml:space="preserve"> </w:t>
      </w:r>
      <w:r>
        <w:rPr>
          <w:b/>
          <w:bCs/>
        </w:rPr>
        <w:t xml:space="preserve">non è stato misurato</w:t>
      </w:r>
      <w:r>
        <w:t xml:space="preserve">.</w:t>
      </w:r>
    </w:p>
    <w:p>
      <w:pPr>
        <w:pStyle w:val="BodyText"/>
      </w:pPr>
      <w:r>
        <w:rPr>
          <w:b/>
          <w:bCs/>
        </w:rPr>
        <w:t xml:space="preserve">La nota di campo, che su una condizione digestiva serve dichiarata.</w:t>
      </w:r>
      <w:r>
        <w:t xml:space="preserve"> </w:t>
      </w:r>
      <w:r>
        <w:t xml:space="preserve">La componente viscerale di questo quadro è la meccanica del contenitore e del legamento freno-colico, e vive qui; l’arco riflesso viscerosomatico vive nel Neurologico.</w:t>
      </w:r>
      <w:r>
        <w:t xml:space="preserve"> </w:t>
      </w:r>
      <w:r>
        <w:rPr>
          <w:b/>
          <w:bCs/>
        </w:rPr>
        <w:t xml:space="preserve">Non si apre un modello viscerale</w:t>
      </w:r>
      <w:r>
        <w:t xml:space="preserve">, e la ragione è una misura: la revisione dedicata alle tecniche viscerali non trova prove solide né sull’affidabilità dei loro test né sulla loro efficacia (Guillaud, 2018, PMID 29452579).</w:t>
      </w:r>
    </w:p>
    <w:p>
      <w:pPr>
        <w:pStyle w:val="BodyText"/>
      </w:pPr>
      <w:r>
        <w:rPr>
          <w:b/>
          <w:bCs/>
        </w:rPr>
        <w:t xml:space="preserve">I segnali che pesa.</w:t>
      </w:r>
      <w:r>
        <w:t xml:space="preserve"> </w:t>
      </w:r>
      <w:r>
        <w:t xml:space="preserve">Circonferenza che cambia di più di due centimetri nella giornata. Coste basse allargate. Torace che sale invece di espandersi lateralmente. Impossibilità di contrarre la parete senza trattenere il fiato. Perineo che scende invece di risalire.</w:t>
      </w:r>
    </w:p>
    <w:p>
      <w:pPr>
        <w:pStyle w:val="BodyText"/>
      </w:pPr>
      <w:r>
        <w:rPr>
          <w:b/>
          <w:bCs/>
        </w:rPr>
        <w:t xml:space="preserve">Dove finisce, e dove comincia il Neurologico.</w:t>
      </w:r>
      <w:r>
        <w:t xml:space="preserve"> </w:t>
      </w:r>
      <w:r>
        <w:t xml:space="preserve">Il guasto che vedi è un effettore muscolo-scheletrico e sta qui; l’arco riflesso che lo comanda sta nel Neurologico. La lampadina sta qui, l’interruttore in un’altra stanza. Assegnarlo tutto a questo modello farebbe credere che la mano si appoggi dove sta il guasto.</w:t>
      </w:r>
    </w:p>
    <w:p>
      <w:pPr>
        <w:pStyle w:val="BlockText"/>
      </w:pPr>
      <w:r>
        <w:rPr>
          <w:b/>
          <w:bCs/>
        </w:rPr>
        <w:t xml:space="preserve">Quanto è solido:</w:t>
      </w:r>
      <w:r>
        <w:t xml:space="preserve"> </w:t>
      </w:r>
      <w:r>
        <w:t xml:space="preserve">l’etichetta si spezza. Che il guasto sia in questo modello è</w:t>
      </w:r>
      <w:r>
        <w:t xml:space="preserve"> </w:t>
      </w:r>
      <w:r>
        <w:rPr>
          <w:b/>
          <w:bCs/>
        </w:rPr>
        <w:t xml:space="preserve">DIMOSTRATO</w:t>
      </w:r>
      <w:r>
        <w:t xml:space="preserve"> </w:t>
      </w:r>
      <w:r>
        <w:rPr>
          <w:i/>
          <w:iCs/>
        </w:rPr>
        <w:t xml:space="preserve">(studi sull’uomo, solidi)</w:t>
      </w:r>
      <w:r>
        <w:t xml:space="preserve"> </w:t>
      </w:r>
      <w:r>
        <w:t xml:space="preserve">— tomografia ed elettromiografia su 45 pazienti (Barba, 2015, PMID 25500424) ed elettromiografia multicanale su 12 pazienti e 12 controlli (Tremolaterra, 2006, PMID 16618400). Che una tecnica manuale su questo modello sposti la distensione è</w:t>
      </w:r>
      <w:r>
        <w:t xml:space="preserve"> </w:t>
      </w:r>
      <w:r>
        <w:rPr>
          <w:b/>
          <w:bCs/>
        </w:rPr>
        <w:t xml:space="preserve">IPOTESI</w:t>
      </w:r>
      <w:r>
        <w:t xml:space="preserve"> </w:t>
      </w:r>
      <w:r>
        <w:rPr>
          <w:i/>
          <w:iCs/>
        </w:rPr>
        <w:t xml:space="preserve">(meccanismo coerente, nessuno studio)</w:t>
      </w:r>
      <w:r>
        <w:t xml:space="preserve">.</w:t>
      </w:r>
    </w:p>
    <w:bookmarkEnd w:id="42"/>
    <w:bookmarkStart w:id="43" w:name="respiratorio-circolatorio"/>
    <w:p>
      <w:pPr>
        <w:pStyle w:val="Heading3"/>
      </w:pPr>
      <w:r>
        <w:t xml:space="preserve">Respiratorio-Circolatorio</w:t>
      </w:r>
    </w:p>
    <w:p>
      <w:pPr>
        <w:pStyle w:val="FirstParagraph"/>
      </w:pPr>
      <w:r>
        <w:rPr>
          <w:b/>
          <w:bCs/>
        </w:rPr>
        <w:t xml:space="preserve">Cosa governa qui.</w:t>
      </w:r>
      <w:r>
        <w:t xml:space="preserve"> </w:t>
      </w:r>
      <w:r>
        <w:t xml:space="preserve">La meccanica ventilatoria: come si distribuisce il lavoro respiratorio fra diaframma, intercostali e accessori.</w:t>
      </w:r>
      <w:r>
        <w:t xml:space="preserve"> </w:t>
      </w:r>
      <w:r>
        <w:rPr>
          <w:b/>
          <w:bCs/>
        </w:rPr>
        <w:t xml:space="preserve">È il modello che ospita l’unica leva della condizione con due randomizzati controllati con placebo.</w:t>
      </w:r>
    </w:p>
    <w:p>
      <w:pPr>
        <w:pStyle w:val="BodyText"/>
      </w:pPr>
      <w:r>
        <w:rPr>
          <w:b/>
          <w:bCs/>
        </w:rPr>
        <w:t xml:space="preserve">Gli attori.</w:t>
      </w:r>
      <w:r>
        <w:t xml:space="preserve"> </w:t>
      </w:r>
      <w:r>
        <w:t xml:space="preserve">Diaframma, intercostali, coste basse, nervo frenico da C3-C5.</w:t>
      </w:r>
    </w:p>
    <w:p>
      <w:pPr>
        <w:pStyle w:val="BodyText"/>
      </w:pPr>
      <w:r>
        <w:rPr>
          <w:b/>
          <w:bCs/>
        </w:rPr>
        <w:t xml:space="preserve">I segnali che pesa.</w:t>
      </w:r>
      <w:r>
        <w:t xml:space="preserve"> </w:t>
      </w:r>
      <w:r>
        <w:t xml:space="preserve">Respiro corto e alto quando è disteso, che migliora quando la circonferenza scende. Escursione toracica bassa ridotta. Sensazione riferita di</w:t>
      </w:r>
      <w:r>
        <w:t xml:space="preserve"> </w:t>
      </w:r>
      <w:r>
        <w:rPr>
          <w:i/>
          <w:iCs/>
        </w:rPr>
        <w:t xml:space="preserve">«non riuscire a far scendere il respiro»</w:t>
      </w:r>
      <w:r>
        <w:t xml:space="preserve">.</w:t>
      </w:r>
    </w:p>
    <w:p>
      <w:pPr>
        <w:pStyle w:val="BodyText"/>
      </w:pPr>
      <w:r>
        <w:rPr>
          <w:b/>
          <w:bCs/>
        </w:rPr>
        <w:t xml:space="preserve">La restrizione di campo, dichiarata.</w:t>
      </w:r>
      <w:r>
        <w:t xml:space="preserve"> </w:t>
      </w:r>
      <w:r>
        <w:t xml:space="preserve">Qui si usa la sola</w:t>
      </w:r>
      <w:r>
        <w:t xml:space="preserve"> </w:t>
      </w:r>
      <w:r>
        <w:rPr>
          <w:b/>
          <w:bCs/>
        </w:rPr>
        <w:t xml:space="preserve">meccanica ventilatoria</w:t>
      </w:r>
      <w:r>
        <w:t xml:space="preserve">. La metà circolatoria — ritorno venoso, drenaggio linfatico — non viene invocata: nessuno l’ha misurata prima e dopo una tecnica manuale. Non è disinteresse: è assenza di misura.</w:t>
      </w:r>
    </w:p>
    <w:p>
      <w:pPr>
        <w:pStyle w:val="BlockText"/>
      </w:pPr>
      <w:r>
        <w:rPr>
          <w:b/>
          <w:bCs/>
        </w:rPr>
        <w:t xml:space="preserve">Quanto è solido:</w:t>
      </w:r>
      <w:r>
        <w:t xml:space="preserve"> </w:t>
      </w:r>
      <w:r>
        <w:t xml:space="preserve">l’etichetta si spezza in tre. Che durante l’episodio l’attività intercostale salga del 14% e il volume polmonare di mezzo litro è</w:t>
      </w:r>
      <w:r>
        <w:t xml:space="preserve"> </w:t>
      </w:r>
      <w:r>
        <w:rPr>
          <w:b/>
          <w:bCs/>
        </w:rPr>
        <w:t xml:space="preserve">DIMOSTRATO</w:t>
      </w:r>
      <w:r>
        <w:t xml:space="preserve"> </w:t>
      </w:r>
      <w:r>
        <w:rPr>
          <w:i/>
          <w:iCs/>
        </w:rPr>
        <w:t xml:space="preserve">(studi sull’uomo, solidi)</w:t>
      </w:r>
      <w:r>
        <w:t xml:space="preserve"> </w:t>
      </w:r>
      <w:r>
        <w:t xml:space="preserve">(Barba, 2015, PMID 25500424). Che</w:t>
      </w:r>
      <w:r>
        <w:t xml:space="preserve"> </w:t>
      </w:r>
      <w:r>
        <w:rPr>
          <w:b/>
          <w:bCs/>
        </w:rPr>
        <w:t xml:space="preserve">riaddestrare il comportamento respiratorio</w:t>
      </w:r>
      <w:r>
        <w:t xml:space="preserve"> </w:t>
      </w:r>
      <w:r>
        <w:t xml:space="preserve">corregga la distensione è</w:t>
      </w:r>
      <w:r>
        <w:t xml:space="preserve"> </w:t>
      </w:r>
      <w:r>
        <w:rPr>
          <w:b/>
          <w:bCs/>
        </w:rPr>
        <w:t xml:space="preserve">DIMOSTRATO</w:t>
      </w:r>
      <w:r>
        <w:t xml:space="preserve"> </w:t>
      </w:r>
      <w:r>
        <w:rPr>
          <w:i/>
          <w:iCs/>
        </w:rPr>
        <w:t xml:space="preserve">(studi sull’uomo, solidi)</w:t>
      </w:r>
      <w:r>
        <w:t xml:space="preserve"> </w:t>
      </w:r>
      <w:r>
        <w:t xml:space="preserve">— due studi randomizzati controllati con placebo dello stesso gruppo e dello stesso centro (Barba, 2024, PMID 38467383; Barba, 2017, PMID 28705783), con il salto di erogatore e di strumento dichiarato in «Cosa può fare il paziente da solo». Che una tecnica</w:t>
      </w:r>
      <w:r>
        <w:t xml:space="preserve"> </w:t>
      </w:r>
      <w:r>
        <w:rPr>
          <w:b/>
          <w:bCs/>
        </w:rPr>
        <w:t xml:space="preserve">manuale</w:t>
      </w:r>
      <w:r>
        <w:t xml:space="preserve"> </w:t>
      </w:r>
      <w:r>
        <w:t xml:space="preserve">sul torace modifichi quella configurazione in questi pazienti è</w:t>
      </w:r>
      <w:r>
        <w:t xml:space="preserve"> </w:t>
      </w:r>
      <w:r>
        <w:rPr>
          <w:b/>
          <w:bCs/>
        </w:rPr>
        <w:t xml:space="preserve">IPOTESI</w:t>
      </w:r>
      <w:r>
        <w:t xml:space="preserve"> </w:t>
      </w:r>
      <w:r>
        <w:rPr>
          <w:i/>
          <w:iCs/>
        </w:rPr>
        <w:t xml:space="preserve">(meccanismo coerente, nessuno studio)</w:t>
      </w:r>
      <w:r>
        <w:t xml:space="preserve">. Che una mano possa aumentare l’escursione diaframmatica misurata è</w:t>
      </w:r>
      <w:r>
        <w:t xml:space="preserve"> </w:t>
      </w:r>
      <w:r>
        <w:rPr>
          <w:b/>
          <w:bCs/>
        </w:rPr>
        <w:t xml:space="preserve">PROBABILE</w:t>
      </w:r>
      <w:r>
        <w:t xml:space="preserve"> </w:t>
      </w:r>
      <w:r>
        <w:rPr>
          <w:i/>
          <w:iCs/>
        </w:rPr>
        <w:t xml:space="preserve">(razionale forte, prove parziali)</w:t>
      </w:r>
      <w:r>
        <w:t xml:space="preserve">, ma è stato misurato in pazienti con broncopneumopatia cronica ostruttiva (Rocha, 2015, PMID 26386894) — sale il meccanismo, non la leva.</w:t>
      </w:r>
    </w:p>
    <w:bookmarkEnd w:id="43"/>
    <w:bookmarkStart w:id="44" w:name="neurologico"/>
    <w:p>
      <w:pPr>
        <w:pStyle w:val="Heading3"/>
      </w:pPr>
      <w:r>
        <w:t xml:space="preserve">Neurologico</w:t>
      </w:r>
    </w:p>
    <w:p>
      <w:pPr>
        <w:pStyle w:val="FirstParagraph"/>
      </w:pPr>
      <w:r>
        <w:rPr>
          <w:b/>
          <w:bCs/>
        </w:rPr>
        <w:t xml:space="preserve">Cosa governa qui.</w:t>
      </w:r>
      <w:r>
        <w:t xml:space="preserve"> </w:t>
      </w:r>
      <w:r>
        <w:t xml:space="preserve">Tre cose. La soglia a cui un contenuto normale diventa sensazione. L’</w:t>
      </w:r>
      <w:r>
        <w:rPr>
          <w:b/>
          <w:bCs/>
        </w:rPr>
        <w:t xml:space="preserve">arco riflesso viscerosomatico</w:t>
      </w:r>
      <w:r>
        <w:t xml:space="preserve"> </w:t>
      </w:r>
      <w:r>
        <w:t xml:space="preserve">che produce il pattern motorio del primo meccanismo. E la</w:t>
      </w:r>
      <w:r>
        <w:t xml:space="preserve"> </w:t>
      </w:r>
      <w:r>
        <w:rPr>
          <w:b/>
          <w:bCs/>
        </w:rPr>
        <w:t xml:space="preserve">propulsione</w:t>
      </w:r>
      <w:r>
        <w:t xml:space="preserve">, cioè quanto in fretta il contenuto avanza e se ne va.</w:t>
      </w:r>
    </w:p>
    <w:p>
      <w:pPr>
        <w:pStyle w:val="BodyText"/>
      </w:pPr>
      <w:r>
        <w:rPr>
          <w:b/>
          <w:bCs/>
        </w:rPr>
        <w:t xml:space="preserve">Gli attori — la mappa afferente, che è quella che conta.</w:t>
      </w:r>
      <w:r>
        <w:t xml:space="preserve"> </w:t>
      </w:r>
      <w:r>
        <w:t xml:space="preserve">Le afferenze del colon fino al sigma corrono con gli</w:t>
      </w:r>
      <w:r>
        <w:t xml:space="preserve"> </w:t>
      </w:r>
      <w:r>
        <w:rPr>
          <w:b/>
          <w:bCs/>
        </w:rPr>
        <w:t xml:space="preserve">splancnici</w:t>
      </w:r>
      <w:r>
        <w:t xml:space="preserve"> </w:t>
      </w:r>
      <w:r>
        <w:t xml:space="preserve">e arrivano al corno dorsale</w:t>
      </w:r>
      <w:r>
        <w:t xml:space="preserve"> </w:t>
      </w:r>
      <w:r>
        <w:rPr>
          <w:b/>
          <w:bCs/>
        </w:rPr>
        <w:t xml:space="preserve">T5-L2</w:t>
      </w:r>
      <w:r>
        <w:t xml:space="preserve">. Quelle predominanti per la distensione rettale arrivano dagli</w:t>
      </w:r>
      <w:r>
        <w:t xml:space="preserve"> </w:t>
      </w:r>
      <w:r>
        <w:rPr>
          <w:b/>
          <w:bCs/>
        </w:rPr>
        <w:t xml:space="preserve">splancnici pelvici S2-S4</w:t>
      </w:r>
      <w:r>
        <w:t xml:space="preserve">. Le vagali portano informazione regolatoria, non nocicettiva. Il livello segmentale che riceve tutto questo è il</w:t>
      </w:r>
      <w:r>
        <w:t xml:space="preserve"> </w:t>
      </w:r>
      <w:r>
        <w:rPr>
          <w:b/>
          <w:bCs/>
        </w:rPr>
        <w:t xml:space="preserve">toracico basso e dorso-lombare</w:t>
      </w:r>
      <w:r>
        <w:t xml:space="preserve">.</w:t>
      </w:r>
    </w:p>
    <w:p>
      <w:pPr>
        <w:pStyle w:val="BodyText"/>
      </w:pPr>
      <w:r>
        <w:rPr>
          <w:b/>
          <w:bCs/>
        </w:rPr>
        <w:t xml:space="preserve">I segnali che pesa.</w:t>
      </w:r>
      <w:r>
        <w:t xml:space="preserve"> </w:t>
      </w:r>
      <w:r>
        <w:t xml:space="preserve">Il discriminante è l’</w:t>
      </w:r>
      <w:r>
        <w:rPr>
          <w:b/>
          <w:bCs/>
        </w:rPr>
        <w:t xml:space="preserve">assenza</w:t>
      </w:r>
      <w:r>
        <w:t xml:space="preserve"> </w:t>
      </w:r>
      <w:r>
        <w:t xml:space="preserve">del legame coi pasti. Più: sensazione intensa con metro fermo, dolore addominale diffuso, sonno cattivo e dolore in altre sedi — il corredo nociplastico.</w:t>
      </w:r>
    </w:p>
    <w:p>
      <w:pPr>
        <w:pStyle w:val="BlockText"/>
      </w:pPr>
      <w:r>
        <w:rPr>
          <w:b/>
          <w:bCs/>
        </w:rPr>
        <w:t xml:space="preserve">Quanto è solido:</w:t>
      </w:r>
      <w:r>
        <w:t xml:space="preserve"> </w:t>
      </w:r>
      <w:r>
        <w:t xml:space="preserve">l’etichetta si spezza. Che esistano due popolazioni con soglia opposta è</w:t>
      </w:r>
      <w:r>
        <w:t xml:space="preserve"> </w:t>
      </w:r>
      <w:r>
        <w:rPr>
          <w:b/>
          <w:bCs/>
        </w:rPr>
        <w:t xml:space="preserve">DIMOSTRATO</w:t>
      </w:r>
      <w:r>
        <w:t xml:space="preserve"> </w:t>
      </w:r>
      <w:r>
        <w:rPr>
          <w:i/>
          <w:iCs/>
        </w:rPr>
        <w:t xml:space="preserve">(studi sull’uomo, solidi)</w:t>
      </w:r>
      <w:r>
        <w:t xml:space="preserve">, con il salto di condizione dichiarato: 68 pazienti con sindrome dell’intestino irritabile Roma II (Agrawal, 2008, PMID 18455167). Che un trattamento manuale alzi la soglia rettale è</w:t>
      </w:r>
      <w:r>
        <w:t xml:space="preserve"> </w:t>
      </w:r>
      <w:r>
        <w:rPr>
          <w:b/>
          <w:bCs/>
        </w:rPr>
        <w:t xml:space="preserve">IPOTESI</w:t>
      </w:r>
      <w:r>
        <w:t xml:space="preserve"> </w:t>
      </w:r>
      <w:r>
        <w:rPr>
          <w:i/>
          <w:iCs/>
        </w:rPr>
        <w:t xml:space="preserve">(meccanismo coerente, nessuno studio)</w:t>
      </w:r>
      <w:r>
        <w:t xml:space="preserve">, ed è scesa da PROBABILE per tre ragioni. L’unico studio è su 31 pazienti con</w:t>
      </w:r>
      <w:r>
        <w:t xml:space="preserve"> </w:t>
      </w:r>
      <w:r>
        <w:rPr>
          <w:b/>
          <w:bCs/>
        </w:rPr>
        <w:t xml:space="preserve">colon irritabile refrattario</w:t>
      </w:r>
      <w:r>
        <w:t xml:space="preserve"> </w:t>
      </w:r>
      <w:r>
        <w:t xml:space="preserve">in un solo centro. Riporta un effetto significativo dentro il braccio osteopatia e nessuna evoluzione dentro il braccio placebo.</w:t>
      </w:r>
      <w:r>
        <w:t xml:space="preserve"> </w:t>
      </w:r>
      <w:r>
        <w:rPr>
          <w:b/>
          <w:bCs/>
        </w:rPr>
        <w:t xml:space="preserve">Un effetto dentro un braccio non è un confronto fra bracci.</w:t>
      </w:r>
      <w:r>
        <w:t xml:space="preserve"> </w:t>
      </w:r>
      <w:r>
        <w:t xml:space="preserve">Ed è uno dei sei studi di efficacia inclusi nella revisione sistematica che questo documento cita altrove. Lì è classificato</w:t>
      </w:r>
      <w:r>
        <w:t xml:space="preserve"> </w:t>
      </w:r>
      <w:r>
        <w:rPr>
          <w:b/>
          <w:bCs/>
        </w:rPr>
        <w:t xml:space="preserve">ad alto rischio di bias</w:t>
      </w:r>
      <w:r>
        <w:t xml:space="preserve">, per assenza di esito primario e riporto selettivo (Attali, 2013, PMID 23981319; Guillaud, 2018, PMID 29452579).</w:t>
      </w:r>
    </w:p>
    <w:bookmarkEnd w:id="44"/>
    <w:bookmarkStart w:id="45" w:name="metabolico-energetico"/>
    <w:p>
      <w:pPr>
        <w:pStyle w:val="Heading3"/>
      </w:pPr>
      <w:r>
        <w:t xml:space="preserve">Metabolico-Energetico</w:t>
      </w:r>
    </w:p>
    <w:p>
      <w:pPr>
        <w:pStyle w:val="FirstParagraph"/>
      </w:pPr>
      <w:r>
        <w:rPr>
          <w:b/>
          <w:bCs/>
        </w:rPr>
        <w:t xml:space="preserve">Cosa governa qui.</w:t>
      </w:r>
      <w:r>
        <w:t xml:space="preserve"> </w:t>
      </w:r>
      <w:r>
        <w:t xml:space="preserve">Il carico che entra e la velocità con cui esce: pasto, carboidrati fermentabili, alcol, peso, sonno, movimento, e il colon come sede in cui quel carico transita. Non sono strutture da toccare, sono abitudini:</w:t>
      </w:r>
      <w:r>
        <w:t xml:space="preserve"> </w:t>
      </w:r>
      <w:r>
        <w:rPr>
          <w:b/>
          <w:bCs/>
        </w:rPr>
        <w:t xml:space="preserve">si valutano, si nominano, si rinviano — non si lavorano con le mani.</w:t>
      </w:r>
    </w:p>
    <w:p>
      <w:pPr>
        <w:pStyle w:val="BodyText"/>
      </w:pPr>
      <w:r>
        <w:rPr>
          <w:b/>
          <w:bCs/>
        </w:rPr>
        <w:t xml:space="preserve">I segnali che pesa.</w:t>
      </w:r>
      <w:r>
        <w:t xml:space="preserve"> </w:t>
      </w:r>
      <w:r>
        <w:t xml:space="preserve">Rapporto riproducibile con alimenti specifici, non con il mangiare in sé. Peggioramento con i pasti serali abbondanti. Molte bevande gassate, dolcificanti polialcolici, legumi.</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sulla leva dietetica,</w:t>
      </w:r>
      <w:r>
        <w:t xml:space="preserve"> </w:t>
      </w:r>
      <w:r>
        <w:rPr>
          <w:b/>
          <w:bCs/>
        </w:rPr>
        <w:t xml:space="preserve">con il salto di condizione dichiarato</w:t>
      </w:r>
      <w:r>
        <w:t xml:space="preserve"> </w:t>
      </w:r>
      <w:r>
        <w:t xml:space="preserve">— gli studi sono su sindrome dell’intestino irritabile — e con un limite accanto. Fra le sei diete studiate in più di un trial, sul gonfiore e sulla distensione</w:t>
      </w:r>
      <w:r>
        <w:t xml:space="preserve"> </w:t>
      </w:r>
      <w:r>
        <w:rPr>
          <w:b/>
          <w:bCs/>
        </w:rPr>
        <w:t xml:space="preserve">solo la dieta a basso contenuto di FODMAP ha battuto la dieta abituale</w:t>
      </w:r>
      <w:r>
        <w:t xml:space="preserve">; delle altre cinque, valutate in un solo studio ciascuna, non si può dire né che funzionino né che non funzionino (Cuffe e Ford, 2025, PMID 40258374). I numeri per esteso stanno in «Cosa può fare il paziente da solo», strumento 3. La leva è dimostrata e</w:t>
      </w:r>
      <w:r>
        <w:t xml:space="preserve"> </w:t>
      </w:r>
      <w:r>
        <w:rPr>
          <w:b/>
          <w:bCs/>
        </w:rPr>
        <w:t xml:space="preserve">non è tua da erogare</w:t>
      </w:r>
      <w:r>
        <w:t xml:space="preserve">: la eroga un dietista.</w:t>
      </w:r>
    </w:p>
    <w:p>
      <w:pPr>
        <w:pStyle w:val="FirstParagraph"/>
      </w:pPr>
      <w:r>
        <w:rPr>
          <w:b/>
          <w:bCs/>
        </w:rPr>
        <w:t xml:space="preserve">Per te:</w:t>
      </w:r>
      <w:r>
        <w:t xml:space="preserve"> </w:t>
      </w:r>
      <w:r>
        <w:t xml:space="preserve">è una leva reale e non è risolutiva. E delle altre cinque diete, che la tua paziente ha probabilmente già provato, non si può dire niente né in un verso né nell’altro.</w:t>
      </w:r>
    </w:p>
    <w:bookmarkEnd w:id="45"/>
    <w:bookmarkStart w:id="46"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Credenze sul cibo, controllo del corpo, evitamento sociale, aspettativa, alleanza terapeutica.</w:t>
      </w:r>
    </w:p>
    <w:p>
      <w:pPr>
        <w:pStyle w:val="BodyText"/>
      </w:pPr>
      <w:r>
        <w:rPr>
          <w:b/>
          <w:bCs/>
        </w:rPr>
        <w:t xml:space="preserve">Gli attori.</w:t>
      </w:r>
      <w:r>
        <w:t xml:space="preserve"> </w:t>
      </w:r>
      <w:r>
        <w:t xml:space="preserve">Non strutture: la parete addominale entra qui solo come oggetto di controllo — la pancia guardata allo specchio — non come bersaglio.</w:t>
      </w:r>
    </w:p>
    <w:p>
      <w:pPr>
        <w:pStyle w:val="BodyText"/>
      </w:pPr>
      <w:r>
        <w:rPr>
          <w:b/>
          <w:bCs/>
        </w:rPr>
        <w:t xml:space="preserve">I segnali che pesa.</w:t>
      </w:r>
      <w:r>
        <w:t xml:space="preserve"> </w:t>
      </w:r>
      <w:r>
        <w:t xml:space="preserve">Restrizione non giustificata da un test, controllo ripetuto della pancia, rinuncia alle cene fuori, frasi di resa.</w:t>
      </w:r>
    </w:p>
    <w:p>
      <w:pPr>
        <w:pStyle w:val="BodyText"/>
      </w:pPr>
      <w:r>
        <w:rPr>
          <w:b/>
          <w:bCs/>
        </w:rPr>
        <w:t xml:space="preserve">Attenzione alla parola.</w:t>
      </w:r>
      <w:r>
        <w:t xml:space="preserve"> </w:t>
      </w:r>
      <w:r>
        <w:t xml:space="preserve">Gli autori che hanno misurato il primo meccanismo lo chiamano</w:t>
      </w:r>
      <w:r>
        <w:t xml:space="preserve"> </w:t>
      </w:r>
      <w:r>
        <w:rPr>
          <w:i/>
          <w:iCs/>
        </w:rPr>
        <w:t xml:space="preserve">behavioral response</w:t>
      </w:r>
      <w:r>
        <w:t xml:space="preserve">, e non intendono un fatto psicologico. Intendono un</w:t>
      </w:r>
      <w:r>
        <w:t xml:space="preserve"> </w:t>
      </w:r>
      <w:r>
        <w:rPr>
          <w:b/>
          <w:bCs/>
        </w:rPr>
        <w:t xml:space="preserve">pattern motorio somatico</w:t>
      </w:r>
      <w:r>
        <w:t xml:space="preserve"> </w:t>
      </w:r>
      <w:r>
        <w:t xml:space="preserve">appreso e riproducibile su comando. Questo modello contiene le credenze e l’evitamento; il pattern motorio sta nel Biomeccanico.</w:t>
      </w:r>
    </w:p>
    <w:p>
      <w:pPr>
        <w:pStyle w:val="BodyText"/>
      </w:pPr>
      <w:r>
        <w:rPr>
          <w:b/>
          <w:bCs/>
        </w:rPr>
        <w:t xml:space="preserve">La leva con prove, e il suo erogatore.</w:t>
      </w:r>
      <w:r>
        <w:t xml:space="preserve"> </w:t>
      </w:r>
      <w:r>
        <w:t xml:space="preserve">Il consenso europeo raccomanda</w:t>
      </w:r>
      <w:r>
        <w:t xml:space="preserve"> </w:t>
      </w:r>
      <w:r>
        <w:rPr>
          <w:b/>
          <w:bCs/>
        </w:rPr>
        <w:t xml:space="preserve">terapia cognitivo-comportamentale e ipnoterapia</w:t>
      </w:r>
      <w:r>
        <w:t xml:space="preserve"> </w:t>
      </w:r>
      <w:r>
        <w:t xml:space="preserve">nel gonfiore funzionale associato a intestino irritabile (Melchior, 2025, PMID 40844856), e non è un parere isolato: dietro ci sono</w:t>
      </w:r>
      <w:r>
        <w:t xml:space="preserve"> </w:t>
      </w:r>
      <w:r>
        <w:rPr>
          <w:b/>
          <w:bCs/>
        </w:rPr>
        <w:t xml:space="preserve">67 studi randomizzati e 7.441 pazienti</w:t>
      </w:r>
      <w:r>
        <w:t xml:space="preserve">. Contro lista d’attesa, il rischio relativo di</w:t>
      </w:r>
      <w:r>
        <w:t xml:space="preserve"> </w:t>
      </w:r>
      <w:r>
        <w:rPr>
          <w:b/>
          <w:bCs/>
        </w:rPr>
        <w:t xml:space="preserve">non</w:t>
      </w:r>
      <w:r>
        <w:t xml:space="preserve"> </w:t>
      </w:r>
      <w:r>
        <w:t xml:space="preserve">migliorare è 0,55 per la terapia cognitivo-comportamentale a contatto minimo, 0,65 per quella piena e 0,79 per l’ipnoterapia diretta all’intestino. Nella stessa frase va scritto il limite, che dichiarano gli autori:</w:t>
      </w:r>
      <w:r>
        <w:t xml:space="preserve"> </w:t>
      </w:r>
      <w:r>
        <w:rPr>
          <w:b/>
          <w:bCs/>
        </w:rPr>
        <w:t xml:space="preserve">bias di pubblicazione, e nessuno studio a basso rischio di bias in tutti i domini</w:t>
      </w:r>
      <w:r>
        <w:t xml:space="preserve">, con certezza da bassa a molto bassa (Thakur, 2025, PMID 41077057).</w:t>
      </w:r>
      <w:r>
        <w:t xml:space="preserve"> </w:t>
      </w:r>
      <w:r>
        <w:rPr>
          <w:i/>
          <w:iCs/>
        </w:rPr>
        <w:t xml:space="preserve">Misurato su pazienti con sindrome dell’intestino irritabile, non su gonfiore funzionale isolato, e con la certezza dichiarata bassa o molto bassa dagli autori: serve a sapere a chi mandi la paziente che il metro non muove, non a promettere che ci andrà meglio.</w:t>
      </w:r>
      <w:r>
        <w:t xml:space="preserve"> </w:t>
      </w:r>
      <w:r>
        <w:t xml:space="preserve">Non è la nostra leva: la eroga uno psicoterapeuta, come la dieta la eroga un dietista.</w:t>
      </w:r>
    </w:p>
    <w:p>
      <w:pPr>
        <w:pStyle w:val="BodyText"/>
      </w:pPr>
      <w:r>
        <w:rPr>
          <w:b/>
          <w:bCs/>
        </w:rPr>
        <w:t xml:space="preserve">Quando la restrizione diventa il problema.</w:t>
      </w:r>
      <w:r>
        <w:t xml:space="preserve"> </w:t>
      </w:r>
      <w:r>
        <w:t xml:space="preserve">Il profilo di questa paziente è donna, indice di massa corporea più basso, ansia più alta. In quel profilo i sintomi di disturbo evitante-restrittivo dell’alimentazione sono frequenti, e il rischio nasce dalle diete restrittive adottate</w:t>
      </w:r>
      <w:r>
        <w:t xml:space="preserve"> </w:t>
      </w:r>
      <w:r>
        <w:rPr>
          <w:b/>
          <w:bCs/>
        </w:rPr>
        <w:t xml:space="preserve">senza guida professionale</w:t>
      </w:r>
      <w:r>
        <w:t xml:space="preserve"> </w:t>
      </w:r>
      <w:r>
        <w:t xml:space="preserve">(Mikhael-Moussa e Melchior, 2025, PMID 40159723). I tre segni:</w:t>
      </w:r>
      <w:r>
        <w:t xml:space="preserve"> </w:t>
      </w:r>
      <w:r>
        <w:rPr>
          <w:b/>
          <w:bCs/>
        </w:rPr>
        <w:t xml:space="preserve">calo di peso</w:t>
      </w:r>
      <w:r>
        <w:t xml:space="preserve">,</w:t>
      </w:r>
      <w:r>
        <w:t xml:space="preserve"> </w:t>
      </w:r>
      <w:r>
        <w:rPr>
          <w:b/>
          <w:bCs/>
        </w:rPr>
        <w:t xml:space="preserve">riduzione progressiva degli alimenti tollerati</w:t>
      </w:r>
      <w:r>
        <w:t xml:space="preserve">,</w:t>
      </w:r>
      <w:r>
        <w:t xml:space="preserve"> </w:t>
      </w:r>
      <w:r>
        <w:rPr>
          <w:b/>
          <w:bCs/>
        </w:rPr>
        <w:t xml:space="preserve">evitamento sociale legato al cibo</w:t>
      </w:r>
      <w:r>
        <w:t xml:space="preserve">. La condotta è quella dei farmaci: si segnala al curante, non si commenta la dieta, non si propone nessuna altra eliminazione.</w:t>
      </w:r>
    </w:p>
    <w:p>
      <w:pPr>
        <w:pStyle w:val="BlockText"/>
      </w:pPr>
      <w:r>
        <w:rPr>
          <w:b/>
          <w:bCs/>
        </w:rPr>
        <w:t xml:space="preserve">Quanto è solido:</w:t>
      </w:r>
      <w:r>
        <w:t xml:space="preserve"> </w:t>
      </w:r>
      <w:r>
        <w:t xml:space="preserve">l’etichetta si spezza. Che la</w:t>
      </w:r>
      <w:r>
        <w:t xml:space="preserve"> </w:t>
      </w:r>
      <w:r>
        <w:rPr>
          <w:b/>
          <w:bCs/>
        </w:rPr>
        <w:t xml:space="preserve">leva comportamentale erogata da altri</w:t>
      </w:r>
      <w:r>
        <w:t xml:space="preserve"> </w:t>
      </w:r>
      <w:r>
        <w:t xml:space="preserve">funzioni è</w:t>
      </w:r>
      <w:r>
        <w:t xml:space="preserve"> </w:t>
      </w:r>
      <w:r>
        <w:rPr>
          <w:b/>
          <w:bCs/>
        </w:rPr>
        <w:t xml:space="preserve">PROBABILE</w:t>
      </w:r>
      <w:r>
        <w:t xml:space="preserve"> </w:t>
      </w:r>
      <w:r>
        <w:rPr>
          <w:i/>
          <w:iCs/>
        </w:rPr>
        <w:t xml:space="preserve">(razionale forte, prove parziali)</w:t>
      </w:r>
      <w:r>
        <w:t xml:space="preserve">, per i 67 randomizzati e i limiti dichiarati sopra (Thakur, 2025, PMID 41077057). Che il</w:t>
      </w:r>
      <w:r>
        <w:t xml:space="preserve"> </w:t>
      </w:r>
      <w:r>
        <w:rPr>
          <w:b/>
          <w:bCs/>
        </w:rPr>
        <w:t xml:space="preserve">contatto manuale</w:t>
      </w:r>
      <w:r>
        <w:t xml:space="preserve"> </w:t>
      </w:r>
      <w:r>
        <w:t xml:space="preserve">modifichi lo stato di attivazione in questi pazienti è</w:t>
      </w:r>
      <w:r>
        <w:t xml:space="preserve"> </w:t>
      </w:r>
      <w:r>
        <w:rPr>
          <w:b/>
          <w:bCs/>
        </w:rPr>
        <w:t xml:space="preserve">IPOTESI</w:t>
      </w:r>
      <w:r>
        <w:t xml:space="preserve"> </w:t>
      </w:r>
      <w:r>
        <w:rPr>
          <w:i/>
          <w:iCs/>
        </w:rPr>
        <w:t xml:space="preserve">(meccanismo coerente, nessuno studio)</w:t>
      </w:r>
      <w:r>
        <w:t xml:space="preserve">, e qui con prove contrarie da dichiarare per intero. Nella meta-analisi più ampia — 20 studi randomizzati — non c’è effetto su ansia e stress. La conduttanza cutanea è</w:t>
      </w:r>
      <w:r>
        <w:t xml:space="preserve"> </w:t>
      </w:r>
      <w:r>
        <w:rPr>
          <w:b/>
          <w:bCs/>
        </w:rPr>
        <w:t xml:space="preserve">stimata in aumento, con un intervallo di confidenza che arriva a toccare lo zero</w:t>
      </w:r>
      <w:r>
        <w:t xml:space="preserve"> </w:t>
      </w:r>
      <w:r>
        <w:t xml:space="preserve">(g = 0,67; IC 0,00-1,34; p = 0,05). E la</w:t>
      </w:r>
      <w:r>
        <w:t xml:space="preserve"> </w:t>
      </w:r>
      <w:r>
        <w:rPr>
          <w:b/>
          <w:bCs/>
        </w:rPr>
        <w:t xml:space="preserve">depressione scende</w:t>
      </w:r>
      <w:r>
        <w:t xml:space="preserve"> </w:t>
      </w:r>
      <w:r>
        <w:t xml:space="preserve">in modo significativo (g = −0,47; p = 0,02), con effetto maggiore nelle popolazioni con dolore (Gordon,</w:t>
      </w:r>
      <w:r>
        <w:t xml:space="preserve"> </w:t>
      </w:r>
      <w:r>
        <w:rPr>
          <w:i/>
          <w:iCs/>
        </w:rPr>
        <w:t xml:space="preserve">BMJ Open</w:t>
      </w:r>
      <w:r>
        <w:t xml:space="preserve"> </w:t>
      </w:r>
      <w:r>
        <w:t xml:space="preserve">2025, PMID 39920074). Il salto è di condizione: popolazioni miste con dolore, non pazienti con gonfiore.</w:t>
      </w:r>
    </w:p>
    <w:p>
      <w:pPr>
        <w:pStyle w:val="FirstParagraph"/>
      </w:pPr>
      <w:r>
        <w:rPr>
          <w:b/>
          <w:bCs/>
        </w:rPr>
        <w:t xml:space="preserve">Le tre cose da ricordare, più una</w:t>
      </w:r>
    </w:p>
    <w:p>
      <w:pPr>
        <w:pStyle w:val="Compact"/>
        <w:numPr>
          <w:ilvl w:val="0"/>
          <w:numId w:val="1012"/>
        </w:numPr>
      </w:pPr>
      <w:r>
        <w:t xml:space="preserve">La gerarchia dei modelli</w:t>
      </w:r>
      <w:r>
        <w:t xml:space="preserve"> </w:t>
      </w:r>
      <w:r>
        <w:rPr>
          <w:b/>
          <w:bCs/>
        </w:rPr>
        <w:t xml:space="preserve">cambia con il pattern</w:t>
      </w:r>
      <w:r>
        <w:t xml:space="preserve">: contenitore nel primo, regolazione nel secondo. Non esiste una risposta unica alla domanda «quale modello comanda».</w:t>
      </w:r>
    </w:p>
    <w:p>
      <w:pPr>
        <w:pStyle w:val="Compact"/>
        <w:numPr>
          <w:ilvl w:val="0"/>
          <w:numId w:val="1012"/>
        </w:numPr>
      </w:pPr>
      <w:r>
        <w:t xml:space="preserve">Il modello con le prove migliori è il</w:t>
      </w:r>
      <w:r>
        <w:t xml:space="preserve"> </w:t>
      </w:r>
      <w:r>
        <w:rPr>
          <w:b/>
          <w:bCs/>
        </w:rPr>
        <w:t xml:space="preserve">Respiratorio</w:t>
      </w:r>
      <w:r>
        <w:t xml:space="preserve">, non il Biomeccanico: la correzione documentata è un riaddestramento del comportamento respiratorio.</w:t>
      </w:r>
    </w:p>
    <w:p>
      <w:pPr>
        <w:pStyle w:val="Compact"/>
        <w:numPr>
          <w:ilvl w:val="0"/>
          <w:numId w:val="1012"/>
        </w:numPr>
      </w:pPr>
      <w:r>
        <w:t xml:space="preserve">“Comportamentale”</w:t>
      </w:r>
      <w:r>
        <w:t xml:space="preserve"> </w:t>
      </w:r>
      <w:r>
        <w:t xml:space="preserve">in questa letteratura significa</w:t>
      </w:r>
      <w:r>
        <w:t xml:space="preserve"> </w:t>
      </w:r>
      <w:r>
        <w:rPr>
          <w:b/>
          <w:bCs/>
        </w:rPr>
        <w:t xml:space="preserve">motorio</w:t>
      </w:r>
      <w:r>
        <w:t xml:space="preserve">. Usare la parola nel senso psicologico è l’errore che chiude la conversazione con la paziente.</w:t>
      </w:r>
    </w:p>
    <w:p>
      <w:pPr>
        <w:pStyle w:val="Compact"/>
        <w:numPr>
          <w:ilvl w:val="0"/>
          <w:numId w:val="1012"/>
        </w:numPr>
      </w:pPr>
      <w:r>
        <w:rPr>
          <w:b/>
          <w:bCs/>
        </w:rPr>
        <w:t xml:space="preserve">Perché ci sei tu.</w:t>
      </w:r>
      <w:r>
        <w:t xml:space="preserve"> </w:t>
      </w:r>
      <w:r>
        <w:t xml:space="preserve">Su venti studi randomizzati gli interventi osteopatici non hanno prodotto effetto su ansia e stress; hanno ridotto la depressione, e la conduttanza cutanea è stimata in aumento con un intervallo che tocca lo zero (Gordon, 2025, PMID 39920074). Questo ti autorizza a usare il contatto lento e il tempo dedicato come parte del contesto in cui il paziente impara qualcosa. Non ti autorizza a presentarli come prova che il tuo tocco calma il sistema: dove è stata misurata, la direzione non va in quel verso.</w:t>
      </w:r>
    </w:p>
    <w:p>
      <w:r>
        <w:pict>
          <v:rect style="width:0;height:1.5pt" o:hralign="center" o:hrstd="t" o:hr="t"/>
        </w:pict>
      </w:r>
    </w:p>
    <w:bookmarkEnd w:id="46"/>
    <w:bookmarkEnd w:id="47"/>
    <w:bookmarkStart w:id="55"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su questa condizione la domanda che decide tutto viene prima dei modelli, e si risponde con un metro a nastro.</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w:t>
      </w:r>
      <w:r>
        <w:t xml:space="preserve"> </w:t>
      </w:r>
      <w:r>
        <w:rPr>
          <w:b/>
          <w:bCs/>
        </w:rPr>
        <w:t xml:space="preserve">piano</w:t>
      </w:r>
      <w:r>
        <w:t xml:space="preserve"> </w:t>
      </w:r>
      <w:r>
        <w:t xml:space="preserve">che, in questo paziente, sta consumando più capacità di adattamento degli altri. È un’ipotesi di lavoro, non un fatto misurato, e per questo porta l’etichetta RAGIONAMENTO. Nel resto del documento è chiamato</w:t>
      </w:r>
      <w:r>
        <w:t xml:space="preserve"> </w:t>
      </w:r>
      <w:r>
        <w:rPr>
          <w:b/>
          <w:bCs/>
        </w:rPr>
        <w:t xml:space="preserve">il piano dominante</w:t>
      </w:r>
      <w:r>
        <w:t xml:space="preserve">. I piani non sono i modelli: i modelli sono le lenti con cui guardi, i piani i livelli su cui decidi l’ordine.</w:t>
      </w:r>
    </w:p>
    <w:p>
      <w:pPr>
        <w:pStyle w:val="FirstParagraph"/>
      </w:pPr>
      <w:r>
        <w:rPr>
          <w:b/>
          <w:bCs/>
        </w:rPr>
        <w:t xml:space="preserve">Una regola del metodo che qui viene tolta, non attenuata.</w:t>
      </w:r>
      <w:r>
        <w:t xml:space="preserve"> </w:t>
      </w:r>
      <w:r>
        <w:t xml:space="preserve">Il ragionamento profondo distingue di solito due punti. Il</w:t>
      </w:r>
      <w:r>
        <w:t xml:space="preserve"> </w:t>
      </w:r>
      <w:r>
        <w:rPr>
          <w:b/>
          <w:bCs/>
        </w:rPr>
        <w:t xml:space="preserve">Centro di Coordinazione</w:t>
      </w:r>
      <w:r>
        <w:t xml:space="preserve"> </w:t>
      </w:r>
      <w:r>
        <w:t xml:space="preserve">è il punto a monte da cui un pattern è governato. Il</w:t>
      </w:r>
      <w:r>
        <w:t xml:space="preserve"> </w:t>
      </w:r>
      <w:r>
        <w:rPr>
          <w:b/>
          <w:bCs/>
        </w:rPr>
        <w:t xml:space="preserve">Centro di Percezione</w:t>
      </w:r>
      <w:r>
        <w:t xml:space="preserve"> </w:t>
      </w:r>
      <w:r>
        <w:t xml:space="preserve">è il punto in cui il paziente sente, e la regola vieta di trattarlo. Su questa condizione quella distinzione non separa più due condotte, per un fatto: il bersaglio con le prove migliori — il pattern motorio del diaframma e della parete —</w:t>
      </w:r>
      <w:r>
        <w:t xml:space="preserve"> </w:t>
      </w:r>
      <w:r>
        <w:rPr>
          <w:b/>
          <w:bCs/>
        </w:rPr>
        <w:t xml:space="preserve">è</w:t>
      </w:r>
      <w:r>
        <w:t xml:space="preserve"> </w:t>
      </w:r>
      <w:r>
        <w:t xml:space="preserve">la sede in cui la paziente sente. Non c’è un centro a monte da inseguire lungo una sequenza miofasciale, e una regola che non discrimina occupa spazio senza decidere niente.</w:t>
      </w:r>
      <w:r>
        <w:t xml:space="preserve"> </w:t>
      </w:r>
      <w:r>
        <w:rPr>
          <w:b/>
          <w:bCs/>
        </w:rPr>
        <w:t xml:space="preserve">Quello che resta intatto è la parte che discrimina davvero.</w:t>
      </w:r>
      <w:r>
        <w:t xml:space="preserve"> </w:t>
      </w:r>
      <w:r>
        <w:t xml:space="preserve">Il marker con cui rivaluti appartiene a un piano che non hai trattato. E il sintomo compare spesso dove il compenso ha ceduto, non dove il problema è nato.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tutto questo capitolo. È il modo in cui si decide, non ciò che si dimostra.</w:t>
      </w:r>
    </w:p>
    <w:bookmarkStart w:id="48" w:name="la-punta-e-il-sommerso"/>
    <w:p>
      <w:pPr>
        <w:pStyle w:val="Heading3"/>
      </w:pPr>
      <w:r>
        <w:t xml:space="preserve">La punta e il sommerso</w:t>
      </w:r>
    </w:p>
    <w:p>
      <w:pPr>
        <w:pStyle w:val="FirstParagraph"/>
      </w:pPr>
      <w:r>
        <w:t xml:space="preserve">Il paziente porta la punta:</w:t>
      </w:r>
      <w:r>
        <w:t xml:space="preserve"> </w:t>
      </w:r>
      <w:r>
        <w:rPr>
          <w:i/>
          <w:iCs/>
        </w:rPr>
        <w:t xml:space="preserve">«sono gonfia»</w:t>
      </w:r>
      <w:r>
        <w:t xml:space="preserve">. La punta è la stessa in tutti, e il sommerso è diverso in ciascuno.</w:t>
      </w:r>
    </w:p>
    <w:p>
      <w:pPr>
        <w:pStyle w:val="BodyText"/>
      </w:pPr>
      <w:r>
        <w:rPr>
          <w:b/>
          <w:bCs/>
        </w:rPr>
        <w:t xml:space="preserve">Chiara, 34 anni.</w:t>
      </w:r>
      <w:r>
        <w:t xml:space="preserve"> </w:t>
      </w:r>
      <w:r>
        <w:t xml:space="preserve">Piatta al mattino, quattro centimetri in più alle otto di sera, da tre anni. Ha tolto glutine e lattosio senza effetto. Coste basse allargate, non riesce a contrarre la parete senza trattenere il fiato.</w:t>
      </w:r>
      <w:r>
        <w:t xml:space="preserve"> </w:t>
      </w:r>
      <w:r>
        <w:rPr>
          <w:b/>
          <w:bCs/>
        </w:rPr>
        <w:t xml:space="preserve">Il piano superiore è stato guardato e trovato in ordine:</w:t>
      </w:r>
      <w:r>
        <w:t xml:space="preserve"> </w:t>
      </w:r>
      <w:r>
        <w:t xml:space="preserve">frequenza respiratoria in linea con il suo valore di riferimento, tessuti che tengono la correzione, nessun miglioramento in vacanza a parità di cibo, sonno buono. Il respiro alto c’è, ma compare</w:t>
      </w:r>
      <w:r>
        <w:t xml:space="preserve"> </w:t>
      </w:r>
      <w:r>
        <w:rPr>
          <w:b/>
          <w:bCs/>
        </w:rPr>
        <w:t xml:space="preserve">solo quando è distesa</w:t>
      </w:r>
      <w:r>
        <w:t xml:space="preserve"> </w:t>
      </w:r>
      <w:r>
        <w:t xml:space="preserve">e rientra quando la circonferenza scende. È la conseguenza meccanica del torace configurato dal primo meccanismo, non un segno di attivazione: lo stesso reperto significa cose diverse a seconda che segua o preceda la distensione. Il sommerso è</w:t>
      </w:r>
      <w:r>
        <w:t xml:space="preserve"> </w:t>
      </w:r>
      <w:r>
        <w:rPr>
          <w:b/>
          <w:bCs/>
        </w:rPr>
        <w:t xml:space="preserve">motorio</w:t>
      </w:r>
      <w:r>
        <w:t xml:space="preserve">. Cosa fai: lavori sul contenitore — diaframma, parete, coste basse, giunzione dorso-lombare — e le insegni a invertire il pattern respiratorio, sapendo che il salto di erogatore resta dichiarato. Il marker che scegli prima è la differenza mattino-sera della circonferenza; il fuori piano è la frequenza respiratoria.</w:t>
      </w:r>
    </w:p>
    <w:p>
      <w:pPr>
        <w:pStyle w:val="BodyText"/>
      </w:pPr>
      <w:r>
        <w:rPr>
          <w:b/>
          <w:bCs/>
        </w:rPr>
        <w:t xml:space="preserve">Silvia, 41 anni.</w:t>
      </w:r>
      <w:r>
        <w:t xml:space="preserve"> </w:t>
      </w:r>
      <w:r>
        <w:t xml:space="preserve">Si sente gonfia in modo intollerabile e il metro non si muove. Dolore addominale diffuso, sonno cattivo, sintomo che non segue quello che mangia.</w:t>
      </w:r>
      <w:r>
        <w:t xml:space="preserve"> </w:t>
      </w:r>
      <w:r>
        <w:rPr>
          <w:b/>
          <w:bCs/>
        </w:rPr>
        <w:t xml:space="preserve">Il contenitore è stato guardato:</w:t>
      </w:r>
      <w:r>
        <w:t xml:space="preserve"> </w:t>
      </w:r>
      <w:r>
        <w:t xml:space="preserve">escursione del diaframma nella norma, la parete si contrae senza trattenere il fiato, coste basse simmetriche. Il sommerso è la</w:t>
      </w:r>
      <w:r>
        <w:t xml:space="preserve"> </w:t>
      </w:r>
      <w:r>
        <w:rPr>
          <w:b/>
          <w:bCs/>
        </w:rPr>
        <w:t xml:space="preserve">soglia</w:t>
      </w:r>
      <w:r>
        <w:t xml:space="preserve">, con profilo nociplastico, e il livello di attivazione la tiene bassa. Cosa fai: il contenitore non è il bersaglio, e la leva c’è comunque — è l’attivazione, e sull’attivazione una mano lavora, più il lavoro sulla soglia.</w:t>
      </w:r>
      <w:r>
        <w:t xml:space="preserve"> </w:t>
      </w:r>
      <w:r>
        <w:rPr>
          <w:b/>
          <w:bCs/>
        </w:rPr>
        <w:t xml:space="preserve">Entrambe portano IPOTESI.</w:t>
      </w:r>
      <w:r>
        <w:t xml:space="preserve"> </w:t>
      </w:r>
      <w:r>
        <w:t xml:space="preserve">E c’è un punto che decide se il ciclo è legittimo:</w:t>
      </w:r>
      <w:r>
        <w:t xml:space="preserve"> </w:t>
      </w:r>
      <w:r>
        <w:rPr>
          <w:b/>
          <w:bCs/>
        </w:rPr>
        <w:t xml:space="preserve">il mandato si fonda comunque su un reperto muscolo-scheletrico tuo, documentato in cartella anche quando il metro non si muove.</w:t>
      </w:r>
      <w:r>
        <w:t xml:space="preserve"> </w:t>
      </w:r>
      <w:r>
        <w:t xml:space="preserve">Se quel reperto non c’è, Silvia non è un ciclo: è un GIALLO che va sul canale medico, e sul modello Comportamentale c’è la leva con prove che non eroghi tu. I marker che scegli prima sono la soglia di pressione dolorosa in sede lontana dall’addome e i giorni su sette con cambio di vestito.</w:t>
      </w:r>
    </w:p>
    <w:p>
      <w:pPr>
        <w:pStyle w:val="BodyText"/>
      </w:pPr>
      <w:r>
        <w:rPr>
          <w:b/>
          <w:bCs/>
        </w:rPr>
        <w:t xml:space="preserve">Paola, 57 anni.</w:t>
      </w:r>
      <w:r>
        <w:t xml:space="preserve"> </w:t>
      </w:r>
      <w:r>
        <w:t xml:space="preserve">Gonfiore comparso otto mesi fa, che cresce e non regredisce la notte, sazietà dopo due bocconi, quattro chili persi senza volerlo. Il sommerso</w:t>
      </w:r>
      <w:r>
        <w:t xml:space="preserve"> </w:t>
      </w:r>
      <w:r>
        <w:rPr>
          <w:b/>
          <w:bCs/>
        </w:rPr>
        <w:t xml:space="preserve">non è tuo</w:t>
      </w:r>
      <w:r>
        <w:t xml:space="preserve">. Cosa fai: non apri un ciclo. Scrivi al curante lo stesso giorno quello che hai trovato. Spieghi a Paola in una frase perché la mandi e non la tratti. Fissi la data in cui verificherai che ci sia andata, e te ne assicuri. È l’atto clinico più importante che farai quel giorno.</w:t>
      </w:r>
    </w:p>
    <w:bookmarkEnd w:id="48"/>
    <w:bookmarkStart w:id="49" w:name="perché-si-indaga-da-monte"/>
    <w:p>
      <w:pPr>
        <w:pStyle w:val="Heading3"/>
      </w:pPr>
      <w:r>
        <w:t xml:space="preserve">Perché si indaga da monte</w:t>
      </w:r>
    </w:p>
    <w:p>
      <w:pPr>
        <w:pStyle w:val="FirstParagraph"/>
      </w:pPr>
      <w:r>
        <w:rPr>
          <w:b/>
          <w:bCs/>
        </w:rPr>
        <w:t xml:space="preserve">«A monte» non è una coordinata anatomica.</w:t>
      </w:r>
      <w:r>
        <w:t xml:space="preserve"> </w:t>
      </w:r>
      <w:r>
        <w:t xml:space="preserve">Qui il piano più a monte è la regolazione. Sotto c’è la meccanica del contenitore, e il contenuto viene per ultimo. Il contenuto è quello che il paziente ha già provato a cambiare da solo per tre anni. Vale poi la regola che rende il metodo verificabile invece che autoconfermante:</w:t>
      </w:r>
      <w:r>
        <w:t xml:space="preserve"> </w:t>
      </w:r>
      <w:r>
        <w:rPr>
          <w:b/>
          <w:bCs/>
        </w:rPr>
        <w:t xml:space="preserve">un piano è dominante solo se quello sopra è stato guardato e trovato in ordine.</w:t>
      </w:r>
    </w:p>
    <w:bookmarkEnd w:id="49"/>
    <w:bookmarkStart w:id="50" w:name="X9fa566b9ba55b75546f262eaa9b89cd5fd77d00"/>
    <w:p>
      <w:pPr>
        <w:pStyle w:val="Heading3"/>
      </w:pPr>
      <w:r>
        <w:t xml:space="preserve">Passo 0 — che cosa prende, e che cosa ha subito</w:t>
      </w:r>
    </w:p>
    <w:p>
      <w:pPr>
        <w:pStyle w:val="FirstParagraph"/>
      </w:pPr>
      <w:r>
        <w:t xml:space="preserve">Viene prima del ragionamento, e serve a tre cose.</w:t>
      </w:r>
    </w:p>
    <w:p>
      <w:pPr>
        <w:pStyle w:val="BodyText"/>
      </w:pPr>
      <w:r>
        <w:rPr>
          <w:b/>
          <w:bCs/>
        </w:rPr>
        <w:t xml:space="preserve">I farmaci che producono il sintomo</w:t>
      </w:r>
      <w:r>
        <w:t xml:space="preserve">, rallentando svuotamento gastrico o transito:</w:t>
      </w:r>
      <w:r>
        <w:t xml:space="preserve"> </w:t>
      </w:r>
      <w:r>
        <w:rPr>
          <w:b/>
          <w:bCs/>
        </w:rPr>
        <w:t xml:space="preserve">analoghi del recettore GLP-1</w:t>
      </w:r>
      <w:r>
        <w:t xml:space="preserve"> </w:t>
      </w:r>
      <w:r>
        <w:t xml:space="preserve">(Jalleh, 2024, PMID 39418085),</w:t>
      </w:r>
      <w:r>
        <w:t xml:space="preserve"> </w:t>
      </w:r>
      <w:r>
        <w:rPr>
          <w:b/>
          <w:bCs/>
        </w:rPr>
        <w:t xml:space="preserve">oppioidi</w:t>
      </w:r>
      <w:r>
        <w:t xml:space="preserve"> </w:t>
      </w:r>
      <w:r>
        <w:t xml:space="preserve">anche a basso dosaggio,</w:t>
      </w:r>
      <w:r>
        <w:t xml:space="preserve"> </w:t>
      </w:r>
      <w:r>
        <w:rPr>
          <w:b/>
          <w:bCs/>
        </w:rPr>
        <w:t xml:space="preserve">ferro orale</w:t>
      </w:r>
      <w:r>
        <w:t xml:space="preserve">,</w:t>
      </w:r>
      <w:r>
        <w:t xml:space="preserve"> </w:t>
      </w:r>
      <w:r>
        <w:rPr>
          <w:b/>
          <w:bCs/>
        </w:rPr>
        <w:t xml:space="preserve">acarbosio e metformina</w:t>
      </w:r>
      <w:r>
        <w:t xml:space="preserve">,</w:t>
      </w:r>
      <w:r>
        <w:t xml:space="preserve"> </w:t>
      </w:r>
      <w:r>
        <w:rPr>
          <w:b/>
          <w:bCs/>
        </w:rPr>
        <w:t xml:space="preserve">lassativi osmotici e fibra</w:t>
      </w:r>
      <w:r>
        <w:t xml:space="preserve"> </w:t>
      </w:r>
      <w:r>
        <w:t xml:space="preserve">presi in autonomia. In quei pazienti l’indagine sui piani parte da una premessa falsa.</w:t>
      </w:r>
    </w:p>
    <w:p>
      <w:pPr>
        <w:pStyle w:val="BodyText"/>
      </w:pPr>
      <w:r>
        <w:rPr>
          <w:b/>
          <w:bCs/>
        </w:rPr>
        <w:t xml:space="preserve">I farmaci che cambiano quanto la tua mano può premere.</w:t>
      </w:r>
      <w:r>
        <w:t xml:space="preserve"> </w:t>
      </w:r>
      <w:r>
        <w:t xml:space="preserve">Anticoagulanti orali, eparine a basso peso molecolare e antiaggreganti non cambiano l’ipotesi clinica: cambiano la pressione ammissibile sulla parete addominale, il bersaglio dichiarato di questo documento. Sul lavoro meccanico ripetuto della parete in paziente anticoagulato esiste un caso descritto di ematoma della guaina del retto con esito fatale (Kwon, 2024, PMID 39015201).</w:t>
      </w:r>
      <w:r>
        <w:t xml:space="preserve"> </w:t>
      </w:r>
      <w:r>
        <w:rPr>
          <w:b/>
          <w:bCs/>
        </w:rPr>
        <w:t xml:space="preserve">Non si commenta e non si sospende niente: si segnala al prescrittore e si cambia il proprio gesto.</w:t>
      </w:r>
    </w:p>
    <w:p>
      <w:pPr>
        <w:pStyle w:val="BodyText"/>
      </w:pPr>
      <w:r>
        <w:rPr>
          <w:b/>
          <w:bCs/>
        </w:rPr>
        <w:t xml:space="preserve">Che cosa ha subito.</w:t>
      </w:r>
      <w:r>
        <w:t xml:space="preserve"> </w:t>
      </w:r>
      <w:r>
        <w:t xml:space="preserve">Gravidanze, cesareo, laparoscopie, interventi addominali, traumi. Il trauma agisce fuori dalla gerarchia dei piani, e per questo si cerca all’inizio: il segnale è tessuto denso e poco scorrevole, aderente ai piani, spesso lontano da dove il paziente sente.</w:t>
      </w:r>
    </w:p>
    <w:bookmarkEnd w:id="50"/>
    <w:bookmarkStart w:id="51" w:name="la-road-map"/>
    <w:p>
      <w:pPr>
        <w:pStyle w:val="Heading3"/>
      </w:pPr>
      <w:r>
        <w:t xml:space="preserve">La Road Map</w:t>
      </w:r>
    </w:p>
    <w:p>
      <w:pPr>
        <w:pStyle w:val="FirstParagraph"/>
      </w:pPr>
      <w:r>
        <w:t xml:space="preserve">Quattro passi, ordinati con un solo metro:</w:t>
      </w:r>
      <w:r>
        <w:t xml:space="preserve"> </w:t>
      </w:r>
      <w:r>
        <w:rPr>
          <w:b/>
          <w:bCs/>
        </w:rPr>
        <w:t xml:space="preserve">quanto quel piano sequestra la capacità di adattamento del paziente.</w:t>
      </w:r>
      <w:r>
        <w:t xml:space="preserve"> </w:t>
      </w:r>
      <w:r>
        <w:t xml:space="preserve">Le bandiere rosse non sono in questa lista: sono il cancello che la precede.</w:t>
      </w:r>
    </w:p>
    <w:p>
      <w:pPr>
        <w:pStyle w:val="Compact"/>
        <w:numPr>
          <w:ilvl w:val="0"/>
          <w:numId w:val="1013"/>
        </w:numPr>
      </w:pPr>
      <w:r>
        <w:rPr>
          <w:b/>
          <w:bCs/>
        </w:rPr>
        <w:t xml:space="preserve">La circonferenza cambia davvero?</w:t>
      </w:r>
      <w:r>
        <w:t xml:space="preserve"> </w:t>
      </w:r>
      <w:r>
        <w:t xml:space="preserve">Metro a nastro, mattino e sera, stessa procedura. Separa i primi due pattern. Se cresce nella giornata il piano che</w:t>
      </w:r>
      <w:r>
        <w:t xml:space="preserve"> </w:t>
      </w:r>
      <w:r>
        <w:rPr>
          <w:b/>
          <w:bCs/>
        </w:rPr>
        <w:t xml:space="preserve">sospetterai</w:t>
      </w:r>
      <w:r>
        <w:t xml:space="preserve"> </w:t>
      </w:r>
      <w:r>
        <w:t xml:space="preserve">dominante è il</w:t>
      </w:r>
      <w:r>
        <w:t xml:space="preserve"> </w:t>
      </w:r>
      <w:r>
        <w:rPr>
          <w:b/>
          <w:bCs/>
        </w:rPr>
        <w:t xml:space="preserve">contenitore</w:t>
      </w:r>
      <w:r>
        <w:t xml:space="preserve">, e lo confermi al passo 3 dopo aver guardato quello sopra, con la differenza mattino-sera come marker. Se il metro non si muove il piano è la</w:t>
      </w:r>
      <w:r>
        <w:t xml:space="preserve"> </w:t>
      </w:r>
      <w:r>
        <w:rPr>
          <w:b/>
          <w:bCs/>
        </w:rPr>
        <w:t xml:space="preserve">soglia</w:t>
      </w:r>
      <w:r>
        <w:t xml:space="preserve">, il marker meccanico non ti servirà, e la sua immobilità non sarà un fallimento.</w:t>
      </w:r>
    </w:p>
    <w:p>
      <w:pPr>
        <w:pStyle w:val="FirstParagraph"/>
      </w:pPr>
      <w:r>
        <w:rPr>
          <w:b/>
          <w:bCs/>
        </w:rPr>
        <w:t xml:space="preserve">Filtro di smistamento, fuori dalla numerazione: il sintomo segue quello che mangia?</w:t>
      </w:r>
      <w:r>
        <w:t xml:space="preserve"> </w:t>
      </w:r>
      <w:r>
        <w:t xml:space="preserve">Non è un passo di gerarchia. È la domanda che ti dice se una parte del problema appartiene a qualcun altro. Se il rapporto è riproducibile con alimenti specifici, guarda il carico, e quella è una leva che non eroghi tu. Se non lo è, il cibo esce dal ragionamento e non ci torna.</w:t>
      </w:r>
    </w:p>
    <w:p>
      <w:pPr>
        <w:pStyle w:val="Compact"/>
        <w:numPr>
          <w:ilvl w:val="0"/>
          <w:numId w:val="1014"/>
        </w:numPr>
      </w:pPr>
      <w:r>
        <w:rPr>
          <w:b/>
          <w:bCs/>
        </w:rPr>
        <w:t xml:space="preserve">Qual è il livello di attivazione?</w:t>
      </w:r>
      <w:r>
        <w:t xml:space="preserve"> </w:t>
      </w:r>
      <w:r>
        <w:t xml:space="preserve">È il piano più a monte, e per questo si interroga per primo. Frequenza respiratoria contata per 60 secondi senza avvisare,</w:t>
      </w:r>
      <w:r>
        <w:t xml:space="preserve"> </w:t>
      </w:r>
      <w:r>
        <w:rPr>
          <w:b/>
          <w:bCs/>
        </w:rPr>
        <w:t xml:space="preserve">nella stessa postura nei due rilievi</w:t>
      </w:r>
      <w:r>
        <w:t xml:space="preserve">, confrontata con il valore di riferimento di questo paziente e non con una soglia assoluta. Alla prima seduta quella misura</w:t>
      </w:r>
      <w:r>
        <w:t xml:space="preserve"> </w:t>
      </w:r>
      <w:r>
        <w:rPr>
          <w:b/>
          <w:bCs/>
        </w:rPr>
        <w:t xml:space="preserve">fonda</w:t>
      </w:r>
      <w:r>
        <w:t xml:space="preserve"> </w:t>
      </w:r>
      <w:r>
        <w:t xml:space="preserve">il riferimento e non lo verifica: serve dalla seconda in avanti. Più: tessuti che rimbalzano ogni correzione, miglioramento in vacanza a parità di cibo, sonno cattivo, dolore in altre sedi.</w:t>
      </w:r>
    </w:p>
    <w:p>
      <w:pPr>
        <w:pStyle w:val="Compact"/>
        <w:numPr>
          <w:ilvl w:val="0"/>
          <w:numId w:val="1014"/>
        </w:numPr>
      </w:pPr>
      <w:r>
        <w:rPr>
          <w:b/>
          <w:bCs/>
        </w:rPr>
        <w:t xml:space="preserve">Come si comporta il contenitore?</w:t>
      </w:r>
      <w:r>
        <w:t xml:space="preserve"> </w:t>
      </w:r>
      <w:r>
        <w:t xml:space="preserve">Escursione del diaframma, tono della parete anterolaterale sotto carico — con il carico surrogato definito nel Capitolo 3 — allargamento delle coste basse, partecipazione del perineo, mobilità della giunzione dorso-lombare.</w:t>
      </w:r>
    </w:p>
    <w:p>
      <w:pPr>
        <w:pStyle w:val="Compact"/>
        <w:numPr>
          <w:ilvl w:val="0"/>
          <w:numId w:val="1014"/>
        </w:numPr>
      </w:pPr>
      <w:r>
        <w:rPr>
          <w:b/>
          <w:bCs/>
        </w:rPr>
        <w:t xml:space="preserve">C’è un’evacuazione difficoltosa sotto?</w:t>
      </w:r>
      <w:r>
        <w:t xml:space="preserve"> </w:t>
      </w:r>
      <w:r>
        <w:t xml:space="preserve">Se il gonfiore si scarica dopo il bagno e c’è sforzo anche con feci morbide, quel piano non è tuo, e la spinta sul canale medico diventa prioritaria.</w:t>
      </w:r>
    </w:p>
    <w:bookmarkEnd w:id="51"/>
    <w:bookmarkStart w:id="52" w:name="la-prova-della-chiave-di-volta"/>
    <w:p>
      <w:pPr>
        <w:pStyle w:val="Heading3"/>
      </w:pPr>
      <w:r>
        <w:t xml:space="preserve">La prova della chiave di volta</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Le quattro condizioni di un marker che funziona. Si misura in meno di un minuto, con lo stesso metodo prima e dopo. Si sceglie</w:t>
      </w:r>
      <w:r>
        <w:t xml:space="preserve"> </w:t>
      </w:r>
      <w:r>
        <w:rPr>
          <w:b/>
          <w:bCs/>
        </w:rPr>
        <w:t xml:space="preserve">prima</w:t>
      </w:r>
      <w:r>
        <w:t xml:space="preserve"> </w:t>
      </w:r>
      <w:r>
        <w:t xml:space="preserve">di trattare e non si cambia dopo.</w:t>
      </w:r>
      <w:r>
        <w:t xml:space="preserve"> </w:t>
      </w:r>
      <w:r>
        <w:rPr>
          <w:b/>
          <w:bCs/>
        </w:rPr>
        <w:t xml:space="preserve">Appartiene a un piano che non hai trattato.</w:t>
      </w:r>
      <w:r>
        <w:t xml:space="preserve"> </w:t>
      </w:r>
      <w:r>
        <w:t xml:space="preserve">Ha una</w:t>
      </w:r>
      <w:r>
        <w:t xml:space="preserve"> </w:t>
      </w:r>
      <w:r>
        <w:rPr>
          <w:b/>
          <w:bCs/>
        </w:rPr>
        <w:t xml:space="preserve">soglia dichiarata</w:t>
      </w:r>
      <w:r>
        <w:t xml:space="preserve">, con la sua provenienza.</w:t>
      </w:r>
    </w:p>
    <w:p>
      <w:pPr>
        <w:pStyle w:val="BodyText"/>
      </w:pPr>
      <w:r>
        <w:t xml:space="preserve">Tratti in prova il piano che sospetti dominante, poi rivaluti gli altri. Se cedono anche loro, quella è la tua ipotesi di lesione primaria — e resta un’ipotesi, anche quando il marker si muove.</w:t>
      </w:r>
    </w:p>
    <w:p>
      <w:pPr>
        <w:pStyle w:val="BodyText"/>
      </w:pPr>
      <w:r>
        <w:rPr>
          <w:b/>
          <w:bCs/>
        </w:rPr>
        <w:t xml:space="preserve">1. Differenza mattino-sera della circonferenza.</w:t>
      </w:r>
      <w:r>
        <w:t xml:space="preserve"> </w:t>
      </w:r>
      <w:r>
        <w:t xml:space="preserve">Metro a nastro all’ombelico, in piedi, a fine espirazione tranquilla. Soglia: riduzione di almeno</w:t>
      </w:r>
      <w:r>
        <w:t xml:space="preserve"> </w:t>
      </w:r>
      <w:r>
        <w:rPr>
          <w:b/>
          <w:bCs/>
        </w:rPr>
        <w:t xml:space="preserve">20 mm</w:t>
      </w:r>
      <w:r>
        <w:t xml:space="preserve">,</w:t>
      </w:r>
      <w:r>
        <w:t xml:space="preserve"> </w:t>
      </w:r>
      <w:r>
        <w:rPr>
          <w:b/>
          <w:bCs/>
        </w:rPr>
        <w:t xml:space="preserve">calcolata sulla media di almeno tre giorni prima e tre dopo</w:t>
      </w:r>
      <w:r>
        <w:t xml:space="preserve">, non su una coppia singola di rilievi. Provenienza: la distensione documentata in laboratorio vale fra 32 e 35 mm (Barba, 2015, PMID 25500424; Barba, 2019, PMID 31402544), e il biofeedback ne ha tolti 25 mm</w:t>
      </w:r>
      <w:r>
        <w:t xml:space="preserve"> </w:t>
      </w:r>
      <w:r>
        <w:rPr>
          <w:b/>
          <w:bCs/>
        </w:rPr>
        <w:t xml:space="preserve">in 15 dei 45 pazienti</w:t>
      </w:r>
      <w:r>
        <w:t xml:space="preserve"> </w:t>
      </w:r>
      <w:r>
        <w:t xml:space="preserve">di quella coorte. Venti millimetri stanno sotto l’effetto documentato e sopra la variabilità di protocollo; la media su tre giorni difende dalla variabilità spontanea del paziente, che qui</w:t>
      </w:r>
      <w:r>
        <w:t xml:space="preserve"> </w:t>
      </w:r>
      <w:r>
        <w:rPr>
          <w:b/>
          <w:bCs/>
        </w:rPr>
        <w:t xml:space="preserve">è</w:t>
      </w:r>
      <w:r>
        <w:t xml:space="preserve"> </w:t>
      </w:r>
      <w:r>
        <w:t xml:space="preserve">il sintomo. Cinque cose identiche fra i due rilievi: sito, postura, fase del respiro, distanza dal pasto (Agarwal, 2009, PMID 19165166) e</w:t>
      </w:r>
      <w:r>
        <w:t xml:space="preserve"> </w:t>
      </w:r>
      <w:r>
        <w:rPr>
          <w:b/>
          <w:bCs/>
        </w:rPr>
        <w:t xml:space="preserve">fase del ciclo mestruale</w:t>
      </w:r>
      <w:r>
        <w:t xml:space="preserve">.</w:t>
      </w:r>
    </w:p>
    <w:p>
      <w:pPr>
        <w:pStyle w:val="BodyText"/>
      </w:pPr>
      <w:r>
        <w:rPr>
          <w:b/>
          <w:bCs/>
        </w:rPr>
        <w:t xml:space="preserve">E una cosa che questo marker non dimostra.</w:t>
      </w:r>
      <w:r>
        <w:t xml:space="preserve"> </w:t>
      </w:r>
      <w:r>
        <w:t xml:space="preserve">Che la circonferenza scenda non dimostra che tu abbia corretto la dissinergia. Scende anche dove il motore della distensione è un altro — ritenzione e ileo — e sotto interventi manuali che non assomigliano al tuo (Wang, 2022, PMID 34902566; Fekri, 2021, PMID 33465382).</w:t>
      </w:r>
      <w:r>
        <w:t xml:space="preserve"> </w:t>
      </w:r>
      <w:r>
        <w:rPr>
          <w:b/>
          <w:bCs/>
        </w:rPr>
        <w:t xml:space="preserve">Il marker 1 non è specifico per il meccanismo che stai trattando</w:t>
      </w:r>
      <w:r>
        <w:t xml:space="preserve">, ed è questa — più della conferma di sé — la ragione forte del marker fuori piano.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Soglia</w:t>
            </w:r>
          </w:p>
        </w:tc>
        <w:tc>
          <w:tcPr/>
          <w:p>
            <w:pPr>
              <w:pStyle w:val="Compact"/>
            </w:pPr>
            <w:r>
              <w:t xml:space="preserve">Provenienza della soglia</w:t>
            </w:r>
          </w:p>
        </w:tc>
      </w:tr>
      <w:tr>
        <w:tc>
          <w:tcPr/>
          <w:p>
            <w:pPr>
              <w:pStyle w:val="Compact"/>
            </w:pPr>
            <w:r>
              <w:rPr>
                <w:b/>
                <w:bCs/>
              </w:rPr>
              <w:t xml:space="preserve">2.</w:t>
            </w:r>
            <w:r>
              <w:t xml:space="preserve"> </w:t>
            </w:r>
            <w:r>
              <w:t xml:space="preserve">Escursione toraco-addominale bassa</w:t>
            </w:r>
          </w:p>
        </w:tc>
        <w:tc>
          <w:tcPr/>
          <w:p>
            <w:pPr>
              <w:pStyle w:val="Compact"/>
            </w:pPr>
            <w:r>
              <w:t xml:space="preserve">Metro al processo xifoideo</w:t>
            </w:r>
          </w:p>
        </w:tc>
        <w:tc>
          <w:tcPr/>
          <w:p>
            <w:pPr>
              <w:pStyle w:val="Compact"/>
            </w:pPr>
            <w:r>
              <w:rPr>
                <w:b/>
                <w:bCs/>
              </w:rPr>
              <w:t xml:space="preserve">+2 cm</w:t>
            </w:r>
          </w:p>
        </w:tc>
        <w:tc>
          <w:tcPr/>
          <w:p>
            <w:pPr>
              <w:pStyle w:val="Compact"/>
            </w:pPr>
            <w:r>
              <w:t xml:space="preserve">Errore di misura del metro sul torace, raddoppiato</w:t>
            </w:r>
          </w:p>
        </w:tc>
      </w:tr>
      <w:tr>
        <w:tc>
          <w:tcPr/>
          <w:p>
            <w:pPr>
              <w:pStyle w:val="Compact"/>
            </w:pPr>
            <w:r>
              <w:rPr>
                <w:b/>
                <w:bCs/>
              </w:rPr>
              <w:t xml:space="preserve">3.</w:t>
            </w:r>
            <w:r>
              <w:t xml:space="preserve"> </w:t>
            </w:r>
            <w:r>
              <w:t xml:space="preserve">Rotazione del tronco da seduto</w:t>
            </w:r>
          </w:p>
        </w:tc>
        <w:tc>
          <w:tcPr/>
          <w:p>
            <w:pPr>
              <w:pStyle w:val="Compact"/>
            </w:pPr>
            <w:r>
              <w:t xml:space="preserve">Goniometro, da seduto</w:t>
            </w:r>
          </w:p>
        </w:tc>
        <w:tc>
          <w:tcPr/>
          <w:p>
            <w:pPr>
              <w:pStyle w:val="Compact"/>
            </w:pPr>
            <w:r>
              <w:rPr>
                <w:b/>
                <w:bCs/>
              </w:rPr>
              <w:t xml:space="preserve">10 gradi</w:t>
            </w:r>
          </w:p>
        </w:tc>
        <w:tc>
          <w:tcPr/>
          <w:p>
            <w:pPr>
              <w:pStyle w:val="Compact"/>
            </w:pPr>
            <w:r>
              <w:t xml:space="preserve">Doppio dell’errore tipico di quella misura</w:t>
            </w:r>
          </w:p>
        </w:tc>
      </w:tr>
      <w:tr>
        <w:tc>
          <w:tcPr/>
          <w:p>
            <w:pPr>
              <w:pStyle w:val="Compact"/>
            </w:pPr>
            <w:r>
              <w:rPr>
                <w:b/>
                <w:bCs/>
              </w:rPr>
              <w:t xml:space="preserve">4.</w:t>
            </w:r>
            <w:r>
              <w:t xml:space="preserve"> </w:t>
            </w:r>
            <w:r>
              <w:t xml:space="preserve">Giorni su sette con cambio di vestito</w:t>
            </w:r>
          </w:p>
        </w:tc>
        <w:tc>
          <w:tcPr/>
          <w:p>
            <w:pPr>
              <w:pStyle w:val="Compact"/>
            </w:pPr>
            <w:r>
              <w:t xml:space="preserve">Conteggio riferito</w:t>
            </w:r>
          </w:p>
        </w:tc>
        <w:tc>
          <w:tcPr/>
          <w:p>
            <w:pPr>
              <w:pStyle w:val="Compact"/>
            </w:pPr>
            <w:r>
              <w:rPr>
                <w:b/>
                <w:bCs/>
              </w:rPr>
              <w:t xml:space="preserve">2 giorni in meno</w:t>
            </w:r>
          </w:p>
        </w:tc>
        <w:tc>
          <w:tcPr/>
          <w:p>
            <w:pPr>
              <w:pStyle w:val="Compact"/>
            </w:pPr>
            <w:r>
              <w:t xml:space="preserve">Nessuna soglia pubblicata</w:t>
            </w:r>
          </w:p>
        </w:tc>
      </w:tr>
    </w:tbl>
    <w:p>
      <w:pPr>
        <w:pStyle w:val="BodyText"/>
      </w:pPr>
      <w:r>
        <w:rPr>
          <w:b/>
          <w:bCs/>
        </w:rPr>
        <w:t xml:space="preserve">Le righe che in cella non ci stanno.</w:t>
      </w:r>
      <w:r>
        <w:t xml:space="preserve"> </w:t>
      </w:r>
      <w:r>
        <w:t xml:space="preserve">L’escursione toraco-addominale bassa si misura al processo xifoideo, fra inspirazione ed espirazione massime. Per il marker 4, due giorni in meno sono il minimo che non si confonde con una settimana diversa dall’altra.</w:t>
      </w:r>
    </w:p>
    <w:p>
      <w:pPr>
        <w:pStyle w:val="BodyText"/>
      </w:pPr>
      <w:r>
        <w:t xml:space="preserve">Nessuna delle tre soglie viene da uno studio su questa condizione. Il marker 3 vale come fuori piano</w:t>
      </w:r>
      <w:r>
        <w:t xml:space="preserve"> </w:t>
      </w:r>
      <w:r>
        <w:rPr>
          <w:b/>
          <w:bCs/>
        </w:rPr>
        <w:t xml:space="preserve">solo se in quella seduta non hai lavorato sulla giunzione dorso-lombare</w:t>
      </w:r>
      <w:r>
        <w:t xml:space="preserve">: sul pattern principale ci lavori quasi sempre, ed è per questo che esiste il marker 5. Il marker 4 non sostituisce da solo un marker misurato.</w:t>
      </w:r>
    </w:p>
    <w:p>
      <w:pPr>
        <w:pStyle w:val="BodyText"/>
      </w:pPr>
      <w:r>
        <w:rPr>
          <w:b/>
          <w:bCs/>
        </w:rPr>
        <w:t xml:space="preserve">5. Il fuori piano che sopravvive: frequenza respiratoria a riposo.</w:t>
      </w:r>
      <w:r>
        <w:t xml:space="preserve"> </w:t>
      </w:r>
      <w:r>
        <w:t xml:space="preserve">Contata per 60 secondi senza avvisare, nella stessa postura nei due rilievi. Soglia</w:t>
      </w:r>
      <w:r>
        <w:t xml:space="preserve"> </w:t>
      </w:r>
      <w:r>
        <w:rPr>
          <w:b/>
          <w:bCs/>
        </w:rPr>
        <w:t xml:space="preserve">3 atti al minuto in meno</w:t>
      </w:r>
      <w:r>
        <w:t xml:space="preserve"> </w:t>
      </w:r>
      <w:r>
        <w:t xml:space="preserve">rispetto al valore di riferimento di quel paziente: nessuna soglia pubblicata, tre atti sono il doppio della variabilità tipica di un conteggio manuale.</w:t>
      </w:r>
      <w:r>
        <w:t xml:space="preserve"> </w:t>
      </w:r>
      <w:r>
        <w:rPr>
          <w:b/>
          <w:bCs/>
        </w:rPr>
        <w:t xml:space="preserve">Perché serve:</w:t>
      </w:r>
      <w:r>
        <w:t xml:space="preserve"> </w:t>
      </w:r>
      <w:r>
        <w:t xml:space="preserve">sul pattern principale tratti il contenitore e la giunzione dorso-lombare. Quindi i marker 1, 2 e 3 cadono dentro il piano che hai appena toccato, e la verifica diventa una conferma di sé. È chiedere a chi ha fatto il lavoro se il lavoro è venuto bene. E il marker 1, per giunta, si muove anche sotto meccanismi che non sono il tuo. Questo appartiene a un piano diverso e non lo tratti.</w:t>
      </w:r>
      <w:r>
        <w:t xml:space="preserve"> </w:t>
      </w:r>
      <w:r>
        <w:rPr>
          <w:b/>
          <w:bCs/>
        </w:rPr>
        <w:t xml:space="preserve">Vale come fuori piano solo se in quella seduta non hai lavorato sull’attivazione</w:t>
      </w:r>
      <w:r>
        <w:t xml:space="preserve"> </w:t>
      </w:r>
      <w:r>
        <w:t xml:space="preserve">— contatto lento, ritmo del respiro. Se ci hai lavorato, il fuori piano diventa l’algometro in sede lontana dall’addome, che appartiene alla soglia e che non hai trattato. Quando il dominante è la</w:t>
      </w:r>
      <w:r>
        <w:t xml:space="preserve"> </w:t>
      </w:r>
      <w:r>
        <w:rPr>
          <w:b/>
          <w:bCs/>
        </w:rPr>
        <w:t xml:space="preserve">soglia</w:t>
      </w:r>
      <w:r>
        <w:t xml:space="preserve">, il fuori piano è un indicatore di sensibilizzazione centrale: algometro in sede lontana dall’addome, o Central Sensitization Inventory con soglia 40 (Midenfjord, 2021, PMID 33860970).</w:t>
      </w:r>
    </w:p>
    <w:bookmarkEnd w:id="52"/>
    <w:bookmarkStart w:id="54" w:name="i-tre-stati-del-paziente"/>
    <w:p>
      <w:pPr>
        <w:pStyle w:val="Heading3"/>
      </w:pPr>
      <w:r>
        <w:t xml:space="preserve">I tre stati del paziente</w:t>
      </w:r>
    </w:p>
    <w:p>
      <w:pPr>
        <w:pStyle w:val="Compact"/>
        <w:numPr>
          <w:ilvl w:val="0"/>
          <w:numId w:val="1015"/>
        </w:numPr>
      </w:pPr>
      <w:r>
        <w:rPr>
          <w:b/>
          <w:bCs/>
        </w:rPr>
        <w:t xml:space="preserve">In difesa</w:t>
      </w:r>
      <w:r>
        <w:t xml:space="preserve"> </w:t>
      </w:r>
      <w:r>
        <w:t xml:space="preserve">— finché non si sente al sicuro, la parete non ti fa valutare niente: contatto lento, e annuncia quello che farai.</w:t>
      </w:r>
    </w:p>
    <w:p>
      <w:pPr>
        <w:pStyle w:val="Compact"/>
        <w:numPr>
          <w:ilvl w:val="0"/>
          <w:numId w:val="1015"/>
        </w:numPr>
      </w:pPr>
      <w:r>
        <w:rPr>
          <w:b/>
          <w:bCs/>
        </w:rPr>
        <w:t xml:space="preserve">Emotiva</w:t>
      </w:r>
      <w:r>
        <w:t xml:space="preserve"> </w:t>
      </w:r>
      <w:r>
        <w:t xml:space="preserve">— collega il gonfiore a un periodo della vita. La frase da non dire mai è</w:t>
      </w:r>
      <w:r>
        <w:t xml:space="preserve"> </w:t>
      </w:r>
      <w:r>
        <w:rPr>
          <w:i/>
          <w:iCs/>
        </w:rPr>
        <w:t xml:space="preserve">«è stress»</w:t>
      </w:r>
      <w:r>
        <w:t xml:space="preserve">.</w:t>
      </w:r>
    </w:p>
    <w:p>
      <w:pPr>
        <w:pStyle w:val="Compact"/>
        <w:numPr>
          <w:ilvl w:val="0"/>
          <w:numId w:val="1015"/>
        </w:numPr>
      </w:pPr>
      <w:r>
        <w:rPr>
          <w:b/>
          <w:bCs/>
        </w:rPr>
        <w:t xml:space="preserve">Razionale</w:t>
      </w:r>
      <w:r>
        <w:t xml:space="preserve"> </w:t>
      </w:r>
      <w:r>
        <w:t xml:space="preserve">— vuole i numeri. Mostrale la misura prima e dopo.</w:t>
      </w:r>
    </w:p>
    <w:p>
      <w:pPr>
        <w:pStyle w:val="FirstParagraph"/>
      </w:pPr>
      <w:r>
        <w:rPr>
          <w:b/>
          <w:bCs/>
        </w:rPr>
        <w:t xml:space="preserve">Le tre cose da ricordare, più una</w:t>
      </w:r>
    </w:p>
    <w:p>
      <w:pPr>
        <w:pStyle w:val="Compact"/>
        <w:numPr>
          <w:ilvl w:val="0"/>
          <w:numId w:val="1016"/>
        </w:numPr>
      </w:pPr>
      <w:r>
        <w:t xml:space="preserve">La prima domanda si risponde con un metro a nastro, non con l’anamnesi alimentare. E il cibo è un filtro di smistamento, non un gradino della gerarchia.</w:t>
      </w:r>
    </w:p>
    <w:p>
      <w:pPr>
        <w:pStyle w:val="Compact"/>
        <w:numPr>
          <w:ilvl w:val="0"/>
          <w:numId w:val="1016"/>
        </w:numPr>
      </w:pPr>
      <w:r>
        <w:t xml:space="preserve">Un piano è dominante solo se quello sopra è stato guardato e trovato in ordine. Senza quell’esclusione hai scelto il reperto più rumoroso.</w:t>
      </w:r>
    </w:p>
    <w:p>
      <w:pPr>
        <w:pStyle w:val="Compact"/>
        <w:numPr>
          <w:ilvl w:val="0"/>
          <w:numId w:val="1016"/>
        </w:numPr>
      </w:pPr>
      <w:r>
        <w:t xml:space="preserve">Ogni marker porta la provenienza della sua soglia. Una soglia senza provenienza vale meno dell’assenza di soglia, perché sembra un dato.</w:t>
      </w:r>
    </w:p>
    <w:p>
      <w:pPr>
        <w:pStyle w:val="Heading2"/>
        <w:numPr>
          <w:ilvl w:val="0"/>
          <w:numId w:val="1016"/>
        </w:numPr>
      </w:pPr>
      <w:bookmarkStart w:id="53" w:name="X42bc68936ec75591a7ca7fd2e0262a384ce20c5"/>
      <w:r>
        <w:rPr>
          <w:b/>
          <w:bCs/>
        </w:rPr>
        <w:t xml:space="preserve">Perché ci sei tu.</w:t>
      </w:r>
      <w:r>
        <w:t xml:space="preserve"> </w:t>
      </w:r>
      <w:r>
        <w:t xml:space="preserve">Su questo punto non ci sei quanto vorresti. L’unico studio con manipolazioni placebo su una terapia manuale ha 31 pazienti con</w:t>
      </w:r>
      <w:r>
        <w:t xml:space="preserve"> </w:t>
      </w:r>
      <w:r>
        <w:rPr>
          <w:b/>
          <w:bCs/>
        </w:rPr>
        <w:t xml:space="preserve">colon irritabile refrattario</w:t>
      </w:r>
      <w:r>
        <w:t xml:space="preserve">. Riporta l’aumento della soglia rettale come confronto dentro il braccio e non fra i bracci, ed è classificato ad alto rischio di bias dalla revisione che lo include (Attali, 2013, PMID 23981319; Guillaud, 2018, PMID 29452579). Questo ti autorizza a scegliere un marker prima di trattare e a fidarti del confronto prima-dopo</w:t>
      </w:r>
      <w:r>
        <w:t xml:space="preserve"> </w:t>
      </w:r>
      <w:r>
        <w:rPr>
          <w:b/>
          <w:bCs/>
        </w:rPr>
        <w:t xml:space="preserve">su quel marker, ripetuto</w:t>
      </w:r>
      <w:r>
        <w:t xml:space="preserve">. Non ti autorizza a presentare quello studio come prova che il trattamento manuale alza la soglia.</w:t>
      </w:r>
      <w:bookmarkEnd w:id="53"/>
    </w:p>
    <w:bookmarkEnd w:id="54"/>
    <w:bookmarkEnd w:id="55"/>
    <w:bookmarkStart w:id="62"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la cosa più pericolosa che puoi dire non è una promessa, è un’esclusione.</w:t>
      </w:r>
    </w:p>
    <w:bookmarkStart w:id="56" w:name="le-bandiere-rosse"/>
    <w:p>
      <w:pPr>
        <w:pStyle w:val="Heading3"/>
      </w:pPr>
      <w:r>
        <w:t xml:space="preserve">Le bandiere rosse</w:t>
      </w:r>
    </w:p>
    <w:p>
      <w:pPr>
        <w:pStyle w:val="FirstParagraph"/>
      </w:pPr>
      <w:r>
        <w:t xml:space="preserve">Le righe vengono da dove le linee guida indicano l’accertamento: il consenso europeo (Melchior, 2025, PMID 40844856), l’aggiornamento americano (Moshiree, 2023, PMID 37452811) e, per la riga ginecologica, l’indice sintomatico validato per il tumore ovarico (Goff, 2007, PMID 17154394).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Blocco di feci e aria con vomito</w:t>
            </w:r>
          </w:p>
        </w:tc>
        <w:tc>
          <w:tcPr/>
          <w:p>
            <w:pPr>
              <w:pStyle w:val="Compact"/>
            </w:pPr>
            <w:r>
              <w:t xml:space="preserve">Pronto soccorso</w:t>
            </w:r>
          </w:p>
        </w:tc>
        <w:tc>
          <w:tcPr/>
          <w:p>
            <w:pPr>
              <w:pStyle w:val="Compact"/>
            </w:pPr>
            <w:r>
              <w:t xml:space="preserve">112</w:t>
            </w:r>
          </w:p>
        </w:tc>
      </w:tr>
      <w:tr>
        <w:tc>
          <w:tcPr/>
          <w:p>
            <w:pPr>
              <w:pStyle w:val="Compact"/>
            </w:pPr>
            <w:r>
              <w:t xml:space="preserve">Dolore forte continuo con febbre</w:t>
            </w:r>
          </w:p>
        </w:tc>
        <w:tc>
          <w:tcPr/>
          <w:p>
            <w:pPr>
              <w:pStyle w:val="Compact"/>
            </w:pPr>
            <w:r>
              <w:t xml:space="preserve">Pronto soccorso</w:t>
            </w:r>
          </w:p>
        </w:tc>
        <w:tc>
          <w:tcPr/>
          <w:p>
            <w:pPr>
              <w:pStyle w:val="Compact"/>
            </w:pPr>
            <w:r>
              <w:t xml:space="preserve">112</w:t>
            </w:r>
          </w:p>
        </w:tc>
      </w:tr>
      <w:tr>
        <w:tc>
          <w:tcPr/>
          <w:p>
            <w:pPr>
              <w:pStyle w:val="Compact"/>
            </w:pPr>
            <w:r>
              <w:t xml:space="preserve">Massa pulsante ed espansiva sulla mediana</w:t>
            </w:r>
          </w:p>
        </w:tc>
        <w:tc>
          <w:tcPr/>
          <w:p>
            <w:pPr>
              <w:pStyle w:val="Compact"/>
            </w:pPr>
            <w:r>
              <w:t xml:space="preserve">Togli la mano, canale urgente</w:t>
            </w:r>
          </w:p>
        </w:tc>
        <w:tc>
          <w:tcPr/>
          <w:p>
            <w:pPr>
              <w:pStyle w:val="Compact"/>
            </w:pPr>
            <w:r>
              <w:t xml:space="preserve">Urgente</w:t>
            </w:r>
          </w:p>
        </w:tc>
      </w:tr>
      <w:tr>
        <w:tc>
          <w:tcPr/>
          <w:p>
            <w:pPr>
              <w:pStyle w:val="Compact"/>
            </w:pPr>
            <w:r>
              <w:t xml:space="preserve">Massa addominale palpabile non pulsante</w:t>
            </w:r>
          </w:p>
        </w:tc>
        <w:tc>
          <w:tcPr/>
          <w:p>
            <w:pPr>
              <w:pStyle w:val="Compact"/>
            </w:pPr>
            <w:r>
              <w:t xml:space="preserve">Curante, per invio chirurgico</w:t>
            </w:r>
          </w:p>
        </w:tc>
        <w:tc>
          <w:tcPr/>
          <w:p>
            <w:pPr>
              <w:pStyle w:val="Compact"/>
            </w:pPr>
            <w:r>
              <w:t xml:space="preserve">Invio, non attendere</w:t>
            </w:r>
          </w:p>
        </w:tc>
      </w:tr>
      <w:tr>
        <w:tc>
          <w:tcPr/>
          <w:p>
            <w:pPr>
              <w:pStyle w:val="Compact"/>
            </w:pPr>
            <w:r>
              <w:t xml:space="preserve">Profilo ginecologico d’allarme</w:t>
            </w:r>
          </w:p>
        </w:tc>
        <w:tc>
          <w:tcPr/>
          <w:p>
            <w:pPr>
              <w:pStyle w:val="Compact"/>
            </w:pPr>
            <w:r>
              <w:t xml:space="preserve">Curante, per invio ginecologico</w:t>
            </w:r>
          </w:p>
        </w:tc>
        <w:tc>
          <w:tcPr/>
          <w:p>
            <w:pPr>
              <w:pStyle w:val="Compact"/>
            </w:pPr>
            <w:r>
              <w:t xml:space="preserve">Invio, non attendere</w:t>
            </w:r>
          </w:p>
        </w:tc>
      </w:tr>
      <w:tr>
        <w:tc>
          <w:tcPr/>
          <w:p>
            <w:pPr>
              <w:pStyle w:val="Compact"/>
            </w:pPr>
            <w:r>
              <w:t xml:space="preserve">Addome che cresce e non regredisce la notte</w:t>
            </w:r>
          </w:p>
        </w:tc>
        <w:tc>
          <w:tcPr/>
          <w:p>
            <w:pPr>
              <w:pStyle w:val="Compact"/>
            </w:pPr>
            <w:r>
              <w:t xml:space="preserve">Curante, per invio urgente</w:t>
            </w:r>
          </w:p>
        </w:tc>
        <w:tc>
          <w:tcPr/>
          <w:p>
            <w:pPr>
              <w:pStyle w:val="Compact"/>
            </w:pPr>
            <w:r>
              <w:t xml:space="preserve">Invio, non attendere</w:t>
            </w:r>
          </w:p>
        </w:tc>
      </w:tr>
      <w:tr>
        <w:tc>
          <w:tcPr/>
          <w:p>
            <w:pPr>
              <w:pStyle w:val="Compact"/>
            </w:pPr>
            <w:r>
              <w:t xml:space="preserve">Distensione con gambe o caviglie gonfie</w:t>
            </w:r>
          </w:p>
        </w:tc>
        <w:tc>
          <w:tcPr/>
          <w:p>
            <w:pPr>
              <w:pStyle w:val="Compact"/>
            </w:pPr>
            <w:r>
              <w:t xml:space="preserve">Curante, per invio urgente</w:t>
            </w:r>
          </w:p>
        </w:tc>
        <w:tc>
          <w:tcPr/>
          <w:p>
            <w:pPr>
              <w:pStyle w:val="Compact"/>
            </w:pPr>
            <w:r>
              <w:t xml:space="preserve">Invio, non attendere</w:t>
            </w:r>
          </w:p>
        </w:tc>
      </w:tr>
      <w:tr>
        <w:tc>
          <w:tcPr/>
          <w:p>
            <w:pPr>
              <w:pStyle w:val="Compact"/>
            </w:pPr>
            <w:r>
              <w:t xml:space="preserve">Vomito ripetuto, anche senza blocco</w:t>
            </w:r>
          </w:p>
        </w:tc>
        <w:tc>
          <w:tcPr/>
          <w:p>
            <w:pPr>
              <w:pStyle w:val="Compact"/>
            </w:pPr>
            <w:r>
              <w:t xml:space="preserve">Curante</w:t>
            </w:r>
          </w:p>
        </w:tc>
        <w:tc>
          <w:tcPr/>
          <w:p>
            <w:pPr>
              <w:pStyle w:val="Compact"/>
            </w:pPr>
            <w:r>
              <w:t xml:space="preserve">Invio, non attendere</w:t>
            </w:r>
          </w:p>
        </w:tc>
      </w:tr>
      <w:tr>
        <w:tc>
          <w:tcPr/>
          <w:p>
            <w:pPr>
              <w:pStyle w:val="Compact"/>
            </w:pPr>
            <w:r>
              <w:t xml:space="preserve">Gonfiore che peggiora sotto GLP-1</w:t>
            </w:r>
          </w:p>
        </w:tc>
        <w:tc>
          <w:tcPr/>
          <w:p>
            <w:pPr>
              <w:pStyle w:val="Compact"/>
            </w:pPr>
            <w:r>
              <w:t xml:space="preserve">Curante; 112 se alvo chiuso</w:t>
            </w:r>
          </w:p>
        </w:tc>
        <w:tc>
          <w:tcPr/>
          <w:p>
            <w:pPr>
              <w:pStyle w:val="Compact"/>
            </w:pPr>
            <w:r>
              <w:t xml:space="preserve">Invio, non attendere</w:t>
            </w:r>
          </w:p>
        </w:tc>
      </w:tr>
      <w:tr>
        <w:tc>
          <w:tcPr/>
          <w:p>
            <w:pPr>
              <w:pStyle w:val="Compact"/>
            </w:pPr>
            <w:r>
              <w:t xml:space="preserve">Sangue nelle feci o anemia nuova</w:t>
            </w:r>
          </w:p>
        </w:tc>
        <w:tc>
          <w:tcPr/>
          <w:p>
            <w:pPr>
              <w:pStyle w:val="Compact"/>
            </w:pPr>
            <w:r>
              <w:t xml:space="preserve">Curante, per invio gastroenterologico</w:t>
            </w:r>
          </w:p>
        </w:tc>
        <w:tc>
          <w:tcPr/>
          <w:p>
            <w:pPr>
              <w:pStyle w:val="Compact"/>
            </w:pPr>
            <w:r>
              <w:t xml:space="preserve">Invio, non attendere</w:t>
            </w:r>
          </w:p>
        </w:tc>
      </w:tr>
      <w:tr>
        <w:tc>
          <w:tcPr/>
          <w:p>
            <w:pPr>
              <w:pStyle w:val="Compact"/>
            </w:pPr>
            <w:r>
              <w:t xml:space="preserve">Calo di peso non voluto</w:t>
            </w:r>
          </w:p>
        </w:tc>
        <w:tc>
          <w:tcPr/>
          <w:p>
            <w:pPr>
              <w:pStyle w:val="Compact"/>
            </w:pPr>
            <w:r>
              <w:t xml:space="preserve">Curante, per invio gastroenterologico</w:t>
            </w:r>
          </w:p>
        </w:tc>
        <w:tc>
          <w:tcPr/>
          <w:p>
            <w:pPr>
              <w:pStyle w:val="Compact"/>
            </w:pPr>
            <w:r>
              <w:t xml:space="preserve">Invio, non attendere</w:t>
            </w:r>
          </w:p>
        </w:tc>
      </w:tr>
      <w:tr>
        <w:tc>
          <w:tcPr/>
          <w:p>
            <w:pPr>
              <w:pStyle w:val="Compact"/>
            </w:pPr>
            <w:r>
              <w:t xml:space="preserve">Diarrea nuova o feci untuose</w:t>
            </w:r>
          </w:p>
        </w:tc>
        <w:tc>
          <w:tcPr/>
          <w:p>
            <w:pPr>
              <w:pStyle w:val="Compact"/>
            </w:pPr>
            <w:r>
              <w:t xml:space="preserve">Curante</w:t>
            </w:r>
          </w:p>
        </w:tc>
        <w:tc>
          <w:tcPr/>
          <w:p>
            <w:pPr>
              <w:pStyle w:val="Compact"/>
            </w:pPr>
            <w:r>
              <w:t xml:space="preserve">Invio</w:t>
            </w:r>
          </w:p>
        </w:tc>
      </w:tr>
      <w:tr>
        <w:tc>
          <w:tcPr/>
          <w:p>
            <w:pPr>
              <w:pStyle w:val="Compact"/>
            </w:pPr>
            <w:r>
              <w:t xml:space="preserve">Dolore notturno che sveglia</w:t>
            </w:r>
          </w:p>
        </w:tc>
        <w:tc>
          <w:tcPr/>
          <w:p>
            <w:pPr>
              <w:pStyle w:val="Compact"/>
            </w:pPr>
            <w:r>
              <w:t xml:space="preserve">Curante</w:t>
            </w:r>
          </w:p>
        </w:tc>
        <w:tc>
          <w:tcPr/>
          <w:p>
            <w:pPr>
              <w:pStyle w:val="Compact"/>
            </w:pPr>
            <w:r>
              <w:t xml:space="preserve">Invio</w:t>
            </w:r>
          </w:p>
        </w:tc>
      </w:tr>
      <w:tr>
        <w:tc>
          <w:tcPr/>
          <w:p>
            <w:pPr>
              <w:pStyle w:val="Compact"/>
            </w:pPr>
            <w:r>
              <w:t xml:space="preserve">Familiarità per tumore digestivo o ovarico</w:t>
            </w:r>
          </w:p>
        </w:tc>
        <w:tc>
          <w:tcPr/>
          <w:p>
            <w:pPr>
              <w:pStyle w:val="Compact"/>
            </w:pPr>
            <w:r>
              <w:t xml:space="preserve">Curante</w:t>
            </w:r>
          </w:p>
        </w:tc>
        <w:tc>
          <w:tcPr/>
          <w:p>
            <w:pPr>
              <w:pStyle w:val="Compact"/>
            </w:pPr>
            <w:r>
              <w:t xml:space="preserve">Invio programmato</w:t>
            </w:r>
          </w:p>
        </w:tc>
      </w:tr>
    </w:tbl>
    <w:p>
      <w:pPr>
        <w:pStyle w:val="BodyText"/>
      </w:pPr>
      <w:r>
        <w:rPr>
          <w:b/>
          <w:bCs/>
        </w:rPr>
        <w:t xml:space="preserve">Le righe che in cella non ci stanno.</w:t>
      </w:r>
      <w:r>
        <w:t xml:space="preserve"> </w:t>
      </w:r>
      <w:r>
        <w:t xml:space="preserve">Nella riga della distensione con gambe o caviglie gonfie vale anche un peso in aumento. La familiarità da contare è quella di primo grado. Nella riga del GLP-1, «alvo chiuso» vuol dire chiuso</w:t>
      </w:r>
      <w:r>
        <w:t xml:space="preserve"> </w:t>
      </w:r>
      <w:r>
        <w:rPr>
          <w:b/>
          <w:bCs/>
        </w:rPr>
        <w:t xml:space="preserve">a feci e gas</w:t>
      </w:r>
      <w:r>
        <w:t xml:space="preserve">: è quella la condizione che fa scattare il 112.</w:t>
      </w:r>
    </w:p>
    <w:p>
      <w:pPr>
        <w:pStyle w:val="BodyText"/>
      </w:pPr>
      <w:r>
        <w:rPr>
          <w:b/>
          <w:bCs/>
        </w:rPr>
        <w:t xml:space="preserve">Il profilo ginecologico d’allarme.</w:t>
      </w:r>
      <w:r>
        <w:t xml:space="preserve"> </w:t>
      </w:r>
      <w:r>
        <w:t xml:space="preserve">L’indice originale è positivo se compare</w:t>
      </w:r>
      <w:r>
        <w:t xml:space="preserve"> </w:t>
      </w:r>
      <w:r>
        <w:rPr>
          <w:b/>
          <w:bCs/>
        </w:rPr>
        <w:t xml:space="preserve">una qualsiasi</w:t>
      </w:r>
      <w:r>
        <w:t xml:space="preserve"> </w:t>
      </w:r>
      <w:r>
        <w:t xml:space="preserve">di sei voci: dolore pelvico, dolore addominale, urgenza urinaria, frequenza urinaria, aumento del volume addominale o gonfiore, difficoltà a mangiare o sazietà precoce. I soli filtri sono tre: sintomo presente</w:t>
      </w:r>
      <w:r>
        <w:t xml:space="preserve"> </w:t>
      </w:r>
      <w:r>
        <w:rPr>
          <w:b/>
          <w:bCs/>
        </w:rPr>
        <w:t xml:space="preserve">da meno di un anno</w:t>
      </w:r>
      <w:r>
        <w:t xml:space="preserve">, ricorrente</w:t>
      </w:r>
      <w:r>
        <w:t xml:space="preserve"> </w:t>
      </w:r>
      <w:r>
        <w:rPr>
          <w:b/>
          <w:bCs/>
        </w:rPr>
        <w:t xml:space="preserve">più di dodici volte al mese</w:t>
      </w:r>
      <w:r>
        <w:t xml:space="preserve">,</w:t>
      </w:r>
      <w:r>
        <w:t xml:space="preserve"> </w:t>
      </w:r>
      <w:r>
        <w:rPr>
          <w:b/>
          <w:bCs/>
        </w:rPr>
        <w:t xml:space="preserve">in una donna di qualunque età</w:t>
      </w:r>
      <w:r>
        <w:t xml:space="preserve">. L’età non è un criterio d’ingresso: modula la specificità, 90% sopra i cinquant’anni e 86,7% sotto (Goff, 2007, PMID 17154394). Trattarla da cancello taglia fuori la paziente-tipo di questo documento, che ha meno di cinquant’anni.</w:t>
      </w:r>
    </w:p>
    <w:p>
      <w:pPr>
        <w:pStyle w:val="BodyText"/>
      </w:pPr>
      <w:r>
        <w:rPr>
          <w:b/>
          <w:bCs/>
        </w:rPr>
        <w:t xml:space="preserve">La massa pulsante ed espansiva</w:t>
      </w:r>
      <w:r>
        <w:t xml:space="preserve"> </w:t>
      </w:r>
      <w:r>
        <w:t xml:space="preserve">non chiede un ragionamento ma un movimento:</w:t>
      </w:r>
      <w:r>
        <w:t xml:space="preserve"> </w:t>
      </w:r>
      <w:r>
        <w:rPr>
          <w:b/>
          <w:bCs/>
        </w:rPr>
        <w:t xml:space="preserve">si smette di premere all’istante.</w:t>
      </w:r>
      <w:r>
        <w:t xml:space="preserve"> </w:t>
      </w:r>
      <w:r>
        <w:t xml:space="preserve">L’aneurisma dell’aorta addominale resta asintomatico fino alla rottura, e quello è il suo unico reperto obiettivo (Chaikof, 2018, PMID 29268916). Una massa palpabile</w:t>
      </w:r>
      <w:r>
        <w:t xml:space="preserve"> </w:t>
      </w:r>
      <w:r>
        <w:rPr>
          <w:b/>
          <w:bCs/>
        </w:rPr>
        <w:t xml:space="preserve">non</w:t>
      </w:r>
      <w:r>
        <w:t xml:space="preserve"> </w:t>
      </w:r>
      <w:r>
        <w:t xml:space="preserve">pulsante va al curante.</w:t>
      </w:r>
    </w:p>
    <w:p>
      <w:pPr>
        <w:pStyle w:val="BodyText"/>
      </w:pPr>
      <w:r>
        <w:rPr>
          <w:b/>
          <w:bCs/>
        </w:rPr>
        <w:t xml:space="preserve">L’addome che non regredisce la notte, con o senza edema declive.</w:t>
      </w:r>
      <w:r>
        <w:t xml:space="preserve"> </w:t>
      </w:r>
      <w:r>
        <w:t xml:space="preserve">Il discriminante non è l’orario: sono</w:t>
      </w:r>
      <w:r>
        <w:t xml:space="preserve"> </w:t>
      </w:r>
      <w:r>
        <w:rPr>
          <w:b/>
          <w:bCs/>
        </w:rPr>
        <w:t xml:space="preserve">ottusità mobile ai fianchi, segno del fiotto, segno della pozza</w:t>
      </w:r>
      <w:r>
        <w:t xml:space="preserve">. Un’ascite di nuova insorgenza è cirrosi, scompenso destro, sindrome nefrosica o carcinosi peritoneale: non si fa con le mani, e non si smista a un’altra Bibbia.</w:t>
      </w:r>
    </w:p>
    <w:p>
      <w:pPr>
        <w:pStyle w:val="BodyText"/>
      </w:pPr>
      <w:r>
        <w:rPr>
          <w:b/>
          <w:bCs/>
        </w:rPr>
        <w:t xml:space="preserve">Un profilo che non è una bandiera rossa e cambia la condotta.</w:t>
      </w:r>
      <w:r>
        <w:t xml:space="preserve"> </w:t>
      </w:r>
      <w:r>
        <w:t xml:space="preserve">Il gonfiore di</w:t>
      </w:r>
      <w:r>
        <w:t xml:space="preserve"> </w:t>
      </w:r>
      <w:r>
        <w:rPr>
          <w:b/>
          <w:bCs/>
        </w:rPr>
        <w:t xml:space="preserve">nuova insorgenza in una persona più anziana e magra</w:t>
      </w:r>
      <w:r>
        <w:t xml:space="preserve"> </w:t>
      </w:r>
      <w:r>
        <w:t xml:space="preserve">ha probabilità di causa organica molto sopra la media (Chen, 2024, PMID 38173159; Ballou, 2023, PMID 37315866). Sta nel</w:t>
      </w:r>
      <w:r>
        <w:t xml:space="preserve"> </w:t>
      </w:r>
      <w:r>
        <w:rPr>
          <w:b/>
          <w:bCs/>
        </w:rPr>
        <w:t xml:space="preserve">GIALLO</w:t>
      </w:r>
      <w:r>
        <w:t xml:space="preserve"> </w:t>
      </w:r>
      <w:r>
        <w:t xml:space="preserve">anche senza bandiere rosse, con priorità sul canale medico.</w:t>
      </w:r>
    </w:p>
    <w:bookmarkEnd w:id="56"/>
    <w:bookmarkStart w:id="57" w:name="X8a45cb57d60ab7f3bfcd15a48a80fd288c8db58"/>
    <w:p>
      <w:pPr>
        <w:pStyle w:val="Heading3"/>
      </w:pPr>
      <w:r>
        <w:t xml:space="preserve">Il cancello d’ingresso — un triage a tre uscite</w:t>
      </w:r>
    </w:p>
    <w:p>
      <w:pPr>
        <w:pStyle w:val="FirstParagraph"/>
      </w:pPr>
      <w:r>
        <w:t xml:space="preserve">Il cancello non stabilisce se il paziente ha diritto al trattamento. Stabilisce</w:t>
      </w:r>
      <w:r>
        <w:t xml:space="preserve"> </w:t>
      </w:r>
      <w:r>
        <w:rPr>
          <w:b/>
          <w:bCs/>
        </w:rPr>
        <w:t xml:space="preserve">quale delle tre situazioni hai davanti</w:t>
      </w:r>
      <w:r>
        <w:t xml:space="preserve">, perché in ciascuna ti comporti in modo diverso.</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è il bersaglio del tuo lavoro.</w:t>
      </w:r>
    </w:p>
    <w:p>
      <w:pPr>
        <w:pStyle w:val="FirstParagraph"/>
      </w:pPr>
      <w:r>
        <w:rPr>
          <w:b/>
          <w:bCs/>
        </w:rPr>
        <w:t xml:space="preserve">Il mandato clinico</w:t>
      </w:r>
      <w:r>
        <w:t xml:space="preserve"> </w:t>
      </w:r>
      <w:r>
        <w:t xml:space="preserve">— avere qualcosa da trattare oggi — nasce da un reperto disfunzionale documentato e da un marker che si muove quando lo tratti.</w:t>
      </w:r>
      <w:r>
        <w:t xml:space="preserve"> </w:t>
      </w:r>
      <w:r>
        <w:rPr>
          <w:b/>
          <w:bCs/>
        </w:rPr>
        <w:t xml:space="preserve">Senza quelli non hai un motivo per lavorare nemmeno con la diagnosi in mano.</w:t>
      </w:r>
      <w:r>
        <w:t xml:space="preserve"> </w:t>
      </w:r>
      <w:r>
        <w:t xml:space="preserve">La</w:t>
      </w:r>
      <w:r>
        <w:t xml:space="preserve"> </w:t>
      </w:r>
      <w:r>
        <w:rPr>
          <w:b/>
          <w:bCs/>
        </w:rPr>
        <w:t xml:space="preserve">cornice professionale</w:t>
      </w:r>
      <w:r>
        <w:t xml:space="preserve"> </w:t>
      </w:r>
      <w:r>
        <w:t xml:space="preserve">è quella del profilo. Il DPR 131/2021 circoscrive l’attività dell’osteopata alle disfunzioni somatiche non riconducibili a patologie,</w:t>
      </w:r>
      <w:r>
        <w:t xml:space="preserve"> </w:t>
      </w:r>
      <w:r>
        <w:rPr>
          <w:b/>
          <w:bCs/>
        </w:rPr>
        <w:t xml:space="preserve">nell’ambito dell’apparato muscolo-scheletrico</w:t>
      </w:r>
      <w:r>
        <w:t xml:space="preserve">, con tecniche esclusivamente manuali, non invasive ed esterne, in riferimento alla diagnosi di competenza medica. È la riga che rende difendibile una Bibbia su un sintomo digestivo, e qui è facile da rispettare.</w:t>
      </w:r>
      <w:r>
        <w:t xml:space="preserve"> </w:t>
      </w:r>
      <w:r>
        <w:rPr>
          <w:b/>
          <w:bCs/>
        </w:rPr>
        <w:t xml:space="preserve">Il contrappeso va letto attaccato:</w:t>
      </w:r>
      <w:r>
        <w:t xml:space="preserve"> </w:t>
      </w:r>
      <w:r>
        <w:t xml:space="preserve">un reperto positivo giustifica il tuo lavoro, non sostituisce l’inquadramento. Trovare un diaframma che scende invece di salire significa che hai</w:t>
      </w:r>
      <w:r>
        <w:t xml:space="preserve"> </w:t>
      </w:r>
      <w:r>
        <w:rPr>
          <w:b/>
          <w:bCs/>
        </w:rPr>
        <w:t xml:space="preserve">qualcosa da trattare</w:t>
      </w:r>
      <w:r>
        <w:t xml:space="preserve">, non che</w:t>
      </w:r>
      <w:r>
        <w:t xml:space="preserve"> </w:t>
      </w:r>
      <w:r>
        <w:rPr>
          <w:b/>
          <w:bCs/>
        </w:rPr>
        <w:t xml:space="preserve">sai cosa ha il paziente</w:t>
      </w:r>
      <w:r>
        <w:t xml:space="preserve">.</w:t>
      </w:r>
    </w:p>
    <w:p>
      <w:pPr>
        <w:pStyle w:val="BodyText"/>
      </w:pPr>
      <w:r>
        <w:rPr>
          <w:b/>
          <w:bCs/>
        </w:rPr>
        <w:t xml:space="preserve">🔴 ROSSO — Stop.</w:t>
      </w:r>
      <w:r>
        <w:t xml:space="preserve"> </w:t>
      </w:r>
      <w:r>
        <w:t xml:space="preserve">Basta una sola bandiera rossa. Non si apre un ciclo e non si rimanda alla prossima seduta. Al rosso si applicano</w:t>
      </w:r>
      <w:r>
        <w:t xml:space="preserve"> </w:t>
      </w:r>
      <w:r>
        <w:rPr>
          <w:b/>
          <w:bCs/>
        </w:rPr>
        <w:t xml:space="preserve">tutti gli obblighi del giallo, più uno</w:t>
      </w:r>
      <w:r>
        <w:t xml:space="preserve">: il paziente esce con un’indicazione medica esplicita e scritta e con i tempi dichiarati;</w:t>
      </w:r>
      <w:r>
        <w:t xml:space="preserve"> </w:t>
      </w:r>
      <w:r>
        <w:rPr>
          <w:b/>
          <w:bCs/>
        </w:rPr>
        <w:t xml:space="preserve">una comunicazione scritta al curante parte lo stesso giorno</w:t>
      </w:r>
      <w:r>
        <w:t xml:space="preserve">; e si fissa la data entro cui verifichi che l’accesso sia avvenuto. Se coesiste una disfunzione muscolo-scheletrica</w:t>
      </w:r>
      <w:r>
        <w:t xml:space="preserve"> </w:t>
      </w:r>
      <w:r>
        <w:rPr>
          <w:b/>
          <w:bCs/>
        </w:rPr>
        <w:t xml:space="preserve">autonoma</w:t>
      </w:r>
      <w:r>
        <w:t xml:space="preserve"> </w:t>
      </w:r>
      <w:r>
        <w:t xml:space="preserve">la si può trattare, con tre limiti.</w:t>
      </w:r>
      <w:r>
        <w:t xml:space="preserve"> </w:t>
      </w:r>
      <w:r>
        <w:rPr>
          <w:b/>
          <w:bCs/>
        </w:rPr>
        <w:t xml:space="preserve">Autonoma significa fuori dalla regione addomino-diaframmatica e fuori dai bersagli di questa Bibbia</w:t>
      </w:r>
      <w:r>
        <w:t xml:space="preserve">: diaframma, parete addominale, coste basse e giunzione dorso-lombare non sono mai autonomi rispetto a questo sintomo.</w:t>
      </w:r>
      <w:r>
        <w:t xml:space="preserve"> </w:t>
      </w:r>
      <w:r>
        <w:rPr>
          <w:b/>
          <w:bCs/>
        </w:rPr>
        <w:t xml:space="preserve">Mai nella seduta in cui la bandiera è emersa, e mai per le due righe da pronto soccorso.</w:t>
      </w:r>
      <w:r>
        <w:t xml:space="preserve"> </w:t>
      </w:r>
      <w:r>
        <w:t xml:space="preserve">E il contatto resta</w:t>
      </w:r>
      <w:r>
        <w:t xml:space="preserve"> </w:t>
      </w:r>
      <w:r>
        <w:rPr>
          <w:b/>
          <w:bCs/>
        </w:rPr>
        <w:t xml:space="preserve">fuori dall’addome e dalle coste basse</w:t>
      </w:r>
      <w:r>
        <w:t xml:space="preserve"> </w:t>
      </w:r>
      <w:r>
        <w:t xml:space="preserve">finché l’inquadramento non è chiuso. Nessun reperto positivo scavalca questa uscita.</w:t>
      </w:r>
    </w:p>
    <w:p>
      <w:pPr>
        <w:pStyle w:val="BodyText"/>
      </w:pPr>
      <w:r>
        <w:rPr>
          <w:b/>
          <w:bCs/>
        </w:rPr>
        <w:t xml:space="preserve">🟡 GIALLO — Si lavora, in parallelo.</w:t>
      </w:r>
      <w:r>
        <w:t xml:space="preserve"> </w:t>
      </w:r>
      <w:r>
        <w:t xml:space="preserve">Nessuna bandiera rossa, inquadramento assente o incompleto. È la situazione più frequente, e non è un motivo per rimandare il paziente altrove. Quattro condizioni, tutte verificabili:</w:t>
      </w:r>
    </w:p>
    <w:p>
      <w:pPr>
        <w:pStyle w:val="Compact"/>
        <w:numPr>
          <w:ilvl w:val="0"/>
          <w:numId w:val="1017"/>
        </w:numPr>
      </w:pPr>
      <w:r>
        <w:rPr>
          <w:b/>
          <w:bCs/>
        </w:rPr>
        <w:t xml:space="preserve">Un reperto tuo, positivo e scritto in cartella</w:t>
      </w:r>
      <w:r>
        <w:t xml:space="preserve"> </w:t>
      </w:r>
      <w:r>
        <w:t xml:space="preserve">— non</w:t>
      </w:r>
      <w:r>
        <w:t xml:space="preserve"> </w:t>
      </w:r>
      <w:r>
        <w:t xml:space="preserve">“la paziente ha gonfiore”</w:t>
      </w:r>
      <w:r>
        <w:t xml:space="preserve">, ma il reperto meccanico: escursione del diaframma, parete sotto carico, differenza di circonferenza fra i due rilievi.</w:t>
      </w:r>
    </w:p>
    <w:p>
      <w:pPr>
        <w:pStyle w:val="Compact"/>
        <w:numPr>
          <w:ilvl w:val="0"/>
          <w:numId w:val="1017"/>
        </w:numPr>
      </w:pPr>
      <w:r>
        <w:rPr>
          <w:b/>
          <w:bCs/>
        </w:rPr>
        <w:t xml:space="preserve">La paziente sa cosa tratti e cosa no</w:t>
      </w:r>
      <w:r>
        <w:t xml:space="preserve">:</w:t>
      </w:r>
      <w:r>
        <w:t xml:space="preserve"> </w:t>
      </w:r>
      <w:r>
        <w:rPr>
          <w:i/>
          <w:iCs/>
        </w:rPr>
        <w:t xml:space="preserve">«io lavoro sulla componente meccanica che ho trovato. Il gonfiore va comunque inquadrato dal tuo medico, e nel frattempo io non aspetto.»</w:t>
      </w:r>
    </w:p>
    <w:p>
      <w:pPr>
        <w:pStyle w:val="Compact"/>
        <w:numPr>
          <w:ilvl w:val="0"/>
          <w:numId w:val="1017"/>
        </w:numPr>
      </w:pPr>
      <w:r>
        <w:rPr>
          <w:b/>
          <w:bCs/>
        </w:rPr>
        <w:t xml:space="preserve">Canale medico attivato senza interrompere il lavoro</w:t>
      </w:r>
      <w:r>
        <w:t xml:space="preserve"> </w:t>
      </w:r>
      <w:r>
        <w:t xml:space="preserve">— una comunicazione scritta al curante, non un rinvio della paziente, con dentro la domanda che nessuno gli ha fatto:</w:t>
      </w:r>
      <w:r>
        <w:t xml:space="preserve"> </w:t>
      </w:r>
      <w:r>
        <w:rPr>
          <w:b/>
          <w:bCs/>
        </w:rPr>
        <w:t xml:space="preserve">la celiachia è stata cercata mentre la paziente mangiava glutine?</w:t>
      </w:r>
    </w:p>
    <w:p>
      <w:pPr>
        <w:pStyle w:val="Compact"/>
        <w:numPr>
          <w:ilvl w:val="0"/>
          <w:numId w:val="1017"/>
        </w:numPr>
      </w:pPr>
      <w:r>
        <w:rPr>
          <w:b/>
          <w:bCs/>
        </w:rPr>
        <w:t xml:space="preserve">Tempo definito, contato in settimane.</w:t>
      </w:r>
      <w:r>
        <w:t xml:space="preserve"> </w:t>
      </w:r>
      <w:r>
        <w:t xml:space="preserve">La revisione cade</w:t>
      </w:r>
      <w:r>
        <w:t xml:space="preserve"> </w:t>
      </w:r>
      <w:r>
        <w:rPr>
          <w:b/>
          <w:bCs/>
        </w:rPr>
        <w:t xml:space="preserve">entro otto settimane dal primo contatto</w:t>
      </w:r>
      <w:r>
        <w:t xml:space="preserve">, qualunque sia il numero di sedute e il piano della Procedura. La data si scrive in cartella il giorno in cui il giallo si apre. È un limite di sicurezza, non un protocollo: contare in sedute non limita il calendario, e chi viene ogni tre settimane porterebbe un giallo di sei sedute a oltre quattro mesi senza inquadramento.</w:t>
      </w:r>
    </w:p>
    <w:p>
      <w:pPr>
        <w:pStyle w:val="FirstParagraph"/>
      </w:pPr>
      <w:r>
        <w:rPr>
          <w:b/>
          <w:bCs/>
        </w:rPr>
        <w:t xml:space="preserve">Se il tempo scade e il marker non si è mosso</w:t>
      </w:r>
      <w:r>
        <w:t xml:space="preserve">, non è una rinuncia: è un’informazione. Il tuo reperto non era quello che comandava, e la spinta sul canale medico diventa prioritaria.</w:t>
      </w:r>
    </w:p>
    <w:p>
      <w:pPr>
        <w:pStyle w:val="BodyText"/>
      </w:pPr>
      <w:r>
        <w:rPr>
          <w:b/>
          <w:bCs/>
        </w:rPr>
        <w:t xml:space="preserve">🟢 VERDE — Si procede.</w:t>
      </w:r>
      <w:r>
        <w:t xml:space="preserve"> </w:t>
      </w:r>
      <w:r>
        <w:t xml:space="preserve">Nessuna bandiera rossa e una fra tre cose. Una</w:t>
      </w:r>
      <w:r>
        <w:t xml:space="preserve"> </w:t>
      </w:r>
      <w:r>
        <w:rPr>
          <w:b/>
          <w:bCs/>
        </w:rPr>
        <w:t xml:space="preserve">valutazione medica documentata in cui il gonfiore funzionale è stato formulato come inquadramento</w:t>
      </w:r>
      <w:r>
        <w:t xml:space="preserve">, non dedotto da un referto normale. Un</w:t>
      </w:r>
      <w:r>
        <w:t xml:space="preserve"> </w:t>
      </w:r>
      <w:r>
        <w:rPr>
          <w:b/>
          <w:bCs/>
        </w:rPr>
        <w:t xml:space="preserve">ciclo di terapia già completato con esito documentato</w:t>
      </w:r>
      <w:r>
        <w:t xml:space="preserve">. Un</w:t>
      </w:r>
      <w:r>
        <w:t xml:space="preserve"> </w:t>
      </w:r>
      <w:r>
        <w:rPr>
          <w:b/>
          <w:bCs/>
        </w:rPr>
        <w:t xml:space="preserve">percorso specialistico già in corso</w:t>
      </w:r>
      <w:r>
        <w:t xml:space="preserve">. In tutti e tre i casi l’inquadramento è completo solo se comprende la</w:t>
      </w:r>
      <w:r>
        <w:t xml:space="preserve"> </w:t>
      </w:r>
      <w:r>
        <w:rPr>
          <w:b/>
          <w:bCs/>
        </w:rPr>
        <w:t xml:space="preserve">sierologia celiaca eseguita in dieta libera</w:t>
      </w:r>
      <w:r>
        <w:t xml:space="preserve">.</w:t>
      </w:r>
    </w:p>
    <w:p>
      <w:pPr>
        <w:pStyle w:val="BlockText"/>
      </w:pPr>
      <w:r>
        <w:rPr>
          <w:b/>
          <w:bCs/>
        </w:rPr>
        <w:t xml:space="preserve">Attenzione.</w:t>
      </w:r>
      <w:r>
        <w:t xml:space="preserve"> </w:t>
      </w:r>
      <w:r>
        <w:t xml:space="preserve">Un accertamento negativo non apre il verde. È scritto nella linea guida stessa: la diagnosi si fa sulla storia, sull’esame obiettivo e sull’assenza di segni d’allarme. Gli esami endoscopici e di immagine hanno valore diagnostico limitato, e servono semmai a escludere cause organiche (Melchior, 2025, PMID 40844856). Una colonscopia normale non dice niente sull’ovaio e niente sulla celiachia. La paziente che porta solo un referto normale è un</w:t>
      </w:r>
      <w:r>
        <w:t xml:space="preserve"> </w:t>
      </w:r>
      <w:r>
        <w:rPr>
          <w:b/>
          <w:bCs/>
        </w:rPr>
        <w:t xml:space="preserve">GIALLO</w:t>
      </w:r>
      <w:r>
        <w:t xml:space="preserve">.</w:t>
      </w:r>
    </w:p>
    <w:p>
      <w:pPr>
        <w:pStyle w:val="FirstParagraph"/>
      </w:pPr>
      <w:r>
        <w:rPr>
          <w:b/>
          <w:bCs/>
        </w:rPr>
        <w:t xml:space="preserve">Perché questa versione protegge di più, non di meno.</w:t>
      </w:r>
      <w:r>
        <w:t xml:space="preserve"> </w:t>
      </w:r>
      <w:r>
        <w:t xml:space="preserve">Il cancello vecchio chiedeva l’inquadramento completo prima di toccare il paziente, e veniva aggirato: la paziente arrivava con la colonscopia normale e si lavorava lo stesso.</w:t>
      </w:r>
      <w:r>
        <w:t xml:space="preserve"> </w:t>
      </w:r>
      <w:r>
        <w:rPr>
          <w:b/>
          <w:bCs/>
        </w:rPr>
        <w:t xml:space="preserve">Una regola scritta e disattesa vale meno di nessuna regola</w:t>
      </w:r>
      <w:r>
        <w:t xml:space="preserve">, perché fa credere che un controllo esista. Questa dichiara cosa fai davvero in ciascuna delle tre situazioni e tiene il ROSSO rigido. E mette per iscritto ciò che rende difendibile il GIALLO, l’uscita più frequente e più esposta: il reperto tuo in cartella, il marker, la comunicazione al curante con dentro la domanda sulla celiachia, e le otto settimane.</w:t>
      </w:r>
    </w:p>
    <w:p>
      <w:pPr>
        <w:pStyle w:val="BodyText"/>
      </w:pPr>
      <w:r>
        <w:rPr>
          <w:b/>
          <w:bCs/>
        </w:rPr>
        <w:t xml:space="preserve">La scadenza.</w:t>
      </w:r>
      <w:r>
        <w:t xml:space="preserve"> </w:t>
      </w:r>
      <w:r>
        <w:t xml:space="preserve">L’inquadramento decade se il sintomo cambia carattere, sede o intensità rispetto all’ultima valutazione medica: un quadro che cambia forma torna al triage, dall’inizio. E tutte e tre le uscite poggiano su qualcosa di</w:t>
      </w:r>
      <w:r>
        <w:t xml:space="preserve"> </w:t>
      </w:r>
      <w:r>
        <w:rPr>
          <w:b/>
          <w:bCs/>
        </w:rPr>
        <w:t xml:space="preserve">scritto</w:t>
      </w:r>
      <w:r>
        <w:t xml:space="preserve"> </w:t>
      </w:r>
      <w:r>
        <w:t xml:space="preserve">— l’indicazione medica e la comunicazione al curante del rosso, il reperto in cartella e la comunicazione del giallo, la data di revisione di entrambi.</w:t>
      </w:r>
      <w:r>
        <w:t xml:space="preserve"> </w:t>
      </w:r>
      <w:r>
        <w:rPr>
          <w:b/>
          <w:bCs/>
        </w:rPr>
        <w:t xml:space="preserve">Quello che non è scritto non esiste.</w:t>
      </w:r>
    </w:p>
    <w:bookmarkEnd w:id="57"/>
    <w:bookmarkStart w:id="58" w:name="quando-il-lavoro-attivo-si-rinvia"/>
    <w:p>
      <w:pPr>
        <w:pStyle w:val="Heading3"/>
      </w:pPr>
      <w:r>
        <w:t xml:space="preserve">Quando il lavoro attivo si rinvia</w:t>
      </w:r>
    </w:p>
    <w:p>
      <w:pPr>
        <w:pStyle w:val="FirstParagraph"/>
      </w:pPr>
      <w:r>
        <w:t xml:space="preserve">Il confine non riguarda solo dove metti le mani. Lo strumento con l’etichetta più alta è un compito motorio che il paziente esegue da solo, e insegnato nel verso sbagliato</w:t>
      </w:r>
      <w:r>
        <w:t xml:space="preserve"> </w:t>
      </w:r>
      <w:r>
        <w:rPr>
          <w:b/>
          <w:bCs/>
        </w:rPr>
        <w:t xml:space="preserve">peggiora il segno in trenta secondi</w:t>
      </w:r>
      <w:r>
        <w:t xml:space="preserve"> </w:t>
      </w:r>
      <w:r>
        <w:t xml:space="preserve">(Livovsky, 2021, PMID 33670508). Non si consegna in due situazioni.</w:t>
      </w:r>
      <w:r>
        <w:t xml:space="preserve"> </w:t>
      </w:r>
      <w:r>
        <w:rPr>
          <w:b/>
          <w:bCs/>
        </w:rPr>
        <w:t xml:space="preserve">Con un’evacuazione difficoltosa non ancora inquadrata:</w:t>
      </w:r>
      <w:r>
        <w:t xml:space="preserve"> </w:t>
      </w:r>
      <w:r>
        <w:t xml:space="preserve">l’aggiornamento americano suggerisce di studiare prima la fisiologia anorettale, perché il biofeedback è efficace quando quel disturbo è identificato (Moshiree, 2023, PMID 37452811).</w:t>
      </w:r>
      <w:r>
        <w:t xml:space="preserve"> </w:t>
      </w:r>
      <w:r>
        <w:rPr>
          <w:b/>
          <w:bCs/>
        </w:rPr>
        <w:t xml:space="preserve">Quando il metro non si muove:</w:t>
      </w:r>
      <w:r>
        <w:t xml:space="preserve"> </w:t>
      </w:r>
      <w:r>
        <w:t xml:space="preserve">il compito sulla forma non serve a chi si sente gonfio senza distendersi.</w:t>
      </w:r>
    </w:p>
    <w:bookmarkEnd w:id="58"/>
    <w:bookmarkStart w:id="59" w:name="cosa-fanno-i-farmaci-che-prende"/>
    <w:p>
      <w:pPr>
        <w:pStyle w:val="Heading3"/>
      </w:pPr>
      <w:r>
        <w:t xml:space="preserve">Cosa fanno i farmaci che prende</w:t>
      </w:r>
    </w:p>
    <w:p>
      <w:pPr>
        <w:pStyle w:val="FirstParagraph"/>
      </w:pPr>
      <w:r>
        <w:t xml:space="preserve">Simeticone e dimeticone rompono le bolle di gas, senza ridurre il contenuto né correggere la forma del contenitore. Il carbone vegetale adsorbe gas nel lume. Gli antispastici agiscono sulla muscolatura liscia. Procinetici e secretagoghi accelerano svuotamento o transito. La</w:t>
      </w:r>
      <w:r>
        <w:t xml:space="preserve"> </w:t>
      </w:r>
      <w:r>
        <w:rPr>
          <w:b/>
          <w:bCs/>
        </w:rPr>
        <w:t xml:space="preserve">rifaximina</w:t>
      </w:r>
      <w:r>
        <w:t xml:space="preserve"> </w:t>
      </w:r>
      <w:r>
        <w:t xml:space="preserve">agisce sulla flora, ed è fra i trattamenti che il consenso europeo elenca. I neuromodulatori centrali a basso dosaggio alzano la soglia di percezione viscerale. Sui probiotici l’aggiornamento americano è esplicito nel non raccomandarli qui (Moshiree, 2023, PMID 37452811).</w:t>
      </w:r>
    </w:p>
    <w:p>
      <w:pPr>
        <w:pStyle w:val="BodyText"/>
      </w:pPr>
      <w:r>
        <w:t xml:space="preserve">Nessuno di questi si commenta e nessuno si tocca. Decide il prescrittore.</w:t>
      </w:r>
    </w:p>
    <w:bookmarkEnd w:id="59"/>
    <w:bookmarkStart w:id="60" w:name="X1ac5a1b3cdf7e22e51df529af64ae60c55cc369"/>
    <w:p>
      <w:pPr>
        <w:pStyle w:val="Heading3"/>
      </w:pPr>
      <w:r>
        <w:t xml:space="preserve">Cosa dichiari nel consenso, su questa condizione</w:t>
      </w:r>
    </w:p>
    <w:p>
      <w:pPr>
        <w:pStyle w:val="Compact"/>
        <w:numPr>
          <w:ilvl w:val="0"/>
          <w:numId w:val="1018"/>
        </w:numPr>
      </w:pPr>
      <w:r>
        <w:t xml:space="preserve">L’oggetto del trattamento è il</w:t>
      </w:r>
      <w:r>
        <w:t xml:space="preserve"> </w:t>
      </w:r>
      <w:r>
        <w:rPr>
          <w:b/>
          <w:bCs/>
        </w:rPr>
        <w:t xml:space="preserve">comportamento motorio del diaframma e della parete addominale</w:t>
      </w:r>
      <w:r>
        <w:t xml:space="preserve">, non la cura del gonfiore.</w:t>
      </w:r>
    </w:p>
    <w:p>
      <w:pPr>
        <w:pStyle w:val="Compact"/>
        <w:numPr>
          <w:ilvl w:val="0"/>
          <w:numId w:val="1018"/>
        </w:numPr>
      </w:pPr>
      <w:r>
        <w:t xml:space="preserve">La valutazione manuale dell’addome</w:t>
      </w:r>
      <w:r>
        <w:t xml:space="preserve"> </w:t>
      </w:r>
      <w:r>
        <w:rPr>
          <w:b/>
          <w:bCs/>
        </w:rPr>
        <w:t xml:space="preserve">non ha valore di esame di esclusione</w:t>
      </w:r>
      <w:r>
        <w:t xml:space="preserve">: non sostituisce ecografia, esami del sangue, endoscopia né valutazione ginecologica.</w:t>
      </w:r>
    </w:p>
    <w:p>
      <w:pPr>
        <w:pStyle w:val="Compact"/>
        <w:numPr>
          <w:ilvl w:val="0"/>
          <w:numId w:val="1018"/>
        </w:numPr>
      </w:pPr>
      <w:r>
        <w:t xml:space="preserve">L’evidenza sul trattamento manuale in questo quadro è limitata e a breve termine, e il trattamento si affianca al percorso medico senza sostituirlo.</w:t>
      </w:r>
    </w:p>
    <w:bookmarkEnd w:id="60"/>
    <w:bookmarkStart w:id="61" w:name="il-confine-di-atto"/>
    <w:p>
      <w:pPr>
        <w:pStyle w:val="Heading3"/>
      </w:pPr>
      <w:r>
        <w:t xml:space="preserve">Il confine di atto</w:t>
      </w:r>
    </w:p>
    <w:p>
      <w:pPr>
        <w:pStyle w:val="FirstParagraph"/>
      </w:pPr>
      <w:r>
        <w:t xml:space="preserve">La palpazione addominale a fini di orientamento è nostra; produrre o negare una diagnosi no. E qui l’esclusione è più pericolosa dell’affermazione:</w:t>
      </w:r>
      <w:r>
        <w:t xml:space="preserve"> </w:t>
      </w:r>
      <w:r>
        <w:rPr>
          <w:b/>
          <w:bCs/>
        </w:rPr>
        <w:t xml:space="preserve">le due frasi che questa condizione rende più probabili sono «non hai niente» e «è solo aria»</w:t>
      </w:r>
      <w:r>
        <w:t xml:space="preserve">, e la seconda è la più insidiosa perché suona rassicurante. Fuori perimetro anche: commentare un breath test o un referto endoscopico; consigliare una dieta di eliminazione, che è atto del medico o del dietista; e ogni contatto interno, che il DPR 131/2021 esclude dall’atto osteopatico.</w:t>
      </w:r>
    </w:p>
    <w:p>
      <w:pPr>
        <w:pStyle w:val="BodyText"/>
      </w:pPr>
      <w:r>
        <w:rPr>
          <w:b/>
          <w:bCs/>
        </w:rPr>
        <w:t xml:space="preserve">Al curante servono tre informazioni che tu hai e lui no:</w:t>
      </w:r>
      <w:r>
        <w:t xml:space="preserve"> </w:t>
      </w:r>
      <w:r>
        <w:t xml:space="preserve">se il gonfiore ha</w:t>
      </w:r>
      <w:r>
        <w:t xml:space="preserve"> </w:t>
      </w:r>
      <w:r>
        <w:rPr>
          <w:b/>
          <w:bCs/>
        </w:rPr>
        <w:t xml:space="preserve">cambiato carattere</w:t>
      </w:r>
      <w:r>
        <w:t xml:space="preserve">; se il</w:t>
      </w:r>
      <w:r>
        <w:t xml:space="preserve"> </w:t>
      </w:r>
      <w:r>
        <w:rPr>
          <w:b/>
          <w:bCs/>
        </w:rPr>
        <w:t xml:space="preserve">marker si è mosso</w:t>
      </w:r>
      <w:r>
        <w:t xml:space="preserve"> </w:t>
      </w:r>
      <w:r>
        <w:t xml:space="preserve">nel tempo che ti eri dato; e se il paziente ha adottato</w:t>
      </w:r>
      <w:r>
        <w:t xml:space="preserve"> </w:t>
      </w:r>
      <w:r>
        <w:rPr>
          <w:b/>
          <w:bCs/>
        </w:rPr>
        <w:t xml:space="preserve">restrizioni alimentari senza guida</w:t>
      </w:r>
      <w:r>
        <w:t xml:space="preserve">.</w:t>
      </w:r>
    </w:p>
    <w:p>
      <w:pPr>
        <w:pStyle w:val="BodyText"/>
      </w:pPr>
      <w:r>
        <w:rPr>
          <w:b/>
          <w:bCs/>
        </w:rPr>
        <w:t xml:space="preserve">Le tre cose da ricordare, più una</w:t>
      </w:r>
    </w:p>
    <w:p>
      <w:pPr>
        <w:pStyle w:val="Compact"/>
        <w:numPr>
          <w:ilvl w:val="0"/>
          <w:numId w:val="1019"/>
        </w:numPr>
      </w:pPr>
      <w:r>
        <w:t xml:space="preserve">La riga ginecologica è</w:t>
      </w:r>
      <w:r>
        <w:t xml:space="preserve"> </w:t>
      </w:r>
      <w:r>
        <w:rPr>
          <w:b/>
          <w:bCs/>
        </w:rPr>
        <w:t xml:space="preserve">alternativa, non composta</w:t>
      </w:r>
      <w:r>
        <w:t xml:space="preserve">: basta uno dei sei sintomi, da meno di un anno, più di dodici volte al mese, a qualunque età.</w:t>
      </w:r>
    </w:p>
    <w:p>
      <w:pPr>
        <w:pStyle w:val="Compact"/>
        <w:numPr>
          <w:ilvl w:val="0"/>
          <w:numId w:val="1019"/>
        </w:numPr>
      </w:pPr>
      <w:r>
        <w:t xml:space="preserve">Una massa pulsante ed espansiva non è un reperto da qualificare: è un reperto da cui si toglie la mano.</w:t>
      </w:r>
    </w:p>
    <w:p>
      <w:pPr>
        <w:pStyle w:val="Compact"/>
        <w:numPr>
          <w:ilvl w:val="0"/>
          <w:numId w:val="1019"/>
        </w:numPr>
      </w:pPr>
      <w:r>
        <w:t xml:space="preserve">Un referto normale non apre il verde: apre il giallo. E l’esclusione è più pericolosa dell’affermazione —</w:t>
      </w:r>
      <w:r>
        <w:t xml:space="preserve"> </w:t>
      </w:r>
      <w:r>
        <w:rPr>
          <w:i/>
          <w:iCs/>
        </w:rPr>
        <w:t xml:space="preserve">«non hai niente»</w:t>
      </w:r>
      <w:r>
        <w:t xml:space="preserve"> </w:t>
      </w:r>
      <w:r>
        <w:t xml:space="preserve">è la frase da non pronunciare mai.</w:t>
      </w:r>
    </w:p>
    <w:p>
      <w:pPr>
        <w:pStyle w:val="Compact"/>
        <w:numPr>
          <w:ilvl w:val="0"/>
          <w:numId w:val="1019"/>
        </w:numPr>
      </w:pPr>
      <w:r>
        <w:rPr>
          <w:b/>
          <w:bCs/>
        </w:rPr>
        <w:t xml:space="preserve">Perché ci sei tu.</w:t>
      </w:r>
      <w:r>
        <w:t xml:space="preserve"> </w:t>
      </w:r>
      <w:r>
        <w:t xml:space="preserve">L’indice sintomatico per il tumore ovarico ha una specificità del 90% sopra i cinquant’anni e dell’86,7% sotto, con una sensibilità del 56,7% nella malattia iniziale (Goff, 2007, PMID 17154394). Questo ti autorizza a riconoscere quel profilo e a mandarlo senza esitare. Non ti autorizza a usarlo al contrario: con quella sensibilità, un profilo negativo non toglie niente a nessuno.</w:t>
      </w:r>
    </w:p>
    <w:p>
      <w:r>
        <w:pict>
          <v:rect style="width:0;height:1.5pt" o:hralign="center" o:hrstd="t" o:hr="t"/>
        </w:pict>
      </w:r>
    </w:p>
    <w:bookmarkEnd w:id="61"/>
    <w:bookmarkEnd w:id="62"/>
    <w:bookmarkStart w:id="70" w:name="capitolo-10-cosa-dice-la-scienza"/>
    <w:p>
      <w:pPr>
        <w:pStyle w:val="Heading2"/>
      </w:pPr>
      <w:r>
        <w:t xml:space="preserve">Capitolo 10 — Cosa dice la scienza</w:t>
      </w:r>
    </w:p>
    <w:p>
      <w:pPr>
        <w:pStyle w:val="BlockText"/>
      </w:pPr>
      <w:r>
        <w:rPr>
          <w:b/>
          <w:bCs/>
        </w:rPr>
        <w:t xml:space="preserve">In una riga:</w:t>
      </w:r>
      <w:r>
        <w:t xml:space="preserve"> </w:t>
      </w:r>
      <w:r>
        <w:t xml:space="preserve">il meccanismo di questa condizione è fra i meglio misurati di tutta la libreria, e il gesto osteopatico che dovrebbe correggerlo non è mai stato misurato</w:t>
      </w:r>
      <w:r>
        <w:t xml:space="preserve"> </w:t>
      </w:r>
      <w:r>
        <w:rPr>
          <w:b/>
          <w:bCs/>
        </w:rPr>
        <w:t xml:space="preserve">su questi pazienti</w:t>
      </w:r>
      <w:r>
        <w:t xml:space="preserve">: è una distanza che va dichiarata, non colmata a parole e nemmeno allargata oltre il vero.</w:t>
      </w:r>
    </w:p>
    <w:bookmarkStart w:id="63" w:name="le-due-ancore-e-perché-sono-due"/>
    <w:p>
      <w:pPr>
        <w:pStyle w:val="Heading3"/>
      </w:pPr>
      <w:r>
        <w:t xml:space="preserve">Le due ancore, e perché sono due</w:t>
      </w:r>
    </w:p>
    <w:p>
      <w:pPr>
        <w:pStyle w:val="FirstParagraph"/>
      </w:pPr>
      <w:r>
        <w:rPr>
          <w:b/>
          <w:bCs/>
        </w:rPr>
        <w:t xml:space="preserve">Fernando Azpiroz</w:t>
      </w:r>
      <w:r>
        <w:t xml:space="preserve">, Vall d’Hebron di Barcellona, è l’ancora</w:t>
      </w:r>
      <w:r>
        <w:t xml:space="preserve"> </w:t>
      </w:r>
      <w:r>
        <w:rPr>
          <w:b/>
          <w:bCs/>
        </w:rPr>
        <w:t xml:space="preserve">fisiologica</w:t>
      </w:r>
      <w:r>
        <w:t xml:space="preserve">. Il suo gruppo ha stabilito che l’accomodazione addominale è un processo motorio attivo, che nei pazienti si inverte, e che la distensione è una redistribuzione del contenuto.</w:t>
      </w:r>
      <w:r>
        <w:t xml:space="preserve"> </w:t>
      </w:r>
      <w:r>
        <w:rPr>
          <w:b/>
          <w:bCs/>
        </w:rPr>
        <w:t xml:space="preserve">Elizabeth Barba</w:t>
      </w:r>
      <w:r>
        <w:t xml:space="preserve">, della stessa scuola, è l’ancora</w:t>
      </w:r>
      <w:r>
        <w:t xml:space="preserve"> </w:t>
      </w:r>
      <w:r>
        <w:rPr>
          <w:b/>
          <w:bCs/>
        </w:rPr>
        <w:t xml:space="preserve">clinica</w:t>
      </w:r>
      <w:r>
        <w:t xml:space="preserve">: ha misurato il guasto e poi dimostrato, in due randomizzati controllati con placebo, che correggerlo riduce la distensione.</w:t>
      </w:r>
    </w:p>
    <w:bookmarkEnd w:id="63"/>
    <w:bookmarkStart w:id="64" w:name="cerchio-1-gli-studi-cardine"/>
    <w:p>
      <w:pPr>
        <w:pStyle w:val="Heading3"/>
      </w:pPr>
      <w:r>
        <w:t xml:space="preserve">Cerchio 1 — 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Barba, 2024 (38467383)</w:t>
            </w:r>
          </w:p>
        </w:tc>
        <w:tc>
          <w:tcPr/>
          <w:p>
            <w:pPr>
              <w:pStyle w:val="Compact"/>
            </w:pPr>
            <w:r>
              <w:t xml:space="preserve">Biofeedback contro capsula placebo, 42 randomizzati</w:t>
            </w:r>
          </w:p>
        </w:tc>
        <w:tc>
          <w:tcPr/>
          <w:p>
            <w:pPr>
              <w:pStyle w:val="Compact"/>
            </w:pPr>
            <w:r>
              <w:t xml:space="preserve">Presentare il riapprendimento come leva con prove</w:t>
            </w:r>
          </w:p>
        </w:tc>
      </w:tr>
      <w:tr>
        <w:tc>
          <w:tcPr/>
          <w:p>
            <w:pPr>
              <w:pStyle w:val="Compact"/>
            </w:pPr>
            <w:r>
              <w:t xml:space="preserve">Barba, 2017 (28705783)</w:t>
            </w:r>
          </w:p>
        </w:tc>
        <w:tc>
          <w:tcPr/>
          <w:p>
            <w:pPr>
              <w:pStyle w:val="Compact"/>
            </w:pPr>
            <w:r>
              <w:t xml:space="preserve">Biofeedback contro simeticone, 48 pazienti</w:t>
            </w:r>
          </w:p>
        </w:tc>
        <w:tc>
          <w:tcPr/>
          <w:p>
            <w:pPr>
              <w:pStyle w:val="Compact"/>
            </w:pPr>
            <w:r>
              <w:t xml:space="preserve">Usare un contrasto placebo reale, non dedotto</w:t>
            </w:r>
          </w:p>
        </w:tc>
      </w:tr>
      <w:tr>
        <w:tc>
          <w:tcPr/>
          <w:p>
            <w:pPr>
              <w:pStyle w:val="Compact"/>
            </w:pPr>
            <w:r>
              <w:t xml:space="preserve">Barba, 2015 (25500424)</w:t>
            </w:r>
          </w:p>
        </w:tc>
        <w:tc>
          <w:tcPr/>
          <w:p>
            <w:pPr>
              <w:pStyle w:val="Compact"/>
            </w:pPr>
            <w:r>
              <w:t xml:space="preserve">Diaframma, intercostali e parete durante l’episodio, 45 pazienti</w:t>
            </w:r>
          </w:p>
        </w:tc>
        <w:tc>
          <w:tcPr/>
          <w:p>
            <w:pPr>
              <w:pStyle w:val="Compact"/>
            </w:pPr>
            <w:r>
              <w:t xml:space="preserve">Cercare il pattern motorio invece dell’aria</w:t>
            </w:r>
          </w:p>
        </w:tc>
      </w:tr>
      <w:tr>
        <w:tc>
          <w:tcPr/>
          <w:p>
            <w:pPr>
              <w:pStyle w:val="Compact"/>
            </w:pPr>
            <w:r>
              <w:t xml:space="preserve">Villoria, 2011 (21540894)</w:t>
            </w:r>
          </w:p>
        </w:tc>
        <w:tc>
          <w:tcPr/>
          <w:p>
            <w:pPr>
              <w:pStyle w:val="Compact"/>
            </w:pPr>
            <w:r>
              <w:t xml:space="preserve">Contrazione paradossa del diaframma sotto carico, 20 pazienti</w:t>
            </w:r>
          </w:p>
        </w:tc>
        <w:tc>
          <w:tcPr/>
          <w:p>
            <w:pPr>
              <w:pStyle w:val="Compact"/>
            </w:pPr>
            <w:r>
              <w:t xml:space="preserve">Spiegare al paziente perché il tetto scende</w:t>
            </w:r>
          </w:p>
        </w:tc>
      </w:tr>
      <w:tr>
        <w:tc>
          <w:tcPr/>
          <w:p>
            <w:pPr>
              <w:pStyle w:val="Compact"/>
            </w:pPr>
            <w:r>
              <w:t xml:space="preserve">Tremolaterra, 2006 (16618400)</w:t>
            </w:r>
          </w:p>
        </w:tc>
        <w:tc>
          <w:tcPr/>
          <w:p>
            <w:pPr>
              <w:pStyle w:val="Compact"/>
            </w:pPr>
            <w:r>
              <w:t xml:space="preserve">Attività dei tre obliqui sotto carico, 12 pazienti</w:t>
            </w:r>
          </w:p>
        </w:tc>
        <w:tc>
          <w:tcPr/>
          <w:p>
            <w:pPr>
              <w:pStyle w:val="Compact"/>
            </w:pPr>
            <w:r>
              <w:t xml:space="preserve">Mettere le mani su un bersaglio muscolare identificato</w:t>
            </w:r>
          </w:p>
        </w:tc>
      </w:tr>
      <w:tr>
        <w:tc>
          <w:tcPr/>
          <w:p>
            <w:pPr>
              <w:pStyle w:val="Compact"/>
            </w:pPr>
            <w:r>
              <w:t xml:space="preserve">Bendezú, 2015 (26095329)</w:t>
            </w:r>
          </w:p>
        </w:tc>
        <w:tc>
          <w:tcPr/>
          <w:p>
            <w:pPr>
              <w:pStyle w:val="Compact"/>
            </w:pPr>
            <w:r>
              <w:t xml:space="preserve">Volume e distribuzione del gas</w:t>
            </w:r>
          </w:p>
        </w:tc>
        <w:tc>
          <w:tcPr/>
          <w:p>
            <w:pPr>
              <w:pStyle w:val="Compact"/>
            </w:pPr>
            <w:r>
              <w:t xml:space="preserve">Smettere di cercare l’aria</w:t>
            </w:r>
          </w:p>
        </w:tc>
      </w:tr>
      <w:tr>
        <w:tc>
          <w:tcPr/>
          <w:p>
            <w:pPr>
              <w:pStyle w:val="Compact"/>
            </w:pPr>
            <w:r>
              <w:t xml:space="preserve">Barba, 2023 (36153798)</w:t>
            </w:r>
          </w:p>
        </w:tc>
        <w:tc>
          <w:tcPr/>
          <w:p>
            <w:pPr>
              <w:pStyle w:val="Compact"/>
            </w:pPr>
            <w:r>
              <w:t xml:space="preserve">Distensione visibile oggettivata in 139 pazienti</w:t>
            </w:r>
          </w:p>
        </w:tc>
        <w:tc>
          <w:tcPr/>
          <w:p>
            <w:pPr>
              <w:pStyle w:val="Compact"/>
            </w:pPr>
            <w:r>
              <w:t xml:space="preserve">Fondare l’affermazione centrale su 139</w:t>
            </w:r>
          </w:p>
        </w:tc>
      </w:tr>
      <w:tr>
        <w:tc>
          <w:tcPr/>
          <w:p>
            <w:pPr>
              <w:pStyle w:val="Compact"/>
            </w:pPr>
            <w:r>
              <w:t xml:space="preserve">Agrawal, 2008 (18455167)</w:t>
            </w:r>
          </w:p>
        </w:tc>
        <w:tc>
          <w:tcPr/>
          <w:p>
            <w:pPr>
              <w:pStyle w:val="Compact"/>
            </w:pPr>
            <w:r>
              <w:t xml:space="preserve">Soglie rettali in 68 pazienti con colon irritabile</w:t>
            </w:r>
          </w:p>
        </w:tc>
        <w:tc>
          <w:tcPr/>
          <w:p>
            <w:pPr>
              <w:pStyle w:val="Compact"/>
            </w:pPr>
            <w:r>
              <w:t xml:space="preserve">Separare chi si sente da chi si vede</w:t>
            </w:r>
          </w:p>
        </w:tc>
      </w:tr>
      <w:tr>
        <w:tc>
          <w:tcPr/>
          <w:p>
            <w:pPr>
              <w:pStyle w:val="Compact"/>
            </w:pPr>
            <w:r>
              <w:t xml:space="preserve">Attali, 2013 (23981319)</w:t>
            </w:r>
          </w:p>
        </w:tc>
        <w:tc>
          <w:tcPr/>
          <w:p>
            <w:pPr>
              <w:pStyle w:val="Compact"/>
            </w:pPr>
            <w:r>
              <w:t xml:space="preserve">Osteopatia viscerale, 31 pazienti con colon irritabile refrattario</w:t>
            </w:r>
          </w:p>
        </w:tc>
        <w:tc>
          <w:tcPr/>
          <w:p>
            <w:pPr>
              <w:pStyle w:val="Compact"/>
            </w:pPr>
            <w:r>
              <w:t xml:space="preserve">Conoscere l’unico studio esistente, e i suoi limiti</w:t>
            </w:r>
          </w:p>
        </w:tc>
      </w:tr>
    </w:tbl>
    <w:p>
      <w:pPr>
        <w:pStyle w:val="BodyText"/>
      </w:pPr>
      <w:r>
        <w:rPr>
          <w:b/>
          <w:bCs/>
        </w:rPr>
        <w:t xml:space="preserve">Le righe che in cella non ci stanno.</w:t>
      </w:r>
      <w:r>
        <w:t xml:space="preserve"> </w:t>
      </w:r>
      <w:r>
        <w:t xml:space="preserve">Bendezú ha studiato 88 pazienti e 37 sani. Ti autorizza a smettere di trattare il gonfiore come un problema di aria. Barba 2023 fonda l’affermazione centrale su 139 pazienti e non su 45. Agrawal separa chi si sente gonfio da chi si vede gonfio. Di Attali conosci i limiti prima di citarlo.</w:t>
      </w:r>
    </w:p>
    <w:p>
      <w:pPr>
        <w:pStyle w:val="BodyText"/>
      </w:pPr>
      <w:r>
        <w:rPr>
          <w:b/>
          <w:bCs/>
        </w:rPr>
        <w:t xml:space="preserve">I numeri che portano un’affermazione, scritti per esteso.</w:t>
      </w:r>
    </w:p>
    <w:p>
      <w:pPr>
        <w:pStyle w:val="BodyText"/>
      </w:pPr>
      <w:r>
        <w:t xml:space="preserve">Su 42 pazienti randomizzati con distensione visibile scatenata dal pasto, il braccio di biofeedback ha battuto una capsula placebo; i numeri sono per esteso in «Cosa può fare il paziente da solo», strumento 1a.</w:t>
      </w:r>
      <w:r>
        <w:t xml:space="preserve"> </w:t>
      </w:r>
      <w:r>
        <w:rPr>
          <w:b/>
          <w:bCs/>
        </w:rPr>
        <w:t xml:space="preserve">Per te:</w:t>
      </w:r>
      <w:r>
        <w:t xml:space="preserve"> </w:t>
      </w:r>
      <w:r>
        <w:t xml:space="preserve">il bersaglio giusto è il pattern motorio. Non che il pattern si corregga con le mani: lì il paziente vedeva il proprio segnale su uno schermo. E il confronto era una capsula, non un esercizio finto: per un intervento di apprendimento motorio è un limite di disegno che va conosciuto. (Barba, 2024, PMID 38467383)</w:t>
      </w:r>
    </w:p>
    <w:p>
      <w:pPr>
        <w:pStyle w:val="BodyText"/>
      </w:pPr>
      <w:r>
        <w:t xml:space="preserve">Il secondo studio è più utile proprio come contrasto, perché il placebo era</w:t>
      </w:r>
      <w:r>
        <w:t xml:space="preserve"> </w:t>
      </w:r>
      <w:r>
        <w:rPr>
          <w:b/>
          <w:bCs/>
        </w:rPr>
        <w:t xml:space="preserve">attivo</w:t>
      </w:r>
      <w:r>
        <w:t xml:space="preserve">: il braccio di confronto è stato trattato con simeticone, il farmaco che la tua paziente ha già preso da sola. Anche qui i numeri stanno nello strumento 1a.</w:t>
      </w:r>
      <w:r>
        <w:t xml:space="preserve"> </w:t>
      </w:r>
      <w:r>
        <w:rPr>
          <w:b/>
          <w:bCs/>
        </w:rPr>
        <w:t xml:space="preserve">Per te:</w:t>
      </w:r>
      <w:r>
        <w:t xml:space="preserve"> </w:t>
      </w:r>
      <w:r>
        <w:t xml:space="preserve">i due studi vengono dallo stesso gruppo e dallo stesso centro. L’unicità che regge non è quella dello studio: è quella del</w:t>
      </w:r>
      <w:r>
        <w:t xml:space="preserve"> </w:t>
      </w:r>
      <w:r>
        <w:rPr>
          <w:b/>
          <w:bCs/>
        </w:rPr>
        <w:t xml:space="preserve">centro</w:t>
      </w:r>
      <w:r>
        <w:t xml:space="preserve">. (Barba, 2017, PMID 28705783)</w:t>
      </w:r>
    </w:p>
    <w:p>
      <w:pPr>
        <w:pStyle w:val="BodyText"/>
      </w:pPr>
      <w:r>
        <w:t xml:space="preserve">Sono stati studiati</w:t>
      </w:r>
      <w:r>
        <w:t xml:space="preserve"> </w:t>
      </w:r>
      <w:r>
        <w:rPr>
          <w:b/>
          <w:bCs/>
        </w:rPr>
        <w:t xml:space="preserve">139 pazienti</w:t>
      </w:r>
      <w:r>
        <w:t xml:space="preserve"> </w:t>
      </w:r>
      <w:r>
        <w:t xml:space="preserve">con distensione visibile riferita: 61 con gonfiore funzionale, 74 con intestino irritabile stitico. L’aumento oggettivo della circonferenza è stato documentato in</w:t>
      </w:r>
      <w:r>
        <w:t xml:space="preserve"> </w:t>
      </w:r>
      <w:r>
        <w:rPr>
          <w:b/>
          <w:bCs/>
        </w:rPr>
        <w:t xml:space="preserve">138 su 139</w:t>
      </w:r>
      <w:r>
        <w:t xml:space="preserve"> </w:t>
      </w:r>
      <w:r>
        <w:t xml:space="preserve">al metro a nastro, e in 96 su 104 alla tomografia. Il gas intestinale era entro ±300 ml dal basale in</w:t>
      </w:r>
      <w:r>
        <w:t xml:space="preserve"> </w:t>
      </w:r>
      <w:r>
        <w:rPr>
          <w:b/>
          <w:bCs/>
        </w:rPr>
        <w:t xml:space="preserve">99 pazienti</w:t>
      </w:r>
      <w:r>
        <w:t xml:space="preserve">, e la dissinergia era il reperto costante.</w:t>
      </w:r>
      <w:r>
        <w:t xml:space="preserve"> </w:t>
      </w:r>
      <w:r>
        <w:rPr>
          <w:b/>
          <w:bCs/>
        </w:rPr>
        <w:t xml:space="preserve">Per te:</w:t>
      </w:r>
      <w:r>
        <w:t xml:space="preserve"> </w:t>
      </w:r>
      <w:r>
        <w:t xml:space="preserve">l’affermazione più importante di questo documento — la distensione è oggettiva, e il contenuto non è aumentato — ha un denominatore tre volte più grande di quello che di solito le si attribuisce.</w:t>
      </w:r>
      <w:r>
        <w:t xml:space="preserve"> </w:t>
      </w:r>
      <w:r>
        <w:rPr>
          <w:b/>
          <w:bCs/>
        </w:rPr>
        <w:t xml:space="preserve">È lo stesso gruppo e lo stesso centro degli altri studi cardine: aumenta il denominatore, non l’indipendenza.</w:t>
      </w:r>
      <w:r>
        <w:t xml:space="preserve"> </w:t>
      </w:r>
      <w:r>
        <w:t xml:space="preserve">(Barba, 2023, PMID 36153798)</w:t>
      </w:r>
    </w:p>
    <w:p>
      <w:pPr>
        <w:pStyle w:val="BodyText"/>
      </w:pPr>
      <w:r>
        <w:t xml:space="preserve">Nell’unico studio con manipolazioni placebo su una terapia manuale, l’osteopatia viscerale ha migliorato distensione, dolore e diarrea riferiti, e ha aumentato il volume soglia rettale. Col placebo la soglia non si è mossa. Erano 31 pazienti in crossover, con</w:t>
      </w:r>
      <w:r>
        <w:t xml:space="preserve"> </w:t>
      </w:r>
      <w:r>
        <w:rPr>
          <w:b/>
          <w:bCs/>
        </w:rPr>
        <w:t xml:space="preserve">colon irritabile refrattario</w:t>
      </w:r>
      <w:r>
        <w:t xml:space="preserve">.</w:t>
      </w:r>
      <w:r>
        <w:t xml:space="preserve"> </w:t>
      </w:r>
      <w:r>
        <w:rPr>
          <w:b/>
          <w:bCs/>
        </w:rPr>
        <w:t xml:space="preserve">Per te:</w:t>
      </w:r>
      <w:r>
        <w:t xml:space="preserve"> </w:t>
      </w:r>
      <w:r>
        <w:t xml:space="preserve">un effetto significativo dentro un braccio e assente nell’altro non è un confronto fra bracci, ed è il ragionamento che questo documento vieta a se stesso altrove. Quello studio è inoltre classificato</w:t>
      </w:r>
      <w:r>
        <w:t xml:space="preserve"> </w:t>
      </w:r>
      <w:r>
        <w:rPr>
          <w:b/>
          <w:bCs/>
        </w:rPr>
        <w:t xml:space="preserve">ad alto rischio di bias</w:t>
      </w:r>
      <w:r>
        <w:t xml:space="preserve"> </w:t>
      </w:r>
      <w:r>
        <w:t xml:space="preserve">dalla revisione che lo include. È il motivo per cui la leva sulla soglia porta IPOTESI. (Attali, 2013, PMID 23981319; Guillaud, 2018, PMID 29452579)</w:t>
      </w:r>
    </w:p>
    <w:p>
      <w:pPr>
        <w:pStyle w:val="BodyText"/>
      </w:pPr>
      <w:r>
        <w:t xml:space="preserve">Sulla terapia manuale osteopatica nella sindrome dell’intestino irritabile, la meta-analisi più recente trova un vantaggio su dolore addominale e stitichezza rispetto a finto trattamento.</w:t>
      </w:r>
      <w:r>
        <w:t xml:space="preserve"> </w:t>
      </w:r>
      <w:r>
        <w:rPr>
          <w:b/>
          <w:bCs/>
        </w:rPr>
        <w:t xml:space="preserve">Non trova nessun vantaggio sul punteggio globale di severità.</w:t>
      </w:r>
      <w:r>
        <w:t xml:space="preserve"> </w:t>
      </w:r>
      <w:r>
        <w:t xml:space="preserve">Sono cinque randomizzati, quattro con riserve e uno ad alto rischio, in una revisione firmata dal dipartimento di ricerca di un istituto di osteopatia.</w:t>
      </w:r>
      <w:r>
        <w:t xml:space="preserve"> </w:t>
      </w:r>
      <w:r>
        <w:rPr>
          <w:b/>
          <w:bCs/>
        </w:rPr>
        <w:t xml:space="preserve">Per te:</w:t>
      </w:r>
      <w:r>
        <w:t xml:space="preserve"> </w:t>
      </w:r>
      <w:r>
        <w:t xml:space="preserve">promettere lavoro sul dolore è sostenibile, promettere il quadro complessivo no. (Buffone, 2023, PMID 37685480)</w:t>
      </w:r>
    </w:p>
    <w:bookmarkEnd w:id="64"/>
    <w:bookmarkStart w:id="65" w:name="cerchio-2-il-meccanismo-misurato-altrove"/>
    <w:p>
      <w:pPr>
        <w:pStyle w:val="Heading3"/>
      </w:pPr>
      <w:r>
        <w:t xml:space="preserve">Cerchio 2 — il meccanismo, misurato altrove</w:t>
      </w:r>
    </w:p>
    <w:p>
      <w:pPr>
        <w:pStyle w:val="FirstParagraph"/>
      </w:pPr>
      <w:r>
        <w:rPr>
          <w:b/>
          <w:bCs/>
        </w:rPr>
        <w:t xml:space="preserve">Contatto manuale e attivazione.</w:t>
      </w:r>
      <w:r>
        <w:t xml:space="preserve"> </w:t>
      </w:r>
      <w:r>
        <w:t xml:space="preserve">Su 20 studi randomizzati, gli interventi osteopatici hanno</w:t>
      </w:r>
      <w:r>
        <w:t xml:space="preserve"> </w:t>
      </w:r>
      <w:r>
        <w:rPr>
          <w:b/>
          <w:bCs/>
        </w:rPr>
        <w:t xml:space="preserve">ridotto la depressione</w:t>
      </w:r>
      <w:r>
        <w:t xml:space="preserve"> </w:t>
      </w:r>
      <w:r>
        <w:t xml:space="preserve">(g = −0,47; p = 0,02), e la conduttanza cutanea è</w:t>
      </w:r>
      <w:r>
        <w:t xml:space="preserve"> </w:t>
      </w:r>
      <w:r>
        <w:rPr>
          <w:b/>
          <w:bCs/>
        </w:rPr>
        <w:t xml:space="preserve">stimata in aumento con un intervallo di confidenza che tocca lo zero</w:t>
      </w:r>
      <w:r>
        <w:t xml:space="preserve"> </w:t>
      </w:r>
      <w:r>
        <w:t xml:space="preserve">(g = 0,67; IC 0,00-1,34; p = 0,05), senza effetto su ansia e stress (Gordon, 2025, PMID 39920074).</w:t>
      </w:r>
      <w:r>
        <w:t xml:space="preserve"> </w:t>
      </w:r>
      <w:r>
        <w:rPr>
          <w:i/>
          <w:iCs/>
        </w:rPr>
        <w:t xml:space="preserve">Popolazioni miste con dolore, non pazienti con gonfiore.</w:t>
      </w:r>
      <w:r>
        <w:t xml:space="preserve"> </w:t>
      </w:r>
      <w:r>
        <w:t xml:space="preserve">È il dato che questo documento usa</w:t>
      </w:r>
      <w:r>
        <w:t xml:space="preserve"> </w:t>
      </w:r>
      <w:r>
        <w:rPr>
          <w:b/>
          <w:bCs/>
        </w:rPr>
        <w:t xml:space="preserve">contro</w:t>
      </w:r>
      <w:r>
        <w:t xml:space="preserve"> </w:t>
      </w:r>
      <w:r>
        <w:t xml:space="preserve">la lettura più comoda del proprio tocco, e per questo va riportato per intero.</w:t>
      </w:r>
    </w:p>
    <w:p>
      <w:pPr>
        <w:pStyle w:val="BodyText"/>
      </w:pPr>
      <w:r>
        <w:rPr>
          <w:b/>
          <w:bCs/>
        </w:rPr>
        <w:t xml:space="preserve">Una mano sul diaframma.</w:t>
      </w:r>
      <w:r>
        <w:t xml:space="preserve"> </w:t>
      </w:r>
      <w:r>
        <w:t xml:space="preserve">Una tecnica manuale di rilascio diaframmatico è stata confrontata con un simulato, e l’ha battuto (Rocha, 2015, PMID 26386894; Nair, 2019, PMID 30719351).</w:t>
      </w:r>
      <w:r>
        <w:t xml:space="preserve"> </w:t>
      </w:r>
      <w:r>
        <w:rPr>
          <w:i/>
          <w:iCs/>
        </w:rPr>
        <w:t xml:space="preserve">Su pazienti con BPCO stabile, con l’ecografia come esito, non su pazienti con gonfiore e non sulla circonferenza.</w:t>
      </w:r>
      <w:r>
        <w:t xml:space="preserve"> </w:t>
      </w:r>
      <w:r>
        <w:t xml:space="preserve">Per esteso in «Perché le mani possono cambiare qualcosa».</w:t>
      </w:r>
    </w:p>
    <w:p>
      <w:pPr>
        <w:pStyle w:val="BodyText"/>
      </w:pPr>
      <w:r>
        <w:rPr>
          <w:b/>
          <w:bCs/>
        </w:rPr>
        <w:t xml:space="preserve">Il contesto, in questa esatta famiglia di pazienti.</w:t>
      </w:r>
      <w:r>
        <w:t xml:space="preserve"> </w:t>
      </w:r>
      <w:r>
        <w:t xml:space="preserve">Il sollievo riferito cresce con la sola cornice terapeutica, e cresce ancora con una relazione calda e attenta (Kaptchuk, 2008, PMID 18390493).</w:t>
      </w:r>
      <w:r>
        <w:t xml:space="preserve"> </w:t>
      </w:r>
      <w:r>
        <w:rPr>
          <w:i/>
          <w:iCs/>
        </w:rPr>
        <w:t xml:space="preserve">Su sindrome dell’intestino irritabile e con l’agopuntura simulata come rituale, non con le nostre mani.</w:t>
      </w:r>
      <w:r>
        <w:t xml:space="preserve"> </w:t>
      </w:r>
      <w:r>
        <w:t xml:space="preserve">Per esteso in «Cosa possiamo dire, e cosa no».</w:t>
      </w:r>
    </w:p>
    <w:p>
      <w:pPr>
        <w:pStyle w:val="BodyText"/>
      </w:pPr>
      <w:r>
        <w:rPr>
          <w:b/>
          <w:bCs/>
        </w:rPr>
        <w:t xml:space="preserve">La terapia manuale sull’addome che misura la circonferenza — e non è la nostra.</w:t>
      </w:r>
      <w:r>
        <w:t xml:space="preserve"> </w:t>
      </w:r>
      <w:r>
        <w:t xml:space="preserve">Esiste, è ampia, e in parte è positiva (Wang, 2022, PMID 34902566; Fekri, 2021, PMID 33465382; Dehghan, 2020, PMID 33183670).</w:t>
      </w:r>
      <w:r>
        <w:t xml:space="preserve"> </w:t>
      </w:r>
      <w:r>
        <w:rPr>
          <w:i/>
          <w:iCs/>
        </w:rPr>
        <w:t xml:space="preserve">Su adulti critici nutriti con sondino e anziani stitici dopo un ictus, senza trattamento simulato, e su una distensione da ritenzione e non da dissinergia.</w:t>
      </w:r>
      <w:r>
        <w:t xml:space="preserve"> </w:t>
      </w:r>
      <w:r>
        <w:t xml:space="preserve">Per esteso in «Quando la scienza tace».</w:t>
      </w:r>
    </w:p>
    <w:p>
      <w:pPr>
        <w:pStyle w:val="BodyText"/>
      </w:pPr>
      <w:r>
        <w:rPr>
          <w:b/>
          <w:bCs/>
        </w:rPr>
        <w:t xml:space="preserve">Movimento e sintomi intestinali.</w:t>
      </w:r>
      <w:r>
        <w:t xml:space="preserve"> </w:t>
      </w:r>
      <w:r>
        <w:t xml:space="preserve">Aumentare l’attività fisica ha migliorato il punteggio di severità in pazienti con sindrome dell’intestino irritabile (Johannesson, 2011, PMID 21206488).</w:t>
      </w:r>
      <w:r>
        <w:t xml:space="preserve"> </w:t>
      </w:r>
      <w:r>
        <w:rPr>
          <w:i/>
          <w:iCs/>
        </w:rPr>
        <w:t xml:space="preserve">Salto di condizione, e senza intervento finto.</w:t>
      </w:r>
      <w:r>
        <w:t xml:space="preserve"> </w:t>
      </w:r>
      <w:r>
        <w:t xml:space="preserve">Per esteso in «Cosa può fare il paziente da solo», strumento 2.</w:t>
      </w:r>
    </w:p>
    <w:p>
      <w:pPr>
        <w:pStyle w:val="BodyText"/>
      </w:pPr>
      <w:r>
        <w:rPr>
          <w:b/>
          <w:bCs/>
        </w:rPr>
        <w:t xml:space="preserve">Il riflesso e la sua parte oscura.</w:t>
      </w:r>
      <w:r>
        <w:t xml:space="preserve"> </w:t>
      </w:r>
      <w:r>
        <w:t xml:space="preserve">La revisione degli stessi autori-ancora dichiara che</w:t>
      </w:r>
      <w:r>
        <w:t xml:space="preserve"> </w:t>
      </w:r>
      <w:r>
        <w:rPr>
          <w:b/>
          <w:bCs/>
        </w:rPr>
        <w:t xml:space="preserve">il meccanismo neurologico esatto non è noto</w:t>
      </w:r>
      <w:r>
        <w:t xml:space="preserve"> </w:t>
      </w:r>
      <w:r>
        <w:t xml:space="preserve">(Damianos, Azpiroz, Barba, 2023, PMID 36191283).</w:t>
      </w:r>
    </w:p>
    <w:bookmarkEnd w:id="65"/>
    <w:bookmarkStart w:id="66" w:name="cerchio-3-la-fisiologia"/>
    <w:p>
      <w:pPr>
        <w:pStyle w:val="Heading3"/>
      </w:pPr>
      <w:r>
        <w:t xml:space="preserve">Cerchio 3 — la fisiologia</w:t>
      </w:r>
    </w:p>
    <w:p>
      <w:pPr>
        <w:pStyle w:val="FirstParagraph"/>
      </w:pPr>
      <w:r>
        <w:t xml:space="preserve">Qui stanno tre cose. L’accomodazione addominale normale (Villoria, 2008, PMID 18786126). Il contenuto gassoso normale dell’intestino, 95 millilitri (Bendezú, 2015, PMID 26095329). E la variabilità della misura di circonferenza per sito, postura, fase respiratoria e distanza dal pasto (Agarwal, 2009, PMID 19165166), cioè la fisica del tuo marker principale. E c’è il pezzo che chiude l’obiezione successiva a quella dell’aria: non sono aumentate nemmeno le feci e i liquidi. Nei sani il contenuto colico non gassoso è 714 ± 34 ml, e nei pazienti non cambia durante l’episodio di distensione (Bendezú, 2016, PMID 26871593);</w:t>
      </w:r>
      <w:r>
        <w:t xml:space="preserve"> </w:t>
      </w:r>
      <w:r>
        <w:rPr>
          <w:i/>
          <w:iCs/>
        </w:rPr>
        <w:t xml:space="preserve">quindici pazienti e quindici sani.</w:t>
      </w:r>
    </w:p>
    <w:bookmarkEnd w:id="66"/>
    <w:bookmarkStart w:id="67" w:name="cosa-possiamo-dire-e-cosa-no"/>
    <w:p>
      <w:pPr>
        <w:pStyle w:val="Heading3"/>
      </w:pPr>
      <w:r>
        <w:t xml:space="preserve">Cosa possiamo dire, e cosa no</w:t>
      </w:r>
    </w:p>
    <w:p>
      <w:pPr>
        <w:pStyle w:val="FirstParagraph"/>
      </w:pPr>
      <w:r>
        <w:rPr>
          <w:b/>
          <w:bCs/>
        </w:rPr>
        <w:t xml:space="preserve">Possiamo dire.</w:t>
      </w:r>
      <w:r>
        <w:t xml:space="preserve"> </w:t>
      </w:r>
      <w:r>
        <w:t xml:space="preserve">Che nella maggior parte dei pazienti la distensione visibile non dipende da un aumento del contenuto. Che il meccanismo comprende una contrazione paradossa del diaframma e un cedimento della parete, misurati nell’uomo. Che riaddestrare quel pattern riduce la distensione, in due randomizzati controllati con placebo dello stesso centro. Che il movimento leggero riduce la ritenzione di gas. Che chi si sente gonfio senza distendersi ha soglie più basse di chi si distende.</w:t>
      </w:r>
    </w:p>
    <w:p>
      <w:pPr>
        <w:pStyle w:val="BodyText"/>
      </w:pPr>
      <w:r>
        <w:rPr>
          <w:b/>
          <w:bCs/>
        </w:rPr>
        <w:t xml:space="preserve">Non possiamo dire.</w:t>
      </w:r>
      <w:r>
        <w:t xml:space="preserve"> </w:t>
      </w:r>
      <w:r>
        <w:t xml:space="preserve">Che una tecnica manuale corregga la dissinergia addomino-frenica: nessuno ha misurato circonferenza o elettromiografia prima e dopo un trattamento manuale</w:t>
      </w:r>
      <w:r>
        <w:t xml:space="preserve"> </w:t>
      </w:r>
      <w:r>
        <w:rPr>
          <w:b/>
          <w:bCs/>
        </w:rPr>
        <w:t xml:space="preserve">in questi pazienti, con un simulato accanto</w:t>
      </w:r>
      <w:r>
        <w:t xml:space="preserve">. Che il gonfiore dipenda da un eccesso di aria: nei tre quarti non è vero. Che il nostro tocco abbassi il livello di attivazione: dove è stato misurato, la conduttanza va nel verso opposto, per quanto debolmente. Che l’osteopatia migliori il punteggio globale di severità nella sindrome dell’intestino irritabile. E non possiamo appoggiarci alle tecniche viscerali per fondare niente: la revisione dedicata conclude che</w:t>
      </w:r>
      <w:r>
        <w:t xml:space="preserve"> </w:t>
      </w:r>
      <w:r>
        <w:rPr>
          <w:b/>
          <w:bCs/>
        </w:rPr>
        <w:t xml:space="preserve">mancano prove solide sia sull’affidabilità dei test sia sull’efficacia</w:t>
      </w:r>
      <w:r>
        <w:t xml:space="preserve"> </w:t>
      </w:r>
      <w:r>
        <w:t xml:space="preserve">delle tecniche, e che lo studio meno viziato non mostra differenza sull’esito principale (Guillaud, 2018, PMID 29452579).</w:t>
      </w:r>
    </w:p>
    <w:p>
      <w:pPr>
        <w:pStyle w:val="BodyText"/>
      </w:pPr>
      <w:r>
        <w:t xml:space="preserve">Tre cose che non possiamo dire e che è comodo dire lo stesso.</w:t>
      </w:r>
      <w:r>
        <w:t xml:space="preserve"> </w:t>
      </w:r>
      <w:r>
        <w:rPr>
          <w:b/>
          <w:bCs/>
        </w:rPr>
        <w:t xml:space="preserve">Che di studi di terapia manuale sull’addome non ne esistano:</w:t>
      </w:r>
      <w:r>
        <w:t xml:space="preserve"> </w:t>
      </w:r>
      <w:r>
        <w:t xml:space="preserve">ne esistono molti, misurano proprio la circonferenza, e nessuno di loro riguarda questi pazienti né ha un simulato credibile (Wang, 2022, PMID 34902566; Dehghan, 2020, PMID 33183670).</w:t>
      </w:r>
      <w:r>
        <w:t xml:space="preserve"> </w:t>
      </w:r>
      <w:r>
        <w:rPr>
          <w:b/>
          <w:bCs/>
        </w:rPr>
        <w:t xml:space="preserve">Che muovere il marker 1 dimostri di aver corretto la dissinergia:</w:t>
      </w:r>
      <w:r>
        <w:t xml:space="preserve"> </w:t>
      </w:r>
      <w:r>
        <w:t xml:space="preserve">la circonferenza addominale scende anche dove il motore della distensione è un altro.</w:t>
      </w:r>
      <w:r>
        <w:t xml:space="preserve"> </w:t>
      </w:r>
      <w:r>
        <w:rPr>
          <w:b/>
          <w:bCs/>
        </w:rPr>
        <w:t xml:space="preserve">Che un miglioramento osservato in stanza sia effetto della tecnica.</w:t>
      </w:r>
      <w:r>
        <w:t xml:space="preserve"> </w:t>
      </w:r>
      <w:r>
        <w:t xml:space="preserve">In questa famiglia di pazienti il rituale terapeutico da solo ha prodotto il 44% di sollievo adeguato. Il rituale con una relazione attenta ha prodotto il 62%, contro il 28% della lista d’attesa (Kaptchuk, 2008, PMID 18390493).</w:t>
      </w:r>
    </w:p>
    <w:bookmarkEnd w:id="67"/>
    <w:bookmarkStart w:id="69" w:name="quando-la-scienza-tace"/>
    <w:p>
      <w:pPr>
        <w:pStyle w:val="Heading3"/>
      </w:pPr>
      <w:r>
        <w:t xml:space="preserve">Quando la scienza tace</w:t>
      </w:r>
    </w:p>
    <w:p>
      <w:pPr>
        <w:pStyle w:val="FirstParagraph"/>
      </w:pPr>
      <w:r>
        <w:rPr>
          <w:b/>
          <w:bCs/>
        </w:rPr>
        <w:t xml:space="preserve">1. Assenza di prove non è prova di assenza.</w:t>
      </w:r>
      <w:r>
        <w:t xml:space="preserve"> </w:t>
      </w:r>
      <w:r>
        <w:t xml:space="preserve">Nessuno ha misurato circonferenza e attività muscolare della parete prima e dopo un trattamento manuale</w:t>
      </w:r>
      <w:r>
        <w:t xml:space="preserve"> </w:t>
      </w:r>
      <w:r>
        <w:rPr>
          <w:b/>
          <w:bCs/>
        </w:rPr>
        <w:t xml:space="preserve">in questi pazienti</w:t>
      </w:r>
      <w:r>
        <w:t xml:space="preserve">. Questo non dice niente sull’efficacia di quel trattamento: dice che nessuno l’ha misurata.</w:t>
      </w:r>
    </w:p>
    <w:p>
      <w:pPr>
        <w:pStyle w:val="BodyText"/>
      </w:pPr>
      <w:r>
        <w:rPr>
          <w:b/>
          <w:bCs/>
        </w:rPr>
        <w:t xml:space="preserve">2. Perché quella letteratura non c’è — e il silenzio è selettivo.</w:t>
      </w:r>
      <w:r>
        <w:t xml:space="preserve"> </w:t>
      </w:r>
      <w:r>
        <w:t xml:space="preserve">Il</w:t>
      </w:r>
      <w:r>
        <w:t xml:space="preserve"> </w:t>
      </w:r>
      <w:r>
        <w:rPr>
          <w:b/>
          <w:bCs/>
        </w:rPr>
        <w:t xml:space="preserve">meccanismo</w:t>
      </w:r>
      <w:r>
        <w:t xml:space="preserve"> </w:t>
      </w:r>
      <w:r>
        <w:t xml:space="preserve">è stato misurato con strumenti ospedalieri. Il</w:t>
      </w:r>
      <w:r>
        <w:t xml:space="preserve"> </w:t>
      </w:r>
      <w:r>
        <w:rPr>
          <w:b/>
          <w:bCs/>
        </w:rPr>
        <w:t xml:space="preserve">trattamento</w:t>
      </w:r>
      <w:r>
        <w:t xml:space="preserve"> </w:t>
      </w:r>
      <w:r>
        <w:t xml:space="preserve">che indica è stato misurato due volte, ed era un biofeedback strumentale. Il</w:t>
      </w:r>
      <w:r>
        <w:t xml:space="preserve"> </w:t>
      </w:r>
      <w:r>
        <w:rPr>
          <w:b/>
          <w:bCs/>
        </w:rPr>
        <w:t xml:space="preserve">nostro gesto</w:t>
      </w:r>
      <w:r>
        <w:t xml:space="preserve"> </w:t>
      </w:r>
      <w:r>
        <w:t xml:space="preserve">su quelle stesse grandezze non è mai stato misurato. La ragione non è il disinteresse: chi ha il barostato non fa terapia manuale, e chi fa terapia manuale non ha il barostato.</w:t>
      </w:r>
    </w:p>
    <w:p>
      <w:pPr>
        <w:pStyle w:val="BodyText"/>
      </w:pPr>
      <w:r>
        <w:rPr>
          <w:b/>
          <w:bCs/>
        </w:rPr>
        <w:t xml:space="preserve">E non è vero che nessuno abbia provato.</w:t>
      </w:r>
      <w:r>
        <w:t xml:space="preserve"> </w:t>
      </w:r>
      <w:r>
        <w:t xml:space="preserve">La circonferenza addominale è stata misurata prima e dopo un lavoro manuale sull’addome decine di volte. In adulti critici nutriti con sondino (Wang, 2022, PMID 34902566). In anziani stitici dopo un ictus (Fekri, 2021, PMID 33465382). E in una revisione di dieci randomizzati su 464 pazienti, che accanto a quel risultato non trova nessun effetto su metà degli esiti considerati (Dehghan, 2020, PMID 33183670). Quella letteratura non ci autorizza a niente: quelle persone si distendono per ritenzione e ileo, non per dissinergia addomino-frenica, e quasi nessuno di quegli studi ha un trattamento simulato. Serve a sapere una cosa sola:</w:t>
      </w:r>
      <w:r>
        <w:t xml:space="preserve"> </w:t>
      </w:r>
      <w:r>
        <w:rPr>
          <w:b/>
          <w:bCs/>
        </w:rPr>
        <w:t xml:space="preserve">l’assenza che ci riguarda è più stretta di quella che si dice di solito.</w:t>
      </w:r>
      <w:r>
        <w:t xml:space="preserve"> </w:t>
      </w:r>
      <w:r>
        <w:t xml:space="preserve">Manca la misura del nostro gesto, su questi pazienti, con un simulato accanto e con l’elettromiografia della parete come esito. Non manca il campo.</w:t>
      </w:r>
    </w:p>
    <w:p>
      <w:pPr>
        <w:pStyle w:val="BodyText"/>
      </w:pPr>
      <w:r>
        <w:rPr>
          <w:b/>
          <w:bCs/>
        </w:rPr>
        <w:t xml:space="preserve">3. Su cosa ti basi allora</w:t>
      </w:r>
      <w:r>
        <w:t xml:space="preserve">, in ordine di forza. Sul</w:t>
      </w:r>
      <w:r>
        <w:t xml:space="preserve"> </w:t>
      </w:r>
      <w:r>
        <w:rPr>
          <w:b/>
          <w:bCs/>
        </w:rPr>
        <w:t xml:space="preserve">meccanismo</w:t>
      </w:r>
      <w:r>
        <w:t xml:space="preserve">, qui più solido che su quasi ogni altra condizione della libreria. Sul</w:t>
      </w:r>
      <w:r>
        <w:t xml:space="preserve"> </w:t>
      </w:r>
      <w:r>
        <w:rPr>
          <w:b/>
          <w:bCs/>
        </w:rPr>
        <w:t xml:space="preserve">ragionamento clinico</w:t>
      </w:r>
      <w:r>
        <w:t xml:space="preserve">, dichiarato come tale. Sulla</w:t>
      </w:r>
      <w:r>
        <w:t xml:space="preserve"> </w:t>
      </w:r>
      <w:r>
        <w:rPr>
          <w:b/>
          <w:bCs/>
        </w:rPr>
        <w:t xml:space="preserve">verifica sul singolo paziente</w:t>
      </w:r>
      <w:r>
        <w:t xml:space="preserve">: un marker scelto prima, con soglia e provenienza dichiarate, e misure ripetute.</w:t>
      </w:r>
    </w:p>
    <w:p>
      <w:pPr>
        <w:pStyle w:val="BodyText"/>
      </w:pPr>
      <w:r>
        <w:rPr>
          <w:b/>
          <w:bCs/>
        </w:rPr>
        <w:t xml:space="preserve">4. Cosa separa questo dal pensiero magico.</w:t>
      </w:r>
      <w:r>
        <w:t xml:space="preserve"> </w:t>
      </w:r>
      <w:r>
        <w:t xml:space="preserve">La verifica, e nient’altro. Qui è più facile che altrove, perché il marker principale è un numero e non un’impressione palpatoria. Ma non basta misurare. Quattro pazienti su cinque migliorano in tre anni, e la fluttuazione quotidiana è il sintomo stesso: la verifica vale solo se il marker è scelto prima, ripetuto e affiancato da uno fuori piano.</w:t>
      </w:r>
    </w:p>
    <w:p>
      <w:pPr>
        <w:pStyle w:val="BodyText"/>
      </w:pPr>
      <w:r>
        <w:rPr>
          <w:b/>
          <w:bCs/>
        </w:rPr>
        <w:t xml:space="preserve">5. Cosa questo non autorizza.</w:t>
      </w:r>
      <w:r>
        <w:t xml:space="preserve"> </w:t>
      </w:r>
      <w:r>
        <w:t xml:space="preserve">Non a promettere un esito. Non a scrivere DIMOSTRATO dove c’è IPOTESI. Non a dire alla paziente che</w:t>
      </w:r>
      <w:r>
        <w:t xml:space="preserve"> </w:t>
      </w:r>
      <w:r>
        <w:rPr>
          <w:i/>
          <w:iCs/>
        </w:rPr>
        <w:t xml:space="preserve">«gli studi confermano»</w:t>
      </w:r>
      <w:r>
        <w:t xml:space="preserve"> </w:t>
      </w:r>
      <w:r>
        <w:t xml:space="preserve">che il trattamento manuale funziona sul gonfiore: gli studi confermano il meccanismo e il riapprendimento. E, nell’altro verso, non autorizza a dire che</w:t>
      </w:r>
      <w:r>
        <w:t xml:space="preserve"> </w:t>
      </w:r>
      <w:r>
        <w:rPr>
          <w:i/>
          <w:iCs/>
        </w:rPr>
        <w:t xml:space="preserve">«di studi non ce n’è»</w:t>
      </w:r>
      <w:r>
        <w:t xml:space="preserve">: ce ne sono, non sono nostri, e una parte va nella direzione che ci farebbe comodo per le ragioni sbagliate.</w:t>
      </w:r>
    </w:p>
    <w:p>
      <w:pPr>
        <w:pStyle w:val="BodyText"/>
      </w:pPr>
      <w:r>
        <w:rPr>
          <w:b/>
          <w:bCs/>
        </w:rPr>
        <w:t xml:space="preserve">Le tre cose da ricordare, più una</w:t>
      </w:r>
    </w:p>
    <w:p>
      <w:pPr>
        <w:pStyle w:val="Compact"/>
        <w:numPr>
          <w:ilvl w:val="0"/>
          <w:numId w:val="1020"/>
        </w:numPr>
      </w:pPr>
      <w:r>
        <w:t xml:space="preserve">Il meccanismo qui è forte e il gesto è debole. È una distanza da dichiarare, e dichiararla ti rende più credibile, non meno.</w:t>
      </w:r>
    </w:p>
    <w:p>
      <w:pPr>
        <w:pStyle w:val="Compact"/>
        <w:numPr>
          <w:ilvl w:val="0"/>
          <w:numId w:val="1020"/>
        </w:numPr>
      </w:pPr>
      <w:r>
        <w:t xml:space="preserve">La leva misurata è un biofeedback in laboratorio, non una mano — e i due studi che la reggono vengono dallo stesso centro.</w:t>
      </w:r>
    </w:p>
    <w:p>
      <w:pPr>
        <w:pStyle w:val="Compact"/>
        <w:numPr>
          <w:ilvl w:val="0"/>
          <w:numId w:val="1020"/>
        </w:numPr>
      </w:pPr>
      <w:r>
        <w:t xml:space="preserve">Su questa condizione la verifica in stanza è un numero su un metro a nastro, ripetuto. Approfittane.</w:t>
      </w:r>
    </w:p>
    <w:p>
      <w:pPr>
        <w:pStyle w:val="Heading2"/>
        <w:numPr>
          <w:ilvl w:val="0"/>
          <w:numId w:val="1020"/>
        </w:numPr>
      </w:pPr>
      <w:bookmarkStart w:id="68" w:name="X97fb5e7248a1cebd2519a0ad37ca7fe227c922a"/>
      <w:r>
        <w:rPr>
          <w:b/>
          <w:bCs/>
        </w:rPr>
        <w:t xml:space="preserve">Perché ci sei tu.</w:t>
      </w:r>
      <w:r>
        <w:t xml:space="preserve"> </w:t>
      </w:r>
      <w:r>
        <w:t xml:space="preserve">Su questo punto non ci sei: la revisione sistematica dedicata alle tecniche viscerali conclude che mancano prove solide sia sull’affidabilità dei loro test sia sulla loro efficacia (Guillaud, 2018, PMID 29452579). Questo ti autorizza a usare l’esame manuale per orientarti e a scriverlo in cartella come orientamento. Non ti autorizza a fondare il mandato su un reperto viscerale palpato: il mandato lo fondano l’escursione, il tono sotto carico e la circonferenza, che si misurano.</w:t>
      </w:r>
      <w:bookmarkEnd w:id="68"/>
    </w:p>
    <w:bookmarkEnd w:id="69"/>
    <w:bookmarkEnd w:id="70"/>
    <w:bookmarkStart w:id="77"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il bersaglio di questa condizione è un muscolo scheletrico che si comporta al contrario, e questa è la ragione per cui una mano ha qualcosa da fare — con un’etichetta modesta, e va detta subito.</w:t>
      </w:r>
    </w:p>
    <w:p>
      <w:pPr>
        <w:pStyle w:val="FirstParagraph"/>
      </w:pPr>
      <w:r>
        <w:rPr>
          <w:b/>
          <w:bCs/>
        </w:rPr>
        <w:t xml:space="preserve">Cosa non possono fare le mani, detto per primo.</w:t>
      </w:r>
      <w:r>
        <w:t xml:space="preserve"> </w:t>
      </w:r>
      <w:r>
        <w:t xml:space="preserve">Non possono correggere il pattern motorio al posto del paziente. La correzione documentata è un</w:t>
      </w:r>
      <w:r>
        <w:t xml:space="preserve"> </w:t>
      </w:r>
      <w:r>
        <w:rPr>
          <w:b/>
          <w:bCs/>
        </w:rPr>
        <w:t xml:space="preserve">apprendimento</w:t>
      </w:r>
      <w:r>
        <w:t xml:space="preserve">: nei bracci migliorati i pazienti hanno imparato a mobilizzare il diaframma guardando il proprio segnale (Barba, 2024, PMID 38467383; Barba, 2017, PMID 28705783). Le mani preparano quell’apprendimento, e non possono nulla sui pattern che sono cancelli.</w:t>
      </w:r>
    </w:p>
    <w:p>
      <w:pPr>
        <w:pStyle w:val="BodyText"/>
      </w:pPr>
      <w:r>
        <w:rPr>
          <w:b/>
          <w:bCs/>
        </w:rPr>
        <w:t xml:space="preserve">Cosa possono fare, e non è ovvio: offrire il senso che manca.</w:t>
      </w:r>
      <w:r>
        <w:t xml:space="preserve"> </w:t>
      </w:r>
      <w:r>
        <w:t xml:space="preserve">Il diaframma è povero di fusi neuromuscolari; gli intercostali ne sono ricchi, e il loro ingresso arriva ai motoneuroni frenici. Il paziente</w:t>
      </w:r>
      <w:r>
        <w:t xml:space="preserve"> </w:t>
      </w:r>
      <w:r>
        <w:rPr>
          <w:b/>
          <w:bCs/>
        </w:rPr>
        <w:t xml:space="preserve">non sa dove sia il proprio diaframma</w:t>
      </w:r>
      <w:r>
        <w:t xml:space="preserve">, ed è la ragione fisiologica per cui la correzione documentata ha avuto bisogno di un segnale esterno su uno schermo. Una mano è un riferimento afferente esterno, appoggiato dove i fusi ci sono. Resta IPOTESI che sposti qualcosa; smette di essere un’ipotesi senza ragione.</w:t>
      </w:r>
    </w:p>
    <w:bookmarkStart w:id="71" w:name="sul-primo-meccanismo-il-tetto-che-scende"/>
    <w:p>
      <w:pPr>
        <w:pStyle w:val="Heading3"/>
      </w:pPr>
      <w:r>
        <w:t xml:space="preserve">Sul primo meccanismo — il tetto che scende</w:t>
      </w:r>
    </w:p>
    <w:p>
      <w:pPr>
        <w:pStyle w:val="FirstParagraph"/>
      </w:pPr>
      <w:r>
        <w:rPr>
          <w:b/>
          <w:bCs/>
        </w:rPr>
        <w:t xml:space="preserve">Su cosa può agire.</w:t>
      </w:r>
      <w:r>
        <w:t xml:space="preserve"> </w:t>
      </w:r>
      <w:r>
        <w:t xml:space="preserve">Sull’escursione del diaframma e sui suoi vincoli meccanici: coste basse, giunzione dorso-lombare, pilastri — con le due avvertenze del Capitolo 3, l’aorta sotto la mano e la fragilità delle coste basse.</w:t>
      </w:r>
      <w:r>
        <w:t xml:space="preserve"> </w:t>
      </w:r>
      <w:r>
        <w:rPr>
          <w:b/>
          <w:bCs/>
        </w:rPr>
        <w:t xml:space="preserve">Che effetto ci si aspetta:</w:t>
      </w:r>
      <w:r>
        <w:t xml:space="preserve"> </w:t>
      </w:r>
      <w:r>
        <w:t xml:space="preserve">più escursione disponibile, cioè più spazio su cui il paziente possa allenare il verso giusto.</w:t>
      </w:r>
    </w:p>
    <w:p>
      <w:pPr>
        <w:pStyle w:val="BodyText"/>
      </w:pPr>
      <w:r>
        <w:rPr>
          <w:b/>
          <w:bCs/>
        </w:rPr>
        <w:t xml:space="preserve">Quello che è stato misurato, altrove.</w:t>
      </w:r>
      <w:r>
        <w:t xml:space="preserve"> </w:t>
      </w:r>
      <w:r>
        <w:t xml:space="preserve">Che una mano possa muovere un diaframma non è una congettura. Una tecnica manuale di rilascio diaframmatico è stata confrontata con un trattamento simulato in venti pazienti con broncopneumopatia cronica ostruttiva stabile: mobilità diaframmatica all’ecografia</w:t>
      </w:r>
      <w:r>
        <w:t xml:space="preserve"> </w:t>
      </w:r>
      <w:r>
        <w:rPr>
          <w:b/>
          <w:bCs/>
        </w:rPr>
        <w:t xml:space="preserve">+18 mm</w:t>
      </w:r>
      <w:r>
        <w:t xml:space="preserve"> </w:t>
      </w:r>
      <w:r>
        <w:t xml:space="preserve">(IC 95% 8-28), capacità inspiratoria</w:t>
      </w:r>
      <w:r>
        <w:t xml:space="preserve"> </w:t>
      </w:r>
      <w:r>
        <w:rPr>
          <w:b/>
          <w:bCs/>
        </w:rPr>
        <w:t xml:space="preserve">+330 ml</w:t>
      </w:r>
      <w:r>
        <w:t xml:space="preserve"> </w:t>
      </w:r>
      <w:r>
        <w:t xml:space="preserve">(IC 95% 100-560), con replica in disegno crociato su altri venti (Rocha, 2015, PMID 26386894; Nair, 2019, PMID 30719351).</w:t>
      </w:r>
      <w:r>
        <w:t xml:space="preserve"> </w:t>
      </w:r>
      <w:r>
        <w:rPr>
          <w:i/>
          <w:iCs/>
        </w:rPr>
        <w:t xml:space="preserve">Misurato su venti pazienti con BPCO stabile oltre i sessant’anni, con la mobilità diaframmatica all’ecografia come esito, non su pazienti con gonfiore e non sulla circonferenza addominale.</w:t>
      </w:r>
      <w:r>
        <w:t xml:space="preserve"> </w:t>
      </w:r>
      <w:r>
        <w:t xml:space="preserve">Resta non misurato il passo successivo: dall’escursione alla circonferenza, in questi pazienti.</w:t>
      </w:r>
    </w:p>
    <w:p>
      <w:pPr>
        <w:pStyle w:val="BlockText"/>
      </w:pPr>
      <w:r>
        <w:rPr>
          <w:b/>
          <w:bCs/>
        </w:rPr>
        <w:t xml:space="preserve">Quanto è solido:</w:t>
      </w:r>
      <w:r>
        <w:t xml:space="preserve"> </w:t>
      </w:r>
      <w:r>
        <w:t xml:space="preserve">l’etichetta si spezza. Che una tecnica manuale sul diaframma ne aumenti l’</w:t>
      </w:r>
      <w:r>
        <w:rPr>
          <w:b/>
          <w:bCs/>
        </w:rPr>
        <w:t xml:space="preserve">escursione misurata</w:t>
      </w:r>
      <w:r>
        <w:t xml:space="preserve"> </w:t>
      </w:r>
      <w:r>
        <w:t xml:space="preserve">è</w:t>
      </w:r>
      <w:r>
        <w:t xml:space="preserve"> </w:t>
      </w:r>
      <w:r>
        <w:rPr>
          <w:b/>
          <w:bCs/>
        </w:rPr>
        <w:t xml:space="preserve">PROBABILE</w:t>
      </w:r>
      <w:r>
        <w:t xml:space="preserve"> </w:t>
      </w:r>
      <w:r>
        <w:rPr>
          <w:i/>
          <w:iCs/>
        </w:rPr>
        <w:t xml:space="preserve">(razionale forte, prove parziali)</w:t>
      </w:r>
      <w:r>
        <w:t xml:space="preserve"> </w:t>
      </w:r>
      <w:r>
        <w:t xml:space="preserve">— misurato contro simulato, con il salto di condizione e di popolazione dichiarato sopra. Che questo sposti la</w:t>
      </w:r>
      <w:r>
        <w:t xml:space="preserve"> </w:t>
      </w:r>
      <w:r>
        <w:rPr>
          <w:b/>
          <w:bCs/>
        </w:rPr>
        <w:t xml:space="preserve">distensione</w:t>
      </w:r>
      <w:r>
        <w:t xml:space="preserve"> </w:t>
      </w:r>
      <w:r>
        <w:t xml:space="preserve">in questi pazienti resta</w:t>
      </w:r>
      <w:r>
        <w:t xml:space="preserve"> </w:t>
      </w:r>
      <w:r>
        <w:rPr>
          <w:b/>
          <w:bCs/>
        </w:rPr>
        <w:t xml:space="preserve">IPOTESI</w:t>
      </w:r>
      <w:r>
        <w:t xml:space="preserve"> </w:t>
      </w:r>
      <w:r>
        <w:rPr>
          <w:i/>
          <w:iCs/>
        </w:rPr>
        <w:t xml:space="preserve">(meccanismo coerente, nessuno studio)</w:t>
      </w:r>
      <w:r>
        <w:t xml:space="preserve">: nessuno ha misurato escursione diaframmatica o circonferenza prima e dopo una tecnica manuale in questi pazienti, con un simulato accanto.</w:t>
      </w:r>
    </w:p>
    <w:p>
      <w:pPr>
        <w:pStyle w:val="FirstParagraph"/>
      </w:pPr>
      <w:r>
        <w:rPr>
          <w:b/>
          <w:bCs/>
        </w:rPr>
        <w:t xml:space="preserve">In quanto tempo.</w:t>
      </w:r>
      <w:r>
        <w:t xml:space="preserve"> </w:t>
      </w:r>
      <w:r>
        <w:t xml:space="preserve">L’escursione toraco-addominale, se si muove, si muove dentro la seduta. La differenza mattino-sera della circonferenza chiede settimane, perché dipende da un comportamento che va disimparato.</w:t>
      </w:r>
    </w:p>
    <w:bookmarkEnd w:id="71"/>
    <w:bookmarkStart w:id="72" w:name="X2a7457713d9acb32b914098a225e79b5a5d3988"/>
    <w:p>
      <w:pPr>
        <w:pStyle w:val="Heading3"/>
      </w:pPr>
      <w:r>
        <w:t xml:space="preserve">Sul secondo meccanismo — la parete che non regge</w:t>
      </w:r>
    </w:p>
    <w:p>
      <w:pPr>
        <w:pStyle w:val="FirstParagraph"/>
      </w:pPr>
      <w:r>
        <w:rPr>
          <w:b/>
          <w:bCs/>
        </w:rPr>
        <w:t xml:space="preserve">Su cosa può agire.</w:t>
      </w:r>
      <w:r>
        <w:t xml:space="preserve"> </w:t>
      </w:r>
      <w:r>
        <w:t xml:space="preserve">Sul tono e sul reclutamento della parete anterolaterale, sulla partecipazione del pavimento, e sulla dissociazione fra respiro e contenimento. Qui, a differenza del diaframma, esiste anche una</w:t>
      </w:r>
      <w:r>
        <w:t xml:space="preserve"> </w:t>
      </w:r>
      <w:r>
        <w:rPr>
          <w:b/>
          <w:bCs/>
        </w:rPr>
        <w:t xml:space="preserve">via segmentale</w:t>
      </w:r>
      <w:r>
        <w:t xml:space="preserve">: le afferenze che comandano quella parete arrivano allo stesso livello toraco-lombare su cui appoggi la mano.</w:t>
      </w:r>
      <w:r>
        <w:t xml:space="preserve"> </w:t>
      </w:r>
      <w:r>
        <w:rPr>
          <w:b/>
          <w:bCs/>
        </w:rPr>
        <w:t xml:space="preserve">Che effetto ci si aspetta:</w:t>
      </w:r>
      <w:r>
        <w:t xml:space="preserve"> </w:t>
      </w:r>
      <w:r>
        <w:t xml:space="preserve">che il paziente riesca a contrarre la parete senza trattenere il fiato. È coordinazione, non forza.</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sull’effetto della mano. Che il bersaglio sia quello è DIMOSTRATO</w:t>
      </w:r>
      <w:r>
        <w:t xml:space="preserve"> </w:t>
      </w:r>
      <w:r>
        <w:rPr>
          <w:i/>
          <w:iCs/>
        </w:rPr>
        <w:t xml:space="preserve">(studi sull’uomo, solidi)</w:t>
      </w:r>
      <w:r>
        <w:t xml:space="preserve">, su 12 pazienti e 12 controlli (Tremolaterra, 2006, PMID 16618400).</w:t>
      </w:r>
    </w:p>
    <w:p>
      <w:pPr>
        <w:pStyle w:val="FirstParagraph"/>
      </w:pPr>
      <w:r>
        <w:rPr>
          <w:b/>
          <w:bCs/>
        </w:rPr>
        <w:t xml:space="preserve">In quanto tempo.</w:t>
      </w:r>
      <w:r>
        <w:t xml:space="preserve"> </w:t>
      </w:r>
      <w:r>
        <w:t xml:space="preserve">Dentro la seduta come capacità, nelle settimane come abitudine.</w:t>
      </w:r>
    </w:p>
    <w:bookmarkEnd w:id="72"/>
    <w:bookmarkStart w:id="73" w:name="X875c1ace1be18bd03f819daa8c322e8ff9fc5cc"/>
    <w:p>
      <w:pPr>
        <w:pStyle w:val="Heading3"/>
      </w:pPr>
      <w:r>
        <w:t xml:space="preserve">Sul terzo meccanismo — il gas che resta fermo</w:t>
      </w:r>
    </w:p>
    <w:p>
      <w:pPr>
        <w:pStyle w:val="FirstParagraph"/>
      </w:pPr>
      <w:r>
        <w:rPr>
          <w:b/>
          <w:bCs/>
        </w:rPr>
        <w:t xml:space="preserve">Su cosa può agire.</w:t>
      </w:r>
      <w:r>
        <w:t xml:space="preserve"> </w:t>
      </w:r>
      <w:r>
        <w:t xml:space="preserve">Sulla mobilità della parete e sulla pressione intra-addominale durante il respiro, senza nessun effetto diretto documentato sulla propulsione del gas.</w:t>
      </w:r>
      <w:r>
        <w:t xml:space="preserve"> </w:t>
      </w:r>
      <w:r>
        <w:rPr>
          <w:b/>
          <w:bCs/>
        </w:rPr>
        <w:t xml:space="preserve">Che effetto ci si aspetta:</w:t>
      </w:r>
      <w:r>
        <w:t xml:space="preserve"> </w:t>
      </w:r>
      <w:r>
        <w:t xml:space="preserve">poco, e non dalla mano — qui la leva con prove è il movimento del paziente.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w:t>
      </w:r>
    </w:p>
    <w:bookmarkEnd w:id="73"/>
    <w:bookmarkStart w:id="74" w:name="sul-quarto-meccanismo-la-soglia"/>
    <w:p>
      <w:pPr>
        <w:pStyle w:val="Heading3"/>
      </w:pPr>
      <w:r>
        <w:t xml:space="preserve">Sul quarto meccanismo — la soglia</w:t>
      </w:r>
    </w:p>
    <w:p>
      <w:pPr>
        <w:pStyle w:val="FirstParagraph"/>
      </w:pPr>
      <w:r>
        <w:rPr>
          <w:b/>
          <w:bCs/>
        </w:rPr>
        <w:t xml:space="preserve">Su cosa può agire.</w:t>
      </w:r>
      <w:r>
        <w:t xml:space="preserve"> </w:t>
      </w:r>
      <w:r>
        <w:t xml:space="preserve">Sulla soglia di percezione viscerale.</w:t>
      </w:r>
      <w:r>
        <w:t xml:space="preserve"> </w:t>
      </w:r>
      <w:r>
        <w:rPr>
          <w:b/>
          <w:bCs/>
        </w:rPr>
        <w:t xml:space="preserve">Che effetto ci si aspetta:</w:t>
      </w:r>
      <w:r>
        <w:t xml:space="preserve"> </w:t>
      </w:r>
      <w:r>
        <w:t xml:space="preserve">un innalzamento del volume tollerato, cioè lo stesso contenuto che smette di diventare sintomo.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per le tre ragioni della scheda Neurologico (Attali, 2013, PMID 23981319; Guillaud, 2018, PMID 29452579).</w:t>
      </w:r>
    </w:p>
    <w:p>
      <w:pPr>
        <w:pStyle w:val="FirstParagraph"/>
      </w:pPr>
      <w:r>
        <w:rPr>
          <w:b/>
          <w:bCs/>
        </w:rPr>
        <w:t xml:space="preserve">In quanto tempo, e come si distingue un effetto vero da un’illusione.</w:t>
      </w:r>
      <w:r>
        <w:t xml:space="preserve"> </w:t>
      </w:r>
      <w:r>
        <w:t xml:space="preserve">Dentro la seduta la soglia si sposta per</w:t>
      </w:r>
      <w:r>
        <w:t xml:space="preserve"> </w:t>
      </w:r>
      <w:r>
        <w:rPr>
          <w:b/>
          <w:bCs/>
        </w:rPr>
        <w:t xml:space="preserve">effetto di stato</w:t>
      </w:r>
      <w:r>
        <w:t xml:space="preserve"> </w:t>
      </w:r>
      <w:r>
        <w:t xml:space="preserve">— attenzione e attivazione la muovono in pochi minuti — e torna indietro. Un calo reale dell’amplificazione centrale chiede settimane. Se la soglia si muove in seduta e non nelle settimane, hai spostato lo stato, non la sensibilizzazione. È il coperchio alzato un attimo: la pentola smette di bollire, e il fuoco è rimasto alto.</w:t>
      </w:r>
    </w:p>
    <w:bookmarkEnd w:id="74"/>
    <w:bookmarkStart w:id="75" w:name="sul-quinto-meccanismo-lattivazione"/>
    <w:p>
      <w:pPr>
        <w:pStyle w:val="Heading3"/>
      </w:pPr>
      <w:r>
        <w:t xml:space="preserve">Sul quinto meccanismo — l’attivazione</w:t>
      </w:r>
    </w:p>
    <w:p>
      <w:pPr>
        <w:pStyle w:val="FirstParagraph"/>
      </w:pPr>
      <w:r>
        <w:rPr>
          <w:b/>
          <w:bCs/>
        </w:rPr>
        <w:t xml:space="preserve">Su cosa può agire.</w:t>
      </w:r>
      <w:r>
        <w:t xml:space="preserve"> </w:t>
      </w:r>
      <w:r>
        <w:t xml:space="preserve">Sul livello di attivazione, attraverso il contatto lento, il ritmo del respiro e il tempo dedicato.</w:t>
      </w:r>
    </w:p>
    <w:p>
      <w:pPr>
        <w:pStyle w:val="BodyText"/>
      </w:pPr>
      <w:r>
        <w:rPr>
          <w:b/>
          <w:bCs/>
        </w:rPr>
        <w:t xml:space="preserve">Che effetto ci si aspetta, in due tempi.</w:t>
      </w:r>
      <w:r>
        <w:t xml:space="preserve"> </w:t>
      </w:r>
      <w:r>
        <w:t xml:space="preserve">Dentro la seduta, uno spostamento dello stato, che rende possibile valutare una parete che altrimenti si contrae appena la tocchi. Nelle settimane, e solo per ripetizione, uno spostamento della soglia a cui l’attivazione converte un segnale addominale in sintomo. È la parte che fa dell’attivazione un</w:t>
      </w:r>
      <w:r>
        <w:t xml:space="preserve"> </w:t>
      </w:r>
      <w:r>
        <w:rPr>
          <w:b/>
          <w:bCs/>
        </w:rPr>
        <w:t xml:space="preserve">bersaglio</w:t>
      </w:r>
      <w:r>
        <w:t xml:space="preserve"> </w:t>
      </w:r>
      <w:r>
        <w:t xml:space="preserve">e non solo un mezzo per palpare, e conta nella paziente del secondo pattern.</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con prove contrarie: su 20 studi randomizzati non c’è effetto su ansia e stress, la depressione scende, e la conduttanza cutanea è stimata in aumento con un intervallo che tocca lo zero (Gordon, 2025, PMID 39920074).</w:t>
      </w:r>
      <w:r>
        <w:t xml:space="preserve"> </w:t>
      </w:r>
      <w:r>
        <w:rPr>
          <w:i/>
          <w:iCs/>
        </w:rPr>
        <w:t xml:space="preserve">Popolazioni miste con dolore, non pazienti con gonfiore.</w:t>
      </w:r>
    </w:p>
    <w:bookmarkEnd w:id="75"/>
    <w:bookmarkStart w:id="76" w:name="X313a9305afc17cefd332a43187892ca69ddea55"/>
    <w:p>
      <w:pPr>
        <w:pStyle w:val="Heading3"/>
      </w:pPr>
      <w:r>
        <w:t xml:space="preserve">Cosa fa l’osteopata che il resto del percorso non fa</w:t>
      </w:r>
    </w:p>
    <w:p>
      <w:pPr>
        <w:pStyle w:val="FirstParagraph"/>
      </w:pPr>
      <w:r>
        <w:t xml:space="preserve">Tre cose, e sono tre meccanismi.</w:t>
      </w:r>
      <w:r>
        <w:t xml:space="preserve"> </w:t>
      </w:r>
      <w:r>
        <w:rPr>
          <w:b/>
          <w:bCs/>
        </w:rPr>
        <w:t xml:space="preserve">Misura la forma:</w:t>
      </w:r>
      <w:r>
        <w:t xml:space="preserve"> </w:t>
      </w:r>
      <w:r>
        <w:t xml:space="preserve">la differenza di circonferenza fra mattino e sera è il solo numero che descrive il guasto, e non compare in nessun referto del percorso gastroenterologico.</w:t>
      </w:r>
      <w:r>
        <w:t xml:space="preserve"> </w:t>
      </w:r>
      <w:r>
        <w:rPr>
          <w:b/>
          <w:bCs/>
        </w:rPr>
        <w:t xml:space="preserve">Valuta il contenitore sotto carico:</w:t>
      </w:r>
      <w:r>
        <w:t xml:space="preserve"> </w:t>
      </w:r>
      <w:r>
        <w:t xml:space="preserve">escursione del diaframma e reclutamento della parete non sono l’esito di nessun esame che la paziente ha già fatto.</w:t>
      </w:r>
      <w:r>
        <w:t xml:space="preserve"> </w:t>
      </w:r>
      <w:r>
        <w:rPr>
          <w:b/>
          <w:bCs/>
        </w:rPr>
        <w:t xml:space="preserve">Insegna il verso:</w:t>
      </w:r>
      <w:r>
        <w:t xml:space="preserve"> </w:t>
      </w:r>
      <w:r>
        <w:t xml:space="preserve">la correzione documentata è un apprendimento motorio, e insegnare un movimento è mestiere anche nostro.</w:t>
      </w:r>
    </w:p>
    <w:p>
      <w:pPr>
        <w:pStyle w:val="BodyText"/>
      </w:pPr>
      <w:r>
        <w:t xml:space="preserve">Ce n’è una quarta, ed è la più scomoda:</w:t>
      </w:r>
      <w:r>
        <w:t xml:space="preserve"> </w:t>
      </w:r>
      <w:r>
        <w:rPr>
          <w:b/>
          <w:bCs/>
        </w:rPr>
        <w:t xml:space="preserve">il tempo dedicato non è cornice, è un ingrediente con un numero sopra.</w:t>
      </w:r>
      <w:r>
        <w:t xml:space="preserve"> </w:t>
      </w:r>
      <w:r>
        <w:t xml:space="preserve">In questi pazienti vale 34 punti percentuali di sollievo fra la lista d’attesa e una relazione attenta (Kaptchuk, 2008, PMID 18390493).</w:t>
      </w:r>
      <w:r>
        <w:t xml:space="preserve"> </w:t>
      </w:r>
      <w:r>
        <w:rPr>
          <w:i/>
          <w:iCs/>
        </w:rPr>
        <w:t xml:space="preserve">Su sindrome dell’intestino irritabile e con l’agopuntura simulata come rituale, non con le nostre mani.</w:t>
      </w:r>
      <w:r>
        <w:t xml:space="preserve"> </w:t>
      </w:r>
      <w:r>
        <w:t xml:space="preserve">Va saputo in tutti e due i versi. È la ragione per cui il modo in cui stai in stanza conta, ed è la ragione per cui un miglioramento osservato lì dentro non prova che sia stata la tecnica.</w:t>
      </w:r>
    </w:p>
    <w:p>
      <w:pPr>
        <w:pStyle w:val="BodyText"/>
      </w:pPr>
      <w:r>
        <w:rPr>
          <w:b/>
          <w:bCs/>
        </w:rPr>
        <w:t xml:space="preserve">Il come si fa non è qui. Sta nella Procedura di gonfiore addominale: due pagine, tecniche, dosi e piano delle sedute.</w:t>
      </w:r>
    </w:p>
    <w:p>
      <w:pPr>
        <w:pStyle w:val="BodyText"/>
      </w:pPr>
      <w:r>
        <w:rPr>
          <w:b/>
          <w:bCs/>
        </w:rPr>
        <w:t xml:space="preserve">Le tre cose da ricordare, più una</w:t>
      </w:r>
    </w:p>
    <w:p>
      <w:pPr>
        <w:pStyle w:val="Compact"/>
        <w:numPr>
          <w:ilvl w:val="0"/>
          <w:numId w:val="1021"/>
        </w:numPr>
      </w:pPr>
      <w:r>
        <w:t xml:space="preserve">Tutte e cinque le leve manuali portano IPOTESI. Anche sul primo meccanismo: lì a salire a PROBABILE è il</w:t>
      </w:r>
      <w:r>
        <w:t xml:space="preserve"> </w:t>
      </w:r>
      <w:r>
        <w:rPr>
          <w:b/>
          <w:bCs/>
        </w:rPr>
        <w:t xml:space="preserve">meccanismo</w:t>
      </w:r>
      <w:r>
        <w:t xml:space="preserve"> </w:t>
      </w:r>
      <w:r>
        <w:t xml:space="preserve">— che una mano muova un diaframma — non l’effetto sulla distensione. Dirlo prima di cominciare è ciò che rende accettabile lavorare lo stesso.</w:t>
      </w:r>
    </w:p>
    <w:p>
      <w:pPr>
        <w:pStyle w:val="Compact"/>
        <w:numPr>
          <w:ilvl w:val="0"/>
          <w:numId w:val="1021"/>
        </w:numPr>
      </w:pPr>
      <w:r>
        <w:t xml:space="preserve">Le mani preparano l’apprendimento e offrono il riferimento esterno che il diaframma non possiede. Se il paziente non impara niente, il ciclo si chiude e basta.</w:t>
      </w:r>
    </w:p>
    <w:p>
      <w:pPr>
        <w:pStyle w:val="Compact"/>
        <w:numPr>
          <w:ilvl w:val="0"/>
          <w:numId w:val="1021"/>
        </w:numPr>
      </w:pPr>
      <w:r>
        <w:t xml:space="preserve">Sulla soglia e sull’attivazione, ciò che si muove in seduta è stato; ciò che vale è quello che resta dopo settimane.</w:t>
      </w:r>
    </w:p>
    <w:p>
      <w:pPr>
        <w:pStyle w:val="Compact"/>
        <w:numPr>
          <w:ilvl w:val="0"/>
          <w:numId w:val="1021"/>
        </w:numPr>
      </w:pPr>
      <w:r>
        <w:rPr>
          <w:b/>
          <w:bCs/>
        </w:rPr>
        <w:t xml:space="preserve">Perché ci sei tu.</w:t>
      </w:r>
      <w:r>
        <w:t xml:space="preserve"> </w:t>
      </w:r>
      <w:r>
        <w:t xml:space="preserve">Nella meta-analisi su cinque studi randomizzati il trattamento osteopatico ha battuto il finto trattamento sul dolore addominale e sulla stitichezza.</w:t>
      </w:r>
      <w:r>
        <w:t xml:space="preserve"> </w:t>
      </w:r>
      <w:r>
        <w:rPr>
          <w:b/>
          <w:bCs/>
        </w:rPr>
        <w:t xml:space="preserve">Non</w:t>
      </w:r>
      <w:r>
        <w:t xml:space="preserve"> </w:t>
      </w:r>
      <w:r>
        <w:t xml:space="preserve">l’ha battuto sul punteggio globale di severità, e la qualità dell’evidenza è bassa (Buffone, 2023, PMID 37685480). Questo ti autorizza a dire alla paziente che sul dolore c’è qualcosa. Non ti autorizza a promettere il quadro complessivo.</w:t>
      </w:r>
    </w:p>
    <w:p>
      <w:r>
        <w:pict>
          <v:rect style="width:0;height:1.5pt" o:hralign="center" o:hrstd="t" o:hr="t"/>
        </w:pict>
      </w:r>
    </w:p>
    <w:bookmarkEnd w:id="76"/>
    <w:bookmarkEnd w:id="77"/>
    <w:bookmarkStart w:id="83"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lo strumento con le prove migliori del documento non è il tocco, è un compito motorio respiratorio — e i due studi che lo dimostrano hanno un braccio placebo.</w:t>
      </w:r>
    </w:p>
    <w:p>
      <w:pPr>
        <w:pStyle w:val="FirstParagraph"/>
      </w:pPr>
      <w:r>
        <w:t xml:space="preserve">Quattro strumenti hanno prove sufficienti per stare qui. I primi due sembrano lo stesso esercizio e non lo sono: vanno in direzioni diverse, agiscono su meccanismi diversi, portano etichette diverse. Confonderli è l’errore che questo capitolo esiste per impedire.</w:t>
      </w:r>
    </w:p>
    <w:bookmarkStart w:id="78" w:name="X66e995e75cec20e2bbe195dd3d895159159ddce"/>
    <w:p>
      <w:pPr>
        <w:pStyle w:val="Heading3"/>
      </w:pPr>
      <w:r>
        <w:t xml:space="preserve">1a. Il controllo del verso — la parete si contrae mentre il diaframma risale</w:t>
      </w:r>
    </w:p>
    <w:p>
      <w:pPr>
        <w:pStyle w:val="FirstParagraph"/>
      </w:pPr>
      <w:r>
        <w:rPr>
          <w:b/>
          <w:bCs/>
        </w:rPr>
        <w:t xml:space="preserve">Cos’è.</w:t>
      </w:r>
      <w:r>
        <w:t xml:space="preserve"> </w:t>
      </w:r>
      <w:r>
        <w:t xml:space="preserve">Imparare a rilassare e far risalire il diaframma</w:t>
      </w:r>
      <w:r>
        <w:t xml:space="preserve"> </w:t>
      </w:r>
      <w:r>
        <w:rPr>
          <w:b/>
          <w:bCs/>
        </w:rPr>
        <w:t xml:space="preserve">mentre</w:t>
      </w:r>
      <w:r>
        <w:t xml:space="preserve"> </w:t>
      </w:r>
      <w:r>
        <w:t xml:space="preserve">la parete anteriore si contrae: produrre volontariamente il verso normale dell’accomodazione. Non è la respirazione diaframmatica come la si insegna di solito: quella fa uscire la pancia in inspirazione, cioè fa scendere il diaframma e mollare la parete.</w:t>
      </w:r>
      <w:r>
        <w:t xml:space="preserve"> </w:t>
      </w:r>
      <w:r>
        <w:rPr>
          <w:b/>
          <w:bCs/>
        </w:rPr>
        <w:t xml:space="preserve">È esattamente il guasto del primo meccanismo.</w:t>
      </w:r>
    </w:p>
    <w:p>
      <w:pPr>
        <w:pStyle w:val="BodyText"/>
      </w:pPr>
      <w:r>
        <w:rPr>
          <w:b/>
          <w:bCs/>
        </w:rPr>
        <w:t xml:space="preserve">Su quale meccanismo agisce.</w:t>
      </w:r>
      <w:r>
        <w:t xml:space="preserve"> </w:t>
      </w:r>
      <w:r>
        <w:t xml:space="preserve">Sul tetto che scende, e sul muro che non regge.</w:t>
      </w:r>
    </w:p>
    <w:p>
      <w:pPr>
        <w:pStyle w:val="BodyText"/>
      </w:pPr>
      <w:r>
        <w:rPr>
          <w:b/>
          <w:bCs/>
        </w:rPr>
        <w:t xml:space="preserve">Cosa hanno misurato gli studi.</w:t>
      </w:r>
      <w:r>
        <w:t xml:space="preserve"> </w:t>
      </w:r>
      <w:r>
        <w:t xml:space="preserve">Nel primo randomizzato controllato con placebo, su 42 pazienti</w:t>
      </w:r>
      <w:r>
        <w:t xml:space="preserve"> </w:t>
      </w:r>
      <w:r>
        <w:rPr>
          <w:b/>
          <w:bCs/>
        </w:rPr>
        <w:t xml:space="preserve">il braccio trattato era di 19</w:t>
      </w:r>
      <w:r>
        <w:t xml:space="preserve">: tre sessioni in quattro settimane, con esercizi a casa tre volte al giorno, mentre l’altro braccio prendeva una capsula placebo. Nel braccio trattato l’attività elettrica degli intercostali è scesa dell’82%, quella della parete anteriore è salita del 97%, l’aumento di circonferenza dopo il pasto è stato</w:t>
      </w:r>
      <w:r>
        <w:t xml:space="preserve"> </w:t>
      </w:r>
      <w:r>
        <w:rPr>
          <w:b/>
          <w:bCs/>
        </w:rPr>
        <w:t xml:space="preserve">annullato</w:t>
      </w:r>
      <w:r>
        <w:t xml:space="preserve">, e il punteggio di distensione è calato del 66%. Nulla di tutto questo nel braccio placebo (Barba, 2024, PMID 38467383). Nel secondo studio,</w:t>
      </w:r>
      <w:r>
        <w:t xml:space="preserve"> </w:t>
      </w:r>
      <w:r>
        <w:rPr>
          <w:b/>
          <w:bCs/>
        </w:rPr>
        <w:t xml:space="preserve">48 pazienti</w:t>
      </w:r>
      <w:r>
        <w:t xml:space="preserve">, tre sessioni in dieci giorni, confronto con</w:t>
      </w:r>
      <w:r>
        <w:t xml:space="preserve"> </w:t>
      </w:r>
      <w:r>
        <w:rPr>
          <w:b/>
          <w:bCs/>
        </w:rPr>
        <w:t xml:space="preserve">simeticone</w:t>
      </w:r>
      <w:r>
        <w:t xml:space="preserve">: intercostali −45% contro −5%, parete anteriore +101% contro −4%, distensione riferita −56% contro −13% (Barba, 2017, PMID 28705783). In uno studio precedente il biofeedback ha ridotto la circonferenza di 25 mm</w:t>
      </w:r>
      <w:r>
        <w:t xml:space="preserve"> </w:t>
      </w:r>
      <w:r>
        <w:rPr>
          <w:b/>
          <w:bCs/>
        </w:rPr>
        <w:t xml:space="preserve">in 15 dei 45 pazienti</w:t>
      </w:r>
      <w:r>
        <w:t xml:space="preserve"> </w:t>
      </w:r>
      <w:r>
        <w:t xml:space="preserve">di quella coorte (Barba, 2015, PMID 25500424).</w:t>
      </w:r>
    </w:p>
    <w:p>
      <w:pPr>
        <w:pStyle w:val="BodyText"/>
      </w:pPr>
      <w:r>
        <w:rPr>
          <w:b/>
          <w:bCs/>
        </w:rPr>
        <w:t xml:space="preserve">Per te:</w:t>
      </w:r>
      <w:r>
        <w:t xml:space="preserve"> </w:t>
      </w:r>
      <w:r>
        <w:t xml:space="preserve">il braccio trattato del primo studio era di</w:t>
      </w:r>
      <w:r>
        <w:t xml:space="preserve"> </w:t>
      </w:r>
      <w:r>
        <w:rPr>
          <w:b/>
          <w:bCs/>
        </w:rPr>
        <w:t xml:space="preserve">19 persone</w:t>
      </w:r>
      <w:r>
        <w:t xml:space="preserve">, in un solo centro. Un effetto grande in diciannove pazienti è una ragione per studiare quella leva, non per darla per acquisita.</w:t>
      </w:r>
    </w:p>
    <w:p>
      <w:pPr>
        <w:pStyle w:val="BodyText"/>
      </w:pPr>
      <w:r>
        <w:rPr>
          <w:b/>
          <w:bCs/>
        </w:rPr>
        <w:t xml:space="preserve">Cosa dicono le linee guida.</w:t>
      </w:r>
      <w:r>
        <w:t xml:space="preserve"> </w:t>
      </w:r>
      <w:r>
        <w:t xml:space="preserve">L’aggiornamento americano scrive che il</w:t>
      </w:r>
      <w:r>
        <w:t xml:space="preserve"> </w:t>
      </w:r>
      <w:r>
        <w:rPr>
          <w:b/>
          <w:bCs/>
        </w:rPr>
        <w:t xml:space="preserve">respiro diaframmatico</w:t>
      </w:r>
      <w:r>
        <w:t xml:space="preserve"> </w:t>
      </w:r>
      <w:r>
        <w:t xml:space="preserve">è usato per trattare la dissinergia addomino-frenica (Moshiree, 2023, PMID 37452811). Il consenso europeo elenca fra i trattamenti il</w:t>
      </w:r>
      <w:r>
        <w:t xml:space="preserve"> </w:t>
      </w:r>
      <w:r>
        <w:rPr>
          <w:b/>
          <w:bCs/>
        </w:rPr>
        <w:t xml:space="preserve">biofeedback pletismografico</w:t>
      </w:r>
      <w:r>
        <w:t xml:space="preserve"> </w:t>
      </w:r>
      <w:r>
        <w:t xml:space="preserve">(Melchior, 2025, PMID 40844856). Sono pareri di esperti, non meta-analisi, e nessuno dei due nomina l’osteopata come erogatore.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sull’esito, con due limiti dichiarati. Il</w:t>
      </w:r>
      <w:r>
        <w:t xml:space="preserve"> </w:t>
      </w:r>
      <w:r>
        <w:rPr>
          <w:b/>
          <w:bCs/>
        </w:rPr>
        <w:t xml:space="preserve">salto di erogatore e di strumento</w:t>
      </w:r>
      <w:r>
        <w:t xml:space="preserve">: in tutti gli studi il paziente era guidato da un segnale elettromiografico o pletismografico in un laboratorio di motilità, non da un osteopata e non a mani nude. E i due randomizzati vengono dallo</w:t>
      </w:r>
      <w:r>
        <w:t xml:space="preserve"> </w:t>
      </w:r>
      <w:r>
        <w:rPr>
          <w:b/>
          <w:bCs/>
        </w:rPr>
        <w:t xml:space="preserve">stesso gruppo e dallo stesso centro</w:t>
      </w:r>
      <w:r>
        <w:t xml:space="preserve">, con una capsula come confronto in uno dei due.</w:t>
      </w:r>
    </w:p>
    <w:p>
      <w:pPr>
        <w:pStyle w:val="FirstParagraph"/>
      </w:pPr>
      <w:r>
        <w:rPr>
          <w:b/>
          <w:bCs/>
        </w:rPr>
        <w:t xml:space="preserve">Cosa non fa.</w:t>
      </w:r>
      <w:r>
        <w:t xml:space="preserve"> </w:t>
      </w:r>
      <w:r>
        <w:t xml:space="preserve">Non riduce il gas, e non serve a chi si sente gonfio senza distendersi. Insegnato nel verso sbagliato produce l’opposto: a sedici volontarie sane è stato insegnato il movimento contrario, e in trenta secondi hanno prodotto 32 mm di circonferenza in più (Livovsky, 2021, PMID 33670508).</w:t>
      </w:r>
      <w:r>
        <w:t xml:space="preserve"> </w:t>
      </w:r>
      <w:r>
        <w:rPr>
          <w:b/>
          <w:bCs/>
        </w:rPr>
        <w:t xml:space="preserve">Il verso conta più della frequenza.</w:t>
      </w:r>
      <w:r>
        <w:t xml:space="preserve"> </w:t>
      </w:r>
      <w:r>
        <w:t xml:space="preserve">È la chiave girata dalla parte sbagliata: la giri quanto vuoi, e la porta non si apre.</w:t>
      </w:r>
    </w:p>
    <w:p>
      <w:pPr>
        <w:pStyle w:val="BodyText"/>
      </w:pPr>
      <w:r>
        <w:rPr>
          <w:b/>
          <w:bCs/>
        </w:rPr>
        <w:t xml:space="preserve">Cosa non sappiamo.</w:t>
      </w:r>
      <w:r>
        <w:t xml:space="preserve"> </w:t>
      </w:r>
      <w:r>
        <w:t xml:space="preserve">Nessuno studio ha osservato questi pazienti</w:t>
      </w:r>
      <w:r>
        <w:t xml:space="preserve"> </w:t>
      </w:r>
      <w:r>
        <w:rPr>
          <w:b/>
          <w:bCs/>
        </w:rPr>
        <w:t xml:space="preserve">dopo</w:t>
      </w:r>
      <w:r>
        <w:t xml:space="preserve"> </w:t>
      </w:r>
      <w:r>
        <w:t xml:space="preserve">che hanno smesso di praticare: le misure coprono il ciclo, non quello che viene dopo.</w:t>
      </w:r>
    </w:p>
    <w:bookmarkEnd w:id="78"/>
    <w:bookmarkStart w:id="79" w:name="X179169dd70eb9f3bb0c9bb1557c3370eda4aedb"/>
    <w:p>
      <w:pPr>
        <w:pStyle w:val="Heading3"/>
      </w:pPr>
      <w:r>
        <w:t xml:space="preserve">1b. Il respiro lento generico — un’altra cosa, su un altro meccanismo</w:t>
      </w:r>
    </w:p>
    <w:p>
      <w:pPr>
        <w:pStyle w:val="FirstParagraph"/>
      </w:pPr>
      <w:r>
        <w:rPr>
          <w:b/>
          <w:bCs/>
        </w:rPr>
        <w:t xml:space="preserve">Cos’è.</w:t>
      </w:r>
      <w:r>
        <w:t xml:space="preserve"> </w:t>
      </w:r>
      <w:r>
        <w:t xml:space="preserve">Respirazione lenta praticata per pochi minuti più volte al giorno, senza il vincolo del verso. Non agisce sulla forma, ma sullo stato e sulla soglia.</w:t>
      </w:r>
      <w:r>
        <w:t xml:space="preserve"> </w:t>
      </w:r>
      <w:r>
        <w:rPr>
          <w:b/>
          <w:bCs/>
        </w:rPr>
        <w:t xml:space="preserve">Su quale meccanismo agisce:</w:t>
      </w:r>
      <w:r>
        <w:t xml:space="preserve"> </w:t>
      </w:r>
      <w:r>
        <w:t xml:space="preserve">sulla soglia, e sul sale a fine cottura. È lo strumento che il secondo pattern, quello con il metro fermo, altrimenti non avrebbe.</w:t>
      </w:r>
    </w:p>
    <w:p>
      <w:pPr>
        <w:pStyle w:val="BodyText"/>
      </w:pPr>
      <w:r>
        <w:rPr>
          <w:b/>
          <w:bCs/>
        </w:rPr>
        <w:t xml:space="preserve">Cosa hanno misurato gli studi.</w:t>
      </w:r>
      <w:r>
        <w:t xml:space="preserve"> </w:t>
      </w:r>
      <w:r>
        <w:t xml:space="preserve">In uno studio randomizzato</w:t>
      </w:r>
      <w:r>
        <w:t xml:space="preserve"> </w:t>
      </w:r>
      <w:r>
        <w:rPr>
          <w:b/>
          <w:bCs/>
        </w:rPr>
        <w:t xml:space="preserve">senza braccio placebo</w:t>
      </w:r>
      <w:r>
        <w:t xml:space="preserve">, 85 partecipanti hanno praticato esercizi di respiro per tre minuti, tre volte al giorno, per sei settimane. Erano guidati da un dispositivo o da istruzioni scritte. Il gonfiore è migliorato in entrambi i gruppi, senza differenza, e il predittore di risposta era l’</w:t>
      </w:r>
      <w:r>
        <w:rPr>
          <w:b/>
          <w:bCs/>
        </w:rPr>
        <w:t xml:space="preserve">ansia di partenza più alta</w:t>
      </w:r>
      <w:r>
        <w:t xml:space="preserve"> </w:t>
      </w:r>
      <w:r>
        <w:t xml:space="preserve">(Chakraborty, 2025, PMID 41323646). Sul meccanismo, nella revisione più ampia — 223 studi — il respiro lento aumenta gli indici vagali di variabilità cardiaca (Laborde, 2022, PMID 35623448);</w:t>
      </w:r>
      <w:r>
        <w:t xml:space="preserve"> </w:t>
      </w:r>
      <w:r>
        <w:rPr>
          <w:i/>
          <w:iCs/>
        </w:rPr>
        <w:t xml:space="preserve">su soggetti sani, non su pazienti con gonfiore.</w:t>
      </w:r>
    </w:p>
    <w:p>
      <w:pPr>
        <w:pStyle w:val="BlockText"/>
      </w:pPr>
      <w:r>
        <w:rPr>
          <w:b/>
          <w:bCs/>
        </w:rPr>
        <w:t xml:space="preserve">Quanto è solido:</w:t>
      </w:r>
      <w:r>
        <w:t xml:space="preserve"> </w:t>
      </w:r>
      <w:r>
        <w:t xml:space="preserve">l’etichetta si spezza. Che il respiro lento aumenti il tono vagale è</w:t>
      </w:r>
      <w:r>
        <w:t xml:space="preserve"> </w:t>
      </w:r>
      <w:r>
        <w:rPr>
          <w:b/>
          <w:bCs/>
        </w:rPr>
        <w:t xml:space="preserve">PROBABILE</w:t>
      </w:r>
      <w:r>
        <w:t xml:space="preserve"> </w:t>
      </w:r>
      <w:r>
        <w:rPr>
          <w:i/>
          <w:iCs/>
        </w:rPr>
        <w:t xml:space="preserve">(razionale forte, prove parziali)</w:t>
      </w:r>
      <w:r>
        <w:t xml:space="preserve">, con salto di popolazione dichiarato. Che questo migliori il gonfiore è</w:t>
      </w:r>
      <w:r>
        <w:t xml:space="preserve"> </w:t>
      </w:r>
      <w:r>
        <w:rPr>
          <w:b/>
          <w:bCs/>
        </w:rPr>
        <w:t xml:space="preserve">IPOTESI</w:t>
      </w:r>
      <w:r>
        <w:t xml:space="preserve"> </w:t>
      </w:r>
      <w:r>
        <w:rPr>
          <w:i/>
          <w:iCs/>
        </w:rPr>
        <w:t xml:space="preserve">(meccanismo coerente, nessuno studio)</w:t>
      </w:r>
      <w:r>
        <w:t xml:space="preserve">: un solo studio randomizzato, senza braccio placebo, in cui entrambi i gruppi erano attivi e sapevano di essere trattati.</w:t>
      </w:r>
    </w:p>
    <w:p>
      <w:pPr>
        <w:pStyle w:val="FirstParagraph"/>
      </w:pPr>
      <w:r>
        <w:rPr>
          <w:b/>
          <w:bCs/>
        </w:rPr>
        <w:t xml:space="preserve">Cosa non fa.</w:t>
      </w:r>
      <w:r>
        <w:t xml:space="preserve"> </w:t>
      </w:r>
      <w:r>
        <w:t xml:space="preserve">Non corregge il verso, e non va confuso con lo strumento 1a: se il paziente lo pratica facendo uscire la pancia, sta allenando il guasto. Chi ha il metro che si muove ha bisogno di 1a; chi ha il metro fermo ha bisogno di 1b.</w:t>
      </w:r>
    </w:p>
    <w:bookmarkEnd w:id="79"/>
    <w:bookmarkStart w:id="80" w:name="il-movimento-leggero"/>
    <w:p>
      <w:pPr>
        <w:pStyle w:val="Heading3"/>
      </w:pPr>
      <w:r>
        <w:t xml:space="preserve">2. Il movimento leggero</w:t>
      </w:r>
    </w:p>
    <w:p>
      <w:pPr>
        <w:pStyle w:val="FirstParagraph"/>
      </w:pPr>
      <w:r>
        <w:rPr>
          <w:b/>
          <w:bCs/>
        </w:rPr>
        <w:t xml:space="preserve">Cos’è.</w:t>
      </w:r>
      <w:r>
        <w:t xml:space="preserve"> </w:t>
      </w:r>
      <w:r>
        <w:t xml:space="preserve">Attività fisica di bassa intensità.</w:t>
      </w:r>
      <w:r>
        <w:t xml:space="preserve"> </w:t>
      </w:r>
      <w:r>
        <w:rPr>
          <w:b/>
          <w:bCs/>
        </w:rPr>
        <w:t xml:space="preserve">Su quale meccanismo agisce:</w:t>
      </w:r>
      <w:r>
        <w:t xml:space="preserve"> </w:t>
      </w:r>
      <w:r>
        <w:t xml:space="preserve">sulla stessa aria, spinta più piano.</w:t>
      </w:r>
    </w:p>
    <w:p>
      <w:pPr>
        <w:pStyle w:val="BodyText"/>
      </w:pPr>
      <w:r>
        <w:rPr>
          <w:b/>
          <w:bCs/>
        </w:rPr>
        <w:t xml:space="preserve">Cosa hanno misurato gli studi.</w:t>
      </w:r>
      <w:r>
        <w:t xml:space="preserve"> </w:t>
      </w:r>
      <w:r>
        <w:t xml:space="preserve">In otto pazienti con gonfiore, dopo infusione di gas nel digiuno, la ritenzione è stata del 45% a riposo e del 24% durante un pedalare leggero</w:t>
      </w:r>
      <w:r>
        <w:t xml:space="preserve"> </w:t>
      </w:r>
      <w:r>
        <w:rPr>
          <w:b/>
          <w:bCs/>
        </w:rPr>
        <w:t xml:space="preserve">da supino</w:t>
      </w:r>
      <w:r>
        <w:t xml:space="preserve"> </w:t>
      </w:r>
      <w:r>
        <w:t xml:space="preserve">(Villoria, 2006, PMID 17029608). Altri 102 pazienti con sindrome dell’intestino irritabile sono stati randomizzati ad aumentare l’attività fisica o a mantenere lo stile di vita. Fra i</w:t>
      </w:r>
      <w:r>
        <w:t xml:space="preserve"> </w:t>
      </w:r>
      <w:r>
        <w:rPr>
          <w:b/>
          <w:bCs/>
        </w:rPr>
        <w:t xml:space="preserve">75 che hanno completato</w:t>
      </w:r>
      <w:r>
        <w:t xml:space="preserve">, il punteggio di severità è migliorato di 51 punti contro 5 (Johannesson, 2011, PMID 21206488). Nessuno dei due ha misurato il</w:t>
      </w:r>
      <w:r>
        <w:t xml:space="preserve"> </w:t>
      </w:r>
      <w:r>
        <w:rPr>
          <w:b/>
          <w:bCs/>
        </w:rPr>
        <w:t xml:space="preserve">momento</w:t>
      </w:r>
      <w:r>
        <w:t xml:space="preserve"> </w:t>
      </w:r>
      <w:r>
        <w:t xml:space="preserve">in cui il movimento si fa: la finestra dopo il pasto è un’estrapolazione, non un dato.</w:t>
      </w:r>
    </w:p>
    <w:p>
      <w:pPr>
        <w:pStyle w:val="BlockText"/>
      </w:pPr>
      <w:r>
        <w:rPr>
          <w:b/>
          <w:bCs/>
        </w:rPr>
        <w:t xml:space="preserve">Quanto è solido:</w:t>
      </w:r>
      <w:r>
        <w:t xml:space="preserve"> </w:t>
      </w:r>
      <w:r>
        <w:t xml:space="preserve">l’etichetta si spezza. Sulla ritenzione di gas è</w:t>
      </w:r>
      <w:r>
        <w:t xml:space="preserve"> </w:t>
      </w:r>
      <w:r>
        <w:rPr>
          <w:b/>
          <w:bCs/>
        </w:rPr>
        <w:t xml:space="preserve">PROBABILE</w:t>
      </w:r>
      <w:r>
        <w:t xml:space="preserve"> </w:t>
      </w:r>
      <w:r>
        <w:rPr>
          <w:i/>
          <w:iCs/>
        </w:rPr>
        <w:t xml:space="preserve">(razionale forte, prove parziali)</w:t>
      </w:r>
      <w:r>
        <w:t xml:space="preserve">, con otto pazienti in un modello sperimentale. Sul sintomo intestinale globale è</w:t>
      </w:r>
      <w:r>
        <w:t xml:space="preserve"> </w:t>
      </w:r>
      <w:r>
        <w:rPr>
          <w:b/>
          <w:bCs/>
        </w:rPr>
        <w:t xml:space="preserve">PROBABILE</w:t>
      </w:r>
      <w:r>
        <w:t xml:space="preserve"> </w:t>
      </w:r>
      <w:r>
        <w:rPr>
          <w:i/>
          <w:iCs/>
        </w:rPr>
        <w:t xml:space="preserve">(razionale forte, prove parziali)</w:t>
      </w:r>
      <w:r>
        <w:t xml:space="preserve">: un solo studio randomizzato, non in cieco, senza intervento finto, con il gruppo di controllo istruito a non cambiare nulla, e con il</w:t>
      </w:r>
      <w:r>
        <w:t xml:space="preserve"> </w:t>
      </w:r>
      <w:r>
        <w:rPr>
          <w:b/>
          <w:bCs/>
        </w:rPr>
        <w:t xml:space="preserve">salto di condizione</w:t>
      </w:r>
      <w:r>
        <w:t xml:space="preserve"> </w:t>
      </w:r>
      <w:r>
        <w:t xml:space="preserve">dichiarato.</w:t>
      </w:r>
    </w:p>
    <w:p>
      <w:pPr>
        <w:pStyle w:val="FirstParagraph"/>
      </w:pPr>
      <w:r>
        <w:rPr>
          <w:b/>
          <w:bCs/>
        </w:rPr>
        <w:t xml:space="preserve">In quanto tempo.</w:t>
      </w:r>
      <w:r>
        <w:t xml:space="preserve"> </w:t>
      </w:r>
      <w:r>
        <w:t xml:space="preserve">La ritenzione di gas scende mentre il paziente si muove e risale quando smette. Il punteggio dei sintomi si muove nelle settimane, ed è un effetto di ripetizione.</w:t>
      </w:r>
    </w:p>
    <w:p>
      <w:pPr>
        <w:pStyle w:val="BodyText"/>
      </w:pPr>
      <w:r>
        <w:rPr>
          <w:b/>
          <w:bCs/>
        </w:rPr>
        <w:t xml:space="preserve">Cosa non fa.</w:t>
      </w:r>
      <w:r>
        <w:t xml:space="preserve"> </w:t>
      </w:r>
      <w:r>
        <w:t xml:space="preserve">Non corregge il pattern motorio: nello studio sul pedalare la distensione restava proporzionale al gas trattenuto. E non sostituisce lo strumento 1a nei tre quarti di pazienti in cui il gas è normale. Manca anche qui l’osservazione dopo la sospensione, e l’aderenza è un problema reale: in quello studio</w:t>
      </w:r>
      <w:r>
        <w:t xml:space="preserve"> </w:t>
      </w:r>
      <w:r>
        <w:rPr>
          <w:b/>
          <w:bCs/>
        </w:rPr>
        <w:t xml:space="preserve">27 pazienti su 102 non sono arrivati alla fine</w:t>
      </w:r>
      <w:r>
        <w:t xml:space="preserve">.</w:t>
      </w:r>
    </w:p>
    <w:bookmarkEnd w:id="80"/>
    <w:bookmarkStart w:id="82" w:name="X4cd1fca712a848d9fa0e31a4342fef535165341"/>
    <w:p>
      <w:pPr>
        <w:pStyle w:val="Heading3"/>
      </w:pPr>
      <w:r>
        <w:t xml:space="preserve">3. La riduzione dei carboidrati fermentabili — con l’erogatore dichiarato</w:t>
      </w:r>
    </w:p>
    <w:p>
      <w:pPr>
        <w:pStyle w:val="FirstParagraph"/>
      </w:pPr>
      <w:r>
        <w:rPr>
          <w:b/>
          <w:bCs/>
        </w:rPr>
        <w:t xml:space="preserve">Cos’è.</w:t>
      </w:r>
      <w:r>
        <w:t xml:space="preserve"> </w:t>
      </w:r>
      <w:r>
        <w:t xml:space="preserve">La riduzione temporanea e guidata dei carboidrati fermentabili, con reintroduzione strutturata.</w:t>
      </w:r>
      <w:r>
        <w:t xml:space="preserve"> </w:t>
      </w:r>
      <w:r>
        <w:rPr>
          <w:b/>
          <w:bCs/>
        </w:rPr>
        <w:t xml:space="preserve">Su quale meccanismo agisce:</w:t>
      </w:r>
      <w:r>
        <w:t xml:space="preserve"> </w:t>
      </w:r>
      <w:r>
        <w:t xml:space="preserve">sulla stessa aria, spinta più piano — e solo nel sottogruppo in cui il gas è davvero aumentato.</w:t>
      </w:r>
    </w:p>
    <w:p>
      <w:pPr>
        <w:pStyle w:val="BodyText"/>
      </w:pPr>
      <w:r>
        <w:rPr>
          <w:b/>
          <w:bCs/>
        </w:rPr>
        <w:t xml:space="preserve">Cosa hanno misurato gli studi.</w:t>
      </w:r>
      <w:r>
        <w:t xml:space="preserve"> </w:t>
      </w:r>
      <w:r>
        <w:t xml:space="preserve">C’è una meta-analisi a rete di 28 studi randomizzati e 2.338 pazienti. Sul gonfiore e sulla distensione,</w:t>
      </w:r>
      <w:r>
        <w:t xml:space="preserve"> </w:t>
      </w:r>
      <w:r>
        <w:rPr>
          <w:b/>
          <w:bCs/>
        </w:rPr>
        <w:t xml:space="preserve">fra le sei diete studiate in più di un trial solo la dieta a basso contenuto di FODMAP ha battuto la dieta abituale</w:t>
      </w:r>
      <w:r>
        <w:t xml:space="preserve">. Il rischio relativo di non migliorare è 0,55, con intervallo 0,37-0,80, su 23 studi, e con confidenza moderata. Delle altre cinque, valutate in un solo studio ciascuna, non si può dire né che funzionino né che non funzionino (Cuffe e Ford, 2025, PMID 40258374).</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con due salti dichiarati. Di</w:t>
      </w:r>
      <w:r>
        <w:t xml:space="preserve"> </w:t>
      </w:r>
      <w:r>
        <w:rPr>
          <w:b/>
          <w:bCs/>
        </w:rPr>
        <w:t xml:space="preserve">condizione</w:t>
      </w:r>
      <w:r>
        <w:t xml:space="preserve">: gli studi sono su sindrome dell’intestino irritabile. Di</w:t>
      </w:r>
      <w:r>
        <w:t xml:space="preserve"> </w:t>
      </w:r>
      <w:r>
        <w:rPr>
          <w:b/>
          <w:bCs/>
        </w:rPr>
        <w:t xml:space="preserve">erogatore</w:t>
      </w:r>
      <w:r>
        <w:t xml:space="preserve">, ed è quello che conta per te: la dieta è erogata e monitorata da un dietista, e le linee guida lo scrivono esplicitamente (Moshiree, 2023, PMID 37452811). Non è tua da prescrivere in nessuna forma.</w:t>
      </w:r>
    </w:p>
    <w:p>
      <w:pPr>
        <w:pStyle w:val="FirstParagraph"/>
      </w:pPr>
      <w:r>
        <w:rPr>
          <w:b/>
          <w:bCs/>
        </w:rPr>
        <w:t xml:space="preserve">Cosa non fa.</w:t>
      </w:r>
      <w:r>
        <w:t xml:space="preserve"> </w:t>
      </w:r>
      <w:r>
        <w:t xml:space="preserve">Non risolve la distensione visibile quando il gas è normale, ed è la ragione per cui la tua paziente ha eliminato mezza tavola senza risultato. Quando smette, i sintomi tornano nella misura in cui la fermentazione li produceva. E una restrizione lasciata a se stessa può diventare il problema.</w:t>
      </w:r>
    </w:p>
    <w:p>
      <w:pPr>
        <w:pStyle w:val="BodyText"/>
      </w:pPr>
      <w:r>
        <w:rPr>
          <w:b/>
          <w:bCs/>
        </w:rPr>
        <w:t xml:space="preserve">Come e quando consegnare al tuo paziente ognuno di questi quattro strumenti sta nella Procedura.</w:t>
      </w:r>
    </w:p>
    <w:p>
      <w:pPr>
        <w:pStyle w:val="BodyText"/>
      </w:pPr>
      <w:r>
        <w:rPr>
          <w:b/>
          <w:bCs/>
        </w:rPr>
        <w:t xml:space="preserve">Le tre cose da ricordare, più una</w:t>
      </w:r>
    </w:p>
    <w:p>
      <w:pPr>
        <w:pStyle w:val="Compact"/>
        <w:numPr>
          <w:ilvl w:val="0"/>
          <w:numId w:val="1022"/>
        </w:numPr>
      </w:pPr>
      <w:r>
        <w:t xml:space="preserve">Lo strumento con le prove migliori del documento è un esercizio, non una tecnica.</w:t>
      </w:r>
    </w:p>
    <w:p>
      <w:pPr>
        <w:pStyle w:val="Compact"/>
        <w:numPr>
          <w:ilvl w:val="0"/>
          <w:numId w:val="1022"/>
        </w:numPr>
      </w:pPr>
      <w:r>
        <w:rPr>
          <w:b/>
          <w:bCs/>
        </w:rPr>
        <w:t xml:space="preserve">1a e 1b non sono lo stesso esercizio.</w:t>
      </w:r>
      <w:r>
        <w:t xml:space="preserve"> </w:t>
      </w:r>
      <w:r>
        <w:t xml:space="preserve">Uno corregge il verso e serve al metro che si muove; l’altro abbassa l’attivazione e serve al metro fermo. Insegnare il secondo al posto del primo allena il guasto.</w:t>
      </w:r>
    </w:p>
    <w:p>
      <w:pPr>
        <w:pStyle w:val="Compact"/>
        <w:numPr>
          <w:ilvl w:val="0"/>
          <w:numId w:val="1022"/>
        </w:numPr>
      </w:pPr>
      <w:r>
        <w:t xml:space="preserve">La dieta con prove esiste, e non è tua da dare. Dirlo è più utile che tacerlo.</w:t>
      </w:r>
    </w:p>
    <w:p>
      <w:pPr>
        <w:pStyle w:val="Heading2"/>
        <w:numPr>
          <w:ilvl w:val="0"/>
          <w:numId w:val="1022"/>
        </w:numPr>
      </w:pPr>
      <w:bookmarkStart w:id="81" w:name="X33b4fae2cdbb821a2d5d436b70c6a68a083c5a9"/>
      <w:r>
        <w:rPr>
          <w:b/>
          <w:bCs/>
        </w:rPr>
        <w:t xml:space="preserve">Perché ci sei tu.</w:t>
      </w:r>
      <w:r>
        <w:t xml:space="preserve"> </w:t>
      </w:r>
      <w:r>
        <w:t xml:space="preserve">In 85 partecipanti randomizzati, le sole</w:t>
      </w:r>
      <w:r>
        <w:t xml:space="preserve"> </w:t>
      </w:r>
      <w:r>
        <w:rPr>
          <w:b/>
          <w:bCs/>
        </w:rPr>
        <w:t xml:space="preserve">istruzioni scritte</w:t>
      </w:r>
      <w:r>
        <w:t xml:space="preserve"> </w:t>
      </w:r>
      <w:r>
        <w:t xml:space="preserve">sul respiro hanno migliorato il gonfiore quanto un dispositivo dedicato (Chakraborty, 2025, PMID 41323646). Questo ti autorizza a dire che una versione generica del respiro, consegnata senza attrezzatura, migliora il gonfiore riferito. Non ti autorizza a dedurne che il compito motorio di Barba si trasmetta senza segnale: quello nessuno l’ha verificato, e quello studio non aveva nemmeno un braccio placebo.</w:t>
      </w:r>
      <w:bookmarkEnd w:id="81"/>
    </w:p>
    <w:bookmarkEnd w:id="82"/>
    <w:bookmarkEnd w:id="83"/>
    <w:bookmarkStart w:id="88"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frase che le cambia la giornata non è una promessa, è una spiegazione — perché per tre anni nessuno gliel’ha data.</w:t>
      </w:r>
    </w:p>
    <w:bookmarkStart w:id="84" w:name="lo-script-di-spiegazione"/>
    <w:p>
      <w:pPr>
        <w:pStyle w:val="Heading3"/>
      </w:pPr>
      <w:r>
        <w:t xml:space="preserve">Lo script di spiegazione</w:t>
      </w:r>
    </w:p>
    <w:p>
      <w:pPr>
        <w:pStyle w:val="FirstParagraph"/>
      </w:pPr>
      <w:r>
        <w:rPr>
          <w:i/>
          <w:iCs/>
        </w:rPr>
        <w:t xml:space="preserve">«La tua pancia è una stanza con un tetto che si muove: è il muscolo che usi per respirare. Quando mangi, quel tetto dovrebbe salire e fare spazio, e i muscoli davanti tenere la forma. Nel tuo quadro succede spesso il contrario, e quello che ho trovato oggi va in quella direzione: non è entrato di più, è la forma a essere cambiata. Ecco perché togliere cibi non è bastato. Io lavoro su quel muscolo e su come risponde la parete, e misuriamo se cambia. Il gonfiore resta da inquadrare col tuo medico, e nel frattempo io non aspetto.»</w:t>
      </w:r>
    </w:p>
    <w:bookmarkEnd w:id="84"/>
    <w:bookmarkStart w:id="85" w:name="le-obiezioni-e-le-risposte-oneste"/>
    <w:p>
      <w:pPr>
        <w:pStyle w:val="Heading3"/>
      </w:pPr>
      <w:r>
        <w:t xml:space="preserve">Le obiezioni, e le risposte oneste</w:t>
      </w:r>
    </w:p>
    <w:p>
      <w:pPr>
        <w:pStyle w:val="FirstParagraph"/>
      </w:pPr>
      <w:r>
        <w:rPr>
          <w:b/>
          <w:bCs/>
        </w:rPr>
        <w:t xml:space="preserve">«Ho già tolto glutine, lattosio e mezzo mondo.»</w:t>
      </w:r>
      <w:r>
        <w:t xml:space="preserve"> </w:t>
      </w:r>
      <w:r>
        <w:rPr>
          <w:i/>
          <w:iCs/>
        </w:rPr>
        <w:t xml:space="preserve">«E sei ancora gonfia: la variabile non era quella. Quando hanno guardato con la TAC persone che si gonfiavano dopo un alimento, il gas non era aumentato: era sceso il diaframma. Una cosa la dico al tuo medico: il glutine tolto prima del test rende inaffidabile l’esame della celiachia, e decide lui cosa farne.»</w:t>
      </w:r>
    </w:p>
    <w:p>
      <w:pPr>
        <w:pStyle w:val="BodyText"/>
      </w:pPr>
      <w:r>
        <w:rPr>
          <w:b/>
          <w:bCs/>
        </w:rPr>
        <w:t xml:space="preserve">«Gli esami sono tutti negativi.»</w:t>
      </w:r>
      <w:r>
        <w:t xml:space="preserve"> </w:t>
      </w:r>
      <w:r>
        <w:rPr>
          <w:i/>
          <w:iCs/>
        </w:rPr>
        <w:t xml:space="preserve">«È la notizia migliore che hai ricevuto per le malattie che quegli esami cercano — ma non le cercano tutte, e come si muove la tua pancia lì non si vede. Io lavoro sulla meccanica che trovo, e il tuo medico resta quello che inquadra il sintomo.»</w:t>
      </w:r>
    </w:p>
    <w:p>
      <w:pPr>
        <w:pStyle w:val="BodyText"/>
      </w:pPr>
      <w:r>
        <w:rPr>
          <w:b/>
          <w:bCs/>
        </w:rPr>
        <w:t xml:space="preserve">«È colon irritabile, mi hanno detto di conviverci.»</w:t>
      </w:r>
      <w:r>
        <w:t xml:space="preserve"> </w:t>
      </w:r>
      <w:r>
        <w:rPr>
          <w:i/>
          <w:iCs/>
        </w:rPr>
        <w:t xml:space="preserve">«Quel nome descrive, non spiega. La domanda utile è perché la tua pancia cambia forma nella giornata, e su quella qualcosa da fare c’è. Non ti prometto di farla sparire: ti prometto di misurarla e di dirti se si muove.»</w:t>
      </w:r>
    </w:p>
    <w:p>
      <w:pPr>
        <w:pStyle w:val="BodyText"/>
      </w:pPr>
      <w:r>
        <w:rPr>
          <w:b/>
          <w:bCs/>
        </w:rPr>
        <w:t xml:space="preserve">«La sera sono il doppio del mattino: è normale?»</w:t>
      </w:r>
      <w:r>
        <w:t xml:space="preserve"> </w:t>
      </w:r>
      <w:r>
        <w:rPr>
          <w:i/>
          <w:iCs/>
        </w:rPr>
        <w:t xml:space="preserve">«È frequente, e non è normale. È il segno più preciso che abbiamo, e diventa la nostra misura: la prendiamo per qualche giorno adesso e la riprendiamo fra qualche settimana, sempre allo stesso modo.»</w:t>
      </w:r>
    </w:p>
    <w:p>
      <w:pPr>
        <w:pStyle w:val="BodyText"/>
      </w:pPr>
      <w:r>
        <w:rPr>
          <w:b/>
          <w:bCs/>
        </w:rPr>
        <w:t xml:space="preserve">«Quindi devo fare tutto io.»</w:t>
      </w:r>
      <w:r>
        <w:t xml:space="preserve"> </w:t>
      </w:r>
      <w:r>
        <w:rPr>
          <w:i/>
          <w:iCs/>
        </w:rPr>
        <w:t xml:space="preserve">«No, ma la parte che pesa di più la fai tu, e significa che non dipendi da me per andare avanti. Negli studi che hanno funzionato le persone si esercitavano ogni giorno, poco per volta. Quanto serva a te lo decidiamo insieme, e ti dico se sta funzionando con un numero, non con un’impressione.»</w:t>
      </w:r>
    </w:p>
    <w:bookmarkEnd w:id="85"/>
    <w:bookmarkStart w:id="86" w:name="X72e0863df82b45a783b8a747f087d293666e96a"/>
    <w:p>
      <w:pPr>
        <w:pStyle w:val="Heading3"/>
      </w:pPr>
      <w:r>
        <w:t xml:space="preserve">Quando chiamare, senza aspettare la prossima seduta</w:t>
      </w:r>
    </w:p>
    <w:p>
      <w:pPr>
        <w:pStyle w:val="FirstParagraph"/>
      </w:pPr>
      <w:r>
        <w:t xml:space="preserve">Questa parte esce dallo studio insieme al paziente, perché il quadro cambia fra una seduta e l’altra. Si chiama il curante lo stesso giorno, o il 112, per una qualsiasi di queste otto cose:</w:t>
      </w:r>
    </w:p>
    <w:p>
      <w:pPr>
        <w:pStyle w:val="Compact"/>
        <w:numPr>
          <w:ilvl w:val="0"/>
          <w:numId w:val="1023"/>
        </w:numPr>
      </w:pPr>
      <w:r>
        <w:rPr>
          <w:b/>
          <w:bCs/>
        </w:rPr>
        <w:t xml:space="preserve">dolore addominale forte e continuo</w:t>
      </w:r>
    </w:p>
    <w:p>
      <w:pPr>
        <w:pStyle w:val="Compact"/>
        <w:numPr>
          <w:ilvl w:val="0"/>
          <w:numId w:val="1023"/>
        </w:numPr>
      </w:pPr>
      <w:r>
        <w:rPr>
          <w:b/>
          <w:bCs/>
        </w:rPr>
        <w:t xml:space="preserve">blocco di feci e aria con vomito</w:t>
      </w:r>
    </w:p>
    <w:p>
      <w:pPr>
        <w:pStyle w:val="Compact"/>
        <w:numPr>
          <w:ilvl w:val="0"/>
          <w:numId w:val="1023"/>
        </w:numPr>
      </w:pPr>
      <w:r>
        <w:rPr>
          <w:b/>
          <w:bCs/>
        </w:rPr>
        <w:t xml:space="preserve">febbre</w:t>
      </w:r>
    </w:p>
    <w:p>
      <w:pPr>
        <w:pStyle w:val="Compact"/>
        <w:numPr>
          <w:ilvl w:val="0"/>
          <w:numId w:val="1023"/>
        </w:numPr>
      </w:pPr>
      <w:r>
        <w:rPr>
          <w:b/>
          <w:bCs/>
        </w:rPr>
        <w:t xml:space="preserve">sangue nelle feci</w:t>
      </w:r>
    </w:p>
    <w:p>
      <w:pPr>
        <w:pStyle w:val="Compact"/>
        <w:numPr>
          <w:ilvl w:val="0"/>
          <w:numId w:val="1023"/>
        </w:numPr>
      </w:pPr>
      <w:r>
        <w:rPr>
          <w:b/>
          <w:bCs/>
        </w:rPr>
        <w:t xml:space="preserve">vomito che si ripete</w:t>
      </w:r>
    </w:p>
    <w:p>
      <w:pPr>
        <w:pStyle w:val="Compact"/>
        <w:numPr>
          <w:ilvl w:val="0"/>
          <w:numId w:val="1023"/>
        </w:numPr>
      </w:pPr>
      <w:r>
        <w:rPr>
          <w:b/>
          <w:bCs/>
        </w:rPr>
        <w:t xml:space="preserve">gambe o caviglie che si gonfiano insieme alla pancia, o un peso che sale</w:t>
      </w:r>
    </w:p>
    <w:p>
      <w:pPr>
        <w:pStyle w:val="Compact"/>
        <w:numPr>
          <w:ilvl w:val="0"/>
          <w:numId w:val="1023"/>
        </w:numPr>
      </w:pPr>
      <w:r>
        <w:rPr>
          <w:b/>
          <w:bCs/>
        </w:rPr>
        <w:t xml:space="preserve">un gonfiore che smette di ridursi la notte, o cresce senza fermarsi</w:t>
      </w:r>
    </w:p>
    <w:p>
      <w:pPr>
        <w:pStyle w:val="Compact"/>
        <w:numPr>
          <w:ilvl w:val="0"/>
          <w:numId w:val="1023"/>
        </w:numPr>
      </w:pPr>
      <w:r>
        <w:rPr>
          <w:b/>
          <w:bCs/>
        </w:rPr>
        <w:t xml:space="preserve">un calo di peso non cercato</w:t>
      </w:r>
    </w:p>
    <w:bookmarkEnd w:id="86"/>
    <w:bookmarkStart w:id="87" w:name="cosa-non-promettere-mai"/>
    <w:p>
      <w:pPr>
        <w:pStyle w:val="Heading3"/>
      </w:pPr>
      <w:r>
        <w:t xml:space="preserve">Cosa non promettere mai</w:t>
      </w:r>
    </w:p>
    <w:p>
      <w:pPr>
        <w:pStyle w:val="FirstParagraph"/>
      </w:pPr>
      <w:r>
        <w:t xml:space="preserve">Non promettere che il gonfiore sparirà. Non promettere che potrà rimettere in tavola gli alimenti che ha tolto: quella decisione è del medico o del dietista. E non dire mai</w:t>
      </w:r>
      <w:r>
        <w:t xml:space="preserve"> </w:t>
      </w:r>
      <w:r>
        <w:rPr>
          <w:i/>
          <w:iCs/>
        </w:rPr>
        <w:t xml:space="preserve">«non hai niente»</w:t>
      </w:r>
      <w:r>
        <w:t xml:space="preserve"> </w:t>
      </w:r>
      <w:r>
        <w:t xml:space="preserve">né</w:t>
      </w:r>
      <w:r>
        <w:t xml:space="preserve"> </w:t>
      </w:r>
      <w:r>
        <w:rPr>
          <w:i/>
          <w:iCs/>
        </w:rPr>
        <w:t xml:space="preserve">«è solo aria»</w:t>
      </w:r>
      <w:r>
        <w:t xml:space="preserve">: sono esclusioni, non sono tue, e la seconda è falsa nei tre quarti dei casi.</w:t>
      </w:r>
    </w:p>
    <w:p>
      <w:pPr>
        <w:pStyle w:val="BodyText"/>
      </w:pPr>
      <w:r>
        <w:rPr>
          <w:b/>
          <w:bCs/>
        </w:rPr>
        <w:t xml:space="preserve">Le tre cose da ricordare, più una</w:t>
      </w:r>
    </w:p>
    <w:p>
      <w:pPr>
        <w:pStyle w:val="Compact"/>
        <w:numPr>
          <w:ilvl w:val="0"/>
          <w:numId w:val="1024"/>
        </w:numPr>
      </w:pPr>
      <w:r>
        <w:t xml:space="preserve">La spiegazione del meccanismo è l’intervento con il rapporto migliore fra tempo speso ed effetto sulla sua giornata. Si dice al condizionale: su di lei nessuno l’ha misurato.</w:t>
      </w:r>
    </w:p>
    <w:p>
      <w:pPr>
        <w:pStyle w:val="Compact"/>
        <w:numPr>
          <w:ilvl w:val="0"/>
          <w:numId w:val="1024"/>
        </w:numPr>
      </w:pPr>
      <w:r>
        <w:t xml:space="preserve">La convivenza col medico si dice</w:t>
      </w:r>
      <w:r>
        <w:t xml:space="preserve"> </w:t>
      </w:r>
      <w:r>
        <w:rPr>
          <w:b/>
          <w:bCs/>
        </w:rPr>
        <w:t xml:space="preserve">con le stesse parole</w:t>
      </w:r>
      <w:r>
        <w:t xml:space="preserve"> </w:t>
      </w:r>
      <w:r>
        <w:t xml:space="preserve">del triage: io lavoro sulla meccanica, il medico inquadra il sintomo, e nel frattempo io non aspetto.</w:t>
      </w:r>
    </w:p>
    <w:p>
      <w:pPr>
        <w:pStyle w:val="Compact"/>
        <w:numPr>
          <w:ilvl w:val="0"/>
          <w:numId w:val="1024"/>
        </w:numPr>
      </w:pPr>
      <w:r>
        <w:t xml:space="preserve">Le due frasi vietate sono esclusioni, non promesse. È la trappola specifica di questa condizione.</w:t>
      </w:r>
    </w:p>
    <w:p>
      <w:pPr>
        <w:pStyle w:val="Compact"/>
        <w:numPr>
          <w:ilvl w:val="0"/>
          <w:numId w:val="1024"/>
        </w:numPr>
      </w:pPr>
      <w:r>
        <w:rPr>
          <w:b/>
          <w:bCs/>
        </w:rPr>
        <w:t xml:space="preserve">Perché ci sei tu.</w:t>
      </w:r>
      <w:r>
        <w:t xml:space="preserve"> </w:t>
      </w:r>
      <w:r>
        <w:t xml:space="preserve">Nelle persone che si gonfiavano dopo aver mangiato lattuga la circonferenza è aumentata di 35 mm. Il gas del colon non è aumentato in modo significativo, e il diaframma era sceso di 7 mm (Barba, 2019, PMID 31402544). Questo ti autorizza a dirle che il cibo non era la variabile, con un dato in mano. Non ti autorizza a dirle di rimetterlo in tavola: quella decisione non ti appartiene.</w:t>
      </w:r>
    </w:p>
    <w:p>
      <w:r>
        <w:pict>
          <v:rect style="width:0;height:1.5pt" o:hralign="center" o:hrstd="t" o:hr="t"/>
        </w:pict>
      </w:r>
    </w:p>
    <w:bookmarkEnd w:id="87"/>
    <w:bookmarkEnd w:id="88"/>
    <w:bookmarkStart w:id="90" w:name="capitolo-14-cosa-fare-adesso"/>
    <w:p>
      <w:pPr>
        <w:pStyle w:val="Heading2"/>
      </w:pPr>
      <w:r>
        <w:t xml:space="preserve">Capitolo 14 — Cosa fare adesso</w:t>
      </w:r>
    </w:p>
    <w:p>
      <w:pPr>
        <w:pStyle w:val="BlockText"/>
      </w:pPr>
      <w:r>
        <w:rPr>
          <w:b/>
          <w:bCs/>
        </w:rPr>
        <w:t xml:space="preserve">In una riga:</w:t>
      </w:r>
      <w:r>
        <w:t xml:space="preserve"> </w:t>
      </w:r>
      <w:r>
        <w:t xml:space="preserve">su questa condizione hai un bersaglio muscolare identificato, una misura che costa dieci secondi, e il dovere di riconoscere le poche persone che devono uscire subito.</w:t>
      </w:r>
    </w:p>
    <w:p>
      <w:pPr>
        <w:pStyle w:val="FirstParagraph"/>
      </w:pPr>
      <w:r>
        <w:rPr>
          <w:b/>
          <w:bCs/>
        </w:rPr>
        <w:t xml:space="preserve">Quando sei autonomo su questa condizione.</w:t>
      </w:r>
      <w:r>
        <w:t xml:space="preserve"> </w:t>
      </w:r>
      <w:r>
        <w:t xml:space="preserve">Quando davanti a una paziente sai dire senza esitare se è Chiara o Silvia, cioè se il metro si muove o no, e cosa cambia di conseguenza. Quando riconosci Paola prima di aprire un ciclo. E quando sai dire al suo medico cosa possiamo affermare e cosa no.</w:t>
      </w:r>
    </w:p>
    <w:bookmarkStart w:id="89" w:name="le-tre-cose-che-cambi-da-lunedì"/>
    <w:p>
      <w:pPr>
        <w:pStyle w:val="Heading3"/>
      </w:pPr>
      <w:r>
        <w:t xml:space="preserve">Le tre cose che cambi da lunedì</w:t>
      </w:r>
    </w:p>
    <w:p>
      <w:pPr>
        <w:pStyle w:val="Compact"/>
        <w:numPr>
          <w:ilvl w:val="0"/>
          <w:numId w:val="1025"/>
        </w:numPr>
      </w:pPr>
      <w:r>
        <w:rPr>
          <w:b/>
          <w:bCs/>
        </w:rPr>
        <w:t xml:space="preserve">Guarda un numero che prima non guardavi.</w:t>
      </w:r>
      <w:r>
        <w:t xml:space="preserve"> </w:t>
      </w:r>
      <w:r>
        <w:t xml:space="preserve">Metro a nastro all’ombelico, in piedi, a fine espirazione: per qualche giorno di fila, mattino e sera, e poi di nuovo fra qualche settimana nelle stesse condizioni.</w:t>
      </w:r>
    </w:p>
    <w:p>
      <w:pPr>
        <w:pStyle w:val="Compact"/>
        <w:numPr>
          <w:ilvl w:val="0"/>
          <w:numId w:val="1025"/>
        </w:numPr>
      </w:pPr>
      <w:r>
        <w:rPr>
          <w:b/>
          <w:bCs/>
        </w:rPr>
        <w:t xml:space="preserve">Di’ una frase che prima non dicevi.</w:t>
      </w:r>
      <w:r>
        <w:t xml:space="preserve"> </w:t>
      </w:r>
      <w:r>
        <w:rPr>
          <w:i/>
          <w:iCs/>
        </w:rPr>
        <w:t xml:space="preserve">«Nella maggior parte dei casi come il tuo non è entrato di più: è la forma che è cambiata, e quello che ho trovato oggi va in quella direzione.»</w:t>
      </w:r>
    </w:p>
    <w:p>
      <w:pPr>
        <w:pStyle w:val="Compact"/>
        <w:numPr>
          <w:ilvl w:val="0"/>
          <w:numId w:val="1025"/>
        </w:numPr>
      </w:pPr>
      <w:r>
        <w:rPr>
          <w:b/>
          <w:bCs/>
        </w:rPr>
        <w:t xml:space="preserve">Smetti di trattare il gonfiore come un problema di aria</w:t>
      </w:r>
      <w:r>
        <w:t xml:space="preserve">, e smetti di pronunciare le due frasi che sembrano rassicuranti e sono esclusioni.</w:t>
      </w:r>
    </w:p>
    <w:p>
      <w:pPr>
        <w:pStyle w:val="FirstParagraph"/>
      </w:pPr>
      <w:r>
        <w:rPr>
          <w:i/>
          <w:iCs/>
        </w:rPr>
        <w:t xml:space="preserve">Su questa condizione non ti trovi a difendere un razionale fragile: ti trovi con un bersaglio che qualcuno ha fotografato, misurato e nominato, e con un metro a nastro che ti dice ogni volta se avevi ragione. Non capita spesso. Usa bene la fortuna di avere, per una volta, il compito più chiaro della stanza.</w:t>
      </w:r>
    </w:p>
    <w:p>
      <w:pPr>
        <w:pStyle w:val="BodyText"/>
      </w:pPr>
      <w:r>
        <w:rPr>
          <w:b/>
          <w:bCs/>
        </w:rPr>
        <w:t xml:space="preserve">Le tre cose da ricordare, più una</w:t>
      </w:r>
    </w:p>
    <w:p>
      <w:pPr>
        <w:pStyle w:val="Compact"/>
        <w:numPr>
          <w:ilvl w:val="0"/>
          <w:numId w:val="1026"/>
        </w:numPr>
      </w:pPr>
      <w:r>
        <w:t xml:space="preserve">Misura la circonferenza al mattino e alla sera, ripetutamente. Sempre.</w:t>
      </w:r>
    </w:p>
    <w:p>
      <w:pPr>
        <w:pStyle w:val="Compact"/>
        <w:numPr>
          <w:ilvl w:val="0"/>
          <w:numId w:val="1026"/>
        </w:numPr>
      </w:pPr>
      <w:r>
        <w:t xml:space="preserve">Di’ che è la forma a essere cambiata, non il contenuto — e dillo al condizionale.</w:t>
      </w:r>
    </w:p>
    <w:p>
      <w:pPr>
        <w:pStyle w:val="Compact"/>
        <w:numPr>
          <w:ilvl w:val="0"/>
          <w:numId w:val="1026"/>
        </w:numPr>
      </w:pPr>
      <w:r>
        <w:t xml:space="preserve">Smetti di cercare l’aria, e non pronunciare mai un’esclusione.</w:t>
      </w:r>
    </w:p>
    <w:p>
      <w:pPr>
        <w:pStyle w:val="Compact"/>
        <w:numPr>
          <w:ilvl w:val="0"/>
          <w:numId w:val="1026"/>
        </w:numPr>
      </w:pPr>
      <w:r>
        <w:rPr>
          <w:b/>
          <w:bCs/>
        </w:rPr>
        <w:t xml:space="preserve">Perché ci sei tu.</w:t>
      </w:r>
      <w:r>
        <w:t xml:space="preserve"> </w:t>
      </w:r>
      <w:r>
        <w:t xml:space="preserve">Fra le sei diete studiate in più di un trial,</w:t>
      </w:r>
      <w:r>
        <w:t xml:space="preserve"> </w:t>
      </w:r>
      <w:r>
        <w:rPr>
          <w:b/>
          <w:bCs/>
        </w:rPr>
        <w:t xml:space="preserve">solo</w:t>
      </w:r>
      <w:r>
        <w:t xml:space="preserve"> </w:t>
      </w:r>
      <w:r>
        <w:t xml:space="preserve">quella a basso contenuto di FODMAP ha battuto la dieta abituale su gonfiore e distensione (Cuffe e Ford, 2025, PMID 40258374). Questo ti autorizza a dirle che una dieta con prove esiste, e che di quelle che ha già fatto nessuna l’aveva. Non ti autorizza a prescriverla, né a dirle che una restrizione in corso è inutile: se gliel’ha data un medico o un dietista, quella resta finché non la tolgono loro.</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Appendice A — Glossario</w:t>
            </w:r>
          </w:p>
        </w:tc>
      </w:tr>
      <w:tr>
        <w:tc>
          <w:tcPr/>
          <w:p>
            <w:pPr>
              <w:pStyle w:val="Compact"/>
            </w:pPr>
            <w:r>
              <w:t xml:space="preserve">-</w:t>
            </w:r>
            <w:r>
              <w:t xml:space="preserve"> </w:t>
            </w:r>
            <w:r>
              <w:rPr>
                <w:b/>
                <w:bCs/>
              </w:rPr>
              <w:t xml:space="preserve">Accomodazione addominale</w:t>
            </w:r>
            <w:r>
              <w:t xml:space="preserve"> </w:t>
            </w:r>
            <w:r>
              <w:t xml:space="preserve">— il riflesso motorio con cui un addome sano accoglie un aumento di volume: il diaframma sale e la parete anteriore si contrae.</w:t>
            </w:r>
            <w:r>
              <w:t xml:space="preserve"> </w:t>
            </w:r>
            <w:r>
              <w:t xml:space="preserve">-</w:t>
            </w:r>
            <w:r>
              <w:t xml:space="preserve"> </w:t>
            </w:r>
            <w:r>
              <w:rPr>
                <w:b/>
                <w:bCs/>
              </w:rPr>
              <w:t xml:space="preserve">Barostato</w:t>
            </w:r>
            <w:r>
              <w:t xml:space="preserve"> </w:t>
            </w:r>
            <w:r>
              <w:t xml:space="preserve">— apparecchio che gonfia un palloncino nel retto o nell’intestino a pressioni controllate, per misurare a quale volume compare la sensazione.</w:t>
            </w:r>
            <w:r>
              <w:t xml:space="preserve"> </w:t>
            </w:r>
            <w:r>
              <w:t xml:space="preserve">-</w:t>
            </w:r>
            <w:r>
              <w:t xml:space="preserve"> </w:t>
            </w:r>
            <w:r>
              <w:rPr>
                <w:b/>
                <w:bCs/>
              </w:rPr>
              <w:t xml:space="preserve">Biofeedback</w:t>
            </w:r>
            <w:r>
              <w:t xml:space="preserve"> </w:t>
            </w:r>
            <w:r>
              <w:t xml:space="preserve">— tecnica in cui il paziente vede o sente in tempo reale un proprio segnale corporeo — qui l’attività elettrica dei muscoli o la circonferenza — e impara a modificarlo. È lo strumento con cui è stata ottenuta la correzione documentata di questa condizione.</w:t>
            </w:r>
            <w:r>
              <w:t xml:space="preserve"> </w:t>
            </w:r>
            <w:r>
              <w:t xml:space="preserve">-</w:t>
            </w:r>
            <w:r>
              <w:t xml:space="preserve"> </w:t>
            </w:r>
            <w:r>
              <w:rPr>
                <w:b/>
                <w:bCs/>
              </w:rPr>
              <w:t xml:space="preserve">Braccio placebo</w:t>
            </w:r>
            <w:r>
              <w:t xml:space="preserve"> </w:t>
            </w:r>
            <w:r>
              <w:t xml:space="preserve">— nel disegno di uno studio, il gruppo che riceve un trattamento finto o inattivo. In questo documento è chiamato sempre così.</w:t>
            </w:r>
            <w:r>
              <w:t xml:space="preserve"> </w:t>
            </w:r>
            <w:r>
              <w:t xml:space="preserve">-</w:t>
            </w:r>
            <w:r>
              <w:t xml:space="preserve"> </w:t>
            </w:r>
            <w:r>
              <w:rPr>
                <w:b/>
                <w:bCs/>
              </w:rPr>
              <w:t xml:space="preserve">Catena</w:t>
            </w:r>
            <w:r>
              <w:t xml:space="preserve"> </w:t>
            </w:r>
            <w:r>
              <w:t xml:space="preserve">— insieme di strutture collegate che si influenzano a distanza, per continuità meccanica o per via nervosa.</w:t>
            </w:r>
            <w:r>
              <w:t xml:space="preserve"> </w:t>
            </w:r>
            <w:r>
              <w:t xml:space="preserve">-</w:t>
            </w:r>
            <w:r>
              <w:t xml:space="preserve"> </w:t>
            </w:r>
            <w:r>
              <w:rPr>
                <w:b/>
                <w:bCs/>
              </w:rPr>
              <w:t xml:space="preserve">Central Sensitization Inventory</w:t>
            </w:r>
            <w:r>
              <w:t xml:space="preserve"> </w:t>
            </w:r>
            <w:r>
              <w:t xml:space="preserve">— questionario validato che stima i segni di sensibilizzazione centrale; soglia d’uso comune 40.</w:t>
            </w:r>
            <w:r>
              <w:t xml:space="preserve"> </w:t>
            </w:r>
            <w:r>
              <w:t xml:space="preserve">-</w:t>
            </w:r>
            <w:r>
              <w:t xml:space="preserve"> </w:t>
            </w:r>
            <w:r>
              <w:rPr>
                <w:b/>
                <w:bCs/>
              </w:rPr>
              <w:t xml:space="preserve">Compenso</w:t>
            </w:r>
            <w:r>
              <w:t xml:space="preserve"> </w:t>
            </w:r>
            <w:r>
              <w:t xml:space="preserve">— adattamento che il corpo mette in atto per continuare a funzionare nonostante un problema. Costa qualcosa e regge finché può.</w:t>
            </w:r>
            <w:r>
              <w:t xml:space="preserve"> </w:t>
            </w:r>
            <w:r>
              <w:t xml:space="preserve">-</w:t>
            </w:r>
            <w:r>
              <w:t xml:space="preserve"> </w:t>
            </w:r>
            <w:r>
              <w:rPr>
                <w:b/>
                <w:bCs/>
              </w:rPr>
              <w:t xml:space="preserve">Conduttanza cutanea</w:t>
            </w:r>
            <w:r>
              <w:t xml:space="preserve"> </w:t>
            </w:r>
            <w:r>
              <w:t xml:space="preserve">— misura di quanto la pelle conduce elettricità, che aumenta con la sudorazione: indicatore indiretto di attivazione simpatica.</w:t>
            </w:r>
            <w:r>
              <w:t xml:space="preserve"> </w:t>
            </w:r>
            <w:r>
              <w:t xml:space="preserve">-</w:t>
            </w:r>
            <w:r>
              <w:t xml:space="preserve"> </w:t>
            </w:r>
            <w:r>
              <w:rPr>
                <w:b/>
                <w:bCs/>
              </w:rPr>
              <w:t xml:space="preserve">Diastasi dei retti</w:t>
            </w:r>
            <w:r>
              <w:t xml:space="preserve"> </w:t>
            </w:r>
            <w:r>
              <w:t xml:space="preserve">— allontanamento dei due muscoli retti dell’addome, con cedimento della linea alba che li unisce. Rende la parete cedevole per architettura, non per reclutamento.</w:t>
            </w:r>
            <w:r>
              <w:t xml:space="preserve"> </w:t>
            </w:r>
            <w:r>
              <w:t xml:space="preserve">-</w:t>
            </w:r>
            <w:r>
              <w:t xml:space="preserve"> </w:t>
            </w:r>
            <w:r>
              <w:rPr>
                <w:b/>
                <w:bCs/>
              </w:rPr>
              <w:t xml:space="preserve">Dissinergia addomino-frenica</w:t>
            </w:r>
            <w:r>
              <w:t xml:space="preserve"> </w:t>
            </w:r>
            <w:r>
              <w:t xml:space="preserve">— il guasto principale di questa condizione: il diaframma si contrae e scende mentre la parete si rilassa e sporge.</w:t>
            </w:r>
            <w:r>
              <w:t xml:space="preserve"> </w:t>
            </w:r>
            <w:r>
              <w:t xml:space="preserve">-</w:t>
            </w:r>
            <w:r>
              <w:t xml:space="preserve"> </w:t>
            </w:r>
            <w:r>
              <w:rPr>
                <w:b/>
                <w:bCs/>
              </w:rPr>
              <w:t xml:space="preserve">Disfunzione somatica</w:t>
            </w:r>
            <w:r>
              <w:t xml:space="preserve"> </w:t>
            </w:r>
            <w:r>
              <w:t xml:space="preserve">— alterazione della funzione di una parte del sistema muscolo-scheletrico riconoscibile all’esame manuale. Descrizione di funzione, non diagnosi di malattia.</w:t>
            </w:r>
            <w:r>
              <w:t xml:space="preserve"> </w:t>
            </w:r>
            <w:r>
              <w:t xml:space="preserve">-</w:t>
            </w:r>
            <w:r>
              <w:t xml:space="preserve"> </w:t>
            </w:r>
            <w:r>
              <w:rPr>
                <w:b/>
                <w:bCs/>
              </w:rPr>
              <w:t xml:space="preserve">DIMOSTRATO</w:t>
            </w:r>
            <w:r>
              <w:t xml:space="preserve"> </w:t>
            </w:r>
            <w:r>
              <w:t xml:space="preserve">— etichetta di solidità: studi sull’uomo, solidi.</w:t>
            </w:r>
            <w:r>
              <w:t xml:space="preserve"> </w:t>
            </w:r>
            <w:r>
              <w:t xml:space="preserve">-</w:t>
            </w:r>
            <w:r>
              <w:t xml:space="preserve"> </w:t>
            </w:r>
            <w:r>
              <w:rPr>
                <w:b/>
                <w:bCs/>
              </w:rPr>
              <w:t xml:space="preserve">Distensione addominale</w:t>
            </w:r>
            <w:r>
              <w:t xml:space="preserve"> </w:t>
            </w:r>
            <w:r>
              <w:t xml:space="preserve">— l’aumento visibile e misurabile della circonferenza dell’addome. È un segno.</w:t>
            </w:r>
            <w:r>
              <w:t xml:space="preserve"> </w:t>
            </w:r>
            <w:r>
              <w:t xml:space="preserve">-</w:t>
            </w:r>
            <w:r>
              <w:t xml:space="preserve"> </w:t>
            </w:r>
            <w:r>
              <w:rPr>
                <w:b/>
                <w:bCs/>
              </w:rPr>
              <w:t xml:space="preserve">Eruttazione sovragastrica</w:t>
            </w:r>
            <w:r>
              <w:t xml:space="preserve"> </w:t>
            </w:r>
            <w:r>
              <w:t xml:space="preserve">— aria deglutita e subito rilanciata, che risale in salve rapide, mai nel sonno.</w:t>
            </w:r>
            <w:r>
              <w:t xml:space="preserve"> </w:t>
            </w:r>
            <w:r>
              <w:t xml:space="preserve">-</w:t>
            </w:r>
            <w:r>
              <w:t xml:space="preserve"> </w:t>
            </w:r>
            <w:r>
              <w:rPr>
                <w:b/>
                <w:bCs/>
              </w:rPr>
              <w:t xml:space="preserve">Evacuazione difficoltosa</w:t>
            </w:r>
            <w:r>
              <w:t xml:space="preserve"> </w:t>
            </w:r>
            <w:r>
              <w:t xml:space="preserve">— difficoltà a espellere le feci anche quando sono morbide, per scoordinazione del pavimento pelvico.</w:t>
            </w:r>
            <w:r>
              <w:t xml:space="preserve"> </w:t>
            </w:r>
            <w:r>
              <w:t xml:space="preserve">-</w:t>
            </w:r>
            <w:r>
              <w:t xml:space="preserve"> </w:t>
            </w:r>
            <w:r>
              <w:rPr>
                <w:b/>
                <w:bCs/>
              </w:rPr>
              <w:t xml:space="preserve">FODMAP</w:t>
            </w:r>
            <w:r>
              <w:t xml:space="preserve"> </w:t>
            </w:r>
            <w:r>
              <w:t xml:space="preserve">— carboidrati fermentabili che il colon fermenta producendo gas.</w:t>
            </w:r>
            <w:r>
              <w:t xml:space="preserve"> </w:t>
            </w:r>
            <w:r>
              <w:t xml:space="preserve">-</w:t>
            </w:r>
            <w:r>
              <w:t xml:space="preserve"> </w:t>
            </w:r>
            <w:r>
              <w:rPr>
                <w:b/>
                <w:bCs/>
              </w:rPr>
              <w:t xml:space="preserve">Fusi neuromuscolari</w:t>
            </w:r>
            <w:r>
              <w:t xml:space="preserve"> </w:t>
            </w:r>
            <w:r>
              <w:t xml:space="preserve">— sensori di tensione dentro il muscolo, che dicono al sistema nervoso quanto quel muscolo è allungato. Il diaframma ne ha pochi, gli intercostali molti.</w:t>
            </w:r>
            <w:r>
              <w:t xml:space="preserve"> </w:t>
            </w:r>
            <w:r>
              <w:t xml:space="preserve">-</w:t>
            </w:r>
            <w:r>
              <w:t xml:space="preserve"> </w:t>
            </w:r>
            <w:r>
              <w:rPr>
                <w:b/>
                <w:bCs/>
              </w:rPr>
              <w:t xml:space="preserve">IPOTESI</w:t>
            </w:r>
            <w:r>
              <w:t xml:space="preserve"> </w:t>
            </w:r>
            <w:r>
              <w:t xml:space="preserve">— etichetta di solidità: meccanismo coerente, nessuno studio.</w:t>
            </w:r>
            <w:r>
              <w:t xml:space="preserve"> </w:t>
            </w:r>
            <w:r>
              <w:t xml:space="preserve">-</w:t>
            </w:r>
            <w:r>
              <w:t xml:space="preserve"> </w:t>
            </w:r>
            <w:r>
              <w:rPr>
                <w:b/>
                <w:bCs/>
              </w:rPr>
              <w:t xml:space="preserve">Lesione primaria</w:t>
            </w:r>
            <w:r>
              <w:t xml:space="preserve"> </w:t>
            </w:r>
            <w:r>
              <w:t xml:space="preserve">— la disfunzione che, nella ricostruzione clinica, ha innescato le altre. Si scrive come ipotesi, mai come fatto.</w:t>
            </w:r>
            <w:r>
              <w:t xml:space="preserve"> </w:t>
            </w:r>
            <w:r>
              <w:t xml:space="preserve">-</w:t>
            </w:r>
            <w:r>
              <w:t xml:space="preserve"> </w:t>
            </w:r>
            <w:r>
              <w:rPr>
                <w:b/>
                <w:bCs/>
              </w:rPr>
              <w:t xml:space="preserve">Livello di attivazione</w:t>
            </w:r>
            <w:r>
              <w:t xml:space="preserve"> </w:t>
            </w:r>
            <w:r>
              <w:t xml:space="preserve">— quanto il sistema nervoso del paziente è sul chi vive: frequenza respiratoria, sonno, tessuti che non tengono la correzione, miglioramento in vacanza.</w:t>
            </w:r>
            <w:r>
              <w:t xml:space="preserve"> </w:t>
            </w:r>
            <w:r>
              <w:t xml:space="preserve">-</w:t>
            </w:r>
            <w:r>
              <w:t xml:space="preserve"> </w:t>
            </w:r>
            <w:r>
              <w:rPr>
                <w:b/>
                <w:bCs/>
              </w:rPr>
              <w:t xml:space="preserve">Manometria anorettale</w:t>
            </w:r>
            <w:r>
              <w:t xml:space="preserve"> </w:t>
            </w:r>
            <w:r>
              <w:t xml:space="preserve">— esame che misura pressioni e coordinazione del canale anale durante lo sforzo evacuativo.</w:t>
            </w:r>
            <w:r>
              <w:t xml:space="preserve"> </w:t>
            </w:r>
            <w:r>
              <w:t xml:space="preserve">-</w:t>
            </w:r>
            <w:r>
              <w:t xml:space="preserve"> </w:t>
            </w:r>
            <w:r>
              <w:rPr>
                <w:b/>
                <w:bCs/>
              </w:rPr>
              <w:t xml:space="preserve">Marker</w:t>
            </w:r>
            <w:r>
              <w:t xml:space="preserve"> </w:t>
            </w:r>
            <w:r>
              <w:t xml:space="preserve">— segno misurabile che scegli</w:t>
            </w:r>
            <w:r>
              <w:t xml:space="preserve"> </w:t>
            </w:r>
            <w:r>
              <w:rPr>
                <w:b/>
                <w:bCs/>
              </w:rPr>
              <w:t xml:space="preserve">prima</w:t>
            </w:r>
            <w:r>
              <w:t xml:space="preserve"> </w:t>
            </w:r>
            <w:r>
              <w:t xml:space="preserve">di trattare e rimisuri dopo. Non è il sintomo del paziente: è il segno che ti dice se la tua ipotesi era giusta.</w:t>
            </w:r>
            <w:r>
              <w:t xml:space="preserve"> </w:t>
            </w:r>
            <w:r>
              <w:t xml:space="preserve">-</w:t>
            </w:r>
            <w:r>
              <w:t xml:space="preserve"> </w:t>
            </w:r>
            <w:r>
              <w:rPr>
                <w:b/>
                <w:bCs/>
              </w:rPr>
              <w:t xml:space="preserve">Meccanocettori</w:t>
            </w:r>
            <w:r>
              <w:t xml:space="preserve"> </w:t>
            </w:r>
            <w:r>
              <w:t xml:space="preserve">— recettori che rispondono alla deformazione meccanica. Nella parete intestinale sono quelli che segnalano l’arrivo di volume e fanno partire il riflesso.</w:t>
            </w:r>
            <w:r>
              <w:t xml:space="preserve"> </w:t>
            </w:r>
            <w:r>
              <w:t xml:space="preserve">-</w:t>
            </w:r>
            <w:r>
              <w:t xml:space="preserve"> </w:t>
            </w:r>
            <w:r>
              <w:rPr>
                <w:b/>
                <w:bCs/>
              </w:rPr>
              <w:t xml:space="preserve">Modulazione discendente</w:t>
            </w:r>
            <w:r>
              <w:t xml:space="preserve"> </w:t>
            </w:r>
            <w:r>
              <w:t xml:space="preserve">— il freno che il cervello manda in giù lungo il midollo, e che tiene sotto soglia i segnali del corpo. Quando smette di frenare, un segnale normale diventa sintomo.</w:t>
            </w:r>
            <w:r>
              <w:t xml:space="preserve"> </w:t>
            </w:r>
            <w:r>
              <w:t xml:space="preserve">-</w:t>
            </w:r>
            <w:r>
              <w:t xml:space="preserve"> </w:t>
            </w:r>
            <w:r>
              <w:rPr>
                <w:b/>
                <w:bCs/>
              </w:rPr>
              <w:t xml:space="preserve">Nervo frenico</w:t>
            </w:r>
            <w:r>
              <w:t xml:space="preserve"> </w:t>
            </w:r>
            <w:r>
              <w:t xml:space="preserve">— nervo del diaframma, da C3-C5. Misto: motorio e, per circa un terzo delle fibre, afferente. Ventilatorio, non viscerale.</w:t>
            </w:r>
            <w:r>
              <w:t xml:space="preserve"> </w:t>
            </w:r>
            <w:r>
              <w:t xml:space="preserve">-</w:t>
            </w:r>
            <w:r>
              <w:t xml:space="preserve"> </w:t>
            </w:r>
            <w:r>
              <w:rPr>
                <w:b/>
                <w:bCs/>
              </w:rPr>
              <w:t xml:space="preserve">Nociplastico</w:t>
            </w:r>
            <w:r>
              <w:t xml:space="preserve"> </w:t>
            </w:r>
            <w:r>
              <w:t xml:space="preserve">— dolore in cui il sistema nervoso amplifica un segnale normale o sottosoglia, senza danno tissutale né lesione nervosa.</w:t>
            </w:r>
            <w:r>
              <w:t xml:space="preserve"> </w:t>
            </w:r>
            <w:r>
              <w:t xml:space="preserve">-</w:t>
            </w:r>
            <w:r>
              <w:t xml:space="preserve"> </w:t>
            </w:r>
            <w:r>
              <w:rPr>
                <w:b/>
                <w:bCs/>
              </w:rPr>
              <w:t xml:space="preserve">Obliquo interno</w:t>
            </w:r>
            <w:r>
              <w:t xml:space="preserve"> </w:t>
            </w:r>
            <w:r>
              <w:t xml:space="preserve">— muscolo della parete laterale che in questi pazienti si rilassa sotto carico invece di contrarsi.</w:t>
            </w:r>
            <w:r>
              <w:t xml:space="preserve"> </w:t>
            </w:r>
            <w:r>
              <w:t xml:space="preserve">-</w:t>
            </w:r>
            <w:r>
              <w:t xml:space="preserve"> </w:t>
            </w:r>
            <w:r>
              <w:rPr>
                <w:b/>
                <w:bCs/>
              </w:rPr>
              <w:t xml:space="preserve">Piano</w:t>
            </w:r>
            <w:r>
              <w:t xml:space="preserve"> </w:t>
            </w:r>
            <w:r>
              <w:t xml:space="preserve">— livello funzionale del corpo, ordinato per quanto condiziona gli altri: regolazione, meccanica del contenitore, contenuto. Non è sinonimo di modello.</w:t>
            </w:r>
            <w:r>
              <w:t xml:space="preserve"> </w:t>
            </w:r>
            <w:r>
              <w:t xml:space="preserve">-</w:t>
            </w:r>
            <w:r>
              <w:t xml:space="preserve"> </w:t>
            </w:r>
            <w:r>
              <w:rPr>
                <w:b/>
                <w:bCs/>
              </w:rPr>
              <w:t xml:space="preserve">Pletismografia</w:t>
            </w:r>
            <w:r>
              <w:t xml:space="preserve"> </w:t>
            </w:r>
            <w:r>
              <w:t xml:space="preserve">— tecnica che registra in continuo le variazioni di circonferenza o volume, per esempio con una cintura sensibile attorno all’addome.</w:t>
            </w:r>
            <w:r>
              <w:t xml:space="preserve"> </w:t>
            </w:r>
            <w:r>
              <w:t xml:space="preserve">-</w:t>
            </w:r>
            <w:r>
              <w:t xml:space="preserve"> </w:t>
            </w:r>
            <w:r>
              <w:rPr>
                <w:b/>
                <w:bCs/>
              </w:rPr>
              <w:t xml:space="preserve">PROBABILE</w:t>
            </w:r>
            <w:r>
              <w:t xml:space="preserve"> </w:t>
            </w:r>
            <w:r>
              <w:t xml:space="preserve">— etichetta di solidità: razionale forte, prove parziali.</w:t>
            </w:r>
            <w:r>
              <w:t xml:space="preserve"> </w:t>
            </w:r>
            <w:r>
              <w:t xml:space="preserve">-</w:t>
            </w:r>
            <w:r>
              <w:t xml:space="preserve"> </w:t>
            </w:r>
            <w:r>
              <w:rPr>
                <w:b/>
                <w:bCs/>
              </w:rPr>
              <w:t xml:space="preserve">RAGIONAMENTO</w:t>
            </w:r>
            <w:r>
              <w:t xml:space="preserve"> </w:t>
            </w:r>
            <w:r>
              <w:t xml:space="preserve">— etichetta di solidità: cornice clinica, non una prova.</w:t>
            </w:r>
            <w:r>
              <w:t xml:space="preserve"> </w:t>
            </w:r>
            <w:r>
              <w:t xml:space="preserve">-</w:t>
            </w:r>
            <w:r>
              <w:t xml:space="preserve"> </w:t>
            </w:r>
            <w:r>
              <w:rPr>
                <w:b/>
                <w:bCs/>
              </w:rPr>
              <w:t xml:space="preserve">Reperto disfunzionale</w:t>
            </w:r>
            <w:r>
              <w:t xml:space="preserve"> </w:t>
            </w:r>
            <w:r>
              <w:t xml:space="preserve">— quello che trovi tu con le mani e con i test e scrivi in cartella. Non è la diagnosi del paziente: è il bersaglio del tuo lavoro.</w:t>
            </w:r>
            <w:r>
              <w:t xml:space="preserve"> </w:t>
            </w:r>
            <w:r>
              <w:t xml:space="preserve">-</w:t>
            </w:r>
            <w:r>
              <w:t xml:space="preserve"> </w:t>
            </w:r>
            <w:r>
              <w:rPr>
                <w:b/>
                <w:bCs/>
              </w:rPr>
              <w:t xml:space="preserve">Riaddestramento anorettale</w:t>
            </w:r>
            <w:r>
              <w:t xml:space="preserve"> </w:t>
            </w:r>
            <w:r>
              <w:t xml:space="preserve">— rieducazione della coordinazione fra spinta addominale e rilasciamento del pavimento pelvico. Passa da un contatto interno, quindi è fuori dall’atto osteopatico.</w:t>
            </w:r>
            <w:r>
              <w:t xml:space="preserve"> </w:t>
            </w:r>
            <w:r>
              <w:t xml:space="preserve">-</w:t>
            </w:r>
            <w:r>
              <w:t xml:space="preserve"> </w:t>
            </w:r>
            <w:r>
              <w:rPr>
                <w:b/>
                <w:bCs/>
              </w:rPr>
              <w:t xml:space="preserve">Riflesso viscerosomatico</w:t>
            </w:r>
            <w:r>
              <w:t xml:space="preserve"> </w:t>
            </w:r>
            <w:r>
              <w:t xml:space="preserve">— riflesso in cui un segnale che parte da un viscere produce una risposta nei muscoli scheletrici della parete. In questi pazienti è invertito: la parete si rilassa dove dovrebbe contrarsi.</w:t>
            </w:r>
            <w:r>
              <w:t xml:space="preserve"> </w:t>
            </w:r>
            <w:r>
              <w:t xml:space="preserve">-</w:t>
            </w:r>
            <w:r>
              <w:t xml:space="preserve"> </w:t>
            </w:r>
            <w:r>
              <w:rPr>
                <w:b/>
                <w:bCs/>
              </w:rPr>
              <w:t xml:space="preserve">Rischio relativo di non migliorare</w:t>
            </w:r>
            <w:r>
              <w:t xml:space="preserve"> </w:t>
            </w:r>
            <w:r>
              <w:t xml:space="preserve">— quante persone restano ferme con un trattamento rispetto a quante restano ferme senza. Un valore di 0,55 significa che, su cento che non migliorerebbero con la dieta abituale, con quella dieta ne restano ferme cinquantacinque.</w:t>
            </w:r>
            <w:r>
              <w:t xml:space="preserve"> </w:t>
            </w:r>
            <w:r>
              <w:t xml:space="preserve">-</w:t>
            </w:r>
            <w:r>
              <w:t xml:space="preserve"> </w:t>
            </w:r>
            <w:r>
              <w:rPr>
                <w:b/>
                <w:bCs/>
              </w:rPr>
              <w:t xml:space="preserve">Roma IV</w:t>
            </w:r>
            <w:r>
              <w:t xml:space="preserve"> </w:t>
            </w:r>
            <w:r>
              <w:t xml:space="preserve">— i criteri internazionali dei disturbi dell’interazione intestino-cervello, gonfiore e distensione funzionali inclusi.</w:t>
            </w:r>
            <w:r>
              <w:t xml:space="preserve"> </w:t>
            </w:r>
            <w:r>
              <w:t xml:space="preserve">-</w:t>
            </w:r>
            <w:r>
              <w:t xml:space="preserve"> </w:t>
            </w:r>
            <w:r>
              <w:rPr>
                <w:b/>
                <w:bCs/>
              </w:rPr>
              <w:t xml:space="preserve">Salto</w:t>
            </w:r>
            <w:r>
              <w:t xml:space="preserve"> </w:t>
            </w:r>
            <w:r>
              <w:t xml:space="preserve">— la distanza fra ciò che uno studio ha misurato e ciò per cui lo stai usando: di</w:t>
            </w:r>
            <w:r>
              <w:t xml:space="preserve"> </w:t>
            </w:r>
            <w:r>
              <w:rPr>
                <w:b/>
                <w:bCs/>
              </w:rPr>
              <w:t xml:space="preserve">condizione</w:t>
            </w:r>
            <w:r>
              <w:t xml:space="preserve">, di</w:t>
            </w:r>
            <w:r>
              <w:t xml:space="preserve"> </w:t>
            </w:r>
            <w:r>
              <w:rPr>
                <w:b/>
                <w:bCs/>
              </w:rPr>
              <w:t xml:space="preserve">popolazione</w:t>
            </w:r>
            <w:r>
              <w:t xml:space="preserve">, di</w:t>
            </w:r>
            <w:r>
              <w:t xml:space="preserve"> </w:t>
            </w:r>
            <w:r>
              <w:rPr>
                <w:b/>
                <w:bCs/>
              </w:rPr>
              <w:t xml:space="preserve">erogatore e strumento</w:t>
            </w:r>
            <w:r>
              <w:t xml:space="preserve">.</w:t>
            </w:r>
            <w:r>
              <w:t xml:space="preserve"> </w:t>
            </w:r>
            <w:r>
              <w:t xml:space="preserve">-</w:t>
            </w:r>
            <w:r>
              <w:t xml:space="preserve"> </w:t>
            </w:r>
            <w:r>
              <w:rPr>
                <w:b/>
                <w:bCs/>
              </w:rPr>
              <w:t xml:space="preserve">Segni dell’ascite</w:t>
            </w:r>
            <w:r>
              <w:t xml:space="preserve"> </w:t>
            </w:r>
            <w:r>
              <w:t xml:space="preserve">— ottusità mobile ai fianchi, segno del fiotto e segno della pozza: i tre segni obiettivi che distinguono un addome pieno di liquido da un addome disteso.</w:t>
            </w:r>
            <w:r>
              <w:t xml:space="preserve"> </w:t>
            </w:r>
            <w:r>
              <w:t xml:space="preserve">-</w:t>
            </w:r>
            <w:r>
              <w:t xml:space="preserve"> </w:t>
            </w:r>
            <w:r>
              <w:rPr>
                <w:b/>
                <w:bCs/>
              </w:rPr>
              <w:t xml:space="preserve">Sistema dominante</w:t>
            </w:r>
            <w:r>
              <w:t xml:space="preserve"> </w:t>
            </w:r>
            <w:r>
              <w:t xml:space="preserve">— il piano che sta consumando più capacità di adattamento degli altri. Ipotesi di lavoro, non fatto misurato: porta sempre l’etichetta RAGIONAMENTO.</w:t>
            </w:r>
            <w:r>
              <w:t xml:space="preserve"> </w:t>
            </w:r>
            <w:r>
              <w:t xml:space="preserve">-</w:t>
            </w:r>
            <w:r>
              <w:t xml:space="preserve"> </w:t>
            </w:r>
            <w:r>
              <w:rPr>
                <w:b/>
                <w:bCs/>
              </w:rPr>
              <w:t xml:space="preserve">Soglia di percezione viscerale</w:t>
            </w:r>
            <w:r>
              <w:t xml:space="preserve"> </w:t>
            </w:r>
            <w:r>
              <w:t xml:space="preserve">— il livello di distensione a cui un contenuto normale diventa sensazione.</w:t>
            </w:r>
            <w:r>
              <w:t xml:space="preserve"> </w:t>
            </w:r>
            <w:r>
              <w:t xml:space="preserve">-</w:t>
            </w:r>
            <w:r>
              <w:t xml:space="preserve"> </w:t>
            </w:r>
            <w:r>
              <w:rPr>
                <w:b/>
                <w:bCs/>
              </w:rPr>
              <w:t xml:space="preserve">Sotto carico</w:t>
            </w:r>
            <w:r>
              <w:t xml:space="preserve"> </w:t>
            </w:r>
            <w:r>
              <w:t xml:space="preserve">— con un volume dentro la cavità. Negli studi è gas infuso o un pasto sperimentale; in stanza le veci le fanno il pasto vero e l’ora della giornata.</w:t>
            </w:r>
            <w:r>
              <w:t xml:space="preserve"> </w:t>
            </w:r>
            <w:r>
              <w:t xml:space="preserve">-</w:t>
            </w:r>
            <w:r>
              <w:t xml:space="preserve"> </w:t>
            </w:r>
            <w:r>
              <w:rPr>
                <w:b/>
                <w:bCs/>
              </w:rPr>
              <w:t xml:space="preserve">Splancnici</w:t>
            </w:r>
            <w:r>
              <w:t xml:space="preserve"> </w:t>
            </w:r>
            <w:r>
              <w:t xml:space="preserve">— nervi che portano le afferenze del colon fino al sigma verso il corno dorsale T5-L2. Gli</w:t>
            </w:r>
            <w:r>
              <w:t xml:space="preserve"> </w:t>
            </w:r>
            <w:r>
              <w:rPr>
                <w:b/>
                <w:bCs/>
              </w:rPr>
              <w:t xml:space="preserve">splancnici pelvici</w:t>
            </w:r>
            <w:r>
              <w:t xml:space="preserve"> </w:t>
            </w:r>
            <w:r>
              <w:t xml:space="preserve">(S2-S4) sono la via predominante per la distensione del retto.</w:t>
            </w:r>
          </w:p>
        </w:tc>
      </w:tr>
    </w:tbl>
    <w:bookmarkEnd w:id="89"/>
    <w:bookmarkEnd w:id="90"/>
    <w:bookmarkStart w:id="136" w:name="appendice-b-le-fonti"/>
    <w:p>
      <w:pPr>
        <w:pStyle w:val="Heading2"/>
      </w:pPr>
      <w:r>
        <w:t xml:space="preserve">Appendice B — Le fonti</w:t>
      </w:r>
    </w:p>
    <w:p>
      <w:pPr>
        <w:pStyle w:val="Compact"/>
        <w:numPr>
          <w:ilvl w:val="0"/>
          <w:numId w:val="1027"/>
        </w:numPr>
      </w:pPr>
      <w:r>
        <w:t xml:space="preserve">Barba E, Livovsky DM, Accarino A, Azpiroz F. Thoracoabdominal Wall Motion-Guided Biofeedback Treatment of Abdominal Distention: A Randomized Placebo-Controlled Trial.</w:t>
      </w:r>
      <w:r>
        <w:t xml:space="preserve"> </w:t>
      </w:r>
      <w:r>
        <w:rPr>
          <w:i/>
          <w:iCs/>
        </w:rPr>
        <w:t xml:space="preserve">Gastroenterology</w:t>
      </w:r>
      <w:r>
        <w:t xml:space="preserve"> </w:t>
      </w:r>
      <w:r>
        <w:t xml:space="preserve">2024;167(3):538-546.</w:t>
      </w:r>
      <w:r>
        <w:t xml:space="preserve"> </w:t>
      </w:r>
      <w:hyperlink r:id="rId91">
        <w:r>
          <w:rPr>
            <w:rStyle w:val="Hyperlink"/>
          </w:rPr>
          <w:t xml:space="preserve">PMID 38467383</w:t>
        </w:r>
      </w:hyperlink>
    </w:p>
    <w:p>
      <w:pPr>
        <w:pStyle w:val="Compact"/>
        <w:numPr>
          <w:ilvl w:val="0"/>
          <w:numId w:val="1027"/>
        </w:numPr>
      </w:pPr>
      <w:r>
        <w:t xml:space="preserve">Barba E, Accarino A, Azpiroz F. Correction of Abdominal Distention by Biofeedback-Guided Control of Abdominothoracic Muscular Activity in a Randomized, Placebo-Controlled Trial.</w:t>
      </w:r>
      <w:r>
        <w:t xml:space="preserve"> </w:t>
      </w:r>
      <w:r>
        <w:rPr>
          <w:i/>
          <w:iCs/>
        </w:rPr>
        <w:t xml:space="preserve">Clin Gastroenterol Hepatol</w:t>
      </w:r>
      <w:r>
        <w:t xml:space="preserve"> </w:t>
      </w:r>
      <w:r>
        <w:t xml:space="preserve">2017;15(12):1922-1929.</w:t>
      </w:r>
      <w:r>
        <w:t xml:space="preserve"> </w:t>
      </w:r>
      <w:hyperlink r:id="rId92">
        <w:r>
          <w:rPr>
            <w:rStyle w:val="Hyperlink"/>
          </w:rPr>
          <w:t xml:space="preserve">PMID 28705783</w:t>
        </w:r>
      </w:hyperlink>
    </w:p>
    <w:p>
      <w:pPr>
        <w:pStyle w:val="Compact"/>
        <w:numPr>
          <w:ilvl w:val="0"/>
          <w:numId w:val="1027"/>
        </w:numPr>
      </w:pPr>
      <w:r>
        <w:t xml:space="preserve">Ballou S, Singh P, Nee J, et al. Prevalence and Associated Factors of Bloating: Results From the Rome Foundation Global Epidemiology Study.</w:t>
      </w:r>
      <w:r>
        <w:t xml:space="preserve"> </w:t>
      </w:r>
      <w:r>
        <w:rPr>
          <w:i/>
          <w:iCs/>
        </w:rPr>
        <w:t xml:space="preserve">Gastroenterology</w:t>
      </w:r>
      <w:r>
        <w:t xml:space="preserve"> </w:t>
      </w:r>
      <w:r>
        <w:t xml:space="preserve">2023;165(3):647-655.</w:t>
      </w:r>
      <w:r>
        <w:t xml:space="preserve"> </w:t>
      </w:r>
      <w:hyperlink r:id="rId93">
        <w:r>
          <w:rPr>
            <w:rStyle w:val="Hyperlink"/>
          </w:rPr>
          <w:t xml:space="preserve">PMID 37315866</w:t>
        </w:r>
      </w:hyperlink>
    </w:p>
    <w:p>
      <w:pPr>
        <w:pStyle w:val="Compact"/>
        <w:numPr>
          <w:ilvl w:val="0"/>
          <w:numId w:val="1027"/>
        </w:numPr>
      </w:pPr>
      <w:r>
        <w:t xml:space="preserve">Chen F, Tan N, Chen S, et al. The Disease Spectrum and Natural History of Patients With Abdominal Bloating or Distension: A Longitudinal Study.</w:t>
      </w:r>
      <w:r>
        <w:t xml:space="preserve"> </w:t>
      </w:r>
      <w:r>
        <w:rPr>
          <w:i/>
          <w:iCs/>
        </w:rPr>
        <w:t xml:space="preserve">J Neurogastroenterol Motil</w:t>
      </w:r>
      <w:r>
        <w:t xml:space="preserve"> </w:t>
      </w:r>
      <w:r>
        <w:t xml:space="preserve">2024;30(1):64-72.</w:t>
      </w:r>
      <w:r>
        <w:t xml:space="preserve"> </w:t>
      </w:r>
      <w:hyperlink r:id="rId94">
        <w:r>
          <w:rPr>
            <w:rStyle w:val="Hyperlink"/>
          </w:rPr>
          <w:t xml:space="preserve">PMID 38173159</w:t>
        </w:r>
      </w:hyperlink>
    </w:p>
    <w:p>
      <w:pPr>
        <w:pStyle w:val="Compact"/>
        <w:numPr>
          <w:ilvl w:val="0"/>
          <w:numId w:val="1027"/>
        </w:numPr>
      </w:pPr>
      <w:r>
        <w:t xml:space="preserve">Melchior C, Hammer H, Bor S, et al. European Consensus on Functional Bloating and Abdominal Distension — An ESNM/UEG Recommendations for Clinical Management.</w:t>
      </w:r>
      <w:r>
        <w:t xml:space="preserve"> </w:t>
      </w:r>
      <w:r>
        <w:rPr>
          <w:i/>
          <w:iCs/>
        </w:rPr>
        <w:t xml:space="preserve">United European Gastroenterol J</w:t>
      </w:r>
      <w:r>
        <w:t xml:space="preserve"> </w:t>
      </w:r>
      <w:r>
        <w:t xml:space="preserve">2025;13(9):1613-1651.</w:t>
      </w:r>
      <w:r>
        <w:t xml:space="preserve"> </w:t>
      </w:r>
      <w:hyperlink r:id="rId95">
        <w:r>
          <w:rPr>
            <w:rStyle w:val="Hyperlink"/>
          </w:rPr>
          <w:t xml:space="preserve">PMID 40844856</w:t>
        </w:r>
      </w:hyperlink>
    </w:p>
    <w:p>
      <w:pPr>
        <w:pStyle w:val="Compact"/>
        <w:numPr>
          <w:ilvl w:val="0"/>
          <w:numId w:val="1027"/>
        </w:numPr>
      </w:pPr>
      <w:r>
        <w:t xml:space="preserve">Tremolaterra F, Villoria A, Azpiroz F, et al. Impaired viscerosomatic reflexes and abdominal-wall dystony associated with bloating.</w:t>
      </w:r>
      <w:r>
        <w:t xml:space="preserve"> </w:t>
      </w:r>
      <w:r>
        <w:rPr>
          <w:i/>
          <w:iCs/>
        </w:rPr>
        <w:t xml:space="preserve">Gastroenterology</w:t>
      </w:r>
      <w:r>
        <w:t xml:space="preserve"> </w:t>
      </w:r>
      <w:r>
        <w:t xml:space="preserve">2006;130(4):1062-1068.</w:t>
      </w:r>
      <w:r>
        <w:t xml:space="preserve"> </w:t>
      </w:r>
      <w:hyperlink r:id="rId96">
        <w:r>
          <w:rPr>
            <w:rStyle w:val="Hyperlink"/>
          </w:rPr>
          <w:t xml:space="preserve">PMID 16618400</w:t>
        </w:r>
      </w:hyperlink>
    </w:p>
    <w:p>
      <w:pPr>
        <w:pStyle w:val="Compact"/>
        <w:numPr>
          <w:ilvl w:val="0"/>
          <w:numId w:val="1027"/>
        </w:numPr>
      </w:pPr>
      <w:r>
        <w:t xml:space="preserve">Villoria A, Azpiroz F, Soldevilla A, et al. Abdominal accommodation: a coordinated adaptation of the abdominal wall to its content.</w:t>
      </w:r>
      <w:r>
        <w:t xml:space="preserve"> </w:t>
      </w:r>
      <w:r>
        <w:rPr>
          <w:i/>
          <w:iCs/>
        </w:rPr>
        <w:t xml:space="preserve">Am J Gastroenterol</w:t>
      </w:r>
      <w:r>
        <w:t xml:space="preserve"> </w:t>
      </w:r>
      <w:r>
        <w:t xml:space="preserve">2008;103(11):2807-2815.</w:t>
      </w:r>
      <w:r>
        <w:t xml:space="preserve"> </w:t>
      </w:r>
      <w:hyperlink r:id="rId97">
        <w:r>
          <w:rPr>
            <w:rStyle w:val="Hyperlink"/>
          </w:rPr>
          <w:t xml:space="preserve">PMID 18786126</w:t>
        </w:r>
      </w:hyperlink>
    </w:p>
    <w:p>
      <w:pPr>
        <w:pStyle w:val="Compact"/>
        <w:numPr>
          <w:ilvl w:val="0"/>
          <w:numId w:val="1027"/>
        </w:numPr>
      </w:pPr>
      <w:r>
        <w:t xml:space="preserve">Barba E, Burri E, Accarino A, et al. Abdominothoracic mechanisms of functional abdominal distension and correction by biofeedback.</w:t>
      </w:r>
      <w:r>
        <w:t xml:space="preserve"> </w:t>
      </w:r>
      <w:r>
        <w:rPr>
          <w:i/>
          <w:iCs/>
        </w:rPr>
        <w:t xml:space="preserve">Gastroenterology</w:t>
      </w:r>
      <w:r>
        <w:t xml:space="preserve"> </w:t>
      </w:r>
      <w:r>
        <w:t xml:space="preserve">2015;148(4):732-739.</w:t>
      </w:r>
      <w:r>
        <w:t xml:space="preserve"> </w:t>
      </w:r>
      <w:hyperlink r:id="rId98">
        <w:r>
          <w:rPr>
            <w:rStyle w:val="Hyperlink"/>
          </w:rPr>
          <w:t xml:space="preserve">PMID 25500424</w:t>
        </w:r>
      </w:hyperlink>
    </w:p>
    <w:p>
      <w:pPr>
        <w:pStyle w:val="Compact"/>
        <w:numPr>
          <w:ilvl w:val="0"/>
          <w:numId w:val="1027"/>
        </w:numPr>
      </w:pPr>
      <w:r>
        <w:t xml:space="preserve">Villoria A, Azpiroz F, Burri E, et al. Abdomino-phrenic dyssynergia in patients with abdominal bloating and distension.</w:t>
      </w:r>
      <w:r>
        <w:t xml:space="preserve"> </w:t>
      </w:r>
      <w:r>
        <w:rPr>
          <w:i/>
          <w:iCs/>
        </w:rPr>
        <w:t xml:space="preserve">Am J Gastroenterol</w:t>
      </w:r>
      <w:r>
        <w:t xml:space="preserve"> </w:t>
      </w:r>
      <w:r>
        <w:t xml:space="preserve">2011;106(5):815-819.</w:t>
      </w:r>
      <w:r>
        <w:t xml:space="preserve"> </w:t>
      </w:r>
      <w:hyperlink r:id="rId99">
        <w:r>
          <w:rPr>
            <w:rStyle w:val="Hyperlink"/>
          </w:rPr>
          <w:t xml:space="preserve">PMID 21540894</w:t>
        </w:r>
      </w:hyperlink>
    </w:p>
    <w:p>
      <w:pPr>
        <w:pStyle w:val="Compact"/>
        <w:numPr>
          <w:ilvl w:val="0"/>
          <w:numId w:val="1027"/>
        </w:numPr>
      </w:pPr>
      <w:r>
        <w:t xml:space="preserve">Bendezú RA, Barba E, Burri E, et al. Intestinal gas content and distribution in health and in patients with functional gut symptoms.</w:t>
      </w:r>
      <w:r>
        <w:t xml:space="preserve"> </w:t>
      </w:r>
      <w:r>
        <w:rPr>
          <w:i/>
          <w:iCs/>
        </w:rPr>
        <w:t xml:space="preserve">Neurogastroenterol Motil</w:t>
      </w:r>
      <w:r>
        <w:t xml:space="preserve"> </w:t>
      </w:r>
      <w:r>
        <w:t xml:space="preserve">2015;27(9):1249-1257.</w:t>
      </w:r>
      <w:r>
        <w:t xml:space="preserve"> </w:t>
      </w:r>
      <w:hyperlink r:id="rId100">
        <w:r>
          <w:rPr>
            <w:rStyle w:val="Hyperlink"/>
          </w:rPr>
          <w:t xml:space="preserve">PMID 26095329</w:t>
        </w:r>
      </w:hyperlink>
    </w:p>
    <w:p>
      <w:pPr>
        <w:pStyle w:val="Compact"/>
        <w:numPr>
          <w:ilvl w:val="0"/>
          <w:numId w:val="1027"/>
        </w:numPr>
      </w:pPr>
      <w:r>
        <w:t xml:space="preserve">Villoria A, Serra J, Azpiroz F, Malagelada JR. Physical activity and intestinal gas clearance in patients with bloating.</w:t>
      </w:r>
      <w:r>
        <w:t xml:space="preserve"> </w:t>
      </w:r>
      <w:r>
        <w:rPr>
          <w:i/>
          <w:iCs/>
        </w:rPr>
        <w:t xml:space="preserve">Am J Gastroenterol</w:t>
      </w:r>
      <w:r>
        <w:t xml:space="preserve"> </w:t>
      </w:r>
      <w:r>
        <w:t xml:space="preserve">2006;101(11):2552-2557.</w:t>
      </w:r>
      <w:r>
        <w:t xml:space="preserve"> </w:t>
      </w:r>
      <w:hyperlink r:id="rId101">
        <w:r>
          <w:rPr>
            <w:rStyle w:val="Hyperlink"/>
          </w:rPr>
          <w:t xml:space="preserve">PMID 17029608</w:t>
        </w:r>
      </w:hyperlink>
    </w:p>
    <w:p>
      <w:pPr>
        <w:pStyle w:val="Compact"/>
        <w:numPr>
          <w:ilvl w:val="0"/>
          <w:numId w:val="1027"/>
        </w:numPr>
      </w:pPr>
      <w:r>
        <w:t xml:space="preserve">Agrawal A, Houghton LA, Lea R, et al. Bloating and distention in irritable bowel syndrome: the role of visceral sensation.</w:t>
      </w:r>
      <w:r>
        <w:t xml:space="preserve"> </w:t>
      </w:r>
      <w:r>
        <w:rPr>
          <w:i/>
          <w:iCs/>
        </w:rPr>
        <w:t xml:space="preserve">Gastroenterology</w:t>
      </w:r>
      <w:r>
        <w:t xml:space="preserve"> </w:t>
      </w:r>
      <w:r>
        <w:t xml:space="preserve">2008;134(7):1882-1889.</w:t>
      </w:r>
      <w:r>
        <w:t xml:space="preserve"> </w:t>
      </w:r>
      <w:hyperlink r:id="rId102">
        <w:r>
          <w:rPr>
            <w:rStyle w:val="Hyperlink"/>
          </w:rPr>
          <w:t xml:space="preserve">PMID 18455167</w:t>
        </w:r>
      </w:hyperlink>
    </w:p>
    <w:p>
      <w:pPr>
        <w:pStyle w:val="Compact"/>
        <w:numPr>
          <w:ilvl w:val="0"/>
          <w:numId w:val="1027"/>
        </w:numPr>
      </w:pPr>
      <w:r>
        <w:t xml:space="preserve">Livovsky DM, Barber C, Barba E, Accarino A, Azpiroz F. Abdominothoracic Postural Tone Influences the Sensations Induced by Meal Ingestion.</w:t>
      </w:r>
      <w:r>
        <w:t xml:space="preserve"> </w:t>
      </w:r>
      <w:r>
        <w:rPr>
          <w:i/>
          <w:iCs/>
        </w:rPr>
        <w:t xml:space="preserve">Nutrients</w:t>
      </w:r>
      <w:r>
        <w:t xml:space="preserve"> </w:t>
      </w:r>
      <w:r>
        <w:t xml:space="preserve">2021;13(2):658.</w:t>
      </w:r>
      <w:r>
        <w:t xml:space="preserve"> </w:t>
      </w:r>
      <w:hyperlink r:id="rId103">
        <w:r>
          <w:rPr>
            <w:rStyle w:val="Hyperlink"/>
          </w:rPr>
          <w:t xml:space="preserve">PMID 33670508</w:t>
        </w:r>
      </w:hyperlink>
    </w:p>
    <w:p>
      <w:pPr>
        <w:pStyle w:val="Compact"/>
        <w:numPr>
          <w:ilvl w:val="0"/>
          <w:numId w:val="1027"/>
        </w:numPr>
      </w:pPr>
      <w:r>
        <w:t xml:space="preserve">Chakraborty S. Comparing biofeedback device vs diaphragmatic breathing for bloating relief: A randomized controlled trial.</w:t>
      </w:r>
      <w:r>
        <w:t xml:space="preserve"> </w:t>
      </w:r>
      <w:r>
        <w:rPr>
          <w:i/>
          <w:iCs/>
        </w:rPr>
        <w:t xml:space="preserve">Open Med (Wars)</w:t>
      </w:r>
      <w:r>
        <w:t xml:space="preserve"> </w:t>
      </w:r>
      <w:r>
        <w:t xml:space="preserve">2025;20(1):20251319.</w:t>
      </w:r>
      <w:r>
        <w:t xml:space="preserve"> </w:t>
      </w:r>
      <w:hyperlink r:id="rId104">
        <w:r>
          <w:rPr>
            <w:rStyle w:val="Hyperlink"/>
          </w:rPr>
          <w:t xml:space="preserve">PMID 41323646</w:t>
        </w:r>
      </w:hyperlink>
    </w:p>
    <w:p>
      <w:pPr>
        <w:pStyle w:val="Compact"/>
        <w:numPr>
          <w:ilvl w:val="0"/>
          <w:numId w:val="1027"/>
        </w:numPr>
      </w:pPr>
      <w:r>
        <w:t xml:space="preserve">Moshiree B, Drossman D, Shaukat A. AGA Clinical Practice Update on Evaluation and Management of Belching, Abdominal Bloating, and Distention: Expert Review.</w:t>
      </w:r>
      <w:r>
        <w:t xml:space="preserve"> </w:t>
      </w:r>
      <w:r>
        <w:rPr>
          <w:i/>
          <w:iCs/>
        </w:rPr>
        <w:t xml:space="preserve">Gastroenterology</w:t>
      </w:r>
      <w:r>
        <w:t xml:space="preserve"> </w:t>
      </w:r>
      <w:r>
        <w:t xml:space="preserve">2023;165(3):791-800.</w:t>
      </w:r>
      <w:r>
        <w:t xml:space="preserve"> </w:t>
      </w:r>
      <w:hyperlink r:id="rId105">
        <w:r>
          <w:rPr>
            <w:rStyle w:val="Hyperlink"/>
          </w:rPr>
          <w:t xml:space="preserve">PMID 37452811</w:t>
        </w:r>
      </w:hyperlink>
    </w:p>
    <w:p>
      <w:pPr>
        <w:pStyle w:val="Compact"/>
        <w:numPr>
          <w:ilvl w:val="0"/>
          <w:numId w:val="1027"/>
        </w:numPr>
      </w:pPr>
      <w:r>
        <w:t xml:space="preserve">Goff BA, Mandel LS, Drescher CW, et al. Development of an ovarian cancer symptom index: possibilities for earlier detection.</w:t>
      </w:r>
      <w:r>
        <w:t xml:space="preserve"> </w:t>
      </w:r>
      <w:r>
        <w:rPr>
          <w:i/>
          <w:iCs/>
        </w:rPr>
        <w:t xml:space="preserve">Cancer</w:t>
      </w:r>
      <w:r>
        <w:t xml:space="preserve"> </w:t>
      </w:r>
      <w:r>
        <w:t xml:space="preserve">2007;109(2):221-227.</w:t>
      </w:r>
      <w:r>
        <w:t xml:space="preserve"> </w:t>
      </w:r>
      <w:hyperlink r:id="rId106">
        <w:r>
          <w:rPr>
            <w:rStyle w:val="Hyperlink"/>
          </w:rPr>
          <w:t xml:space="preserve">PMID 17154394</w:t>
        </w:r>
      </w:hyperlink>
    </w:p>
    <w:p>
      <w:pPr>
        <w:pStyle w:val="Compact"/>
        <w:numPr>
          <w:ilvl w:val="0"/>
          <w:numId w:val="1027"/>
        </w:numPr>
      </w:pPr>
      <w:r>
        <w:t xml:space="preserve">Attali TV, Bouchoucha M, Benamouzig R. Treatment of refractory irritable bowel syndrome with visceral osteopathy: short-term and long-term results of a randomized trial.</w:t>
      </w:r>
      <w:r>
        <w:t xml:space="preserve"> </w:t>
      </w:r>
      <w:r>
        <w:rPr>
          <w:i/>
          <w:iCs/>
        </w:rPr>
        <w:t xml:space="preserve">J Dig Dis</w:t>
      </w:r>
      <w:r>
        <w:t xml:space="preserve"> </w:t>
      </w:r>
      <w:r>
        <w:t xml:space="preserve">2013;14(12):654-661.</w:t>
      </w:r>
      <w:r>
        <w:t xml:space="preserve"> </w:t>
      </w:r>
      <w:hyperlink r:id="rId107">
        <w:r>
          <w:rPr>
            <w:rStyle w:val="Hyperlink"/>
          </w:rPr>
          <w:t xml:space="preserve">PMID 23981319</w:t>
        </w:r>
      </w:hyperlink>
    </w:p>
    <w:p>
      <w:pPr>
        <w:pStyle w:val="Compact"/>
        <w:numPr>
          <w:ilvl w:val="0"/>
          <w:numId w:val="1027"/>
        </w:numPr>
      </w:pPr>
      <w:r>
        <w:t xml:space="preserve">Buffone F, Tarantino AG, Belloni F, et al. Effectiveness of Osteopathic Manipulative Treatment in Adults with Irritable Bowel Syndrome: A Systematic Review and Meta-Analysis.</w:t>
      </w:r>
      <w:r>
        <w:t xml:space="preserve"> </w:t>
      </w:r>
      <w:r>
        <w:rPr>
          <w:i/>
          <w:iCs/>
        </w:rPr>
        <w:t xml:space="preserve">Healthcare (Basel)</w:t>
      </w:r>
      <w:r>
        <w:t xml:space="preserve"> </w:t>
      </w:r>
      <w:r>
        <w:t xml:space="preserve">2023;11(17):2442.</w:t>
      </w:r>
      <w:r>
        <w:t xml:space="preserve"> </w:t>
      </w:r>
      <w:hyperlink r:id="rId108">
        <w:r>
          <w:rPr>
            <w:rStyle w:val="Hyperlink"/>
          </w:rPr>
          <w:t xml:space="preserve">PMID 37685480</w:t>
        </w:r>
      </w:hyperlink>
    </w:p>
    <w:p>
      <w:pPr>
        <w:pStyle w:val="Compact"/>
        <w:numPr>
          <w:ilvl w:val="0"/>
          <w:numId w:val="1027"/>
        </w:numPr>
      </w:pPr>
      <w:r>
        <w:t xml:space="preserve">Guillaud A, Darbois N, Monvoisin R, Pinsault N. Reliability of diagnosis and clinical efficacy of visceral osteopathy: a systematic review.</w:t>
      </w:r>
      <w:r>
        <w:t xml:space="preserve"> </w:t>
      </w:r>
      <w:r>
        <w:rPr>
          <w:i/>
          <w:iCs/>
        </w:rPr>
        <w:t xml:space="preserve">BMC Complement Altern Med</w:t>
      </w:r>
      <w:r>
        <w:t xml:space="preserve"> </w:t>
      </w:r>
      <w:r>
        <w:t xml:space="preserve">2018;18(1):65.</w:t>
      </w:r>
      <w:r>
        <w:t xml:space="preserve"> </w:t>
      </w:r>
      <w:hyperlink r:id="rId109">
        <w:r>
          <w:rPr>
            <w:rStyle w:val="Hyperlink"/>
          </w:rPr>
          <w:t xml:space="preserve">PMID 29452579</w:t>
        </w:r>
      </w:hyperlink>
    </w:p>
    <w:p>
      <w:pPr>
        <w:pStyle w:val="Compact"/>
        <w:numPr>
          <w:ilvl w:val="0"/>
          <w:numId w:val="1027"/>
        </w:numPr>
      </w:pPr>
      <w:r>
        <w:t xml:space="preserve">Cuffe MS, Staudacher HM, Aziz I, et al. Efficacy of dietary interventions in irritable bowel syndrome: a systematic review and network meta-analysis.</w:t>
      </w:r>
      <w:r>
        <w:t xml:space="preserve"> </w:t>
      </w:r>
      <w:r>
        <w:rPr>
          <w:i/>
          <w:iCs/>
        </w:rPr>
        <w:t xml:space="preserve">Lancet Gastroenterol Hepatol</w:t>
      </w:r>
      <w:r>
        <w:t xml:space="preserve"> </w:t>
      </w:r>
      <w:r>
        <w:t xml:space="preserve">2025;10(6):520-536.</w:t>
      </w:r>
      <w:r>
        <w:t xml:space="preserve"> </w:t>
      </w:r>
      <w:hyperlink r:id="rId110">
        <w:r>
          <w:rPr>
            <w:rStyle w:val="Hyperlink"/>
          </w:rPr>
          <w:t xml:space="preserve">PMID 40258374</w:t>
        </w:r>
      </w:hyperlink>
    </w:p>
    <w:p>
      <w:pPr>
        <w:pStyle w:val="Compact"/>
        <w:numPr>
          <w:ilvl w:val="0"/>
          <w:numId w:val="1027"/>
        </w:numPr>
      </w:pPr>
      <w:r>
        <w:t xml:space="preserve">Laborde S, Allen MS, Borges U, et al. Effects of voluntary slow breathing on heart rate and heart rate variability: A systematic review and a meta-analysis.</w:t>
      </w:r>
      <w:r>
        <w:t xml:space="preserve"> </w:t>
      </w:r>
      <w:r>
        <w:rPr>
          <w:i/>
          <w:iCs/>
        </w:rPr>
        <w:t xml:space="preserve">Neurosci Biobehav Rev</w:t>
      </w:r>
      <w:r>
        <w:t xml:space="preserve"> </w:t>
      </w:r>
      <w:r>
        <w:t xml:space="preserve">2022;138:104711.</w:t>
      </w:r>
      <w:r>
        <w:t xml:space="preserve"> </w:t>
      </w:r>
      <w:hyperlink r:id="rId111">
        <w:r>
          <w:rPr>
            <w:rStyle w:val="Hyperlink"/>
          </w:rPr>
          <w:t xml:space="preserve">PMID 35623448</w:t>
        </w:r>
      </w:hyperlink>
    </w:p>
    <w:p>
      <w:pPr>
        <w:pStyle w:val="Compact"/>
        <w:numPr>
          <w:ilvl w:val="0"/>
          <w:numId w:val="1027"/>
        </w:numPr>
      </w:pPr>
      <w:r>
        <w:t xml:space="preserve">Gordon TC, Hope-Bell J, Draper-Rodi J, et al. Effects of manual osteopathic interventions on psychometric and psychophysiological indicators of anxiety, depression and stress in adults.</w:t>
      </w:r>
      <w:r>
        <w:t xml:space="preserve"> </w:t>
      </w:r>
      <w:r>
        <w:rPr>
          <w:i/>
          <w:iCs/>
        </w:rPr>
        <w:t xml:space="preserve">BMJ Open</w:t>
      </w:r>
      <w:r>
        <w:t xml:space="preserve"> </w:t>
      </w:r>
      <w:r>
        <w:t xml:space="preserve">2025;15(2):e095933.</w:t>
      </w:r>
      <w:r>
        <w:t xml:space="preserve"> </w:t>
      </w:r>
      <w:hyperlink r:id="rId112">
        <w:r>
          <w:rPr>
            <w:rStyle w:val="Hyperlink"/>
          </w:rPr>
          <w:t xml:space="preserve">PMID 39920074</w:t>
        </w:r>
      </w:hyperlink>
    </w:p>
    <w:p>
      <w:pPr>
        <w:pStyle w:val="Compact"/>
        <w:numPr>
          <w:ilvl w:val="0"/>
          <w:numId w:val="1027"/>
        </w:numPr>
      </w:pPr>
      <w:r>
        <w:t xml:space="preserve">Johannesson E, Simrén M, Strid H, Bajor A, Sadik R. Physical activity improves symptoms in irritable bowel syndrome: a randomized controlled trial.</w:t>
      </w:r>
      <w:r>
        <w:t xml:space="preserve"> </w:t>
      </w:r>
      <w:r>
        <w:rPr>
          <w:i/>
          <w:iCs/>
        </w:rPr>
        <w:t xml:space="preserve">Am J Gastroenterol</w:t>
      </w:r>
      <w:r>
        <w:t xml:space="preserve"> </w:t>
      </w:r>
      <w:r>
        <w:t xml:space="preserve">2011;106(5):915-922.</w:t>
      </w:r>
      <w:r>
        <w:t xml:space="preserve"> </w:t>
      </w:r>
      <w:hyperlink r:id="rId113">
        <w:r>
          <w:rPr>
            <w:rStyle w:val="Hyperlink"/>
          </w:rPr>
          <w:t xml:space="preserve">PMID 21206488</w:t>
        </w:r>
      </w:hyperlink>
    </w:p>
    <w:p>
      <w:pPr>
        <w:pStyle w:val="Compact"/>
        <w:numPr>
          <w:ilvl w:val="0"/>
          <w:numId w:val="1027"/>
        </w:numPr>
      </w:pPr>
      <w:r>
        <w:t xml:space="preserve">Barba E, Sánchez B, Burri E, et al. Abdominal distension after eating lettuce: The role of intestinal gas evaluated in vitro and by abdominal CT imaging.</w:t>
      </w:r>
      <w:r>
        <w:t xml:space="preserve"> </w:t>
      </w:r>
      <w:r>
        <w:rPr>
          <w:i/>
          <w:iCs/>
        </w:rPr>
        <w:t xml:space="preserve">Neurogastroenterol Motil</w:t>
      </w:r>
      <w:r>
        <w:t xml:space="preserve"> </w:t>
      </w:r>
      <w:r>
        <w:t xml:space="preserve">2019;31(12):e13703.</w:t>
      </w:r>
      <w:r>
        <w:t xml:space="preserve"> </w:t>
      </w:r>
      <w:hyperlink r:id="rId114">
        <w:r>
          <w:rPr>
            <w:rStyle w:val="Hyperlink"/>
          </w:rPr>
          <w:t xml:space="preserve">PMID 31402544</w:t>
        </w:r>
      </w:hyperlink>
    </w:p>
    <w:p>
      <w:pPr>
        <w:pStyle w:val="Compact"/>
        <w:numPr>
          <w:ilvl w:val="0"/>
          <w:numId w:val="1027"/>
        </w:numPr>
      </w:pPr>
      <w:r>
        <w:t xml:space="preserve">Agarwal SK, Misra A, Aggarwal P, et al. Waist circumference measurement by site, posture, respiratory phase, and meal time: implications for methodology.</w:t>
      </w:r>
      <w:r>
        <w:t xml:space="preserve"> </w:t>
      </w:r>
      <w:r>
        <w:rPr>
          <w:i/>
          <w:iCs/>
        </w:rPr>
        <w:t xml:space="preserve">Obesity (Silver Spring)</w:t>
      </w:r>
      <w:r>
        <w:t xml:space="preserve"> </w:t>
      </w:r>
      <w:r>
        <w:t xml:space="preserve">2009;17(5):1056-1061.</w:t>
      </w:r>
      <w:r>
        <w:t xml:space="preserve"> </w:t>
      </w:r>
      <w:hyperlink r:id="rId115">
        <w:r>
          <w:rPr>
            <w:rStyle w:val="Hyperlink"/>
          </w:rPr>
          <w:t xml:space="preserve">PMID 19165166</w:t>
        </w:r>
      </w:hyperlink>
    </w:p>
    <w:p>
      <w:pPr>
        <w:pStyle w:val="Compact"/>
        <w:numPr>
          <w:ilvl w:val="0"/>
          <w:numId w:val="1027"/>
        </w:numPr>
      </w:pPr>
      <w:r>
        <w:t xml:space="preserve">Jalleh RJ, Plummer MP, Marathe CS, et al. Clinical Consequences of Delayed Gastric Emptying With GLP-1 Receptor Agonists and Tirzepatide.</w:t>
      </w:r>
      <w:r>
        <w:t xml:space="preserve"> </w:t>
      </w:r>
      <w:r>
        <w:rPr>
          <w:i/>
          <w:iCs/>
        </w:rPr>
        <w:t xml:space="preserve">J Clin Endocrinol Metab</w:t>
      </w:r>
      <w:r>
        <w:t xml:space="preserve"> </w:t>
      </w:r>
      <w:r>
        <w:t xml:space="preserve">2024;110(1):1-15.</w:t>
      </w:r>
      <w:r>
        <w:t xml:space="preserve"> </w:t>
      </w:r>
      <w:hyperlink r:id="rId116">
        <w:r>
          <w:rPr>
            <w:rStyle w:val="Hyperlink"/>
          </w:rPr>
          <w:t xml:space="preserve">PMID 39418085</w:t>
        </w:r>
      </w:hyperlink>
    </w:p>
    <w:p>
      <w:pPr>
        <w:pStyle w:val="Compact"/>
        <w:numPr>
          <w:ilvl w:val="0"/>
          <w:numId w:val="1027"/>
        </w:numPr>
      </w:pPr>
      <w:r>
        <w:t xml:space="preserve">Malagelada JR, Accarino A, Azpiroz F. Bloating and Abdominal Distension: Old Misconceptions and Current Knowledge.</w:t>
      </w:r>
      <w:r>
        <w:t xml:space="preserve"> </w:t>
      </w:r>
      <w:r>
        <w:rPr>
          <w:i/>
          <w:iCs/>
        </w:rPr>
        <w:t xml:space="preserve">Am J Gastroenterol</w:t>
      </w:r>
      <w:r>
        <w:t xml:space="preserve"> </w:t>
      </w:r>
      <w:r>
        <w:t xml:space="preserve">2017;112(8):1221-1231.</w:t>
      </w:r>
      <w:r>
        <w:t xml:space="preserve"> </w:t>
      </w:r>
      <w:hyperlink r:id="rId117">
        <w:r>
          <w:rPr>
            <w:rStyle w:val="Hyperlink"/>
          </w:rPr>
          <w:t xml:space="preserve">PMID 28508867</w:t>
        </w:r>
      </w:hyperlink>
    </w:p>
    <w:p>
      <w:pPr>
        <w:pStyle w:val="Compact"/>
        <w:numPr>
          <w:ilvl w:val="0"/>
          <w:numId w:val="1027"/>
        </w:numPr>
      </w:pPr>
      <w:r>
        <w:t xml:space="preserve">Damianos JA, Tomar V, Azpiroz F, Barba E. Abdominal Distention: Pathophysiology and Management.</w:t>
      </w:r>
      <w:r>
        <w:t xml:space="preserve"> </w:t>
      </w:r>
      <w:r>
        <w:rPr>
          <w:i/>
          <w:iCs/>
        </w:rPr>
        <w:t xml:space="preserve">Am J Gastroenterol</w:t>
      </w:r>
      <w:r>
        <w:t xml:space="preserve"> </w:t>
      </w:r>
      <w:r>
        <w:t xml:space="preserve">2023;118(3):422-425.</w:t>
      </w:r>
      <w:r>
        <w:t xml:space="preserve"> </w:t>
      </w:r>
      <w:hyperlink r:id="rId118">
        <w:r>
          <w:rPr>
            <w:rStyle w:val="Hyperlink"/>
          </w:rPr>
          <w:t xml:space="preserve">PMID 36191283</w:t>
        </w:r>
      </w:hyperlink>
    </w:p>
    <w:p>
      <w:pPr>
        <w:pStyle w:val="Compact"/>
        <w:numPr>
          <w:ilvl w:val="0"/>
          <w:numId w:val="1027"/>
        </w:numPr>
      </w:pPr>
      <w:r>
        <w:t xml:space="preserve">Chaikof EL, Dalman RL, Eskandari MK, et al. The Society for Vascular Surgery practice guidelines on the care of patients with an abdominal aortic aneurysm.</w:t>
      </w:r>
      <w:r>
        <w:t xml:space="preserve"> </w:t>
      </w:r>
      <w:r>
        <w:rPr>
          <w:i/>
          <w:iCs/>
        </w:rPr>
        <w:t xml:space="preserve">J Vasc Surg</w:t>
      </w:r>
      <w:r>
        <w:t xml:space="preserve"> </w:t>
      </w:r>
      <w:r>
        <w:t xml:space="preserve">2018;67(1):2-77.</w:t>
      </w:r>
      <w:r>
        <w:t xml:space="preserve"> </w:t>
      </w:r>
      <w:hyperlink r:id="rId119">
        <w:r>
          <w:rPr>
            <w:rStyle w:val="Hyperlink"/>
          </w:rPr>
          <w:t xml:space="preserve">PMID 29268916</w:t>
        </w:r>
      </w:hyperlink>
    </w:p>
    <w:p>
      <w:pPr>
        <w:pStyle w:val="Compact"/>
        <w:numPr>
          <w:ilvl w:val="0"/>
          <w:numId w:val="1027"/>
        </w:numPr>
      </w:pPr>
      <w:r>
        <w:t xml:space="preserve">Kwon L. Fatal rectus sheath hematoma in an anticoagulated patient after repeated mechanical treatment of the abdominal wall.</w:t>
      </w:r>
      <w:r>
        <w:t xml:space="preserve"> </w:t>
      </w:r>
      <w:r>
        <w:rPr>
          <w:i/>
          <w:iCs/>
        </w:rPr>
        <w:t xml:space="preserve">Biomed Hub</w:t>
      </w:r>
      <w:r>
        <w:t xml:space="preserve"> </w:t>
      </w:r>
      <w:r>
        <w:t xml:space="preserve">2024;9(1):89-93.</w:t>
      </w:r>
      <w:r>
        <w:t xml:space="preserve"> </w:t>
      </w:r>
      <w:hyperlink r:id="rId120">
        <w:r>
          <w:rPr>
            <w:rStyle w:val="Hyperlink"/>
          </w:rPr>
          <w:t xml:space="preserve">PMID 39015201</w:t>
        </w:r>
      </w:hyperlink>
    </w:p>
    <w:p>
      <w:pPr>
        <w:pStyle w:val="Compact"/>
        <w:numPr>
          <w:ilvl w:val="0"/>
          <w:numId w:val="1027"/>
        </w:numPr>
      </w:pPr>
      <w:r>
        <w:t xml:space="preserve">To D, Tibbles A, Funabashi M. Rib fractures following manual therapy: a case series.</w:t>
      </w:r>
      <w:r>
        <w:t xml:space="preserve"> </w:t>
      </w:r>
      <w:r>
        <w:rPr>
          <w:i/>
          <w:iCs/>
        </w:rPr>
        <w:t xml:space="preserve">J Can Chiropr Assoc</w:t>
      </w:r>
      <w:r>
        <w:t xml:space="preserve"> </w:t>
      </w:r>
      <w:r>
        <w:t xml:space="preserve">2020;64(1):7-15.</w:t>
      </w:r>
      <w:r>
        <w:t xml:space="preserve"> </w:t>
      </w:r>
      <w:hyperlink r:id="rId121">
        <w:r>
          <w:rPr>
            <w:rStyle w:val="Hyperlink"/>
          </w:rPr>
          <w:t xml:space="preserve">PMID 32476664</w:t>
        </w:r>
      </w:hyperlink>
    </w:p>
    <w:p>
      <w:pPr>
        <w:pStyle w:val="Compact"/>
        <w:numPr>
          <w:ilvl w:val="0"/>
          <w:numId w:val="1027"/>
        </w:numPr>
      </w:pPr>
      <w:r>
        <w:t xml:space="preserve">Mikhael-Moussa H, Melchior C, et al. Avoidant/restrictive food intake disorder symptoms in patients with disorders of gut-brain interaction.</w:t>
      </w:r>
      <w:r>
        <w:t xml:space="preserve"> </w:t>
      </w:r>
      <w:r>
        <w:rPr>
          <w:i/>
          <w:iCs/>
        </w:rPr>
        <w:t xml:space="preserve">Neurogastroenterol Motil</w:t>
      </w:r>
      <w:r>
        <w:t xml:space="preserve"> </w:t>
      </w:r>
      <w:r>
        <w:t xml:space="preserve">2025;37(9):e70039.</w:t>
      </w:r>
      <w:r>
        <w:t xml:space="preserve"> </w:t>
      </w:r>
      <w:hyperlink r:id="rId122">
        <w:r>
          <w:rPr>
            <w:rStyle w:val="Hyperlink"/>
          </w:rPr>
          <w:t xml:space="preserve">PMID 40159723</w:t>
        </w:r>
      </w:hyperlink>
    </w:p>
    <w:p>
      <w:pPr>
        <w:pStyle w:val="Compact"/>
        <w:numPr>
          <w:ilvl w:val="0"/>
          <w:numId w:val="1027"/>
        </w:numPr>
      </w:pPr>
      <w:r>
        <w:t xml:space="preserve">Midenfjord I, Grinsvall C, Koj P, et al. Central sensitization and severity of gastrointestinal symptoms in irritable bowel syndrome.</w:t>
      </w:r>
      <w:r>
        <w:t xml:space="preserve"> </w:t>
      </w:r>
      <w:r>
        <w:rPr>
          <w:i/>
          <w:iCs/>
        </w:rPr>
        <w:t xml:space="preserve">Neurogastroenterol Motil</w:t>
      </w:r>
      <w:r>
        <w:t xml:space="preserve"> </w:t>
      </w:r>
      <w:r>
        <w:t xml:space="preserve">2021;33(3):e14063.</w:t>
      </w:r>
      <w:r>
        <w:t xml:space="preserve"> </w:t>
      </w:r>
      <w:hyperlink r:id="rId123">
        <w:r>
          <w:rPr>
            <w:rStyle w:val="Hyperlink"/>
          </w:rPr>
          <w:t xml:space="preserve">PMID 33860970</w:t>
        </w:r>
      </w:hyperlink>
    </w:p>
    <w:p>
      <w:pPr>
        <w:pStyle w:val="Compact"/>
        <w:numPr>
          <w:ilvl w:val="0"/>
          <w:numId w:val="1027"/>
        </w:numPr>
      </w:pPr>
      <w:r>
        <w:t xml:space="preserve">Zadeh AH, et al. Spinal musculoskeletal determinants of abdominal bloating and distension: a review.</w:t>
      </w:r>
      <w:r>
        <w:t xml:space="preserve"> </w:t>
      </w:r>
      <w:r>
        <w:rPr>
          <w:i/>
          <w:iCs/>
        </w:rPr>
        <w:t xml:space="preserve">Health Sci Rep</w:t>
      </w:r>
      <w:r>
        <w:t xml:space="preserve"> </w:t>
      </w:r>
      <w:r>
        <w:t xml:space="preserve">2025.</w:t>
      </w:r>
      <w:r>
        <w:t xml:space="preserve"> </w:t>
      </w:r>
      <w:hyperlink r:id="rId124">
        <w:r>
          <w:rPr>
            <w:rStyle w:val="Hyperlink"/>
          </w:rPr>
          <w:t xml:space="preserve">PMID 40636528</w:t>
        </w:r>
      </w:hyperlink>
    </w:p>
    <w:p>
      <w:pPr>
        <w:pStyle w:val="Compact"/>
        <w:numPr>
          <w:ilvl w:val="0"/>
          <w:numId w:val="1027"/>
        </w:numPr>
      </w:pPr>
      <w:r>
        <w:t xml:space="preserve">Barba E, Accarino A, Azpiroz F, et al. Visible abdominal distension in functional gut disorders: Objective evaluation.</w:t>
      </w:r>
      <w:r>
        <w:t xml:space="preserve"> </w:t>
      </w:r>
      <w:r>
        <w:rPr>
          <w:i/>
          <w:iCs/>
        </w:rPr>
        <w:t xml:space="preserve">Neurogastroenterol Motil</w:t>
      </w:r>
      <w:r>
        <w:t xml:space="preserve"> </w:t>
      </w:r>
      <w:r>
        <w:t xml:space="preserve">2023;35(1):e14453.</w:t>
      </w:r>
      <w:r>
        <w:t xml:space="preserve"> </w:t>
      </w:r>
      <w:hyperlink r:id="rId125">
        <w:r>
          <w:rPr>
            <w:rStyle w:val="Hyperlink"/>
          </w:rPr>
          <w:t xml:space="preserve">PMID 36153798</w:t>
        </w:r>
      </w:hyperlink>
    </w:p>
    <w:p>
      <w:pPr>
        <w:pStyle w:val="Compact"/>
        <w:numPr>
          <w:ilvl w:val="0"/>
          <w:numId w:val="1027"/>
        </w:numPr>
      </w:pPr>
      <w:r>
        <w:t xml:space="preserve">Barba E, Burri E, Accarino A, et al. Mechanisms of postprandial abdominal bloating and distension in functional dyspepsia.</w:t>
      </w:r>
      <w:r>
        <w:t xml:space="preserve"> </w:t>
      </w:r>
      <w:r>
        <w:rPr>
          <w:i/>
          <w:iCs/>
        </w:rPr>
        <w:t xml:space="preserve">Gut</w:t>
      </w:r>
      <w:r>
        <w:t xml:space="preserve"> </w:t>
      </w:r>
      <w:r>
        <w:t xml:space="preserve">2014;63(4):583-589.</w:t>
      </w:r>
      <w:r>
        <w:t xml:space="preserve"> </w:t>
      </w:r>
      <w:hyperlink r:id="rId126">
        <w:r>
          <w:rPr>
            <w:rStyle w:val="Hyperlink"/>
          </w:rPr>
          <w:t xml:space="preserve">PMID 23645627</w:t>
        </w:r>
      </w:hyperlink>
    </w:p>
    <w:p>
      <w:pPr>
        <w:pStyle w:val="Compact"/>
        <w:numPr>
          <w:ilvl w:val="0"/>
          <w:numId w:val="1027"/>
        </w:numPr>
      </w:pPr>
      <w:r>
        <w:t xml:space="preserve">Bendezú RA, Mego M, Monclus E, et al. Colonic content in health and its relation to functional gut symptoms.</w:t>
      </w:r>
      <w:r>
        <w:t xml:space="preserve"> </w:t>
      </w:r>
      <w:r>
        <w:rPr>
          <w:i/>
          <w:iCs/>
        </w:rPr>
        <w:t xml:space="preserve">Neurogastroenterol Motil</w:t>
      </w:r>
      <w:r>
        <w:t xml:space="preserve"> </w:t>
      </w:r>
      <w:r>
        <w:t xml:space="preserve">2016;28(6):849-854.</w:t>
      </w:r>
      <w:r>
        <w:t xml:space="preserve"> </w:t>
      </w:r>
      <w:hyperlink r:id="rId127">
        <w:r>
          <w:rPr>
            <w:rStyle w:val="Hyperlink"/>
          </w:rPr>
          <w:t xml:space="preserve">PMID 26871593</w:t>
        </w:r>
      </w:hyperlink>
    </w:p>
    <w:p>
      <w:pPr>
        <w:pStyle w:val="Compact"/>
        <w:numPr>
          <w:ilvl w:val="0"/>
          <w:numId w:val="1027"/>
        </w:numPr>
      </w:pPr>
      <w:r>
        <w:t xml:space="preserve">Rocha T, Souza H, Brandão DC, et al. The Manual Diaphragm Release Technique improves diaphragmatic mobility, inspiratory capacity and exercise capacity in people with chronic obstructive pulmonary disease: a randomised trial.</w:t>
      </w:r>
      <w:r>
        <w:t xml:space="preserve"> </w:t>
      </w:r>
      <w:r>
        <w:rPr>
          <w:i/>
          <w:iCs/>
        </w:rPr>
        <w:t xml:space="preserve">J Physiother</w:t>
      </w:r>
      <w:r>
        <w:t xml:space="preserve"> </w:t>
      </w:r>
      <w:r>
        <w:t xml:space="preserve">2015;61(4):182-189.</w:t>
      </w:r>
      <w:r>
        <w:t xml:space="preserve"> </w:t>
      </w:r>
      <w:hyperlink r:id="rId128">
        <w:r>
          <w:rPr>
            <w:rStyle w:val="Hyperlink"/>
          </w:rPr>
          <w:t xml:space="preserve">PMID 26386894</w:t>
        </w:r>
      </w:hyperlink>
    </w:p>
    <w:p>
      <w:pPr>
        <w:pStyle w:val="Compact"/>
        <w:numPr>
          <w:ilvl w:val="0"/>
          <w:numId w:val="1027"/>
        </w:numPr>
      </w:pPr>
      <w:r>
        <w:t xml:space="preserve">Nair A, Alaparthi GK, Krishnan S, et al. Comparison of Diaphragmatic Stretch Technique and Manual Diaphragm Release Technique on Diaphragmatic Excursion in Chronic Obstructive Pulmonary Disease: A Randomized Crossover Trial.</w:t>
      </w:r>
      <w:r>
        <w:t xml:space="preserve"> </w:t>
      </w:r>
      <w:r>
        <w:rPr>
          <w:i/>
          <w:iCs/>
        </w:rPr>
        <w:t xml:space="preserve">Pulm Med</w:t>
      </w:r>
      <w:r>
        <w:t xml:space="preserve"> </w:t>
      </w:r>
      <w:r>
        <w:t xml:space="preserve">2019;2019:6364376.</w:t>
      </w:r>
      <w:r>
        <w:t xml:space="preserve"> </w:t>
      </w:r>
      <w:hyperlink r:id="rId129">
        <w:r>
          <w:rPr>
            <w:rStyle w:val="Hyperlink"/>
          </w:rPr>
          <w:t xml:space="preserve">PMID 30719351</w:t>
        </w:r>
      </w:hyperlink>
    </w:p>
    <w:p>
      <w:pPr>
        <w:pStyle w:val="Compact"/>
        <w:numPr>
          <w:ilvl w:val="0"/>
          <w:numId w:val="1027"/>
        </w:numPr>
      </w:pPr>
      <w:r>
        <w:t xml:space="preserve">Kaptchuk TJ, Kelley JM, Conboy LA, et al. Components of placebo effect: randomised controlled trial in patients with irritable bowel syndrome.</w:t>
      </w:r>
      <w:r>
        <w:t xml:space="preserve"> </w:t>
      </w:r>
      <w:r>
        <w:rPr>
          <w:i/>
          <w:iCs/>
        </w:rPr>
        <w:t xml:space="preserve">BMJ</w:t>
      </w:r>
      <w:r>
        <w:t xml:space="preserve"> </w:t>
      </w:r>
      <w:r>
        <w:t xml:space="preserve">2008;336(7651):999-1003.</w:t>
      </w:r>
      <w:r>
        <w:t xml:space="preserve"> </w:t>
      </w:r>
      <w:hyperlink r:id="rId130">
        <w:r>
          <w:rPr>
            <w:rStyle w:val="Hyperlink"/>
          </w:rPr>
          <w:t xml:space="preserve">PMID 18390493</w:t>
        </w:r>
      </w:hyperlink>
    </w:p>
    <w:p>
      <w:pPr>
        <w:pStyle w:val="Compact"/>
        <w:numPr>
          <w:ilvl w:val="0"/>
          <w:numId w:val="1027"/>
        </w:numPr>
      </w:pPr>
      <w:r>
        <w:t xml:space="preserve">Thakur ER, Khasawneh M, Moayyedi P, Black CJ, Ford AC. Efficacy of behavioural therapies for irritable bowel syndrome: a systematic review and network meta-analysis.</w:t>
      </w:r>
      <w:r>
        <w:t xml:space="preserve"> </w:t>
      </w:r>
      <w:r>
        <w:rPr>
          <w:i/>
          <w:iCs/>
        </w:rPr>
        <w:t xml:space="preserve">Lancet Gastroenterol Hepatol</w:t>
      </w:r>
      <w:r>
        <w:t xml:space="preserve"> </w:t>
      </w:r>
      <w:r>
        <w:t xml:space="preserve">2025.</w:t>
      </w:r>
      <w:r>
        <w:t xml:space="preserve"> </w:t>
      </w:r>
      <w:hyperlink r:id="rId131">
        <w:r>
          <w:rPr>
            <w:rStyle w:val="Hyperlink"/>
          </w:rPr>
          <w:t xml:space="preserve">PMID 41077057</w:t>
        </w:r>
      </w:hyperlink>
    </w:p>
    <w:p>
      <w:pPr>
        <w:pStyle w:val="Compact"/>
        <w:numPr>
          <w:ilvl w:val="0"/>
          <w:numId w:val="1027"/>
        </w:numPr>
      </w:pPr>
      <w:r>
        <w:t xml:space="preserve">Wang X, Sun J, Li Z, et al. Impact of abdominal massage on enteral nutrition complications in adult critically ill patients: a systematic review and meta-analysis.</w:t>
      </w:r>
      <w:r>
        <w:t xml:space="preserve"> </w:t>
      </w:r>
      <w:r>
        <w:rPr>
          <w:i/>
          <w:iCs/>
        </w:rPr>
        <w:t xml:space="preserve">Complement Ther Med</w:t>
      </w:r>
      <w:r>
        <w:t xml:space="preserve"> </w:t>
      </w:r>
      <w:r>
        <w:t xml:space="preserve">2022;64:102796.</w:t>
      </w:r>
      <w:r>
        <w:t xml:space="preserve"> </w:t>
      </w:r>
      <w:hyperlink r:id="rId132">
        <w:r>
          <w:rPr>
            <w:rStyle w:val="Hyperlink"/>
          </w:rPr>
          <w:t xml:space="preserve">PMID 34902566</w:t>
        </w:r>
      </w:hyperlink>
    </w:p>
    <w:p>
      <w:pPr>
        <w:pStyle w:val="Compact"/>
        <w:numPr>
          <w:ilvl w:val="0"/>
          <w:numId w:val="1027"/>
        </w:numPr>
      </w:pPr>
      <w:r>
        <w:t xml:space="preserve">Fekri Z, Aghebati N, Sadeghi T, Farzadfard MT. The effects of abdominal</w:t>
      </w:r>
      <w:r>
        <w:t xml:space="preserve"> </w:t>
      </w:r>
      <w:r>
        <w:t xml:space="preserve">“I LOV U”</w:t>
      </w:r>
      <w:r>
        <w:t xml:space="preserve"> </w:t>
      </w:r>
      <w:r>
        <w:t xml:space="preserve">massage along with lifestyle training on constipation and distension in the elderly with stroke.</w:t>
      </w:r>
      <w:r>
        <w:t xml:space="preserve"> </w:t>
      </w:r>
      <w:r>
        <w:rPr>
          <w:i/>
          <w:iCs/>
        </w:rPr>
        <w:t xml:space="preserve">Complement Ther Med</w:t>
      </w:r>
      <w:r>
        <w:t xml:space="preserve"> </w:t>
      </w:r>
      <w:r>
        <w:t xml:space="preserve">2021;57:102665.</w:t>
      </w:r>
      <w:r>
        <w:t xml:space="preserve"> </w:t>
      </w:r>
      <w:hyperlink r:id="rId133">
        <w:r>
          <w:rPr>
            <w:rStyle w:val="Hyperlink"/>
          </w:rPr>
          <w:t xml:space="preserve">PMID 33465382</w:t>
        </w:r>
      </w:hyperlink>
    </w:p>
    <w:p>
      <w:pPr>
        <w:pStyle w:val="Compact"/>
        <w:numPr>
          <w:ilvl w:val="0"/>
          <w:numId w:val="1027"/>
        </w:numPr>
      </w:pPr>
      <w:r>
        <w:t xml:space="preserve">Dehghan M, Malakoutikhah A, Ghaedi Heidari F, Zakeri MA. The Effect of Abdominal Massage on Gastrointestinal Functions: a Systematic Review.</w:t>
      </w:r>
      <w:r>
        <w:t xml:space="preserve"> </w:t>
      </w:r>
      <w:r>
        <w:rPr>
          <w:i/>
          <w:iCs/>
        </w:rPr>
        <w:t xml:space="preserve">Complement Ther Med</w:t>
      </w:r>
      <w:r>
        <w:t xml:space="preserve"> </w:t>
      </w:r>
      <w:r>
        <w:t xml:space="preserve">2020;54:102553.</w:t>
      </w:r>
      <w:r>
        <w:t xml:space="preserve"> </w:t>
      </w:r>
      <w:hyperlink r:id="rId134">
        <w:r>
          <w:rPr>
            <w:rStyle w:val="Hyperlink"/>
          </w:rPr>
          <w:t xml:space="preserve">PMID 33183670</w:t>
        </w:r>
      </w:hyperlink>
    </w:p>
    <w:p>
      <w:pPr>
        <w:pStyle w:val="Compact"/>
        <w:numPr>
          <w:ilvl w:val="0"/>
          <w:numId w:val="1027"/>
        </w:numPr>
      </w:pPr>
      <w:r>
        <w:t xml:space="preserve">Isolated pancreatic injury caused by abdominal massage: a case report.</w:t>
      </w:r>
      <w:r>
        <w:t xml:space="preserve"> </w:t>
      </w:r>
      <w:r>
        <w:rPr>
          <w:i/>
          <w:iCs/>
        </w:rPr>
        <w:t xml:space="preserve">World J Clin Cases</w:t>
      </w:r>
      <w:r>
        <w:t xml:space="preserve"> </w:t>
      </w:r>
      <w:r>
        <w:t xml:space="preserve">2022;10(15):4934-4939.</w:t>
      </w:r>
      <w:r>
        <w:t xml:space="preserve"> </w:t>
      </w:r>
      <w:hyperlink r:id="rId135">
        <w:r>
          <w:rPr>
            <w:rStyle w:val="Hyperlink"/>
          </w:rPr>
          <w:t xml:space="preserve">PMID 35663070</w:t>
        </w:r>
      </w:hyperlink>
    </w:p>
    <w:bookmarkEnd w:id="136"/>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6" Target="https://pubmed.ncbi.nlm.nih.gov/16618400/" TargetMode="External" /><Relationship Type="http://schemas.openxmlformats.org/officeDocument/2006/relationships/hyperlink" Id="rId101" Target="https://pubmed.ncbi.nlm.nih.gov/17029608/" TargetMode="External" /><Relationship Type="http://schemas.openxmlformats.org/officeDocument/2006/relationships/hyperlink" Id="rId106" Target="https://pubmed.ncbi.nlm.nih.gov/17154394/" TargetMode="External" /><Relationship Type="http://schemas.openxmlformats.org/officeDocument/2006/relationships/hyperlink" Id="rId130" Target="https://pubmed.ncbi.nlm.nih.gov/18390493/" TargetMode="External" /><Relationship Type="http://schemas.openxmlformats.org/officeDocument/2006/relationships/hyperlink" Id="rId102" Target="https://pubmed.ncbi.nlm.nih.gov/18455167/" TargetMode="External" /><Relationship Type="http://schemas.openxmlformats.org/officeDocument/2006/relationships/hyperlink" Id="rId97" Target="https://pubmed.ncbi.nlm.nih.gov/18786126/" TargetMode="External" /><Relationship Type="http://schemas.openxmlformats.org/officeDocument/2006/relationships/hyperlink" Id="rId115" Target="https://pubmed.ncbi.nlm.nih.gov/19165166/" TargetMode="External" /><Relationship Type="http://schemas.openxmlformats.org/officeDocument/2006/relationships/hyperlink" Id="rId113" Target="https://pubmed.ncbi.nlm.nih.gov/21206488/" TargetMode="External" /><Relationship Type="http://schemas.openxmlformats.org/officeDocument/2006/relationships/hyperlink" Id="rId99" Target="https://pubmed.ncbi.nlm.nih.gov/21540894/" TargetMode="External" /><Relationship Type="http://schemas.openxmlformats.org/officeDocument/2006/relationships/hyperlink" Id="rId126" Target="https://pubmed.ncbi.nlm.nih.gov/23645627/" TargetMode="External" /><Relationship Type="http://schemas.openxmlformats.org/officeDocument/2006/relationships/hyperlink" Id="rId107" Target="https://pubmed.ncbi.nlm.nih.gov/23981319/" TargetMode="External" /><Relationship Type="http://schemas.openxmlformats.org/officeDocument/2006/relationships/hyperlink" Id="rId98" Target="https://pubmed.ncbi.nlm.nih.gov/25500424/" TargetMode="External" /><Relationship Type="http://schemas.openxmlformats.org/officeDocument/2006/relationships/hyperlink" Id="rId100" Target="https://pubmed.ncbi.nlm.nih.gov/26095329/" TargetMode="External" /><Relationship Type="http://schemas.openxmlformats.org/officeDocument/2006/relationships/hyperlink" Id="rId128" Target="https://pubmed.ncbi.nlm.nih.gov/26386894/" TargetMode="External" /><Relationship Type="http://schemas.openxmlformats.org/officeDocument/2006/relationships/hyperlink" Id="rId127" Target="https://pubmed.ncbi.nlm.nih.gov/26871593/" TargetMode="External" /><Relationship Type="http://schemas.openxmlformats.org/officeDocument/2006/relationships/hyperlink" Id="rId117" Target="https://pubmed.ncbi.nlm.nih.gov/28508867/" TargetMode="External" /><Relationship Type="http://schemas.openxmlformats.org/officeDocument/2006/relationships/hyperlink" Id="rId92" Target="https://pubmed.ncbi.nlm.nih.gov/28705783/" TargetMode="External" /><Relationship Type="http://schemas.openxmlformats.org/officeDocument/2006/relationships/hyperlink" Id="rId119" Target="https://pubmed.ncbi.nlm.nih.gov/29268916/" TargetMode="External" /><Relationship Type="http://schemas.openxmlformats.org/officeDocument/2006/relationships/hyperlink" Id="rId109" Target="https://pubmed.ncbi.nlm.nih.gov/29452579/" TargetMode="External" /><Relationship Type="http://schemas.openxmlformats.org/officeDocument/2006/relationships/hyperlink" Id="rId129" Target="https://pubmed.ncbi.nlm.nih.gov/30719351/" TargetMode="External" /><Relationship Type="http://schemas.openxmlformats.org/officeDocument/2006/relationships/hyperlink" Id="rId114" Target="https://pubmed.ncbi.nlm.nih.gov/31402544/" TargetMode="External" /><Relationship Type="http://schemas.openxmlformats.org/officeDocument/2006/relationships/hyperlink" Id="rId121" Target="https://pubmed.ncbi.nlm.nih.gov/32476664/" TargetMode="External" /><Relationship Type="http://schemas.openxmlformats.org/officeDocument/2006/relationships/hyperlink" Id="rId134" Target="https://pubmed.ncbi.nlm.nih.gov/33183670/" TargetMode="External" /><Relationship Type="http://schemas.openxmlformats.org/officeDocument/2006/relationships/hyperlink" Id="rId133" Target="https://pubmed.ncbi.nlm.nih.gov/33465382/" TargetMode="External" /><Relationship Type="http://schemas.openxmlformats.org/officeDocument/2006/relationships/hyperlink" Id="rId103" Target="https://pubmed.ncbi.nlm.nih.gov/33670508/" TargetMode="External" /><Relationship Type="http://schemas.openxmlformats.org/officeDocument/2006/relationships/hyperlink" Id="rId123" Target="https://pubmed.ncbi.nlm.nih.gov/33860970/" TargetMode="External" /><Relationship Type="http://schemas.openxmlformats.org/officeDocument/2006/relationships/hyperlink" Id="rId132" Target="https://pubmed.ncbi.nlm.nih.gov/34902566/" TargetMode="External" /><Relationship Type="http://schemas.openxmlformats.org/officeDocument/2006/relationships/hyperlink" Id="rId111" Target="https://pubmed.ncbi.nlm.nih.gov/35623448/" TargetMode="External" /><Relationship Type="http://schemas.openxmlformats.org/officeDocument/2006/relationships/hyperlink" Id="rId135" Target="https://pubmed.ncbi.nlm.nih.gov/35663070/" TargetMode="External" /><Relationship Type="http://schemas.openxmlformats.org/officeDocument/2006/relationships/hyperlink" Id="rId125" Target="https://pubmed.ncbi.nlm.nih.gov/36153798/" TargetMode="External" /><Relationship Type="http://schemas.openxmlformats.org/officeDocument/2006/relationships/hyperlink" Id="rId118" Target="https://pubmed.ncbi.nlm.nih.gov/36191283/" TargetMode="External" /><Relationship Type="http://schemas.openxmlformats.org/officeDocument/2006/relationships/hyperlink" Id="rId93" Target="https://pubmed.ncbi.nlm.nih.gov/37315866/" TargetMode="External" /><Relationship Type="http://schemas.openxmlformats.org/officeDocument/2006/relationships/hyperlink" Id="rId105" Target="https://pubmed.ncbi.nlm.nih.gov/37452811/" TargetMode="External" /><Relationship Type="http://schemas.openxmlformats.org/officeDocument/2006/relationships/hyperlink" Id="rId108" Target="https://pubmed.ncbi.nlm.nih.gov/37685480/" TargetMode="External" /><Relationship Type="http://schemas.openxmlformats.org/officeDocument/2006/relationships/hyperlink" Id="rId94" Target="https://pubmed.ncbi.nlm.nih.gov/38173159/" TargetMode="External" /><Relationship Type="http://schemas.openxmlformats.org/officeDocument/2006/relationships/hyperlink" Id="rId91" Target="https://pubmed.ncbi.nlm.nih.gov/38467383/" TargetMode="External" /><Relationship Type="http://schemas.openxmlformats.org/officeDocument/2006/relationships/hyperlink" Id="rId120" Target="https://pubmed.ncbi.nlm.nih.gov/39015201/" TargetMode="External" /><Relationship Type="http://schemas.openxmlformats.org/officeDocument/2006/relationships/hyperlink" Id="rId116" Target="https://pubmed.ncbi.nlm.nih.gov/39418085/" TargetMode="External" /><Relationship Type="http://schemas.openxmlformats.org/officeDocument/2006/relationships/hyperlink" Id="rId112" Target="https://pubmed.ncbi.nlm.nih.gov/39920074/" TargetMode="External" /><Relationship Type="http://schemas.openxmlformats.org/officeDocument/2006/relationships/hyperlink" Id="rId122" Target="https://pubmed.ncbi.nlm.nih.gov/40159723/" TargetMode="External" /><Relationship Type="http://schemas.openxmlformats.org/officeDocument/2006/relationships/hyperlink" Id="rId110" Target="https://pubmed.ncbi.nlm.nih.gov/40258374/" TargetMode="External" /><Relationship Type="http://schemas.openxmlformats.org/officeDocument/2006/relationships/hyperlink" Id="rId124" Target="https://pubmed.ncbi.nlm.nih.gov/40636528/" TargetMode="External" /><Relationship Type="http://schemas.openxmlformats.org/officeDocument/2006/relationships/hyperlink" Id="rId95" Target="https://pubmed.ncbi.nlm.nih.gov/40844856/" TargetMode="External" /><Relationship Type="http://schemas.openxmlformats.org/officeDocument/2006/relationships/hyperlink" Id="rId131" Target="https://pubmed.ncbi.nlm.nih.gov/41077057/" TargetMode="External" /><Relationship Type="http://schemas.openxmlformats.org/officeDocument/2006/relationships/hyperlink" Id="rId104" Target="https://pubmed.ncbi.nlm.nih.gov/41323646/" TargetMode="External" /></Relationships>
</file>

<file path=word/_rels/footnotes.xml.rels><?xml version="1.0" encoding="UTF-8"?><Relationships xmlns="http://schemas.openxmlformats.org/package/2006/relationships"><Relationship Type="http://schemas.openxmlformats.org/officeDocument/2006/relationships/hyperlink" Id="rId96" Target="https://pubmed.ncbi.nlm.nih.gov/16618400/" TargetMode="External" /><Relationship Type="http://schemas.openxmlformats.org/officeDocument/2006/relationships/hyperlink" Id="rId101" Target="https://pubmed.ncbi.nlm.nih.gov/17029608/" TargetMode="External" /><Relationship Type="http://schemas.openxmlformats.org/officeDocument/2006/relationships/hyperlink" Id="rId106" Target="https://pubmed.ncbi.nlm.nih.gov/17154394/" TargetMode="External" /><Relationship Type="http://schemas.openxmlformats.org/officeDocument/2006/relationships/hyperlink" Id="rId130" Target="https://pubmed.ncbi.nlm.nih.gov/18390493/" TargetMode="External" /><Relationship Type="http://schemas.openxmlformats.org/officeDocument/2006/relationships/hyperlink" Id="rId102" Target="https://pubmed.ncbi.nlm.nih.gov/18455167/" TargetMode="External" /><Relationship Type="http://schemas.openxmlformats.org/officeDocument/2006/relationships/hyperlink" Id="rId97" Target="https://pubmed.ncbi.nlm.nih.gov/18786126/" TargetMode="External" /><Relationship Type="http://schemas.openxmlformats.org/officeDocument/2006/relationships/hyperlink" Id="rId115" Target="https://pubmed.ncbi.nlm.nih.gov/19165166/" TargetMode="External" /><Relationship Type="http://schemas.openxmlformats.org/officeDocument/2006/relationships/hyperlink" Id="rId113" Target="https://pubmed.ncbi.nlm.nih.gov/21206488/" TargetMode="External" /><Relationship Type="http://schemas.openxmlformats.org/officeDocument/2006/relationships/hyperlink" Id="rId99" Target="https://pubmed.ncbi.nlm.nih.gov/21540894/" TargetMode="External" /><Relationship Type="http://schemas.openxmlformats.org/officeDocument/2006/relationships/hyperlink" Id="rId126" Target="https://pubmed.ncbi.nlm.nih.gov/23645627/" TargetMode="External" /><Relationship Type="http://schemas.openxmlformats.org/officeDocument/2006/relationships/hyperlink" Id="rId107" Target="https://pubmed.ncbi.nlm.nih.gov/23981319/" TargetMode="External" /><Relationship Type="http://schemas.openxmlformats.org/officeDocument/2006/relationships/hyperlink" Id="rId98" Target="https://pubmed.ncbi.nlm.nih.gov/25500424/" TargetMode="External" /><Relationship Type="http://schemas.openxmlformats.org/officeDocument/2006/relationships/hyperlink" Id="rId100" Target="https://pubmed.ncbi.nlm.nih.gov/26095329/" TargetMode="External" /><Relationship Type="http://schemas.openxmlformats.org/officeDocument/2006/relationships/hyperlink" Id="rId128" Target="https://pubmed.ncbi.nlm.nih.gov/26386894/" TargetMode="External" /><Relationship Type="http://schemas.openxmlformats.org/officeDocument/2006/relationships/hyperlink" Id="rId127" Target="https://pubmed.ncbi.nlm.nih.gov/26871593/" TargetMode="External" /><Relationship Type="http://schemas.openxmlformats.org/officeDocument/2006/relationships/hyperlink" Id="rId117" Target="https://pubmed.ncbi.nlm.nih.gov/28508867/" TargetMode="External" /><Relationship Type="http://schemas.openxmlformats.org/officeDocument/2006/relationships/hyperlink" Id="rId92" Target="https://pubmed.ncbi.nlm.nih.gov/28705783/" TargetMode="External" /><Relationship Type="http://schemas.openxmlformats.org/officeDocument/2006/relationships/hyperlink" Id="rId119" Target="https://pubmed.ncbi.nlm.nih.gov/29268916/" TargetMode="External" /><Relationship Type="http://schemas.openxmlformats.org/officeDocument/2006/relationships/hyperlink" Id="rId109" Target="https://pubmed.ncbi.nlm.nih.gov/29452579/" TargetMode="External" /><Relationship Type="http://schemas.openxmlformats.org/officeDocument/2006/relationships/hyperlink" Id="rId129" Target="https://pubmed.ncbi.nlm.nih.gov/30719351/" TargetMode="External" /><Relationship Type="http://schemas.openxmlformats.org/officeDocument/2006/relationships/hyperlink" Id="rId114" Target="https://pubmed.ncbi.nlm.nih.gov/31402544/" TargetMode="External" /><Relationship Type="http://schemas.openxmlformats.org/officeDocument/2006/relationships/hyperlink" Id="rId121" Target="https://pubmed.ncbi.nlm.nih.gov/32476664/" TargetMode="External" /><Relationship Type="http://schemas.openxmlformats.org/officeDocument/2006/relationships/hyperlink" Id="rId134" Target="https://pubmed.ncbi.nlm.nih.gov/33183670/" TargetMode="External" /><Relationship Type="http://schemas.openxmlformats.org/officeDocument/2006/relationships/hyperlink" Id="rId133" Target="https://pubmed.ncbi.nlm.nih.gov/33465382/" TargetMode="External" /><Relationship Type="http://schemas.openxmlformats.org/officeDocument/2006/relationships/hyperlink" Id="rId103" Target="https://pubmed.ncbi.nlm.nih.gov/33670508/" TargetMode="External" /><Relationship Type="http://schemas.openxmlformats.org/officeDocument/2006/relationships/hyperlink" Id="rId123" Target="https://pubmed.ncbi.nlm.nih.gov/33860970/" TargetMode="External" /><Relationship Type="http://schemas.openxmlformats.org/officeDocument/2006/relationships/hyperlink" Id="rId132" Target="https://pubmed.ncbi.nlm.nih.gov/34902566/" TargetMode="External" /><Relationship Type="http://schemas.openxmlformats.org/officeDocument/2006/relationships/hyperlink" Id="rId111" Target="https://pubmed.ncbi.nlm.nih.gov/35623448/" TargetMode="External" /><Relationship Type="http://schemas.openxmlformats.org/officeDocument/2006/relationships/hyperlink" Id="rId135" Target="https://pubmed.ncbi.nlm.nih.gov/35663070/" TargetMode="External" /><Relationship Type="http://schemas.openxmlformats.org/officeDocument/2006/relationships/hyperlink" Id="rId125" Target="https://pubmed.ncbi.nlm.nih.gov/36153798/" TargetMode="External" /><Relationship Type="http://schemas.openxmlformats.org/officeDocument/2006/relationships/hyperlink" Id="rId118" Target="https://pubmed.ncbi.nlm.nih.gov/36191283/" TargetMode="External" /><Relationship Type="http://schemas.openxmlformats.org/officeDocument/2006/relationships/hyperlink" Id="rId93" Target="https://pubmed.ncbi.nlm.nih.gov/37315866/" TargetMode="External" /><Relationship Type="http://schemas.openxmlformats.org/officeDocument/2006/relationships/hyperlink" Id="rId105" Target="https://pubmed.ncbi.nlm.nih.gov/37452811/" TargetMode="External" /><Relationship Type="http://schemas.openxmlformats.org/officeDocument/2006/relationships/hyperlink" Id="rId108" Target="https://pubmed.ncbi.nlm.nih.gov/37685480/" TargetMode="External" /><Relationship Type="http://schemas.openxmlformats.org/officeDocument/2006/relationships/hyperlink" Id="rId94" Target="https://pubmed.ncbi.nlm.nih.gov/38173159/" TargetMode="External" /><Relationship Type="http://schemas.openxmlformats.org/officeDocument/2006/relationships/hyperlink" Id="rId91" Target="https://pubmed.ncbi.nlm.nih.gov/38467383/" TargetMode="External" /><Relationship Type="http://schemas.openxmlformats.org/officeDocument/2006/relationships/hyperlink" Id="rId120" Target="https://pubmed.ncbi.nlm.nih.gov/39015201/" TargetMode="External" /><Relationship Type="http://schemas.openxmlformats.org/officeDocument/2006/relationships/hyperlink" Id="rId116" Target="https://pubmed.ncbi.nlm.nih.gov/39418085/" TargetMode="External" /><Relationship Type="http://schemas.openxmlformats.org/officeDocument/2006/relationships/hyperlink" Id="rId112" Target="https://pubmed.ncbi.nlm.nih.gov/39920074/" TargetMode="External" /><Relationship Type="http://schemas.openxmlformats.org/officeDocument/2006/relationships/hyperlink" Id="rId122" Target="https://pubmed.ncbi.nlm.nih.gov/40159723/" TargetMode="External" /><Relationship Type="http://schemas.openxmlformats.org/officeDocument/2006/relationships/hyperlink" Id="rId110" Target="https://pubmed.ncbi.nlm.nih.gov/40258374/" TargetMode="External" /><Relationship Type="http://schemas.openxmlformats.org/officeDocument/2006/relationships/hyperlink" Id="rId124" Target="https://pubmed.ncbi.nlm.nih.gov/40636528/" TargetMode="External" /><Relationship Type="http://schemas.openxmlformats.org/officeDocument/2006/relationships/hyperlink" Id="rId95" Target="https://pubmed.ncbi.nlm.nih.gov/40844856/" TargetMode="External" /><Relationship Type="http://schemas.openxmlformats.org/officeDocument/2006/relationships/hyperlink" Id="rId131" Target="https://pubmed.ncbi.nlm.nih.gov/41077057/" TargetMode="External" /><Relationship Type="http://schemas.openxmlformats.org/officeDocument/2006/relationships/hyperlink" Id="rId104" Target="https://pubmed.ncbi.nlm.nih.gov/4132364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Gonfiore Addominale</dc:title>
  <dc:creator>Mobilitas — Direzione Osteopatica</dc:creator>
  <dc:language>it-IT</dc:language>
  <cp:keywords/>
  <dcterms:created xsi:type="dcterms:W3CDTF">2026-09-10T10:29:39Z</dcterms:created>
  <dcterms:modified xsi:type="dcterms:W3CDTF">2026-09-10T10:29:39Z</dcterms:modified>
</cp:coreProperties>
</file>

<file path=docProps/custom.xml><?xml version="1.0" encoding="utf-8"?>
<Properties xmlns="http://schemas.openxmlformats.org/officeDocument/2006/custom-properties" xmlns:vt="http://schemas.openxmlformats.org/officeDocument/2006/docPropsVTypes"/>
</file>