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mappa-concettuale-gonfiore-addominale"/>
    <w:p>
      <w:pPr>
        <w:pStyle w:val="Heading1"/>
      </w:pPr>
      <w:r>
        <w:t xml:space="preserve">Mappa concettuale — Gonfiore addominale</w:t>
      </w:r>
    </w:p>
    <w:p>
      <w:pPr>
        <w:pStyle w:val="FirstParagraph"/>
      </w:pPr>
      <w:r>
        <w:rPr>
          <w:b/>
          <w:bCs/>
        </w:rPr>
        <w:t xml:space="preserve">Ancora clinica:</w:t>
      </w:r>
      <w:r>
        <w:t xml:space="preserve"> </w:t>
      </w:r>
      <w:r>
        <w:t xml:space="preserve">Elizabeth Barba, Barcellona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Fernando Azpiroz, Barcellona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(revisione di lingua, 6º livello — versione finale)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4 settembre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Sensazione di pancia piena e tesa (</w:t>
      </w:r>
      <w:r>
        <w:rPr>
          <w:b/>
          <w:bCs/>
        </w:rPr>
        <w:t xml:space="preserve">gonfiore</w:t>
      </w:r>
      <w:r>
        <w:t xml:space="preserve">) e aumento visibile della circonferenza (</w:t>
      </w:r>
      <w:r>
        <w:rPr>
          <w:b/>
          <w:bCs/>
        </w:rPr>
        <w:t xml:space="preserve">distensione</w:t>
      </w:r>
      <w:r>
        <w:t xml:space="preserve">): due cose diverse che il paziente chiama con lo stesso nome.</w:t>
      </w:r>
      <w:r>
        <w:t xml:space="preserve"> </w:t>
      </w:r>
      <w:r>
        <w:t xml:space="preserve">Quasi due persone su dieci nel mondo la riferiscono ogni settimana, le donne circa il doppio degli uomini; la prevalenza</w:t>
      </w:r>
      <w:r>
        <w:t xml:space="preserve"> </w:t>
      </w:r>
      <w:r>
        <w:rPr>
          <w:b/>
          <w:bCs/>
        </w:rPr>
        <w:t xml:space="preserve">cala con l’età</w:t>
      </w:r>
      <w:r>
        <w:t xml:space="preserve">.</w:t>
      </w:r>
      <w:r>
        <w:t xml:space="preserve"> </w:t>
      </w:r>
      <w:r>
        <w:t xml:space="preserve">In una coorte in cura, a tre anni l’82% è migliorato e il 18% no, con quasi metà dei pazienti persi al follow-up:</w:t>
      </w:r>
      <w:r>
        <w:t xml:space="preserve"> </w:t>
      </w:r>
      <w:r>
        <w:rPr>
          <w:b/>
          <w:bCs/>
        </w:rPr>
        <w:t xml:space="preserve">la maggior parte migliora nel tempo</w:t>
      </w:r>
      <w:r>
        <w:t xml:space="preserve">, quindi il tuo confronto prima-dopo dev’essere stretto e ripetuto.</w:t>
      </w:r>
      <w:r>
        <w:t xml:space="preserve"> </w:t>
      </w:r>
      <w:r>
        <w:t xml:space="preserve">E il tempo non è la sola minaccia: in questi pazienti il</w:t>
      </w:r>
      <w:r>
        <w:t xml:space="preserve"> </w:t>
      </w:r>
      <w:r>
        <w:rPr>
          <w:b/>
          <w:bCs/>
        </w:rPr>
        <w:t xml:space="preserve">solo rituale terapeutico</w:t>
      </w:r>
      <w:r>
        <w:t xml:space="preserve"> </w:t>
      </w:r>
      <w:r>
        <w:t xml:space="preserve">produce il 44% di sollievo adeguato e il rituale con una relazione attenta il 62%, contro il 28% della lista d’attesa (Kaptchuk, 2008, PMID 18390493) — su intestino irritabile, con l’agopuntura simulata come rituale.</w:t>
      </w:r>
    </w:p>
    <w:bookmarkEnd w:id="9"/>
    <w:bookmarkStart w:id="10" w:name="la-catena-causale"/>
    <w:p>
      <w:pPr>
        <w:pStyle w:val="Heading2"/>
      </w:pPr>
      <w:r>
        <w:t xml:space="preserve">2 · La catena causale</w:t>
      </w:r>
    </w:p>
    <w:p>
      <w:pPr>
        <w:pStyle w:val="FirstParagraph"/>
      </w:pPr>
      <w:r>
        <w:rPr>
          <w:rStyle w:val="VerbatimChar"/>
        </w:rPr>
        <w:t xml:space="preserve">Arriva volume (pasto o gas) → i meccanocettori intestinali attivano un riflesso viscerosomatico (afferenze splancniche → corno dorsale T5-L2) → invece di risalire il diaframma si contrae e SCENDE → gli intercostali si contraggono e il torace si allarga → la parete addominale si rilassa invece di contenere → il contenuto si ridistribuisce in avanti e in basso → pancia piatta al mattino, distesa alla sera</w:t>
      </w:r>
    </w:p>
    <w:p>
      <w:pPr>
        <w:pStyle w:val="BodyText"/>
      </w:pPr>
      <w:r>
        <w:t xml:space="preserve">Perché il riflesso si inverta</w:t>
      </w:r>
      <w:r>
        <w:t xml:space="preserve"> </w:t>
      </w:r>
      <w:r>
        <w:rPr>
          <w:b/>
          <w:bCs/>
        </w:rPr>
        <w:t xml:space="preserve">non è noto</w:t>
      </w:r>
      <w:r>
        <w:t xml:space="preserve">, e lo scrivono gli autori che l’hanno misurato.</w: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tetto scende invece di salire</w:t>
            </w:r>
          </w:p>
        </w:tc>
        <w:tc>
          <w:tcPr/>
          <w:p>
            <w:pPr>
              <w:pStyle w:val="Compact"/>
            </w:pPr>
            <w:r>
              <w:t xml:space="preserve">Piatta al mattino, distesa la sera</w:t>
            </w:r>
          </w:p>
        </w:tc>
        <w:tc>
          <w:tcPr/>
          <w:p>
            <w:pPr>
              <w:pStyle w:val="Compact"/>
            </w:pPr>
            <w:r>
              <w:t xml:space="preserve">DIMOSTRATO (2 studi)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parete non regge il carico</w:t>
            </w:r>
          </w:p>
        </w:tc>
        <w:tc>
          <w:tcPr/>
          <w:p>
            <w:pPr>
              <w:pStyle w:val="Compact"/>
            </w:pPr>
            <w:r>
              <w:t xml:space="preserve">Non contrae senza trattenere il fiato</w:t>
            </w:r>
          </w:p>
        </w:tc>
        <w:tc>
          <w:tcPr/>
          <w:p>
            <w:pPr>
              <w:pStyle w:val="Compact"/>
            </w:pPr>
            <w:r>
              <w:t xml:space="preserve">DIMOSTRATO (n = 12+12)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Stessa aria, spinta più piano</w:t>
            </w:r>
          </w:p>
        </w:tc>
        <w:tc>
          <w:tcPr/>
          <w:p>
            <w:pPr>
              <w:pStyle w:val="Compact"/>
            </w:pPr>
            <w:r>
              <w:t xml:space="preserve">Rumori, sollievo dopo evacuazione</w:t>
            </w:r>
          </w:p>
        </w:tc>
        <w:tc>
          <w:tcPr/>
          <w:p>
            <w:pPr>
              <w:pStyle w:val="Compact"/>
            </w:pPr>
            <w:r>
              <w:t xml:space="preserve">DIMOSTRATO (gas normale) / PROBABILE (propulsione, n =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abbassata — profilo nociplastico</w:t>
            </w:r>
          </w:p>
        </w:tc>
        <w:tc>
          <w:tcPr/>
          <w:p>
            <w:pPr>
              <w:pStyle w:val="Compact"/>
            </w:pPr>
            <w:r>
              <w:t xml:space="preserve">Si sente gonfia, metro fermo</w:t>
            </w:r>
          </w:p>
        </w:tc>
        <w:tc>
          <w:tcPr/>
          <w:p>
            <w:pPr>
              <w:pStyle w:val="Compact"/>
            </w:pPr>
            <w:r>
              <w:t xml:space="preserve">DIMOSTRATO, salto di condizione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Attivazione come amplificatore</w:t>
            </w:r>
          </w:p>
        </w:tc>
        <w:tc>
          <w:tcPr/>
          <w:p>
            <w:pPr>
              <w:pStyle w:val="Compact"/>
            </w:pPr>
            <w:r>
              <w:t xml:space="preserve">Meglio in vacanza mangiando peggio</w:t>
            </w:r>
          </w:p>
        </w:tc>
        <w:tc>
          <w:tcPr/>
          <w:p>
            <w:pPr>
              <w:pStyle w:val="Compact"/>
            </w:pPr>
            <w:r>
              <w:t xml:space="preserve">PROBABILE (16 sane) / IPOTESI</w:t>
            </w:r>
          </w:p>
        </w:tc>
      </w:tr>
    </w:tbl>
    <w:p>
      <w:pPr>
        <w:pStyle w:val="BodyText"/>
      </w:pPr>
      <w:r>
        <w:t xml:space="preserve">Nei tre quarti dei pazienti il volume di gas durante l’episodio è normale: cambia la forma, non il contenuto.</w:t>
      </w:r>
      <w:r>
        <w:t xml:space="preserve"> </w:t>
      </w:r>
      <w:r>
        <w:rPr>
          <w:b/>
          <w:bCs/>
        </w:rPr>
        <w:t xml:space="preserve">Distensione visibile = quadro motorio. Gonfiore senza distensione = quadro nociplastico.</w:t>
      </w:r>
      <w:r>
        <w:t xml:space="preserve"> </w:t>
      </w:r>
      <w:r>
        <w:t xml:space="preserve">Sono due categorie di dolore diverse.</w:t>
      </w:r>
    </w:p>
    <w:bookmarkEnd w:id="11"/>
    <w:bookmarkStart w:id="12" w:name="i-pattern-e-chi-comanda"/>
    <w:p>
      <w:pPr>
        <w:pStyle w:val="Heading2"/>
      </w:pPr>
      <w:r>
        <w:t xml:space="preserve">4 · I pattern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Distensione visibile postprandiale</w:t>
            </w:r>
          </w:p>
        </w:tc>
        <w:tc>
          <w:tcPr/>
          <w:p>
            <w:pPr>
              <w:pStyle w:val="Compact"/>
            </w:pPr>
            <w:r>
              <w:t xml:space="preserve">Circonferenza che cresce nella giornata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Gonfiore senza distensione</w:t>
            </w:r>
          </w:p>
        </w:tc>
        <w:tc>
          <w:tcPr/>
          <w:p>
            <w:pPr>
              <w:pStyle w:val="Compact"/>
            </w:pPr>
            <w:r>
              <w:t xml:space="preserve">Sensazione forte, metro fermo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Gonfiore legato all’evacuazione</w:t>
            </w:r>
          </w:p>
        </w:tc>
        <w:tc>
          <w:tcPr/>
          <w:p>
            <w:pPr>
              <w:pStyle w:val="Compact"/>
            </w:pPr>
            <w:r>
              <w:t xml:space="preserve">Sollievo netto dopo il bagno</w:t>
            </w:r>
          </w:p>
        </w:tc>
        <w:tc>
          <w:tcPr/>
          <w:p>
            <w:pPr>
              <w:pStyle w:val="Compact"/>
            </w:pPr>
            <w:r>
              <w:t xml:space="preserve">Poco: cancello, si manda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 davvero aumentato</w:t>
            </w:r>
          </w:p>
        </w:tc>
        <w:tc>
          <w:tcPr/>
          <w:p>
            <w:pPr>
              <w:pStyle w:val="Compact"/>
            </w:pPr>
            <w:r>
              <w:t xml:space="preserve">Dieta che pesa, flatulenza</w:t>
            </w:r>
          </w:p>
        </w:tc>
        <w:tc>
          <w:tcPr/>
          <w:p>
            <w:pPr>
              <w:pStyle w:val="Compact"/>
            </w:pPr>
            <w:r>
              <w:t xml:space="preserve">Poco: leva del dietista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Segni d’allarme</w:t>
            </w:r>
          </w:p>
        </w:tc>
        <w:tc>
          <w:tcPr/>
          <w:p>
            <w:pPr>
              <w:pStyle w:val="Compact"/>
            </w:pPr>
            <w:r>
              <w:t xml:space="preserve">Vedi blocco 8</w:t>
            </w:r>
          </w:p>
        </w:tc>
        <w:tc>
          <w:tcPr/>
          <w:p>
            <w:pPr>
              <w:pStyle w:val="Compact"/>
            </w:pPr>
            <w:r>
              <w:t xml:space="preserve">Niente: invio</w:t>
            </w:r>
          </w:p>
        </w:tc>
      </w:tr>
    </w:tbl>
    <w:p>
      <w:pPr>
        <w:pStyle w:val="BodyText"/>
      </w:pPr>
      <w:r>
        <w:t xml:space="preserve">Quando rimandi il gonfiore alto con sazietà precoce ai Problemi digestivi, non stai rimandando a un altro guasto: la</w:t>
      </w:r>
      <w:r>
        <w:t xml:space="preserve"> </w:t>
      </w:r>
      <w:r>
        <w:rPr>
          <w:b/>
          <w:bCs/>
        </w:rPr>
        <w:t xml:space="preserve">stessa dissinergia</w:t>
      </w:r>
      <w:r>
        <w:t xml:space="preserve"> </w:t>
      </w:r>
      <w:r>
        <w:t xml:space="preserve">è misurata anche nella dispepsia funzionale (Barba, 2014, PMID 23645627). Cambia chi inquadra, non cambia il bersaglio che valuti con le mani.</w:t>
      </w:r>
    </w:p>
    <w:p>
      <w:pPr>
        <w:pStyle w:val="BodyText"/>
      </w:pPr>
      <w:r>
        <w:t xml:space="preserve">Il pattern</w:t>
      </w:r>
      <w:r>
        <w:t xml:space="preserve"> </w:t>
      </w:r>
      <w:r>
        <w:rPr>
          <w:b/>
          <w:bCs/>
        </w:rPr>
        <w:t xml:space="preserve">si presume</w:t>
      </w:r>
      <w:r>
        <w:t xml:space="preserve">, e si scrive in cartella come presunzione. Se il ritmo segue il calendario mestruale e non i pasti, il tuo marker principale è inquinato.</w:t>
      </w:r>
    </w:p>
    <w:bookmarkEnd w:id="12"/>
    <w:bookmarkStart w:id="13" w:name="il-ragionamento"/>
    <w:p>
      <w:pPr>
        <w:pStyle w:val="Heading2"/>
      </w:pPr>
      <w:r>
        <w:t xml:space="preserve">5 · Il ragionamento</w:t>
      </w:r>
    </w:p>
    <w:p>
      <w:pPr>
        <w:pStyle w:val="FirstParagraph"/>
      </w:pPr>
      <w:r>
        <w:rPr>
          <w:b/>
          <w:bCs/>
        </w:rPr>
        <w:t xml:space="preserve">Passo 0 — che cosa prende, e che cosa ha subito.</w:t>
      </w:r>
      <w:r>
        <w:t xml:space="preserve"> </w:t>
      </w:r>
      <w:r>
        <w:t xml:space="preserve">Farmaci che</w:t>
      </w:r>
      <w:r>
        <w:t xml:space="preserve"> </w:t>
      </w:r>
      <w:r>
        <w:rPr>
          <w:i/>
          <w:iCs/>
        </w:rPr>
        <w:t xml:space="preserve">producono</w:t>
      </w:r>
      <w:r>
        <w:t xml:space="preserve"> </w:t>
      </w:r>
      <w:r>
        <w:t xml:space="preserve">il sintomo: GLP-1, oppioidi, ferro orale, acarbosio, metformina, lassativi. Farmaci che cambiano</w:t>
      </w:r>
      <w:r>
        <w:t xml:space="preserve"> </w:t>
      </w:r>
      <w:r>
        <w:rPr>
          <w:i/>
          <w:iCs/>
        </w:rPr>
        <w:t xml:space="preserve">quanto puoi premere</w:t>
      </w:r>
      <w:r>
        <w:t xml:space="preserve">: anticoagulanti e antiaggreganti (ematoma della guaina del retto descritto, esito fatale). Interventi e gravidanze.</w:t>
      </w:r>
      <w:r>
        <w:t xml:space="preserve"> </w:t>
      </w:r>
      <w:r>
        <w:rPr>
          <w:b/>
          <w:bCs/>
        </w:rPr>
        <w:t xml:space="preserve">Si segnala al prescrittore, non si commenta e non si sospende niente: si cambia il proprio gesto.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circonferenza cambia davvero?</w:t>
      </w:r>
      <w:r>
        <w:t xml:space="preserve"> </w:t>
      </w:r>
      <w:r>
        <w:t xml:space="preserve">→ contenitore</w:t>
      </w:r>
      <w:r>
        <w:t xml:space="preserve"> </w:t>
      </w:r>
      <w:r>
        <w:rPr>
          <w:b/>
          <w:bCs/>
        </w:rPr>
        <w:t xml:space="preserve">sospetto</w:t>
      </w:r>
      <w:r>
        <w:t xml:space="preserve"> </w:t>
      </w:r>
      <w:r>
        <w:t xml:space="preserve">se sì, soglia se no; il contenitore si conferma dopo il passo 2</w:t>
      </w:r>
      <w:r>
        <w:t xml:space="preserve"> </w:t>
      </w:r>
      <w:r>
        <w:rPr>
          <w:i/>
          <w:iCs/>
        </w:rPr>
        <w:t xml:space="preserve">Filtro fuori numerazione:</w:t>
      </w:r>
      <w:r>
        <w:t xml:space="preserve"> </w:t>
      </w:r>
      <w:r>
        <w:t xml:space="preserve">il sintomo segue quello che mangia? → se sì, leva di qualcun altro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 è il livello di attivazione?</w:t>
      </w:r>
      <w:r>
        <w:t xml:space="preserve"> </w:t>
      </w:r>
      <w:r>
        <w:t xml:space="preserve">→ è il piano più a monte, si interroga per primo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Come si comporta il contenitore?</w:t>
      </w:r>
      <w:r>
        <w:t xml:space="preserve"> </w:t>
      </w:r>
      <w:r>
        <w:t xml:space="preserve">→ diaframma, parete sotto carico, coste basse, perineo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C’è un’evacuazione difficoltosa sotto?</w:t>
      </w:r>
      <w:r>
        <w:t xml:space="preserve"> </w:t>
      </w:r>
      <w:r>
        <w:t xml:space="preserve">→ se sì, quel piano non è tuo</w:t>
      </w:r>
    </w:p>
    <w:p>
      <w:pPr>
        <w:pStyle w:val="FirstParagraph"/>
      </w:pPr>
      <w:r>
        <w:rPr>
          <w:b/>
          <w:bCs/>
        </w:rPr>
        <w:t xml:space="preserve">Un piano è dominante solo se quello sopra è stato guardato e trovato in ordine.</w:t>
      </w:r>
    </w:p>
    <w:p>
      <w:pPr>
        <w:pStyle w:val="BodyText"/>
      </w:pPr>
      <w:r>
        <w:t xml:space="preserve">La regola «non trattare il punto in cui il paziente sente» qui è</w:t>
      </w:r>
      <w:r>
        <w:t xml:space="preserve"> </w:t>
      </w:r>
      <w:r>
        <w:rPr>
          <w:b/>
          <w:bCs/>
        </w:rPr>
        <w:t xml:space="preserve">tolta, non attenuata</w:t>
      </w:r>
      <w:r>
        <w:t xml:space="preserve">: il bersaglio con le prove migliori</w:t>
      </w:r>
      <w:r>
        <w:t xml:space="preserve"> </w:t>
      </w:r>
      <w:r>
        <w:rPr>
          <w:i/>
          <w:iCs/>
        </w:rPr>
        <w:t xml:space="preserve">è</w:t>
      </w:r>
      <w:r>
        <w:t xml:space="preserve"> </w:t>
      </w:r>
      <w:r>
        <w:t xml:space="preserve">la sede in cui la paziente sente. Resta intatta la regola che discrimina davvero —</w:t>
      </w:r>
      <w:r>
        <w:t xml:space="preserve"> </w:t>
      </w:r>
      <w:r>
        <w:rPr>
          <w:b/>
          <w:bCs/>
        </w:rPr>
        <w:t xml:space="preserve">il marker appartiene a un piano che non hai trattato.</w:t>
      </w:r>
    </w:p>
    <w:bookmarkEnd w:id="13"/>
    <w:bookmarkStart w:id="14" w:name="i-marker-con-soglia-e-provenienza"/>
    <w:p>
      <w:pPr>
        <w:pStyle w:val="Heading2"/>
      </w:pPr>
      <w:r>
        <w:t xml:space="preserve">6 · I marker, con soglia e provenienza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Provenienza della soglia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Differenza mattino-sera, media di 3 giorni prima e 3 dopo</w:t>
            </w:r>
          </w:p>
        </w:tc>
        <w:tc>
          <w:tcPr/>
          <w:p>
            <w:pPr>
              <w:pStyle w:val="Compact"/>
            </w:pPr>
            <w:r>
              <w:t xml:space="preserve">−20 mm</w:t>
            </w:r>
          </w:p>
        </w:tc>
        <w:tc>
          <w:tcPr/>
          <w:p>
            <w:pPr>
              <w:pStyle w:val="Compact"/>
            </w:pPr>
            <w:r>
              <w:t xml:space="preserve">Sotto l’effetto documentato (25 mm in 15 pazienti)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Escursione toraco-addominale bassa</w:t>
            </w:r>
          </w:p>
        </w:tc>
        <w:tc>
          <w:tcPr/>
          <w:p>
            <w:pPr>
              <w:pStyle w:val="Compact"/>
            </w:pPr>
            <w:r>
              <w:t xml:space="preserve">+2 cm</w:t>
            </w:r>
          </w:p>
        </w:tc>
        <w:tc>
          <w:tcPr/>
          <w:p>
            <w:pPr>
              <w:pStyle w:val="Compact"/>
            </w:pPr>
            <w:r>
              <w:t xml:space="preserve">Errore dello strumento raddoppiato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del tronco da seduto</w:t>
            </w:r>
          </w:p>
        </w:tc>
        <w:tc>
          <w:tcPr/>
          <w:p>
            <w:pPr>
              <w:pStyle w:val="Compact"/>
            </w:pPr>
            <w:r>
              <w:t xml:space="preserve">10 gradi</w:t>
            </w:r>
          </w:p>
        </w:tc>
        <w:tc>
          <w:tcPr/>
          <w:p>
            <w:pPr>
              <w:pStyle w:val="Compact"/>
            </w:pPr>
            <w:r>
              <w:t xml:space="preserve">Errore dello strumento raddoppiato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Giorni su sette con cambio di vestito</w:t>
            </w:r>
          </w:p>
        </w:tc>
        <w:tc>
          <w:tcPr/>
          <w:p>
            <w:pPr>
              <w:pStyle w:val="Compact"/>
            </w:pPr>
            <w:r>
              <w:t xml:space="preserve">−2 su 7</w:t>
            </w:r>
          </w:p>
        </w:tc>
        <w:tc>
          <w:tcPr/>
          <w:p>
            <w:pPr>
              <w:pStyle w:val="Compact"/>
            </w:pPr>
            <w:r>
              <w:t xml:space="preserve">Nessuna soglia pubblicata, dichiarata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Frequenza respiratoria a riposo (fuori piano)</w:t>
            </w:r>
          </w:p>
        </w:tc>
        <w:tc>
          <w:tcPr/>
          <w:p>
            <w:pPr>
              <w:pStyle w:val="Compact"/>
            </w:pPr>
            <w:r>
              <w:t xml:space="preserve">−3 atti/min</w:t>
            </w:r>
          </w:p>
        </w:tc>
        <w:tc>
          <w:tcPr/>
          <w:p>
            <w:pPr>
              <w:pStyle w:val="Compact"/>
            </w:pPr>
            <w:r>
              <w:t xml:space="preserve">Doppio della variabilità del conteggio manuale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marker 1 non è specifico per il meccanismo che tratti:</w:t>
      </w:r>
      <w:r>
        <w:t xml:space="preserve"> </w:t>
      </w:r>
      <w:r>
        <w:t xml:space="preserve">la circonferenza scende anche dove il motore della distensione è un altro, sotto interventi manuali che non assomigliano al tuo (Wang, 2022, PMID 34902566; Fekri, 2021, PMID 33465382). È la ragione più forte del fuori piano.</w:t>
      </w:r>
    </w:p>
    <w:p>
      <w:pPr>
        <w:pStyle w:val="BodyText"/>
      </w:pPr>
      <w:r>
        <w:t xml:space="preserve">Il terzo marker cade se hai trattato la giunzione dorso-lombare, e sul pattern principale ci lavori quasi sempre:</w:t>
      </w:r>
      <w:r>
        <w:t xml:space="preserve"> </w:t>
      </w:r>
      <w:r>
        <w:rPr>
          <w:b/>
          <w:bCs/>
        </w:rPr>
        <w:t xml:space="preserve">il fuori piano che sopravvive è il quinto</w:t>
      </w:r>
      <w:r>
        <w:t xml:space="preserve">, che a sua volta cade se in quella seduta hai lavorato sull’attivazione. Cinque cose identiche fra i due rilievi: sito, postura, fase del respiro, distanza dal pasto,</w:t>
      </w:r>
      <w:r>
        <w:t xml:space="preserve"> </w:t>
      </w:r>
      <w:r>
        <w:rPr>
          <w:b/>
          <w:bCs/>
        </w:rPr>
        <w:t xml:space="preserve">fase del ciclo</w:t>
      </w:r>
      <w:r>
        <w:t xml:space="preserve">.</w:t>
      </w:r>
    </w:p>
    <w:bookmarkEnd w:id="14"/>
    <w:bookmarkStart w:id="15" w:name="cosa-fa-il-paziente-da-solo"/>
    <w:p>
      <w:pPr>
        <w:pStyle w:val="Heading2"/>
      </w:pPr>
      <w:r>
        <w:t xml:space="preserve">7 · Cosa fa il paziente da solo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1a. Controllo del verso</w:t>
      </w:r>
      <w:r>
        <w:t xml:space="preserve"> </w:t>
      </w:r>
      <w:r>
        <w:t xml:space="preserve">(parete si contrae mentre il diaframma risale) — DIMOSTRATO, 2 RCT placebo dello stesso centro, con salto di erogatore e strumento.</w:t>
      </w:r>
      <w:r>
        <w:t xml:space="preserve"> </w:t>
      </w:r>
      <w:r>
        <w:rPr>
          <w:b/>
          <w:bCs/>
        </w:rPr>
        <w:t xml:space="preserve">Il verso conta più della frequenza: insegnato al contrario aumenta la circonferenza di 32 mm in trenta secondi.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1b. Respiro lento generico</w:t>
      </w:r>
      <w:r>
        <w:t xml:space="preserve"> </w:t>
      </w:r>
      <w:r>
        <w:t xml:space="preserve">— PROBABILE sul tono vagale (salto di popolazione), IPOTESI sul gonfiore. È lo strumento del</w:t>
      </w:r>
      <w:r>
        <w:t xml:space="preserve"> </w:t>
      </w:r>
      <w:r>
        <w:rPr>
          <w:b/>
          <w:bCs/>
        </w:rPr>
        <w:t xml:space="preserve">metro fermo</w:t>
      </w:r>
      <w:r>
        <w:t xml:space="preserve">, non di quello che si muove. Non confonderlo con 1a.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2. Movimento leggero</w:t>
      </w:r>
      <w:r>
        <w:t xml:space="preserve"> </w:t>
      </w:r>
      <w:r>
        <w:t xml:space="preserve">— PROBABILE sul gas (n = 8), PROBABILE sul sintomo intestinale (salto di condizione, 75 completatori)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3. Dieta a basso contenuto di FODMAP</w:t>
      </w:r>
      <w:r>
        <w:t xml:space="preserve"> </w:t>
      </w:r>
      <w:r>
        <w:t xml:space="preserve">— DIMOSTRATO fra le sei diete studiate in più di un trial, e la eroga il dietista, non tu</w:t>
      </w:r>
    </w:p>
    <w:p>
      <w:pPr>
        <w:pStyle w:val="FirstParagraph"/>
      </w:pPr>
      <w:r>
        <w:rPr>
          <w:b/>
          <w:bCs/>
        </w:rPr>
        <w:t xml:space="preserve">Il lavoro attivo si rinvia</w:t>
      </w:r>
      <w:r>
        <w:t xml:space="preserve"> </w:t>
      </w:r>
      <w:r>
        <w:t xml:space="preserve">se c’è un’evacuazione difficoltosa non inquadrata, o se il metro non si muove.</w:t>
      </w:r>
    </w:p>
    <w:bookmarkEnd w:id="15"/>
    <w:bookmarkStart w:id="16" w:name="le-bandiere-rosse"/>
    <w:p>
      <w:pPr>
        <w:pStyle w:val="Heading2"/>
      </w:pPr>
      <w:r>
        <w:t xml:space="preserve">8 · Le bandiere rosse</w:t>
      </w:r>
    </w:p>
    <w:p>
      <w:pPr>
        <w:pStyle w:val="Compact"/>
        <w:numPr>
          <w:ilvl w:val="0"/>
          <w:numId w:val="1003"/>
        </w:numPr>
      </w:pPr>
      <w:r>
        <w:t xml:space="preserve">Blocco di feci e aria con vomito · dolore forte continuo con febbre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Massa pulsante ed espansiva sulla mediana → togli la mano, canale urgente</w:t>
      </w:r>
    </w:p>
    <w:p>
      <w:pPr>
        <w:pStyle w:val="Compact"/>
        <w:numPr>
          <w:ilvl w:val="0"/>
          <w:numId w:val="1003"/>
        </w:numPr>
      </w:pPr>
      <w:r>
        <w:t xml:space="preserve">Massa palpabile non pulsante → curante, invio chirurgico →</w:t>
      </w:r>
      <w:r>
        <w:t xml:space="preserve"> </w:t>
      </w:r>
      <w:r>
        <w:rPr>
          <w:b/>
          <w:bCs/>
        </w:rPr>
        <w:t xml:space="preserve">non attendere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Profilo ginecologico:</w:t>
      </w:r>
      <w:r>
        <w:t xml:space="preserve"> </w:t>
      </w:r>
      <w:r>
        <w:rPr>
          <w:i/>
          <w:iCs/>
        </w:rPr>
        <w:t xml:space="preserve">una qualsiasi</w:t>
      </w:r>
      <w:r>
        <w:t xml:space="preserve"> </w:t>
      </w:r>
      <w:r>
        <w:t xml:space="preserve">fra dolore pelvico o addominale, urgenza o frequenza urinaria, aumento di volume o gonfiore, sazietà precoce o difficoltà a mangiare — da meno di un anno, più di 12 volte al mese,</w:t>
      </w:r>
      <w:r>
        <w:t xml:space="preserve"> </w:t>
      </w:r>
      <w:r>
        <w:rPr>
          <w:b/>
          <w:bCs/>
        </w:rPr>
        <w:t xml:space="preserve">a qualunque età</w:t>
      </w:r>
      <w:r>
        <w:t xml:space="preserve"> </w:t>
      </w:r>
      <w:r>
        <w:t xml:space="preserve">→ curante, invio ginecologico →</w:t>
      </w:r>
      <w:r>
        <w:t xml:space="preserve"> </w:t>
      </w:r>
      <w:r>
        <w:rPr>
          <w:b/>
          <w:bCs/>
        </w:rPr>
        <w:t xml:space="preserve">non attendere</w:t>
      </w:r>
    </w:p>
    <w:p>
      <w:pPr>
        <w:pStyle w:val="Compact"/>
        <w:numPr>
          <w:ilvl w:val="0"/>
          <w:numId w:val="1003"/>
        </w:numPr>
      </w:pPr>
      <w:r>
        <w:t xml:space="preserve">Addome che cresce e non regredisce la notte (ottusità mobile, segno del fiotto) · distensione con gambe o caviglie gonfie o peso in aumento → curante, invio urgente</w:t>
      </w:r>
    </w:p>
    <w:p>
      <w:pPr>
        <w:pStyle w:val="Compact"/>
        <w:numPr>
          <w:ilvl w:val="0"/>
          <w:numId w:val="1003"/>
        </w:numPr>
      </w:pPr>
      <w:r>
        <w:t xml:space="preserve">Vomito ripetuto · gonfiore che peggiora in chi prende un GLP-1 (112 se alvo chiuso a feci e gas)</w:t>
      </w:r>
    </w:p>
    <w:p>
      <w:pPr>
        <w:pStyle w:val="Compact"/>
        <w:numPr>
          <w:ilvl w:val="0"/>
          <w:numId w:val="1003"/>
        </w:numPr>
      </w:pPr>
      <w:r>
        <w:t xml:space="preserve">Sangue nelle feci o anemia nuova · calo di peso non voluto → curante →</w:t>
      </w:r>
      <w:r>
        <w:t xml:space="preserve"> </w:t>
      </w:r>
      <w:r>
        <w:rPr>
          <w:b/>
          <w:bCs/>
        </w:rPr>
        <w:t xml:space="preserve">non attendere</w:t>
      </w:r>
    </w:p>
    <w:p>
      <w:pPr>
        <w:pStyle w:val="Compact"/>
        <w:numPr>
          <w:ilvl w:val="0"/>
          <w:numId w:val="1003"/>
        </w:numPr>
      </w:pPr>
      <w:r>
        <w:t xml:space="preserve">Diarrea nuova o feci untuose · dolore notturno · familiarità per tumore digestivo o ovarico → curante</w:t>
      </w:r>
    </w:p>
    <w:p>
      <w:pPr>
        <w:pStyle w:val="FirstParagraph"/>
      </w:pPr>
      <w:r>
        <w:t xml:space="preserve">Un accertamento negativo</w:t>
      </w:r>
      <w:r>
        <w:t xml:space="preserve"> </w:t>
      </w:r>
      <w:r>
        <w:rPr>
          <w:b/>
          <w:bCs/>
        </w:rPr>
        <w:t xml:space="preserve">non apre il verde</w:t>
      </w:r>
      <w:r>
        <w:t xml:space="preserve">: apre il giallo. E il giallo si rivede</w:t>
      </w:r>
      <w:r>
        <w:t xml:space="preserve"> </w:t>
      </w:r>
      <w:r>
        <w:rPr>
          <w:b/>
          <w:bCs/>
        </w:rPr>
        <w:t xml:space="preserve">entro otto settimane dal primo contatto</w:t>
      </w:r>
      <w:r>
        <w:t xml:space="preserve">, non entro un numero di sedute. Al rosso: comunicazione scritta al curante lo stesso giorno, data di verifica, e niente mani su addome e coste basse.</w:t>
      </w:r>
    </w:p>
    <w:bookmarkEnd w:id="16"/>
    <w:bookmarkStart w:id="17" w:name="la-frase-per-il-paziente"/>
    <w:p>
      <w:pPr>
        <w:pStyle w:val="Heading2"/>
      </w:pPr>
      <w:r>
        <w:t xml:space="preserve">9 · La frase per il paziente</w:t>
      </w:r>
    </w:p>
    <w:p>
      <w:pPr>
        <w:pStyle w:val="FirstParagraph"/>
      </w:pPr>
      <w:r>
        <w:rPr>
          <w:i/>
          <w:iCs/>
        </w:rPr>
        <w:t xml:space="preserve">«La tua pancia è una stanza con un tetto che si muove. Quando mangi, in una pancia che funziona quel tetto si alza e fa spazio. Nel tuo quadro succede spesso il contrario, e quello che ho trovato oggi va in quella direzione: non è entrato di più, è la forma a essere cambiata. Il gonfiore resta da inquadrare con il tuo medico, e nel frattempo io non aspetto.»</w:t>
      </w:r>
    </w:p>
    <w:p>
      <w:pPr>
        <w:pStyle w:val="BodyText"/>
      </w:pPr>
      <w:r>
        <w:t xml:space="preserve">Mai</w:t>
      </w:r>
      <w:r>
        <w:t xml:space="preserve"> </w:t>
      </w:r>
      <w:r>
        <w:rPr>
          <w:i/>
          <w:iCs/>
        </w:rPr>
        <w:t xml:space="preserve">«non hai niente»</w:t>
      </w:r>
      <w:r>
        <w:t xml:space="preserve"> </w:t>
      </w:r>
      <w:r>
        <w:t xml:space="preserve">e mai</w:t>
      </w:r>
      <w:r>
        <w:t xml:space="preserve"> </w:t>
      </w:r>
      <w:r>
        <w:rPr>
          <w:i/>
          <w:iCs/>
        </w:rPr>
        <w:t xml:space="preserve">«è solo aria»</w:t>
      </w:r>
      <w:r>
        <w:t xml:space="preserve">: sono esclusioni, non sono tue.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Il gesto che corregge il guasto principale è stato misurato contro placebo</w:t>
      </w:r>
      <w:r>
        <w:t xml:space="preserve"> </w:t>
      </w:r>
      <w:r>
        <w:rPr>
          <w:b/>
          <w:bCs/>
        </w:rPr>
        <w:t xml:space="preserve">due volte</w:t>
      </w:r>
      <w:r>
        <w:t xml:space="preserve">, dallo stesso gruppo: distensione −66% nel braccio trattato senza effetto nel placebo (Barba, 2024, PMID 38467383), e −56% contro −13% di simeticone (Barba, 2017, PMID 28705783). Questo ti autorizza a studiare e insegnare una leva con due randomizzati controllati alle spalle. Non ti autorizza a chiamarla osteopatia: lì il paziente imparava guardando un segnale strumentale, non sotto le mani di qualcuno.</w:t>
      </w:r>
      <w:r>
        <w:t xml:space="preserve"> </w:t>
      </w:r>
      <w:r>
        <w:rPr>
          <w:b/>
          <w:bCs/>
        </w:rPr>
        <w:t xml:space="preserve">Tutte le leve manuali di questo documento portano IPOTESI.</w:t>
      </w:r>
      <w:r>
        <w:t xml:space="preserve"> </w:t>
      </w:r>
      <w:r>
        <w:t xml:space="preserve">Una mano sul diaframma</w:t>
      </w:r>
      <w:r>
        <w:t xml:space="preserve"> </w:t>
      </w:r>
      <w:r>
        <w:rPr>
          <w:i/>
          <w:iCs/>
        </w:rPr>
        <w:t xml:space="preserve">è</w:t>
      </w:r>
      <w:r>
        <w:t xml:space="preserve"> </w:t>
      </w:r>
      <w:r>
        <w:t xml:space="preserve">stata misurata contro un simulato e l’ha mosso — su pazienti con BPCO, con l’ecografia come esito (Rocha, 2015, PMID 26386894): sale l’etichetta del</w:t>
      </w:r>
      <w:r>
        <w:t xml:space="preserve"> </w:t>
      </w:r>
      <w:r>
        <w:rPr>
          <w:b/>
          <w:bCs/>
        </w:rPr>
        <w:t xml:space="preserve">meccanismo</w:t>
      </w:r>
      <w:r>
        <w:t xml:space="preserve">, non quella della leva sulla distensione.</w: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2026-09-10T10:29:39Z</dcterms:created>
  <dcterms:modified xsi:type="dcterms:W3CDTF">2026-09-10T10:29:39Z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