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Mobilitas — Direzione Osteopatica</w:t>
      </w:r>
    </w:p>
    <w:bookmarkStart w:id="19" w:name="X216095a68cfdbed61c1a55424dc03ef1db87058"/>
    <w:p>
      <w:pPr>
        <w:pStyle w:val="Heading1"/>
      </w:pPr>
      <w:r>
        <w:t xml:space="preserve">Mappa concettuale — Piedi gonfi (gonfiore posturale degli arti inferiori)</w:t>
      </w:r>
    </w:p>
    <w:p>
      <w:pPr>
        <w:pStyle w:val="FirstParagraph"/>
      </w:pPr>
      <w:r>
        <w:rPr>
          <w:b/>
          <w:bCs/>
        </w:rPr>
        <w:t xml:space="preserve">Ancora clinica:</w:t>
      </w:r>
      <w:r>
        <w:t xml:space="preserve"> </w:t>
      </w:r>
      <w:r>
        <w:t xml:space="preserve">Crisóstomo e Armada-da-Silva, Lisbona ·</w:t>
      </w:r>
      <w:r>
        <w:t xml:space="preserve"> </w:t>
      </w:r>
      <w:r>
        <w:rPr>
          <w:b/>
          <w:bCs/>
        </w:rPr>
        <w:t xml:space="preserve">Ancora fisiologica:</w:t>
      </w:r>
      <w:r>
        <w:t xml:space="preserve"> </w:t>
      </w:r>
      <w:r>
        <w:t xml:space="preserve">Miller e Dempsey, Wisconsin ·</w:t>
      </w:r>
      <w:r>
        <w:t xml:space="preserve"> </w:t>
      </w:r>
      <w:r>
        <w:rPr>
          <w:b/>
          <w:bCs/>
        </w:rPr>
        <w:t xml:space="preserve">Riferimento:</w:t>
      </w:r>
      <w:r>
        <w:t xml:space="preserve"> </w:t>
      </w:r>
      <w:r>
        <w:t xml:space="preserve">ESVS 2022 (De Maeseneer) ·</w:t>
      </w:r>
      <w:r>
        <w:t xml:space="preserve"> </w:t>
      </w:r>
      <w:r>
        <w:rPr>
          <w:b/>
          <w:bCs/>
        </w:rPr>
        <w:t xml:space="preserve">Versione:</w:t>
      </w:r>
      <w:r>
        <w:t xml:space="preserve"> </w:t>
      </w:r>
      <w:r>
        <w:t xml:space="preserve">v7 finale ·</w:t>
      </w:r>
      <w:r>
        <w:t xml:space="preserve"> </w:t>
      </w:r>
      <w:r>
        <w:rPr>
          <w:b/>
          <w:bCs/>
        </w:rPr>
        <w:t xml:space="preserve">Data:</w:t>
      </w:r>
      <w:r>
        <w:t xml:space="preserve"> </w:t>
      </w:r>
      <w:r>
        <w:t xml:space="preserve">4 settembre 2026</w:t>
      </w:r>
    </w:p>
    <w:p>
      <w:r>
        <w:pict>
          <v:rect style="width:0;height:1.5pt" o:hralign="center" o:hrstd="t" o:hr="t"/>
        </w:pict>
      </w:r>
    </w:p>
    <w:bookmarkStart w:id="9" w:name="la-condizione-in-tre-righe"/>
    <w:p>
      <w:pPr>
        <w:pStyle w:val="Heading2"/>
      </w:pPr>
      <w:r>
        <w:t xml:space="preserve">1 · La condizione in tre righe</w:t>
      </w:r>
    </w:p>
    <w:p>
      <w:pPr>
        <w:pStyle w:val="FirstParagraph"/>
      </w:pPr>
      <w:r>
        <w:t xml:space="preserve">È liquido che si accumula fuori dai vasi, perché ne esce più di quanto il sistema linfatico ne riporta indietro.</w:t>
      </w:r>
      <w:r>
        <w:t xml:space="preserve"> </w:t>
      </w:r>
      <w:r>
        <w:t xml:space="preserve">Nella popolazione generale il 13,5% degli adulti ha gonfiore con reperto venoso; oltre metà delle donne ha sintomi alle gambe.</w:t>
      </w:r>
      <w:r>
        <w:t xml:space="preserve"> </w:t>
      </w:r>
      <w:r>
        <w:t xml:space="preserve">Fluttua con la stagione e con il carico: il 56,6% di 1.683 pazienti peggiora con il caldo, e quel peggioramento non dipende dal reflusso.</w:t>
      </w:r>
    </w:p>
    <w:bookmarkEnd w:id="9"/>
    <w:bookmarkStart w:id="10" w:name="la-sequenza-causale"/>
    <w:p>
      <w:pPr>
        <w:pStyle w:val="Heading2"/>
      </w:pPr>
      <w:r>
        <w:t xml:space="preserve">2 · La sequenza causale</w:t>
      </w:r>
    </w:p>
    <w:p>
      <w:pPr>
        <w:pStyle w:val="FirstParagraph"/>
      </w:pPr>
      <w:r>
        <w:rPr>
          <w:rStyle w:val="VerbatimChar"/>
        </w:rPr>
        <w:t xml:space="preserve">ore in piedi o seduto immobile → pompa del passo ferma → pressione venosa alla caviglia sempre alta → se il freno riflesso è debole, filtrazione piena → il carico filtrato supera il trasporto linfatico → la sera le scarpe non entrano</w:t>
      </w:r>
    </w:p>
    <w:bookmarkEnd w:id="10"/>
    <w:bookmarkStart w:id="11" w:name="i-meccanismi-e-quanto-sono-solidi"/>
    <w:p>
      <w:pPr>
        <w:pStyle w:val="Heading2"/>
      </w:pPr>
      <w:r>
        <w:t xml:space="preserve">3 · I meccanismi e quanto sono solidi</w:t>
      </w:r>
    </w:p>
    <w:p>
      <w:pPr>
        <w:pStyle w:val="FirstParagraph"/>
      </w:pPr>
      <w:r>
        <w:rPr>
          <w:i/>
          <w:iCs/>
        </w:rPr>
        <w:t xml:space="preserve">L’ordine è per frequenza in stanza. La solidità non segue lo stesso ordine: il più solido è il primo, la colonna d’acqua; il meno solido è il secondo, il tetto linfatico.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Meccanismo</w:t>
            </w:r>
          </w:p>
        </w:tc>
        <w:tc>
          <w:tcPr/>
          <w:p>
            <w:pPr>
              <w:pStyle w:val="Compact"/>
            </w:pPr>
            <w:r>
              <w:t xml:space="preserve">Come lo riconosci</w:t>
            </w:r>
          </w:p>
        </w:tc>
        <w:tc>
          <w:tcPr/>
          <w:p>
            <w:pPr>
              <w:pStyle w:val="Compact"/>
            </w:pPr>
            <w:r>
              <w:t xml:space="preserve">Quanto è solido</w:t>
            </w:r>
          </w:p>
        </w:tc>
      </w:tr>
      <w:tr>
        <w:tc>
          <w:tcPr/>
          <w:p>
            <w:pPr>
              <w:pStyle w:val="Compact"/>
            </w:pPr>
            <w:r>
              <w:t xml:space="preserve">Colonna d’acqua non interrotta</w:t>
            </w:r>
          </w:p>
        </w:tc>
        <w:tc>
          <w:tcPr/>
          <w:p>
            <w:pPr>
              <w:pStyle w:val="Compact"/>
            </w:pPr>
            <w:r>
              <w:t xml:space="preserve">Ore in piedi o seduto, weekend meglio</w:t>
            </w:r>
          </w:p>
        </w:tc>
        <w:tc>
          <w:tcPr/>
          <w:p>
            <w:pPr>
              <w:pStyle w:val="Compact"/>
            </w:pPr>
            <w:r>
              <w:t xml:space="preserve">DIMOSTRATO</w:t>
            </w:r>
          </w:p>
        </w:tc>
      </w:tr>
      <w:tr>
        <w:tc>
          <w:tcPr/>
          <w:p>
            <w:pPr>
              <w:pStyle w:val="Compact"/>
            </w:pPr>
            <w:r>
              <w:t xml:space="preserve">Tetto del trasporto linfatico</w:t>
            </w:r>
          </w:p>
        </w:tc>
        <w:tc>
          <w:tcPr/>
          <w:p>
            <w:pPr>
              <w:pStyle w:val="Compact"/>
            </w:pPr>
            <w:r>
              <w:t xml:space="preserve">Soglia abbassata, basta poco</w:t>
            </w:r>
          </w:p>
        </w:tc>
        <w:tc>
          <w:tcPr/>
          <w:p>
            <w:pPr>
              <w:pStyle w:val="Compact"/>
            </w:pPr>
            <w:r>
              <w:t xml:space="preserve">DIMOSTRATO / IPOTESI</w:t>
            </w:r>
          </w:p>
        </w:tc>
      </w:tr>
      <w:tr>
        <w:tc>
          <w:tcPr/>
          <w:p>
            <w:pPr>
              <w:pStyle w:val="Compact"/>
            </w:pPr>
            <w:r>
              <w:t xml:space="preserve">Pompa del polpaccio al minimo</w:t>
            </w:r>
          </w:p>
        </w:tc>
        <w:tc>
          <w:tcPr/>
          <w:p>
            <w:pPr>
              <w:pStyle w:val="Compact"/>
            </w:pPr>
            <w:r>
              <w:t xml:space="preserve">Dorsiflessione ridotta, passo corto</w:t>
            </w:r>
          </w:p>
        </w:tc>
        <w:tc>
          <w:tcPr/>
          <w:p>
            <w:pPr>
              <w:pStyle w:val="Compact"/>
            </w:pPr>
            <w:r>
              <w:t xml:space="preserve">DIMOSTRATO / PROBABILE</w:t>
            </w:r>
          </w:p>
        </w:tc>
      </w:tr>
      <w:tr>
        <w:tc>
          <w:tcPr/>
          <w:p>
            <w:pPr>
              <w:pStyle w:val="Compact"/>
            </w:pPr>
            <w:r>
              <w:t xml:space="preserve">Respiro a oscillazione, non aspirazione</w:t>
            </w:r>
          </w:p>
        </w:tc>
        <w:tc>
          <w:tcPr/>
          <w:p>
            <w:pPr>
              <w:pStyle w:val="Compact"/>
            </w:pPr>
            <w:r>
              <w:t xml:space="preserve">Torace fermo, respiro alto</w:t>
            </w:r>
          </w:p>
        </w:tc>
        <w:tc>
          <w:tcPr/>
          <w:p>
            <w:pPr>
              <w:pStyle w:val="Compact"/>
            </w:pPr>
            <w:r>
              <w:t xml:space="preserve">DIMOSTRATO dentro il ciclo / IPOTESI sul netto, con prove contrarie</w:t>
            </w:r>
          </w:p>
        </w:tc>
      </w:tr>
      <w:tr>
        <w:tc>
          <w:tcPr/>
          <w:p>
            <w:pPr>
              <w:pStyle w:val="Compact"/>
            </w:pPr>
            <w:r>
              <w:t xml:space="preserve">Sensazione oltre il reperto</w:t>
            </w:r>
          </w:p>
        </w:tc>
        <w:tc>
          <w:tcPr/>
          <w:p>
            <w:pPr>
              <w:pStyle w:val="Compact"/>
            </w:pPr>
            <w:r>
              <w:t xml:space="preserve">Pesantezza alta, caviglia normale</w:t>
            </w:r>
          </w:p>
        </w:tc>
        <w:tc>
          <w:tcPr/>
          <w:p>
            <w:pPr>
              <w:pStyle w:val="Compact"/>
            </w:pPr>
            <w:r>
              <w:t xml:space="preserve">PROBABILE</w:t>
            </w:r>
          </w:p>
        </w:tc>
      </w:tr>
    </w:tbl>
    <w:p>
      <w:pPr>
        <w:pStyle w:val="BodyText"/>
      </w:pPr>
      <w:r>
        <w:rPr>
          <w:b/>
          <w:bCs/>
        </w:rPr>
        <w:t xml:space="preserve">Il freno che manca nella catena.</w:t>
      </w:r>
      <w:r>
        <w:t xml:space="preserve"> </w:t>
      </w:r>
      <w:r>
        <w:t xml:space="preserve">Il riflesso veno-arteriolare stringe le arteriole precapillari quando la gamba è in basso, e frena la filtrazione. Non è il tono simpatico alto che gonfia:</w:t>
      </w:r>
      <w:r>
        <w:t xml:space="preserve"> </w:t>
      </w:r>
      <w:r>
        <w:rPr>
          <w:b/>
          <w:bCs/>
        </w:rPr>
        <w:t xml:space="preserve">è la sua perdita</w:t>
      </w:r>
      <w:r>
        <w:t xml:space="preserve">. Nessuna mano lo raggiunge, quindi serve a riconoscere e non a trattare. Il segnale è il</w:t>
      </w:r>
      <w:r>
        <w:t xml:space="preserve"> </w:t>
      </w:r>
      <w:r>
        <w:rPr>
          <w:b/>
          <w:bCs/>
        </w:rPr>
        <w:t xml:space="preserve">piede caldo con vene dorsali distese</w:t>
      </w:r>
      <w:r>
        <w:t xml:space="preserve">, non il piede freddo.</w:t>
      </w:r>
    </w:p>
    <w:bookmarkEnd w:id="11"/>
    <w:bookmarkStart w:id="12" w:name="i-sottotipi-e-chi-comanda"/>
    <w:p>
      <w:pPr>
        <w:pStyle w:val="Heading2"/>
      </w:pPr>
      <w:r>
        <w:t xml:space="preserve">4 · I sottotipi e chi comanda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Quanto puoi fare</w:t>
            </w:r>
          </w:p>
        </w:tc>
      </w:tr>
      <w:tr>
        <w:tc>
          <w:tcPr/>
          <w:p>
            <w:pPr>
              <w:pStyle w:val="Compact"/>
            </w:pPr>
            <w:r>
              <w:t xml:space="preserve">Ortostatico occupazionale</w:t>
            </w:r>
          </w:p>
        </w:tc>
        <w:tc>
          <w:tcPr/>
          <w:p>
            <w:pPr>
              <w:pStyle w:val="Compact"/>
            </w:pPr>
            <w:r>
              <w:t xml:space="preserve">In piedi o seduto per lavoro</w:t>
            </w:r>
          </w:p>
        </w:tc>
        <w:tc>
          <w:tcPr/>
          <w:p>
            <w:pPr>
              <w:pStyle w:val="Compact"/>
            </w:pPr>
            <w:r>
              <w:t xml:space="preserve">Molto</w:t>
            </w:r>
          </w:p>
        </w:tc>
      </w:tr>
      <w:tr>
        <w:tc>
          <w:tcPr/>
          <w:p>
            <w:pPr>
              <w:pStyle w:val="Compact"/>
            </w:pPr>
            <w:r>
              <w:t xml:space="preserve">Pompa distale insufficiente</w:t>
            </w:r>
          </w:p>
        </w:tc>
        <w:tc>
          <w:tcPr/>
          <w:p>
            <w:pPr>
              <w:pStyle w:val="Compact"/>
            </w:pPr>
            <w:r>
              <w:t xml:space="preserve">Dorsiflessione ridotta, passo corto</w:t>
            </w:r>
          </w:p>
        </w:tc>
        <w:tc>
          <w:tcPr/>
          <w:p>
            <w:pPr>
              <w:pStyle w:val="Compact"/>
            </w:pPr>
            <w:r>
              <w:t xml:space="preserve">Molto</w:t>
            </w:r>
          </w:p>
        </w:tc>
      </w:tr>
      <w:tr>
        <w:tc>
          <w:tcPr/>
          <w:p>
            <w:pPr>
              <w:pStyle w:val="Compact"/>
            </w:pPr>
            <w:r>
              <w:t xml:space="preserve">Asimmetrico cronico stabile</w:t>
            </w:r>
          </w:p>
        </w:tc>
        <w:tc>
          <w:tcPr/>
          <w:p>
            <w:pPr>
              <w:pStyle w:val="Compact"/>
            </w:pPr>
            <w:r>
              <w:t xml:space="preserve">Vecchio, fermo, già inquadrato</w:t>
            </w:r>
          </w:p>
        </w:tc>
        <w:tc>
          <w:tcPr/>
          <w:p>
            <w:pPr>
              <w:pStyle w:val="Compact"/>
            </w:pPr>
            <w:r>
              <w:t xml:space="preserve">Molto</w:t>
            </w:r>
          </w:p>
        </w:tc>
      </w:tr>
      <w:tr>
        <w:tc>
          <w:tcPr/>
          <w:p>
            <w:pPr>
              <w:pStyle w:val="Compact"/>
            </w:pPr>
            <w:r>
              <w:t xml:space="preserve">Venoso documentato C3</w:t>
            </w:r>
          </w:p>
        </w:tc>
        <w:tc>
          <w:tcPr/>
          <w:p>
            <w:pPr>
              <w:pStyle w:val="Compact"/>
            </w:pPr>
            <w:r>
              <w:t xml:space="preserve">Ecodoppler con reflusso</w:t>
            </w:r>
          </w:p>
        </w:tc>
        <w:tc>
          <w:tcPr/>
          <w:p>
            <w:pPr>
              <w:pStyle w:val="Compact"/>
            </w:pPr>
            <w:r>
              <w:t xml:space="preserve">Abbastanza</w:t>
            </w:r>
          </w:p>
        </w:tc>
      </w:tr>
      <w:tr>
        <w:tc>
          <w:tcPr/>
          <w:p>
            <w:pPr>
              <w:pStyle w:val="Compact"/>
            </w:pPr>
            <w:r>
              <w:t xml:space="preserve">Sensazione oltre il reperto</w:t>
            </w:r>
          </w:p>
        </w:tc>
        <w:tc>
          <w:tcPr/>
          <w:p>
            <w:pPr>
              <w:pStyle w:val="Compact"/>
            </w:pPr>
            <w:r>
              <w:t xml:space="preserve">Pesantezza alta, misure normali</w:t>
            </w:r>
          </w:p>
        </w:tc>
        <w:tc>
          <w:tcPr/>
          <w:p>
            <w:pPr>
              <w:pStyle w:val="Compact"/>
            </w:pPr>
            <w:r>
              <w:t xml:space="preserve">Abbastanza</w:t>
            </w:r>
          </w:p>
        </w:tc>
      </w:tr>
      <w:tr>
        <w:tc>
          <w:tcPr/>
          <w:p>
            <w:pPr>
              <w:pStyle w:val="Compact"/>
            </w:pPr>
            <w:r>
              <w:t xml:space="preserve">Gravidanza</w:t>
            </w:r>
          </w:p>
        </w:tc>
        <w:tc>
          <w:tcPr/>
          <w:p>
            <w:pPr>
              <w:pStyle w:val="Compact"/>
            </w:pPr>
            <w:r>
              <w:t xml:space="preserve">Gonfiore in gravidanza avanzata</w:t>
            </w:r>
          </w:p>
        </w:tc>
        <w:tc>
          <w:tcPr/>
          <w:p>
            <w:pPr>
              <w:pStyle w:val="Compact"/>
            </w:pPr>
            <w:r>
              <w:t xml:space="preserve">Poco</w:t>
            </w:r>
          </w:p>
        </w:tc>
      </w:tr>
      <w:tr>
        <w:tc>
          <w:tcPr/>
          <w:p>
            <w:pPr>
              <w:pStyle w:val="Compact"/>
            </w:pPr>
            <w:r>
              <w:t xml:space="preserve">Da farmaco o sistemico</w:t>
            </w:r>
          </w:p>
        </w:tc>
        <w:tc>
          <w:tcPr/>
          <w:p>
            <w:pPr>
              <w:pStyle w:val="Compact"/>
            </w:pPr>
            <w:r>
              <w:t xml:space="preserve">Nuova terapia, o bandiera rossa</w:t>
            </w:r>
          </w:p>
        </w:tc>
        <w:tc>
          <w:tcPr/>
          <w:p>
            <w:pPr>
              <w:pStyle w:val="Compact"/>
            </w:pPr>
            <w:r>
              <w:t xml:space="preserve">Niente: invio</w:t>
            </w:r>
          </w:p>
        </w:tc>
      </w:tr>
    </w:tbl>
    <w:p>
      <w:pPr>
        <w:pStyle w:val="BodyText"/>
      </w:pPr>
      <w:r>
        <w:rPr>
          <w:b/>
          <w:bCs/>
        </w:rPr>
        <w:t xml:space="preserve">Una gamba sola non è un’uscita automatica.</w:t>
      </w:r>
      <w:r>
        <w:t xml:space="preserve"> </w:t>
      </w:r>
      <w:r>
        <w:t xml:space="preserve">È un’uscita se è nuova o in peggioramento, ed è un sottotipo trattabile se è vecchia, stabile e già inquadrata. Il criterio è la cronologia, non il lato.</w:t>
      </w:r>
    </w:p>
    <w:p>
      <w:pPr>
        <w:pStyle w:val="BodyText"/>
      </w:pPr>
      <w:r>
        <w:rPr>
          <w:b/>
          <w:bCs/>
        </w:rPr>
        <w:t xml:space="preserve">«Pesantezza» copre tre sintomi diversi.</w:t>
      </w:r>
      <w:r>
        <w:t xml:space="preserve"> </w:t>
      </w:r>
      <w:r>
        <w:t xml:space="preserve">Nocicettivo: segue il carico. Nociplastico: sproporzionato, con ipervigilanza. Neuropatico: bruciore e intorpidimento, peggio di notte — si manda a inquadrare.</w:t>
      </w:r>
    </w:p>
    <w:bookmarkEnd w:id="12"/>
    <w:bookmarkStart w:id="13" w:name="le-bandiere-rosse"/>
    <w:p>
      <w:pPr>
        <w:pStyle w:val="Heading2"/>
      </w:pPr>
      <w:r>
        <w:t xml:space="preserve">5 · Le bandiere rosse</w:t>
      </w:r>
    </w:p>
    <w:p>
      <w:pPr>
        <w:pStyle w:val="FirstParagraph"/>
      </w:pPr>
      <w:r>
        <w:rPr>
          <w:i/>
          <w:iCs/>
        </w:rPr>
        <w:t xml:space="preserve">Per l’edema non esiste una lista validata: rete, non filtro. Una riga presente ti ferma; tutte assenti non escludono niente.</w:t>
      </w:r>
    </w:p>
    <w:p>
      <w:pPr>
        <w:pStyle w:val="BodyText"/>
      </w:pPr>
      <w:r>
        <w:rPr>
          <w:b/>
          <w:bCs/>
        </w:rPr>
        <w:t xml:space="preserve">Fermano il ciclo</w:t>
      </w:r>
      <w:r>
        <w:t xml:space="preserve"> </w:t>
      </w:r>
      <w:r>
        <w:t xml:space="preserve">— sulle prime sei non si tratta nulla in quella seduta:</w:t>
      </w:r>
    </w:p>
    <w:p>
      <w:pPr>
        <w:pStyle w:val="Compact"/>
        <w:numPr>
          <w:ilvl w:val="0"/>
          <w:numId w:val="1001"/>
        </w:numPr>
      </w:pPr>
      <w:r>
        <w:t xml:space="preserve">Gonfiore con affanno, dolore al petto, tosse con sangue o svenimento →</w:t>
      </w:r>
      <w:r>
        <w:t xml:space="preserve"> </w:t>
      </w:r>
      <w:r>
        <w:rPr>
          <w:b/>
          <w:bCs/>
        </w:rPr>
        <w:t xml:space="preserve">112</w:t>
      </w:r>
    </w:p>
    <w:p>
      <w:pPr>
        <w:pStyle w:val="Compact"/>
        <w:numPr>
          <w:ilvl w:val="0"/>
          <w:numId w:val="1001"/>
        </w:numPr>
      </w:pPr>
      <w:r>
        <w:t xml:space="preserve">Gonfiore rapido di viso, labbra, lingua →</w:t>
      </w:r>
      <w:r>
        <w:t xml:space="preserve"> </w:t>
      </w:r>
      <w:r>
        <w:rPr>
          <w:b/>
          <w:bCs/>
        </w:rPr>
        <w:t xml:space="preserve">112</w:t>
      </w:r>
    </w:p>
    <w:p>
      <w:pPr>
        <w:pStyle w:val="Compact"/>
        <w:numPr>
          <w:ilvl w:val="0"/>
          <w:numId w:val="1001"/>
        </w:numPr>
      </w:pPr>
      <w:r>
        <w:t xml:space="preserve">Gravidanza: gonfiore rapido a viso e mani → Ostetricia o PS →</w:t>
      </w:r>
      <w:r>
        <w:t xml:space="preserve"> </w:t>
      </w:r>
      <w:r>
        <w:rPr>
          <w:b/>
          <w:bCs/>
        </w:rPr>
        <w:t xml:space="preserve">Urgente</w:t>
      </w:r>
    </w:p>
    <w:p>
      <w:pPr>
        <w:pStyle w:val="Compact"/>
        <w:numPr>
          <w:ilvl w:val="0"/>
          <w:numId w:val="1001"/>
        </w:numPr>
      </w:pPr>
      <w:r>
        <w:t xml:space="preserve">Una gamba sola gonfia in ore,</w:t>
      </w:r>
      <w:r>
        <w:t xml:space="preserve"> </w:t>
      </w:r>
      <w:r>
        <w:rPr>
          <w:b/>
          <w:bCs/>
        </w:rPr>
        <w:t xml:space="preserve">o bilaterale peggiorato in fretta da un lato</w:t>
      </w:r>
      <w:r>
        <w:t xml:space="preserve"> </w:t>
      </w:r>
      <w:r>
        <w:t xml:space="preserve">→ PS →</w:t>
      </w:r>
      <w:r>
        <w:t xml:space="preserve"> </w:t>
      </w:r>
      <w:r>
        <w:rPr>
          <w:b/>
          <w:bCs/>
        </w:rPr>
        <w:t xml:space="preserve">Urgente</w:t>
      </w:r>
    </w:p>
    <w:p>
      <w:pPr>
        <w:pStyle w:val="Compact"/>
        <w:numPr>
          <w:ilvl w:val="0"/>
          <w:numId w:val="1001"/>
        </w:numPr>
      </w:pPr>
      <w:r>
        <w:t xml:space="preserve">Zona calda, rossa, dolente, con febbre →</w:t>
      </w:r>
      <w:r>
        <w:t xml:space="preserve"> </w:t>
      </w:r>
      <w:r>
        <w:rPr>
          <w:b/>
          <w:bCs/>
        </w:rPr>
        <w:t xml:space="preserve">Urgente</w:t>
      </w:r>
    </w:p>
    <w:p>
      <w:pPr>
        <w:pStyle w:val="Compact"/>
        <w:numPr>
          <w:ilvl w:val="0"/>
          <w:numId w:val="1001"/>
        </w:numPr>
      </w:pPr>
      <w:r>
        <w:rPr>
          <w:b/>
          <w:bCs/>
        </w:rPr>
        <w:t xml:space="preserve">Diabetico: un piede caldo e gonfio, anche senza febbre né dolore</w:t>
      </w:r>
      <w:r>
        <w:t xml:space="preserve"> </w:t>
      </w:r>
      <w:r>
        <w:t xml:space="preserve">→ Centro piede diabetico →</w:t>
      </w:r>
      <w:r>
        <w:t xml:space="preserve"> </w:t>
      </w:r>
      <w:r>
        <w:rPr>
          <w:b/>
          <w:bCs/>
        </w:rPr>
        <w:t xml:space="preserve">Urgente</w:t>
      </w:r>
    </w:p>
    <w:p>
      <w:pPr>
        <w:pStyle w:val="Compact"/>
        <w:numPr>
          <w:ilvl w:val="0"/>
          <w:numId w:val="1001"/>
        </w:numPr>
      </w:pPr>
      <w:r>
        <w:t xml:space="preserve">Ulcera o cute aperta alla caviglia →</w:t>
      </w:r>
      <w:r>
        <w:t xml:space="preserve"> </w:t>
      </w:r>
      <w:r>
        <w:rPr>
          <w:b/>
          <w:bCs/>
        </w:rPr>
        <w:t xml:space="preserve">Urgente</w:t>
      </w:r>
    </w:p>
    <w:p>
      <w:pPr>
        <w:pStyle w:val="Compact"/>
        <w:numPr>
          <w:ilvl w:val="0"/>
          <w:numId w:val="1001"/>
        </w:numPr>
      </w:pPr>
      <w:r>
        <w:t xml:space="preserve">Bilaterale nuovo con affanno da sforzo →</w:t>
      </w:r>
      <w:r>
        <w:t xml:space="preserve"> </w:t>
      </w:r>
      <w:r>
        <w:rPr>
          <w:b/>
          <w:bCs/>
        </w:rPr>
        <w:t xml:space="preserve">Invio, non attendere</w:t>
      </w:r>
    </w:p>
    <w:p>
      <w:pPr>
        <w:pStyle w:val="Compact"/>
        <w:numPr>
          <w:ilvl w:val="0"/>
          <w:numId w:val="1001"/>
        </w:numPr>
      </w:pPr>
      <w:r>
        <w:t xml:space="preserve">Urine schiumose o molto ridotte →</w:t>
      </w:r>
      <w:r>
        <w:t xml:space="preserve"> </w:t>
      </w:r>
      <w:r>
        <w:rPr>
          <w:b/>
          <w:bCs/>
        </w:rPr>
        <w:t xml:space="preserve">Invio, non attendere</w:t>
      </w:r>
    </w:p>
    <w:p>
      <w:pPr>
        <w:pStyle w:val="FirstParagraph"/>
      </w:pPr>
      <w:r>
        <w:rPr>
          <w:b/>
          <w:bCs/>
        </w:rPr>
        <w:t xml:space="preserve">Obbligano a scrivere, non fermano il lavoro sul reperto meccanico:</w:t>
      </w:r>
    </w:p>
    <w:p>
      <w:pPr>
        <w:pStyle w:val="Compact"/>
        <w:numPr>
          <w:ilvl w:val="0"/>
          <w:numId w:val="1002"/>
        </w:numPr>
      </w:pPr>
      <w:r>
        <w:t xml:space="preserve">Comparso dopo un farmaco nuovo → Prescrittore →</w:t>
      </w:r>
      <w:r>
        <w:t xml:space="preserve"> </w:t>
      </w:r>
      <w:r>
        <w:rPr>
          <w:b/>
          <w:bCs/>
        </w:rPr>
        <w:t xml:space="preserve">Invio</w:t>
      </w:r>
    </w:p>
    <w:p>
      <w:pPr>
        <w:pStyle w:val="Compact"/>
        <w:numPr>
          <w:ilvl w:val="0"/>
          <w:numId w:val="1002"/>
        </w:numPr>
      </w:pPr>
      <w:r>
        <w:t xml:space="preserve">Una gamba sola, lento, cute ispessita →</w:t>
      </w:r>
      <w:r>
        <w:t xml:space="preserve"> </w:t>
      </w:r>
      <w:r>
        <w:rPr>
          <w:b/>
          <w:bCs/>
        </w:rPr>
        <w:t xml:space="preserve">Invio, non attendere</w:t>
      </w:r>
    </w:p>
    <w:p>
      <w:pPr>
        <w:pStyle w:val="Compact"/>
        <w:numPr>
          <w:ilvl w:val="0"/>
          <w:numId w:val="1002"/>
        </w:numPr>
      </w:pPr>
      <w:r>
        <w:rPr>
          <w:b/>
          <w:bCs/>
        </w:rPr>
        <w:t xml:space="preserve">Piede freddo, polsi assenti, dolore camminando</w:t>
      </w:r>
      <w:r>
        <w:t xml:space="preserve"> </w:t>
      </w:r>
      <w:r>
        <w:t xml:space="preserve">→</w:t>
      </w:r>
      <w:r>
        <w:t xml:space="preserve"> </w:t>
      </w:r>
      <w:r>
        <w:rPr>
          <w:b/>
          <w:bCs/>
        </w:rPr>
        <w:t xml:space="preserve">Invio, non attendere</w:t>
      </w:r>
    </w:p>
    <w:p>
      <w:pPr>
        <w:pStyle w:val="Compact"/>
        <w:numPr>
          <w:ilvl w:val="0"/>
          <w:numId w:val="1002"/>
        </w:numPr>
      </w:pPr>
      <w:r>
        <w:t xml:space="preserve">Cute della caviglia scura, indurita, con placche →</w:t>
      </w:r>
      <w:r>
        <w:t xml:space="preserve"> </w:t>
      </w:r>
      <w:r>
        <w:rPr>
          <w:b/>
          <w:bCs/>
        </w:rPr>
        <w:t xml:space="preserve">Invio</w:t>
      </w:r>
    </w:p>
    <w:p>
      <w:pPr>
        <w:pStyle w:val="Compact"/>
        <w:numPr>
          <w:ilvl w:val="0"/>
          <w:numId w:val="1002"/>
        </w:numPr>
      </w:pPr>
      <w:r>
        <w:rPr>
          <w:b/>
          <w:bCs/>
        </w:rPr>
        <w:t xml:space="preserve">Bilaterale in paziente obeso che russa</w:t>
      </w:r>
      <w:r>
        <w:t xml:space="preserve"> </w:t>
      </w:r>
      <w:r>
        <w:t xml:space="preserve">→</w:t>
      </w:r>
      <w:r>
        <w:t xml:space="preserve"> </w:t>
      </w:r>
      <w:r>
        <w:rPr>
          <w:b/>
          <w:bCs/>
        </w:rPr>
        <w:t xml:space="preserve">Invio programmato</w:t>
      </w:r>
    </w:p>
    <w:p>
      <w:pPr>
        <w:pStyle w:val="FirstParagraph"/>
      </w:pPr>
      <w:r>
        <w:rPr>
          <w:b/>
          <w:bCs/>
        </w:rPr>
        <w:t xml:space="preserve">La scadenza:</w:t>
      </w:r>
      <w:r>
        <w:t xml:space="preserve"> </w:t>
      </w:r>
      <w:r>
        <w:t xml:space="preserve">l’inquadramento decade se il sintomo cambia carattere, sede o intensità. Il controllo che si rifà a ogni seduta:</w:t>
      </w:r>
      <w:r>
        <w:t xml:space="preserve"> </w:t>
      </w:r>
      <w:r>
        <w:rPr>
          <w:b/>
          <w:bCs/>
        </w:rPr>
        <w:t xml:space="preserve">una gamba o due, e se due, uguali.</w:t>
      </w:r>
    </w:p>
    <w:bookmarkEnd w:id="13"/>
    <w:bookmarkStart w:id="14" w:name="la-sicurezza-del-gesto-in-tre-righe"/>
    <w:p>
      <w:pPr>
        <w:pStyle w:val="Heading2"/>
      </w:pPr>
      <w:r>
        <w:t xml:space="preserve">6 · La sicurezza del gesto, in tre righe</w:t>
      </w:r>
    </w:p>
    <w:p>
      <w:pPr>
        <w:pStyle w:val="FirstParagraph"/>
      </w:pPr>
      <w:r>
        <w:rPr>
          <w:b/>
          <w:bCs/>
        </w:rPr>
        <w:t xml:space="preserve">Nessuna manovra ritmica, di pompaggio o di spremitura sulla gamba e sulla sua radice finché la trombosi non è esclusa da chi la esclude:</w:t>
      </w:r>
      <w:r>
        <w:t xml:space="preserve"> </w:t>
      </w:r>
      <w:r>
        <w:t xml:space="preserve">è l’unico evento avverso grave documentato per questa classe di gesto. Il gesto sospeso non è il ciclo sospeso — caviglia e torace restano. È la quinta condizione dell’uscita GIALLA, dove non è stato escluso niente.</w:t>
      </w:r>
      <w:r>
        <w:t xml:space="preserve"> </w:t>
      </w:r>
      <w:r>
        <w:t xml:space="preserve">Nessuna manovra di provocazione al polpaccio, e nessuna tecnica su area calda, rossa e dolente. La cute della stasi è una controindicazione di grado: si guarda prima di appoggiare le mani.</w:t>
      </w:r>
      <w:r>
        <w:t xml:space="preserve"> </w:t>
      </w:r>
      <w:r>
        <w:t xml:space="preserve">La compressione ha un cancello arterioso: ABI &lt; 0,6, pressione alla caviglia &lt; 60 mmHg, NYHA IV, neuropatia diabetica grave. Incoraggiarla non è neutro. Bendaggio e pressoterapia restano fuori dal profilo (DPR 131/2021).</w:t>
      </w:r>
    </w:p>
    <w:bookmarkEnd w:id="14"/>
    <w:bookmarkStart w:id="15" w:name="i-marker"/>
    <w:p>
      <w:pPr>
        <w:pStyle w:val="Heading2"/>
      </w:pPr>
      <w:r>
        <w:t xml:space="preserve">7 · I marker</w:t>
      </w:r>
    </w:p>
    <w:p>
      <w:pPr>
        <w:pStyle w:val="FirstParagraph"/>
      </w:pPr>
      <w:r>
        <w:rPr>
          <w:i/>
          <w:iCs/>
        </w:rPr>
        <w:t xml:space="preserve">Nessuna soglia è un cambiamento minimo rilevabile pubblicato: sono convenzioni di metodo, dichiarate come tali.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Soglia</w:t>
            </w:r>
          </w:p>
        </w:tc>
        <w:tc>
          <w:tcPr/>
          <w:p>
            <w:pPr>
              <w:pStyle w:val="Compact"/>
            </w:pPr>
            <w:r>
              <w:t xml:space="preserve">Come si prende</w:t>
            </w:r>
          </w:p>
        </w:tc>
      </w:tr>
      <w:tr>
        <w:tc>
          <w:tcPr/>
          <w:p>
            <w:pPr>
              <w:pStyle w:val="Compact"/>
            </w:pPr>
            <w:r>
              <w:t xml:space="preserve">Circonferenza caviglia, metodo a otto</w:t>
            </w:r>
          </w:p>
        </w:tc>
        <w:tc>
          <w:tcPr/>
          <w:p>
            <w:pPr>
              <w:pStyle w:val="Compact"/>
            </w:pPr>
            <w:r>
              <w:t xml:space="preserve">1,0 cm</w:t>
            </w:r>
          </w:p>
        </w:tc>
        <w:tc>
          <w:tcPr/>
          <w:p>
            <w:pPr>
              <w:pStyle w:val="Compact"/>
            </w:pPr>
            <w:r>
              <w:t xml:space="preserve">Nastro a otto, reperi segnati</w:t>
            </w:r>
          </w:p>
        </w:tc>
      </w:tr>
      <w:tr>
        <w:tc>
          <w:tcPr/>
          <w:p>
            <w:pPr>
              <w:pStyle w:val="Compact"/>
            </w:pPr>
            <w:r>
              <w:t xml:space="preserve">Delta mattina-sera, mediana su 3 giorni</w:t>
            </w:r>
          </w:p>
        </w:tc>
        <w:tc>
          <w:tcPr/>
          <w:p>
            <w:pPr>
              <w:pStyle w:val="Compact"/>
            </w:pPr>
            <w:r>
              <w:t xml:space="preserve">1,5 cm</w:t>
            </w:r>
          </w:p>
        </w:tc>
        <w:tc>
          <w:tcPr/>
          <w:p>
            <w:pPr>
              <w:pStyle w:val="Compact"/>
            </w:pPr>
            <w:r>
              <w:t xml:space="preserve">Anche marker fuori piano</w:t>
            </w:r>
          </w:p>
        </w:tc>
      </w:tr>
      <w:tr>
        <w:tc>
          <w:tcPr/>
          <w:p>
            <w:pPr>
              <w:pStyle w:val="Compact"/>
            </w:pPr>
            <w:r>
              <w:t xml:space="preserve">Dorsiflessione in carico, dito-muro</w:t>
            </w:r>
          </w:p>
        </w:tc>
        <w:tc>
          <w:tcPr/>
          <w:p>
            <w:pPr>
              <w:pStyle w:val="Compact"/>
            </w:pPr>
            <w:r>
              <w:t xml:space="preserve">2 cm</w:t>
            </w:r>
          </w:p>
        </w:tc>
        <w:tc>
          <w:tcPr/>
          <w:p>
            <w:pPr>
              <w:pStyle w:val="Compact"/>
            </w:pPr>
            <w:r>
              <w:rPr>
                <w:b/>
                <w:bCs/>
              </w:rPr>
              <w:t xml:space="preserve">Ginocchio al muro</w:t>
            </w:r>
            <w:r>
              <w:t xml:space="preserve">, si legge alla seduta dopo</w:t>
            </w:r>
          </w:p>
        </w:tc>
      </w:tr>
      <w:tr>
        <w:tc>
          <w:tcPr/>
          <w:p>
            <w:pPr>
              <w:pStyle w:val="Compact"/>
            </w:pPr>
            <w:r>
              <w:t xml:space="preserve">Escursione costale inferiore</w:t>
            </w:r>
          </w:p>
        </w:tc>
        <w:tc>
          <w:tcPr/>
          <w:p>
            <w:pPr>
              <w:pStyle w:val="Compact"/>
            </w:pPr>
            <w:r>
              <w:t xml:space="preserve">1 cm</w:t>
            </w:r>
          </w:p>
        </w:tc>
        <w:tc>
          <w:tcPr/>
          <w:p>
            <w:pPr>
              <w:pStyle w:val="Compact"/>
            </w:pPr>
            <w:r>
              <w:rPr>
                <w:b/>
                <w:bCs/>
              </w:rPr>
              <w:t xml:space="preserve">Nastro sullo xifoide</w:t>
            </w:r>
            <w:r>
              <w:t xml:space="preserve">, non sotto le ascelle</w:t>
            </w:r>
          </w:p>
        </w:tc>
      </w:tr>
      <w:tr>
        <w:tc>
          <w:tcPr/>
          <w:p>
            <w:pPr>
              <w:pStyle w:val="Compact"/>
            </w:pPr>
            <w:r>
              <w:t xml:space="preserve">Frequenza respiratoria a riposo</w:t>
            </w:r>
          </w:p>
        </w:tc>
        <w:tc>
          <w:tcPr/>
          <w:p>
            <w:pPr>
              <w:pStyle w:val="Compact"/>
            </w:pPr>
            <w:r>
              <w:t xml:space="preserve">2 atti/min</w:t>
            </w:r>
          </w:p>
        </w:tc>
        <w:tc>
          <w:tcPr/>
          <w:p>
            <w:pPr>
              <w:pStyle w:val="Compact"/>
            </w:pPr>
            <w:r>
              <w:t xml:space="preserve">Sommerso attivazione:</w:t>
            </w:r>
            <w:r>
              <w:t xml:space="preserve"> </w:t>
            </w:r>
            <w:r>
              <w:rPr>
                <w:b/>
                <w:bCs/>
              </w:rPr>
              <w:t xml:space="preserve">marker di stato</w:t>
            </w:r>
          </w:p>
        </w:tc>
      </w:tr>
    </w:tbl>
    <w:p>
      <w:pPr>
        <w:pStyle w:val="BodyText"/>
      </w:pPr>
      <w:r>
        <w:rPr>
          <w:b/>
          <w:bCs/>
        </w:rPr>
        <w:t xml:space="preserve">La chiave di volta:</w:t>
      </w:r>
      <w:r>
        <w:t xml:space="preserve"> </w:t>
      </w:r>
      <w:r>
        <w:t xml:space="preserve">il marker sta su un piano che non hai trattato. Torace se hai lavorato sulla caviglia, caviglia se hai lavorato sul torace,</w:t>
      </w:r>
      <w:r>
        <w:t xml:space="preserve"> </w:t>
      </w:r>
      <w:r>
        <w:rPr>
          <w:b/>
          <w:bCs/>
        </w:rPr>
        <w:t xml:space="preserve">delta mattina-sera se hai lavorato su entrambi</w:t>
      </w:r>
      <w:r>
        <w:t xml:space="preserve">,</w:t>
      </w:r>
      <w:r>
        <w:t xml:space="preserve"> </w:t>
      </w:r>
      <w:r>
        <w:rPr>
          <w:b/>
          <w:bCs/>
        </w:rPr>
        <w:t xml:space="preserve">dorsiflessione alla seduta dopo se hai lavorato sull’attivazione</w:t>
      </w:r>
      <w:r>
        <w:t xml:space="preserve">. Il marker di stato — la frequenza respiratoria — non prova la chiave di volta.</w:t>
      </w:r>
    </w:p>
    <w:p>
      <w:pPr>
        <w:pStyle w:val="BodyText"/>
      </w:pPr>
      <w:r>
        <w:rPr>
          <w:b/>
          <w:bCs/>
        </w:rPr>
        <w:t xml:space="preserve">Non è un marker:</w:t>
      </w:r>
      <w:r>
        <w:t xml:space="preserve"> </w:t>
      </w:r>
      <w:r>
        <w:t xml:space="preserve">la pesantezza serale da 0 a 10, soglia 2 punti. È la</w:t>
      </w:r>
      <w:r>
        <w:t xml:space="preserve"> </w:t>
      </w:r>
      <w:r>
        <w:rPr>
          <w:b/>
          <w:bCs/>
        </w:rPr>
        <w:t xml:space="preserve">misura di esito</w:t>
      </w:r>
      <w:r>
        <w:t xml:space="preserve">.</w:t>
      </w:r>
    </w:p>
    <w:p>
      <w:pPr>
        <w:pStyle w:val="BodyText"/>
      </w:pPr>
      <w:r>
        <w:rPr>
          <w:b/>
          <w:bCs/>
        </w:rPr>
        <w:t xml:space="preserve">Due orizzonti diversi:</w:t>
      </w:r>
      <w:r>
        <w:t xml:space="preserve"> </w:t>
      </w:r>
      <w:r>
        <w:t xml:space="preserve">la circonferenza non si muove con il tocco in quattro settimane; si muove con il carico ripetuto in tre mesi (−1,27 cm contro −0,49 dei controlli).</w:t>
      </w:r>
    </w:p>
    <w:p>
      <w:pPr>
        <w:pStyle w:val="BodyText"/>
      </w:pPr>
      <w:r>
        <w:rPr>
          <w:b/>
          <w:bCs/>
        </w:rPr>
        <w:t xml:space="preserve">Perché la dorsiflessione si legge fra una seduta e l’altra:</w:t>
      </w:r>
      <w:r>
        <w:t xml:space="preserve"> </w:t>
      </w:r>
      <w:r>
        <w:t xml:space="preserve">la stima aggregata dell’effetto immediato di una mobilizzazione manuale su quella misura è MD 0,91 (IC 0,06-1,76), e un’altra revisione non trova effetto immediato affatto. Una soglia di 2 cm dentro la seduta non può accendersi.</w:t>
      </w:r>
    </w:p>
    <w:bookmarkEnd w:id="15"/>
    <w:bookmarkStart w:id="16" w:name="il-ragionamento-in-sette-domande"/>
    <w:p>
      <w:pPr>
        <w:pStyle w:val="Heading2"/>
      </w:pPr>
      <w:r>
        <w:t xml:space="preserve">8 · Il ragionamento, in sette domande</w:t>
      </w:r>
    </w:p>
    <w:p>
      <w:pPr>
        <w:pStyle w:val="Compact"/>
        <w:numPr>
          <w:ilvl w:val="0"/>
          <w:numId w:val="1003"/>
        </w:numPr>
      </w:pPr>
      <w:r>
        <w:t xml:space="preserve">C’è una bandiera rossa? → ti fermi.</w:t>
      </w:r>
    </w:p>
    <w:p>
      <w:pPr>
        <w:pStyle w:val="Compact"/>
        <w:numPr>
          <w:ilvl w:val="0"/>
          <w:numId w:val="1003"/>
        </w:numPr>
      </w:pPr>
      <w:r>
        <w:t xml:space="preserve">È comparso dopo un farmaco nuovo? → la cronologia delle terapie prima di quella dei sintomi.</w:t>
      </w:r>
    </w:p>
    <w:p>
      <w:pPr>
        <w:pStyle w:val="Compact"/>
        <w:numPr>
          <w:ilvl w:val="0"/>
          <w:numId w:val="1003"/>
        </w:numPr>
      </w:pPr>
      <w:r>
        <w:rPr>
          <w:b/>
          <w:bCs/>
        </w:rPr>
        <w:t xml:space="preserve">Come dorme e quanto pesa?</w:t>
      </w:r>
      <w:r>
        <w:t xml:space="preserve"> </w:t>
      </w:r>
      <w:r>
        <w:t xml:space="preserve">→ russa, si addormenta di giorno, collo largo: venti secondi, e l’ecocardiogramma normale non ha chiuso quella strada.</w:t>
      </w:r>
    </w:p>
    <w:p>
      <w:pPr>
        <w:pStyle w:val="Compact"/>
        <w:numPr>
          <w:ilvl w:val="0"/>
          <w:numId w:val="1003"/>
        </w:numPr>
      </w:pPr>
      <w:r>
        <w:t xml:space="preserve">Quante ore sta fermo in piedi, o seduto? → in piedi guardi la caviglia, seduto la radice dell’arto.</w:t>
      </w:r>
    </w:p>
    <w:p>
      <w:pPr>
        <w:pStyle w:val="Compact"/>
        <w:numPr>
          <w:ilvl w:val="0"/>
          <w:numId w:val="1003"/>
        </w:numPr>
      </w:pPr>
      <w:r>
        <w:t xml:space="preserve">Come si muove la caviglia in carico? → la pompa più potente, e l’unica allenabile.</w:t>
      </w:r>
    </w:p>
    <w:p>
      <w:pPr>
        <w:pStyle w:val="Compact"/>
        <w:numPr>
          <w:ilvl w:val="0"/>
          <w:numId w:val="1003"/>
        </w:numPr>
      </w:pPr>
      <w:r>
        <w:t xml:space="preserve">Che ampiezza ha il respiro? → disponibilità del torace, non leva sull’edema.</w:t>
      </w:r>
    </w:p>
    <w:p>
      <w:pPr>
        <w:pStyle w:val="Compact"/>
        <w:numPr>
          <w:ilvl w:val="0"/>
          <w:numId w:val="1003"/>
        </w:numPr>
      </w:pPr>
      <w:r>
        <w:t xml:space="preserve">Quanto la sensazione supera la misura? → dopo aver separato nociplastico e neuropatico.</w:t>
      </w:r>
    </w:p>
    <w:p>
      <w:pPr>
        <w:pStyle w:val="FirstParagraph"/>
      </w:pPr>
      <w:r>
        <w:rPr>
          <w:b/>
          <w:bCs/>
        </w:rPr>
        <w:t xml:space="preserve">L’ordine di interrogazione è per frequenza; l’ordine di comando resta la piramide.</w:t>
      </w:r>
      <w:r>
        <w:t xml:space="preserve"> </w:t>
      </w:r>
      <w:r>
        <w:t xml:space="preserve">Quando due piani sono entrambi disfunzionali comanda il più alto. Quando più segnali sono positivi</w:t>
      </w:r>
      <w:r>
        <w:t xml:space="preserve"> </w:t>
      </w:r>
      <w:r>
        <w:rPr>
          <w:b/>
          <w:bCs/>
        </w:rPr>
        <w:t xml:space="preserve">comanda quello che spiega il</w:t>
      </w:r>
      <w:r>
        <w:rPr>
          <w:b/>
          <w:bCs/>
        </w:rPr>
        <w:t xml:space="preserve"> </w:t>
      </w:r>
      <w:r>
        <w:rPr>
          <w:b/>
          <w:bCs/>
          <w:i/>
          <w:iCs/>
        </w:rPr>
        <w:t xml:space="preserve">ritmo</w:t>
      </w:r>
      <w:r>
        <w:rPr>
          <w:b/>
          <w:bCs/>
        </w:rPr>
        <w:t xml:space="preserve"> </w:t>
      </w:r>
      <w:r>
        <w:rPr>
          <w:b/>
          <w:bCs/>
        </w:rPr>
        <w:t xml:space="preserve">del sintomo</w:t>
      </w:r>
      <w:r>
        <w:t xml:space="preserve">.</w:t>
      </w:r>
    </w:p>
    <w:bookmarkEnd w:id="16"/>
    <w:bookmarkStart w:id="17" w:name="X60ca92e202f37d4b7d8347e1e8b8382b96882c5"/>
    <w:p>
      <w:pPr>
        <w:pStyle w:val="Heading2"/>
      </w:pPr>
      <w:r>
        <w:t xml:space="preserve">9 · Gli strumenti attivi, e la separazione che conta</w:t>
      </w:r>
    </w:p>
    <w:p>
      <w:pPr>
        <w:pStyle w:val="FirstParagraph"/>
      </w:pPr>
      <w:r>
        <w:rPr>
          <w:b/>
          <w:bCs/>
        </w:rPr>
        <w:t xml:space="preserve">Il carico a terra e il carico in acqua non hanno la stessa prova, e vanno tenuti separati.</w:t>
      </w:r>
    </w:p>
    <w:p>
      <w:pPr>
        <w:pStyle w:val="Compact"/>
        <w:numPr>
          <w:ilvl w:val="0"/>
          <w:numId w:val="1004"/>
        </w:numPr>
      </w:pPr>
      <w:r>
        <w:rPr>
          <w:b/>
          <w:bCs/>
        </w:rPr>
        <w:t xml:space="preserve">A terra</w:t>
      </w:r>
      <w:r>
        <w:t xml:space="preserve"> </w:t>
      </w:r>
      <w:r>
        <w:t xml:space="preserve">— passi con spinta, sollevamenti sulle punte, salita.</w:t>
      </w:r>
      <w:r>
        <w:t xml:space="preserve"> </w:t>
      </w:r>
      <w:r>
        <w:rPr>
          <w:b/>
          <w:bCs/>
        </w:rPr>
        <w:t xml:space="preserve">DIMOSTRATO</w:t>
      </w:r>
      <w:r>
        <w:t xml:space="preserve"> </w:t>
      </w:r>
      <w:r>
        <w:t xml:space="preserve">sulla funzione della pompa e</w:t>
      </w:r>
      <w:r>
        <w:t xml:space="preserve"> </w:t>
      </w:r>
      <w:r>
        <w:rPr>
          <w:b/>
          <w:bCs/>
        </w:rPr>
        <w:t xml:space="preserve">PROBABILE</w:t>
      </w:r>
      <w:r>
        <w:t xml:space="preserve"> </w:t>
      </w:r>
      <w:r>
        <w:t xml:space="preserve">sugli esiti clinici, con il carico ripetuto per settimane (Padberg 2004; Aydin 2022; Orr 2017). Il salto è dichiarato: popolazioni più gravi, e in due studi su tre la compressione sotto.</w:t>
      </w:r>
      <w:r>
        <w:t xml:space="preserve"> </w:t>
      </w:r>
      <w:r>
        <w:rPr>
          <w:b/>
          <w:bCs/>
        </w:rPr>
        <w:t xml:space="preserve">IPOTESI sul volume, con prove contrarie:</w:t>
      </w:r>
      <w:r>
        <w:t xml:space="preserve"> </w:t>
      </w:r>
      <w:r>
        <w:t xml:space="preserve">trenta minuti di cammino a terra non lo muovono (−0,20%, non significativo).</w:t>
      </w:r>
    </w:p>
    <w:p>
      <w:pPr>
        <w:pStyle w:val="Compact"/>
        <w:numPr>
          <w:ilvl w:val="0"/>
          <w:numId w:val="1004"/>
        </w:numPr>
      </w:pPr>
      <w:r>
        <w:rPr>
          <w:b/>
          <w:bCs/>
        </w:rPr>
        <w:t xml:space="preserve">In acqua</w:t>
      </w:r>
      <w:r>
        <w:t xml:space="preserve"> </w:t>
      </w:r>
      <w:r>
        <w:t xml:space="preserve">—</w:t>
      </w:r>
      <w:r>
        <w:t xml:space="preserve"> </w:t>
      </w:r>
      <w:r>
        <w:rPr>
          <w:b/>
          <w:bCs/>
        </w:rPr>
        <w:t xml:space="preserve">DIMOSTRATO</w:t>
      </w:r>
      <w:r>
        <w:t xml:space="preserve"> </w:t>
      </w:r>
      <w:r>
        <w:t xml:space="preserve">che l’immersione riduca il volume nell’edema occupazionale, e</w:t>
      </w:r>
      <w:r>
        <w:t xml:space="preserve"> </w:t>
      </w:r>
      <w:r>
        <w:rPr>
          <w:b/>
          <w:bCs/>
        </w:rPr>
        <w:t xml:space="preserve">anche da fermi</w:t>
      </w:r>
      <w:r>
        <w:t xml:space="preserve">: −4,20% in piedi immobili, −6,50% camminando, contro −0,20% a terra sugli stessi 14 soggetti (Mosti, 2021, PMID 33407051).</w:t>
      </w:r>
      <w:r>
        <w:t xml:space="preserve"> </w:t>
      </w:r>
      <w:r>
        <w:rPr>
          <w:b/>
          <w:bCs/>
        </w:rPr>
        <w:t xml:space="preserve">PROBABILE</w:t>
      </w:r>
      <w:r>
        <w:t xml:space="preserve"> </w:t>
      </w:r>
      <w:r>
        <w:t xml:space="preserve">sul cammino in piscina ripetuto per mesi: VCSS migliorato di quattro punti nel 28% contro il 3%, circonferenza −1,27 cm contro −0,49, in 201 pazienti (Sharifi, 2021, PMID 33127467).</w:t>
      </w:r>
    </w:p>
    <w:p>
      <w:pPr>
        <w:pStyle w:val="Compact"/>
        <w:numPr>
          <w:ilvl w:val="0"/>
          <w:numId w:val="1004"/>
        </w:numPr>
      </w:pPr>
      <w:r>
        <w:rPr>
          <w:b/>
          <w:bCs/>
        </w:rPr>
        <w:t xml:space="preserve">Il respiro ampio</w:t>
      </w:r>
      <w:r>
        <w:t xml:space="preserve"> </w:t>
      </w:r>
      <w:r>
        <w:t xml:space="preserve">—</w:t>
      </w:r>
      <w:r>
        <w:t xml:space="preserve"> </w:t>
      </w:r>
      <w:r>
        <w:rPr>
          <w:b/>
          <w:bCs/>
        </w:rPr>
        <w:t xml:space="preserve">IPOTESI sull’edema, con prove contrarie:</w:t>
      </w:r>
      <w:r>
        <w:t xml:space="preserve"> </w:t>
      </w:r>
      <w:r>
        <w:t xml:space="preserve">nel solo confronto diretto ha perso contro il polpaccio (Aydin, 2022).</w:t>
      </w:r>
    </w:p>
    <w:p>
      <w:pPr>
        <w:pStyle w:val="Compact"/>
        <w:numPr>
          <w:ilvl w:val="0"/>
          <w:numId w:val="1004"/>
        </w:numPr>
      </w:pPr>
      <w:r>
        <w:rPr>
          <w:b/>
          <w:bCs/>
        </w:rPr>
        <w:t xml:space="preserve">La gestione del carico</w:t>
      </w:r>
      <w:r>
        <w:t xml:space="preserve"> </w:t>
      </w:r>
      <w:r>
        <w:t xml:space="preserve">— compressione e interruzione della colonna. L’elevazione ha una misura: −2,9% del volume dopo tre-quattro ore di gamba sollevata (Xia, 2004).</w:t>
      </w:r>
    </w:p>
    <w:p>
      <w:pPr>
        <w:pStyle w:val="FirstParagraph"/>
      </w:pPr>
      <w:r>
        <w:rPr>
          <w:b/>
          <w:bCs/>
        </w:rPr>
        <w:t xml:space="preserve">Il collo di bottiglia è l’aderenza:</w:t>
      </w:r>
      <w:r>
        <w:t xml:space="preserve"> </w:t>
      </w:r>
      <w:r>
        <w:t xml:space="preserve">il 63% dei pazienti non usa la calza o l’ha abbandonata. E la Cochrane aggiornata al 2022 (5 RCT, 146 partecipanti) giudica le prove sull’esercizio ancora insufficienti.</w:t>
      </w:r>
    </w:p>
    <w:bookmarkEnd w:id="17"/>
    <w:bookmarkStart w:id="18" w:name="la-frase-per-il-paziente"/>
    <w:p>
      <w:pPr>
        <w:pStyle w:val="Heading2"/>
      </w:pPr>
      <w:r>
        <w:t xml:space="preserve">10 · La frase per il paziente</w:t>
      </w:r>
    </w:p>
    <w:p>
      <w:pPr>
        <w:pStyle w:val="FirstParagraph"/>
      </w:pPr>
      <w:r>
        <w:rPr>
          <w:i/>
          <w:iCs/>
        </w:rPr>
        <w:t xml:space="preserve">«I liquidi delle gambe devono risalire, e per farlo servono due pompe. Una è il passo: ogni volta che spingi con il piede, il polpaccio strizza le vene e manda il sangue su. L’altra è il respiro: il torace, andando su e giù, cambia la pressione dentro la pancia, e quel movimento sposta il sangue. Se stai ferma in piedi tutto il giorno, la prima pompa non lavora. Se il torace si muove poco, la seconda ha poca corsa. Io guardo quelle due, e insieme misuriamo se si muovono. Il gonfiore va comunque inquadrato dal suo medico: io intanto non aspetto, ma non prendo il suo posto.»</w:t>
      </w:r>
    </w:p>
    <w:p>
      <w:pPr>
        <w:pStyle w:val="BodyText"/>
      </w:pPr>
      <w:r>
        <w:rPr>
          <w:b/>
          <w:bCs/>
        </w:rPr>
        <w:t xml:space="preserve">La rete di sicurezza, da dire alla prima seduta:</w:t>
      </w:r>
      <w:r>
        <w:t xml:space="preserve"> </w:t>
      </w:r>
      <w:r>
        <w:t xml:space="preserve">una gamba sola che si gonfia in ore, fiato corto improvviso, dolore al petto, tosse con sangue o svenimento →</w:t>
      </w:r>
      <w:r>
        <w:t xml:space="preserve"> </w:t>
      </w:r>
      <w:r>
        <w:rPr>
          <w:b/>
          <w:bCs/>
        </w:rPr>
        <w:t xml:space="preserve">112</w:t>
      </w:r>
      <w:r>
        <w:t xml:space="preserve">, senza aspettare la prossima seduta.</w:t>
      </w:r>
    </w:p>
    <w:p>
      <w:r>
        <w:pict>
          <v:rect style="width:0;height:1.5pt" o:hralign="center" o:hrstd="t" o:hr="t"/>
        </w:pict>
      </w:r>
    </w:p>
    <w:p>
      <w:pPr>
        <w:pStyle w:val="BlockText"/>
      </w:pPr>
      <w:r>
        <w:rPr>
          <w:b/>
          <w:bCs/>
        </w:rPr>
        <w:t xml:space="preserve">Perché ci sei tu.</w:t>
      </w:r>
      <w:r>
        <w:t xml:space="preserve"> </w:t>
      </w:r>
      <w:r>
        <w:t xml:space="preserve">Sulla popolazione esatta di questa Bibbia — 14 soggetti con edema che compare al lavoro e sparisce di notte — trenta minuti fermi in acqua hanno tolto il 4,20% del volume della gamba, e trenta minuti di cammino a terra lo 0,20%, non significativo (Mosti, 2021, PMID 33407051). Questo ti autorizza a insegnare</w:t>
      </w:r>
      <w:r>
        <w:t xml:space="preserve"> </w:t>
      </w:r>
      <w:r>
        <w:rPr>
          <w:b/>
          <w:bCs/>
        </w:rPr>
        <w:t xml:space="preserve">quale</w:t>
      </w:r>
      <w:r>
        <w:t xml:space="preserve"> </w:t>
      </w:r>
      <w:r>
        <w:t xml:space="preserve">carico fa</w:t>
      </w:r>
      <w:r>
        <w:t xml:space="preserve"> </w:t>
      </w:r>
      <w:r>
        <w:rPr>
          <w:b/>
          <w:bCs/>
        </w:rPr>
        <w:t xml:space="preserve">quale</w:t>
      </w:r>
      <w:r>
        <w:t xml:space="preserve"> </w:t>
      </w:r>
      <w:r>
        <w:t xml:space="preserve">cosa, invece di dire «cammini di più»: è la distinzione che nessuno, nel percorso di questo paziente, gli ha mai fatto. Non ti autorizza a considerarlo un effetto del tuo gesto: sul gesto manuale osteopatico applicato a questa condizione non esiste</w:t>
      </w:r>
      <w:r>
        <w:t xml:space="preserve"> </w:t>
      </w:r>
      <w:r>
        <w:rPr>
          <w:b/>
          <w:bCs/>
        </w:rPr>
        <w:t xml:space="preserve">nemmeno uno</w:t>
      </w:r>
      <w:r>
        <w:t xml:space="preserve"> </w:t>
      </w:r>
      <w:r>
        <w:t xml:space="preserve">studio controllato, mentre sullo strumento che il paziente usa da solo esiste un randomizzato su 201 persone. Il nostro spazio, qui, è l’insegnamento e la misura — non il tocco.</w:t>
      </w:r>
    </w:p>
    <w:p>
      <w:pPr>
        <w:pStyle w:val="BlockText"/>
      </w:pPr>
      <w:r>
        <w:rPr>
          <w:b/>
          <w:bCs/>
        </w:rPr>
        <w:t xml:space="preserve">DIMOSTRATO</w:t>
      </w:r>
      <w:r>
        <w:t xml:space="preserve"> </w:t>
      </w:r>
      <w:r>
        <w:t xml:space="preserve">studi sull’uomo, solidi ·</w:t>
      </w:r>
      <w:r>
        <w:t xml:space="preserve"> </w:t>
      </w:r>
      <w:r>
        <w:rPr>
          <w:b/>
          <w:bCs/>
        </w:rPr>
        <w:t xml:space="preserve">DIMOSTRATO nell’animale</w:t>
      </w:r>
      <w:r>
        <w:t xml:space="preserve"> </w:t>
      </w:r>
      <w:r>
        <w:t xml:space="preserve">studi solidi, ma su cane o su ratto ·</w:t>
      </w:r>
      <w:r>
        <w:t xml:space="preserve"> </w:t>
      </w:r>
      <w:r>
        <w:rPr>
          <w:b/>
          <w:bCs/>
        </w:rPr>
        <w:t xml:space="preserve">PROBABILE</w:t>
      </w:r>
      <w:r>
        <w:t xml:space="preserve"> </w:t>
      </w:r>
      <w:r>
        <w:t xml:space="preserve">razionale forte, prove parziali ·</w:t>
      </w:r>
      <w:r>
        <w:t xml:space="preserve"> </w:t>
      </w:r>
      <w:r>
        <w:rPr>
          <w:b/>
          <w:bCs/>
        </w:rPr>
        <w:t xml:space="preserve">IPOTESI</w:t>
      </w:r>
      <w:r>
        <w:t xml:space="preserve"> </w:t>
      </w:r>
      <w:r>
        <w:t xml:space="preserve">meccanismo coerente, nessuno studio — e quando studi diretti esistono e vanno in direzione opposta, l’etichetta resta questa e la prova contraria è scritta nella frase ·</w:t>
      </w:r>
      <w:r>
        <w:t xml:space="preserve"> </w:t>
      </w:r>
      <w:r>
        <w:rPr>
          <w:b/>
          <w:bCs/>
        </w:rPr>
        <w:t xml:space="preserve">RAGIONAMENTO</w:t>
      </w:r>
      <w:r>
        <w:t xml:space="preserve"> </w:t>
      </w:r>
      <w:r>
        <w:t xml:space="preserve">cornice clinica, non una prova</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Mobilitas — Direzione Osteopatica</dc:creator>
  <dc:language>it-IT</dc:language>
  <cp:keywords/>
  <dcterms:created xsi:type="dcterms:W3CDTF">2026-09-04T15:40:02Z</dcterms:created>
  <dcterms:modified xsi:type="dcterms:W3CDTF">2026-09-04T15:40:02Z</dcterms:modified>
</cp:coreProperties>
</file>

<file path=docProps/custom.xml><?xml version="1.0" encoding="utf-8"?>
<Properties xmlns="http://schemas.openxmlformats.org/officeDocument/2006/custom-properties" xmlns:vt="http://schemas.openxmlformats.org/officeDocument/2006/docPropsVTypes"/>
</file>