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Mobilitas — Direzione Osteopatica</w:t>
      </w:r>
    </w:p>
    <w:bookmarkStart w:id="18" w:name="mappa-affaticamento-cronico"/>
    <w:p>
      <w:pPr>
        <w:pStyle w:val="Heading1"/>
      </w:pPr>
      <w:r>
        <w:t xml:space="preserve">Mappa — Affaticamento cronico</w:t>
      </w:r>
    </w:p>
    <w:p>
      <w:pPr>
        <w:pStyle w:val="FirstParagraph"/>
      </w:pPr>
      <w:r>
        <w:rPr>
          <w:b/>
          <w:bCs/>
        </w:rPr>
        <w:t xml:space="preserve">Condizione:</w:t>
      </w:r>
      <w:r>
        <w:t xml:space="preserve"> </w:t>
      </w:r>
      <w:r>
        <w:t xml:space="preserve">affaticamento cronico</w:t>
      </w:r>
      <w:r>
        <w:t xml:space="preserve"> </w:t>
      </w:r>
      <w:r>
        <w:rPr>
          <w:i/>
          <w:iCs/>
        </w:rPr>
        <w:t xml:space="preserve">(</w:t>
      </w:r>
      <w:r>
        <w:rPr>
          <w:i/>
          <w:iCs/>
        </w:rPr>
        <w:t xml:space="preserve">“dormo e mi sveglio come se non avessi dormito”</w:t>
      </w:r>
      <w:r>
        <w:rPr>
          <w:i/>
          <w:iCs/>
        </w:rPr>
        <w:t xml:space="preserve">)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Ancora clinica:</w:t>
      </w:r>
      <w:r>
        <w:t xml:space="preserve"> </w:t>
      </w:r>
      <w:r>
        <w:t xml:space="preserve">Peter C. Rowe, Johns Hopkins ·</w:t>
      </w:r>
      <w:r>
        <w:t xml:space="preserve"> </w:t>
      </w:r>
      <w:r>
        <w:rPr>
          <w:b/>
          <w:bCs/>
        </w:rPr>
        <w:t xml:space="preserve">Ancora fisiologica:</w:t>
      </w:r>
      <w:r>
        <w:t xml:space="preserve"> </w:t>
      </w:r>
      <w:r>
        <w:t xml:space="preserve">Betsy Keller, Ithaca College e Workwell Foundation ·</w:t>
      </w:r>
      <w:r>
        <w:t xml:space="preserve"> </w:t>
      </w:r>
      <w:r>
        <w:rPr>
          <w:b/>
          <w:bCs/>
        </w:rPr>
        <w:t xml:space="preserve">Versione:</w:t>
      </w:r>
      <w:r>
        <w:t xml:space="preserve"> </w:t>
      </w:r>
      <w:r>
        <w:t xml:space="preserve">v7 — revisione di lingua, 6º livello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29 agosto 2026</w:t>
      </w:r>
    </w:p>
    <w:p>
      <w:r>
        <w:pict>
          <v:rect style="width:0;height:1.5pt" o:hralign="center" o:hrstd="t" o:hr="t"/>
        </w:pict>
      </w:r>
    </w:p>
    <w:bookmarkStart w:id="9" w:name="la-condizione-in-tre-righe"/>
    <w:p>
      <w:pPr>
        <w:pStyle w:val="Heading2"/>
      </w:pPr>
      <w:r>
        <w:t xml:space="preserve">1 — La condizione in tre righe</w:t>
      </w:r>
    </w:p>
    <w:p>
      <w:pPr>
        <w:pStyle w:val="FirstParagraph"/>
      </w:pPr>
      <w:r>
        <w:t xml:space="preserve">Non è una diagnosi, è un ombrello: stanchezza da mesi, non spiegata dagli esami, non alleviata dal riposo. Sotto ci sono due mondi, e li separa il</w:t>
      </w:r>
      <w:r>
        <w:t xml:space="preserve"> </w:t>
      </w:r>
      <w:r>
        <w:rPr>
          <w:b/>
          <w:bCs/>
        </w:rPr>
        <w:t xml:space="preserve">malessere post-sforzo</w:t>
      </w:r>
      <w:r>
        <w:t xml:space="preserve">.</w:t>
      </w:r>
      <w:r>
        <w:t xml:space="preserve"> </w:t>
      </w:r>
      <w:r>
        <w:t xml:space="preserve">Su diecimila persone: novanta soddisfano i criteri del 1994, cento se le intervisti una per una, nove hanno il nome in cartella —</w:t>
      </w:r>
      <w:r>
        <w:t xml:space="preserve"> </w:t>
      </w:r>
      <w:r>
        <w:rPr>
          <w:b/>
          <w:bCs/>
        </w:rPr>
        <w:t xml:space="preserve">cento contro nove, un fattore dodici</w:t>
      </w:r>
      <w:r>
        <w:t xml:space="preserve">. Dal 67% al 77% impiega più di un anno per arrivare a una diagnosi, circa il 29% più di cinque anni.</w:t>
      </w:r>
      <w:r>
        <w:t xml:space="preserve"> </w:t>
      </w:r>
      <w:r>
        <w:t xml:space="preserve">Da sola fluttua. Su 642 pazienti seguiti un anno, tre quarti si classificano in quattro decorsi; dentro quei tre quarti il 32% migliora e ricade —</w:t>
      </w:r>
      <w:r>
        <w:t xml:space="preserve"> </w:t>
      </w:r>
      <w:r>
        <w:rPr>
          <w:b/>
          <w:bCs/>
        </w:rPr>
        <w:t xml:space="preserve">circa uno su quattro dell’intera coorte</w:t>
      </w:r>
      <w:r>
        <w:t xml:space="preserve">. Il confondente da temere qui non è il placebo, che in questa condizione è misurato ed è basso (19,6%): è il</w:t>
      </w:r>
      <w:r>
        <w:t xml:space="preserve"> </w:t>
      </w:r>
      <w:r>
        <w:rPr>
          <w:b/>
          <w:bCs/>
        </w:rPr>
        <w:t xml:space="preserve">decorso naturale</w:t>
      </w:r>
      <w:r>
        <w:t xml:space="preserve">. Per questo il marker si sceglie e si scrive</w:t>
      </w:r>
      <w:r>
        <w:t xml:space="preserve"> </w:t>
      </w:r>
      <w:r>
        <w:rPr>
          <w:b/>
          <w:bCs/>
        </w:rPr>
        <w:t xml:space="preserve">prima</w:t>
      </w:r>
      <w:r>
        <w:t xml:space="preserve">.</w:t>
      </w:r>
    </w:p>
    <w:bookmarkEnd w:id="9"/>
    <w:bookmarkStart w:id="10" w:name="la-sequenza-causale"/>
    <w:p>
      <w:pPr>
        <w:pStyle w:val="Heading2"/>
      </w:pPr>
      <w:r>
        <w:t xml:space="preserve">2 — La sequenza causale</w:t>
      </w:r>
    </w:p>
    <w:p>
      <w:pPr>
        <w:pStyle w:val="FirstParagraph"/>
      </w:pPr>
      <w:r>
        <w:rPr>
          <w:rStyle w:val="VerbatimChar"/>
        </w:rPr>
        <w:t xml:space="preserve">sforzo dentro le proprie possibilità → mancato recupero nelle 24 ore (soglia ventilatoria che scende) → sistema che resta orientato alla spesa → sonno che dura e non ripara → tessuti che si allungano meno e mandano segnale intermittente → stanchezza che non passa e giornate buone che si pagano</w:t>
      </w:r>
    </w:p>
    <w:p>
      <w:pPr>
        <w:pStyle w:val="BodyText"/>
      </w:pPr>
      <w:r>
        <w:t xml:space="preserve">In parallelo, non in coda:</w:t>
      </w:r>
      <w:r>
        <w:t xml:space="preserve"> </w:t>
      </w:r>
      <w:r>
        <w:rPr>
          <w:b/>
          <w:bCs/>
        </w:rPr>
        <w:t xml:space="preserve">il controllo discendente del dolore non si accende più dopo lo sforzo</w:t>
      </w:r>
      <w:r>
        <w:t xml:space="preserve">, e ogni segnale ordinario pesa di più.</w:t>
      </w:r>
    </w:p>
    <w:bookmarkEnd w:id="10"/>
    <w:bookmarkStart w:id="11" w:name="i-meccanismi-e-quanto-sono-solidi"/>
    <w:p>
      <w:pPr>
        <w:pStyle w:val="Heading2"/>
      </w:pPr>
      <w:r>
        <w:t xml:space="preserve">3 — I meccanismi e quanto sono solidi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Meccanismo</w:t>
            </w:r>
          </w:p>
        </w:tc>
        <w:tc>
          <w:tcPr/>
          <w:p>
            <w:pPr>
              <w:pStyle w:val="Compact"/>
            </w:pPr>
            <w:r>
              <w:t xml:space="preserve">Come lo riconosci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Tetto di sforzo che si abbassa</w:t>
            </w:r>
          </w:p>
        </w:tc>
        <w:tc>
          <w:tcPr/>
          <w:p>
            <w:pPr>
              <w:pStyle w:val="Compact"/>
            </w:pPr>
            <w:r>
              <w:t xml:space="preserve">Peggiora dopo ore o giorni</w:t>
            </w:r>
          </w:p>
        </w:tc>
        <w:tc>
          <w:tcPr/>
          <w:p>
            <w:pPr>
              <w:pStyle w:val="Compact"/>
            </w:pPr>
            <w:r>
              <w:t xml:space="preserve">DIMOSTRATO / 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 in modalità riposo</w:t>
            </w:r>
          </w:p>
        </w:tc>
        <w:tc>
          <w:tcPr/>
          <w:p>
            <w:pPr>
              <w:pStyle w:val="Compact"/>
            </w:pPr>
            <w:r>
              <w:t xml:space="preserve">Battito alto da fermo, peggio in piedi</w:t>
            </w:r>
          </w:p>
        </w:tc>
        <w:tc>
          <w:tcPr/>
          <w:p>
            <w:pPr>
              <w:pStyle w:val="Compact"/>
            </w:pPr>
            <w:r>
              <w:t xml:space="preserve">DIMOSTRATO / PROBABILE / IPOTESI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Sonno che non lava</w:t>
            </w:r>
          </w:p>
        </w:tc>
        <w:tc>
          <w:tcPr/>
          <w:p>
            <w:pPr>
              <w:pStyle w:val="Compact"/>
            </w:pPr>
            <w:r>
              <w:t xml:space="preserve">Dorme le ore giuste, si sveglia rotto</w:t>
            </w:r>
          </w:p>
        </w:tc>
        <w:tc>
          <w:tcPr/>
          <w:p>
            <w:pPr>
              <w:pStyle w:val="Compact"/>
            </w:pPr>
            <w:r>
              <w:t xml:space="preserve">DIMOSTRATO / IPOTESI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Tessuto che non si allunga</w:t>
            </w:r>
          </w:p>
        </w:tc>
        <w:tc>
          <w:tcPr/>
          <w:p>
            <w:pPr>
              <w:pStyle w:val="Compact"/>
            </w:pPr>
            <w:r>
              <w:t xml:space="preserve">Più di tre aree limitate (sotto i 50 anni)</w:t>
            </w:r>
          </w:p>
        </w:tc>
        <w:tc>
          <w:tcPr/>
          <w:p>
            <w:pPr>
              <w:pStyle w:val="Compact"/>
            </w:pPr>
            <w:r>
              <w:t xml:space="preserve">DIMOSTRATO / IPOTESI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Soglia percettiva abbassata</w:t>
            </w:r>
          </w:p>
        </w:tc>
        <w:tc>
          <w:tcPr/>
          <w:p>
            <w:pPr>
              <w:pStyle w:val="Compact"/>
            </w:pPr>
            <w:r>
              <w:t xml:space="preserve">Dolore nociplastico, rumori e luci</w:t>
            </w:r>
          </w:p>
        </w:tc>
        <w:tc>
          <w:tcPr/>
          <w:p>
            <w:pPr>
              <w:pStyle w:val="Compact"/>
            </w:pPr>
            <w:r>
              <w:t xml:space="preserve">PROBABILE / IPOTESI</w:t>
            </w:r>
          </w:p>
        </w:tc>
      </w:tr>
    </w:tbl>
    <w:p>
      <w:pPr>
        <w:pStyle w:val="BodyText"/>
      </w:pPr>
      <w:r>
        <w:rPr>
          <w:i/>
          <w:iCs/>
        </w:rPr>
        <w:t xml:space="preserve">Dove ci sono più etichette, l’etichetta si spezza: la prima vale sul reperto misurato, la seconda sul passaggio causale. Sul primo meccanismo la seconda è salita a PROBABILE, perché quello che non si ricostituisce in ventiquattro ore è stato visto alla biopsia in una popolazione vicina (Appelman 2024, PMID 38177128).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Nessuna etichetta di leva si muove per questo.</w:t>
      </w:r>
      <w:r>
        <w:rPr>
          <w:i/>
          <w:iCs/>
        </w:rPr>
        <w:t xml:space="preserve"> </w:t>
      </w:r>
      <w:r>
        <w:rPr>
          <w:i/>
          <w:iCs/>
        </w:rPr>
        <w:t xml:space="preserve">Sul secondo le etichette sono tre: DIMOSTRATO sul battito; PROBABILE sulla caduta del flusso cerebrale in piedi, reperto monocentrico mai replicato; IPOTESI sul nesso causale.</w:t>
      </w:r>
      <w:r>
        <w:t xml:space="preserve"> </w:t>
      </w:r>
      <w:r>
        <w:rPr>
          <w:i/>
          <w:iCs/>
        </w:rPr>
        <w:t xml:space="preserve">Tutti misurati su coorti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con</w:t>
      </w:r>
      <w:r>
        <w:rPr>
          <w:i/>
          <w:iCs/>
        </w:rPr>
        <w:t xml:space="preserve"> </w:t>
      </w:r>
      <w:r>
        <w:rPr>
          <w:i/>
          <w:iCs/>
        </w:rPr>
        <w:t xml:space="preserve">malessere post-sforzo: nel sottotipo senza, sono un’estrapolazione.</w:t>
      </w:r>
    </w:p>
    <w:bookmarkEnd w:id="11"/>
    <w:bookmarkStart w:id="12" w:name="i-sottotipi-e-chi-comanda"/>
    <w:p>
      <w:pPr>
        <w:pStyle w:val="Heading2"/>
      </w:pPr>
      <w:r>
        <w:t xml:space="preserve">4 — I sottotipi e chi comanda</w:t>
      </w:r>
    </w:p>
    <w:p>
      <w:pPr>
        <w:pStyle w:val="FirstParagraph"/>
      </w:pPr>
      <w:r>
        <w:t xml:space="preserve">I sottotipi non sono esclusivi:</w:t>
      </w:r>
      <w:r>
        <w:t xml:space="preserve"> </w:t>
      </w:r>
      <w:r>
        <w:rPr>
          <w:b/>
          <w:bCs/>
        </w:rPr>
        <w:t xml:space="preserve">il malessere post-sforzo, quando c’è, sovrascrive ogni altra riga.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Sottotipo</w:t>
            </w:r>
          </w:p>
        </w:tc>
        <w:tc>
          <w:tcPr/>
          <w:p>
            <w:pPr>
              <w:pStyle w:val="Compact"/>
            </w:pPr>
            <w:r>
              <w:t xml:space="preserve">Segnale che lo riconosce</w:t>
            </w:r>
          </w:p>
        </w:tc>
        <w:tc>
          <w:tcPr/>
          <w:p>
            <w:pPr>
              <w:pStyle w:val="Compact"/>
            </w:pPr>
            <w:r>
              <w:t xml:space="preserve">Quanto puoi fare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 malessere post-sforzo</w:t>
            </w:r>
          </w:p>
        </w:tc>
        <w:tc>
          <w:tcPr/>
          <w:p>
            <w:pPr>
              <w:pStyle w:val="Compact"/>
            </w:pPr>
            <w:r>
              <w:t xml:space="preserve">Peggiora dopo ore o giorni</w:t>
            </w:r>
          </w:p>
        </w:tc>
        <w:tc>
          <w:tcPr/>
          <w:p>
            <w:pPr>
              <w:pStyle w:val="Compact"/>
            </w:pPr>
            <w:r>
              <w:t xml:space="preserve">Poco, e con vincoli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 carico prolungato</w:t>
            </w:r>
          </w:p>
        </w:tc>
        <w:tc>
          <w:tcPr/>
          <w:p>
            <w:pPr>
              <w:pStyle w:val="Compact"/>
            </w:pPr>
            <w:r>
              <w:t xml:space="preserve">Recupera con giorni di stop veri</w:t>
            </w:r>
          </w:p>
        </w:tc>
        <w:tc>
          <w:tcPr/>
          <w:p>
            <w:pPr>
              <w:pStyle w:val="Compact"/>
            </w:pPr>
            <w:r>
              <w:t xml:space="preserve">Molto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 intolleranza ortostatica</w:t>
            </w:r>
          </w:p>
        </w:tc>
        <w:tc>
          <w:tcPr/>
          <w:p>
            <w:pPr>
              <w:pStyle w:val="Compact"/>
            </w:pPr>
            <w:r>
              <w:t xml:space="preserve">Sta male in piedi fermo</w:t>
            </w:r>
          </w:p>
        </w:tc>
        <w:tc>
          <w:tcPr/>
          <w:p>
            <w:pPr>
              <w:pStyle w:val="Compact"/>
            </w:pPr>
            <w:r>
              <w:t xml:space="preserve">Misuri e segnali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 dolore diffuso</w:t>
            </w:r>
          </w:p>
        </w:tc>
        <w:tc>
          <w:tcPr/>
          <w:p>
            <w:pPr>
              <w:pStyle w:val="Compact"/>
            </w:pPr>
            <w:r>
              <w:t xml:space="preserve">Dolore ovunque, soglia bassa</w:t>
            </w:r>
          </w:p>
        </w:tc>
        <w:tc>
          <w:tcPr/>
          <w:p>
            <w:pPr>
              <w:pStyle w:val="Compact"/>
            </w:pPr>
            <w:r>
              <w:t xml:space="preserve">Poco sul dolore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Post-infettivo recente</w:t>
            </w:r>
          </w:p>
        </w:tc>
        <w:tc>
          <w:tcPr/>
          <w:p>
            <w:pPr>
              <w:pStyle w:val="Compact"/>
            </w:pPr>
            <w:r>
              <w:t xml:space="preserve">Data d’inizio precisa</w:t>
            </w:r>
          </w:p>
        </w:tc>
        <w:tc>
          <w:tcPr/>
          <w:p>
            <w:pPr>
              <w:pStyle w:val="Compact"/>
            </w:pPr>
            <w:r>
              <w:t xml:space="preserve">Si decide col Passo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Causa non ancora cercata</w:t>
            </w:r>
          </w:p>
        </w:tc>
        <w:tc>
          <w:tcPr/>
          <w:p>
            <w:pPr>
              <w:pStyle w:val="Compact"/>
            </w:pPr>
            <w:r>
              <w:t xml:space="preserve">Russa, o esami mai fatti</w:t>
            </w:r>
          </w:p>
        </w:tc>
        <w:tc>
          <w:tcPr/>
          <w:p>
            <w:pPr>
              <w:pStyle w:val="Compact"/>
            </w:pPr>
            <w:r>
              <w:t xml:space="preserve">Niente, invio</w:t>
            </w:r>
          </w:p>
        </w:tc>
      </w:tr>
    </w:tbl>
    <w:p>
      <w:pPr>
        <w:pStyle w:val="BodyText"/>
      </w:pPr>
      <w:r>
        <w:rPr>
          <w:b/>
          <w:bCs/>
        </w:rPr>
        <w:t xml:space="preserve">Due modificatori:</w:t>
      </w:r>
      <w:r>
        <w:t xml:space="preserve"> </w:t>
      </w:r>
      <w:r>
        <w:t xml:space="preserve">l’ipermobilità, frequente qui, che cambia la lettura dei test; e</w:t>
      </w:r>
      <w:r>
        <w:t xml:space="preserve"> </w:t>
      </w:r>
      <w:r>
        <w:rPr>
          <w:b/>
          <w:bCs/>
        </w:rPr>
        <w:t xml:space="preserve">oltre 65 anni con esordio recente</w:t>
      </w:r>
      <w:r>
        <w:t xml:space="preserve"> </w:t>
      </w:r>
      <w:r>
        <w:t xml:space="preserve">→ niente, invio.</w:t>
      </w:r>
    </w:p>
    <w:bookmarkEnd w:id="12"/>
    <w:bookmarkStart w:id="13" w:name="le-bandiere-rosse"/>
    <w:p>
      <w:pPr>
        <w:pStyle w:val="Heading2"/>
      </w:pPr>
      <w:r>
        <w:t xml:space="preserve">5 — Le bandiere rosse</w:t>
      </w:r>
    </w:p>
    <w:p>
      <w:pPr>
        <w:pStyle w:val="FirstParagraph"/>
      </w:pPr>
      <w:r>
        <w:rPr>
          <w:b/>
          <w:bCs/>
        </w:rPr>
        <w:t xml:space="preserve">Rete, non filtro:</w:t>
      </w:r>
      <w:r>
        <w:t xml:space="preserve"> </w:t>
      </w:r>
      <w:r>
        <w:t xml:space="preserve">una riga presente ti ferma, tutte assenti non escludono niente. In cartella scrivi che le hai passate in rassegna, non che il paziente è negativo.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Disperazione, idee di morte, «non ne vengo fuori» → curante e salute mentale → Urgente, stesso giorno</w:t>
      </w:r>
    </w:p>
    <w:p>
      <w:pPr>
        <w:pStyle w:val="Compact"/>
        <w:numPr>
          <w:ilvl w:val="0"/>
          <w:numId w:val="1001"/>
        </w:numPr>
      </w:pPr>
      <w:r>
        <w:t xml:space="preserve">Dolore al petto o affanno sotto sforzo → pronto soccorso →</w:t>
      </w:r>
      <w:r>
        <w:t xml:space="preserve"> </w:t>
      </w:r>
      <w:r>
        <w:rPr>
          <w:b/>
          <w:bCs/>
        </w:rPr>
        <w:t xml:space="preserve">Urgente, 112</w:t>
      </w:r>
    </w:p>
    <w:p>
      <w:pPr>
        <w:pStyle w:val="Compact"/>
        <w:numPr>
          <w:ilvl w:val="0"/>
          <w:numId w:val="1001"/>
        </w:numPr>
      </w:pPr>
      <w:r>
        <w:t xml:space="preserve">Sincope nuova, non spiegata dalla posizione → pronto soccorso →</w:t>
      </w:r>
      <w:r>
        <w:t xml:space="preserve"> </w:t>
      </w:r>
      <w:r>
        <w:rPr>
          <w:b/>
          <w:bCs/>
        </w:rPr>
        <w:t xml:space="preserve">Urgente, 112</w:t>
      </w:r>
    </w:p>
    <w:p>
      <w:pPr>
        <w:pStyle w:val="Compact"/>
        <w:numPr>
          <w:ilvl w:val="0"/>
          <w:numId w:val="1001"/>
        </w:numPr>
      </w:pPr>
      <w:r>
        <w:t xml:space="preserve">Debolezza focale o deficit neurologico nuovo → pronto soccorso →</w:t>
      </w:r>
      <w:r>
        <w:t xml:space="preserve"> </w:t>
      </w:r>
      <w:r>
        <w:rPr>
          <w:b/>
          <w:bCs/>
        </w:rPr>
        <w:t xml:space="preserve">Urgente, 112</w:t>
      </w:r>
    </w:p>
    <w:p>
      <w:pPr>
        <w:pStyle w:val="Compact"/>
        <w:numPr>
          <w:ilvl w:val="0"/>
          <w:numId w:val="1001"/>
        </w:numPr>
      </w:pPr>
      <w:r>
        <w:t xml:space="preserve">Battito accelerato a riposo con pallore marcato → curante →</w:t>
      </w:r>
      <w:r>
        <w:t xml:space="preserve"> </w:t>
      </w:r>
      <w:r>
        <w:rPr>
          <w:b/>
          <w:bCs/>
        </w:rPr>
        <w:t xml:space="preserve">Urgente</w:t>
      </w:r>
    </w:p>
    <w:p>
      <w:pPr>
        <w:pStyle w:val="Compact"/>
        <w:numPr>
          <w:ilvl w:val="0"/>
          <w:numId w:val="1001"/>
        </w:numPr>
      </w:pPr>
      <w:r>
        <w:t xml:space="preserve">Oltre 50 anni: rigidità nuova ai cingoli, cefalea nuova, cuoio capelluto dolente, disturbo visivo → curante →</w:t>
      </w:r>
      <w:r>
        <w:t xml:space="preserve"> </w:t>
      </w:r>
      <w:r>
        <w:rPr>
          <w:b/>
          <w:bCs/>
        </w:rPr>
        <w:t xml:space="preserve">Urgente</w:t>
      </w:r>
    </w:p>
    <w:p>
      <w:pPr>
        <w:pStyle w:val="Compact"/>
        <w:numPr>
          <w:ilvl w:val="0"/>
          <w:numId w:val="1001"/>
        </w:numPr>
      </w:pPr>
      <w:r>
        <w:t xml:space="preserve">Calo di peso non voluto → curante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1"/>
        </w:numPr>
      </w:pPr>
      <w:r>
        <w:t xml:space="preserve">Febbre persistente o sudorazioni notturne → curante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1"/>
        </w:numPr>
      </w:pPr>
      <w:r>
        <w:t xml:space="preserve">Linfonodi ingrossati che non si riducono → curante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1"/>
        </w:numPr>
      </w:pPr>
      <w:r>
        <w:t xml:space="preserve">Stanchezza insorta di colpo, mai avuta prima → curante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1"/>
        </w:numPr>
      </w:pPr>
      <w:r>
        <w:t xml:space="preserve">Russamento con pause riferite e sonnolenza vera → curante →</w:t>
      </w:r>
      <w:r>
        <w:t xml:space="preserve"> </w:t>
      </w:r>
      <w:r>
        <w:rPr>
          <w:b/>
          <w:bCs/>
        </w:rPr>
        <w:t xml:space="preserve">Invio, non attendere</w:t>
      </w:r>
      <w:r>
        <w:t xml:space="preserve"> </w:t>
      </w:r>
      <w:r>
        <w:rPr>
          <w:i/>
          <w:iCs/>
        </w:rPr>
        <w:t xml:space="preserve">(e finché non è inquadrato non guida: è idoneità regolata per legge)</w:t>
      </w:r>
    </w:p>
    <w:p>
      <w:pPr>
        <w:pStyle w:val="Compact"/>
        <w:numPr>
          <w:ilvl w:val="0"/>
          <w:numId w:val="1001"/>
        </w:numPr>
      </w:pPr>
      <w:r>
        <w:t xml:space="preserve">Rigidità mattutina oltre un’ora ai cingoli, con o senza gonfiore → curante →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Compact"/>
        <w:numPr>
          <w:ilvl w:val="0"/>
          <w:numId w:val="1001"/>
        </w:numPr>
      </w:pPr>
      <w:r>
        <w:t xml:space="preserve">Quasi-svenimento ortostatico di vecchia data → curante →</w:t>
      </w:r>
      <w:r>
        <w:t xml:space="preserve"> </w:t>
      </w:r>
      <w:r>
        <w:rPr>
          <w:b/>
          <w:bCs/>
        </w:rPr>
        <w:t xml:space="preserve">Invio</w:t>
      </w:r>
    </w:p>
    <w:p>
      <w:pPr>
        <w:pStyle w:val="Compact"/>
        <w:numPr>
          <w:ilvl w:val="0"/>
          <w:numId w:val="1001"/>
        </w:numPr>
      </w:pPr>
      <w:r>
        <w:t xml:space="preserve">Ferritina bassa-normale in donna che mestrua → curante →</w:t>
      </w:r>
      <w:r>
        <w:t xml:space="preserve"> </w:t>
      </w:r>
      <w:r>
        <w:rPr>
          <w:b/>
          <w:bCs/>
        </w:rPr>
        <w:t xml:space="preserve">Invio programmato</w:t>
      </w:r>
    </w:p>
    <w:p>
      <w:pPr>
        <w:pStyle w:val="Compact"/>
        <w:numPr>
          <w:ilvl w:val="0"/>
          <w:numId w:val="1001"/>
        </w:numPr>
      </w:pPr>
      <w:r>
        <w:t xml:space="preserve">Nessun esame di base mai eseguito → curante →</w:t>
      </w:r>
      <w:r>
        <w:t xml:space="preserve"> </w:t>
      </w:r>
      <w:r>
        <w:rPr>
          <w:b/>
          <w:bCs/>
        </w:rPr>
        <w:t xml:space="preserve">Invio programmato</w:t>
      </w:r>
    </w:p>
    <w:p>
      <w:pPr>
        <w:pStyle w:val="FirstParagraph"/>
      </w:pPr>
      <w:r>
        <w:rPr>
          <w:b/>
          <w:bCs/>
        </w:rPr>
        <w:t xml:space="preserve">Il suicidio è l’unico eccesso di mortalità documentato in questa condizione: SMR 6,85</w:t>
      </w:r>
      <w:r>
        <w:t xml:space="preserve"> </w:t>
      </w:r>
      <w:r>
        <w:t xml:space="preserve">(Roberts 2016, PMID 26873808). Quando la frase arriva, chiedi in chiaro e scrivi al curante lo stesso giorno.</w:t>
      </w:r>
    </w:p>
    <w:p>
      <w:pPr>
        <w:pStyle w:val="BodyText"/>
      </w:pPr>
      <w:r>
        <w:rPr>
          <w:b/>
          <w:bCs/>
        </w:rPr>
        <w:t xml:space="preserve">Il verde:</w:t>
      </w:r>
      <w:r>
        <w:t xml:space="preserve"> </w:t>
      </w:r>
      <w:r>
        <w:t xml:space="preserve">un accertamento negativo non lo apre. Gli esami del sangue normali sono il documento che quasi tutti portano, e non sono un inquadramento.</w:t>
      </w:r>
    </w:p>
    <w:bookmarkEnd w:id="13"/>
    <w:bookmarkStart w:id="14" w:name="la-sicurezza-del-gesto-in-tre-righe"/>
    <w:p>
      <w:pPr>
        <w:pStyle w:val="Heading2"/>
      </w:pPr>
      <w:r>
        <w:t xml:space="preserve">6 — La sicurezza del gesto, in tre righe</w:t>
      </w:r>
    </w:p>
    <w:p>
      <w:pPr>
        <w:pStyle w:val="FirstParagraph"/>
      </w:pPr>
      <w:r>
        <w:t xml:space="preserve">Il rischio non è la forza né il distretto: è la</w:t>
      </w:r>
      <w:r>
        <w:t xml:space="preserve"> </w:t>
      </w:r>
      <w:r>
        <w:rPr>
          <w:b/>
          <w:bCs/>
        </w:rPr>
        <w:t xml:space="preserve">durata dell’allungamento</w:t>
      </w:r>
      <w:r>
        <w:t xml:space="preserve">. Quindici minuti di trazione longitudinale sostenuta, contro manovra finta, hanno peggiorato i sintomi durante la manovra;</w:t>
      </w:r>
      <w:r>
        <w:t xml:space="preserve"> </w:t>
      </w:r>
      <w:r>
        <w:rPr>
          <w:b/>
          <w:bCs/>
        </w:rPr>
        <w:t xml:space="preserve">a 24 ore restavano significativi la testa leggera e il punteggio composito</w:t>
      </w:r>
      <w:r>
        <w:t xml:space="preserve"> </w:t>
      </w:r>
      <w:r>
        <w:t xml:space="preserve">(Rowe 2016, PMID 27428358).</w:t>
      </w:r>
      <w:r>
        <w:t xml:space="preserve"> </w:t>
      </w:r>
      <w:r>
        <w:t xml:space="preserve">La seconda variabile è la</w:t>
      </w:r>
      <w:r>
        <w:t xml:space="preserve"> </w:t>
      </w:r>
      <w:r>
        <w:rPr>
          <w:b/>
          <w:bCs/>
        </w:rPr>
        <w:t xml:space="preserve">valutazione stessa</w:t>
      </w:r>
      <w:r>
        <w:t xml:space="preserve">. La prova in piedi lascia i sintomi peggiorati fino a</w:t>
      </w:r>
      <w:r>
        <w:t xml:space="preserve"> </w:t>
      </w:r>
      <w:r>
        <w:rPr>
          <w:b/>
          <w:bCs/>
        </w:rPr>
        <w:t xml:space="preserve">sette giorni</w:t>
      </w:r>
      <w:r>
        <w:t xml:space="preserve"> </w:t>
      </w:r>
      <w:r>
        <w:t xml:space="preserve">(van Campen 2021, PMID 33585505): scapole al muro, operatore accanto, si interrompe al primo segno, una volta per ciclo. Undici su undici non è un obiettivo.</w:t>
      </w:r>
      <w:r>
        <w:t xml:space="preserve"> </w:t>
      </w:r>
      <w:r>
        <w:t xml:space="preserve">Il segnale di danno arriva dopo che il paziente è uscito. Si annuncia prima, e si raccoglie alla seduta successiva.</w:t>
      </w:r>
    </w:p>
    <w:bookmarkEnd w:id="14"/>
    <w:bookmarkStart w:id="15" w:name="come-decidi-e-su-cosa-verifichi"/>
    <w:p>
      <w:pPr>
        <w:pStyle w:val="Heading2"/>
      </w:pPr>
      <w:r>
        <w:t xml:space="preserve">7 — Come decidi, e su cosa verifichi</w:t>
      </w:r>
    </w:p>
    <w:p>
      <w:pPr>
        <w:pStyle w:val="FirstParagraph"/>
      </w:pPr>
      <w:r>
        <w:rPr>
          <w:b/>
          <w:bCs/>
        </w:rPr>
        <w:t xml:space="preserve">Passo 0, filtro e non ragionamento:</w:t>
      </w:r>
      <w:r>
        <w:t xml:space="preserve"> </w:t>
      </w:r>
      <w:r>
        <w:rPr>
          <w:i/>
          <w:iCs/>
        </w:rPr>
        <w:t xml:space="preserve">«dopo che ti sforzi, quanto tempo passa prima che tu stia peggio, e quanto dura?»</w:t>
      </w:r>
      <w:r>
        <w:t xml:space="preserve"> </w:t>
      </w:r>
      <w:r>
        <w:rPr>
          <w:b/>
          <w:bCs/>
        </w:rPr>
        <w:t xml:space="preserve">Road map:</w:t>
      </w:r>
      <w:r>
        <w:t xml:space="preserve"> </w:t>
      </w:r>
      <w:r>
        <w:t xml:space="preserve">righe rosse, inquadramento e lista dei farmaci → attivazione e prova in piedi (10 minuti, letture a 1-3-5-10) → sonno e pause respiratorie → dove il tessuto non si allunga (al primo tiraggio) → dove va il carico nella settimana → prova della chiave di volta.</w:t>
      </w:r>
      <w:r>
        <w:t xml:space="preserve"> </w:t>
      </w:r>
      <w:r>
        <w:rPr>
          <w:b/>
          <w:bCs/>
        </w:rPr>
        <w:t xml:space="preserve">Chi comanda, primo positivo della lista:</w:t>
      </w:r>
      <w:r>
        <w:t xml:space="preserve"> </w:t>
      </w:r>
      <w:r>
        <w:t xml:space="preserve">fuori campo → tetto di sforzo → assetto ortostatico → livello di attivazione → soglia percettiva → restrizione tissutale.</w:t>
      </w:r>
      <w:r>
        <w:t xml:space="preserve"> </w:t>
      </w:r>
      <w:r>
        <w:rPr>
          <w:b/>
          <w:bCs/>
        </w:rPr>
        <w:t xml:space="preserve">Dove sente non è dove la spesa si decide.</w:t>
      </w:r>
      <w:r>
        <w:t xml:space="preserve"> </w:t>
      </w:r>
      <w:r>
        <w:t xml:space="preserve">Il punto del sintomo è il</w:t>
      </w:r>
      <w:r>
        <w:t xml:space="preserve"> </w:t>
      </w:r>
      <w:r>
        <w:rPr>
          <w:b/>
          <w:bCs/>
        </w:rPr>
        <w:t xml:space="preserve">Centro di Percezione</w:t>
      </w:r>
      <w:r>
        <w:t xml:space="preserve">, e qui è quasi sempre la vittima. Il piano che genera la spesa è il</w:t>
      </w:r>
      <w:r>
        <w:t xml:space="preserve"> </w:t>
      </w:r>
      <w:r>
        <w:rPr>
          <w:b/>
          <w:bCs/>
        </w:rPr>
        <w:t xml:space="preserve">Centro di Coordinazione</w:t>
      </w:r>
      <w:r>
        <w:t xml:space="preserve">, e si cerca a monte. È una regola di indagine, non un divieto di trattare dove fa male. RAGIONAMENTO.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Marker</w:t>
            </w:r>
          </w:p>
        </w:tc>
        <w:tc>
          <w:tcPr/>
          <w:p>
            <w:pPr>
              <w:pStyle w:val="Compact"/>
            </w:pPr>
            <w:r>
              <w:t xml:space="preserve">Soglia</w:t>
            </w:r>
          </w:p>
        </w:tc>
        <w:tc>
          <w:tcPr/>
          <w:p>
            <w:pPr>
              <w:pStyle w:val="Compact"/>
            </w:pPr>
            <w:r>
              <w:t xml:space="preserve">Piano misurato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Soglia di pressione dolorosa, punto remoto</w:t>
            </w:r>
          </w:p>
        </w:tc>
        <w:tc>
          <w:tcPr/>
          <w:p>
            <w:pPr>
              <w:pStyle w:val="Compact"/>
            </w:pPr>
            <w:r>
              <w:t xml:space="preserve">50 kPa</w:t>
            </w:r>
          </w:p>
        </w:tc>
        <w:tc>
          <w:tcPr/>
          <w:p>
            <w:pPr>
              <w:pStyle w:val="Compact"/>
            </w:pPr>
            <w:r>
              <w:t xml:space="preserve">Controllo discendente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Frequenza cardiaca a riposo</w:t>
            </w:r>
          </w:p>
        </w:tc>
        <w:tc>
          <w:tcPr/>
          <w:p>
            <w:pPr>
              <w:pStyle w:val="Compact"/>
            </w:pPr>
            <w:r>
              <w:t xml:space="preserve">8 battiti/min</w:t>
            </w:r>
          </w:p>
        </w:tc>
        <w:tc>
          <w:tcPr/>
          <w:p>
            <w:pPr>
              <w:pStyle w:val="Compact"/>
            </w:pPr>
            <w:r>
              <w:t xml:space="preserve">Attivazione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Frequenza respiratoria a riposo</w:t>
            </w:r>
          </w:p>
        </w:tc>
        <w:tc>
          <w:tcPr/>
          <w:p>
            <w:pPr>
              <w:pStyle w:val="Compact"/>
            </w:pPr>
            <w:r>
              <w:t xml:space="preserve">3 atti/min</w:t>
            </w:r>
          </w:p>
        </w:tc>
        <w:tc>
          <w:tcPr/>
          <w:p>
            <w:pPr>
              <w:pStyle w:val="Compact"/>
            </w:pPr>
            <w:r>
              <w:t xml:space="preserve">Attivazione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Escursione al test neurodinamico</w:t>
            </w:r>
          </w:p>
        </w:tc>
        <w:tc>
          <w:tcPr/>
          <w:p>
            <w:pPr>
              <w:pStyle w:val="Compact"/>
            </w:pPr>
            <w:r>
              <w:t xml:space="preserve">10 gradi</w:t>
            </w:r>
          </w:p>
        </w:tc>
        <w:tc>
          <w:tcPr/>
          <w:p>
            <w:pPr>
              <w:pStyle w:val="Compact"/>
            </w:pPr>
            <w:r>
              <w:t xml:space="preserve">Restrizione tissutale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Aree limitate sulle 11 aree</w:t>
            </w:r>
          </w:p>
        </w:tc>
        <w:tc>
          <w:tcPr/>
          <w:p>
            <w:pPr>
              <w:pStyle w:val="Compact"/>
            </w:pPr>
            <w:r>
              <w:t xml:space="preserve">2 aree</w:t>
            </w:r>
          </w:p>
        </w:tc>
        <w:tc>
          <w:tcPr/>
          <w:p>
            <w:pPr>
              <w:pStyle w:val="Compact"/>
            </w:pPr>
            <w:r>
              <w:t xml:space="preserve">Restrizione tissutale</w:t>
            </w:r>
          </w:p>
        </w:tc>
      </w:tr>
    </w:tbl>
    <w:p>
      <w:pPr>
        <w:pStyle w:val="BodyText"/>
      </w:pPr>
      <w:r>
        <w:rPr>
          <w:b/>
          <w:bCs/>
        </w:rPr>
        <w:t xml:space="preserve">Un marker vale per la prova della chiave di volta solo se appartiene a un piano che in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questo</w:t>
      </w:r>
      <w:r>
        <w:rPr>
          <w:b/>
          <w:bCs/>
        </w:rPr>
        <w:t xml:space="preserve"> </w:t>
      </w:r>
      <w:r>
        <w:rPr>
          <w:b/>
          <w:bCs/>
        </w:rPr>
        <w:t xml:space="preserve">paziente non hai trattato.</w:t>
      </w:r>
      <w:r>
        <w:t xml:space="preserve"> </w:t>
      </w:r>
      <w:r>
        <w:t xml:space="preserve">È una relazione, non una proprietà fissa, e si stabilisce dopo aver scelto il bersaglio. La prova</w:t>
      </w:r>
      <w:r>
        <w:t xml:space="preserve"> </w:t>
      </w:r>
      <w:r>
        <w:rPr>
          <w:b/>
          <w:bCs/>
        </w:rPr>
        <w:t xml:space="preserve">fallisce</w:t>
      </w:r>
      <w:r>
        <w:t xml:space="preserve"> </w:t>
      </w:r>
      <w:r>
        <w:t xml:space="preserve">quando quel marker non si muove oltre la soglia dopo due rivalutazioni.</w:t>
      </w:r>
      <w:r>
        <w:t xml:space="preserve"> </w:t>
      </w:r>
      <w:r>
        <w:rPr>
          <w:i/>
          <w:iCs/>
        </w:rPr>
        <w:t xml:space="preserve">La forza di presa non è un marker: sono dieci contrazioni massimali, e ripeterle prima e dopo contraddice il primo meccanismo. Resta una misura di inquadramento, una volta per ciclo.</w:t>
      </w:r>
    </w:p>
    <w:bookmarkEnd w:id="15"/>
    <w:bookmarkStart w:id="16" w:name="cosa-fa-il-paziente-da-solo"/>
    <w:p>
      <w:pPr>
        <w:pStyle w:val="Heading2"/>
      </w:pPr>
      <w:r>
        <w:t xml:space="preserve">8 — Cosa fa il paziente da solo</w:t>
      </w:r>
    </w:p>
    <w:p>
      <w:pPr>
        <w:pStyle w:val="FirstParagraph"/>
      </w:pPr>
      <w:r>
        <w:rPr>
          <w:b/>
          <w:bCs/>
        </w:rPr>
        <w:t xml:space="preserve">Gestione del carico dentro un tetto dichiarato</w:t>
      </w:r>
      <w:r>
        <w:t xml:space="preserve"> </w:t>
      </w:r>
      <w:r>
        <w:t xml:space="preserve">— PROBABILE: quattordici randomizzati a favore (</w:t>
      </w:r>
      <w:r>
        <w:rPr>
          <w:i/>
          <w:iCs/>
        </w:rPr>
        <w:t xml:space="preserve">g</w:t>
      </w:r>
      <w:r>
        <w:t xml:space="preserve"> </w:t>
      </w:r>
      <w:r>
        <w:t xml:space="preserve">−0,52), uno grande neutro, due peggiorativi. L’esercizio a incrementi fissi non è raccomandato a chi ha malessere post-sforzo; a chi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ce l’ha si applica invece il dato Cochrane favorevole.</w:t>
      </w:r>
      <w:r>
        <w:t xml:space="preserve"> </w:t>
      </w:r>
      <w:r>
        <w:rPr>
          <w:b/>
          <w:bCs/>
        </w:rPr>
        <w:t xml:space="preserve">Gestione attiva strutturata di tipo cognitivo-comportamentale</w:t>
      </w:r>
      <w:r>
        <w:t xml:space="preserve"> </w:t>
      </w:r>
      <w:r>
        <w:t xml:space="preserve">— PROBABILE a fine trattamento (SMD 0,39 su 6 studi e 373 pazienti; 6 su 10 non rispondono), IPOTESI sul mantenimento, con salto di</w:t>
      </w:r>
      <w:r>
        <w:t xml:space="preserve"> </w:t>
      </w:r>
      <w:r>
        <w:rPr>
          <w:b/>
          <w:bCs/>
        </w:rPr>
        <w:t xml:space="preserve">erogatore</w:t>
      </w:r>
      <w:r>
        <w:t xml:space="preserve">. L’educazione alla fisiologia del dolore è invece tua.</w:t>
      </w:r>
      <w:r>
        <w:t xml:space="preserve"> </w:t>
      </w:r>
      <w:r>
        <w:rPr>
          <w:b/>
          <w:bCs/>
        </w:rPr>
        <w:t xml:space="preserve">Respiro lento</w:t>
      </w:r>
      <w:r>
        <w:t xml:space="preserve"> </w:t>
      </w:r>
      <w:r>
        <w:t xml:space="preserve">— DIMOSTRATO sul meccanismo autonomico, IPOTESI sulla leva qui.</w:t>
      </w:r>
      <w:r>
        <w:t xml:space="preserve"> </w:t>
      </w:r>
      <w:r>
        <w:rPr>
          <w:b/>
          <w:bCs/>
        </w:rPr>
        <w:t xml:space="preserve">Contrasto dell’accumulo di sangue in basso</w:t>
      </w:r>
      <w:r>
        <w:t xml:space="preserve"> </w:t>
      </w:r>
      <w:r>
        <w:t xml:space="preserve">— PROBABILE sull’effetto emodinamico (flusso cerebrale, 14% contro 25%), IPOTESI sui sintomi. Si segnala e si rinvia, non si prescrive.</w:t>
      </w:r>
    </w:p>
    <w:p>
      <w:pPr>
        <w:pStyle w:val="BodyText"/>
      </w:pPr>
      <w:r>
        <w:rPr>
          <w:i/>
          <w:iCs/>
        </w:rPr>
        <w:t xml:space="preserve">Gli strumenti attivi passano dallo stesso semaforo del lavoro manuale: nel ROSSO non si consegna niente che riguardi la stanchezza.</w:t>
      </w:r>
    </w:p>
    <w:bookmarkEnd w:id="16"/>
    <w:bookmarkStart w:id="17" w:name="la-frase-per-il-paziente"/>
    <w:p>
      <w:pPr>
        <w:pStyle w:val="Heading2"/>
      </w:pPr>
      <w:r>
        <w:t xml:space="preserve">9 — La frase per il paziente</w:t>
      </w:r>
    </w:p>
    <w:p>
      <w:pPr>
        <w:pStyle w:val="FirstParagraph"/>
      </w:pPr>
      <w:r>
        <w:rPr>
          <w:i/>
          <w:iCs/>
        </w:rPr>
        <w:t xml:space="preserve">“Gli esami misurano quello che entra: ferro, tiroide, vitamine. Non misurano quanto spendi. In persone con una stanchezza come la tua si misura spesso un corpo che resta acceso anche da fermo — lo vediamo adesso, contando il respiro e il battito. È come un motore lasciato al minimo in garage: consuma e non ti porta da nessuna parte. Perché sei stanco da mesi va comunque inquadrato dal tuo medico, e nel frattempo io non aspetto. Poi misuriamo due o tre cose e vediamo se si muovono. Non ti prometto di rimetterti in moto: ti prometto che guardiamo i consumi.”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Perché ci sei tu.</w:t>
      </w:r>
      <w:r>
        <w:t xml:space="preserve"> </w:t>
      </w:r>
      <w:r>
        <w:t xml:space="preserve">Il modello che comanda questa condizione — il metabolico-energetico — è quello su cui le tue mani non hanno leva:</w:t>
      </w:r>
      <w:r>
        <w:t xml:space="preserve"> </w:t>
      </w:r>
      <w:r>
        <w:rPr>
          <w:b/>
          <w:bCs/>
        </w:rPr>
        <w:t xml:space="preserve">nessuna mano alza quel tetto</w:t>
      </w:r>
      <w:r>
        <w:t xml:space="preserve"> </w:t>
      </w:r>
      <w:r>
        <w:t xml:space="preserve">(Keller 2024, PMID 38965566). Ti autorizza a riconoscerlo, a spiegarne al paziente il funzionamento senza attribuirgli l’etichetta diagnostica, e a costruirci sopra tutto il resto del ciclo. Non ti autorizza a trattarlo, e non ti autorizza a testarne i limiti in seduta.</w:t>
      </w:r>
    </w:p>
    <w:p>
      <w:pPr>
        <w:pStyle w:val="BlockText"/>
      </w:pPr>
      <w:r>
        <w:rPr>
          <w:b/>
          <w:bCs/>
        </w:rPr>
        <w:t xml:space="preserve">DIMOSTRATO</w:t>
      </w:r>
      <w:r>
        <w:t xml:space="preserve"> </w:t>
      </w:r>
      <w:r>
        <w:t xml:space="preserve">studi sull’uomo, solidi ·</w:t>
      </w:r>
      <w:r>
        <w:t xml:space="preserve"> </w:t>
      </w:r>
      <w:r>
        <w:rPr>
          <w:b/>
          <w:bCs/>
        </w:rPr>
        <w:t xml:space="preserve">PROBABILE</w:t>
      </w:r>
      <w:r>
        <w:t xml:space="preserve"> </w:t>
      </w:r>
      <w:r>
        <w:t xml:space="preserve">razionale forte, prove parziali ·</w:t>
      </w:r>
      <w:r>
        <w:t xml:space="preserve"> </w:t>
      </w:r>
      <w:r>
        <w:rPr>
          <w:b/>
          <w:bCs/>
        </w:rPr>
        <w:t xml:space="preserve">IPOTESI</w:t>
      </w:r>
      <w:r>
        <w:t xml:space="preserve"> </w:t>
      </w:r>
      <w:r>
        <w:t xml:space="preserve">meccanismo coerente, nessuno studio ·</w:t>
      </w:r>
      <w:r>
        <w:t xml:space="preserve"> </w:t>
      </w:r>
      <w:r>
        <w:rPr>
          <w:b/>
          <w:bCs/>
        </w:rPr>
        <w:t xml:space="preserve">RAGIONAMENTO</w:t>
      </w:r>
      <w:r>
        <w:t xml:space="preserve"> </w:t>
      </w:r>
      <w:r>
        <w:t xml:space="preserve">cornice clinica, non una prova</w:t>
      </w:r>
      <w:r>
        <w:t xml:space="preserve"> </w:t>
      </w:r>
      <w:r>
        <w:rPr>
          <w:b/>
          <w:bCs/>
        </w:rPr>
        <w:t xml:space="preserve">Unica variante ammessa:</w:t>
      </w:r>
      <w:r>
        <w:t xml:space="preserve"> </w:t>
      </w:r>
      <w:r>
        <w:t xml:space="preserve">quando studi diretti hanno misurato</w:t>
      </w:r>
      <w:r>
        <w:t xml:space="preserve"> </w:t>
      </w:r>
      <w:r>
        <w:rPr>
          <w:b/>
          <w:bCs/>
        </w:rPr>
        <w:t xml:space="preserve">la stessa grandezza</w:t>
      </w:r>
      <w:r>
        <w:t xml:space="preserve"> </w:t>
      </w:r>
      <w:r>
        <w:t xml:space="preserve">e sono andati in direzione contraria, l’etichetta resta IPOTESI e la glossa diventa</w:t>
      </w:r>
      <w:r>
        <w:t xml:space="preserve"> </w:t>
      </w:r>
      <w:r>
        <w:rPr>
          <w:i/>
          <w:iCs/>
        </w:rPr>
        <w:t xml:space="preserve">meccanismo coerente, prove contrarie</w:t>
      </w:r>
      <w:r>
        <w:t xml:space="preserve">. Nel documento compare una volta sola, sulla leva del sonno.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Mobilitas — Direzione Osteopatica</dc:creator>
  <dc:language>it-IT</dc:language>
  <cp:keywords/>
  <dcterms:created xsi:type="dcterms:W3CDTF">2026-08-29T11:29:26Z</dcterms:created>
  <dcterms:modified xsi:type="dcterms:W3CDTF">2026-08-29T11:29:26Z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