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Bibbia Teorica — Reflusso Gastroesofageo</w:t>
      </w:r>
    </w:p>
    <w:p>
      <w:pPr>
        <w:pStyle w:val="Author"/>
      </w:pPr>
      <w:r>
        <w:t xml:space="preserve">Mobilitas — Direzione Osteopatica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50" w:name="la-bibbia-del-reflusso-gastroesofageo"/>
    <w:p>
      <w:pPr>
        <w:pStyle w:val="Heading1"/>
      </w:pPr>
      <w:r>
        <w:t xml:space="preserve">La Bibbia del Reflusso Gastroesofageo</w:t>
      </w:r>
    </w:p>
    <w:p>
      <w:pPr>
        <w:pStyle w:val="FirstParagraph"/>
      </w:pPr>
      <w:r>
        <w:rPr>
          <w:b/>
          <w:bCs/>
        </w:rPr>
        <w:t xml:space="preserve">Mobilitas · OsteoTouch</w:t>
      </w:r>
      <w:r>
        <w:t xml:space="preserve"> </w:t>
      </w:r>
      <w:r>
        <w:t xml:space="preserve">— documento clinico interno</w:t>
      </w:r>
      <w:r>
        <w:t xml:space="preserve"> </w:t>
      </w:r>
      <w:r>
        <w:rPr>
          <w:b/>
          <w:bCs/>
        </w:rPr>
        <w:t xml:space="preserve">Ancora clinica:</w:t>
      </w:r>
      <w:r>
        <w:t xml:space="preserve"> </w:t>
      </w:r>
      <w:r>
        <w:t xml:space="preserve">Ángel Oliva-Pascual-Vaca (Universidad de Sevilla) —</w:t>
      </w:r>
      <w:r>
        <w:t xml:space="preserve"> </w:t>
      </w:r>
      <w:r>
        <w:rPr>
          <w:b/>
          <w:bCs/>
        </w:rPr>
        <w:t xml:space="preserve">Ancora fisiologica:</w:t>
      </w:r>
      <w:r>
        <w:t xml:space="preserve"> </w:t>
      </w:r>
      <w:r>
        <w:t xml:space="preserve">Ravinder K. Mittal (University of California, San Diego)</w:t>
      </w:r>
      <w:r>
        <w:t xml:space="preserve"> </w:t>
      </w:r>
      <w:r>
        <w:rPr>
          <w:b/>
          <w:bCs/>
        </w:rPr>
        <w:t xml:space="preserve">Versione:</w:t>
      </w:r>
      <w:r>
        <w:t xml:space="preserve"> </w:t>
      </w:r>
      <w:r>
        <w:t xml:space="preserve">v7.0 (revisione di lingua — sesto livello) —</w:t>
      </w:r>
      <w:r>
        <w:t xml:space="preserve"> </w:t>
      </w:r>
      <w:r>
        <w:rPr>
          <w:b/>
          <w:bCs/>
        </w:rPr>
        <w:t xml:space="preserve">Data:</w:t>
      </w:r>
      <w:r>
        <w:t xml:space="preserve"> </w:t>
      </w:r>
      <w:r>
        <w:t xml:space="preserve">agosto 2026</w:t>
      </w:r>
    </w:p>
    <w:p>
      <w:r>
        <w:pict>
          <v:rect style="width:0;height:1.5pt" o:hralign="center" o:hrstd="t" o:hr="t"/>
        </w:pict>
      </w:r>
    </w:p>
    <w:bookmarkStart w:id="9" w:name="capitolo-0-come-si-usa-questa-bibbia"/>
    <w:p>
      <w:pPr>
        <w:pStyle w:val="Heading2"/>
      </w:pPr>
      <w:r>
        <w:t xml:space="preserve">Capitolo 0 — Come si usa questa Bibbia</w:t>
      </w:r>
    </w:p>
    <w:p>
      <w:pPr>
        <w:pStyle w:val="BlockText"/>
      </w:pPr>
      <w:r>
        <w:rPr>
          <w:b/>
          <w:bCs/>
        </w:rPr>
        <w:t xml:space="preserve">In una riga:</w:t>
      </w:r>
      <w:r>
        <w:t xml:space="preserve"> </w:t>
      </w:r>
      <w:r>
        <w:t xml:space="preserve">questa è la conoscenza del reflusso, non il piano di trattamento del reflusso.</w:t>
      </w:r>
    </w:p>
    <w:p>
      <w:pPr>
        <w:pStyle w:val="FirstParagraph"/>
      </w:pPr>
      <w:r>
        <w:rPr>
          <w:b/>
          <w:bCs/>
        </w:rPr>
        <w:t xml:space="preserve">A chi parla.</w:t>
      </w:r>
      <w:r>
        <w:t xml:space="preserve"> </w:t>
      </w:r>
      <w:r>
        <w:t xml:space="preserve">All’osteopata del team. Qui non trovi cos’è il diaframma. Trovi cosa fa il diaframma</w:t>
      </w:r>
      <w:r>
        <w:t xml:space="preserve"> </w:t>
      </w:r>
      <w:r>
        <w:rPr>
          <w:b/>
          <w:bCs/>
        </w:rPr>
        <w:t xml:space="preserve">in questa condizione</w:t>
      </w:r>
      <w:r>
        <w:t xml:space="preserve">.</w:t>
      </w:r>
    </w:p>
    <w:p>
      <w:pPr>
        <w:pStyle w:val="BodyText"/>
      </w:pPr>
      <w:r>
        <w:rPr>
          <w:b/>
          <w:bCs/>
        </w:rPr>
        <w:t xml:space="preserve">Cosa c’è qui e cosa no.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Questa Bibbia</w:t>
            </w:r>
          </w:p>
        </w:tc>
        <w:tc>
          <w:tcPr/>
          <w:p>
            <w:pPr>
              <w:pStyle w:val="Compact"/>
            </w:pPr>
            <w:r>
              <w:t xml:space="preserve">La Procedura (2 pagine, a parte)</w:t>
            </w:r>
          </w:p>
        </w:tc>
      </w:tr>
      <w:tr>
        <w:tc>
          <w:tcPr/>
          <w:p>
            <w:pPr>
              <w:pStyle w:val="Compact"/>
            </w:pPr>
            <w:r>
              <w:t xml:space="preserve">Cos’è, perché succede, quanto è solido</w:t>
            </w:r>
          </w:p>
        </w:tc>
        <w:tc>
          <w:tcPr/>
          <w:p>
            <w:pPr>
              <w:pStyle w:val="Compact"/>
            </w:pPr>
            <w:r>
              <w:t xml:space="preserve">Tecniche, dosi, sequenze, piano sedute</w:t>
            </w:r>
          </w:p>
        </w:tc>
      </w:tr>
    </w:tbl>
    <w:p>
      <w:pPr>
        <w:pStyle w:val="BodyText"/>
      </w:pPr>
      <w:r>
        <w:rPr>
          <w:b/>
          <w:bCs/>
        </w:rPr>
        <w:t xml:space="preserve">Come si leggono le etichette.</w:t>
      </w:r>
      <w:r>
        <w:t xml:space="preserve"> </w:t>
      </w:r>
      <w:r>
        <w:t xml:space="preserve">Ogni meccanismo, ogni modello e ogni leva porta un box che dichiara quanto è solido. Le etichette sono quattro, e non ce ne sono altre.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Etichetta</w:t>
            </w:r>
          </w:p>
        </w:tc>
        <w:tc>
          <w:tcPr/>
          <w:p>
            <w:pPr>
              <w:pStyle w:val="Compact"/>
            </w:pPr>
            <w:r>
              <w:t xml:space="preserve">Significa</w:t>
            </w:r>
          </w:p>
        </w:tc>
      </w:tr>
      <w:tr>
        <w:tc>
          <w:tcPr/>
          <w:p>
            <w:pPr>
              <w:pStyle w:val="Compact"/>
            </w:pPr>
            <w:r>
              <w:rPr>
                <w:b/>
                <w:bCs/>
              </w:rPr>
              <w:t xml:space="preserve">DIMOSTRATO</w:t>
            </w:r>
          </w:p>
        </w:tc>
        <w:tc>
          <w:tcPr/>
          <w:p>
            <w:pPr>
              <w:pStyle w:val="Compact"/>
            </w:pPr>
            <w:r>
              <w:t xml:space="preserve">RCT o revisioni sistematiche solide</w:t>
            </w:r>
          </w:p>
        </w:tc>
      </w:tr>
      <w:tr>
        <w:tc>
          <w:tcPr/>
          <w:p>
            <w:pPr>
              <w:pStyle w:val="Compact"/>
            </w:pPr>
            <w:r>
              <w:rPr>
                <w:b/>
                <w:bCs/>
              </w:rPr>
              <w:t xml:space="preserve">PROBABILE</w:t>
            </w:r>
          </w:p>
        </w:tc>
        <w:tc>
          <w:tcPr/>
          <w:p>
            <w:pPr>
              <w:pStyle w:val="Compact"/>
            </w:pPr>
            <w:r>
              <w:t xml:space="preserve">Razionale forte, prove parziali o indirette</w:t>
            </w:r>
          </w:p>
        </w:tc>
      </w:tr>
      <w:tr>
        <w:tc>
          <w:tcPr/>
          <w:p>
            <w:pPr>
              <w:pStyle w:val="Compact"/>
            </w:pPr>
            <w:r>
              <w:rPr>
                <w:b/>
                <w:bCs/>
              </w:rPr>
              <w:t xml:space="preserve">IPOTESI</w:t>
            </w:r>
          </w:p>
        </w:tc>
        <w:tc>
          <w:tcPr/>
          <w:p>
            <w:pPr>
              <w:pStyle w:val="Compact"/>
            </w:pPr>
            <w:r>
              <w:t xml:space="preserve">Meccanismo coerente, nessuno studio diretto</w:t>
            </w:r>
          </w:p>
        </w:tc>
      </w:tr>
      <w:tr>
        <w:tc>
          <w:tcPr/>
          <w:p>
            <w:pPr>
              <w:pStyle w:val="Compact"/>
            </w:pPr>
            <w:r>
              <w:rPr>
                <w:b/>
                <w:bCs/>
              </w:rPr>
              <w:t xml:space="preserve">RAGIONAMENTO</w:t>
            </w:r>
          </w:p>
        </w:tc>
        <w:tc>
          <w:tcPr/>
          <w:p>
            <w:pPr>
              <w:pStyle w:val="Compact"/>
            </w:pPr>
            <w:r>
              <w:t xml:space="preserve">Cornice clinica interna, non prova</w:t>
            </w:r>
          </w:p>
        </w:tc>
      </w:tr>
    </w:tbl>
    <w:p>
      <w:pPr>
        <w:pStyle w:val="BodyText"/>
      </w:pPr>
      <w:r>
        <w:rPr>
          <w:b/>
          <w:bCs/>
        </w:rPr>
        <w:t xml:space="preserve">Una precisazione su DIMOSTRATO, ed è una deviazione dichiarata.</w:t>
      </w:r>
      <w:r>
        <w:t xml:space="preserve"> </w:t>
      </w:r>
      <w:r>
        <w:t xml:space="preserve">Qui l’etichetta copre due casi in più. Il primo sono le</w:t>
      </w:r>
      <w:r>
        <w:t xml:space="preserve"> </w:t>
      </w:r>
      <w:r>
        <w:rPr>
          <w:b/>
          <w:bCs/>
        </w:rPr>
        <w:t xml:space="preserve">coorti ampie con relazione dose-risposta</w:t>
      </w:r>
      <w:r>
        <w:t xml:space="preserve">. Il secondo è la</w:t>
      </w:r>
      <w:r>
        <w:t xml:space="preserve"> </w:t>
      </w:r>
      <w:r>
        <w:rPr>
          <w:b/>
          <w:bCs/>
        </w:rPr>
        <w:t xml:space="preserve">misura sperimentale diretta nell’uomo</w:t>
      </w:r>
      <w:r>
        <w:t xml:space="preserve">. Su peso e reflusso la prova causale migliore che esista è una coorte, non un trial, e nessuno la sostituirà. Dove uso l’etichetta in questo senso allargato, lo scrivo nella riga stessa.</w:t>
      </w:r>
    </w:p>
    <w:p>
      <w:pPr>
        <w:pStyle w:val="BodyText"/>
      </w:pPr>
      <w:r>
        <w:t xml:space="preserve">La prosa qui dentro</w:t>
      </w:r>
      <w:r>
        <w:t xml:space="preserve"> </w:t>
      </w:r>
      <w:r>
        <w:rPr>
          <w:b/>
          <w:bCs/>
        </w:rPr>
        <w:t xml:space="preserve">afferma</w:t>
      </w:r>
      <w:r>
        <w:t xml:space="preserve">. Non troverai</w:t>
      </w:r>
      <w:r>
        <w:t xml:space="preserve"> </w:t>
      </w:r>
      <w:r>
        <w:t xml:space="preserve">“potrebbe forse ipotizzarsi”</w:t>
      </w:r>
      <w:r>
        <w:t xml:space="preserve">. L’onestà sta nell’etichetta, non nelle virgole.</w:t>
      </w:r>
    </w:p>
    <w:p>
      <w:pPr>
        <w:pStyle w:val="BodyText"/>
      </w:pPr>
      <w:r>
        <w:t xml:space="preserve">L’etichetta accompagna meccanismi, modelli e leve. Fisiologia consolidata e dati con lo studio accanto non portano etichetta: sono descrizione, non affermazioni da difendere.</w:t>
      </w:r>
    </w:p>
    <w:p>
      <w:pPr>
        <w:pStyle w:val="BodyText"/>
      </w:pPr>
      <w:r>
        <w:rPr>
          <w:b/>
          <w:bCs/>
        </w:rPr>
        <w:t xml:space="preserve">Due modi di leggerla.</w:t>
      </w:r>
      <w:r>
        <w:t xml:space="preserve"> </w:t>
      </w:r>
      <w:r>
        <w:t xml:space="preserve">Se hai venti minuti, leggi questi otto capitoli.</w:t>
      </w:r>
    </w:p>
    <w:p>
      <w:pPr>
        <w:pStyle w:val="BodyText"/>
      </w:pPr>
      <w:r>
        <w:t xml:space="preserve">«Chi ti trova davanti» · «Che cos’è davvero» · «Come funziona quando funziona» · «Cosa si rompe» · «Non è una condizione sola» · «Come ragiono davanti a questo paziente» · «Dove finisce il nostro campo» · «Perché le mani possono cambiare qualcosa».</w:t>
      </w:r>
    </w:p>
    <w:p>
      <w:pPr>
        <w:pStyle w:val="BodyText"/>
      </w:pPr>
      <w:r>
        <w:t xml:space="preserve">Se hai una sera, aggiungi «Le strutture in gioco», «La lettura osteopatica» e «Cosa dice la scienza». Poi il resto.</w:t>
      </w:r>
    </w:p>
    <w:p>
      <w:pPr>
        <w:pStyle w:val="BodyText"/>
      </w:pPr>
      <w:r>
        <w:rPr>
          <w:b/>
          <w:bCs/>
        </w:rPr>
        <w:t xml:space="preserve">Le tre cose da ricordare</w:t>
      </w:r>
    </w:p>
    <w:p>
      <w:pPr>
        <w:pStyle w:val="Compact"/>
        <w:numPr>
          <w:ilvl w:val="0"/>
          <w:numId w:val="1001"/>
        </w:numPr>
      </w:pPr>
      <w:r>
        <w:t xml:space="preserve">Questa Bibbia arriva fino al razionale della leva e si ferma lì.</w:t>
      </w:r>
    </w:p>
    <w:p>
      <w:pPr>
        <w:pStyle w:val="Compact"/>
        <w:numPr>
          <w:ilvl w:val="0"/>
          <w:numId w:val="1001"/>
        </w:numPr>
      </w:pPr>
      <w:r>
        <w:t xml:space="preserve">Ogni affermazione importante ha la sua etichetta. Se manca, è un claim gonfiato.</w:t>
      </w:r>
    </w:p>
    <w:p>
      <w:pPr>
        <w:pStyle w:val="Compact"/>
        <w:numPr>
          <w:ilvl w:val="0"/>
          <w:numId w:val="1001"/>
        </w:numPr>
      </w:pPr>
      <w:r>
        <w:t xml:space="preserve">Sul reflusso la letteratura di terapia manuale è sottile. Questo documento lo dice, e spiega cosa ci fai.</w:t>
      </w:r>
    </w:p>
    <w:p>
      <w:pPr>
        <w:pStyle w:val="FirstParagraph"/>
      </w:pPr>
      <w:r>
        <w:t xml:space="preserve">Buon nutrimento!</w:t>
      </w:r>
    </w:p>
    <w:p>
      <w:r>
        <w:pict>
          <v:rect style="width:0;height:1.5pt" o:hralign="center" o:hrstd="t" o:hr="t"/>
        </w:pict>
      </w:r>
    </w:p>
    <w:bookmarkEnd w:id="9"/>
    <w:bookmarkStart w:id="14" w:name="capitolo-1-chi-ti-trova-davanti"/>
    <w:p>
      <w:pPr>
        <w:pStyle w:val="Heading2"/>
      </w:pPr>
      <w:r>
        <w:t xml:space="preserve">Capitolo 1 — Chi ti trova davanti</w:t>
      </w:r>
    </w:p>
    <w:p>
      <w:pPr>
        <w:pStyle w:val="BlockText"/>
      </w:pPr>
      <w:r>
        <w:rPr>
          <w:b/>
          <w:bCs/>
        </w:rPr>
        <w:t xml:space="preserve">In una riga:</w:t>
      </w:r>
      <w:r>
        <w:t xml:space="preserve"> </w:t>
      </w:r>
      <w:r>
        <w:t xml:space="preserve">ti trovi davanti una persona che ha già fatto tutto quello che le hanno detto di fare, e brucia ancora.</w:t>
      </w:r>
    </w:p>
    <w:bookmarkStart w:id="10" w:name="come-lo-racconta-lui"/>
    <w:p>
      <w:pPr>
        <w:pStyle w:val="Heading3"/>
      </w:pPr>
      <w:r>
        <w:t xml:space="preserve">Come lo racconta lui</w:t>
      </w:r>
    </w:p>
    <w:p>
      <w:pPr>
        <w:pStyle w:val="FirstParagraph"/>
      </w:pPr>
      <w:r>
        <w:t xml:space="preserve">Non dice</w:t>
      </w:r>
      <w:r>
        <w:t xml:space="preserve"> </w:t>
      </w:r>
      <w:r>
        <w:t xml:space="preserve">“pirosi retrosternale”</w:t>
      </w:r>
      <w:r>
        <w:t xml:space="preserve">. Dice</w:t>
      </w:r>
      <w:r>
        <w:t xml:space="preserve"> </w:t>
      </w:r>
      <w:r>
        <w:rPr>
          <w:i/>
          <w:iCs/>
        </w:rPr>
        <w:t xml:space="preserve">“mi sale un calore dallo stomaco alla gola”</w:t>
      </w:r>
      <w:r>
        <w:t xml:space="preserve">, e indica lo sterno con due dita. Dice</w:t>
      </w:r>
      <w:r>
        <w:t xml:space="preserve"> </w:t>
      </w:r>
      <w:r>
        <w:rPr>
          <w:i/>
          <w:iCs/>
        </w:rPr>
        <w:t xml:space="preserve">“la notte dormo con due cuscini”</w:t>
      </w:r>
      <w:r>
        <w:t xml:space="preserve">,</w:t>
      </w:r>
      <w:r>
        <w:t xml:space="preserve"> </w:t>
      </w:r>
      <w:r>
        <w:rPr>
          <w:i/>
          <w:iCs/>
        </w:rPr>
        <w:t xml:space="preserve">“mi sveglio con la bocca amara”</w:t>
      </w:r>
      <w:r>
        <w:t xml:space="preserve">,</w:t>
      </w:r>
      <w:r>
        <w:t xml:space="preserve"> </w:t>
      </w:r>
      <w:r>
        <w:rPr>
          <w:i/>
          <w:iCs/>
        </w:rPr>
        <w:t xml:space="preserve">“ho una tosse secca che nessuno capisce”</w:t>
      </w:r>
      <w:r>
        <w:t xml:space="preserve">,</w:t>
      </w:r>
      <w:r>
        <w:t xml:space="preserve"> </w:t>
      </w:r>
      <w:r>
        <w:rPr>
          <w:i/>
          <w:iCs/>
        </w:rPr>
        <w:t xml:space="preserve">“ho come un nodo in gola”</w:t>
      </w:r>
      <w:r>
        <w:t xml:space="preserve">. E mentre te lo racconta si schiarisce la voce.</w:t>
      </w:r>
    </w:p>
    <w:p>
      <w:pPr>
        <w:pStyle w:val="BodyText"/>
      </w:pPr>
      <w:r>
        <w:t xml:space="preserve">Poi dice la frase che vale tutto il colloquio:</w:t>
      </w:r>
      <w:r>
        <w:t xml:space="preserve"> </w:t>
      </w:r>
      <w:r>
        <w:rPr>
          <w:i/>
          <w:iCs/>
        </w:rPr>
        <w:t xml:space="preserve">“ogni pasto è un calcolo”</w:t>
      </w:r>
      <w:r>
        <w:t xml:space="preserve">. Non mangia più con piacere. Mangia calcolando cosa, a che ora, e cosa succederà stanotte.</w:t>
      </w:r>
    </w:p>
    <w:p>
      <w:pPr>
        <w:pStyle w:val="BodyText"/>
      </w:pPr>
      <w:r>
        <w:t xml:space="preserve">Alcuni sintomi non sembrano reflusso, e nessuno glieli ha collegati: la voce roca al mattino, la gola schiarita ogni due minuti, la digestione che non finisce mai, le eruttazioni che lo imbarazzano a tavola. E c’è la rinuncia, che racconta per ultima perché se ne vergogna: le cene rifiutate, il brindisi saltato, il caffè con i colleghi.</w:t>
      </w:r>
    </w:p>
    <w:p>
      <w:pPr>
        <w:pStyle w:val="BlockText"/>
      </w:pPr>
      <w:r>
        <w:rPr>
          <w:b/>
          <w:bCs/>
        </w:rPr>
        <w:t xml:space="preserve">Attenzione.</w:t>
      </w:r>
      <w:r>
        <w:t xml:space="preserve"> </w:t>
      </w:r>
      <w:r>
        <w:t xml:space="preserve">Il dolore dietro lo sterno è nella lista dei suoi sintomi. Non è mai un sintomo che assorbi in silenzio: vedi «Dove finisce il nostro campo».</w:t>
      </w:r>
    </w:p>
    <w:bookmarkEnd w:id="10"/>
    <w:bookmarkStart w:id="11" w:name="cosa-ha-già-fatto"/>
    <w:p>
      <w:pPr>
        <w:pStyle w:val="Heading3"/>
      </w:pPr>
      <w:r>
        <w:t xml:space="preserve">Cosa ha già fatto</w:t>
      </w:r>
    </w:p>
    <w:p>
      <w:pPr>
        <w:pStyle w:val="FirstParagraph"/>
      </w:pPr>
      <w:r>
        <w:t xml:space="preserve">Prende una pastiglia da mesi, spesso da anni, quasi sempre un inibitore di pompa. Il farmaco fa il suo lavoro. Abbassa l’acidità, dà sollievo reale e, dove c’è esofagite, guarisce la mucosa. Quello che non fa è agire sulla meccanica della barriera. Lì nasce lo spazio del tuo lavoro, senza togliere niente al farmaco.</w:t>
      </w:r>
    </w:p>
    <w:p>
      <w:pPr>
        <w:pStyle w:val="BodyText"/>
      </w:pPr>
      <w:r>
        <w:t xml:space="preserve">Ha fatto la gastroscopia: spesso pulita, o con un’esofagite lieve, o con un’ernia iatale nominata di sfuggita. Helicobacter negativo. Ha tolto caffè, vino, cioccolato, pomodoro, fritti. Mangia in bianco da una vita, cena presto, ha alzato il cuscino, ha provato a dimagrire.</w:t>
      </w:r>
    </w:p>
    <w:p>
      <w:pPr>
        <w:pStyle w:val="BodyText"/>
      </w:pPr>
      <w:r>
        <w:t xml:space="preserve">E il bruciore è rimasto.</w:t>
      </w:r>
    </w:p>
    <w:p>
      <w:pPr>
        <w:pStyle w:val="BodyText"/>
      </w:pPr>
      <w:r>
        <w:t xml:space="preserve">Poi c’è la frase che ha sentito più volte:</w:t>
      </w:r>
      <w:r>
        <w:t xml:space="preserve"> </w:t>
      </w:r>
      <w:r>
        <w:rPr>
          <w:i/>
          <w:iCs/>
        </w:rPr>
        <w:t xml:space="preserve">“è solo stress, mangi più leggero”</w:t>
      </w:r>
      <w:r>
        <w:t xml:space="preserve">. Per questo arriva con la guardia alta. La sua diffidenza è informazione, non un ostacolo.</w:t>
      </w:r>
    </w:p>
    <w:bookmarkEnd w:id="11"/>
    <w:bookmarkStart w:id="12" w:name="cosa-nessuno-ha-guardato"/>
    <w:p>
      <w:pPr>
        <w:pStyle w:val="Heading3"/>
      </w:pPr>
      <w:r>
        <w:t xml:space="preserve">Cosa nessuno ha guardato</w:t>
      </w:r>
    </w:p>
    <w:p>
      <w:pPr>
        <w:pStyle w:val="FirstParagraph"/>
      </w:pPr>
      <w:r>
        <w:t xml:space="preserve">Il percorso che ha fatto è corretto. Ma tutti quegli strumenti guardano</w:t>
      </w:r>
      <w:r>
        <w:t xml:space="preserve"> </w:t>
      </w:r>
      <w:r>
        <w:rPr>
          <w:b/>
          <w:bCs/>
        </w:rPr>
        <w:t xml:space="preserve">dentro il tubo</w:t>
      </w:r>
      <w:r>
        <w:t xml:space="preserve">. Nessuno ha valutato quello che lo comprime da fuori: il diaframma, la meccanica del torace, la pressione della parete addominale, lo stato di allerta del sistema nervoso. Non per negligenza: non è di quel campo.</w:t>
      </w:r>
    </w:p>
    <w:p>
      <w:pPr>
        <w:pStyle w:val="BodyText"/>
      </w:pPr>
      <w:r>
        <w:t xml:space="preserve">È del tuo.</w:t>
      </w:r>
    </w:p>
    <w:p>
      <w:pPr>
        <w:pStyle w:val="BodyText"/>
      </w:pPr>
      <w:r>
        <w:rPr>
          <w:b/>
          <w:bCs/>
        </w:rPr>
        <w:t xml:space="preserve">Ma non è sempre lui.</w:t>
      </w:r>
      <w:r>
        <w:t xml:space="preserve"> </w:t>
      </w:r>
      <w:r>
        <w:t xml:space="preserve">Quello che hai letto è l’adulto autonomo, con una diagnosi e una pastiglia. Quattro altri cambiano le regole.</w:t>
      </w:r>
    </w:p>
    <w:p>
      <w:pPr>
        <w:pStyle w:val="Compact"/>
        <w:numPr>
          <w:ilvl w:val="0"/>
          <w:numId w:val="1002"/>
        </w:numPr>
      </w:pPr>
      <w:r>
        <w:rPr>
          <w:b/>
          <w:bCs/>
        </w:rPr>
        <w:t xml:space="preserve">L’anziano</w:t>
      </w:r>
      <w:r>
        <w:t xml:space="preserve"> </w:t>
      </w:r>
      <w:r>
        <w:t xml:space="preserve">brucia di meno e si danneggia di più. L’intensità del sintomo non misura il danno.</w:t>
      </w:r>
    </w:p>
    <w:p>
      <w:pPr>
        <w:pStyle w:val="Compact"/>
        <w:numPr>
          <w:ilvl w:val="0"/>
          <w:numId w:val="1002"/>
        </w:numPr>
      </w:pPr>
      <w:r>
        <w:rPr>
          <w:b/>
          <w:bCs/>
        </w:rPr>
        <w:t xml:space="preserve">La gravida del terzo trimestre</w:t>
      </w:r>
      <w:r>
        <w:t xml:space="preserve">: comfort e meccanica, non risoluzione. Su di lei epigastrio e ipocondrio destro non si premono. Non sono una leva, e sono la sede del segno che devi restare in grado di leggere. Vedi «Dove finisce il nostro campo».</w:t>
      </w:r>
    </w:p>
    <w:p>
      <w:pPr>
        <w:pStyle w:val="Compact"/>
        <w:numPr>
          <w:ilvl w:val="0"/>
          <w:numId w:val="1002"/>
        </w:numPr>
      </w:pPr>
      <w:r>
        <w:rPr>
          <w:b/>
          <w:bCs/>
        </w:rPr>
        <w:t xml:space="preserve">Il paziente in politerapia</w:t>
      </w:r>
      <w:r>
        <w:t xml:space="preserve"> </w:t>
      </w:r>
      <w:r>
        <w:t xml:space="preserve">può avere un sintomo generato da una pastiglia iniziata tre mesi fa.</w:t>
      </w:r>
    </w:p>
    <w:p>
      <w:pPr>
        <w:pStyle w:val="Compact"/>
        <w:numPr>
          <w:ilvl w:val="0"/>
          <w:numId w:val="1002"/>
        </w:numPr>
      </w:pPr>
      <w:r>
        <w:rPr>
          <w:b/>
          <w:bCs/>
        </w:rPr>
        <w:t xml:space="preserve">Il paziente in anticoagulante o antiaggregante</w:t>
      </w:r>
      <w:r>
        <w:t xml:space="preserve">, spesso con un antinfiammatorio sopra, è quello in cui</w:t>
      </w:r>
      <w:r>
        <w:t xml:space="preserve"> </w:t>
      </w:r>
      <w:r>
        <w:t xml:space="preserve">“bruciore”</w:t>
      </w:r>
      <w:r>
        <w:t xml:space="preserve"> </w:t>
      </w:r>
      <w:r>
        <w:t xml:space="preserve">può essere un’ulcera che sanguina. Le sue urgenze scendono di un livello: vedi «Dove finisce il nostro campo».</w:t>
      </w:r>
    </w:p>
    <w:bookmarkEnd w:id="12"/>
    <w:bookmarkStart w:id="13" w:name="le-tre-domande-che-ti-farà"/>
    <w:p>
      <w:pPr>
        <w:pStyle w:val="Heading3"/>
      </w:pPr>
      <w:r>
        <w:t xml:space="preserve">Le tre domande che ti farà</w:t>
      </w:r>
    </w:p>
    <w:p>
      <w:pPr>
        <w:pStyle w:val="FirstParagraph"/>
      </w:pPr>
      <w:r>
        <w:t xml:space="preserve">Arrivano nei primi cinque minuti, quasi sempre in quest’ordine.</w:t>
      </w:r>
    </w:p>
    <w:p>
      <w:pPr>
        <w:pStyle w:val="BodyText"/>
      </w:pPr>
      <w:r>
        <w:rPr>
          <w:i/>
          <w:iCs/>
        </w:rPr>
        <w:t xml:space="preserve">“Cosa c’entrano le mani con lo stomaco?”</w:t>
      </w:r>
      <w:r>
        <w:t xml:space="preserve"> </w:t>
      </w:r>
      <w:r>
        <w:t xml:space="preserve">— rispondono «Le strutture in gioco» e «Perché le mani possono cambiare qualcosa».</w:t>
      </w:r>
    </w:p>
    <w:p>
      <w:pPr>
        <w:pStyle w:val="BodyText"/>
      </w:pPr>
      <w:r>
        <w:rPr>
          <w:i/>
          <w:iCs/>
        </w:rPr>
        <w:t xml:space="preserve">“La gastroscopia è a posto, quindi cos’ho?”</w:t>
      </w:r>
      <w:r>
        <w:t xml:space="preserve"> </w:t>
      </w:r>
      <w:r>
        <w:t xml:space="preserve">— risponde «Che cos’è davvero».</w:t>
      </w:r>
    </w:p>
    <w:p>
      <w:pPr>
        <w:pStyle w:val="BodyText"/>
      </w:pPr>
      <w:r>
        <w:rPr>
          <w:i/>
          <w:iCs/>
        </w:rPr>
        <w:t xml:space="preserve">“Ho già tolto tutti i cibi, perché brucio ancora?”</w:t>
      </w:r>
      <w:r>
        <w:t xml:space="preserve"> </w:t>
      </w:r>
      <w:r>
        <w:t xml:space="preserve">— risponde «Cosa si rompe», ed è il cuore del documento.</w:t>
      </w:r>
    </w:p>
    <w:p>
      <w:pPr>
        <w:pStyle w:val="BodyText"/>
      </w:pPr>
      <w:r>
        <w:rPr>
          <w:b/>
          <w:bCs/>
        </w:rPr>
        <w:t xml:space="preserve">Le tre cose da ricordare</w:t>
      </w:r>
    </w:p>
    <w:p>
      <w:pPr>
        <w:pStyle w:val="Compact"/>
        <w:numPr>
          <w:ilvl w:val="0"/>
          <w:numId w:val="1003"/>
        </w:numPr>
      </w:pPr>
      <w:r>
        <w:t xml:space="preserve">Arriva dopo anni di tentativi corretti che hanno funzionato a metà.</w:t>
      </w:r>
    </w:p>
    <w:p>
      <w:pPr>
        <w:pStyle w:val="Compact"/>
        <w:numPr>
          <w:ilvl w:val="0"/>
          <w:numId w:val="1003"/>
        </w:numPr>
      </w:pPr>
      <w:r>
        <w:t xml:space="preserve">Porta sintomi che non sembrano reflusso e che nessuno ha collegato: tosse, voce, nodo in gola.</w:t>
      </w:r>
    </w:p>
    <w:p>
      <w:pPr>
        <w:pStyle w:val="Compact"/>
        <w:numPr>
          <w:ilvl w:val="0"/>
          <w:numId w:val="1003"/>
        </w:numPr>
      </w:pPr>
      <w:r>
        <w:t xml:space="preserve">Il percorso medico ha guardato dentro il tubo. Tu guardi cosa lo comprime da fuori.</w:t>
      </w:r>
    </w:p>
    <w:p>
      <w:r>
        <w:pict>
          <v:rect style="width:0;height:1.5pt" o:hralign="center" o:hrstd="t" o:hr="t"/>
        </w:pict>
      </w:r>
    </w:p>
    <w:bookmarkEnd w:id="13"/>
    <w:bookmarkEnd w:id="14"/>
    <w:bookmarkStart w:id="21" w:name="capitolo-2-che-cosè-davvero"/>
    <w:p>
      <w:pPr>
        <w:pStyle w:val="Heading2"/>
      </w:pPr>
      <w:r>
        <w:t xml:space="preserve">Capitolo 2 — Che cos’è davvero</w:t>
      </w:r>
    </w:p>
    <w:p>
      <w:pPr>
        <w:pStyle w:val="BlockText"/>
      </w:pPr>
      <w:r>
        <w:rPr>
          <w:b/>
          <w:bCs/>
        </w:rPr>
        <w:t xml:space="preserve">In una riga:</w:t>
      </w:r>
      <w:r>
        <w:t xml:space="preserve"> </w:t>
      </w:r>
      <w:r>
        <w:t xml:space="preserve">il reflusso è una malattia della barriera, non dell’acido.</w:t>
      </w:r>
    </w:p>
    <w:bookmarkStart w:id="15" w:name="la-definizione"/>
    <w:p>
      <w:pPr>
        <w:pStyle w:val="Heading3"/>
      </w:pPr>
      <w:r>
        <w:t xml:space="preserve">La definizione</w:t>
      </w:r>
    </w:p>
    <w:p>
      <w:pPr>
        <w:pStyle w:val="FirstParagraph"/>
      </w:pPr>
      <w:r>
        <w:t xml:space="preserve">La malattia da reflusso gastroesofageo è la condizione in cui il contenuto dello stomaco risale nell’esofago e produce sintomi fastidiosi o danno alla mucosa. È la definizione di Montreal, quella dietro ai referti che ti porta. Due parole contano più delle altre.</w:t>
      </w:r>
      <w:r>
        <w:t xml:space="preserve"> </w:t>
      </w:r>
      <w:r>
        <w:rPr>
          <w:b/>
          <w:bCs/>
        </w:rPr>
        <w:t xml:space="preserve">Risale</w:t>
      </w:r>
      <w:r>
        <w:t xml:space="preserve">: il problema è un movimento, non una quantità.</w:t>
      </w:r>
      <w:r>
        <w:t xml:space="preserve"> </w:t>
      </w:r>
      <w:r>
        <w:rPr>
          <w:b/>
          <w:bCs/>
        </w:rPr>
        <w:t xml:space="preserve">Sintomi fastidiosi</w:t>
      </w:r>
      <w:r>
        <w:t xml:space="preserve">: la soglia la decide il paziente, non lo strumento.</w:t>
      </w:r>
    </w:p>
    <w:p>
      <w:pPr>
        <w:pStyle w:val="BodyText"/>
      </w:pPr>
      <w:r>
        <w:t xml:space="preserve">L’acido c’entra, ma non è la causa: lo stomaco lo produce anche nei sani, e lì resta dov’è.</w:t>
      </w:r>
    </w:p>
    <w:p>
      <w:pPr>
        <w:pStyle w:val="BlockText"/>
      </w:pPr>
      <w:r>
        <w:rPr>
          <w:b/>
          <w:bCs/>
        </w:rPr>
        <w:t xml:space="preserve">Definizione.</w:t>
      </w:r>
      <w:r>
        <w:t xml:space="preserve"> </w:t>
      </w:r>
      <w:r>
        <w:rPr>
          <w:i/>
          <w:iCs/>
        </w:rPr>
        <w:t xml:space="preserve">Pirosi</w:t>
      </w:r>
      <w:r>
        <w:t xml:space="preserve">: il bruciore che risale dietro lo sterno. È il sintomo tipico, non l’unico.</w:t>
      </w:r>
    </w:p>
    <w:bookmarkEnd w:id="15"/>
    <w:bookmarkStart w:id="16" w:name="quanto-è-diffusa"/>
    <w:p>
      <w:pPr>
        <w:pStyle w:val="Heading3"/>
      </w:pPr>
      <w:r>
        <w:t xml:space="preserve">Quanto è diffusa</w:t>
      </w:r>
    </w:p>
    <w:p>
      <w:pPr>
        <w:pStyle w:val="FirstParagraph"/>
      </w:pPr>
      <w:r>
        <w:t xml:space="preserve">La prevalenza globale stimata è del</w:t>
      </w:r>
      <w:r>
        <w:t xml:space="preserve"> </w:t>
      </w:r>
      <w:r>
        <w:rPr>
          <w:b/>
          <w:bCs/>
        </w:rPr>
        <w:t xml:space="preserve">13,98%</w:t>
      </w:r>
      <w:r>
        <w:t xml:space="preserve">, cioè circa un miliardo di persone (Nirwan,</w:t>
      </w:r>
      <w:r>
        <w:t xml:space="preserve"> </w:t>
      </w:r>
      <w:r>
        <w:rPr>
          <w:i/>
          <w:iCs/>
        </w:rPr>
        <w:t xml:space="preserve">Sci Rep</w:t>
      </w:r>
      <w:r>
        <w:t xml:space="preserve"> </w:t>
      </w:r>
      <w:r>
        <w:t xml:space="preserve">2020). I fattori di rischio noti sono età, sovrappeso, fumo, alcol e antinfiammatori.</w:t>
      </w:r>
    </w:p>
    <w:p>
      <w:pPr>
        <w:pStyle w:val="BodyText"/>
      </w:pPr>
      <w:r>
        <w:t xml:space="preserve">Il dato che ti riguarda di più è un altro. Fra chi assume regolarmente un inibitore di pompa il bruciore persiste, e i numeri sono due. Negli studi clinici resta nel</w:t>
      </w:r>
      <w:r>
        <w:t xml:space="preserve"> </w:t>
      </w:r>
      <w:r>
        <w:rPr>
          <w:b/>
          <w:bCs/>
        </w:rPr>
        <w:t xml:space="preserve">17-32%</w:t>
      </w:r>
      <w:r>
        <w:t xml:space="preserve"> </w:t>
      </w:r>
      <w:r>
        <w:t xml:space="preserve">dei pazienti. Negli studi osservazionali di medicina generale resta nel</w:t>
      </w:r>
      <w:r>
        <w:t xml:space="preserve"> </w:t>
      </w:r>
      <w:r>
        <w:rPr>
          <w:b/>
          <w:bCs/>
        </w:rPr>
        <w:t xml:space="preserve">45%</w:t>
      </w:r>
      <w:r>
        <w:t xml:space="preserve"> </w:t>
      </w:r>
      <w:r>
        <w:t xml:space="preserve">(El-Serag,</w:t>
      </w:r>
      <w:r>
        <w:t xml:space="preserve"> </w:t>
      </w:r>
      <w:r>
        <w:rPr>
          <w:i/>
          <w:iCs/>
        </w:rPr>
        <w:t xml:space="preserve">Aliment Pharmacol Ther</w:t>
      </w:r>
      <w:r>
        <w:t xml:space="preserve"> </w:t>
      </w:r>
      <w:r>
        <w:t xml:space="preserve">2010).</w:t>
      </w:r>
    </w:p>
    <w:p>
      <w:pPr>
        <w:pStyle w:val="BlockText"/>
      </w:pPr>
      <w:r>
        <w:rPr>
          <w:b/>
          <w:bCs/>
        </w:rPr>
        <w:t xml:space="preserve">Cosa cambia per te.</w:t>
      </w:r>
      <w:r>
        <w:t xml:space="preserve"> </w:t>
      </w:r>
      <w:r>
        <w:t xml:space="preserve">Il paziente con la pastiglia in tasca e il bruciore ancora addosso non è un caso raro. È una fetta enorme di una popolazione enorme.</w:t>
      </w:r>
    </w:p>
    <w:bookmarkEnd w:id="16"/>
    <w:bookmarkStart w:id="17" w:name="come-evolve-se-non-fai-nulla"/>
    <w:p>
      <w:pPr>
        <w:pStyle w:val="Heading3"/>
      </w:pPr>
      <w:r>
        <w:t xml:space="preserve">Come evolve se non fai nulla</w:t>
      </w:r>
    </w:p>
    <w:p>
      <w:pPr>
        <w:pStyle w:val="FirstParagraph"/>
      </w:pPr>
      <w:r>
        <w:t xml:space="preserve">Il reflusso è cronico e recidivante, ed è il punto che ti protegge dal prenderti meriti che non sono tuoi. Fluttua. Peggiora con stress, aumento di peso, gravidanza e feste comandate. E migliora da solo quando quelle condizioni rientrano.</w:t>
      </w:r>
    </w:p>
    <w:p>
      <w:pPr>
        <w:pStyle w:val="BodyText"/>
      </w:pPr>
      <w:r>
        <w:t xml:space="preserve">Ma fluttuare non è guarire, e c’è il numero. Nella coorte HUNT la perdita spontanea dei sintomi è del</w:t>
      </w:r>
      <w:r>
        <w:t xml:space="preserve"> </w:t>
      </w:r>
      <w:r>
        <w:rPr>
          <w:b/>
          <w:bCs/>
        </w:rPr>
        <w:t xml:space="preserve">2,32% all’anno</w:t>
      </w:r>
      <w:r>
        <w:t xml:space="preserve"> </w:t>
      </w:r>
      <w:r>
        <w:t xml:space="preserve">per i sintomi di qualunque grado, e dell’</w:t>
      </w:r>
      <w:r>
        <w:rPr>
          <w:b/>
          <w:bCs/>
        </w:rPr>
        <w:t xml:space="preserve">1,22%</w:t>
      </w:r>
      <w:r>
        <w:t xml:space="preserve"> </w:t>
      </w:r>
      <w:r>
        <w:t xml:space="preserve">per quelli severi (Ness-Jensen,</w:t>
      </w:r>
      <w:r>
        <w:t xml:space="preserve"> </w:t>
      </w:r>
      <w:r>
        <w:rPr>
          <w:i/>
          <w:iCs/>
        </w:rPr>
        <w:t xml:space="preserve">Gut</w:t>
      </w:r>
      <w:r>
        <w:t xml:space="preserve"> </w:t>
      </w:r>
      <w:r>
        <w:t xml:space="preserve">2012). Oscilla molto, remette poco. Quello che vedi muoversi in tre settimane è quasi sempre oscillazione, non remissione.</w:t>
      </w:r>
    </w:p>
    <w:p>
      <w:pPr>
        <w:pStyle w:val="BodyText"/>
      </w:pPr>
      <w:r>
        <w:t xml:space="preserve">La minoranza con esofagite erosiva può progredire verso restringimenti o esofago di Barrett. È materia del gastroenterologo, e la sorveglia lui.</w:t>
      </w:r>
    </w:p>
    <w:p>
      <w:pPr>
        <w:pStyle w:val="BodyText"/>
      </w:pPr>
      <w:r>
        <w:t xml:space="preserve">C’è un numero da avere in testa prima di intestarsi un miglioramento. Nei trial sul reflusso la</w:t>
      </w:r>
      <w:r>
        <w:t xml:space="preserve"> </w:t>
      </w:r>
      <w:r>
        <w:rPr>
          <w:b/>
          <w:bCs/>
        </w:rPr>
        <w:t xml:space="preserve">risposta al placebo è del 18,85%</w:t>
      </w:r>
      <w:r>
        <w:t xml:space="preserve">, su 24 studi e 9.989 pazienti (Cremonini,</w:t>
      </w:r>
      <w:r>
        <w:t xml:space="preserve"> </w:t>
      </w:r>
      <w:r>
        <w:rPr>
          <w:i/>
          <w:iCs/>
        </w:rPr>
        <w:t xml:space="preserve">Aliment Pharmacol Ther</w:t>
      </w:r>
      <w:r>
        <w:t xml:space="preserve"> </w:t>
      </w:r>
      <w:r>
        <w:t xml:space="preserve">2010). È il metro con cui si legge qualunque miglioramento a sette giorni, compreso il tuo.</w:t>
      </w:r>
    </w:p>
    <w:bookmarkEnd w:id="17"/>
    <w:bookmarkStart w:id="18" w:name="cosa-dicono-le-etichette-che-ti-porta"/>
    <w:p>
      <w:pPr>
        <w:pStyle w:val="Heading3"/>
      </w:pPr>
      <w:r>
        <w:t xml:space="preserve">Cosa dicono le etichette che ti porta</w:t>
      </w:r>
    </w:p>
    <w:p>
      <w:pPr>
        <w:pStyle w:val="FirstParagraph"/>
      </w:pPr>
      <w:r>
        <w:rPr>
          <w:b/>
          <w:bCs/>
        </w:rPr>
        <w:t xml:space="preserve">La diagnosi è atto medico.</w:t>
      </w:r>
      <w:r>
        <w:t xml:space="preserve"> </w:t>
      </w:r>
      <w:r>
        <w:t xml:space="preserve">Qui impari a leggere un referto, non a formularlo.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Esame</w:t>
            </w:r>
          </w:p>
        </w:tc>
        <w:tc>
          <w:tcPr/>
          <w:p>
            <w:pPr>
              <w:pStyle w:val="Compact"/>
            </w:pPr>
            <w:r>
              <w:t xml:space="preserve">Cosa dice</w:t>
            </w:r>
          </w:p>
        </w:tc>
        <w:tc>
          <w:tcPr/>
          <w:p>
            <w:pPr>
              <w:pStyle w:val="Compact"/>
            </w:pPr>
            <w:r>
              <w:t xml:space="preserve">Cosa non dice</w:t>
            </w:r>
          </w:p>
        </w:tc>
      </w:tr>
      <w:tr>
        <w:tc>
          <w:tcPr/>
          <w:p>
            <w:pPr>
              <w:pStyle w:val="Compact"/>
            </w:pPr>
            <w:r>
              <w:t xml:space="preserve">Gastroscopia</w:t>
            </w:r>
          </w:p>
        </w:tc>
        <w:tc>
          <w:tcPr/>
          <w:p>
            <w:pPr>
              <w:pStyle w:val="Compact"/>
            </w:pPr>
            <w:r>
              <w:t xml:space="preserve">Stato della mucosa, ernia, lesioni</w:t>
            </w:r>
          </w:p>
        </w:tc>
        <w:tc>
          <w:tcPr/>
          <w:p>
            <w:pPr>
              <w:pStyle w:val="Compact"/>
            </w:pPr>
            <w:r>
              <w:t xml:space="preserve">Se e quanto refluisci</w:t>
            </w:r>
          </w:p>
        </w:tc>
      </w:tr>
      <w:tr>
        <w:tc>
          <w:tcPr/>
          <w:p>
            <w:pPr>
              <w:pStyle w:val="Compact"/>
            </w:pPr>
            <w:r>
              <w:t xml:space="preserve">pH-impedenzometria 24h</w:t>
            </w:r>
          </w:p>
        </w:tc>
        <w:tc>
          <w:tcPr/>
          <w:p>
            <w:pPr>
              <w:pStyle w:val="Compact"/>
            </w:pPr>
            <w:r>
              <w:t xml:space="preserve">Quanto e quando risale</w:t>
            </w:r>
          </w:p>
        </w:tc>
        <w:tc>
          <w:tcPr/>
          <w:p>
            <w:pPr>
              <w:pStyle w:val="Compact"/>
            </w:pPr>
            <w:r>
              <w:t xml:space="preserve">Perché la barriera cede</w:t>
            </w:r>
          </w:p>
        </w:tc>
      </w:tr>
      <w:tr>
        <w:tc>
          <w:tcPr/>
          <w:p>
            <w:pPr>
              <w:pStyle w:val="Compact"/>
            </w:pPr>
            <w:r>
              <w:t xml:space="preserve">Manometria esofagea</w:t>
            </w:r>
          </w:p>
        </w:tc>
        <w:tc>
          <w:tcPr/>
          <w:p>
            <w:pPr>
              <w:pStyle w:val="Compact"/>
            </w:pPr>
            <w:r>
              <w:t xml:space="preserve">Motilità e tenuta della giunzione</w:t>
            </w:r>
          </w:p>
        </w:tc>
        <w:tc>
          <w:tcPr/>
          <w:p>
            <w:pPr>
              <w:pStyle w:val="Compact"/>
            </w:pPr>
            <w:r>
              <w:t xml:space="preserve">Cosa comprime da fuori</w:t>
            </w:r>
          </w:p>
        </w:tc>
      </w:tr>
    </w:tbl>
    <w:p>
      <w:pPr>
        <w:pStyle w:val="BodyText"/>
      </w:pPr>
      <w:r>
        <w:t xml:space="preserve">Tre numeri rendono leggibile un referto, e li fissa il consenso internazionale di Lione, versione 2.0 (Gyawali,</w:t>
      </w:r>
      <w:r>
        <w:t xml:space="preserve"> </w:t>
      </w:r>
      <w:r>
        <w:rPr>
          <w:i/>
          <w:iCs/>
        </w:rPr>
        <w:t xml:space="preserve">Gut</w:t>
      </w:r>
      <w:r>
        <w:t xml:space="preserve"> </w:t>
      </w:r>
      <w:r>
        <w:t xml:space="preserve">2024). Riguardano il</w:t>
      </w:r>
      <w:r>
        <w:t xml:space="preserve"> </w:t>
      </w:r>
      <w:r>
        <w:rPr>
          <w:b/>
          <w:bCs/>
        </w:rPr>
        <w:t xml:space="preserve">tempo di esposizione acida</w:t>
      </w:r>
      <w:r>
        <w:t xml:space="preserve">, cioè la quota delle 24 ore che l’esofago passa sotto pH 4.</w:t>
      </w:r>
    </w:p>
    <w:p>
      <w:pPr>
        <w:pStyle w:val="Compact"/>
        <w:numPr>
          <w:ilvl w:val="0"/>
          <w:numId w:val="1004"/>
        </w:numPr>
      </w:pPr>
      <w:r>
        <w:t xml:space="preserve">Sopra il</w:t>
      </w:r>
      <w:r>
        <w:t xml:space="preserve"> </w:t>
      </w:r>
      <w:r>
        <w:rPr>
          <w:b/>
          <w:bCs/>
        </w:rPr>
        <w:t xml:space="preserve">6%</w:t>
      </w:r>
      <w:r>
        <w:t xml:space="preserve">, il reflusso è provato.</w:t>
      </w:r>
    </w:p>
    <w:p>
      <w:pPr>
        <w:pStyle w:val="Compact"/>
        <w:numPr>
          <w:ilvl w:val="0"/>
          <w:numId w:val="1004"/>
        </w:numPr>
      </w:pPr>
      <w:r>
        <w:t xml:space="preserve">Sotto il</w:t>
      </w:r>
      <w:r>
        <w:t xml:space="preserve"> </w:t>
      </w:r>
      <w:r>
        <w:rPr>
          <w:b/>
          <w:bCs/>
        </w:rPr>
        <w:t xml:space="preserve">4%</w:t>
      </w:r>
      <w:r>
        <w:t xml:space="preserve">, il reflusso è escluso.</w:t>
      </w:r>
    </w:p>
    <w:p>
      <w:pPr>
        <w:pStyle w:val="Compact"/>
        <w:numPr>
          <w:ilvl w:val="0"/>
          <w:numId w:val="1004"/>
        </w:numPr>
      </w:pPr>
      <w:r>
        <w:t xml:space="preserve">In mezzo, il referto è inconcludente.</w:t>
      </w:r>
    </w:p>
    <w:p>
      <w:pPr>
        <w:pStyle w:val="FirstParagraph"/>
      </w:pPr>
      <w:r>
        <w:t xml:space="preserve">C’è anche un criterio endoscopico. Un’esofagite di grado B nella classificazione di Los Angeles basta oggi per la diagnosi: sono lesioni più lunghe di cinque millimetri.</w:t>
      </w:r>
    </w:p>
    <w:p>
      <w:pPr>
        <w:pStyle w:val="BodyText"/>
      </w:pPr>
      <w:r>
        <w:t xml:space="preserve">Una gastroscopia normale</w:t>
      </w:r>
      <w:r>
        <w:t xml:space="preserve"> </w:t>
      </w:r>
      <w:r>
        <w:rPr>
          <w:b/>
          <w:bCs/>
        </w:rPr>
        <w:t xml:space="preserve">non esclude il reflusso</w:t>
      </w:r>
      <w:r>
        <w:t xml:space="preserve">. La maggior parte dei pazienti sintomatici ha mucosa integra, ed è la forma non erosiva, la più frequente. E una gastroscopia</w:t>
      </w:r>
      <w:r>
        <w:t xml:space="preserve"> </w:t>
      </w:r>
      <w:r>
        <w:t xml:space="preserve">“pulita”</w:t>
      </w:r>
      <w:r>
        <w:t xml:space="preserve"> </w:t>
      </w:r>
      <w:r>
        <w:t xml:space="preserve">esclude l’esofagite eosinofila</w:t>
      </w:r>
      <w:r>
        <w:t xml:space="preserve"> </w:t>
      </w:r>
      <w:r>
        <w:rPr>
          <w:b/>
          <w:bCs/>
        </w:rPr>
        <w:t xml:space="preserve">solo se sono state fatte le biopsie</w:t>
      </w:r>
      <w:r>
        <w:t xml:space="preserve">.</w:t>
      </w:r>
    </w:p>
    <w:p>
      <w:pPr>
        <w:pStyle w:val="BodyText"/>
      </w:pPr>
      <w:r>
        <w:t xml:space="preserve">Un referto che dice</w:t>
      </w:r>
      <w:r>
        <w:t xml:space="preserve"> </w:t>
      </w:r>
      <w:r>
        <w:t xml:space="preserve">“ernia iatale da scivolamento”</w:t>
      </w:r>
      <w:r>
        <w:t xml:space="preserve"> </w:t>
      </w:r>
      <w:r>
        <w:t xml:space="preserve">descrive una posizione anatomica. Non dice quanto quell’ernia stia producendo sintomi in quel paziente.</w:t>
      </w:r>
    </w:p>
    <w:bookmarkEnd w:id="18"/>
    <w:bookmarkStart w:id="20" w:name="cosa-non-è"/>
    <w:p>
      <w:pPr>
        <w:pStyle w:val="Heading3"/>
      </w:pPr>
      <w:r>
        <w:t xml:space="preserve">Cosa non è</w:t>
      </w:r>
    </w:p>
    <w:p>
      <w:pPr>
        <w:pStyle w:val="FirstParagraph"/>
      </w:pPr>
      <w:r>
        <w:t xml:space="preserve">Somigliano al reflusso tre famiglie di quadri: gli esofagei, gli addominali alti, e quelli che nascono nella parete. I primi arrivano da te etichettati come</w:t>
      </w:r>
      <w:r>
        <w:t xml:space="preserve"> </w:t>
      </w:r>
      <w:r>
        <w:t xml:space="preserve">“reflusso che non risponde al farmaco”</w:t>
      </w:r>
      <w:r>
        <w:t xml:space="preserve">. Gli ultimi due sono quelli che nessuno ha nominato.</w:t>
      </w:r>
    </w:p>
    <w:p>
      <w:pPr>
        <w:pStyle w:val="BodyText"/>
      </w:pPr>
      <w:r>
        <w:t xml:space="preserve">L’</w:t>
      </w:r>
      <w:r>
        <w:rPr>
          <w:b/>
          <w:bCs/>
        </w:rPr>
        <w:t xml:space="preserve">acalasia</w:t>
      </w:r>
      <w:r>
        <w:t xml:space="preserve"> </w:t>
      </w:r>
      <w:r>
        <w:t xml:space="preserve">e i disturbi motori dell’esofago danno rigurgito e senso di blocco, ma con meccanismo opposto: la valvola non si apre, invece di non chiudersi.</w:t>
      </w:r>
    </w:p>
    <w:p>
      <w:pPr>
        <w:pStyle w:val="BodyText"/>
      </w:pPr>
      <w:r>
        <w:t xml:space="preserve">L’</w:t>
      </w:r>
      <w:r>
        <w:rPr>
          <w:b/>
          <w:bCs/>
        </w:rPr>
        <w:t xml:space="preserve">esofagite eosinofila</w:t>
      </w:r>
      <w:r>
        <w:t xml:space="preserve"> </w:t>
      </w:r>
      <w:r>
        <w:t xml:space="preserve">dà pirosi o difficoltà a deglutire.</w:t>
      </w:r>
      <w:r>
        <w:t xml:space="preserve"> </w:t>
      </w:r>
      <w:r>
        <w:rPr>
          <w:b/>
          <w:bCs/>
        </w:rPr>
        <w:t xml:space="preserve">La risposta agli inibitori di pompa non la esclude.</w:t>
      </w:r>
      <w:r>
        <w:t xml:space="preserve"> </w:t>
      </w:r>
      <w:r>
        <w:t xml:space="preserve">Dal 2018 il trial con il farmaco non è più un criterio diagnostico, e quei farmaci sono uno dei suoi trattamenti (conferenza AGREE, Dellon,</w:t>
      </w:r>
      <w:r>
        <w:t xml:space="preserve"> </w:t>
      </w:r>
      <w:r>
        <w:rPr>
          <w:i/>
          <w:iCs/>
        </w:rPr>
        <w:t xml:space="preserve">Gastroenterology</w:t>
      </w:r>
      <w:r>
        <w:t xml:space="preserve"> </w:t>
      </w:r>
      <w:r>
        <w:t xml:space="preserve">2018). Si diagnostica solo con le biopsie esofagee. Le biopsie vanno fatte in ogni paziente refrattario, perché questa malattia progredisce.</w:t>
      </w:r>
    </w:p>
    <w:p>
      <w:pPr>
        <w:pStyle w:val="BodyText"/>
      </w:pPr>
      <w:r>
        <w:t xml:space="preserve">Il</w:t>
      </w:r>
      <w:r>
        <w:t xml:space="preserve"> </w:t>
      </w:r>
      <w:r>
        <w:rPr>
          <w:b/>
          <w:bCs/>
        </w:rPr>
        <w:t xml:space="preserve">dolore toracico di origine cardiaca</w:t>
      </w:r>
      <w:r>
        <w:t xml:space="preserve"> </w:t>
      </w:r>
      <w:r>
        <w:t xml:space="preserve">può somigliare a un bruciore dietro lo sterno. Torna in «Dove finisce il nostro campo», e non lo assorbi mai in silenzio.</w:t>
      </w:r>
    </w:p>
    <w:p>
      <w:pPr>
        <w:pStyle w:val="BodyText"/>
      </w:pPr>
      <w:r>
        <w:t xml:space="preserve">La</w:t>
      </w:r>
      <w:r>
        <w:t xml:space="preserve"> </w:t>
      </w:r>
      <w:r>
        <w:rPr>
          <w:b/>
          <w:bCs/>
        </w:rPr>
        <w:t xml:space="preserve">pirosi funzionale</w:t>
      </w:r>
      <w:r>
        <w:t xml:space="preserve"> </w:t>
      </w:r>
      <w:r>
        <w:t xml:space="preserve">è bruciore senza reflusso patologico e senza correlazione fra episodi e sintomo: qui l’acido non è il bersaglio giusto. Il</w:t>
      </w:r>
      <w:r>
        <w:t xml:space="preserve"> </w:t>
      </w:r>
      <w:r>
        <w:rPr>
          <w:b/>
          <w:bCs/>
        </w:rPr>
        <w:t xml:space="preserve">reflusso ipersensibile</w:t>
      </w:r>
      <w:r>
        <w:t xml:space="preserve"> </w:t>
      </w:r>
      <w:r>
        <w:t xml:space="preserve">ha esposizione acida normale, ma ogni episodio viene percepito.</w:t>
      </w:r>
    </w:p>
    <w:p>
      <w:pPr>
        <w:pStyle w:val="BodyText"/>
      </w:pPr>
      <w:r>
        <w:t xml:space="preserve">L’</w:t>
      </w:r>
      <w:r>
        <w:rPr>
          <w:b/>
          <w:bCs/>
        </w:rPr>
        <w:t xml:space="preserve">eruttazione sopragastrica</w:t>
      </w:r>
      <w:r>
        <w:t xml:space="preserve"> </w:t>
      </w:r>
      <w:r>
        <w:t xml:space="preserve">e la</w:t>
      </w:r>
      <w:r>
        <w:t xml:space="preserve"> </w:t>
      </w:r>
      <w:r>
        <w:rPr>
          <w:b/>
          <w:bCs/>
        </w:rPr>
        <w:t xml:space="preserve">sindrome da ruminazione</w:t>
      </w:r>
      <w:r>
        <w:t xml:space="preserve"> </w:t>
      </w:r>
      <w:r>
        <w:t xml:space="preserve">sono disturbi del comportamento, non della barriera. Un segno smaschera la ruminazione: rigurgito non acido che</w:t>
      </w:r>
      <w:r>
        <w:t xml:space="preserve"> </w:t>
      </w:r>
      <w:r>
        <w:rPr>
          <w:b/>
          <w:bCs/>
        </w:rPr>
        <w:t xml:space="preserve">ricompare pochi minuti dopo il pasto, senza nausea</w:t>
      </w:r>
      <w:r>
        <w:t xml:space="preserve">. L’eruttazione sopragastrica ha il suo discriminatore in «Cosa si rompe».</w:t>
      </w:r>
    </w:p>
    <w:p>
      <w:pPr>
        <w:pStyle w:val="BodyText"/>
      </w:pPr>
      <w:r>
        <w:t xml:space="preserve">Lo</w:t>
      </w:r>
      <w:r>
        <w:t xml:space="preserve"> </w:t>
      </w:r>
      <w:r>
        <w:rPr>
          <w:b/>
          <w:bCs/>
        </w:rPr>
        <w:t xml:space="preserve">svuotamento gastrico rallentato</w:t>
      </w:r>
      <w:r>
        <w:t xml:space="preserve"> </w:t>
      </w:r>
      <w:r>
        <w:t xml:space="preserve">non è un quadro a parte. È la variante lenta del primo meccanismo di «Cosa si rompe» — la porta che si apre da sola — e si riconosce dalla sazietà precoce.</w:t>
      </w:r>
    </w:p>
    <w:bookmarkStart w:id="19" w:name="i-quadri-che-non-sono-nellesofago"/>
    <w:p>
      <w:pPr>
        <w:pStyle w:val="Heading4"/>
      </w:pPr>
      <w:r>
        <w:t xml:space="preserve">I quadri che non sono nell’esofago</w:t>
      </w:r>
    </w:p>
    <w:p>
      <w:pPr>
        <w:pStyle w:val="FirstParagraph"/>
      </w:pPr>
      <w:r>
        <w:t xml:space="preserve">Nessuno si diagnostica: si riconosce e si rimanda.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Quadro</w:t>
            </w:r>
          </w:p>
        </w:tc>
        <w:tc>
          <w:tcPr/>
          <w:p>
            <w:pPr>
              <w:pStyle w:val="Compact"/>
            </w:pPr>
            <w:r>
              <w:t xml:space="preserve">Il segnale che lo separa dalla pirosi</w:t>
            </w:r>
          </w:p>
        </w:tc>
      </w:tr>
      <w:tr>
        <w:tc>
          <w:tcPr/>
          <w:p>
            <w:pPr>
              <w:pStyle w:val="Compact"/>
            </w:pPr>
            <w:r>
              <w:t xml:space="preserve">Malattia peptica</w:t>
            </w:r>
          </w:p>
        </w:tc>
        <w:tc>
          <w:tcPr/>
          <w:p>
            <w:pPr>
              <w:pStyle w:val="Compact"/>
            </w:pPr>
            <w:r>
              <w:t xml:space="preserve">Dolore che il cibo modifica, sveglia di notte</w:t>
            </w:r>
          </w:p>
        </w:tc>
      </w:tr>
      <w:tr>
        <w:tc>
          <w:tcPr/>
          <w:p>
            <w:pPr>
              <w:pStyle w:val="Compact"/>
            </w:pPr>
            <w:r>
              <w:t xml:space="preserve">Patologia biliare</w:t>
            </w:r>
          </w:p>
        </w:tc>
        <w:tc>
          <w:tcPr/>
          <w:p>
            <w:pPr>
              <w:pStyle w:val="Compact"/>
            </w:pPr>
            <w:r>
              <w:t xml:space="preserve">Crisi sotto le coste destre dopo i grassi</w:t>
            </w:r>
          </w:p>
        </w:tc>
      </w:tr>
      <w:tr>
        <w:tc>
          <w:tcPr/>
          <w:p>
            <w:pPr>
              <w:pStyle w:val="Compact"/>
            </w:pPr>
            <w:r>
              <w:t xml:space="preserve">Pancreatite</w:t>
            </w:r>
          </w:p>
        </w:tc>
        <w:tc>
          <w:tcPr/>
          <w:p>
            <w:pPr>
              <w:pStyle w:val="Compact"/>
            </w:pPr>
            <w:r>
              <w:t xml:space="preserve">Dolore penetrante verso il dorso, nessuna posizione allevia</w:t>
            </w:r>
          </w:p>
        </w:tc>
      </w:tr>
      <w:tr>
        <w:tc>
          <w:tcPr/>
          <w:p>
            <w:pPr>
              <w:pStyle w:val="Compact"/>
            </w:pPr>
            <w:r>
              <w:t xml:space="preserve">Neoplasia esofago-gastrica</w:t>
            </w:r>
          </w:p>
        </w:tc>
        <w:tc>
          <w:tcPr/>
          <w:p>
            <w:pPr>
              <w:pStyle w:val="Compact"/>
            </w:pPr>
            <w:r>
              <w:t xml:space="preserve">Non dal sintomo: dalle bandiere rosse</w:t>
            </w:r>
          </w:p>
        </w:tc>
      </w:tr>
      <w:tr>
        <w:tc>
          <w:tcPr/>
          <w:p>
            <w:pPr>
              <w:pStyle w:val="Compact"/>
            </w:pPr>
            <w:r>
              <w:rPr>
                <w:b/>
                <w:bCs/>
              </w:rPr>
              <w:t xml:space="preserve">Dolore di parete toracica</w:t>
            </w:r>
          </w:p>
        </w:tc>
        <w:tc>
          <w:tcPr/>
          <w:p>
            <w:pPr>
              <w:pStyle w:val="Compact"/>
            </w:pPr>
            <w:r>
              <w:rPr>
                <w:b/>
                <w:bCs/>
              </w:rPr>
              <w:t xml:space="preserve">Si riproduce alla palpazione o mobilizzando la costa</w:t>
            </w:r>
          </w:p>
        </w:tc>
      </w:tr>
    </w:tbl>
    <w:p>
      <w:pPr>
        <w:pStyle w:val="BodyText"/>
      </w:pPr>
      <w:r>
        <w:t xml:space="preserve">L’ultima riga è l’unica di competenza nostra, ed è quella che rischi di trattare come reflusso. Parliamo di costa scivolante, dolore costo-condrale, disfunzione costovertebrale bassa. Sono quadri che sfuggono per mancato riconoscimento più che per rarità (Spence e Rosato,</w:t>
      </w:r>
      <w:r>
        <w:t xml:space="preserve"> </w:t>
      </w:r>
      <w:r>
        <w:rPr>
          <w:i/>
          <w:iCs/>
        </w:rPr>
        <w:t xml:space="preserve">Arch Surg</w:t>
      </w:r>
      <w:r>
        <w:t xml:space="preserve"> </w:t>
      </w:r>
      <w:r>
        <w:t xml:space="preserve">1983; Fares,</w:t>
      </w:r>
      <w:r>
        <w:t xml:space="preserve"> </w:t>
      </w:r>
      <w:r>
        <w:rPr>
          <w:i/>
          <w:iCs/>
        </w:rPr>
        <w:t xml:space="preserve">Am J Med Sci</w:t>
      </w:r>
      <w:r>
        <w:t xml:space="preserve"> </w:t>
      </w:r>
      <w:r>
        <w:t xml:space="preserve">2019).</w:t>
      </w:r>
    </w:p>
    <w:p>
      <w:pPr>
        <w:pStyle w:val="BlockText"/>
      </w:pPr>
      <w:r>
        <w:rPr>
          <w:b/>
          <w:bCs/>
        </w:rPr>
        <w:t xml:space="preserve">Quanto è solido:</w:t>
      </w:r>
      <w:r>
        <w:t xml:space="preserve"> </w:t>
      </w:r>
      <w:r>
        <w:t xml:space="preserve">PROBABILE per l’entità e per la riproducibilità alla manovra. IPOTESI per la quota di</w:t>
      </w:r>
      <w:r>
        <w:t xml:space="preserve"> </w:t>
      </w:r>
      <w:r>
        <w:t xml:space="preserve">“reflusso refrattario”</w:t>
      </w:r>
      <w:r>
        <w:t xml:space="preserve"> </w:t>
      </w:r>
      <w:r>
        <w:t xml:space="preserve">che in realtà è questo. Altrove questa Bibbia legge la parete anteriore come</w:t>
      </w:r>
      <w:r>
        <w:t xml:space="preserve"> </w:t>
      </w:r>
      <w:r>
        <w:rPr>
          <w:b/>
          <w:bCs/>
        </w:rPr>
        <w:t xml:space="preserve">conseguenza</w:t>
      </w:r>
      <w:r>
        <w:t xml:space="preserve"> </w:t>
      </w:r>
      <w:r>
        <w:t xml:space="preserve">dell’organo; qui può esserne la</w:t>
      </w:r>
      <w:r>
        <w:t xml:space="preserve"> </w:t>
      </w:r>
      <w:r>
        <w:rPr>
          <w:b/>
          <w:bCs/>
        </w:rPr>
        <w:t xml:space="preserve">causa</w:t>
      </w:r>
      <w:r>
        <w:t xml:space="preserve">. Chi non conosce la distinzione tratta un diaframma a un paziente che aveva una costa.</w:t>
      </w:r>
    </w:p>
    <w:p>
      <w:pPr>
        <w:pStyle w:val="FirstParagraph"/>
      </w:pPr>
      <w:r>
        <w:rPr>
          <w:b/>
          <w:bCs/>
        </w:rPr>
        <w:t xml:space="preserve">Le tre cose da ricordare</w:t>
      </w:r>
    </w:p>
    <w:p>
      <w:pPr>
        <w:pStyle w:val="Compact"/>
        <w:numPr>
          <w:ilvl w:val="0"/>
          <w:numId w:val="1005"/>
        </w:numPr>
      </w:pPr>
      <w:r>
        <w:t xml:space="preserve">Il reflusso è un problema di barriera e di movimento, non di quantità di acido.</w:t>
      </w:r>
    </w:p>
    <w:p>
      <w:pPr>
        <w:pStyle w:val="Compact"/>
        <w:numPr>
          <w:ilvl w:val="0"/>
          <w:numId w:val="1005"/>
        </w:numPr>
      </w:pPr>
      <w:r>
        <w:t xml:space="preserve">Una gastroscopia normale non esclude il reflusso: la forma non erosiva è la più comune.</w:t>
      </w:r>
    </w:p>
    <w:p>
      <w:pPr>
        <w:pStyle w:val="Compact"/>
        <w:numPr>
          <w:ilvl w:val="0"/>
          <w:numId w:val="1005"/>
        </w:numPr>
      </w:pPr>
      <w:r>
        <w:t xml:space="preserve">Fluttua da solo, e il placebo vale il 18,85%. Ogni miglioramento va letto con questa premessa.</w:t>
      </w:r>
    </w:p>
    <w:p>
      <w:r>
        <w:pict>
          <v:rect style="width:0;height:1.5pt" o:hralign="center" o:hrstd="t" o:hr="t"/>
        </w:pict>
      </w:r>
    </w:p>
    <w:bookmarkEnd w:id="19"/>
    <w:bookmarkEnd w:id="20"/>
    <w:bookmarkEnd w:id="21"/>
    <w:bookmarkStart w:id="30" w:name="capitolo-3-le-strutture-in-gioco"/>
    <w:p>
      <w:pPr>
        <w:pStyle w:val="Heading2"/>
      </w:pPr>
      <w:r>
        <w:t xml:space="preserve">Capitolo 3 — Le strutture in gioco</w:t>
      </w:r>
    </w:p>
    <w:p>
      <w:pPr>
        <w:pStyle w:val="BlockText"/>
      </w:pPr>
      <w:r>
        <w:rPr>
          <w:b/>
          <w:bCs/>
        </w:rPr>
        <w:t xml:space="preserve">In una riga:</w:t>
      </w:r>
      <w:r>
        <w:t xml:space="preserve"> </w:t>
      </w:r>
      <w:r>
        <w:t xml:space="preserve">la valvola che deve tenere non è una valvola, sono due muscoli sovrapposti che lavorano insieme.</w:t>
      </w:r>
    </w:p>
    <w:p>
      <w:pPr>
        <w:pStyle w:val="FirstParagraph"/>
      </w:pPr>
      <w:r>
        <w:t xml:space="preserve">Qui trovi solo le strutture che compaiono in almeno un meccanismo di «Cosa si rompe». Per ciascuna: cos’è, cosa fa, perché conta.</w:t>
      </w:r>
    </w:p>
    <w:bookmarkStart w:id="22" w:name="la-giunzione-esofago-gastrica"/>
    <w:p>
      <w:pPr>
        <w:pStyle w:val="Heading3"/>
      </w:pPr>
      <w:r>
        <w:t xml:space="preserve">La giunzione esofago-gastrica</w:t>
      </w:r>
    </w:p>
    <w:p>
      <w:pPr>
        <w:pStyle w:val="FirstParagraph"/>
      </w:pPr>
      <w:r>
        <w:rPr>
          <w:b/>
          <w:bCs/>
        </w:rPr>
        <w:t xml:space="preserve">Cos’è.</w:t>
      </w:r>
      <w:r>
        <w:t xml:space="preserve"> </w:t>
      </w:r>
      <w:r>
        <w:t xml:space="preserve">Il punto in cui l’esofago attraversa il diaframma e si apre nello stomaco.</w:t>
      </w:r>
    </w:p>
    <w:p>
      <w:pPr>
        <w:pStyle w:val="BodyText"/>
      </w:pPr>
      <w:r>
        <w:rPr>
          <w:b/>
          <w:bCs/>
        </w:rPr>
        <w:t xml:space="preserve">Cosa fa.</w:t>
      </w:r>
      <w:r>
        <w:t xml:space="preserve"> </w:t>
      </w:r>
      <w:r>
        <w:t xml:space="preserve">È la barriera antireflusso, e non è un anello unico. È un sistema a</w:t>
      </w:r>
      <w:r>
        <w:t xml:space="preserve"> </w:t>
      </w:r>
      <w:r>
        <w:rPr>
          <w:b/>
          <w:bCs/>
        </w:rPr>
        <w:t xml:space="preserve">due sfinteri sovrapposti</w:t>
      </w:r>
      <w:r>
        <w:t xml:space="preserve">, uno liscio e uno striato.</w:t>
      </w:r>
    </w:p>
    <w:p>
      <w:pPr>
        <w:pStyle w:val="BodyText"/>
      </w:pPr>
      <w:r>
        <w:rPr>
          <w:b/>
          <w:bCs/>
        </w:rPr>
        <w:t xml:space="preserve">Perché conta.</w:t>
      </w:r>
      <w:r>
        <w:t xml:space="preserve"> </w:t>
      </w:r>
      <w:r>
        <w:t xml:space="preserve">Tutta la fisiopatologia del reflusso è la storia di questi due che smettono di lavorare insieme. Uno è muscolo scheletrico: è la ragione per cui una mano ha qualcosa da dire su un organo interno.</w:t>
      </w:r>
    </w:p>
    <w:bookmarkEnd w:id="22"/>
    <w:bookmarkStart w:id="23" w:name="lo-sfintere-esofageo-inferiore"/>
    <w:p>
      <w:pPr>
        <w:pStyle w:val="Heading3"/>
      </w:pPr>
      <w:r>
        <w:t xml:space="preserve">Lo sfintere esofageo inferiore</w:t>
      </w:r>
    </w:p>
    <w:p>
      <w:pPr>
        <w:pStyle w:val="FirstParagraph"/>
      </w:pPr>
      <w:r>
        <w:rPr>
          <w:b/>
          <w:bCs/>
        </w:rPr>
        <w:t xml:space="preserve">Cos’è.</w:t>
      </w:r>
      <w:r>
        <w:t xml:space="preserve"> </w:t>
      </w:r>
      <w:r>
        <w:t xml:space="preserve">Un ispessimento di muscolatura liscia negli ultimi tre o quattro centimetri di esofago. In sigla, LES.</w:t>
      </w:r>
    </w:p>
    <w:p>
      <w:pPr>
        <w:pStyle w:val="BodyText"/>
      </w:pPr>
      <w:r>
        <w:rPr>
          <w:b/>
          <w:bCs/>
        </w:rPr>
        <w:t xml:space="preserve">Cosa fa.</w:t>
      </w:r>
      <w:r>
        <w:t xml:space="preserve"> </w:t>
      </w:r>
      <w:r>
        <w:t xml:space="preserve">Mantiene un tono di riposo fra 10 e 30 mmHg. Si rilascia quando deglutisci e si richiude dopo il passaggio del bolo.</w:t>
      </w:r>
    </w:p>
    <w:p>
      <w:pPr>
        <w:pStyle w:val="BodyText"/>
      </w:pPr>
      <w:r>
        <w:rPr>
          <w:b/>
          <w:bCs/>
        </w:rPr>
        <w:t xml:space="preserve">Perché conta.</w:t>
      </w:r>
      <w:r>
        <w:t xml:space="preserve"> </w:t>
      </w:r>
      <w:r>
        <w:t xml:space="preserve">È lo sfintere</w:t>
      </w:r>
      <w:r>
        <w:t xml:space="preserve"> </w:t>
      </w:r>
      <w:r>
        <w:rPr>
          <w:b/>
          <w:bCs/>
        </w:rPr>
        <w:t xml:space="preserve">interno</w:t>
      </w:r>
      <w:r>
        <w:t xml:space="preserve">, quello su cui agiscono i farmaci. Le tue mani non lo raggiungono, ed è onesto dirlo subito.</w:t>
      </w:r>
    </w:p>
    <w:bookmarkEnd w:id="23"/>
    <w:bookmarkStart w:id="24" w:name="il-diaframma-crurale"/>
    <w:p>
      <w:pPr>
        <w:pStyle w:val="Heading3"/>
      </w:pPr>
      <w:r>
        <w:t xml:space="preserve">Il diaframma crurale</w:t>
      </w:r>
    </w:p>
    <w:p>
      <w:pPr>
        <w:pStyle w:val="FirstParagraph"/>
      </w:pPr>
      <w:r>
        <w:rPr>
          <w:b/>
          <w:bCs/>
        </w:rPr>
        <w:t xml:space="preserve">Cos’è.</w:t>
      </w:r>
      <w:r>
        <w:t xml:space="preserve"> </w:t>
      </w:r>
      <w:r>
        <w:t xml:space="preserve">I pilastri del diaframma, e in particolare il</w:t>
      </w:r>
      <w:r>
        <w:t xml:space="preserve"> </w:t>
      </w:r>
      <w:r>
        <w:rPr>
          <w:b/>
          <w:bCs/>
        </w:rPr>
        <w:t xml:space="preserve">crus destro</w:t>
      </w:r>
      <w:r>
        <w:t xml:space="preserve">, che si sdoppia e forma l’anello dello iato.</w:t>
      </w:r>
    </w:p>
    <w:p>
      <w:pPr>
        <w:pStyle w:val="BodyText"/>
      </w:pPr>
      <w:r>
        <w:rPr>
          <w:b/>
          <w:bCs/>
        </w:rPr>
        <w:t xml:space="preserve">Cosa fa.</w:t>
      </w:r>
      <w:r>
        <w:t xml:space="preserve"> </w:t>
      </w:r>
      <w:r>
        <w:t xml:space="preserve">Avvolge il LES dall’esterno. Si contrae a ogni inspirazione e aggiunge il suo picco a quello del LES.</w:t>
      </w:r>
    </w:p>
    <w:p>
      <w:pPr>
        <w:pStyle w:val="BodyText"/>
      </w:pPr>
      <w:r>
        <w:rPr>
          <w:b/>
          <w:bCs/>
        </w:rPr>
        <w:t xml:space="preserve">Perché conta.</w:t>
      </w:r>
      <w:r>
        <w:t xml:space="preserve"> </w:t>
      </w:r>
      <w:r>
        <w:t xml:space="preserve">È lo</w:t>
      </w:r>
      <w:r>
        <w:t xml:space="preserve"> </w:t>
      </w:r>
      <w:r>
        <w:rPr>
          <w:b/>
          <w:bCs/>
        </w:rPr>
        <w:t xml:space="preserve">sfintere esterno</w:t>
      </w:r>
      <w:r>
        <w:t xml:space="preserve"> </w:t>
      </w:r>
      <w:r>
        <w:t xml:space="preserve">della giunzione. È muscolo scheletrico, e si contrae in anticipo quando la pressione dentro l’addome sta per salire. È la struttura chiave di questa Bibbia (Mittal e Balaban,</w:t>
      </w:r>
      <w:r>
        <w:t xml:space="preserve"> </w:t>
      </w:r>
      <w:r>
        <w:rPr>
          <w:i/>
          <w:iCs/>
        </w:rPr>
        <w:t xml:space="preserve">N Engl J Med</w:t>
      </w:r>
      <w:r>
        <w:t xml:space="preserve"> </w:t>
      </w:r>
      <w:r>
        <w:t xml:space="preserve">1997).</w:t>
      </w:r>
    </w:p>
    <w:p>
      <w:pPr>
        <w:pStyle w:val="BlockText"/>
      </w:pPr>
      <w:r>
        <w:rPr>
          <w:b/>
          <w:bCs/>
        </w:rPr>
        <w:t xml:space="preserve">Definizione.</w:t>
      </w:r>
      <w:r>
        <w:t xml:space="preserve"> </w:t>
      </w:r>
      <w:r>
        <w:rPr>
          <w:i/>
          <w:iCs/>
        </w:rPr>
        <w:t xml:space="preserve">Crus</w:t>
      </w:r>
      <w:r>
        <w:t xml:space="preserve">: pilastro. Sono i fasci muscolari che scendono dal diaframma alle prime vertebre lombari.</w:t>
      </w:r>
    </w:p>
    <w:bookmarkEnd w:id="24"/>
    <w:bookmarkStart w:id="25" w:name="la-membrana-freno-esofagea"/>
    <w:p>
      <w:pPr>
        <w:pStyle w:val="Heading3"/>
      </w:pPr>
      <w:r>
        <w:t xml:space="preserve">La membrana freno-esofagea</w:t>
      </w:r>
    </w:p>
    <w:p>
      <w:pPr>
        <w:pStyle w:val="FirstParagraph"/>
      </w:pPr>
      <w:r>
        <w:rPr>
          <w:b/>
          <w:bCs/>
        </w:rPr>
        <w:t xml:space="preserve">Cos’è.</w:t>
      </w:r>
      <w:r>
        <w:t xml:space="preserve"> </w:t>
      </w:r>
      <w:r>
        <w:t xml:space="preserve">Una lamina elastica fra la fascia sotto il diaframma e l’esofago, sopra e sotto lo iato. È la prima chicca del capitolo.</w:t>
      </w:r>
    </w:p>
    <w:p>
      <w:pPr>
        <w:pStyle w:val="BodyText"/>
      </w:pPr>
      <w:r>
        <w:rPr>
          <w:b/>
          <w:bCs/>
        </w:rPr>
        <w:t xml:space="preserve">Cosa fa.</w:t>
      </w:r>
      <w:r>
        <w:t xml:space="preserve"> </w:t>
      </w:r>
      <w:r>
        <w:t xml:space="preserve">Due lavori insieme: ancora l’esofago allo iato e gli permette di scorrere. A ogni deglutizione l’esofago risale di qualche millimetro, e la membrana lo riporta giù.</w:t>
      </w:r>
    </w:p>
    <w:p>
      <w:pPr>
        <w:pStyle w:val="BodyText"/>
      </w:pPr>
      <w:r>
        <w:rPr>
          <w:b/>
          <w:bCs/>
        </w:rPr>
        <w:t xml:space="preserve">Perché conta.</w:t>
      </w:r>
      <w:r>
        <w:t xml:space="preserve"> </w:t>
      </w:r>
      <w:r>
        <w:t xml:space="preserve">Quando perde elasticità, il cardias non torna più al suo posto. È il primo anello della catena che porta all’ernia iatale, ed è il motivo per cui l’ernia è un problema</w:t>
      </w:r>
      <w:r>
        <w:t xml:space="preserve"> </w:t>
      </w:r>
      <w:r>
        <w:rPr>
          <w:b/>
          <w:bCs/>
        </w:rPr>
        <w:t xml:space="preserve">progressivo</w:t>
      </w:r>
      <w:r>
        <w:t xml:space="preserve">, non un evento: è l’elastico di una maglietta portata per anni, che non si strappa in un giorno.</w:t>
      </w:r>
    </w:p>
    <w:bookmarkEnd w:id="25"/>
    <w:bookmarkStart w:id="26" w:name="langolo-di-his-e-la-valvola-di-gubaroff"/>
    <w:p>
      <w:pPr>
        <w:pStyle w:val="Heading3"/>
      </w:pPr>
      <w:r>
        <w:t xml:space="preserve">L’angolo di His e la valvola di Gubaroff</w:t>
      </w:r>
    </w:p>
    <w:p>
      <w:pPr>
        <w:pStyle w:val="FirstParagraph"/>
      </w:pPr>
      <w:r>
        <w:rPr>
          <w:b/>
          <w:bCs/>
        </w:rPr>
        <w:t xml:space="preserve">Cos’è.</w:t>
      </w:r>
      <w:r>
        <w:t xml:space="preserve"> </w:t>
      </w:r>
      <w:r>
        <w:t xml:space="preserve">L’angolo acuto fra il margine sinistro dell’esofago e il fondo dello stomaco, con la piega di mucosa che genera dentro. È la seconda chicca.</w:t>
      </w:r>
    </w:p>
    <w:p>
      <w:pPr>
        <w:pStyle w:val="BodyText"/>
      </w:pPr>
      <w:r>
        <w:rPr>
          <w:b/>
          <w:bCs/>
        </w:rPr>
        <w:t xml:space="preserve">Cosa fa.</w:t>
      </w:r>
      <w:r>
        <w:t xml:space="preserve"> </w:t>
      </w:r>
      <w:r>
        <w:t xml:space="preserve">Funziona da lembo. Quando il fondo gastrico si distende, la piega viene spinta contro l’orifizio e lo chiude meglio.</w:t>
      </w:r>
    </w:p>
    <w:p>
      <w:pPr>
        <w:pStyle w:val="BodyText"/>
      </w:pPr>
      <w:r>
        <w:rPr>
          <w:b/>
          <w:bCs/>
        </w:rPr>
        <w:t xml:space="preserve">Perché conta.</w:t>
      </w:r>
      <w:r>
        <w:t xml:space="preserve"> </w:t>
      </w:r>
      <w:r>
        <w:t xml:space="preserve">È l’unico pezzo di barriera che</w:t>
      </w:r>
      <w:r>
        <w:t xml:space="preserve"> </w:t>
      </w:r>
      <w:r>
        <w:rPr>
          <w:b/>
          <w:bCs/>
        </w:rPr>
        <w:t xml:space="preserve">migliora</w:t>
      </w:r>
      <w:r>
        <w:t xml:space="preserve"> </w:t>
      </w:r>
      <w:r>
        <w:t xml:space="preserve">con la distensione dello stomaco. E il lembo sparisce quando l’angolo si apre: ernia, aumento del volume addominale, chiusura anteriore del torace.</w:t>
      </w:r>
    </w:p>
    <w:bookmarkEnd w:id="26"/>
    <w:bookmarkStart w:id="27" w:name="il-vago-e-il-frenico"/>
    <w:p>
      <w:pPr>
        <w:pStyle w:val="Heading3"/>
      </w:pPr>
      <w:r>
        <w:t xml:space="preserve">Il vago e il frenico</w:t>
      </w:r>
    </w:p>
    <w:p>
      <w:pPr>
        <w:pStyle w:val="FirstParagraph"/>
      </w:pPr>
      <w:r>
        <w:rPr>
          <w:b/>
          <w:bCs/>
        </w:rPr>
        <w:t xml:space="preserve">Cos’è.</w:t>
      </w:r>
      <w:r>
        <w:t xml:space="preserve"> </w:t>
      </w:r>
      <w:r>
        <w:t xml:space="preserve">Il vago attraversa lo iato con l’esofago. Il frenico nasce da C3-C5 e comanda il diaframma.</w:t>
      </w:r>
    </w:p>
    <w:p>
      <w:pPr>
        <w:pStyle w:val="BodyText"/>
      </w:pPr>
      <w:r>
        <w:rPr>
          <w:b/>
          <w:bCs/>
        </w:rPr>
        <w:t xml:space="preserve">Cosa fa.</w:t>
      </w:r>
      <w:r>
        <w:t xml:space="preserve"> </w:t>
      </w:r>
      <w:r>
        <w:t xml:space="preserve">Il vago porta su il segnale di distensione dello stomaco e riporta giù i comandi: la catena completa è nel primo meccanismo di «Cosa si rompe». Il frenico è la via motoria del diaframma, e porta anche afferenze.</w:t>
      </w:r>
    </w:p>
    <w:p>
      <w:pPr>
        <w:pStyle w:val="BodyText"/>
      </w:pPr>
      <w:r>
        <w:rPr>
          <w:b/>
          <w:bCs/>
        </w:rPr>
        <w:t xml:space="preserve">Perché conta.</w:t>
      </w:r>
      <w:r>
        <w:t xml:space="preserve"> </w:t>
      </w:r>
      <w:r>
        <w:t xml:space="preserve">Il vago comanda la barriera</w:t>
      </w:r>
      <w:r>
        <w:t xml:space="preserve"> </w:t>
      </w:r>
      <w:r>
        <w:rPr>
          <w:b/>
          <w:bCs/>
        </w:rPr>
        <w:t xml:space="preserve">in due direzioni opposte</w:t>
      </w:r>
      <w:r>
        <w:t xml:space="preserve">. Una via colinergica ne sostiene il tono di riposo. Una via inibitoria la apre nei rilasciamenti transitori.</w:t>
      </w:r>
      <w:r>
        <w:t xml:space="preserve"> </w:t>
      </w:r>
      <w:r>
        <w:t xml:space="preserve">“Alzare il vago”</w:t>
      </w:r>
      <w:r>
        <w:t xml:space="preserve"> </w:t>
      </w:r>
      <w:r>
        <w:t xml:space="preserve">non ha quindi un verso prevedibile qui, e la frase non si usa.</w:t>
      </w:r>
    </w:p>
    <w:p>
      <w:pPr>
        <w:pStyle w:val="BodyText"/>
      </w:pPr>
      <w:r>
        <w:t xml:space="preserve">Le</w:t>
      </w:r>
      <w:r>
        <w:t xml:space="preserve"> </w:t>
      </w:r>
      <w:r>
        <w:rPr>
          <w:b/>
          <w:bCs/>
        </w:rPr>
        <w:t xml:space="preserve">afferenze</w:t>
      </w:r>
      <w:r>
        <w:t xml:space="preserve"> </w:t>
      </w:r>
      <w:r>
        <w:t xml:space="preserve">del frenico entrano invece in C3-C5, dove convergono con quelle di collo e spalla. È la via per cui un diaframma irritato si fa sentire in alto. Che un marker cervicale si muova dopo un lavoro sul diaframma resta IPOTESI: nessuno l’ha testato, e l’origine di un nervo motore non muove un’articolazione.</w:t>
      </w:r>
    </w:p>
    <w:p>
      <w:pPr>
        <w:pStyle w:val="BlockText"/>
      </w:pPr>
      <w:r>
        <w:rPr>
          <w:b/>
          <w:bCs/>
        </w:rPr>
        <w:t xml:space="preserve">Attenzione.</w:t>
      </w:r>
      <w:r>
        <w:t xml:space="preserve"> </w:t>
      </w:r>
      <w:r>
        <w:t xml:space="preserve">Il rachide cervicale ha un profilo di rischio proprio. Le presentazioni vascolari del collo — dissezione vertebrale o carotidea — vanno riconosciute</w:t>
      </w:r>
      <w:r>
        <w:t xml:space="preserve"> </w:t>
      </w:r>
      <w:r>
        <w:rPr>
          <w:b/>
          <w:bCs/>
        </w:rPr>
        <w:t xml:space="preserve">prima</w:t>
      </w:r>
      <w:r>
        <w:t xml:space="preserve"> </w:t>
      </w:r>
      <w:r>
        <w:t xml:space="preserve">di qualunque intervento su quella regione.</w:t>
      </w:r>
    </w:p>
    <w:bookmarkEnd w:id="27"/>
    <w:bookmarkStart w:id="28" w:name="X76f2728799dda8d2f67681bf763835609f76361"/>
    <w:p>
      <w:pPr>
        <w:pStyle w:val="Heading3"/>
      </w:pPr>
      <w:r>
        <w:t xml:space="preserve">La cerniera dorso-lombare e i segmenti splancnici</w:t>
      </w:r>
    </w:p>
    <w:p>
      <w:pPr>
        <w:pStyle w:val="FirstParagraph"/>
      </w:pPr>
      <w:r>
        <w:rPr>
          <w:b/>
          <w:bCs/>
        </w:rPr>
        <w:t xml:space="preserve">Cos’è.</w:t>
      </w:r>
      <w:r>
        <w:t xml:space="preserve"> </w:t>
      </w:r>
      <w:r>
        <w:t xml:space="preserve">Il passaggio T12-L1, e i segmenti midollari T5-T9 da cui parte il nervo grande splancnico.</w:t>
      </w:r>
    </w:p>
    <w:p>
      <w:pPr>
        <w:pStyle w:val="BodyText"/>
      </w:pPr>
      <w:r>
        <w:rPr>
          <w:b/>
          <w:bCs/>
        </w:rPr>
        <w:t xml:space="preserve">Cosa fa.</w:t>
      </w:r>
      <w:r>
        <w:t xml:space="preserve"> </w:t>
      </w:r>
      <w:r>
        <w:t xml:space="preserve">I pilastri del diaframma si inseriscono su L1-L3, sotto la cerniera. Da lì parte il grande splancnico, che porta le afferenze dello stomaco.</w:t>
      </w:r>
    </w:p>
    <w:p>
      <w:pPr>
        <w:pStyle w:val="BodyText"/>
      </w:pPr>
      <w:r>
        <w:rPr>
          <w:b/>
          <w:bCs/>
        </w:rPr>
        <w:t xml:space="preserve">Perché conta.</w:t>
      </w:r>
      <w:r>
        <w:t xml:space="preserve"> </w:t>
      </w:r>
      <w:r>
        <w:t xml:space="preserve">È la via</w:t>
      </w:r>
      <w:r>
        <w:t xml:space="preserve"> </w:t>
      </w:r>
      <w:r>
        <w:rPr>
          <w:b/>
          <w:bCs/>
        </w:rPr>
        <w:t xml:space="preserve">afferente</w:t>
      </w:r>
      <w:r>
        <w:t xml:space="preserve"> </w:t>
      </w:r>
      <w:r>
        <w:t xml:space="preserve">del dolore riferito e della sensibilizzazione. Ma le due mappe non coincidono, e confonderle manda a palpare nel posto sbagliato.</w:t>
      </w:r>
    </w:p>
    <w:p>
      <w:pPr>
        <w:pStyle w:val="Compact"/>
        <w:numPr>
          <w:ilvl w:val="0"/>
          <w:numId w:val="1006"/>
        </w:numPr>
      </w:pPr>
      <w:r>
        <w:t xml:space="preserve">Lo</w:t>
      </w:r>
      <w:r>
        <w:t xml:space="preserve"> </w:t>
      </w:r>
      <w:r>
        <w:rPr>
          <w:b/>
          <w:bCs/>
        </w:rPr>
        <w:t xml:space="preserve">stomaco</w:t>
      </w:r>
      <w:r>
        <w:t xml:space="preserve"> </w:t>
      </w:r>
      <w:r>
        <w:t xml:space="preserve">proietta su</w:t>
      </w:r>
      <w:r>
        <w:t xml:space="preserve"> </w:t>
      </w:r>
      <w:r>
        <w:rPr>
          <w:b/>
          <w:bCs/>
        </w:rPr>
        <w:t xml:space="preserve">T5-T9</w:t>
      </w:r>
      <w:r>
        <w:t xml:space="preserve">, via grande splancnico.</w:t>
      </w:r>
    </w:p>
    <w:p>
      <w:pPr>
        <w:pStyle w:val="Compact"/>
        <w:numPr>
          <w:ilvl w:val="0"/>
          <w:numId w:val="1006"/>
        </w:numPr>
      </w:pPr>
      <w:r>
        <w:t xml:space="preserve">L’</w:t>
      </w:r>
      <w:r>
        <w:rPr>
          <w:b/>
          <w:bCs/>
        </w:rPr>
        <w:t xml:space="preserve">esofago</w:t>
      </w:r>
      <w:r>
        <w:t xml:space="preserve"> </w:t>
      </w:r>
      <w:r>
        <w:t xml:space="preserve">— l’organo che genera la pirosi — entra da T1 a T10, con il grosso in</w:t>
      </w:r>
      <w:r>
        <w:t xml:space="preserve"> </w:t>
      </w:r>
      <w:r>
        <w:rPr>
          <w:b/>
          <w:bCs/>
        </w:rPr>
        <w:t xml:space="preserve">T3-T5</w:t>
      </w:r>
      <w:r>
        <w:t xml:space="preserve">. Su quegli stessi neuroni arriva anche il cuore.</w:t>
      </w:r>
    </w:p>
    <w:p>
      <w:pPr>
        <w:pStyle w:val="FirstParagraph"/>
      </w:pPr>
      <w:r>
        <w:t xml:space="preserve">La zona somatica di riferimento della pirosi è quindi</w:t>
      </w:r>
      <w:r>
        <w:t xml:space="preserve"> </w:t>
      </w:r>
      <w:r>
        <w:rPr>
          <w:b/>
          <w:bCs/>
        </w:rPr>
        <w:t xml:space="preserve">retrosternale e dorsale medio-alta</w:t>
      </w:r>
      <w:r>
        <w:t xml:space="preserve">, non lombare e non cervicale bassa. Non esiste invece una leva efferente simpatica documentata sulla barriera.</w:t>
      </w:r>
    </w:p>
    <w:bookmarkEnd w:id="28"/>
    <w:bookmarkStart w:id="29" w:name="il-contenitore-addominale"/>
    <w:p>
      <w:pPr>
        <w:pStyle w:val="Heading3"/>
      </w:pPr>
      <w:r>
        <w:t xml:space="preserve">Il contenitore addominale</w:t>
      </w:r>
    </w:p>
    <w:p>
      <w:pPr>
        <w:pStyle w:val="FirstParagraph"/>
      </w:pPr>
      <w:r>
        <w:rPr>
          <w:b/>
          <w:bCs/>
        </w:rPr>
        <w:t xml:space="preserve">Cos’è.</w:t>
      </w:r>
      <w:r>
        <w:t xml:space="preserve"> </w:t>
      </w:r>
      <w:r>
        <w:t xml:space="preserve">La cavità delimitata dal diaframma in alto, dalla parete addominale davanti e ai lati, dal pavimento pelvico in basso.</w:t>
      </w:r>
    </w:p>
    <w:p>
      <w:pPr>
        <w:pStyle w:val="BodyText"/>
      </w:pPr>
      <w:r>
        <w:rPr>
          <w:b/>
          <w:bCs/>
        </w:rPr>
        <w:t xml:space="preserve">Cosa fa.</w:t>
      </w:r>
      <w:r>
        <w:t xml:space="preserve"> </w:t>
      </w:r>
      <w:r>
        <w:t xml:space="preserve">Contiene un volume incomprimibile e ne regola la pressione. Ogni parete che si irrigidisce alza la pressione interna, e ogni volume che aumenta fa lo stesso.</w:t>
      </w:r>
    </w:p>
    <w:p>
      <w:pPr>
        <w:pStyle w:val="BodyText"/>
      </w:pPr>
      <w:r>
        <w:rPr>
          <w:b/>
          <w:bCs/>
        </w:rPr>
        <w:t xml:space="preserve">Perché conta.</w:t>
      </w:r>
      <w:r>
        <w:t xml:space="preserve"> </w:t>
      </w:r>
      <w:r>
        <w:t xml:space="preserve">È l’unica struttura di questo elenco che il paziente modifica</w:t>
      </w:r>
      <w:r>
        <w:t xml:space="preserve"> </w:t>
      </w:r>
      <w:r>
        <w:rPr>
          <w:b/>
          <w:bCs/>
        </w:rPr>
        <w:t xml:space="preserve">da solo</w:t>
      </w:r>
      <w:r>
        <w:t xml:space="preserve">, con il peso, i pasti e ciò che si stringe addosso. E quasi tutte le prove causali forti di questa condizione passano di qui.</w:t>
      </w:r>
    </w:p>
    <w:p>
      <w:pPr>
        <w:pStyle w:val="BodyText"/>
      </w:pPr>
      <w:r>
        <w:rPr>
          <w:b/>
          <w:bCs/>
        </w:rPr>
        <w:t xml:space="preserve">Una nota sullo sfintere esofageo superiore.</w:t>
      </w:r>
      <w:r>
        <w:t xml:space="preserve"> </w:t>
      </w:r>
      <w:r>
        <w:t xml:space="preserve">L’anello all’ingresso dell’esofago è muscolo scheletrico come il crus, e alza il tono quando arriva materiale dal basso. Il</w:t>
      </w:r>
      <w:r>
        <w:t xml:space="preserve"> </w:t>
      </w:r>
      <w:r>
        <w:rPr>
          <w:b/>
          <w:bCs/>
        </w:rPr>
        <w:t xml:space="preserve">nodo in gola</w:t>
      </w:r>
      <w:r>
        <w:t xml:space="preserve"> </w:t>
      </w:r>
      <w:r>
        <w:t xml:space="preserve">gli viene attribuito, e l’attribuzione va maneggiata con cura. Lo studio storico che lega il globo a uno sfintere superiore ipertensivo lo</w:t>
      </w:r>
      <w:r>
        <w:t xml:space="preserve"> </w:t>
      </w:r>
      <w:r>
        <w:rPr>
          <w:b/>
          <w:bCs/>
        </w:rPr>
        <w:t xml:space="preserve">dissocia dal reflusso</w:t>
      </w:r>
      <w:r>
        <w:t xml:space="preserve"> </w:t>
      </w:r>
      <w:r>
        <w:t xml:space="preserve">già nel titolo (Corso,</w:t>
      </w:r>
      <w:r>
        <w:t xml:space="preserve"> </w:t>
      </w:r>
      <w:r>
        <w:rPr>
          <w:i/>
          <w:iCs/>
        </w:rPr>
        <w:t xml:space="preserve">Dig Dis Sci</w:t>
      </w:r>
      <w:r>
        <w:t xml:space="preserve"> </w:t>
      </w:r>
      <w:r>
        <w:t xml:space="preserve">1998). L’iperpressione si trova in circa un terzo di questi pazienti, e correla con l’ansia più che con il carico acido.</w:t>
      </w:r>
    </w:p>
    <w:p>
      <w:pPr>
        <w:pStyle w:val="BlockText"/>
      </w:pPr>
      <w:r>
        <w:rPr>
          <w:b/>
          <w:bCs/>
        </w:rPr>
        <w:t xml:space="preserve">Quanto è solido:</w:t>
      </w:r>
      <w:r>
        <w:t xml:space="preserve"> </w:t>
      </w:r>
      <w:r>
        <w:t xml:space="preserve">IPOTESI. Il riflesso esiste in acuto, ma il nodo in gola come sintomo clinico non risulta associato al reflusso, e in questi pazienti pesa di più l’ipervigilanza. IPOTESI anche per l’effetto di una mano su quel tono.</w:t>
      </w:r>
    </w:p>
    <w:p>
      <w:pPr>
        <w:pStyle w:val="FirstParagraph"/>
      </w:pPr>
      <w:r>
        <w:rPr>
          <w:b/>
          <w:bCs/>
        </w:rPr>
        <w:t xml:space="preserve">Le tre cose da ricordare</w:t>
      </w:r>
    </w:p>
    <w:p>
      <w:pPr>
        <w:pStyle w:val="Compact"/>
        <w:numPr>
          <w:ilvl w:val="0"/>
          <w:numId w:val="1007"/>
        </w:numPr>
      </w:pPr>
      <w:r>
        <w:t xml:space="preserve">La barriera ha due sfinteri: uno liscio, che non raggiungi, e uno scheletrico, che è il crus.</w:t>
      </w:r>
    </w:p>
    <w:p>
      <w:pPr>
        <w:pStyle w:val="Compact"/>
        <w:numPr>
          <w:ilvl w:val="0"/>
          <w:numId w:val="1007"/>
        </w:numPr>
      </w:pPr>
      <w:r>
        <w:t xml:space="preserve">La membrana freno-esofagea e l’angolo di His spiegano perché l’ernia peggiora nel tempo.</w:t>
      </w:r>
    </w:p>
    <w:p>
      <w:pPr>
        <w:pStyle w:val="Compact"/>
        <w:numPr>
          <w:ilvl w:val="0"/>
          <w:numId w:val="1007"/>
        </w:numPr>
      </w:pPr>
      <w:r>
        <w:t xml:space="preserve">Lo stomaco proietta su T5-T9, l’esofago più in alto, con il grosso in T3-T5. La pirosi si riferisce lì, non in cervicale bassa.</w:t>
      </w:r>
    </w:p>
    <w:p>
      <w:r>
        <w:pict>
          <v:rect style="width:0;height:1.5pt" o:hralign="center" o:hrstd="t" o:hr="t"/>
        </w:pict>
      </w:r>
    </w:p>
    <w:bookmarkEnd w:id="29"/>
    <w:bookmarkEnd w:id="30"/>
    <w:bookmarkStart w:id="32" w:name="capitolo-4-come-funziona-quando-funziona"/>
    <w:p>
      <w:pPr>
        <w:pStyle w:val="Heading2"/>
      </w:pPr>
      <w:r>
        <w:t xml:space="preserve">Capitolo 4 — Come funziona quando funziona</w:t>
      </w:r>
    </w:p>
    <w:p>
      <w:pPr>
        <w:pStyle w:val="BlockText"/>
      </w:pPr>
      <w:r>
        <w:rPr>
          <w:b/>
          <w:bCs/>
        </w:rPr>
        <w:t xml:space="preserve">In una riga:</w:t>
      </w:r>
      <w:r>
        <w:t xml:space="preserve"> </w:t>
      </w:r>
      <w:r>
        <w:t xml:space="preserve">la barriera antireflusso non è chiusa, è continuamente ri-chiusa da un muscolo che respira.</w:t>
      </w:r>
    </w:p>
    <w:p>
      <w:pPr>
        <w:pStyle w:val="BlockText"/>
      </w:pPr>
      <w:r>
        <w:rPr>
          <w:b/>
          <w:bCs/>
        </w:rPr>
        <w:t xml:space="preserve">Quanto è solido:</w:t>
      </w:r>
      <w:r>
        <w:t xml:space="preserve"> </w:t>
      </w:r>
      <w:r>
        <w:t xml:space="preserve">DIMOSTRATO — è fisiologia misurata con manometria e pH-metria, non interpretazione. Per questo i sette punti non portano un’etichetta ciascuno.</w:t>
      </w:r>
    </w:p>
    <w:p>
      <w:pPr>
        <w:numPr>
          <w:ilvl w:val="0"/>
          <w:numId w:val="1008"/>
        </w:numPr>
      </w:pPr>
      <w:r>
        <w:rPr>
          <w:b/>
          <w:bCs/>
        </w:rPr>
        <w:t xml:space="preserve">Il LES tiene il fondo.</w:t>
      </w:r>
      <w:r>
        <w:t xml:space="preserve"> </w:t>
      </w:r>
      <w:r>
        <w:t xml:space="preserve">A riposo mantiene 10-30 mmHg sopra la pressione dello stomaco. È il tono di base, e non richiede nessuna decisione.</w:t>
      </w:r>
    </w:p>
    <w:p>
      <w:pPr>
        <w:numPr>
          <w:ilvl w:val="0"/>
          <w:numId w:val="1008"/>
        </w:numPr>
      </w:pPr>
      <w:r>
        <w:rPr>
          <w:b/>
          <w:bCs/>
        </w:rPr>
        <w:t xml:space="preserve">Il crus aggiunge il picco.</w:t>
      </w:r>
      <w:r>
        <w:t xml:space="preserve"> </w:t>
      </w:r>
      <w:r>
        <w:t xml:space="preserve">A ogni inspirazione il diaframma si contrae, e con lui l’anello crurale che abbraccia il LES. La pressione della giunzione sale e riscende a ogni atto respiratorio. La barriera pulsa. LES e crus sono il freno a mano e il piede sul pedale: tengono insieme.</w:t>
      </w:r>
    </w:p>
    <w:p>
      <w:pPr>
        <w:numPr>
          <w:ilvl w:val="0"/>
          <w:numId w:val="1008"/>
        </w:numPr>
      </w:pPr>
      <w:r>
        <w:rPr>
          <w:b/>
          <w:bCs/>
        </w:rPr>
        <w:t xml:space="preserve">Il crus anticipa gli sforzi.</w:t>
      </w:r>
      <w:r>
        <w:t xml:space="preserve"> </w:t>
      </w:r>
      <w:r>
        <w:t xml:space="preserve">Quando tossisci, ridi o sollevi un peso, la pressione addominale schizza in alto. Il crus si contrae</w:t>
      </w:r>
      <w:r>
        <w:t xml:space="preserve"> </w:t>
      </w:r>
      <w:r>
        <w:rPr>
          <w:b/>
          <w:bCs/>
        </w:rPr>
        <w:t xml:space="preserve">prima</w:t>
      </w:r>
      <w:r>
        <w:t xml:space="preserve">, e il guadagno di pressione della barriera supera quello dello stomaco.</w:t>
      </w:r>
    </w:p>
    <w:p>
      <w:pPr>
        <w:numPr>
          <w:ilvl w:val="0"/>
          <w:numId w:val="1008"/>
        </w:numPr>
      </w:pPr>
      <w:r>
        <w:rPr>
          <w:b/>
          <w:bCs/>
        </w:rPr>
        <w:t xml:space="preserve">La geometria aiuta.</w:t>
      </w:r>
      <w:r>
        <w:t xml:space="preserve"> </w:t>
      </w:r>
      <w:r>
        <w:t xml:space="preserve">Il tratto terminale dell’esofago sta sotto il diaframma, dentro l’addome. La pressione addominale lo schiaccia dall’esterno: più cresce, più quel segmento si chiude.</w:t>
      </w:r>
    </w:p>
    <w:p>
      <w:pPr>
        <w:numPr>
          <w:ilvl w:val="0"/>
          <w:numId w:val="1008"/>
        </w:numPr>
      </w:pPr>
      <w:r>
        <w:rPr>
          <w:b/>
          <w:bCs/>
        </w:rPr>
        <w:t xml:space="preserve">Il lembo completa il lavoro.</w:t>
      </w:r>
      <w:r>
        <w:t xml:space="preserve"> </w:t>
      </w:r>
      <w:r>
        <w:t xml:space="preserve">L’angolo di His e la piega di Gubaroff fanno da valvola quando il fondo gastrico si riempie.</w:t>
      </w:r>
    </w:p>
    <w:p>
      <w:pPr>
        <w:numPr>
          <w:ilvl w:val="0"/>
          <w:numId w:val="1008"/>
        </w:numPr>
      </w:pPr>
      <w:r>
        <w:rPr>
          <w:b/>
          <w:bCs/>
        </w:rPr>
        <w:t xml:space="preserve">Quando qualcosa passa, l’esofago pulisce.</w:t>
      </w:r>
      <w:r>
        <w:t xml:space="preserve"> </w:t>
      </w:r>
      <w:r>
        <w:t xml:space="preserve">Un’onda che parte da sola, senza che tu deglutisca, svuota il contenuto in pochi secondi. Poi la saliva, ricca di bicarbonato, neutralizza il residuo.</w:t>
      </w:r>
    </w:p>
    <w:p>
      <w:pPr>
        <w:numPr>
          <w:ilvl w:val="0"/>
          <w:numId w:val="1008"/>
        </w:numPr>
      </w:pPr>
      <w:r>
        <w:rPr>
          <w:b/>
          <w:bCs/>
        </w:rPr>
        <w:t xml:space="preserve">E ogni tanto si apre apposta.</w:t>
      </w:r>
      <w:r>
        <w:t xml:space="preserve"> </w:t>
      </w:r>
      <w:r>
        <w:t xml:space="preserve">Quando il fondo gastrico si distende per l’aria del pasto, un riflesso vago-vagale rilascia insieme il LES e il crus per qualche decina di secondi. Serve a eruttare. È fisiologico, e succede anche a te.</w:t>
      </w:r>
    </w:p>
    <w:p>
      <w:pPr>
        <w:pStyle w:val="FirstParagraph"/>
      </w:pPr>
      <w:r>
        <w:t xml:space="preserve">Il punto 7 cambia tutto. La barriera ha un’</w:t>
      </w:r>
      <w:r>
        <w:rPr>
          <w:b/>
          <w:bCs/>
        </w:rPr>
        <w:t xml:space="preserve">apertura programmata</w:t>
      </w:r>
      <w:r>
        <w:t xml:space="preserve">, non solo una chiusura. Il reflusso non nasce da una serratura rotta. Nasce da una porta che si apre da sola più spesso del dovuto, quando dietro c’è liquido invece che aria.</w:t>
      </w:r>
    </w:p>
    <w:p>
      <w:pPr>
        <w:pStyle w:val="BodyText"/>
      </w:pPr>
      <w:r>
        <w:rPr>
          <w:b/>
          <w:bCs/>
        </w:rPr>
        <w:t xml:space="preserve">Le tre cose da ricordare</w:t>
      </w:r>
    </w:p>
    <w:p>
      <w:pPr>
        <w:pStyle w:val="Compact"/>
        <w:numPr>
          <w:ilvl w:val="0"/>
          <w:numId w:val="1009"/>
        </w:numPr>
      </w:pPr>
      <w:r>
        <w:t xml:space="preserve">La tenuta è la somma di due pressioni: quella continua del LES e quella pulsante del crus.</w:t>
      </w:r>
    </w:p>
    <w:p>
      <w:pPr>
        <w:pStyle w:val="Compact"/>
        <w:numPr>
          <w:ilvl w:val="0"/>
          <w:numId w:val="1009"/>
        </w:numPr>
      </w:pPr>
      <w:r>
        <w:t xml:space="preserve">Il crus si contrae in anticipo sugli aumenti di pressione: è un sistema predittivo, non reattivo.</w:t>
      </w:r>
    </w:p>
    <w:p>
      <w:pPr>
        <w:pStyle w:val="Heading2"/>
        <w:numPr>
          <w:ilvl w:val="0"/>
          <w:numId w:val="1009"/>
        </w:numPr>
      </w:pPr>
      <w:bookmarkStart w:id="31" w:name="X124a61ca47e7b6dfd60bf04e9804638e38fb424"/>
      <w:r>
        <w:t xml:space="preserve">La barriera ha aperture programmate. Sono normali, e sono la porta da cui passa quasi tutto il reflusso.</w:t>
      </w:r>
      <w:bookmarkEnd w:id="31"/>
    </w:p>
    <w:bookmarkEnd w:id="32"/>
    <w:bookmarkStart w:id="41" w:name="capitolo-5-cosa-si-rompe-i-meccanismi"/>
    <w:p>
      <w:pPr>
        <w:pStyle w:val="Heading2"/>
      </w:pPr>
      <w:r>
        <w:t xml:space="preserve">Capitolo 5 — Cosa si rompe: i meccanismi</w:t>
      </w:r>
    </w:p>
    <w:p>
      <w:pPr>
        <w:pStyle w:val="BlockText"/>
      </w:pPr>
      <w:r>
        <w:rPr>
          <w:b/>
          <w:bCs/>
        </w:rPr>
        <w:t xml:space="preserve">In una riga:</w:t>
      </w:r>
      <w:r>
        <w:t xml:space="preserve"> </w:t>
      </w:r>
      <w:r>
        <w:t xml:space="preserve">sei modi diversi di far risalire lo stesso acido, e solo su tre le tue mani hanno qualcosa da dire.</w:t>
      </w:r>
    </w:p>
    <w:p>
      <w:pPr>
        <w:pStyle w:val="FirstParagraph"/>
      </w:pPr>
      <w:r>
        <w:t xml:space="preserve">Sono ordinati dal più solido al meno solido. I tre su cui hai una leva sono il terzo, il quarto e il quinto.</w:t>
      </w:r>
      <w:r>
        <w:t xml:space="preserve"> </w:t>
      </w:r>
      <w:r>
        <w:rPr>
          <w:b/>
          <w:bCs/>
        </w:rPr>
        <w:t xml:space="preserve">Nessuno dei tre è il meccanismo principale.</w:t>
      </w:r>
      <w:r>
        <w:t xml:space="preserve"> </w:t>
      </w:r>
      <w:r>
        <w:t xml:space="preserve">È voluto, ed è il modo in cui questo documento resta credibile.</w:t>
      </w:r>
    </w:p>
    <w:bookmarkStart w:id="35" w:name="X91a8964c6224e12d0717919c229d1b9f2d8b169"/>
    <w:p>
      <w:pPr>
        <w:pStyle w:val="Heading3"/>
      </w:pPr>
      <w:r>
        <w:t xml:space="preserve">1. La porta che si apre da sola troppo spesso</w:t>
      </w:r>
    </w:p>
    <w:p>
      <w:pPr>
        <w:pStyle w:val="FirstParagraph"/>
      </w:pPr>
      <w:r>
        <w:t xml:space="preserve">Il rilasciamento transitorio dello sfintere è il meccanismo principale del reflusso, nel sano come nel malato.</w:t>
      </w:r>
    </w:p>
    <w:p>
      <w:pPr>
        <w:pStyle w:val="Compact"/>
        <w:numPr>
          <w:ilvl w:val="0"/>
          <w:numId w:val="1010"/>
        </w:numPr>
      </w:pPr>
      <w:r>
        <w:t xml:space="preserve">Mangi, il fondo dello stomaco si distende, e i recettori di stiramento mandano il segnale su per il vago.</w:t>
      </w:r>
    </w:p>
    <w:p>
      <w:pPr>
        <w:pStyle w:val="Compact"/>
        <w:numPr>
          <w:ilvl w:val="0"/>
          <w:numId w:val="1010"/>
        </w:numPr>
      </w:pPr>
      <w:r>
        <w:t xml:space="preserve">Il tronco encefalico risponde su due vie insieme: un’efferenza vagale</w:t>
      </w:r>
      <w:r>
        <w:t xml:space="preserve"> </w:t>
      </w:r>
      <w:r>
        <w:rPr>
          <w:b/>
          <w:bCs/>
        </w:rPr>
        <w:t xml:space="preserve">inibitoria</w:t>
      </w:r>
      <w:r>
        <w:t xml:space="preserve"> </w:t>
      </w:r>
      <w:r>
        <w:t xml:space="preserve">rilascia il LES, un’inibizione centrale toglie comando al crus.</w:t>
      </w:r>
    </w:p>
    <w:p>
      <w:pPr>
        <w:pStyle w:val="Compact"/>
        <w:numPr>
          <w:ilvl w:val="0"/>
          <w:numId w:val="1010"/>
        </w:numPr>
      </w:pPr>
      <w:r>
        <w:t xml:space="preserve">L’inibizione è</w:t>
      </w:r>
      <w:r>
        <w:t xml:space="preserve"> </w:t>
      </w:r>
      <w:r>
        <w:rPr>
          <w:b/>
          <w:bCs/>
        </w:rPr>
        <w:t xml:space="preserve">selettiva</w:t>
      </w:r>
      <w:r>
        <w:t xml:space="preserve">: si spegne la sola parte crurale, il resto del diaframma continua a respirare. Il paziente non se ne accorge, e tu non la palpi.</w:t>
      </w:r>
    </w:p>
    <w:p>
      <w:pPr>
        <w:pStyle w:val="Compact"/>
        <w:numPr>
          <w:ilvl w:val="0"/>
          <w:numId w:val="1010"/>
        </w:numPr>
      </w:pPr>
      <w:r>
        <w:t xml:space="preserve">LES e crus restano aperti insieme per decine di secondi. Se sopra il contenuto gastrico c’è liquido invece che aria, il liquido passa.</w:t>
      </w:r>
    </w:p>
    <w:p>
      <w:pPr>
        <w:pStyle w:val="FirstParagraph"/>
      </w:pPr>
      <w:r>
        <w:t xml:space="preserve">In quell’istante il crus non è debole: è</w:t>
      </w:r>
      <w:r>
        <w:t xml:space="preserve"> </w:t>
      </w:r>
      <w:r>
        <w:rPr>
          <w:b/>
          <w:bCs/>
        </w:rPr>
        <w:t xml:space="preserve">spento dal centro</w:t>
      </w:r>
      <w:r>
        <w:t xml:space="preserve">. È la ragione per cui</w:t>
      </w:r>
      <w:r>
        <w:t xml:space="preserve"> </w:t>
      </w:r>
      <w:r>
        <w:rPr>
          <w:b/>
          <w:bCs/>
        </w:rPr>
        <w:t xml:space="preserve">nessuna mano</w:t>
      </w:r>
      <w:r>
        <w:t xml:space="preserve"> </w:t>
      </w:r>
      <w:r>
        <w:t xml:space="preserve">apre o chiude quella finestra.</w:t>
      </w:r>
    </w:p>
    <w:p>
      <w:pPr>
        <w:pStyle w:val="BodyText"/>
      </w:pPr>
      <w:r>
        <w:t xml:space="preserve">Il muscolo allenato è un’altra questione. Nell’unico studio che ha contato i rilasciamenti transitori, l’allenamento inspiratorio ne ha ridotto numero e durata (Nobre e Souza 2013). È l’unico segnale in tutto il documento che una leva attiva tocchi il meccanismo principale.</w:t>
      </w:r>
    </w:p>
    <w:p>
      <w:pPr>
        <w:pStyle w:val="BlockText"/>
      </w:pPr>
      <w:r>
        <w:rPr>
          <w:b/>
          <w:bCs/>
        </w:rPr>
        <w:t xml:space="preserve">Quanto è solido:</w:t>
      </w:r>
      <w:r>
        <w:t xml:space="preserve"> </w:t>
      </w:r>
      <w:r>
        <w:t xml:space="preserve">DIMOSTRATO per il meccanismo, che è quello di riferimento della fisiopatologia del reflusso (Mittal,</w:t>
      </w:r>
      <w:r>
        <w:t xml:space="preserve"> </w:t>
      </w:r>
      <w:r>
        <w:rPr>
          <w:i/>
          <w:iCs/>
        </w:rPr>
        <w:t xml:space="preserve">Gastroenterology</w:t>
      </w:r>
      <w:r>
        <w:t xml:space="preserve"> </w:t>
      </w:r>
      <w:r>
        <w:t xml:space="preserve">1995; Beaumont,</w:t>
      </w:r>
      <w:r>
        <w:t xml:space="preserve"> </w:t>
      </w:r>
      <w:r>
        <w:rPr>
          <w:i/>
          <w:iCs/>
        </w:rPr>
        <w:t xml:space="preserve">Gut</w:t>
      </w:r>
      <w:r>
        <w:t xml:space="preserve"> </w:t>
      </w:r>
      <w:r>
        <w:t xml:space="preserve">2010). IPOTESI per la riduzione dei rilasciamenti con l’allenamento: dodici pazienti, uno studio, mai replicato. Si cita, non ci si conta sopra.</w:t>
      </w:r>
    </w:p>
    <w:p>
      <w:pPr>
        <w:pStyle w:val="FirstParagraph"/>
      </w:pPr>
      <w:r>
        <w:rPr>
          <w:b/>
          <w:bCs/>
        </w:rPr>
        <w:t xml:space="preserve">Come si vede addosso al paziente.</w:t>
      </w:r>
      <w:r>
        <w:t xml:space="preserve"> </w:t>
      </w:r>
      <w:r>
        <w:t xml:space="preserve">Sintomo strettamente legato al pasto. Peggiora con i pasti abbondanti, indipendentemente da cosa contengano. Eruttazioni frequenti. A digiuno sta bene.</w:t>
      </w:r>
    </w:p>
    <w:p>
      <w:pPr>
        <w:pStyle w:val="BlockText"/>
      </w:pPr>
      <w:r>
        <w:rPr>
          <w:b/>
          <w:bCs/>
        </w:rPr>
        <w:t xml:space="preserve">Attenzione.</w:t>
      </w:r>
      <w:r>
        <w:t xml:space="preserve"> </w:t>
      </w:r>
      <w:r>
        <w:t xml:space="preserve">“Aumentare il tono vagale per ridurre il reflusso”</w:t>
      </w:r>
      <w:r>
        <w:t xml:space="preserve"> </w:t>
      </w:r>
      <w:r>
        <w:t xml:space="preserve">non è una direzione stabilita. Il perché sta in «Le strutture in gioco»: l’efferenza vagale su questa barriera è inibitoria. Non usare quella frase, né con i colleghi né con il paziente.</w:t>
      </w:r>
    </w:p>
    <w:p>
      <w:pPr>
        <w:pStyle w:val="FirstParagraph"/>
      </w:pPr>
      <w:r>
        <w:rPr>
          <w:b/>
          <w:bCs/>
        </w:rPr>
        <w:t xml:space="preserve">Il pasto abbondante è la pentola che si riempie: la valvola di sfiato non è rotta, si apre perché deve.</w:t>
      </w:r>
    </w:p>
    <w:bookmarkStart w:id="33" w:name="leruttazione-che-non-viene-dallo-stomaco"/>
    <w:p>
      <w:pPr>
        <w:pStyle w:val="Heading4"/>
      </w:pPr>
      <w:r>
        <w:t xml:space="preserve">L’eruttazione che non viene dallo stomaco</w:t>
      </w:r>
    </w:p>
    <w:p>
      <w:pPr>
        <w:pStyle w:val="FirstParagraph"/>
      </w:pPr>
      <w:r>
        <w:t xml:space="preserve">Le eruttazioni frequenti sono la manifestazione visibile di questo riflesso, ma solo quelle</w:t>
      </w:r>
      <w:r>
        <w:t xml:space="preserve"> </w:t>
      </w:r>
      <w:r>
        <w:rPr>
          <w:b/>
          <w:bCs/>
        </w:rPr>
        <w:t xml:space="preserve">gastriche</w:t>
      </w:r>
      <w:r>
        <w:t xml:space="preserve">. Nell’</w:t>
      </w:r>
      <w:r>
        <w:rPr>
          <w:b/>
          <w:bCs/>
        </w:rPr>
        <w:t xml:space="preserve">eruttazione sopragastrica</w:t>
      </w:r>
      <w:r>
        <w:t xml:space="preserve"> </w:t>
      </w:r>
      <w:r>
        <w:t xml:space="preserve">il paziente aspira aria in esofago e la riespelle subito. È un comportamento, non un riflesso, e</w:t>
      </w:r>
      <w:r>
        <w:t xml:space="preserve"> </w:t>
      </w:r>
      <w:r>
        <w:rPr>
          <w:b/>
          <w:bCs/>
        </w:rPr>
        <w:t xml:space="preserve">scompare nel sonno e mentre parla</w:t>
      </w:r>
      <w:r>
        <w:t xml:space="preserve">. Chi non conosce la distinzione tratta la barriera di un paziente la cui barriera tiene benissimo.</w:t>
      </w:r>
    </w:p>
    <w:p>
      <w:pPr>
        <w:pStyle w:val="BlockText"/>
      </w:pPr>
      <w:r>
        <w:rPr>
          <w:b/>
          <w:bCs/>
        </w:rPr>
        <w:t xml:space="preserve">Quanto è solido:</w:t>
      </w:r>
      <w:r>
        <w:t xml:space="preserve"> </w:t>
      </w:r>
      <w:r>
        <w:t xml:space="preserve">DIMOSTRATO per il fenomeno, documentato con impedenzometria. PROBABILE per la sua risposta al lavoro respiratorio (Ong,</w:t>
      </w:r>
      <w:r>
        <w:t xml:space="preserve"> </w:t>
      </w:r>
      <w:r>
        <w:rPr>
          <w:i/>
          <w:iCs/>
        </w:rPr>
        <w:t xml:space="preserve">Clin Gastroenterol Hepatol</w:t>
      </w:r>
      <w:r>
        <w:t xml:space="preserve"> </w:t>
      </w:r>
      <w:r>
        <w:t xml:space="preserve">2018).</w:t>
      </w:r>
    </w:p>
    <w:bookmarkEnd w:id="33"/>
    <w:bookmarkStart w:id="34" w:name="X8f7694d2bc085331b2ba87fa3f8a6593b007cfa"/>
    <w:p>
      <w:pPr>
        <w:pStyle w:val="Heading4"/>
      </w:pPr>
      <w:r>
        <w:t xml:space="preserve">Quando lo stomaco resta pieno più a lungo</w:t>
      </w:r>
    </w:p>
    <w:p>
      <w:pPr>
        <w:pStyle w:val="FirstParagraph"/>
      </w:pPr>
      <w:r>
        <w:t xml:space="preserve">Lo stesso riflesso ha una variante lenta, e riguarda una fetta grande dei pazienti che dicono</w:t>
      </w:r>
      <w:r>
        <w:t xml:space="preserve"> </w:t>
      </w:r>
      <w:r>
        <w:t xml:space="preserve">“il farmaco non funziona”</w:t>
      </w:r>
      <w:r>
        <w:t xml:space="preserve">. Lo svuotamento rallenta, il fondo resta disteso molto più a lungo dopo il pasto, e quella distensione alimenta la stessa apertura programmata. Il percorso medico la chiama dispepsia funzionale sovrapposta.</w:t>
      </w:r>
    </w:p>
    <w:p>
      <w:pPr>
        <w:pStyle w:val="BodyText"/>
      </w:pPr>
      <w:r>
        <w:t xml:space="preserve">Due cause sono frequenti, e si trovano in due domande. La prima è un</w:t>
      </w:r>
      <w:r>
        <w:t xml:space="preserve"> </w:t>
      </w:r>
      <w:r>
        <w:rPr>
          <w:b/>
          <w:bCs/>
        </w:rPr>
        <w:t xml:space="preserve">farmaco che rallenta lo svuotamento</w:t>
      </w:r>
      <w:r>
        <w:t xml:space="preserve">: le classi sono in «Dove finisce il nostro campo». La seconda è un</w:t>
      </w:r>
      <w:r>
        <w:t xml:space="preserve"> </w:t>
      </w:r>
      <w:r>
        <w:rPr>
          <w:b/>
          <w:bCs/>
        </w:rPr>
        <w:t xml:space="preserve">diabete di lunga durata</w:t>
      </w:r>
      <w:r>
        <w:t xml:space="preserve">.</w:t>
      </w:r>
    </w:p>
    <w:p>
      <w:pPr>
        <w:pStyle w:val="BodyText"/>
      </w:pPr>
      <w:r>
        <w:rPr>
          <w:b/>
          <w:bCs/>
        </w:rPr>
        <w:t xml:space="preserve">Come si vede addosso al paziente.</w:t>
      </w:r>
      <w:r>
        <w:t xml:space="preserve"> </w:t>
      </w:r>
      <w:r>
        <w:t xml:space="preserve">Sazietà precoce, pienezza, gonfiore. Il bruciore non è il primo sintomo che racconta. Se lo tratti come pressorio non succede niente: il contenitore non è teso, è</w:t>
      </w:r>
      <w:r>
        <w:t xml:space="preserve"> </w:t>
      </w:r>
      <w:r>
        <w:rPr>
          <w:b/>
          <w:bCs/>
        </w:rPr>
        <w:t xml:space="preserve">pieno più a lungo del dovuto</w:t>
      </w:r>
      <w:r>
        <w:t xml:space="preserve">.</w:t>
      </w:r>
    </w:p>
    <w:p>
      <w:pPr>
        <w:pStyle w:val="BlockText"/>
      </w:pPr>
      <w:r>
        <w:rPr>
          <w:b/>
          <w:bCs/>
        </w:rPr>
        <w:t xml:space="preserve">Quanto è solido:</w:t>
      </w:r>
      <w:r>
        <w:t xml:space="preserve"> </w:t>
      </w:r>
      <w:r>
        <w:t xml:space="preserve">PROBABILE per il legame fra ritardo di svuotamento, distensione del fondo e carico di reflusso. IPOTESI per qualunque leva manuale sullo svuotamento.</w:t>
      </w:r>
    </w:p>
    <w:bookmarkEnd w:id="34"/>
    <w:bookmarkEnd w:id="35"/>
    <w:bookmarkStart w:id="36" w:name="Xfb074b6a8c23003c0a02f51f020c4018f892ccf"/>
    <w:p>
      <w:pPr>
        <w:pStyle w:val="Heading3"/>
      </w:pPr>
      <w:r>
        <w:t xml:space="preserve">2. I due sfinteri che scivolano uno fuori dall’altro</w:t>
      </w:r>
    </w:p>
    <w:p>
      <w:pPr>
        <w:pStyle w:val="FirstParagraph"/>
      </w:pPr>
      <w:r>
        <w:t xml:space="preserve">L’ernia iatale non è un’ernia qualunque. È la perdita della sovrapposizione fra i due sfinteri.</w:t>
      </w:r>
    </w:p>
    <w:p>
      <w:pPr>
        <w:pStyle w:val="Compact"/>
        <w:numPr>
          <w:ilvl w:val="0"/>
          <w:numId w:val="1011"/>
        </w:numPr>
      </w:pPr>
      <w:r>
        <w:t xml:space="preserve">La membrana freno-esofagea si logora e perde elasticità.</w:t>
      </w:r>
    </w:p>
    <w:p>
      <w:pPr>
        <w:pStyle w:val="Compact"/>
        <w:numPr>
          <w:ilvl w:val="0"/>
          <w:numId w:val="1011"/>
        </w:numPr>
      </w:pPr>
      <w:r>
        <w:t xml:space="preserve">Il cardias risale sopra il piano del diaframma e non torna più giù.</w:t>
      </w:r>
    </w:p>
    <w:p>
      <w:pPr>
        <w:pStyle w:val="Compact"/>
        <w:numPr>
          <w:ilvl w:val="0"/>
          <w:numId w:val="1011"/>
        </w:numPr>
      </w:pPr>
      <w:r>
        <w:t xml:space="preserve">LES e crus non stanno più sullo stesso punto. Le due pressioni non si sommano, e il picco inspiratorio della barriera si perde insieme al rinforzo anticipato sugli sforzi.</w:t>
      </w:r>
    </w:p>
    <w:p>
      <w:pPr>
        <w:pStyle w:val="Compact"/>
        <w:numPr>
          <w:ilvl w:val="0"/>
          <w:numId w:val="1011"/>
        </w:numPr>
      </w:pPr>
      <w:r>
        <w:t xml:space="preserve">La tasca di succo acido che si forma sopra il pasto si posiziona</w:t>
      </w:r>
      <w:r>
        <w:t xml:space="preserve"> </w:t>
      </w:r>
      <w:r>
        <w:rPr>
          <w:b/>
          <w:bCs/>
        </w:rPr>
        <w:t xml:space="preserve">dentro o sopra</w:t>
      </w:r>
      <w:r>
        <w:t xml:space="preserve"> </w:t>
      </w:r>
      <w:r>
        <w:t xml:space="preserve">lo iato, cioè già dalla parte sbagliata.</w:t>
      </w:r>
    </w:p>
    <w:p>
      <w:pPr>
        <w:pStyle w:val="BlockText"/>
      </w:pPr>
      <w:r>
        <w:rPr>
          <w:b/>
          <w:bCs/>
        </w:rPr>
        <w:t xml:space="preserve">Quanto è solido:</w:t>
      </w:r>
      <w:r>
        <w:t xml:space="preserve"> </w:t>
      </w:r>
      <w:r>
        <w:t xml:space="preserve">DIMOSTRATO — separazione delle due componenti pressorie e posizione della tasca acida sono state misurate direttamente (Kahrilas,</w:t>
      </w:r>
      <w:r>
        <w:t xml:space="preserve"> </w:t>
      </w:r>
      <w:r>
        <w:rPr>
          <w:i/>
          <w:iCs/>
        </w:rPr>
        <w:t xml:space="preserve">Yale J Biol Med</w:t>
      </w:r>
      <w:r>
        <w:t xml:space="preserve"> </w:t>
      </w:r>
      <w:r>
        <w:t xml:space="preserve">1999; Beaumont,</w:t>
      </w:r>
      <w:r>
        <w:t xml:space="preserve"> </w:t>
      </w:r>
      <w:r>
        <w:rPr>
          <w:i/>
          <w:iCs/>
        </w:rPr>
        <w:t xml:space="preserve">Gut</w:t>
      </w:r>
      <w:r>
        <w:t xml:space="preserve"> </w:t>
      </w:r>
      <w:r>
        <w:t xml:space="preserve">2010; Pandolfino,</w:t>
      </w:r>
      <w:r>
        <w:t xml:space="preserve"> </w:t>
      </w:r>
      <w:r>
        <w:rPr>
          <w:i/>
          <w:iCs/>
        </w:rPr>
        <w:t xml:space="preserve">Gastroenterology</w:t>
      </w:r>
      <w:r>
        <w:t xml:space="preserve"> </w:t>
      </w:r>
      <w:r>
        <w:t xml:space="preserve">2006).</w:t>
      </w:r>
    </w:p>
    <w:p>
      <w:pPr>
        <w:pStyle w:val="FirstParagraph"/>
      </w:pPr>
      <w:r>
        <w:rPr>
          <w:b/>
          <w:bCs/>
        </w:rPr>
        <w:t xml:space="preserve">Come si vede addosso al paziente.</w:t>
      </w:r>
      <w:r>
        <w:t xml:space="preserve"> </w:t>
      </w:r>
      <w:r>
        <w:t xml:space="preserve">Rigurgito franco, non solo bruciore. Peggiora da sdraiato e piegandosi in avanti, compare sotto sforzo. Spesso l’ernia è già nel referto.</w:t>
      </w:r>
    </w:p>
    <w:p>
      <w:pPr>
        <w:pStyle w:val="BlockText"/>
      </w:pPr>
      <w:r>
        <w:rPr>
          <w:b/>
          <w:bCs/>
        </w:rPr>
        <w:t xml:space="preserve">Cosa cambia per te.</w:t>
      </w:r>
      <w:r>
        <w:t xml:space="preserve"> </w:t>
      </w:r>
      <w:r>
        <w:t xml:space="preserve">Le mani non cambiano l’anatomia. Riconoscerlo serve a sapere</w:t>
      </w:r>
      <w:r>
        <w:t xml:space="preserve"> </w:t>
      </w:r>
      <w:r>
        <w:rPr>
          <w:b/>
          <w:bCs/>
        </w:rPr>
        <w:t xml:space="preserve">quanto</w:t>
      </w:r>
      <w:r>
        <w:t xml:space="preserve"> </w:t>
      </w:r>
      <w:r>
        <w:t xml:space="preserve">promettere, e quando la strada giusta è il gastroenterologo.</w:t>
      </w:r>
    </w:p>
    <w:p>
      <w:pPr>
        <w:pStyle w:val="FirstParagraph"/>
      </w:pPr>
      <w:r>
        <w:rPr>
          <w:b/>
          <w:bCs/>
        </w:rPr>
        <w:t xml:space="preserve">Sono due anelli di una guarnizione doppia: presi uno alla volta tengono ancora, ma se scivolano uno fuori dall’altro il tubo perde a ogni colpo di pressione.</w:t>
      </w:r>
    </w:p>
    <w:bookmarkEnd w:id="36"/>
    <w:bookmarkStart w:id="37" w:name="X68e8fafd0e1e35a21a045c0c247e4ddb2fe9a8e"/>
    <w:p>
      <w:pPr>
        <w:pStyle w:val="Heading3"/>
      </w:pPr>
      <w:r>
        <w:t xml:space="preserve">3. Il sintomo che si accende con la stessa quantità di acido</w:t>
      </w:r>
    </w:p>
    <w:p>
      <w:pPr>
        <w:pStyle w:val="FirstParagraph"/>
      </w:pPr>
      <w:r>
        <w:t xml:space="preserve">Fra quanto acido risale e quanto il paziente sta male c’è un guadagno variabile. E quel guadagno si alza.</w:t>
      </w:r>
    </w:p>
    <w:p>
      <w:pPr>
        <w:pStyle w:val="Compact"/>
        <w:numPr>
          <w:ilvl w:val="0"/>
          <w:numId w:val="1012"/>
        </w:numPr>
      </w:pPr>
      <w:r>
        <w:t xml:space="preserve">L’esposizione acida ripetuta allarga gli spazi fra le cellule della mucosa esofagea, e l’acido arriva dove prima non arrivava.</w:t>
      </w:r>
    </w:p>
    <w:p>
      <w:pPr>
        <w:pStyle w:val="Compact"/>
        <w:numPr>
          <w:ilvl w:val="0"/>
          <w:numId w:val="1012"/>
        </w:numPr>
      </w:pPr>
      <w:r>
        <w:t xml:space="preserve">I recettori di quelle terminazioni si tarano più in basso: è la sensibilizzazione periferica. Prima la barriera che si apre, poi la soglia che scende.</w:t>
      </w:r>
    </w:p>
    <w:p>
      <w:pPr>
        <w:pStyle w:val="Compact"/>
        <w:numPr>
          <w:ilvl w:val="0"/>
          <w:numId w:val="1012"/>
        </w:numPr>
      </w:pPr>
      <w:r>
        <w:t xml:space="preserve">I neuroni del corno dorsale che ricevono l’esofago diventano più eccitabili. La soglia si abbassa</w:t>
      </w:r>
      <w:r>
        <w:t xml:space="preserve"> </w:t>
      </w:r>
      <w:r>
        <w:rPr>
          <w:b/>
          <w:bCs/>
        </w:rPr>
        <w:t xml:space="preserve">anche dove l’acido non è mai arrivato</w:t>
      </w:r>
      <w:r>
        <w:t xml:space="preserve">: esofago alto, parete del torace. È la sensibilizzazione centrale, misurata nell’uomo (Sarkar,</w:t>
      </w:r>
      <w:r>
        <w:t xml:space="preserve"> </w:t>
      </w:r>
      <w:r>
        <w:rPr>
          <w:i/>
          <w:iCs/>
        </w:rPr>
        <w:t xml:space="preserve">Lancet</w:t>
      </w:r>
      <w:r>
        <w:t xml:space="preserve"> </w:t>
      </w:r>
      <w:r>
        <w:t xml:space="preserve">2000; Willert,</w:t>
      </w:r>
      <w:r>
        <w:t xml:space="preserve"> </w:t>
      </w:r>
      <w:r>
        <w:rPr>
          <w:i/>
          <w:iCs/>
        </w:rPr>
        <w:t xml:space="preserve">Neurogastroenterol Motil</w:t>
      </w:r>
      <w:r>
        <w:t xml:space="preserve"> </w:t>
      </w:r>
      <w:r>
        <w:t xml:space="preserve">2007).</w:t>
      </w:r>
    </w:p>
    <w:p>
      <w:pPr>
        <w:pStyle w:val="Compact"/>
        <w:numPr>
          <w:ilvl w:val="0"/>
          <w:numId w:val="1012"/>
        </w:numPr>
      </w:pPr>
      <w:r>
        <w:t xml:space="preserve">L’attenzione al sintomo si stabilizza: il paziente controlla di continuo le sensazioni dell’esofago, ed è l’ipervigilanza viscerale.</w:t>
      </w:r>
    </w:p>
    <w:p>
      <w:pPr>
        <w:pStyle w:val="Compact"/>
        <w:numPr>
          <w:ilvl w:val="0"/>
          <w:numId w:val="1012"/>
        </w:numPr>
      </w:pPr>
      <w:r>
        <w:t xml:space="preserve">Lo stesso episodio, che un anno fa passava inosservato, oggi produce bruciore intenso.</w:t>
      </w:r>
    </w:p>
    <w:p>
      <w:pPr>
        <w:pStyle w:val="BlockText"/>
      </w:pPr>
      <w:r>
        <w:rPr>
          <w:b/>
          <w:bCs/>
        </w:rPr>
        <w:t xml:space="preserve">Quanto è solido:</w:t>
      </w:r>
      <w:r>
        <w:t xml:space="preserve"> </w:t>
      </w:r>
      <w:r>
        <w:t xml:space="preserve">DIMOSTRATO per il legame fra attivazione e percezione. Sotto stress acustico questi pazienti percepiscono l’acido</w:t>
      </w:r>
      <w:r>
        <w:t xml:space="preserve"> </w:t>
      </w:r>
      <w:r>
        <w:rPr>
          <w:b/>
          <w:bCs/>
        </w:rPr>
        <w:t xml:space="preserve">prima</w:t>
      </w:r>
      <w:r>
        <w:t xml:space="preserve"> </w:t>
      </w:r>
      <w:r>
        <w:t xml:space="preserve">e</w:t>
      </w:r>
      <w:r>
        <w:t xml:space="preserve"> </w:t>
      </w:r>
      <w:r>
        <w:rPr>
          <w:b/>
          <w:bCs/>
        </w:rPr>
        <w:t xml:space="preserve">più intensamente</w:t>
      </w:r>
      <w:r>
        <w:t xml:space="preserve">, mentre i sani non cambiano (Fass,</w:t>
      </w:r>
      <w:r>
        <w:t xml:space="preserve"> </w:t>
      </w:r>
      <w:r>
        <w:rPr>
          <w:i/>
          <w:iCs/>
        </w:rPr>
        <w:t xml:space="preserve">Gastroenterology</w:t>
      </w:r>
      <w:r>
        <w:t xml:space="preserve"> </w:t>
      </w:r>
      <w:r>
        <w:t xml:space="preserve">2008).</w:t>
      </w:r>
      <w:r>
        <w:t xml:space="preserve"> </w:t>
      </w:r>
      <w:r>
        <w:t xml:space="preserve">— DIMOSTRATO per la sensibilizzazione centrale. Acidificare l’esofago distale abbassa la soglia dolorosa della parete toracica, da 37 a 29 mA su dodici volontari, e la soglia risale con un antagonista NMDA, cioè un farmaco che blocca quel recettore (Willert 2007).</w:t>
      </w:r>
      <w:r>
        <w:t xml:space="preserve"> </w:t>
      </w:r>
      <w:r>
        <w:t xml:space="preserve">— DIMOSTRATO per l’ipervigilanza. Su 105 pazienti correla con la gravità del sintomo e</w:t>
      </w:r>
      <w:r>
        <w:t xml:space="preserve"> </w:t>
      </w:r>
      <w:r>
        <w:rPr>
          <w:b/>
          <w:bCs/>
        </w:rPr>
        <w:t xml:space="preserve">non con i parametri di reflusso acido</w:t>
      </w:r>
      <w:r>
        <w:t xml:space="preserve"> </w:t>
      </w:r>
      <w:r>
        <w:t xml:space="preserve">(Wong,</w:t>
      </w:r>
      <w:r>
        <w:t xml:space="preserve"> </w:t>
      </w:r>
      <w:r>
        <w:rPr>
          <w:i/>
          <w:iCs/>
        </w:rPr>
        <w:t xml:space="preserve">Aliment Pharmacol Ther</w:t>
      </w:r>
      <w:r>
        <w:t xml:space="preserve"> </w:t>
      </w:r>
      <w:r>
        <w:t xml:space="preserve">2021).</w:t>
      </w:r>
      <w:r>
        <w:t xml:space="preserve"> </w:t>
      </w:r>
      <w:r>
        <w:t xml:space="preserve">— PROBABILE per i passaggi 1-2.</w:t>
      </w:r>
    </w:p>
    <w:p>
      <w:pPr>
        <w:pStyle w:val="FirstParagraph"/>
      </w:pPr>
      <w:r>
        <w:t xml:space="preserve">Il passaggio 3 è il motivo per cui a questo paziente fa male la parete anteriore del torace: quel segno appartiene al meccanismo, non al caso.</w:t>
      </w:r>
    </w:p>
    <w:p>
      <w:pPr>
        <w:pStyle w:val="BodyText"/>
      </w:pPr>
      <w:r>
        <w:rPr>
          <w:b/>
          <w:bCs/>
        </w:rPr>
        <w:t xml:space="preserve">Come si classifica questo dolore.</w:t>
      </w:r>
      <w:r>
        <w:t xml:space="preserve"> </w:t>
      </w:r>
      <w:r>
        <w:t xml:space="preserve">Non tutto ciò che è non erosivo è nociplastico, e la differenza decide se ha ancora senso cercare l’acido.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Quadro</w:t>
            </w:r>
          </w:p>
        </w:tc>
        <w:tc>
          <w:tcPr/>
          <w:p>
            <w:pPr>
              <w:pStyle w:val="Compact"/>
            </w:pPr>
            <w:r>
              <w:t xml:space="preserve">Cosa c’è sotto</w:t>
            </w:r>
          </w:p>
        </w:tc>
        <w:tc>
          <w:tcPr/>
          <w:p>
            <w:pPr>
              <w:pStyle w:val="Compact"/>
            </w:pPr>
            <w:r>
              <w:t xml:space="preserve">Tipo di dolore</w:t>
            </w:r>
          </w:p>
        </w:tc>
      </w:tr>
      <w:tr>
        <w:tc>
          <w:tcPr/>
          <w:p>
            <w:pPr>
              <w:pStyle w:val="Compact"/>
            </w:pPr>
            <w:r>
              <w:t xml:space="preserve">Esofagite erosiva</w:t>
            </w:r>
          </w:p>
        </w:tc>
        <w:tc>
          <w:tcPr/>
          <w:p>
            <w:pPr>
              <w:pStyle w:val="Compact"/>
            </w:pPr>
            <w:r>
              <w:t xml:space="preserve">Danno visibile</w:t>
            </w:r>
          </w:p>
        </w:tc>
        <w:tc>
          <w:tcPr/>
          <w:p>
            <w:pPr>
              <w:pStyle w:val="Compact"/>
            </w:pPr>
            <w:r>
              <w:t xml:space="preserve">Nocicettivo</w:t>
            </w:r>
          </w:p>
        </w:tc>
      </w:tr>
      <w:tr>
        <w:tc>
          <w:tcPr/>
          <w:p>
            <w:pPr>
              <w:pStyle w:val="Compact"/>
            </w:pPr>
            <w:r>
              <w:t xml:space="preserve">Non erosivo con esposizione alta</w:t>
            </w:r>
          </w:p>
        </w:tc>
        <w:tc>
          <w:tcPr/>
          <w:p>
            <w:pPr>
              <w:pStyle w:val="Compact"/>
            </w:pPr>
            <w:r>
              <w:t xml:space="preserve">Stimolo reale</w:t>
            </w:r>
          </w:p>
        </w:tc>
        <w:tc>
          <w:tcPr/>
          <w:p>
            <w:pPr>
              <w:pStyle w:val="Compact"/>
            </w:pPr>
            <w:r>
              <w:t xml:space="preserve">Nocicettivo amplificato</w:t>
            </w:r>
          </w:p>
        </w:tc>
      </w:tr>
      <w:tr>
        <w:tc>
          <w:tcPr/>
          <w:p>
            <w:pPr>
              <w:pStyle w:val="Compact"/>
            </w:pPr>
            <w:r>
              <w:t xml:space="preserve">Reflusso ipersensibile</w:t>
            </w:r>
          </w:p>
        </w:tc>
        <w:tc>
          <w:tcPr/>
          <w:p>
            <w:pPr>
              <w:pStyle w:val="Compact"/>
            </w:pPr>
            <w:r>
              <w:t xml:space="preserve">Stimolo reale letto troppo forte</w:t>
            </w:r>
          </w:p>
        </w:tc>
        <w:tc>
          <w:tcPr/>
          <w:p>
            <w:pPr>
              <w:pStyle w:val="Compact"/>
            </w:pPr>
            <w:r>
              <w:t xml:space="preserve">Nocicettivo amplificato</w:t>
            </w:r>
          </w:p>
        </w:tc>
      </w:tr>
      <w:tr>
        <w:tc>
          <w:tcPr/>
          <w:p>
            <w:pPr>
              <w:pStyle w:val="Compact"/>
            </w:pPr>
            <w:r>
              <w:t xml:space="preserve">Pirosi funzionale</w:t>
            </w:r>
          </w:p>
        </w:tc>
        <w:tc>
          <w:tcPr/>
          <w:p>
            <w:pPr>
              <w:pStyle w:val="Compact"/>
            </w:pPr>
            <w:r>
              <w:t xml:space="preserve">Nessuno stimolo</w:t>
            </w:r>
          </w:p>
        </w:tc>
        <w:tc>
          <w:tcPr/>
          <w:p>
            <w:pPr>
              <w:pStyle w:val="Compact"/>
            </w:pPr>
            <w:r>
              <w:t xml:space="preserve">Nociplastico</w:t>
            </w:r>
          </w:p>
        </w:tc>
      </w:tr>
    </w:tbl>
    <w:p>
      <w:pPr>
        <w:pStyle w:val="BodyText"/>
      </w:pPr>
      <w:r>
        <w:t xml:space="preserve">Il criterio che separa le righe è il referto, non il lettino: sopra il</w:t>
      </w:r>
      <w:r>
        <w:t xml:space="preserve"> </w:t>
      </w:r>
      <w:r>
        <w:rPr>
          <w:b/>
          <w:bCs/>
        </w:rPr>
        <w:t xml:space="preserve">6%</w:t>
      </w:r>
      <w:r>
        <w:t xml:space="preserve"> </w:t>
      </w:r>
      <w:r>
        <w:t xml:space="preserve">di esposizione acida con mucosa integra, l’input è reale. La regola</w:t>
      </w:r>
      <w:r>
        <w:t xml:space="preserve"> </w:t>
      </w:r>
      <w:r>
        <w:t xml:space="preserve">“l’input intenso e ripetuto riaccende invece di calmare”</w:t>
      </w:r>
      <w:r>
        <w:t xml:space="preserve"> </w:t>
      </w:r>
      <w:r>
        <w:t xml:space="preserve">vale per l’ultima riga, e in parte per la penultima.</w:t>
      </w:r>
    </w:p>
    <w:p>
      <w:pPr>
        <w:pStyle w:val="BodyText"/>
      </w:pPr>
      <w:r>
        <w:rPr>
          <w:b/>
          <w:bCs/>
        </w:rPr>
        <w:t xml:space="preserve">Come si vede addosso al paziente.</w:t>
      </w:r>
      <w:r>
        <w:t xml:space="preserve"> </w:t>
      </w:r>
      <w:r>
        <w:t xml:space="preserve">Gastroscopia pulita e bruciore quotidiano. Farmaco a dose piena e sintomo che resta. Peggioramenti che seguono lo stato emotivo, a dieta invariata.</w:t>
      </w:r>
    </w:p>
    <w:p>
      <w:pPr>
        <w:pStyle w:val="BlockText"/>
      </w:pPr>
      <w:r>
        <w:rPr>
          <w:b/>
          <w:bCs/>
        </w:rPr>
        <w:t xml:space="preserve">Attenzione.</w:t>
      </w:r>
      <w:r>
        <w:t xml:space="preserve"> </w:t>
      </w:r>
      <w:r>
        <w:t xml:space="preserve">Lo stress qui è un</w:t>
      </w:r>
      <w:r>
        <w:t xml:space="preserve"> </w:t>
      </w:r>
      <w:r>
        <w:rPr>
          <w:b/>
          <w:bCs/>
        </w:rPr>
        <w:t xml:space="preserve">amplificatore della percezione</w:t>
      </w:r>
      <w:r>
        <w:t xml:space="preserve">, non un generatore di episodi. Nell’uomo non aumenta il carico di reflusso: riduce la latenza al sintomo e ne aumenta l’intensità.</w:t>
      </w:r>
      <w:r>
        <w:t xml:space="preserve"> </w:t>
      </w:r>
      <w:r>
        <w:t xml:space="preserve">“Lo stress causa il reflusso”</w:t>
      </w:r>
      <w:r>
        <w:t xml:space="preserve"> </w:t>
      </w:r>
      <w:r>
        <w:t xml:space="preserve">è una frase che i dati umani non sostengono.</w:t>
      </w:r>
    </w:p>
    <w:p>
      <w:pPr>
        <w:pStyle w:val="FirstParagraph"/>
      </w:pPr>
      <w:r>
        <w:rPr>
          <w:b/>
          <w:bCs/>
        </w:rPr>
        <w:t xml:space="preserve">È un differenziale tarato troppo sensibile: la corrente in casa è la stessa di sempre, ma adesso salta.</w:t>
      </w:r>
    </w:p>
    <w:bookmarkEnd w:id="37"/>
    <w:bookmarkStart w:id="38" w:name="la-pressione-che-spinge-da-fuori"/>
    <w:p>
      <w:pPr>
        <w:pStyle w:val="Heading3"/>
      </w:pPr>
      <w:r>
        <w:t xml:space="preserve">4. La pressione che spinge da fuori</w:t>
      </w:r>
    </w:p>
    <w:p>
      <w:pPr>
        <w:pStyle w:val="FirstParagraph"/>
      </w:pPr>
      <w:r>
        <w:t xml:space="preserve">La barriera non regge in assoluto. Regge rispetto alla pressione che ha sotto.</w:t>
      </w:r>
    </w:p>
    <w:p>
      <w:pPr>
        <w:pStyle w:val="Compact"/>
        <w:numPr>
          <w:ilvl w:val="0"/>
          <w:numId w:val="1013"/>
        </w:numPr>
      </w:pPr>
      <w:r>
        <w:t xml:space="preserve">Il volume o la tensione del contenitore addominale aumentano: grasso viscerale, gonfiore, parete rigida.</w:t>
      </w:r>
    </w:p>
    <w:p>
      <w:pPr>
        <w:pStyle w:val="Compact"/>
        <w:numPr>
          <w:ilvl w:val="0"/>
          <w:numId w:val="1013"/>
        </w:numPr>
      </w:pPr>
      <w:r>
        <w:t xml:space="preserve">Sale la pressione dentro lo stomaco, e con lei il gradiente fra stomaco ed esofago.</w:t>
      </w:r>
    </w:p>
    <w:p>
      <w:pPr>
        <w:pStyle w:val="Compact"/>
        <w:numPr>
          <w:ilvl w:val="0"/>
          <w:numId w:val="1013"/>
        </w:numPr>
      </w:pPr>
      <w:r>
        <w:t xml:space="preserve">La stessa barriera, con lo stesso tono, diventa insufficiente. Gli episodi aumentano, e il materiale risale più in alto.</w:t>
      </w:r>
    </w:p>
    <w:p>
      <w:pPr>
        <w:pStyle w:val="BlockText"/>
      </w:pPr>
      <w:r>
        <w:rPr>
          <w:b/>
          <w:bCs/>
        </w:rPr>
        <w:t xml:space="preserve">Quanto è solido:</w:t>
      </w:r>
      <w:r>
        <w:t xml:space="preserve"> </w:t>
      </w:r>
      <w:r>
        <w:t xml:space="preserve">DIMOSTRATO</w:t>
      </w:r>
      <w:r>
        <w:t xml:space="preserve"> </w:t>
      </w:r>
      <w:r>
        <w:rPr>
          <w:b/>
          <w:bCs/>
        </w:rPr>
        <w:t xml:space="preserve">per la compressione esterna</w:t>
      </w:r>
      <w:r>
        <w:t xml:space="preserve">. In 14 pazienti con reflusso, una cintura addominale ha alzato la pressione dentro lo stomaco di 6,9 mmHg a digiuno e di 9,0 dopo il pasto. E ha moltiplicato per circa otto gli episodi appena sopra lo sfintere (Mitchell,</w:t>
      </w:r>
      <w:r>
        <w:t xml:space="preserve"> </w:t>
      </w:r>
      <w:r>
        <w:rPr>
          <w:i/>
          <w:iCs/>
        </w:rPr>
        <w:t xml:space="preserve">Gastroenterology</w:t>
      </w:r>
      <w:r>
        <w:t xml:space="preserve"> </w:t>
      </w:r>
      <w:r>
        <w:t xml:space="preserve">2017). Misurato applicando una cintura a 14 pazienti, non misurato sulla tensione intrinseca della parete addominale né dopo trattamento manuale.</w:t>
      </w:r>
      <w:r>
        <w:t xml:space="preserve"> </w:t>
      </w:r>
      <w:r>
        <w:t xml:space="preserve">— PROBABILE</w:t>
      </w:r>
      <w:r>
        <w:t xml:space="preserve"> </w:t>
      </w:r>
      <w:r>
        <w:rPr>
          <w:b/>
          <w:bCs/>
        </w:rPr>
        <w:t xml:space="preserve">per la componente di volume</w:t>
      </w:r>
      <w:r>
        <w:t xml:space="preserve">. Il legame fra circonferenza addominale, pressione dentro lo stomaco e gradiente è misurato (Pandolfino,</w:t>
      </w:r>
      <w:r>
        <w:t xml:space="preserve"> </w:t>
      </w:r>
      <w:r>
        <w:rPr>
          <w:i/>
          <w:iCs/>
        </w:rPr>
        <w:t xml:space="preserve">Gastroenterology</w:t>
      </w:r>
      <w:r>
        <w:t xml:space="preserve"> </w:t>
      </w:r>
      <w:r>
        <w:t xml:space="preserve">2006).</w:t>
      </w:r>
      <w:r>
        <w:t xml:space="preserve"> </w:t>
      </w:r>
      <w:r>
        <w:t xml:space="preserve">— IPOTESI</w:t>
      </w:r>
      <w:r>
        <w:t xml:space="preserve"> </w:t>
      </w:r>
      <w:r>
        <w:rPr>
          <w:b/>
          <w:bCs/>
        </w:rPr>
        <w:t xml:space="preserve">per la componente tensiva e posturale</w:t>
      </w:r>
      <w:r>
        <w:t xml:space="preserve">. Nessuno ha isolato la componente</w:t>
      </w:r>
      <w:r>
        <w:t xml:space="preserve"> </w:t>
      </w:r>
      <w:r>
        <w:rPr>
          <w:b/>
          <w:bCs/>
        </w:rPr>
        <w:t xml:space="preserve">intrinseca</w:t>
      </w:r>
      <w:r>
        <w:t xml:space="preserve"> </w:t>
      </w:r>
      <w:r>
        <w:t xml:space="preserve">di tensione di parete, che è quella che tratti tu.</w:t>
      </w:r>
      <w:r>
        <w:t xml:space="preserve"> </w:t>
      </w:r>
      <w:r>
        <w:t xml:space="preserve">Il</w:t>
      </w:r>
      <w:r>
        <w:t xml:space="preserve"> </w:t>
      </w:r>
      <w:r>
        <w:rPr>
          <w:b/>
          <w:bCs/>
        </w:rPr>
        <w:t xml:space="preserve">meccanismo</w:t>
      </w:r>
      <w:r>
        <w:t xml:space="preserve"> </w:t>
      </w:r>
      <w:r>
        <w:t xml:space="preserve">sale di etichetta; la</w:t>
      </w:r>
      <w:r>
        <w:t xml:space="preserve"> </w:t>
      </w:r>
      <w:r>
        <w:rPr>
          <w:b/>
          <w:bCs/>
        </w:rPr>
        <w:t xml:space="preserve">leva manuale</w:t>
      </w:r>
      <w:r>
        <w:t xml:space="preserve"> </w:t>
      </w:r>
      <w:r>
        <w:t xml:space="preserve">resta IPOTESI.</w:t>
      </w:r>
    </w:p>
    <w:p>
      <w:pPr>
        <w:pStyle w:val="FirstParagraph"/>
      </w:pPr>
      <w:r>
        <w:rPr>
          <w:b/>
          <w:bCs/>
        </w:rPr>
        <w:t xml:space="preserve">E il danno principale non è dove lo aspetti.</w:t>
      </w:r>
      <w:r>
        <w:t xml:space="preserve"> </w:t>
      </w:r>
      <w:r>
        <w:t xml:space="preserve">Nello stesso studio l’effetto più marcato della cintura non è stato sulla barriera ma sulla pulizia. L’esofago ha impiegato 81 secondi invece di 23 a liberarsi, con un nuovo episodio subito dopo l’onda. Il paziente pressorio con sintomi notturni non ha due problemi: ne ha uno. Vedi il sesto meccanismo.</w:t>
      </w:r>
    </w:p>
    <w:p>
      <w:pPr>
        <w:pStyle w:val="BodyText"/>
      </w:pPr>
      <w:r>
        <w:rPr>
          <w:b/>
          <w:bCs/>
        </w:rPr>
        <w:t xml:space="preserve">Il dato che sembra contraddire tutto, e i due criteri che sciolgono la contraddizione.</w:t>
      </w:r>
      <w:r>
        <w:t xml:space="preserve"> </w:t>
      </w:r>
      <w:r>
        <w:t xml:space="preserve">Alzare la pressione addominale con un sollevamento delle gambe fa</w:t>
      </w:r>
      <w:r>
        <w:t xml:space="preserve"> </w:t>
      </w:r>
      <w:r>
        <w:rPr>
          <w:b/>
          <w:bCs/>
        </w:rPr>
        <w:t xml:space="preserve">salire</w:t>
      </w:r>
      <w:r>
        <w:t xml:space="preserve"> </w:t>
      </w:r>
      <w:r>
        <w:t xml:space="preserve">la pressione dello sfintere (Bitnar,</w:t>
      </w:r>
      <w:r>
        <w:t xml:space="preserve"> </w:t>
      </w:r>
      <w:r>
        <w:rPr>
          <w:i/>
          <w:iCs/>
        </w:rPr>
        <w:t xml:space="preserve">J Bodyw Mov Ther</w:t>
      </w:r>
      <w:r>
        <w:t xml:space="preserve"> </w:t>
      </w:r>
      <w:r>
        <w:t xml:space="preserve">2016). È la barriera competente che si adatta.</w:t>
      </w:r>
    </w:p>
    <w:p>
      <w:pPr>
        <w:pStyle w:val="BodyText"/>
      </w:pPr>
      <w:r>
        <w:t xml:space="preserve">Primo criterio, il</w:t>
      </w:r>
      <w:r>
        <w:t xml:space="preserve"> </w:t>
      </w:r>
      <w:r>
        <w:rPr>
          <w:b/>
          <w:bCs/>
        </w:rPr>
        <w:t xml:space="preserve">tipo di carico</w:t>
      </w:r>
      <w:r>
        <w:t xml:space="preserve">. Il crus anticipa e compensa il carico</w:t>
      </w:r>
      <w:r>
        <w:t xml:space="preserve"> </w:t>
      </w:r>
      <w:r>
        <w:rPr>
          <w:b/>
          <w:bCs/>
        </w:rPr>
        <w:t xml:space="preserve">acuto</w:t>
      </w:r>
      <w:r>
        <w:t xml:space="preserve"> </w:t>
      </w:r>
      <w:r>
        <w:t xml:space="preserve">— tosse, sollevamento, riso: è quello che Bitnar ha misurato. Il carico</w:t>
      </w:r>
      <w:r>
        <w:t xml:space="preserve"> </w:t>
      </w:r>
      <w:r>
        <w:rPr>
          <w:b/>
          <w:bCs/>
        </w:rPr>
        <w:t xml:space="preserve">sostenuto</w:t>
      </w:r>
      <w:r>
        <w:t xml:space="preserve"> </w:t>
      </w:r>
      <w:r>
        <w:t xml:space="preserve">— volume viscerale, cintura, gravidanza — non arriva a colpi, e non ha anticipo riflesso a cui appoggiarsi.</w:t>
      </w:r>
    </w:p>
    <w:p>
      <w:pPr>
        <w:pStyle w:val="BodyText"/>
      </w:pPr>
      <w:r>
        <w:t xml:space="preserve">Secondo criterio,</w:t>
      </w:r>
      <w:r>
        <w:t xml:space="preserve"> </w:t>
      </w:r>
      <w:r>
        <w:rPr>
          <w:b/>
          <w:bCs/>
        </w:rPr>
        <w:t xml:space="preserve">quanto la sovrapposizione fra i due sfinteri è già persa</w:t>
      </w:r>
      <w:r>
        <w:t xml:space="preserve">. Lo stesso carico produce due esiti opposti: l’adattamento di uno sfintere competente,</w:t>
      </w:r>
      <w:r>
        <w:t xml:space="preserve"> </w:t>
      </w:r>
      <w:r>
        <w:rPr>
          <w:b/>
          <w:bCs/>
        </w:rPr>
        <w:t xml:space="preserve">oppure</w:t>
      </w:r>
      <w:r>
        <w:t xml:space="preserve"> </w:t>
      </w:r>
      <w:r>
        <w:t xml:space="preserve">la rottura della giunzione. Il secondo esito arriva soprattutto con un’ernia (Siboni,</w:t>
      </w:r>
      <w:r>
        <w:t xml:space="preserve"> </w:t>
      </w:r>
      <w:r>
        <w:rPr>
          <w:i/>
          <w:iCs/>
        </w:rPr>
        <w:t xml:space="preserve">J Clin Gastroenterol</w:t>
      </w:r>
      <w:r>
        <w:t xml:space="preserve"> </w:t>
      </w:r>
      <w:r>
        <w:t xml:space="preserve">2022). PROBABILE — sale di etichetta il meccanismo, non la tua leva.</w:t>
      </w:r>
    </w:p>
    <w:p>
      <w:pPr>
        <w:pStyle w:val="BodyText"/>
      </w:pPr>
      <w:r>
        <w:t xml:space="preserve">C’è un terzo elemento, e chiude il paradosso. Con la cintura la giunzione fra esofago e stomaco</w:t>
      </w:r>
      <w:r>
        <w:t xml:space="preserve"> </w:t>
      </w:r>
      <w:r>
        <w:rPr>
          <w:b/>
          <w:bCs/>
        </w:rPr>
        <w:t xml:space="preserve">migra verso l’alto dentro lo iato</w:t>
      </w:r>
      <w:r>
        <w:t xml:space="preserve">: si produce un’ernia iatale parziale e reversibile. L’acido sale solo nel primo centimetro e mezzo sopra la giunzione, mentre a 5 cm — dove misura una pH-metria standard — resta nella norma (Lee,</w:t>
      </w:r>
      <w:r>
        <w:t xml:space="preserve"> </w:t>
      </w:r>
      <w:r>
        <w:rPr>
          <w:i/>
          <w:iCs/>
        </w:rPr>
        <w:t xml:space="preserve">Gut</w:t>
      </w:r>
      <w:r>
        <w:t xml:space="preserve"> </w:t>
      </w:r>
      <w:r>
        <w:t xml:space="preserve">2014). Misurato su 24 volontari asintomatici con una cintura, non su pazienti trattati con le mani. È il motivo per cui un referto pH-metrico</w:t>
      </w:r>
      <w:r>
        <w:t xml:space="preserve"> </w:t>
      </w:r>
      <w:r>
        <w:t xml:space="preserve">“negativo”</w:t>
      </w:r>
      <w:r>
        <w:t xml:space="preserve"> </w:t>
      </w:r>
      <w:r>
        <w:t xml:space="preserve">non esclude un reflusso da compressione.</w:t>
      </w:r>
    </w:p>
    <w:p>
      <w:pPr>
        <w:pStyle w:val="BodyText"/>
      </w:pPr>
      <w:r>
        <w:rPr>
          <w:b/>
          <w:bCs/>
        </w:rPr>
        <w:t xml:space="preserve">Come si vede addosso al paziente.</w:t>
      </w:r>
      <w:r>
        <w:t xml:space="preserve"> </w:t>
      </w:r>
      <w:r>
        <w:t xml:space="preserve">Addome teso e poco mobile durante il respiro. Sintomo che compare piegandosi, allacciandosi le scarpe, guidando, o con la cintura stretta. Storia di aumento di peso o gravidanza recente.</w:t>
      </w:r>
    </w:p>
    <w:p>
      <w:pPr>
        <w:pStyle w:val="BodyText"/>
      </w:pPr>
      <w:r>
        <w:rPr>
          <w:b/>
          <w:bCs/>
        </w:rPr>
        <w:t xml:space="preserve">E ci sono le sorgenti di pressione ripetuta, che nessun referto contiene e che si trovano solo se le chiedi.</w:t>
      </w:r>
    </w:p>
    <w:p>
      <w:pPr>
        <w:pStyle w:val="Compact"/>
        <w:numPr>
          <w:ilvl w:val="0"/>
          <w:numId w:val="1014"/>
        </w:numPr>
      </w:pPr>
      <w:r>
        <w:t xml:space="preserve">Tosse cronica: durante un colpo di tosse la pressione dentro l’addome sale a picchi misurati (</w:t>
      </w:r>
      <w:r>
        <w:rPr>
          <w:i/>
          <w:iCs/>
        </w:rPr>
        <w:t xml:space="preserve">Cough</w:t>
      </w:r>
      <w:r>
        <w:t xml:space="preserve"> </w:t>
      </w:r>
      <w:r>
        <w:t xml:space="preserve">2008).</w:t>
      </w:r>
    </w:p>
    <w:p>
      <w:pPr>
        <w:pStyle w:val="Compact"/>
        <w:numPr>
          <w:ilvl w:val="0"/>
          <w:numId w:val="1014"/>
        </w:numPr>
      </w:pPr>
      <w:r>
        <w:t xml:space="preserve">Sforzo prolungato per andare di corpo.</w:t>
      </w:r>
    </w:p>
    <w:p>
      <w:pPr>
        <w:pStyle w:val="Compact"/>
        <w:numPr>
          <w:ilvl w:val="0"/>
          <w:numId w:val="1014"/>
        </w:numPr>
      </w:pPr>
      <w:r>
        <w:t xml:space="preserve">Spinta a glottide chiusa in palestra (Valsalva).</w:t>
      </w:r>
    </w:p>
    <w:p>
      <w:pPr>
        <w:pStyle w:val="Compact"/>
        <w:numPr>
          <w:ilvl w:val="0"/>
          <w:numId w:val="1014"/>
        </w:numPr>
      </w:pPr>
      <w:r>
        <w:t xml:space="preserve">Indumenti compressivi e cintura stretta, che sono l’unica di queste sorgenti riprodotta in laboratorio.</w:t>
      </w:r>
    </w:p>
    <w:p>
      <w:pPr>
        <w:pStyle w:val="FirstParagraph"/>
      </w:pPr>
      <w:r>
        <w:rPr>
          <w:b/>
          <w:bCs/>
        </w:rPr>
        <w:t xml:space="preserve">Non conta quanto è stretto il tappo del tubetto di dentifricio: conta quanto stringi il tubo.</w:t>
      </w:r>
    </w:p>
    <w:bookmarkEnd w:id="38"/>
    <w:bookmarkStart w:id="39" w:name="Xd3f3d092626a36bbe73d69f2991e50464c2b7b3"/>
    <w:p>
      <w:pPr>
        <w:pStyle w:val="Heading3"/>
      </w:pPr>
      <w:r>
        <w:t xml:space="preserve">5. Il crus che smette di dare il suo contributo</w:t>
      </w:r>
    </w:p>
    <w:p>
      <w:pPr>
        <w:pStyle w:val="FirstParagraph"/>
      </w:pPr>
      <w:r>
        <w:t xml:space="preserve">Il pezzo scheletrico della barriera può lavorare male. E quando lavora male, la barriera perde la sua parte pulsante.</w:t>
      </w:r>
    </w:p>
    <w:p>
      <w:pPr>
        <w:pStyle w:val="Compact"/>
        <w:numPr>
          <w:ilvl w:val="0"/>
          <w:numId w:val="1015"/>
        </w:numPr>
      </w:pPr>
      <w:r>
        <w:t xml:space="preserve">Respiro alto e corto, torace in chiusura, rigidità dorsale.</w:t>
      </w:r>
    </w:p>
    <w:p>
      <w:pPr>
        <w:pStyle w:val="Compact"/>
        <w:numPr>
          <w:ilvl w:val="0"/>
          <w:numId w:val="1015"/>
        </w:numPr>
      </w:pPr>
      <w:r>
        <w:t xml:space="preserve">La componente crurale perde il</w:t>
      </w:r>
      <w:r>
        <w:t xml:space="preserve"> </w:t>
      </w:r>
      <w:r>
        <w:rPr>
          <w:b/>
          <w:bCs/>
        </w:rPr>
        <w:t xml:space="preserve">picco inspiratorio della barriera</w:t>
      </w:r>
      <w:r>
        <w:t xml:space="preserve"> </w:t>
      </w:r>
      <w:r>
        <w:t xml:space="preserve">— quello che «Come funziona quando funziona» chiama</w:t>
      </w:r>
      <w:r>
        <w:t xml:space="preserve"> </w:t>
      </w:r>
      <w:r>
        <w:t xml:space="preserve">“la barriera pulsa”</w:t>
      </w:r>
      <w:r>
        <w:t xml:space="preserve">.</w:t>
      </w:r>
    </w:p>
    <w:p>
      <w:pPr>
        <w:pStyle w:val="Compact"/>
        <w:numPr>
          <w:ilvl w:val="0"/>
          <w:numId w:val="1015"/>
        </w:numPr>
      </w:pPr>
      <w:r>
        <w:t xml:space="preserve">Il rinforzo anticipato sugli sforzi arriva più debole o più tardi, e un evento che prima veniva contenuto diventa un episodio di reflusso.</w:t>
      </w:r>
    </w:p>
    <w:p>
      <w:pPr>
        <w:pStyle w:val="BlockText"/>
      </w:pPr>
      <w:r>
        <w:rPr>
          <w:b/>
          <w:bCs/>
        </w:rPr>
        <w:t xml:space="preserve">Quanto è solido:</w:t>
      </w:r>
      <w:r>
        <w:t xml:space="preserve"> </w:t>
      </w:r>
      <w:r>
        <w:t xml:space="preserve">PROBABILE — la prova arriva dalla direzione opposta. Allenare i muscoli inspiratori ha alzato la pressione media della giunzione da 19,7 a 29,5 mmHg in dodici pazienti (Nobre e Souza,</w:t>
      </w:r>
      <w:r>
        <w:t xml:space="preserve"> </w:t>
      </w:r>
      <w:r>
        <w:rPr>
          <w:i/>
          <w:iCs/>
        </w:rPr>
        <w:t xml:space="preserve">Am J Physiol Gastrointest Liver Physiol</w:t>
      </w:r>
      <w:r>
        <w:t xml:space="preserve"> </w:t>
      </w:r>
      <w:r>
        <w:t xml:space="preserve">2013). Che un diaframma disfunzionale sia</w:t>
      </w:r>
      <w:r>
        <w:t xml:space="preserve"> </w:t>
      </w:r>
      <w:r>
        <w:rPr>
          <w:b/>
          <w:bCs/>
        </w:rPr>
        <w:t xml:space="preserve">causa</w:t>
      </w:r>
      <w:r>
        <w:t xml:space="preserve"> </w:t>
      </w:r>
      <w:r>
        <w:t xml:space="preserve">di reflusso non è dimostrato: è dimostrato che allenandolo si guadagna barriera.</w:t>
      </w:r>
    </w:p>
    <w:p>
      <w:pPr>
        <w:pStyle w:val="FirstParagraph"/>
      </w:pPr>
      <w:r>
        <w:rPr>
          <w:b/>
          <w:bCs/>
        </w:rPr>
        <w:t xml:space="preserve">Il punto che cambia cosa palpi: il crus non si legge dall’escursione costale.</w:t>
      </w:r>
      <w:r>
        <w:t xml:space="preserve"> </w:t>
      </w:r>
      <w:r>
        <w:t xml:space="preserve">In manometria ad alta risoluzione, i pazienti con malattia polmonare restrittiva avevano pressione transdiaframmatica</w:t>
      </w:r>
      <w:r>
        <w:t xml:space="preserve"> </w:t>
      </w:r>
      <w:r>
        <w:rPr>
          <w:b/>
          <w:bCs/>
        </w:rPr>
        <w:t xml:space="preserve">più alta</w:t>
      </w:r>
      <w:r>
        <w:t xml:space="preserve"> </w:t>
      </w:r>
      <w:r>
        <w:t xml:space="preserve">dei controlli e pressione della giunzione</w:t>
      </w:r>
      <w:r>
        <w:t xml:space="preserve"> </w:t>
      </w:r>
      <w:r>
        <w:rPr>
          <w:b/>
          <w:bCs/>
        </w:rPr>
        <w:t xml:space="preserve">più bassa</w:t>
      </w:r>
      <w:r>
        <w:t xml:space="preserve"> </w:t>
      </w:r>
      <w:r>
        <w:t xml:space="preserve">(Joshua,</w:t>
      </w:r>
      <w:r>
        <w:t xml:space="preserve"> </w:t>
      </w:r>
      <w:r>
        <w:rPr>
          <w:i/>
          <w:iCs/>
        </w:rPr>
        <w:t xml:space="preserve">Neurogastroenterol Motil</w:t>
      </w:r>
      <w:r>
        <w:t xml:space="preserve"> </w:t>
      </w:r>
      <w:r>
        <w:t xml:space="preserve">2024). Un diaframma che lavora, anche tanto, può avere un crus che non fa il suo mestiere.</w:t>
      </w:r>
    </w:p>
    <w:p>
      <w:pPr>
        <w:pStyle w:val="BlockText"/>
      </w:pPr>
      <w:r>
        <w:rPr>
          <w:b/>
          <w:bCs/>
        </w:rPr>
        <w:t xml:space="preserve">Quanto è solido:</w:t>
      </w:r>
      <w:r>
        <w:t xml:space="preserve"> </w:t>
      </w:r>
      <w:r>
        <w:t xml:space="preserve">DIMOSTRATO per la dissociazione misurata. RAGIONAMENTO per il salto dal reperto palpatorio al contributo crurale: fra i due non c’è un ponte validato.</w:t>
      </w:r>
    </w:p>
    <w:p>
      <w:pPr>
        <w:pStyle w:val="FirstParagraph"/>
      </w:pPr>
      <w:r>
        <w:rPr>
          <w:b/>
          <w:bCs/>
        </w:rPr>
        <w:t xml:space="preserve">Come si vede addosso al paziente.</w:t>
      </w:r>
      <w:r>
        <w:t xml:space="preserve"> </w:t>
      </w:r>
      <w:r>
        <w:t xml:space="preserve">Escursione costale bassa, respiro apicale, cerniera dorso-lombare rigida, estensione dorsale limitata. Sintomi che seguono i periodi di carico o di tensione. Questi segni non misurano il crus. Ciò che separa questo meccanismo dal quarto sta in «Non è una condizione sola»: quando compare il sintomo, e cosa lo spegne.</w:t>
      </w:r>
    </w:p>
    <w:p>
      <w:pPr>
        <w:pStyle w:val="BodyText"/>
      </w:pPr>
      <w:r>
        <w:rPr>
          <w:b/>
          <w:bCs/>
        </w:rPr>
        <w:t xml:space="preserve">La variante che questi segni non intercettano</w:t>
      </w:r>
      <w:r>
        <w:t xml:space="preserve"> </w:t>
      </w:r>
      <w:r>
        <w:t xml:space="preserve">è il</w:t>
      </w:r>
      <w:r>
        <w:t xml:space="preserve"> </w:t>
      </w:r>
      <w:r>
        <w:rPr>
          <w:b/>
          <w:bCs/>
        </w:rPr>
        <w:t xml:space="preserve">paziente polmonare cronico</w:t>
      </w:r>
      <w:r>
        <w:t xml:space="preserve">: torace iperinsufflato, diaframma basso, crus compromesso lo stesso. PROBABILE.</w:t>
      </w:r>
    </w:p>
    <w:p>
      <w:pPr>
        <w:pStyle w:val="BodyText"/>
      </w:pPr>
      <w:r>
        <w:rPr>
          <w:b/>
          <w:bCs/>
        </w:rPr>
        <w:t xml:space="preserve">Il crus è la mano che stringe il collo della sac à poche: lo stomaco resta pieno uguale, ma se la mano molla, esce dalla punta.</w:t>
      </w:r>
    </w:p>
    <w:bookmarkEnd w:id="39"/>
    <w:bookmarkStart w:id="40" w:name="lesofago-che-di-notte-non-si-pulisce-più"/>
    <w:p>
      <w:pPr>
        <w:pStyle w:val="Heading3"/>
      </w:pPr>
      <w:r>
        <w:t xml:space="preserve">6. L’esofago che di notte non si pulisce più</w:t>
      </w:r>
    </w:p>
    <w:p>
      <w:pPr>
        <w:pStyle w:val="FirstParagraph"/>
      </w:pPr>
      <w:r>
        <w:t xml:space="preserve">Il reflusso notturno non è più reflusso. È lo stesso reflusso, che nessuno porta via.</w:t>
      </w:r>
    </w:p>
    <w:p>
      <w:pPr>
        <w:pStyle w:val="Compact"/>
        <w:numPr>
          <w:ilvl w:val="0"/>
          <w:numId w:val="1016"/>
        </w:numPr>
      </w:pPr>
      <w:r>
        <w:t xml:space="preserve">Da sdraiato manca la gravità, che di giorno riporta giù il contenuto.</w:t>
      </w:r>
    </w:p>
    <w:p>
      <w:pPr>
        <w:pStyle w:val="Compact"/>
        <w:numPr>
          <w:ilvl w:val="0"/>
          <w:numId w:val="1016"/>
        </w:numPr>
      </w:pPr>
      <w:r>
        <w:t xml:space="preserve">Nel sonno la deglutizione si azzera, e con lei l’onda che pulisce l’esofago.</w:t>
      </w:r>
    </w:p>
    <w:p>
      <w:pPr>
        <w:pStyle w:val="Compact"/>
        <w:numPr>
          <w:ilvl w:val="0"/>
          <w:numId w:val="1016"/>
        </w:numPr>
      </w:pPr>
      <w:r>
        <w:t xml:space="preserve">La saliva, che è il tampone naturale, crolla.</w:t>
      </w:r>
    </w:p>
    <w:p>
      <w:pPr>
        <w:pStyle w:val="Compact"/>
        <w:numPr>
          <w:ilvl w:val="0"/>
          <w:numId w:val="1016"/>
        </w:numPr>
      </w:pPr>
      <w:r>
        <w:t xml:space="preserve">Il materiale resta a contatto con la mucosa molto più a lungo, e risalendo raggiunge laringe, faringe e vie aeree.</w:t>
      </w:r>
    </w:p>
    <w:p>
      <w:pPr>
        <w:pStyle w:val="BlockText"/>
      </w:pPr>
      <w:r>
        <w:rPr>
          <w:b/>
          <w:bCs/>
        </w:rPr>
        <w:t xml:space="preserve">Quanto è solido:</w:t>
      </w:r>
      <w:r>
        <w:t xml:space="preserve"> </w:t>
      </w:r>
      <w:r>
        <w:t xml:space="preserve">PROBABILE — la fisiologia della clearance e il suo crollo notturno sono stabiliti. Il nesso fra reflusso e sintomi laringei o tosse cronica è incerto nel singolo paziente, e la risposta all’antiacido è mediocre. E la clearance non crolla solo di notte: la compressione della parete la rallenta di quattro volte anche di giorno (quarto meccanismo).</w:t>
      </w:r>
    </w:p>
    <w:p>
      <w:pPr>
        <w:pStyle w:val="FirstParagraph"/>
      </w:pPr>
      <w:r>
        <w:rPr>
          <w:b/>
          <w:bCs/>
        </w:rPr>
        <w:t xml:space="preserve">Come si vede addosso al paziente.</w:t>
      </w:r>
      <w:r>
        <w:t xml:space="preserve"> </w:t>
      </w:r>
      <w:r>
        <w:t xml:space="preserve">Tosse secca notturna. Voce roca al mattino, che migliora in giornata. Nodo in gola, che allo sfintere esofageo superiore viene attribuito con un nesso debole: vedi «Le strutture in gioco». Dorme semi-seduto e cena tardi. Conta anche il lato su cui dorme: sul fianco sinistro l’esofago si pulisce in 35 secondi, sul destro ne servono 90 (Schuitenmaker,</w:t>
      </w:r>
      <w:r>
        <w:t xml:space="preserve"> </w:t>
      </w:r>
      <w:r>
        <w:rPr>
          <w:i/>
          <w:iCs/>
        </w:rPr>
        <w:t xml:space="preserve">Am J Gastroenterol</w:t>
      </w:r>
      <w:r>
        <w:t xml:space="preserve"> </w:t>
      </w:r>
      <w:r>
        <w:t xml:space="preserve">2022).</w:t>
      </w:r>
    </w:p>
    <w:p>
      <w:pPr>
        <w:pStyle w:val="BodyText"/>
      </w:pPr>
      <w:r>
        <w:rPr>
          <w:b/>
          <w:bCs/>
        </w:rPr>
        <w:t xml:space="preserve">E c’è un anello che si chiude:</w:t>
      </w:r>
      <w:r>
        <w:t xml:space="preserve"> </w:t>
      </w:r>
      <w:r>
        <w:t xml:space="preserve">reflusso → tosse → picco di pressione → altro reflusso. RAGIONAMENTO.</w:t>
      </w:r>
    </w:p>
    <w:p>
      <w:pPr>
        <w:pStyle w:val="BlockText"/>
      </w:pPr>
      <w:r>
        <w:rPr>
          <w:b/>
          <w:bCs/>
        </w:rPr>
        <w:t xml:space="preserve">Cosa cambia per te.</w:t>
      </w:r>
      <w:r>
        <w:t xml:space="preserve"> </w:t>
      </w:r>
      <w:r>
        <w:t xml:space="preserve">Questi sintomi si condividono con otorinolaringoiatra e gastroenterologo, non si rivendicano. È la parte del quadro in cui l’attribuzione al reflusso è più incerta.</w:t>
      </w:r>
    </w:p>
    <w:p>
      <w:pPr>
        <w:pStyle w:val="FirstParagraph"/>
      </w:pPr>
      <w:r>
        <w:rPr>
          <w:b/>
          <w:bCs/>
        </w:rPr>
        <w:t xml:space="preserve">È un lavandino che gocciola: di notte non gocciola di più, è che nessuno passa più lo straccio.</w:t>
      </w:r>
    </w:p>
    <w:p>
      <w:pPr>
        <w:pStyle w:val="BodyText"/>
      </w:pPr>
      <w:r>
        <w:rPr>
          <w:b/>
          <w:bCs/>
        </w:rPr>
        <w:t xml:space="preserve">Le tre cose da ricordare</w:t>
      </w:r>
    </w:p>
    <w:p>
      <w:pPr>
        <w:pStyle w:val="Compact"/>
        <w:numPr>
          <w:ilvl w:val="0"/>
          <w:numId w:val="1017"/>
        </w:numPr>
      </w:pPr>
      <w:r>
        <w:t xml:space="preserve">Il meccanismo principale è un riflesso vagale che apre la barriera apposta. In quell’istante il crus è spento dal centro, e solo lui.</w:t>
      </w:r>
    </w:p>
    <w:p>
      <w:pPr>
        <w:pStyle w:val="Compact"/>
        <w:numPr>
          <w:ilvl w:val="0"/>
          <w:numId w:val="1017"/>
        </w:numPr>
      </w:pPr>
      <w:r>
        <w:t xml:space="preserve">Fra esposizione e sintomo c’è un guadagno che si alza, e lo stress lo alza. Amplifica la percezione, non genera episodi.</w:t>
      </w:r>
    </w:p>
    <w:p>
      <w:pPr>
        <w:pStyle w:val="Compact"/>
        <w:numPr>
          <w:ilvl w:val="0"/>
          <w:numId w:val="1017"/>
        </w:numPr>
      </w:pPr>
      <w:r>
        <w:t xml:space="preserve">Le tue leve stanno sul terzo (amplificazione percettiva), sul quarto (pressione del contenitore) e sul quinto (contributo crurale). Mai sul primo.</w:t>
      </w:r>
    </w:p>
    <w:p>
      <w:r>
        <w:pict>
          <v:rect style="width:0;height:1.5pt" o:hralign="center" o:hrstd="t" o:hr="t"/>
        </w:pict>
      </w:r>
    </w:p>
    <w:bookmarkEnd w:id="40"/>
    <w:bookmarkEnd w:id="41"/>
    <w:bookmarkStart w:id="49" w:name="X29f5442375d67b8af6c73d4ac2525d92f2728e5"/>
    <w:p>
      <w:pPr>
        <w:pStyle w:val="Heading2"/>
      </w:pPr>
      <w:r>
        <w:t xml:space="preserve">Capitolo 6 — Non è una condizione sola: i sottotipi</w:t>
      </w:r>
    </w:p>
    <w:p>
      <w:pPr>
        <w:pStyle w:val="BlockText"/>
      </w:pPr>
      <w:r>
        <w:rPr>
          <w:b/>
          <w:bCs/>
        </w:rPr>
        <w:t xml:space="preserve">In una riga:</w:t>
      </w:r>
      <w:r>
        <w:t xml:space="preserve"> </w:t>
      </w:r>
      <w:r>
        <w:t xml:space="preserve">sotto la stessa parola</w:t>
      </w:r>
      <w:r>
        <w:t xml:space="preserve"> </w:t>
      </w:r>
      <w:r>
        <w:t xml:space="preserve">“reflusso”</w:t>
      </w:r>
      <w:r>
        <w:t xml:space="preserve"> </w:t>
      </w:r>
      <w:r>
        <w:t xml:space="preserve">ci sono pazienti diversi, e su tre di loro le mani contano poco o niente.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Sottotipo</w:t>
            </w:r>
          </w:p>
        </w:tc>
        <w:tc>
          <w:tcPr/>
          <w:p>
            <w:pPr>
              <w:pStyle w:val="Compact"/>
            </w:pPr>
            <w:r>
              <w:t xml:space="preserve">Segnale che lo riconosce</w:t>
            </w:r>
          </w:p>
        </w:tc>
        <w:tc>
          <w:tcPr/>
          <w:p>
            <w:pPr>
              <w:pStyle w:val="Compact"/>
            </w:pPr>
            <w:r>
              <w:t xml:space="preserve">Meccanismo che comanda</w:t>
            </w:r>
          </w:p>
        </w:tc>
        <w:tc>
          <w:tcPr/>
          <w:p>
            <w:pPr>
              <w:pStyle w:val="Compact"/>
            </w:pPr>
            <w:r>
              <w:t xml:space="preserve">Quanto puoi fare</w:t>
            </w:r>
          </w:p>
        </w:tc>
      </w:tr>
      <w:tr>
        <w:tc>
          <w:tcPr/>
          <w:p>
            <w:pPr>
              <w:pStyle w:val="Compact"/>
            </w:pPr>
            <w:r>
              <w:t xml:space="preserve">Post-prandiale</w:t>
            </w:r>
          </w:p>
        </w:tc>
        <w:tc>
          <w:tcPr/>
          <w:p>
            <w:pPr>
              <w:pStyle w:val="Compact"/>
            </w:pPr>
            <w:r>
              <w:t xml:space="preserve">Solo dopo i pasti, eruttazioni</w:t>
            </w:r>
          </w:p>
        </w:tc>
        <w:tc>
          <w:tcPr/>
          <w:p>
            <w:pPr>
              <w:pStyle w:val="Compact"/>
            </w:pPr>
            <w:r>
              <w:t xml:space="preserve">Rilasciamenti transitori</w:t>
            </w:r>
          </w:p>
        </w:tc>
        <w:tc>
          <w:tcPr/>
          <w:p>
            <w:pPr>
              <w:pStyle w:val="Compact"/>
            </w:pPr>
            <w:r>
              <w:t xml:space="preserve">Poco</w:t>
            </w:r>
          </w:p>
        </w:tc>
      </w:tr>
      <w:tr>
        <w:tc>
          <w:tcPr/>
          <w:p>
            <w:pPr>
              <w:pStyle w:val="Compact"/>
            </w:pPr>
            <w:r>
              <w:t xml:space="preserve">A svuotamento lento</w:t>
            </w:r>
          </w:p>
        </w:tc>
        <w:tc>
          <w:tcPr/>
          <w:p>
            <w:pPr>
              <w:pStyle w:val="Compact"/>
            </w:pPr>
            <w:r>
              <w:t xml:space="preserve">Sazietà precoce, pienezza</w:t>
            </w:r>
          </w:p>
        </w:tc>
        <w:tc>
          <w:tcPr/>
          <w:p>
            <w:pPr>
              <w:pStyle w:val="Compact"/>
            </w:pPr>
            <w:r>
              <w:t xml:space="preserve">Distensione prolungata del fondo</w:t>
            </w:r>
          </w:p>
        </w:tc>
        <w:tc>
          <w:tcPr/>
          <w:p>
            <w:pPr>
              <w:pStyle w:val="Compact"/>
            </w:pPr>
            <w:r>
              <w:t xml:space="preserve">Poco: si segnala</w:t>
            </w:r>
          </w:p>
        </w:tc>
      </w:tr>
      <w:tr>
        <w:tc>
          <w:tcPr/>
          <w:p>
            <w:pPr>
              <w:pStyle w:val="Compact"/>
            </w:pPr>
            <w:r>
              <w:t xml:space="preserve">Pressorio-posturale</w:t>
            </w:r>
          </w:p>
        </w:tc>
        <w:tc>
          <w:tcPr/>
          <w:p>
            <w:pPr>
              <w:pStyle w:val="Compact"/>
            </w:pPr>
            <w:r>
              <w:t xml:space="preserve">Peggiora piegandosi, addome teso</w:t>
            </w:r>
          </w:p>
        </w:tc>
        <w:tc>
          <w:tcPr/>
          <w:p>
            <w:pPr>
              <w:pStyle w:val="Compact"/>
            </w:pPr>
            <w:r>
              <w:t xml:space="preserve">Gradiente pressorio</w:t>
            </w:r>
          </w:p>
        </w:tc>
        <w:tc>
          <w:tcPr/>
          <w:p>
            <w:pPr>
              <w:pStyle w:val="Compact"/>
            </w:pPr>
            <w:r>
              <w:t xml:space="preserve">Abbastanza</w:t>
            </w:r>
          </w:p>
        </w:tc>
      </w:tr>
      <w:tr>
        <w:tc>
          <w:tcPr/>
          <w:p>
            <w:pPr>
              <w:pStyle w:val="Compact"/>
            </w:pPr>
            <w:r>
              <w:t xml:space="preserve">Diaframmatico</w:t>
            </w:r>
          </w:p>
        </w:tc>
        <w:tc>
          <w:tcPr/>
          <w:p>
            <w:pPr>
              <w:pStyle w:val="Compact"/>
            </w:pPr>
            <w:r>
              <w:t xml:space="preserve">Respiro alto, dorsale rigida</w:t>
            </w:r>
          </w:p>
        </w:tc>
        <w:tc>
          <w:tcPr/>
          <w:p>
            <w:pPr>
              <w:pStyle w:val="Compact"/>
            </w:pPr>
            <w:r>
              <w:t xml:space="preserve">Contributo crurale ridotto</w:t>
            </w:r>
          </w:p>
        </w:tc>
        <w:tc>
          <w:tcPr/>
          <w:p>
            <w:pPr>
              <w:pStyle w:val="Compact"/>
            </w:pPr>
            <w:r>
              <w:t xml:space="preserve">Abbastanza</w:t>
            </w:r>
          </w:p>
        </w:tc>
      </w:tr>
      <w:tr>
        <w:tc>
          <w:tcPr/>
          <w:p>
            <w:pPr>
              <w:pStyle w:val="Compact"/>
            </w:pPr>
            <w:r>
              <w:t xml:space="preserve">Sproporzionato al referto</w:t>
            </w:r>
          </w:p>
        </w:tc>
        <w:tc>
          <w:tcPr/>
          <w:p>
            <w:pPr>
              <w:pStyle w:val="Compact"/>
            </w:pPr>
            <w:r>
              <w:t xml:space="preserve">Segue lo stato emotivo, a dieta invariata</w:t>
            </w:r>
          </w:p>
        </w:tc>
        <w:tc>
          <w:tcPr/>
          <w:p>
            <w:pPr>
              <w:pStyle w:val="Compact"/>
            </w:pPr>
            <w:r>
              <w:t xml:space="preserve">Amplificazione percettiva</w:t>
            </w:r>
          </w:p>
        </w:tc>
        <w:tc>
          <w:tcPr/>
          <w:p>
            <w:pPr>
              <w:pStyle w:val="Compact"/>
            </w:pPr>
            <w:r>
              <w:t xml:space="preserve">Abbastanza</w:t>
            </w:r>
          </w:p>
        </w:tc>
      </w:tr>
      <w:tr>
        <w:tc>
          <w:tcPr/>
          <w:p>
            <w:pPr>
              <w:pStyle w:val="Compact"/>
            </w:pPr>
            <w:r>
              <w:t xml:space="preserve">Notturno-extraesofageo</w:t>
            </w:r>
          </w:p>
        </w:tc>
        <w:tc>
          <w:tcPr/>
          <w:p>
            <w:pPr>
              <w:pStyle w:val="Compact"/>
            </w:pPr>
            <w:r>
              <w:t xml:space="preserve">Tosse, voce, nodo in gola</w:t>
            </w:r>
          </w:p>
        </w:tc>
        <w:tc>
          <w:tcPr/>
          <w:p>
            <w:pPr>
              <w:pStyle w:val="Compact"/>
            </w:pPr>
            <w:r>
              <w:t xml:space="preserve">Clearance notturna</w:t>
            </w:r>
          </w:p>
        </w:tc>
        <w:tc>
          <w:tcPr/>
          <w:p>
            <w:pPr>
              <w:pStyle w:val="Compact"/>
            </w:pPr>
            <w:r>
              <w:t xml:space="preserve">Poco</w:t>
            </w:r>
          </w:p>
        </w:tc>
      </w:tr>
      <w:tr>
        <w:tc>
          <w:tcPr/>
          <w:p>
            <w:pPr>
              <w:pStyle w:val="Compact"/>
            </w:pPr>
            <w:r>
              <w:t xml:space="preserve">Strutturale-erosivo</w:t>
            </w:r>
          </w:p>
        </w:tc>
        <w:tc>
          <w:tcPr/>
          <w:p>
            <w:pPr>
              <w:pStyle w:val="Compact"/>
            </w:pPr>
            <w:r>
              <w:t xml:space="preserve">Ernia voluminosa, esofagite, Barrett</w:t>
            </w:r>
          </w:p>
        </w:tc>
        <w:tc>
          <w:tcPr/>
          <w:p>
            <w:pPr>
              <w:pStyle w:val="Compact"/>
            </w:pPr>
            <w:r>
              <w:t xml:space="preserve">Separazione dei due sfinteri</w:t>
            </w:r>
          </w:p>
        </w:tc>
        <w:tc>
          <w:tcPr/>
          <w:p>
            <w:pPr>
              <w:pStyle w:val="Compact"/>
            </w:pPr>
            <w:r>
              <w:t xml:space="preserve">Poco: invio</w:t>
            </w:r>
          </w:p>
        </w:tc>
      </w:tr>
    </w:tbl>
    <w:p>
      <w:pPr>
        <w:pStyle w:val="BodyText"/>
      </w:pPr>
      <w:r>
        <w:t xml:space="preserve">Quasi sempre un paziente ne porta due o tre insieme. Il lavoro non è incasellarlo. È decidere</w:t>
      </w:r>
      <w:r>
        <w:t xml:space="preserve"> </w:t>
      </w:r>
      <w:r>
        <w:rPr>
          <w:b/>
          <w:bCs/>
        </w:rPr>
        <w:t xml:space="preserve">quale comanda oggi</w:t>
      </w:r>
      <w:r>
        <w:t xml:space="preserve">.</w:t>
      </w:r>
    </w:p>
    <w:p>
      <w:pPr>
        <w:pStyle w:val="BodyText"/>
      </w:pPr>
      <w:r>
        <w:rPr>
          <w:b/>
          <w:bCs/>
        </w:rPr>
        <w:t xml:space="preserve">Una distinzione da tenere ferma.</w:t>
      </w:r>
      <w:r>
        <w:t xml:space="preserve"> </w:t>
      </w:r>
      <w:r>
        <w:t xml:space="preserve">Il sottotipo lo sospetti tu, al lettino, ed è uno strumento operativo interno. L’etichetta diagnostica la scrive il referto. Non sono la stessa cosa e non si scambiano: sono la lista della spesa e lo scontrino, uno è tuo e l’altro fa fede.</w:t>
      </w:r>
    </w:p>
    <w:bookmarkStart w:id="42" w:name="post-prandiale"/>
    <w:p>
      <w:pPr>
        <w:pStyle w:val="Heading3"/>
      </w:pPr>
      <w:r>
        <w:t xml:space="preserve">Post-prandiale</w:t>
      </w:r>
    </w:p>
    <w:p>
      <w:pPr>
        <w:pStyle w:val="FirstParagraph"/>
      </w:pPr>
      <w:r>
        <w:t xml:space="preserve">Il sintomo è agganciato al volume del pasto, non al contenuto:</w:t>
      </w:r>
      <w:r>
        <w:t xml:space="preserve"> </w:t>
      </w:r>
      <w:r>
        <w:rPr>
          <w:i/>
          <w:iCs/>
        </w:rPr>
        <w:t xml:space="preserve">“se mangio poco sto bene, anche se mangio le cose sbagliate”</w:t>
      </w:r>
      <w:r>
        <w:t xml:space="preserve">. La leva vera è il volume dei pasti e la distanza fra cena e sonno. Si segnala e si rimanda a medico o dietista.</w:t>
      </w:r>
    </w:p>
    <w:p>
      <w:pPr>
        <w:pStyle w:val="BodyText"/>
      </w:pPr>
      <w:r>
        <w:t xml:space="preserve">Se il paziente migliora dopo che hai lavorato qui, ha cambiato i pasti. Non è una conferma del tuo lavoro: è la sua smentita.</w:t>
      </w:r>
    </w:p>
    <w:bookmarkEnd w:id="42"/>
    <w:bookmarkStart w:id="43" w:name="pressorio-posturale"/>
    <w:p>
      <w:pPr>
        <w:pStyle w:val="Heading3"/>
      </w:pPr>
      <w:r>
        <w:t xml:space="preserve">Pressorio-posturale</w:t>
      </w:r>
    </w:p>
    <w:p>
      <w:pPr>
        <w:pStyle w:val="FirstParagraph"/>
      </w:pPr>
      <w:r>
        <w:t xml:space="preserve">È il sottotipo con il razionale meccanico più diretto. Agisci sulla parete del contenitore, non sulla valvola.</w:t>
      </w:r>
    </w:p>
    <w:p>
      <w:pPr>
        <w:pStyle w:val="BlockText"/>
      </w:pPr>
      <w:r>
        <w:rPr>
          <w:b/>
          <w:bCs/>
        </w:rPr>
        <w:t xml:space="preserve">Attenzione — una tensione che questo documento dichiara invece di nasconderla.</w:t>
      </w:r>
      <w:r>
        <w:t xml:space="preserve"> </w:t>
      </w:r>
      <w:r>
        <w:t xml:space="preserve">“Razionale più diretto”</w:t>
      </w:r>
      <w:r>
        <w:t xml:space="preserve"> </w:t>
      </w:r>
      <w:r>
        <w:t xml:space="preserve">non vuol dire etichetta più alta. Ciò che regge PROBABILE è il</w:t>
      </w:r>
      <w:r>
        <w:t xml:space="preserve"> </w:t>
      </w:r>
      <w:r>
        <w:rPr>
          <w:b/>
          <w:bCs/>
        </w:rPr>
        <w:t xml:space="preserve">volume</w:t>
      </w:r>
      <w:r>
        <w:t xml:space="preserve">, che non è nelle tue mani. La componente che tratti — tensione di parete, cerniera, chiusura anteriore — è</w:t>
      </w:r>
      <w:r>
        <w:t xml:space="preserve"> </w:t>
      </w:r>
      <w:r>
        <w:rPr>
          <w:b/>
          <w:bCs/>
        </w:rPr>
        <w:t xml:space="preserve">IPOTESI</w:t>
      </w:r>
      <w:r>
        <w:t xml:space="preserve"> </w:t>
      </w:r>
      <w:r>
        <w:t xml:space="preserve">in ogni capitolo. Se un gastroenterologo ti chiede quanto vale la tua leva qui: razionale forte, prove dirette nessuna.</w:t>
      </w:r>
    </w:p>
    <w:bookmarkEnd w:id="43"/>
    <w:bookmarkStart w:id="44" w:name="diaframmatico"/>
    <w:p>
      <w:pPr>
        <w:pStyle w:val="Heading3"/>
      </w:pPr>
      <w:r>
        <w:t xml:space="preserve">Diaframmatico</w:t>
      </w:r>
    </w:p>
    <w:p>
      <w:pPr>
        <w:pStyle w:val="FirstParagraph"/>
      </w:pPr>
      <w:r>
        <w:t xml:space="preserve">Spesso c’è una storia di dorsalgia, o di lavoro in chiusura anteriore, o di un periodo lungo di tensione. È il sottotipo su cui le prove indirette sono migliori, perché è quello che l’allenamento respiratorio ha mostrato di modificare.</w:t>
      </w:r>
    </w:p>
    <w:p>
      <w:pPr>
        <w:pStyle w:val="BlockText"/>
      </w:pPr>
      <w:r>
        <w:rPr>
          <w:b/>
          <w:bCs/>
        </w:rPr>
        <w:t xml:space="preserve">Cosa cambia per te.</w:t>
      </w:r>
      <w:r>
        <w:t xml:space="preserve"> </w:t>
      </w:r>
      <w:r>
        <w:t xml:space="preserve">Pressorio e diaframmatico convivono quasi sempre, e i segni si sovrappongono. Due criteri li separano. Il primo è</w:t>
      </w:r>
      <w:r>
        <w:t xml:space="preserve"> </w:t>
      </w:r>
      <w:r>
        <w:rPr>
          <w:b/>
          <w:bCs/>
        </w:rPr>
        <w:t xml:space="preserve">quando</w:t>
      </w:r>
      <w:r>
        <w:t xml:space="preserve"> </w:t>
      </w:r>
      <w:r>
        <w:t xml:space="preserve">compare il sintomo: nel pressorio con la posizione e la compressione,</w:t>
      </w:r>
      <w:r>
        <w:t xml:space="preserve"> </w:t>
      </w:r>
      <w:r>
        <w:rPr>
          <w:b/>
          <w:bCs/>
        </w:rPr>
        <w:t xml:space="preserve">anche a stomaco vuoto</w:t>
      </w:r>
      <w:r>
        <w:t xml:space="preserve">; nel diaframmatico nei periodi di carico e di rigidità toracica. Il secondo è</w:t>
      </w:r>
      <w:r>
        <w:t xml:space="preserve"> </w:t>
      </w:r>
      <w:r>
        <w:rPr>
          <w:b/>
          <w:bCs/>
        </w:rPr>
        <w:t xml:space="preserve">cosa lo spegne</w:t>
      </w:r>
      <w:r>
        <w:t xml:space="preserve">: nel pressorio allentare la cintura o cambiare posizione, nel diaframmatico no.</w:t>
      </w:r>
    </w:p>
    <w:bookmarkEnd w:id="44"/>
    <w:bookmarkStart w:id="45" w:name="sproporzionato-al-referto"/>
    <w:p>
      <w:pPr>
        <w:pStyle w:val="Heading3"/>
      </w:pPr>
      <w:r>
        <w:t xml:space="preserve">Sproporzionato al referto</w:t>
      </w:r>
    </w:p>
    <w:p>
      <w:pPr>
        <w:pStyle w:val="FirstParagraph"/>
      </w:pPr>
      <w:r>
        <w:t xml:space="preserve">Non definirlo per assenza —</w:t>
      </w:r>
      <w:r>
        <w:t xml:space="preserve"> </w:t>
      </w:r>
      <w:r>
        <w:t xml:space="preserve">“referto pulito”</w:t>
      </w:r>
      <w:r>
        <w:t xml:space="preserve"> </w:t>
      </w:r>
      <w:r>
        <w:t xml:space="preserve">— ma per meccanismo:</w:t>
      </w:r>
      <w:r>
        <w:t xml:space="preserve"> </w:t>
      </w:r>
      <w:r>
        <w:rPr>
          <w:b/>
          <w:bCs/>
        </w:rPr>
        <w:t xml:space="preserve">uno stimolo reale letto troppo forte</w:t>
      </w:r>
      <w:r>
        <w:t xml:space="preserve">, oppure un sintomo senza stimolo. Così diventa una domanda che puoi fare. Il bruciore segue lo stato emotivo con una fedeltà che il paziente ha notato, e spesso non osa dirtelo perché gli hanno già detto che è ansia.</w:t>
      </w:r>
    </w:p>
    <w:p>
      <w:pPr>
        <w:pStyle w:val="BlockText"/>
      </w:pPr>
      <w:r>
        <w:rPr>
          <w:b/>
          <w:bCs/>
        </w:rPr>
        <w:t xml:space="preserve">Attenzione.</w:t>
      </w:r>
      <w:r>
        <w:t xml:space="preserve"> </w:t>
      </w:r>
      <w:r>
        <w:rPr>
          <w:i/>
          <w:iCs/>
        </w:rPr>
        <w:t xml:space="preserve">Reflusso ipersensibile</w:t>
      </w:r>
      <w:r>
        <w:t xml:space="preserve"> </w:t>
      </w:r>
      <w:r>
        <w:t xml:space="preserve">e</w:t>
      </w:r>
      <w:r>
        <w:t xml:space="preserve"> </w:t>
      </w:r>
      <w:r>
        <w:rPr>
          <w:i/>
          <w:iCs/>
        </w:rPr>
        <w:t xml:space="preserve">pirosi funzionale</w:t>
      </w:r>
      <w:r>
        <w:t xml:space="preserve"> </w:t>
      </w:r>
      <w:r>
        <w:t xml:space="preserve">sono etichette di Roma IV, e si assegnano</w:t>
      </w:r>
      <w:r>
        <w:t xml:space="preserve"> </w:t>
      </w:r>
      <w:r>
        <w:rPr>
          <w:b/>
          <w:bCs/>
        </w:rPr>
        <w:t xml:space="preserve">solo</w:t>
      </w:r>
      <w:r>
        <w:t xml:space="preserve"> </w:t>
      </w:r>
      <w:r>
        <w:t xml:space="preserve">con la pH-impedenzometria. Qui le</w:t>
      </w:r>
      <w:r>
        <w:t xml:space="preserve"> </w:t>
      </w:r>
      <w:r>
        <w:rPr>
          <w:b/>
          <w:bCs/>
        </w:rPr>
        <w:t xml:space="preserve">leggi</w:t>
      </w:r>
      <w:r>
        <w:t xml:space="preserve"> </w:t>
      </w:r>
      <w:r>
        <w:t xml:space="preserve">in un referto, non le assegni al lettino.</w:t>
      </w:r>
    </w:p>
    <w:p>
      <w:pPr>
        <w:pStyle w:val="FirstParagraph"/>
      </w:pPr>
      <w:r>
        <w:t xml:space="preserve">Non è</w:t>
      </w:r>
      <w:r>
        <w:t xml:space="preserve"> </w:t>
      </w:r>
      <w:r>
        <w:t xml:space="preserve">“solo ansia”</w:t>
      </w:r>
      <w:r>
        <w:t xml:space="preserve">, e non nel senso in cui gliel’hanno detta. È una soglia di percezione abbassata, che è un meccanismo e non un giudizio. Su queste entità esiste un</w:t>
      </w:r>
      <w:r>
        <w:t xml:space="preserve"> </w:t>
      </w:r>
      <w:r>
        <w:rPr>
          <w:b/>
          <w:bCs/>
        </w:rPr>
        <w:t xml:space="preserve">percorso medico dedicato</w:t>
      </w:r>
      <w:r>
        <w:t xml:space="preserve"> </w:t>
      </w:r>
      <w:r>
        <w:t xml:space="preserve">— neuromodulatori, psicoterapia, ipnoterapia — che si condivide e non si sostituisce.</w:t>
      </w:r>
    </w:p>
    <w:p>
      <w:pPr>
        <w:pStyle w:val="BlockText"/>
      </w:pPr>
      <w:r>
        <w:rPr>
          <w:b/>
          <w:bCs/>
        </w:rPr>
        <w:t xml:space="preserve">Quanto è solido:</w:t>
      </w:r>
      <w:r>
        <w:t xml:space="preserve"> </w:t>
      </w:r>
      <w:r>
        <w:t xml:space="preserve">l’evidenza non è omogenea fra le tre voci. Per la pirosi funzionale la gastroenterologia ha un documento di raccomandazione che mette in prima linea l’ipnoterapia diretta all’intestino, con il 93% di accordo di un panel di quindici esperti; la terapia cognitivo-comportamentale resta invece sotto la soglia di consenso (Guadagnoli,</w:t>
      </w:r>
      <w:r>
        <w:t xml:space="preserve"> </w:t>
      </w:r>
      <w:r>
        <w:rPr>
          <w:i/>
          <w:iCs/>
        </w:rPr>
        <w:t xml:space="preserve">Clin Gastroenterol Hepatol</w:t>
      </w:r>
      <w:r>
        <w:t xml:space="preserve"> </w:t>
      </w:r>
      <w:r>
        <w:t xml:space="preserve">2024). È consenso formale di esperti, non un RCT. Gli autori scrivono che esiste un solo trial sull’ipnoterapia nella pirosi funzionale, ed è uno studio di fattibilità non controllato (Riehl,</w:t>
      </w:r>
      <w:r>
        <w:t xml:space="preserve"> </w:t>
      </w:r>
      <w:r>
        <w:rPr>
          <w:i/>
          <w:iCs/>
        </w:rPr>
        <w:t xml:space="preserve">Dis Esophagus</w:t>
      </w:r>
      <w:r>
        <w:t xml:space="preserve"> </w:t>
      </w:r>
      <w:r>
        <w:t xml:space="preserve">2016). Ti serve sapere che il percorso esiste, come si chiama e a chi appartiene, non venderne l’efficacia.</w:t>
      </w:r>
    </w:p>
    <w:bookmarkEnd w:id="45"/>
    <w:bookmarkStart w:id="46" w:name="notturno-extraesofageo"/>
    <w:p>
      <w:pPr>
        <w:pStyle w:val="Heading3"/>
      </w:pPr>
      <w:r>
        <w:t xml:space="preserve">Notturno-extraesofageo</w:t>
      </w:r>
    </w:p>
    <w:p>
      <w:pPr>
        <w:pStyle w:val="FirstParagraph"/>
      </w:pPr>
      <w:r>
        <w:t xml:space="preserve">È il sottotipo che il paziente porta con più frustrazione, perché nessuno gli ha collegato i sintomi. Puoi contribuire sulla componente posturale e respiratoria. Non puoi rivendicare la tosse cronica né la voce roca: l’attribuzione è incerta, e va condivisa con otorinolaringoiatra e gastroenterologo.</w:t>
      </w:r>
    </w:p>
    <w:p>
      <w:pPr>
        <w:pStyle w:val="BlockText"/>
      </w:pPr>
      <w:r>
        <w:rPr>
          <w:b/>
          <w:bCs/>
        </w:rPr>
        <w:t xml:space="preserve">Attenzione.</w:t>
      </w:r>
      <w:r>
        <w:t xml:space="preserve"> </w:t>
      </w:r>
      <w:r>
        <w:t xml:space="preserve">Prima di attribuire al reflusso una voce cambiata, chiedi da quanto dura e chiedi del fumo. Oltre le tre settimane, la voce è dell’otorinolaringoiatra finché non dice il contrario.</w:t>
      </w:r>
    </w:p>
    <w:bookmarkEnd w:id="46"/>
    <w:bookmarkStart w:id="48" w:name="strutturale-erosivo"/>
    <w:p>
      <w:pPr>
        <w:pStyle w:val="Heading3"/>
      </w:pPr>
      <w:r>
        <w:t xml:space="preserve">Strutturale-erosivo</w:t>
      </w:r>
    </w:p>
    <w:p>
      <w:pPr>
        <w:pStyle w:val="FirstParagraph"/>
      </w:pPr>
      <w:r>
        <w:t xml:space="preserve">Ernia iatale voluminosa, esofagite erosiva, esofago di Barrett, difficoltà a deglutire. Qui non ci sono sfumature:</w:t>
      </w:r>
      <w:r>
        <w:t xml:space="preserve"> </w:t>
      </w:r>
      <w:r>
        <w:rPr>
          <w:b/>
          <w:bCs/>
        </w:rPr>
        <w:t xml:space="preserve">è del gastroenterologo</w:t>
      </w:r>
      <w:r>
        <w:t xml:space="preserve">, e il tuo ruolo è accompagnare. Non puoi ridurre un’ernia con le mani: chiunque scriva il contrario sta vendendo. Il contributo utile non è il comfort ma la riduzione del carico pressorio, e sta in «Perché le mani possono cambiare qualcosa».</w:t>
      </w:r>
    </w:p>
    <w:p>
      <w:pPr>
        <w:pStyle w:val="BodyText"/>
      </w:pPr>
      <w:r>
        <w:t xml:space="preserve">Nell’</w:t>
      </w:r>
      <w:r>
        <w:rPr>
          <w:b/>
          <w:bCs/>
        </w:rPr>
        <w:t xml:space="preserve">anziano</w:t>
      </w:r>
      <w:r>
        <w:t xml:space="preserve"> </w:t>
      </w:r>
      <w:r>
        <w:t xml:space="preserve">questo sottotipo è sovra-rappresentato e dà pochi sintomi: poco bruciore e molto danno. Lì il sintomo lieve non rassicura.</w:t>
      </w:r>
    </w:p>
    <w:p>
      <w:pPr>
        <w:pStyle w:val="BodyText"/>
      </w:pPr>
      <w:r>
        <w:rPr>
          <w:b/>
          <w:bCs/>
        </w:rPr>
        <w:t xml:space="preserve">Il paziente operato di plastica antireflusso</w:t>
      </w:r>
      <w:r>
        <w:t xml:space="preserve"> </w:t>
      </w:r>
      <w:r>
        <w:t xml:space="preserve">ha il crus suturato, a volte non riesce a eruttare, e porta gonfiore al posto del bruciore.</w:t>
      </w:r>
    </w:p>
    <w:p>
      <w:pPr>
        <w:pStyle w:val="BodyText"/>
      </w:pPr>
      <w:r>
        <w:rPr>
          <w:b/>
          <w:bCs/>
        </w:rPr>
        <w:t xml:space="preserve">Il paziente operato di sleeve gastrectomy — lo stomaco ridotto a tubo — è l’opposto, ed è oggi il più frequente dei due.</w:t>
      </w:r>
      <w:r>
        <w:t xml:space="preserve"> </w:t>
      </w:r>
      <w:r>
        <w:t xml:space="preserve">La chirurgia gli ha</w:t>
      </w:r>
      <w:r>
        <w:t xml:space="preserve"> </w:t>
      </w:r>
      <w:r>
        <w:rPr>
          <w:i/>
          <w:iCs/>
        </w:rPr>
        <w:t xml:space="preserve">dato</w:t>
      </w:r>
      <w:r>
        <w:t xml:space="preserve"> </w:t>
      </w:r>
      <w:r>
        <w:t xml:space="preserve">il reflusso. Il sospetto di Barrett è concreto, e il suo posto è la sorveglianza endoscopica.</w:t>
      </w:r>
    </w:p>
    <w:p>
      <w:pPr>
        <w:pStyle w:val="BodyText"/>
      </w:pPr>
      <w:r>
        <w:rPr>
          <w:b/>
          <w:bCs/>
        </w:rPr>
        <w:t xml:space="preserve">Condizioni spesso associate.</w:t>
      </w:r>
      <w:r>
        <w:t xml:space="preserve"> </w:t>
      </w:r>
      <w:r>
        <w:t xml:space="preserve">Con dorsalgia alta o cervicalgia, vedi le Bibbie corrispondenti: i tre quadri condividono diaframma e cerniera dorso-lombare. IPOTESI — la co-occorrenza è clinica, il nesso un ragionamento sul terreno comune. Che il reflusso</w:t>
      </w:r>
      <w:r>
        <w:t xml:space="preserve"> </w:t>
      </w:r>
      <w:r>
        <w:rPr>
          <w:b/>
          <w:bCs/>
        </w:rPr>
        <w:t xml:space="preserve">causi</w:t>
      </w:r>
      <w:r>
        <w:t xml:space="preserve"> </w:t>
      </w:r>
      <w:r>
        <w:t xml:space="preserve">una cervicalgia non è dimostrato.</w:t>
      </w:r>
    </w:p>
    <w:p>
      <w:pPr>
        <w:pStyle w:val="BodyText"/>
      </w:pPr>
      <w:r>
        <w:rPr>
          <w:b/>
          <w:bCs/>
        </w:rPr>
        <w:t xml:space="preserve">Le tre cose da ricordare</w:t>
      </w:r>
    </w:p>
    <w:p>
      <w:pPr>
        <w:pStyle w:val="Compact"/>
        <w:numPr>
          <w:ilvl w:val="0"/>
          <w:numId w:val="1018"/>
        </w:numPr>
      </w:pPr>
      <w:r>
        <w:t xml:space="preserve">Tre domande separano i quattro sottotipi più frequenti:</w:t>
      </w:r>
      <w:r>
        <w:t xml:space="preserve"> </w:t>
      </w:r>
      <w:r>
        <w:rPr>
          <w:i/>
          <w:iCs/>
        </w:rPr>
        <w:t xml:space="preserve">“peggiora per quanto mangi o per quando ti pieghi?”</w:t>
      </w:r>
      <w:r>
        <w:t xml:space="preserve">,</w:t>
      </w:r>
      <w:r>
        <w:t xml:space="preserve"> </w:t>
      </w:r>
      <w:r>
        <w:rPr>
          <w:i/>
          <w:iCs/>
        </w:rPr>
        <w:t xml:space="preserve">“succede anche a stomaco vuoto?”</w:t>
      </w:r>
      <w:r>
        <w:t xml:space="preserve">,</w:t>
      </w:r>
      <w:r>
        <w:t xml:space="preserve"> </w:t>
      </w:r>
      <w:r>
        <w:rPr>
          <w:i/>
          <w:iCs/>
        </w:rPr>
        <w:t xml:space="preserve">“ti senti pieno a lungo dopo mangiato?”</w:t>
      </w:r>
      <w:r>
        <w:t xml:space="preserve">.</w:t>
      </w:r>
    </w:p>
    <w:p>
      <w:pPr>
        <w:pStyle w:val="Compact"/>
        <w:numPr>
          <w:ilvl w:val="0"/>
          <w:numId w:val="1018"/>
        </w:numPr>
      </w:pPr>
      <w:r>
        <w:t xml:space="preserve">Nel sottotipo sproporzionato al referto l’obiettivo dichiarato è l’intensità, non il numero di episodi.</w:t>
      </w:r>
    </w:p>
    <w:p>
      <w:pPr>
        <w:pStyle w:val="Heading2"/>
        <w:numPr>
          <w:ilvl w:val="0"/>
          <w:numId w:val="1018"/>
        </w:numPr>
      </w:pPr>
      <w:bookmarkStart w:id="47" w:name="X6da1202acd68c11f2f84f62a6aedbb1de0e87c4"/>
      <w:r>
        <w:t xml:space="preserve">Il sottotipo strutturale-erosivo non è tuo. Riconoscerlo è competenza, non rinuncia — e lì la cosa utile è il carico pressorio, non il comfort.</w:t>
      </w:r>
      <w:bookmarkEnd w:id="47"/>
    </w:p>
    <w:bookmarkEnd w:id="48"/>
    <w:bookmarkEnd w:id="49"/>
    <w:bookmarkStart w:id="55" w:name="X09247322a2da79841e87919ec6d62c213d7949d"/>
    <w:p>
      <w:pPr>
        <w:pStyle w:val="Heading2"/>
      </w:pPr>
      <w:r>
        <w:t xml:space="preserve">Capitolo 7 — La lettura osteopatica: i cinque modelli</w:t>
      </w:r>
    </w:p>
    <w:p>
      <w:pPr>
        <w:pStyle w:val="BlockText"/>
      </w:pPr>
      <w:r>
        <w:rPr>
          <w:b/>
          <w:bCs/>
        </w:rPr>
        <w:t xml:space="preserve">In una riga:</w:t>
      </w:r>
      <w:r>
        <w:t xml:space="preserve"> </w:t>
      </w:r>
      <w:r>
        <w:t xml:space="preserve">su cinque modelli, due hanno un razionale forte su questa condizione, due contano ma non passano dalle tue mani, e uno va dichiarato debole.</w:t>
      </w:r>
    </w:p>
    <w:bookmarkStart w:id="50" w:name="biomeccanico-strutturale"/>
    <w:p>
      <w:pPr>
        <w:pStyle w:val="Heading3"/>
      </w:pPr>
      <w:r>
        <w:t xml:space="preserve">Biomeccanico-Strutturale</w:t>
      </w:r>
    </w:p>
    <w:p>
      <w:pPr>
        <w:pStyle w:val="FirstParagraph"/>
      </w:pPr>
      <w:r>
        <w:rPr>
          <w:b/>
          <w:bCs/>
        </w:rPr>
        <w:t xml:space="preserve">Cosa governa qui.</w:t>
      </w:r>
      <w:r>
        <w:t xml:space="preserve"> </w:t>
      </w:r>
      <w:r>
        <w:t xml:space="preserve">La meccanica del contenitore: parete addominale, arcate costali basse, cerniera T12-L1, angolo di His. Il viscerale non è un modello a sé. La meccanica dell’organo vive qui, il riflesso nel Neurologico.</w:t>
      </w:r>
    </w:p>
    <w:p>
      <w:pPr>
        <w:pStyle w:val="BodyText"/>
      </w:pPr>
      <w:r>
        <w:rPr>
          <w:b/>
          <w:bCs/>
        </w:rPr>
        <w:t xml:space="preserve">I segnali che ti dicono che pesa in questo paziente.</w:t>
      </w:r>
      <w:r>
        <w:t xml:space="preserve"> </w:t>
      </w:r>
      <w:r>
        <w:t xml:space="preserve">Estensione dorsale limitata. Sintomo in flessione del tronco. Cerniera T12-L1 bloccata.</w:t>
      </w:r>
    </w:p>
    <w:p>
      <w:pPr>
        <w:pStyle w:val="BlockText"/>
      </w:pPr>
      <w:r>
        <w:rPr>
          <w:b/>
          <w:bCs/>
        </w:rPr>
        <w:t xml:space="preserve">Quanto è solido:</w:t>
      </w:r>
      <w:r>
        <w:t xml:space="preserve"> </w:t>
      </w:r>
      <w:r>
        <w:t xml:space="preserve">PROBABILE</w:t>
      </w:r>
      <w:r>
        <w:t xml:space="preserve"> </w:t>
      </w:r>
      <w:r>
        <w:rPr>
          <w:b/>
          <w:bCs/>
        </w:rPr>
        <w:t xml:space="preserve">come fattore di rischio</w:t>
      </w:r>
      <w:r>
        <w:t xml:space="preserve">. In una coorte prospettica di 178 anziani senza reflusso all’inizio, il 21% l’ha sviluppato in cinque anni. La comparsa è risultata associata a quattro fattori: peggioramento della curva lombare, inclinazione del tronco in avanti, perdita di forza dei muscoli dorsali, perdita di massa muscolare (Imagama,</w:t>
      </w:r>
      <w:r>
        <w:t xml:space="preserve"> </w:t>
      </w:r>
      <w:r>
        <w:rPr>
          <w:i/>
          <w:iCs/>
        </w:rPr>
        <w:t xml:space="preserve">Eur Spine J</w:t>
      </w:r>
      <w:r>
        <w:t xml:space="preserve"> </w:t>
      </w:r>
      <w:r>
        <w:t xml:space="preserve">2019). Misurato come fattore di rischio in una coorte di anziani seguita per cinque anni: dice che la postura precede il sintomo, non che modificarla con le mani lo tolga. Il</w:t>
      </w:r>
      <w:r>
        <w:t xml:space="preserve"> </w:t>
      </w:r>
      <w:r>
        <w:rPr>
          <w:b/>
          <w:bCs/>
        </w:rPr>
        <w:t xml:space="preserve">meccanismo</w:t>
      </w:r>
      <w:r>
        <w:t xml:space="preserve"> </w:t>
      </w:r>
      <w:r>
        <w:t xml:space="preserve">sale di etichetta; la</w:t>
      </w:r>
      <w:r>
        <w:t xml:space="preserve"> </w:t>
      </w:r>
      <w:r>
        <w:rPr>
          <w:b/>
          <w:bCs/>
        </w:rPr>
        <w:t xml:space="preserve">leva manuale</w:t>
      </w:r>
      <w:r>
        <w:t xml:space="preserve"> </w:t>
      </w:r>
      <w:r>
        <w:t xml:space="preserve">resta IPOTESI su tutto ciò che è propriamente biomeccanico, perché nessuno degli studi controllati esistenti l’ha testato.</w:t>
      </w:r>
    </w:p>
    <w:bookmarkEnd w:id="50"/>
    <w:bookmarkStart w:id="51" w:name="respiratorio-circolatorio"/>
    <w:p>
      <w:pPr>
        <w:pStyle w:val="Heading3"/>
      </w:pPr>
      <w:r>
        <w:t xml:space="preserve">Respiratorio-Circolatorio</w:t>
      </w:r>
    </w:p>
    <w:p>
      <w:pPr>
        <w:pStyle w:val="FirstParagraph"/>
      </w:pPr>
      <w:r>
        <w:rPr>
          <w:b/>
          <w:bCs/>
        </w:rPr>
        <w:t xml:space="preserve">Cosa governa qui.</w:t>
      </w:r>
      <w:r>
        <w:t xml:space="preserve"> </w:t>
      </w:r>
      <w:r>
        <w:t xml:space="preserve">Il gradiente pressorio fra torace e addome, e il contributo pulsante del diaframma sulla barriera: parte costale e crurale, muscoli inspiratori, gabbia toracica bassa, inserzioni crurali. È il modello con le</w:t>
      </w:r>
      <w:r>
        <w:t xml:space="preserve"> </w:t>
      </w:r>
      <w:r>
        <w:rPr>
          <w:b/>
          <w:bCs/>
        </w:rPr>
        <w:t xml:space="preserve">prove di intervento migliori</w:t>
      </w:r>
      <w:r>
        <w:t xml:space="preserve">. Ed è il luogo giusto per la leva manuale sul diaframma: il crus è lo sfintere esterno, e lo sfintere esterno è respiratorio prima che posturale.</w:t>
      </w:r>
    </w:p>
    <w:p>
      <w:pPr>
        <w:pStyle w:val="BodyText"/>
      </w:pPr>
      <w:r>
        <w:rPr>
          <w:b/>
          <w:bCs/>
        </w:rPr>
        <w:t xml:space="preserve">I segnali che ti dicono che pesa in questo paziente.</w:t>
      </w:r>
      <w:r>
        <w:t xml:space="preserve"> </w:t>
      </w:r>
      <w:r>
        <w:t xml:space="preserve">Apnea di trattenimento quando parla di sé. Impossibilità di dissociare respiro toracico e addominale. E il promemoria del quinto meccanismo: nessuno di questi segni misura il crus.</w:t>
      </w:r>
    </w:p>
    <w:p>
      <w:pPr>
        <w:pStyle w:val="BlockText"/>
      </w:pPr>
      <w:r>
        <w:rPr>
          <w:b/>
          <w:bCs/>
        </w:rPr>
        <w:t xml:space="preserve">Quanto è solido, per l’allenamento:</w:t>
      </w:r>
      <w:r>
        <w:t xml:space="preserve"> </w:t>
      </w:r>
      <w:r>
        <w:t xml:space="preserve">PROBABILE — più studi controllati su campioni piccoli, una meta-analisi con eterogeneità molto alta e nessun effetto sulla qualità di vita. Numeri, denominatori e cautele degli autori in «Cosa può fare il paziente da solo» e «Cosa dice la scienza».</w:t>
      </w:r>
    </w:p>
    <w:p>
      <w:pPr>
        <w:pStyle w:val="BlockText"/>
      </w:pPr>
      <w:r>
        <w:rPr>
          <w:b/>
          <w:bCs/>
        </w:rPr>
        <w:t xml:space="preserve">Quanto è solido, per il lavoro manuale:</w:t>
      </w:r>
      <w:r>
        <w:t xml:space="preserve"> </w:t>
      </w:r>
      <w:r>
        <w:t xml:space="preserve">PROBABILE per l’effetto pressorio</w:t>
      </w:r>
      <w:r>
        <w:t xml:space="preserve"> </w:t>
      </w:r>
      <w:r>
        <w:rPr>
          <w:b/>
          <w:bCs/>
        </w:rPr>
        <w:t xml:space="preserve">immediato</w:t>
      </w:r>
      <w:r>
        <w:t xml:space="preserve">, su un solo studio controllato con</w:t>
      </w:r>
      <w:r>
        <w:t xml:space="preserve"> </w:t>
      </w:r>
      <w:r>
        <w:rPr>
          <w:b/>
          <w:bCs/>
        </w:rPr>
        <w:t xml:space="preserve">sham</w:t>
      </w:r>
      <w:r>
        <w:t xml:space="preserve">, cioè con un trattamento finto (da Silva,</w:t>
      </w:r>
      <w:r>
        <w:t xml:space="preserve"> </w:t>
      </w:r>
      <w:r>
        <w:rPr>
          <w:i/>
          <w:iCs/>
        </w:rPr>
        <w:t xml:space="preserve">Dis Esophagus</w:t>
      </w:r>
      <w:r>
        <w:t xml:space="preserve"> </w:t>
      </w:r>
      <w:r>
        <w:t xml:space="preserve">2013). IPOTESI per qualunque effetto manuale durevole. I numeri e i limiti stanno in «Perché le mani possono cambiare qualcosa».</w:t>
      </w:r>
    </w:p>
    <w:bookmarkEnd w:id="51"/>
    <w:bookmarkStart w:id="52" w:name="neurologico"/>
    <w:p>
      <w:pPr>
        <w:pStyle w:val="Heading3"/>
      </w:pPr>
      <w:r>
        <w:t xml:space="preserve">Neurologico</w:t>
      </w:r>
    </w:p>
    <w:p>
      <w:pPr>
        <w:pStyle w:val="FirstParagraph"/>
      </w:pPr>
      <w:r>
        <w:rPr>
          <w:b/>
          <w:bCs/>
        </w:rPr>
        <w:t xml:space="preserve">Cosa governa qui.</w:t>
      </w:r>
      <w:r>
        <w:t xml:space="preserve"> </w:t>
      </w:r>
      <w:r>
        <w:t xml:space="preserve">Quattro cose: il riflesso vago-vagale che apre la barriera, l’afferenza distensiva gastrica, la sensibilizzazione centrale della via del dolore viscerale, il riflesso viscero-somatico. Le strutture sono il vago, il frenico, il grande splancnico, il corno dorsale di T3-T5 per l’esofago e di T5-T9 per lo stomaco.</w:t>
      </w:r>
    </w:p>
    <w:p>
      <w:pPr>
        <w:pStyle w:val="BodyText"/>
      </w:pPr>
      <w:r>
        <w:rPr>
          <w:b/>
          <w:bCs/>
        </w:rPr>
        <w:t xml:space="preserve">I segnali che ti dicono che pesa in questo paziente.</w:t>
      </w:r>
      <w:r>
        <w:t xml:space="preserve"> </w:t>
      </w:r>
      <w:r>
        <w:t xml:space="preserve">Soglia dolorosa abbassata sulla</w:t>
      </w:r>
      <w:r>
        <w:t xml:space="preserve"> </w:t>
      </w:r>
      <w:r>
        <w:rPr>
          <w:b/>
          <w:bCs/>
        </w:rPr>
        <w:t xml:space="preserve">parete toracica anteriore</w:t>
      </w:r>
      <w:r>
        <w:t xml:space="preserve">, a T2-T5, dove una pressione normale evoca dolore. Sintomo che si accende con il contenuto emotivo del racconto. Frequenza respiratoria che sale durante il colloquio rispetto alla sua stessa partenza.</w:t>
      </w:r>
    </w:p>
    <w:p>
      <w:pPr>
        <w:pStyle w:val="BodyText"/>
      </w:pPr>
      <w:r>
        <w:t xml:space="preserve">Il primo segnale trova il suo meccanismo nel terzo di «Cosa si rompe» e la sua anatomia in «Le strutture in gioco». La sua diagnosi differenziale sta in «Che cos’è davvero»: quella parete può generare il dolore da sé.</w:t>
      </w:r>
    </w:p>
    <w:p>
      <w:pPr>
        <w:pStyle w:val="BlockText"/>
      </w:pPr>
      <w:r>
        <w:rPr>
          <w:b/>
          <w:bCs/>
        </w:rPr>
        <w:t xml:space="preserve">Quanto è solido:</w:t>
      </w:r>
      <w:r>
        <w:t xml:space="preserve"> </w:t>
      </w:r>
      <w:r>
        <w:t xml:space="preserve">il meccanismo è DIMOSTRATO — riflesso vago-vagale e sensibilizzazione centrale esofagea sono documentati nell’uomo. Che il tocco osteopatico modifichi il bilancio autonomico in modo utile su questa condizione è IPOTESI: nessuno studio l’ha misurato in pazienti con reflusso.</w:t>
      </w:r>
    </w:p>
    <w:bookmarkEnd w:id="52"/>
    <w:bookmarkStart w:id="53" w:name="metabolico-energetico"/>
    <w:p>
      <w:pPr>
        <w:pStyle w:val="Heading3"/>
      </w:pPr>
      <w:r>
        <w:t xml:space="preserve">Metabolico-Energetico</w:t>
      </w:r>
    </w:p>
    <w:p>
      <w:pPr>
        <w:pStyle w:val="FirstParagraph"/>
      </w:pPr>
      <w:r>
        <w:rPr>
          <w:b/>
          <w:bCs/>
        </w:rPr>
        <w:t xml:space="preserve">Cosa governa qui.</w:t>
      </w:r>
      <w:r>
        <w:t xml:space="preserve"> </w:t>
      </w:r>
      <w:r>
        <w:t xml:space="preserve">Peso e circonferenza addominale, volume e orario dei pasti, alcol, fumo, sonno. Sono le leve con le</w:t>
      </w:r>
      <w:r>
        <w:t xml:space="preserve"> </w:t>
      </w:r>
      <w:r>
        <w:rPr>
          <w:b/>
          <w:bCs/>
        </w:rPr>
        <w:t xml:space="preserve">prove causali più forti</w:t>
      </w:r>
      <w:r>
        <w:t xml:space="preserve"> </w:t>
      </w:r>
      <w:r>
        <w:t xml:space="preserve">su questa condizione. Il grasso viscerale è volume del contenitore, il pasto è carico, la notte è la finestra senza clearance.</w:t>
      </w:r>
    </w:p>
    <w:p>
      <w:pPr>
        <w:pStyle w:val="BodyText"/>
      </w:pPr>
      <w:r>
        <w:rPr>
          <w:b/>
          <w:bCs/>
        </w:rPr>
        <w:t xml:space="preserve">I segnali che ti dicono che pesa.</w:t>
      </w:r>
      <w:r>
        <w:t xml:space="preserve"> </w:t>
      </w:r>
      <w:r>
        <w:t xml:space="preserve">Aumento di peso coinciso con l’insorgenza. Circonferenza addominale elevata. Cena abbondante e tardiva come abitudine stabile.</w:t>
      </w:r>
    </w:p>
    <w:p>
      <w:pPr>
        <w:pStyle w:val="BlockText"/>
      </w:pPr>
      <w:r>
        <w:rPr>
          <w:b/>
          <w:bCs/>
        </w:rPr>
        <w:t xml:space="preserve">Quanto è solido:</w:t>
      </w:r>
      <w:r>
        <w:t xml:space="preserve"> </w:t>
      </w:r>
      <w:r>
        <w:t xml:space="preserve">DIMOSTRATO come fattore causale, nel senso che il Capitolo 0 dà a coorti ampie con relazione dose-risposta. L’indice di massa corporea ha una relazione dose-risposta con i sintomi su 10.545 donne. Un aumento di oltre 3,5 punti quasi triplica il rischio di sintomi frequenti, anche partendo da un peso normale (Jacobson,</w:t>
      </w:r>
      <w:r>
        <w:t xml:space="preserve"> </w:t>
      </w:r>
      <w:r>
        <w:rPr>
          <w:i/>
          <w:iCs/>
        </w:rPr>
        <w:t xml:space="preserve">N Engl J Med</w:t>
      </w:r>
      <w:r>
        <w:t xml:space="preserve"> </w:t>
      </w:r>
      <w:r>
        <w:t xml:space="preserve">2006). Perdere peso li riduce in modo proporzionato alla perdita (Ness-Jensen,</w:t>
      </w:r>
      <w:r>
        <w:t xml:space="preserve"> </w:t>
      </w:r>
      <w:r>
        <w:rPr>
          <w:i/>
          <w:iCs/>
        </w:rPr>
        <w:t xml:space="preserve">Am J Gastroenterol</w:t>
      </w:r>
      <w:r>
        <w:t xml:space="preserve"> </w:t>
      </w:r>
      <w:r>
        <w:t xml:space="preserve">2013). Non sono RCT, e va detto. Ma non è comunque un modello che si lavora con le mani: si valuta, si segnala e si rinvia a medico o dietista.</w:t>
      </w:r>
    </w:p>
    <w:bookmarkEnd w:id="53"/>
    <w:bookmarkStart w:id="54" w:name="comportamentale-biopsicosociale"/>
    <w:p>
      <w:pPr>
        <w:pStyle w:val="Heading3"/>
      </w:pPr>
      <w:r>
        <w:t xml:space="preserve">Comportamentale-Biopsicosociale</w:t>
      </w:r>
    </w:p>
    <w:p>
      <w:pPr>
        <w:pStyle w:val="FirstParagraph"/>
      </w:pPr>
      <w:r>
        <w:rPr>
          <w:b/>
          <w:bCs/>
        </w:rPr>
        <w:t xml:space="preserve">Cosa governa qui.</w:t>
      </w:r>
      <w:r>
        <w:t xml:space="preserve"> </w:t>
      </w:r>
      <w:r>
        <w:t xml:space="preserve">Ipervigilanza viscerale, credenze sulla malattia, paura del pasto, effetto dello stato emotivo sulla soglia di percezione. E poi la qualità della relazione e l’aspettativa che gli hai creato.</w:t>
      </w:r>
    </w:p>
    <w:p>
      <w:pPr>
        <w:pStyle w:val="BodyText"/>
      </w:pPr>
      <w:r>
        <w:rPr>
          <w:b/>
          <w:bCs/>
        </w:rPr>
        <w:t xml:space="preserve">I segnali che ti dicono che pesa.</w:t>
      </w:r>
      <w:r>
        <w:t xml:space="preserve"> </w:t>
      </w:r>
      <w:r>
        <w:t xml:space="preserve">Evitamento alimentare molto oltre le raccomandazioni ricevute. Rinuncia sociale consolidata. Sintomo agganciato a un evento di vita.</w:t>
      </w:r>
    </w:p>
    <w:p>
      <w:pPr>
        <w:pStyle w:val="BlockText"/>
      </w:pPr>
      <w:r>
        <w:rPr>
          <w:b/>
          <w:bCs/>
        </w:rPr>
        <w:t xml:space="preserve">Quanto è solido:</w:t>
      </w:r>
      <w:r>
        <w:t xml:space="preserve"> </w:t>
      </w:r>
      <w:r>
        <w:t xml:space="preserve">DIMOSTRATO per il legame fra attivazione acuta e percezione del sintomo, e per il peso dell’ipervigilanza sulla gravità riferita: i due studi sono nel terzo meccanismo di «Cosa si rompe». PROBABILE per l’effetto dei fattori di contesto — parole, aspettativa, alleanza, ambiente — sull’esito riferito, misurato però sul dolore muscolo-scheletrico (Rossettini,</w:t>
      </w:r>
      <w:r>
        <w:t xml:space="preserve"> </w:t>
      </w:r>
      <w:r>
        <w:rPr>
          <w:i/>
          <w:iCs/>
        </w:rPr>
        <w:t xml:space="preserve">BMC Musculoskelet Disord</w:t>
      </w:r>
      <w:r>
        <w:t xml:space="preserve"> </w:t>
      </w:r>
      <w:r>
        <w:t xml:space="preserve">2018). IPOTESI per il trasferimento di quell’effetto al sintomo viscerale: nessuno l’ha misurato. Un solo dato lo tocca di lato, ed è già in questa Bibbia: il placebo al 18,85% nei trial sul reflusso è la misura di quanto il contesto sposta</w:t>
      </w:r>
      <w:r>
        <w:t xml:space="preserve"> </w:t>
      </w:r>
      <w:r>
        <w:rPr>
          <w:i/>
          <w:iCs/>
        </w:rPr>
        <w:t xml:space="preserve">questo</w:t>
      </w:r>
      <w:r>
        <w:t xml:space="preserve"> </w:t>
      </w:r>
      <w:r>
        <w:t xml:space="preserve">sintomo.</w:t>
      </w:r>
    </w:p>
    <w:p>
      <w:pPr>
        <w:pStyle w:val="FirstParagraph"/>
      </w:pPr>
      <w:r>
        <w:t xml:space="preserve">Questo modello ha una leva propria, e sta in «Perché le mani possono cambiare qualcosa»: non è il tocco, è la spiegazione.</w:t>
      </w:r>
    </w:p>
    <w:p>
      <w:pPr>
        <w:pStyle w:val="BodyText"/>
      </w:pPr>
      <w:r>
        <w:rPr>
          <w:b/>
          <w:bCs/>
        </w:rPr>
        <w:t xml:space="preserve">Le tre cose da ricordare</w:t>
      </w:r>
    </w:p>
    <w:p>
      <w:pPr>
        <w:pStyle w:val="Compact"/>
        <w:numPr>
          <w:ilvl w:val="0"/>
          <w:numId w:val="1019"/>
        </w:numPr>
      </w:pPr>
      <w:r>
        <w:t xml:space="preserve">Il modello con le prove di intervento migliori è il Respiratorio-Circolatorio, e ospita sia l’allenamento sia il lavoro manuale sul diaframma.</w:t>
      </w:r>
    </w:p>
    <w:p>
      <w:pPr>
        <w:pStyle w:val="Compact"/>
        <w:numPr>
          <w:ilvl w:val="0"/>
          <w:numId w:val="1019"/>
        </w:numPr>
      </w:pPr>
      <w:r>
        <w:t xml:space="preserve">Il modello Metabolico è quello con le prove causali più forti, e non si tratta con le mani.</w:t>
      </w:r>
    </w:p>
    <w:p>
      <w:pPr>
        <w:pStyle w:val="Compact"/>
        <w:numPr>
          <w:ilvl w:val="0"/>
          <w:numId w:val="1019"/>
        </w:numPr>
      </w:pPr>
      <w:r>
        <w:t xml:space="preserve">Dichiarare che il Neurologico è IPOTESI sull’effetto del tocco non indebolisce il documento: lo rende difendibile.</w:t>
      </w:r>
    </w:p>
    <w:p>
      <w:r>
        <w:pict>
          <v:rect style="width:0;height:1.5pt" o:hralign="center" o:hrstd="t" o:hr="t"/>
        </w:pict>
      </w:r>
    </w:p>
    <w:bookmarkEnd w:id="54"/>
    <w:bookmarkEnd w:id="55"/>
    <w:bookmarkStart w:id="61" w:name="Xacbba54d860775f2f0fb1d74db74f6f80647774"/>
    <w:p>
      <w:pPr>
        <w:pStyle w:val="Heading2"/>
      </w:pPr>
      <w:r>
        <w:t xml:space="preserve">Capitolo 8 — Come ragiono davanti a questo paziente</w:t>
      </w:r>
    </w:p>
    <w:p>
      <w:pPr>
        <w:pStyle w:val="BlockText"/>
      </w:pPr>
      <w:r>
        <w:rPr>
          <w:b/>
          <w:bCs/>
        </w:rPr>
        <w:t xml:space="preserve">In una riga:</w:t>
      </w:r>
      <w:r>
        <w:t xml:space="preserve"> </w:t>
      </w:r>
      <w:r>
        <w:t xml:space="preserve">prima decidi quale modello comanda in questo paziente, poi metti le mani.</w:t>
      </w:r>
    </w:p>
    <w:p>
      <w:pPr>
        <w:pStyle w:val="BlockText"/>
      </w:pPr>
      <w:r>
        <w:rPr>
          <w:b/>
          <w:bCs/>
        </w:rPr>
        <w:t xml:space="preserve">Quanto è solido:</w:t>
      </w:r>
      <w:r>
        <w:t xml:space="preserve"> </w:t>
      </w:r>
      <w:r>
        <w:t xml:space="preserve">RAGIONAMENTO — quello che segue è la cornice clinica interna con cui lo studio sceglie la priorità di lavoro. Non è un meccanismo dimostrato, e non si presenta al paziente come tale.</w:t>
      </w:r>
    </w:p>
    <w:bookmarkStart w:id="56" w:name="perché-si-indaga-da-monte"/>
    <w:p>
      <w:pPr>
        <w:pStyle w:val="Heading3"/>
      </w:pPr>
      <w:r>
        <w:t xml:space="preserve">Perché si indaga da monte</w:t>
      </w:r>
    </w:p>
    <w:p>
      <w:pPr>
        <w:pStyle w:val="FirstParagraph"/>
      </w:pPr>
      <w:r>
        <w:t xml:space="preserve">Il corpo sacrifica il comfort per proteggere le funzioni vitali: è la settimana in cui copri il turno di un collega, e qualcosa del tuo lavoro salta, non il più importante. Da qui la regola: il sistema che comanda è di norma quello</w:t>
      </w:r>
      <w:r>
        <w:t xml:space="preserve"> </w:t>
      </w:r>
      <w:r>
        <w:rPr>
          <w:b/>
          <w:bCs/>
        </w:rPr>
        <w:t xml:space="preserve">più a monte sul piano funzionale</w:t>
      </w:r>
      <w:r>
        <w:t xml:space="preserve">.</w:t>
      </w:r>
    </w:p>
    <w:p>
      <w:pPr>
        <w:pStyle w:val="BodyText"/>
      </w:pPr>
      <w:r>
        <w:t xml:space="preserve">“A monte”</w:t>
      </w:r>
      <w:r>
        <w:t xml:space="preserve"> </w:t>
      </w:r>
      <w:r>
        <w:t xml:space="preserve">non è una coordinata anatomica. Non vuol dire più vicino alla testa. Su una condizione sotto il diaframma, leggerlo così porta a cercare in cervicale, che è il posto sbagliato. La gerarchia di questa condizione sta nella domanda 4 della Road Map, cioè dove serve per decidere.</w:t>
      </w:r>
    </w:p>
    <w:bookmarkEnd w:id="56"/>
    <w:bookmarkStart w:id="57" w:name="la-road-map"/>
    <w:p>
      <w:pPr>
        <w:pStyle w:val="Heading3"/>
      </w:pPr>
      <w:r>
        <w:t xml:space="preserve">La Road Map</w:t>
      </w:r>
    </w:p>
    <w:p>
      <w:pPr>
        <w:pStyle w:val="FirstParagraph"/>
      </w:pPr>
      <w:r>
        <w:t xml:space="preserve">Sei domande, in quest’ordine, mentre il paziente è ancora seduto davanti a te.</w:t>
      </w:r>
    </w:p>
    <w:p>
      <w:pPr>
        <w:numPr>
          <w:ilvl w:val="0"/>
          <w:numId w:val="1020"/>
        </w:numPr>
      </w:pPr>
      <w:r>
        <w:rPr>
          <w:b/>
          <w:bCs/>
        </w:rPr>
        <w:t xml:space="preserve">C’è una bandiera rossa?</w:t>
      </w:r>
      <w:r>
        <w:t xml:space="preserve"> </w:t>
      </w:r>
      <w:r>
        <w:t xml:space="preserve">Se sì, il ragionamento si ferma qui e riparte dal medico.</w:t>
      </w:r>
    </w:p>
    <w:p>
      <w:pPr>
        <w:numPr>
          <w:ilvl w:val="0"/>
          <w:numId w:val="1020"/>
        </w:numPr>
      </w:pPr>
      <w:r>
        <w:rPr>
          <w:b/>
          <w:bCs/>
        </w:rPr>
        <w:t xml:space="preserve">Il sistema è in allarme?</w:t>
      </w:r>
      <w:r>
        <w:t xml:space="preserve"> </w:t>
      </w:r>
      <w:r>
        <w:t xml:space="preserve">Guarda tre cose: la frequenza respiratoria che sale rispetto alla sua stessa partenza, i tessuti che resistono alla pressione e tornano indietro invece di cedere, il racconto ipervigilante. Se sì, la priorità è abbassare l’attivazione: su un sistema in allarme nessun lavoro locale tiene.</w:t>
      </w:r>
    </w:p>
    <w:p>
      <w:pPr>
        <w:numPr>
          <w:ilvl w:val="0"/>
          <w:numId w:val="1020"/>
        </w:numPr>
      </w:pPr>
      <w:r>
        <w:rPr>
          <w:b/>
          <w:bCs/>
        </w:rPr>
        <w:t xml:space="preserve">Il diaframma escursiona?</w:t>
      </w:r>
      <w:r>
        <w:t xml:space="preserve"> </w:t>
      </w:r>
      <w:r>
        <w:t xml:space="preserve">Valuta escursione costale bassa, dissociazione respiratoria, mobilità delle inserzioni. È il piano con il razionale più forte fra quelli</w:t>
      </w:r>
      <w:r>
        <w:t xml:space="preserve"> </w:t>
      </w:r>
      <w:r>
        <w:rPr>
          <w:b/>
          <w:bCs/>
        </w:rPr>
        <w:t xml:space="preserve">su cui puoi agire</w:t>
      </w:r>
      <w:r>
        <w:t xml:space="preserve">. E ricorda che l’escursione non misura il crus.</w:t>
      </w:r>
    </w:p>
    <w:p>
      <w:pPr>
        <w:numPr>
          <w:ilvl w:val="0"/>
          <w:numId w:val="1020"/>
        </w:numPr>
      </w:pPr>
      <w:r>
        <w:rPr>
          <w:b/>
          <w:bCs/>
        </w:rPr>
        <w:t xml:space="preserve">Il contenitore ha cambiato volume o tensione?</w:t>
      </w:r>
      <w:r>
        <w:t xml:space="preserve"> </w:t>
      </w:r>
      <w:r>
        <w:t xml:space="preserve">Sono due domande, e vanno tenute separate. Il</w:t>
      </w:r>
      <w:r>
        <w:t xml:space="preserve"> </w:t>
      </w:r>
      <w:r>
        <w:rPr>
          <w:b/>
          <w:bCs/>
        </w:rPr>
        <w:t xml:space="preserve">contenitore metabolico</w:t>
      </w:r>
      <w:r>
        <w:t xml:space="preserve"> </w:t>
      </w:r>
      <w:r>
        <w:t xml:space="preserve">— peso, grasso viscerale, abitudini — sta</w:t>
      </w:r>
      <w:r>
        <w:t xml:space="preserve"> </w:t>
      </w:r>
      <w:r>
        <w:rPr>
          <w:i/>
          <w:iCs/>
        </w:rPr>
        <w:t xml:space="preserve">sopra</w:t>
      </w:r>
      <w:r>
        <w:t xml:space="preserve"> </w:t>
      </w:r>
      <w:r>
        <w:t xml:space="preserve">il diaframma nella gerarchia di comando, ed è quasi sempre fuori dalle tue mani: se comanda lui, il passo 3 è un piano sotto. Il</w:t>
      </w:r>
      <w:r>
        <w:t xml:space="preserve"> </w:t>
      </w:r>
      <w:r>
        <w:rPr>
          <w:b/>
          <w:bCs/>
        </w:rPr>
        <w:t xml:space="preserve">contenitore di parete</w:t>
      </w:r>
      <w:r>
        <w:t xml:space="preserve"> </w:t>
      </w:r>
      <w:r>
        <w:t xml:space="preserve">— tensione addominale, cerniera, chiusura anteriore del torace — è tuo, e viene dopo il diaframma perché ha un razionale più debole, non perché comandi meno. Qui chiedi anche le sorgenti di pressione ripetuta elencate nel quarto meccanismo.</w:t>
      </w:r>
    </w:p>
    <w:p>
      <w:pPr>
        <w:numPr>
          <w:ilvl w:val="0"/>
          <w:numId w:val="1020"/>
        </w:numPr>
      </w:pPr>
      <w:r>
        <w:rPr>
          <w:b/>
          <w:bCs/>
        </w:rPr>
        <w:t xml:space="preserve">Il sintomo è iniziato quando è iniziato un farmaco nuovo?</w:t>
      </w:r>
      <w:r>
        <w:t xml:space="preserve"> </w:t>
      </w:r>
      <w:r>
        <w:t xml:space="preserve">Nomina le classi, perché lui non le collega: un agonista GLP-1, un oppioide, un calcio-antagonista, un bifosfonato. Se le date coincidono, il ciclo non si apre: si segnala al medico. E chiedi comunque</w:t>
      </w:r>
      <w:r>
        <w:t xml:space="preserve"> </w:t>
      </w:r>
      <w:r>
        <w:rPr>
          <w:b/>
          <w:bCs/>
        </w:rPr>
        <w:t xml:space="preserve">la lista completa dei farmaci</w:t>
      </w:r>
      <w:r>
        <w:t xml:space="preserve">: senza quella, metà di questa Bibbia non è applicabile.</w:t>
      </w:r>
    </w:p>
    <w:p>
      <w:pPr>
        <w:numPr>
          <w:ilvl w:val="0"/>
          <w:numId w:val="1020"/>
        </w:numPr>
      </w:pPr>
      <w:r>
        <w:rPr>
          <w:b/>
          <w:bCs/>
        </w:rPr>
        <w:t xml:space="preserve">C’è un trauma o una cicatrice che rompe la gerarchia?</w:t>
      </w:r>
      <w:r>
        <w:t xml:space="preserve"> </w:t>
      </w:r>
      <w:r>
        <w:t xml:space="preserve">Il trauma non è un modello: è un modificatore, e scavalca l’ordine.</w:t>
      </w:r>
    </w:p>
    <w:p>
      <w:pPr>
        <w:pStyle w:val="FirstParagraph"/>
      </w:pPr>
      <w:r>
        <w:t xml:space="preserve">Una cicatrice da colecistectomia o appendicectomia cambia come la parete si deforma sotto pressione. Chiedila sempre: per lui è una cosa vecchia e risolta. Quella</w:t>
      </w:r>
      <w:r>
        <w:t xml:space="preserve"> </w:t>
      </w:r>
      <w:r>
        <w:rPr>
          <w:b/>
          <w:bCs/>
        </w:rPr>
        <w:t xml:space="preserve">vecchia</w:t>
      </w:r>
      <w:r>
        <w:t xml:space="preserve"> </w:t>
      </w:r>
      <w:r>
        <w:t xml:space="preserve">è un modificatore meccanico. Una</w:t>
      </w:r>
      <w:r>
        <w:t xml:space="preserve"> </w:t>
      </w:r>
      <w:r>
        <w:rPr>
          <w:b/>
          <w:bCs/>
        </w:rPr>
        <w:t xml:space="preserve">recente</w:t>
      </w:r>
      <w:r>
        <w:t xml:space="preserve">, o un addome operato di fresco, non si preme.</w:t>
      </w:r>
    </w:p>
    <w:p>
      <w:pPr>
        <w:pStyle w:val="BodyText"/>
      </w:pPr>
      <w:r>
        <w:rPr>
          <w:b/>
          <w:bCs/>
        </w:rPr>
        <w:t xml:space="preserve">Ma</w:t>
      </w:r>
      <w:r>
        <w:rPr>
          <w:b/>
          <w:bCs/>
        </w:rPr>
        <w:t xml:space="preserve"> </w:t>
      </w:r>
      <w:r>
        <w:rPr>
          <w:b/>
          <w:bCs/>
        </w:rPr>
        <w:t xml:space="preserve">“c’è una cicatrice”</w:t>
      </w:r>
      <w:r>
        <w:rPr>
          <w:b/>
          <w:bCs/>
        </w:rPr>
        <w:t xml:space="preserve"> </w:t>
      </w:r>
      <w:r>
        <w:rPr>
          <w:b/>
          <w:bCs/>
        </w:rPr>
        <w:t xml:space="preserve">non basta</w:t>
      </w:r>
      <w:r>
        <w:t xml:space="preserve">, perché metà dei pazienti sopra i quarant’anni ne ha una. Quella che comanda ha tre segni: tessuto inerte e denso, parete che non si deforma lì durante il respiro mentre i settori vicini sì, sintomo che cambia col lato caricato. RAGIONAMENTO.</w:t>
      </w:r>
    </w:p>
    <w:p>
      <w:pPr>
        <w:pStyle w:val="BodyText"/>
      </w:pPr>
      <w:r>
        <w:rPr>
          <w:b/>
          <w:bCs/>
        </w:rPr>
        <w:t xml:space="preserve">Quando il dominante non è tuo</w:t>
      </w:r>
      <w:r>
        <w:t xml:space="preserve"> </w:t>
      </w:r>
      <w:r>
        <w:t xml:space="preserve">— post-prandiale, metabolico — lavorare sul piano sotto dà un miglioramento reale ma temporaneo. Mettilo a preventivo prima di cominciare. Altrimenti la ricaduta si legge come un fallimento, e si aggiungono sedute.</w:t>
      </w:r>
    </w:p>
    <w:bookmarkEnd w:id="57"/>
    <w:bookmarkStart w:id="58" w:name="la-punta-e-il-sommerso"/>
    <w:p>
      <w:pPr>
        <w:pStyle w:val="Heading3"/>
      </w:pPr>
      <w:r>
        <w:t xml:space="preserve">La punta e il sommerso</w:t>
      </w:r>
    </w:p>
    <w:p>
      <w:pPr>
        <w:pStyle w:val="FirstParagraph"/>
      </w:pPr>
      <w:r>
        <w:t xml:space="preserve">Prendi tre persone con lo stesso identico bruciore.</w:t>
      </w:r>
    </w:p>
    <w:p>
      <w:pPr>
        <w:pStyle w:val="BodyText"/>
      </w:pPr>
      <w:r>
        <w:rPr>
          <w:b/>
          <w:bCs/>
        </w:rPr>
        <w:t xml:space="preserve">Il primo</w:t>
      </w:r>
      <w:r>
        <w:t xml:space="preserve">, uomo di 52 anni, ingrassato dodici chili in tre anni, addome teso e respiro tutto in alto. Domanda 2 per prima, sempre. Il diaframma non escursiona, ma la domanda 4 trova dodici chili:</w:t>
      </w:r>
      <w:r>
        <w:t xml:space="preserve"> </w:t>
      </w:r>
      <w:r>
        <w:rPr>
          <w:b/>
          <w:bCs/>
        </w:rPr>
        <w:t xml:space="preserve">il suo dominante è metabolico, non pressorio.</w:t>
      </w:r>
      <w:r>
        <w:t xml:space="preserve"> </w:t>
      </w:r>
      <w:r>
        <w:t xml:space="preserve">Il piano su cui puoi agire sta</w:t>
      </w:r>
      <w:r>
        <w:t xml:space="preserve"> </w:t>
      </w:r>
      <w:r>
        <w:rPr>
          <w:i/>
          <w:iCs/>
        </w:rPr>
        <w:t xml:space="preserve">sotto</w:t>
      </w:r>
      <w:r>
        <w:t xml:space="preserve"> </w:t>
      </w:r>
      <w:r>
        <w:t xml:space="preserve">il dominante, e l’esito va messo a preventivo come reale ma temporaneo.</w:t>
      </w:r>
    </w:p>
    <w:p>
      <w:pPr>
        <w:pStyle w:val="BodyText"/>
      </w:pPr>
      <w:r>
        <w:rPr>
          <w:b/>
          <w:bCs/>
        </w:rPr>
        <w:t xml:space="preserve">La seconda</w:t>
      </w:r>
      <w:r>
        <w:t xml:space="preserve">, donna di 38 anni, magra, dorsale rigida, parete che non si espande in inspirazione. Domanda 2 negativa, 3 positiva, 4 negativa: il contenitore non ha cambiato volume. Qui il dominante accessibile è davvero il tuo. Una sola domanda l’ha separata dal primo:</w:t>
      </w:r>
      <w:r>
        <w:t xml:space="preserve"> </w:t>
      </w:r>
      <w:r>
        <w:rPr>
          <w:i/>
          <w:iCs/>
        </w:rPr>
        <w:t xml:space="preserve">“succede anche a stomaco vuoto?”</w:t>
      </w:r>
      <w:r>
        <w:t xml:space="preserve">.</w:t>
      </w:r>
    </w:p>
    <w:p>
      <w:pPr>
        <w:pStyle w:val="BodyText"/>
      </w:pPr>
      <w:r>
        <w:rPr>
          <w:b/>
          <w:bCs/>
        </w:rPr>
        <w:t xml:space="preserve">Il terzo</w:t>
      </w:r>
      <w:r>
        <w:t xml:space="preserve">, uomo di 45 anni, gastroscopia impeccabile e farmaco a dose piena, brucia da quando è cambiato il lavoro. Domanda 2 positiva, e si ferma lì: su un sistema in allarme nessun lavoro locale tiene.</w:t>
      </w:r>
    </w:p>
    <w:p>
      <w:pPr>
        <w:pStyle w:val="BodyText"/>
      </w:pPr>
      <w:r>
        <w:t xml:space="preserve">Su tre pazienti, il dominante è tuo una volta. È la proporzione onesta.</w:t>
      </w:r>
    </w:p>
    <w:p>
      <w:pPr>
        <w:pStyle w:val="BodyText"/>
      </w:pPr>
      <w:r>
        <w:rPr>
          <w:b/>
          <w:bCs/>
        </w:rPr>
        <w:t xml:space="preserve">E non tutto ciò che palpi disfunzionale comanda.</w:t>
      </w:r>
      <w:r>
        <w:t xml:space="preserve"> </w:t>
      </w:r>
      <w:r>
        <w:t xml:space="preserve">Una parete addominale rigida può essere il</w:t>
      </w:r>
      <w:r>
        <w:t xml:space="preserve"> </w:t>
      </w:r>
      <w:r>
        <w:rPr>
          <w:b/>
          <w:bCs/>
        </w:rPr>
        <w:t xml:space="preserve">compenso</w:t>
      </w:r>
      <w:r>
        <w:t xml:space="preserve"> </w:t>
      </w:r>
      <w:r>
        <w:t xml:space="preserve">che regge un diaframma che non lavora: trattarla toglie al paziente l’unico appoggio che aveva. Chi comanda si riconosce da un fatto solo: se lo tratti, cedono anche gli altri piani. È la prova della chiave di volta, qui sotto.</w:t>
      </w:r>
    </w:p>
    <w:bookmarkEnd w:id="58"/>
    <w:bookmarkStart w:id="59" w:name="la-prova-della-chiave-di-volta"/>
    <w:p>
      <w:pPr>
        <w:pStyle w:val="Heading3"/>
      </w:pPr>
      <w:r>
        <w:t xml:space="preserve">La prova della chiave di volta</w:t>
      </w:r>
    </w:p>
    <w:p>
      <w:pPr>
        <w:pStyle w:val="FirstParagraph"/>
      </w:pPr>
      <w:r>
        <w:t xml:space="preserve">Tratti in prova il sistema che sospetti dominante, poi rivaluti. Se cedono anche gli altri piani, hai trovato la chiave.</w:t>
      </w:r>
    </w:p>
    <w:p>
      <w:pPr>
        <w:pStyle w:val="BodyText"/>
      </w:pPr>
      <w:r>
        <w:rPr>
          <w:b/>
          <w:bCs/>
        </w:rPr>
        <w:t xml:space="preserve">Dove il paziente sente non è dove lavori.</w:t>
      </w:r>
      <w:r>
        <w:t xml:space="preserve"> </w:t>
      </w:r>
      <w:r>
        <w:t xml:space="preserve">Il ragionamento fasciale di Stecco separa due punti. Il</w:t>
      </w:r>
      <w:r>
        <w:t xml:space="preserve"> </w:t>
      </w:r>
      <w:r>
        <w:rPr>
          <w:b/>
          <w:bCs/>
        </w:rPr>
        <w:t xml:space="preserve">centro di percezione</w:t>
      </w:r>
      <w:r>
        <w:t xml:space="preserve"> </w:t>
      </w:r>
      <w:r>
        <w:t xml:space="preserve">è dove il sintomo si manifesta: qui è dietro lo sterno, in epigastrio, in gola. Il</w:t>
      </w:r>
      <w:r>
        <w:t xml:space="preserve"> </w:t>
      </w:r>
      <w:r>
        <w:rPr>
          <w:b/>
          <w:bCs/>
        </w:rPr>
        <w:t xml:space="preserve">centro di coordinazione</w:t>
      </w:r>
      <w:r>
        <w:t xml:space="preserve"> </w:t>
      </w:r>
      <w:r>
        <w:t xml:space="preserve">è dove convergono le forze che quella zona subisce.</w:t>
      </w:r>
    </w:p>
    <w:p>
      <w:pPr>
        <w:pStyle w:val="BodyText"/>
      </w:pPr>
      <w:r>
        <w:t xml:space="preserve">La regola è secca:</w:t>
      </w:r>
      <w:r>
        <w:t xml:space="preserve"> </w:t>
      </w:r>
      <w:r>
        <w:rPr>
          <w:b/>
          <w:bCs/>
        </w:rPr>
        <w:t xml:space="preserve">non si tratta quasi mai il centro di percezione.</w:t>
      </w:r>
      <w:r>
        <w:t xml:space="preserve"> </w:t>
      </w:r>
      <w:r>
        <w:t xml:space="preserve">È la vittima e non la causa. E nella pirosi funzionale l’input locale intenso e ripetuto riaccende il sintomo invece di calmarlo. Il paziente ti indicherà lo sterno con due dita: è informazione su dove guardare, non un bersaglio.</w:t>
      </w:r>
    </w:p>
    <w:p>
      <w:pPr>
        <w:pStyle w:val="BlockText"/>
      </w:pPr>
      <w:r>
        <w:rPr>
          <w:b/>
          <w:bCs/>
        </w:rPr>
        <w:t xml:space="preserve">Attenzione — qui il principio si applica in forma attenuata, e va detto.</w:t>
      </w:r>
      <w:r>
        <w:t xml:space="preserve"> </w:t>
      </w:r>
      <w:r>
        <w:t xml:space="preserve">Il centro di coordinazione di questa condizione</w:t>
      </w:r>
      <w:r>
        <w:t xml:space="preserve"> </w:t>
      </w:r>
      <w:r>
        <w:rPr>
          <w:b/>
          <w:bCs/>
        </w:rPr>
        <w:t xml:space="preserve">coincide con il contenitore della barriera</w:t>
      </w:r>
      <w:r>
        <w:t xml:space="preserve">, che è vicino alla zona sintomatica. Non è un errore: la barriera è un sistema locale, e un colpevole lontano dalla scena qui non è documentato. Resta vietato ciò che conta:</w:t>
      </w:r>
      <w:r>
        <w:t xml:space="preserve"> </w:t>
      </w:r>
      <w:r>
        <w:rPr>
          <w:b/>
          <w:bCs/>
        </w:rPr>
        <w:t xml:space="preserve">non si lavora dove il paziente indica</w:t>
      </w:r>
      <w:r>
        <w:t xml:space="preserve"> </w:t>
      </w:r>
      <w:r>
        <w:t xml:space="preserve">— sterno, epigastrio superficiale, gola. E la regione collo-ioide, che è il nodo in gola stesso, è un’eccezione dichiarata e declassata in «Perché le mani possono cambiare qualcosa».</w:t>
      </w:r>
    </w:p>
    <w:p>
      <w:pPr>
        <w:pStyle w:val="FirstParagraph"/>
      </w:pPr>
      <w:r>
        <w:rPr>
          <w:b/>
          <w:bCs/>
        </w:rPr>
        <w:t xml:space="preserve">Il dettaglio che distingue una verifica da un auto-inganno: il marker che decide deve appartenere a un piano che non hai toccato.</w:t>
      </w:r>
      <w:r>
        <w:t xml:space="preserve"> </w:t>
      </w:r>
      <w:r>
        <w:t xml:space="preserve">Se lavori sul diaframma e poi rimisuri l’escursione costale, verifichi che il tessuto mobilizzato si è mosso. Non verifichi che comandava.</w:t>
      </w:r>
    </w:p>
    <w:p>
      <w:pPr>
        <w:pStyle w:val="BodyText"/>
      </w:pPr>
      <w:r>
        <w:t xml:space="preserve">Da qui la distinzione che rende la prova applicabile:</w:t>
      </w:r>
      <w:r>
        <w:t xml:space="preserve"> </w:t>
      </w:r>
      <w:r>
        <w:rPr>
          <w:b/>
          <w:bCs/>
        </w:rPr>
        <w:t xml:space="preserve">i marker non sono tutti dello stesso tipo, e non si leggono nella stessa finestra.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Tipo</w:t>
            </w:r>
          </w:p>
        </w:tc>
        <w:tc>
          <w:tcPr/>
          <w:p>
            <w:pPr>
              <w:pStyle w:val="Compact"/>
            </w:pPr>
            <w:r>
              <w:t xml:space="preserve">Quali</w:t>
            </w:r>
          </w:p>
        </w:tc>
        <w:tc>
          <w:tcPr/>
          <w:p>
            <w:pPr>
              <w:pStyle w:val="Compact"/>
            </w:pPr>
            <w:r>
              <w:t xml:space="preserve">Quando si legge</w:t>
            </w:r>
          </w:p>
        </w:tc>
      </w:tr>
      <w:tr>
        <w:tc>
          <w:tcPr/>
          <w:p>
            <w:pPr>
              <w:pStyle w:val="Compact"/>
            </w:pPr>
            <w:r>
              <w:t xml:space="preserve">Dominanza, piano non toccato</w:t>
            </w:r>
          </w:p>
        </w:tc>
        <w:tc>
          <w:tcPr/>
          <w:p>
            <w:pPr>
              <w:pStyle w:val="Compact"/>
            </w:pPr>
            <w:r>
              <w:t xml:space="preserve">Soglia dolorosa parete toracica T2-T5</w:t>
            </w:r>
          </w:p>
        </w:tc>
        <w:tc>
          <w:tcPr/>
          <w:p>
            <w:pPr>
              <w:pStyle w:val="Compact"/>
            </w:pPr>
            <w:r>
              <w:t xml:space="preserve">Prima e subito dopo</w:t>
            </w:r>
          </w:p>
        </w:tc>
      </w:tr>
      <w:tr>
        <w:tc>
          <w:tcPr/>
          <w:p>
            <w:pPr>
              <w:pStyle w:val="Compact"/>
            </w:pPr>
            <w:r>
              <w:t xml:space="preserve">Dominanza, piano non toccato</w:t>
            </w:r>
          </w:p>
        </w:tc>
        <w:tc>
          <w:tcPr/>
          <w:p>
            <w:pPr>
              <w:pStyle w:val="Compact"/>
            </w:pPr>
            <w:r>
              <w:t xml:space="preserve">Provocazione posizionale del sintomo</w:t>
            </w:r>
          </w:p>
        </w:tc>
        <w:tc>
          <w:tcPr/>
          <w:p>
            <w:pPr>
              <w:pStyle w:val="Compact"/>
            </w:pPr>
            <w:r>
              <w:t xml:space="preserve">Prima e subito dopo</w:t>
            </w:r>
          </w:p>
        </w:tc>
      </w:tr>
      <w:tr>
        <w:tc>
          <w:tcPr/>
          <w:p>
            <w:pPr>
              <w:pStyle w:val="Compact"/>
            </w:pPr>
            <w:r>
              <w:t xml:space="preserve">Dominanza, piano dell’allarme</w:t>
            </w:r>
          </w:p>
        </w:tc>
        <w:tc>
          <w:tcPr/>
          <w:p>
            <w:pPr>
              <w:pStyle w:val="Compact"/>
            </w:pPr>
            <w:r>
              <w:t xml:space="preserve">Frequenza respiratoria contro la sua partenza</w:t>
            </w:r>
          </w:p>
        </w:tc>
        <w:tc>
          <w:tcPr/>
          <w:p>
            <w:pPr>
              <w:pStyle w:val="Compact"/>
            </w:pPr>
            <w:r>
              <w:t xml:space="preserve">Prima e subito dopo</w:t>
            </w:r>
          </w:p>
        </w:tc>
      </w:tr>
      <w:tr>
        <w:tc>
          <w:tcPr/>
          <w:p>
            <w:pPr>
              <w:pStyle w:val="Compact"/>
            </w:pPr>
            <w:r>
              <w:t xml:space="preserve">Esito clinico, del paziente</w:t>
            </w:r>
          </w:p>
        </w:tc>
        <w:tc>
          <w:tcPr/>
          <w:p>
            <w:pPr>
              <w:pStyle w:val="Compact"/>
            </w:pPr>
            <w:r>
              <w:t xml:space="preserve">Latenza pasto-sintomo, risvegli notturni</w:t>
            </w:r>
          </w:p>
        </w:tc>
        <w:tc>
          <w:tcPr/>
          <w:p>
            <w:pPr>
              <w:pStyle w:val="Compact"/>
            </w:pPr>
            <w:r>
              <w:t xml:space="preserve">Su giorni</w:t>
            </w:r>
          </w:p>
        </w:tc>
      </w:tr>
    </w:tbl>
    <w:p>
      <w:pPr>
        <w:pStyle w:val="BodyText"/>
      </w:pPr>
      <w:r>
        <w:t xml:space="preserve">La</w:t>
      </w:r>
      <w:r>
        <w:t xml:space="preserve"> </w:t>
      </w:r>
      <w:r>
        <w:rPr>
          <w:b/>
          <w:bCs/>
        </w:rPr>
        <w:t xml:space="preserve">soglia dolorosa</w:t>
      </w:r>
      <w:r>
        <w:t xml:space="preserve"> </w:t>
      </w:r>
      <w:r>
        <w:t xml:space="preserve">è l’unico marker somatico che il meccanismo prevede: se la sensibilizzazione centrale rientra, sale. Si usa dopo che il cancello cardiaco è chiuso.</w:t>
      </w:r>
    </w:p>
    <w:p>
      <w:pPr>
        <w:pStyle w:val="BodyText"/>
      </w:pPr>
      <w:r>
        <w:t xml:space="preserve">La</w:t>
      </w:r>
      <w:r>
        <w:t xml:space="preserve"> </w:t>
      </w:r>
      <w:r>
        <w:rPr>
          <w:b/>
          <w:bCs/>
        </w:rPr>
        <w:t xml:space="preserve">provocazione posizionale</w:t>
      </w:r>
      <w:r>
        <w:t xml:space="preserve"> </w:t>
      </w:r>
      <w:r>
        <w:t xml:space="preserve">vale solo dove il sintomo è evocabile con una posizione o una compressione, e</w:t>
      </w:r>
      <w:r>
        <w:t xml:space="preserve"> </w:t>
      </w:r>
      <w:r>
        <w:rPr>
          <w:b/>
          <w:bCs/>
        </w:rPr>
        <w:t xml:space="preserve">non si usa nella pirosi funzionale</w:t>
      </w:r>
      <w:r>
        <w:t xml:space="preserve">: lì ripetere l’input riaccende. E non vale come marker di dominanza quando il piano che hai trattato è la parete o il contenitore. Lì è un esito, e il marker di dominanza torna a essere la soglia dolorosa a T2-T5.</w:t>
      </w:r>
    </w:p>
    <w:p>
      <w:pPr>
        <w:pStyle w:val="BodyText"/>
      </w:pPr>
      <w:r>
        <w:t xml:space="preserve">Gli</w:t>
      </w:r>
      <w:r>
        <w:t xml:space="preserve"> </w:t>
      </w:r>
      <w:r>
        <w:rPr>
          <w:b/>
          <w:bCs/>
        </w:rPr>
        <w:t xml:space="preserve">esiti clinici</w:t>
      </w:r>
      <w:r>
        <w:t xml:space="preserve"> </w:t>
      </w:r>
      <w:r>
        <w:t xml:space="preserve">sono onesti e vanno usati, ma per quello che sono. Non dicono quale piano comandava, dicono se il paziente sta meglio. Il placebo al 18,85% rende questa differenza sostanziale.</w:t>
      </w:r>
    </w:p>
    <w:p>
      <w:pPr>
        <w:pStyle w:val="BodyText"/>
      </w:pPr>
      <w:r>
        <w:t xml:space="preserve">Nel sottotipo sproporzionato al referto c’è anche uno strumento validato: la</w:t>
      </w:r>
      <w:r>
        <w:t xml:space="preserve"> </w:t>
      </w:r>
      <w:r>
        <w:rPr>
          <w:b/>
          <w:bCs/>
        </w:rPr>
        <w:t xml:space="preserve">Esophageal Hypervigilance and Anxiety Scale</w:t>
      </w:r>
      <w:r>
        <w:t xml:space="preserve"> </w:t>
      </w:r>
      <w:r>
        <w:t xml:space="preserve">(Taft,</w:t>
      </w:r>
      <w:r>
        <w:t xml:space="preserve"> </w:t>
      </w:r>
      <w:r>
        <w:rPr>
          <w:i/>
          <w:iCs/>
        </w:rPr>
        <w:t xml:space="preserve">Aliment Pharmacol Ther</w:t>
      </w:r>
      <w:r>
        <w:t xml:space="preserve"> </w:t>
      </w:r>
      <w:r>
        <w:t xml:space="preserve">2018), usata su 105 pazienti da Wong 2021. Misura un piano che le mani non toccano, e guarda l’ultimo mese.</w:t>
      </w:r>
    </w:p>
    <w:p>
      <w:pPr>
        <w:pStyle w:val="BlockText"/>
      </w:pPr>
      <w:r>
        <w:rPr>
          <w:b/>
          <w:bCs/>
        </w:rPr>
        <w:t xml:space="preserve">Cosa cambia per te.</w:t>
      </w:r>
      <w:r>
        <w:t xml:space="preserve"> </w:t>
      </w:r>
      <w:r>
        <w:t xml:space="preserve">Scegli il marker</w:t>
      </w:r>
      <w:r>
        <w:t xml:space="preserve"> </w:t>
      </w:r>
      <w:r>
        <w:rPr>
          <w:b/>
          <w:bCs/>
        </w:rPr>
        <w:t xml:space="preserve">prima</w:t>
      </w:r>
      <w:r>
        <w:t xml:space="preserve"> </w:t>
      </w:r>
      <w:r>
        <w:t xml:space="preserve">di trattare, e lontano dalle tue mani. Un marker deciso dopo è sempre il marker che ti dà ragione. E tieni separate le due domande:</w:t>
      </w:r>
      <w:r>
        <w:t xml:space="preserve"> </w:t>
      </w:r>
      <w:r>
        <w:rPr>
          <w:i/>
          <w:iCs/>
        </w:rPr>
        <w:t xml:space="preserve">ho scelto il piano giusto?</w:t>
      </w:r>
      <w:r>
        <w:t xml:space="preserve"> </w:t>
      </w:r>
      <w:r>
        <w:t xml:space="preserve">risponde il marker di dominanza;</w:t>
      </w:r>
      <w:r>
        <w:t xml:space="preserve"> </w:t>
      </w:r>
      <w:r>
        <w:rPr>
          <w:i/>
          <w:iCs/>
        </w:rPr>
        <w:t xml:space="preserve">sta meglio?</w:t>
      </w:r>
      <w:r>
        <w:t xml:space="preserve"> </w:t>
      </w:r>
      <w:r>
        <w:t xml:space="preserve">risponde l’esito clinico.</w:t>
      </w:r>
    </w:p>
    <w:p>
      <w:pPr>
        <w:pStyle w:val="FirstParagraph"/>
      </w:pPr>
      <w:r>
        <w:rPr>
          <w:b/>
          <w:bCs/>
        </w:rPr>
        <w:t xml:space="preserve">E se il marker di dominanza non si muove</w:t>
      </w:r>
      <w:r>
        <w:t xml:space="preserve">, il sistema che hai trattato non comandava. Si passa al piano trattabile successivo: diaframma, contenitore di parete, attivazione. Quanti tentativi, e con che cadenza, sta nella Procedura.</w:t>
      </w:r>
    </w:p>
    <w:p>
      <w:pPr>
        <w:pStyle w:val="BlockText"/>
      </w:pPr>
      <w:r>
        <w:rPr>
          <w:b/>
          <w:bCs/>
        </w:rPr>
        <w:t xml:space="preserve">Attenzione.</w:t>
      </w:r>
      <w:r>
        <w:t xml:space="preserve"> </w:t>
      </w:r>
      <w:r>
        <w:t xml:space="preserve">I reperti palpatori con cui allochi il paziente in un sottotipo sono RAGIONAMENTO: su questa condizione non esiste alcun dato di affidabilità fra operatori.</w:t>
      </w:r>
    </w:p>
    <w:bookmarkEnd w:id="59"/>
    <w:bookmarkStart w:id="60" w:name="i-tre-stati-del-paziente"/>
    <w:p>
      <w:pPr>
        <w:pStyle w:val="Heading3"/>
      </w:pPr>
      <w:r>
        <w:t xml:space="preserve">I tre stati del paziente</w:t>
      </w:r>
    </w:p>
    <w:p>
      <w:pPr>
        <w:pStyle w:val="FirstParagraph"/>
      </w:pPr>
      <w:r>
        <w:t xml:space="preserve">Riconoscere a chi stai parlando fa parte dell’indagine, non della persuasione.</w:t>
      </w:r>
    </w:p>
    <w:p>
      <w:pPr>
        <w:pStyle w:val="BodyText"/>
      </w:pPr>
      <w:r>
        <w:rPr>
          <w:b/>
          <w:bCs/>
        </w:rPr>
        <w:t xml:space="preserve">In difesa.</w:t>
      </w:r>
      <w:r>
        <w:t xml:space="preserve"> </w:t>
      </w:r>
      <w:r>
        <w:t xml:space="preserve">Teso, risposte corte, ha già sentito troppe promesse. Ritmo lento, e spiega cosa stai per fare prima di farlo.</w:t>
      </w:r>
    </w:p>
    <w:p>
      <w:pPr>
        <w:pStyle w:val="BodyText"/>
      </w:pPr>
      <w:r>
        <w:rPr>
          <w:b/>
          <w:bCs/>
        </w:rPr>
        <w:t xml:space="preserve">Emotivo.</w:t>
      </w:r>
      <w:r>
        <w:t xml:space="preserve"> </w:t>
      </w:r>
      <w:r>
        <w:t xml:space="preserve">Racconta, aggancia il sintomo a un periodo della sua vita, cerca ascolto. Qui la validazione non è cortesia, è lavoro clinico.</w:t>
      </w:r>
    </w:p>
    <w:p>
      <w:pPr>
        <w:pStyle w:val="BodyText"/>
      </w:pPr>
      <w:r>
        <w:rPr>
          <w:b/>
          <w:bCs/>
        </w:rPr>
        <w:t xml:space="preserve">Razionale.</w:t>
      </w:r>
      <w:r>
        <w:t xml:space="preserve"> </w:t>
      </w:r>
      <w:r>
        <w:t xml:space="preserve">Ha letto, porta i referti in ordine, chiede il meccanismo. Mostragli i numeri prima e dopo, e digli quanto è solido quello che fai. Con lui l’etichetta di solidità è alleanza, non limite.</w:t>
      </w:r>
    </w:p>
    <w:p>
      <w:pPr>
        <w:pStyle w:val="BodyText"/>
      </w:pPr>
      <w:r>
        <w:rPr>
          <w:b/>
          <w:bCs/>
        </w:rPr>
        <w:t xml:space="preserve">Le tre cose da ricordare</w:t>
      </w:r>
    </w:p>
    <w:p>
      <w:pPr>
        <w:pStyle w:val="Compact"/>
        <w:numPr>
          <w:ilvl w:val="0"/>
          <w:numId w:val="1021"/>
        </w:numPr>
      </w:pPr>
      <w:r>
        <w:t xml:space="preserve">Tre pazienti con lo stesso bruciore hanno tre sommersi diversi, e su tre il dominante è tuo una volta.</w:t>
      </w:r>
    </w:p>
    <w:p>
      <w:pPr>
        <w:pStyle w:val="Compact"/>
        <w:numPr>
          <w:ilvl w:val="0"/>
          <w:numId w:val="1021"/>
        </w:numPr>
      </w:pPr>
      <w:r>
        <w:t xml:space="preserve">Due marker, due domande: quello di dominanza sta su un piano non toccato e si legge subito; l’esito clinico appartiene al paziente e si legge su giorni.</w:t>
      </w:r>
    </w:p>
    <w:p>
      <w:pPr>
        <w:pStyle w:val="Compact"/>
        <w:numPr>
          <w:ilvl w:val="0"/>
          <w:numId w:val="1021"/>
        </w:numPr>
      </w:pPr>
      <w:r>
        <w:t xml:space="preserve">Il trauma non è un livello della gerarchia: è un modificatore che la scavalca, e ha tre segnali che lo distinguono da una cicatrice qualunque.</w:t>
      </w:r>
    </w:p>
    <w:p>
      <w:r>
        <w:pict>
          <v:rect style="width:0;height:1.5pt" o:hralign="center" o:hrstd="t" o:hr="t"/>
        </w:pict>
      </w:r>
    </w:p>
    <w:bookmarkEnd w:id="60"/>
    <w:bookmarkEnd w:id="61"/>
    <w:bookmarkStart w:id="67" w:name="capitolo-9-dove-finisce-il-nostro-campo"/>
    <w:p>
      <w:pPr>
        <w:pStyle w:val="Heading2"/>
      </w:pPr>
      <w:r>
        <w:t xml:space="preserve">Capitolo 9 — Dove finisce il nostro campo</w:t>
      </w:r>
    </w:p>
    <w:p>
      <w:pPr>
        <w:pStyle w:val="BlockText"/>
      </w:pPr>
      <w:r>
        <w:rPr>
          <w:b/>
          <w:bCs/>
        </w:rPr>
        <w:t xml:space="preserve">In una riga:</w:t>
      </w:r>
      <w:r>
        <w:t xml:space="preserve"> </w:t>
      </w:r>
      <w:r>
        <w:t xml:space="preserve">su questa condizione il confine non è teorico: dietro un bruciore dietro lo sterno può esserci il cuore.</w:t>
      </w:r>
    </w:p>
    <w:bookmarkStart w:id="62" w:name="le-bandiere-rosse"/>
    <w:p>
      <w:pPr>
        <w:pStyle w:val="Heading3"/>
      </w:pPr>
      <w:r>
        <w:t xml:space="preserve">Le bandiere rosse</w:t>
      </w:r>
    </w:p>
    <w:p>
      <w:pPr>
        <w:pStyle w:val="FirstParagraph"/>
      </w:pPr>
      <w:r>
        <w:t xml:space="preserve">Ognuna ha un destinatario e un’urgenza.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Segnale</w:t>
            </w:r>
          </w:p>
        </w:tc>
        <w:tc>
          <w:tcPr/>
          <w:p>
            <w:pPr>
              <w:pStyle w:val="Compact"/>
            </w:pPr>
            <w:r>
              <w:t xml:space="preserve">A chi</w:t>
            </w:r>
          </w:p>
        </w:tc>
        <w:tc>
          <w:tcPr/>
          <w:p>
            <w:pPr>
              <w:pStyle w:val="Compact"/>
            </w:pPr>
            <w:r>
              <w:t xml:space="preserve">Urgenza</w:t>
            </w:r>
          </w:p>
        </w:tc>
      </w:tr>
      <w:tr>
        <w:tc>
          <w:tcPr/>
          <w:p>
            <w:pPr>
              <w:pStyle w:val="Compact"/>
            </w:pPr>
            <w:r>
              <w:t xml:space="preserve">Dolore toracico sotto sforzo, sudorazione, affanno</w:t>
            </w:r>
          </w:p>
        </w:tc>
        <w:tc>
          <w:tcPr/>
          <w:p>
            <w:pPr>
              <w:pStyle w:val="Compact"/>
            </w:pPr>
            <w:r>
              <w:t xml:space="preserve">Pronto soccorso</w:t>
            </w:r>
          </w:p>
        </w:tc>
        <w:tc>
          <w:tcPr/>
          <w:p>
            <w:pPr>
              <w:pStyle w:val="Compact"/>
            </w:pPr>
            <w:r>
              <w:t xml:space="preserve">Immediata</w:t>
            </w:r>
          </w:p>
        </w:tc>
      </w:tr>
      <w:tr>
        <w:tc>
          <w:tcPr/>
          <w:p>
            <w:pPr>
              <w:pStyle w:val="Compact"/>
            </w:pPr>
            <w:r>
              <w:t xml:space="preserve">Vomito con sangue, feci nere</w:t>
            </w:r>
          </w:p>
        </w:tc>
        <w:tc>
          <w:tcPr/>
          <w:p>
            <w:pPr>
              <w:pStyle w:val="Compact"/>
            </w:pPr>
            <w:r>
              <w:t xml:space="preserve">Pronto soccorso</w:t>
            </w:r>
          </w:p>
        </w:tc>
        <w:tc>
          <w:tcPr/>
          <w:p>
            <w:pPr>
              <w:pStyle w:val="Compact"/>
            </w:pPr>
            <w:r>
              <w:t xml:space="preserve">Immediata</w:t>
            </w:r>
          </w:p>
        </w:tc>
      </w:tr>
      <w:tr>
        <w:tc>
          <w:tcPr/>
          <w:p>
            <w:pPr>
              <w:pStyle w:val="Compact"/>
            </w:pPr>
            <w:r>
              <w:t xml:space="preserve">Dolore epigastrico in terzo trimestre</w:t>
            </w:r>
          </w:p>
        </w:tc>
        <w:tc>
          <w:tcPr/>
          <w:p>
            <w:pPr>
              <w:pStyle w:val="Compact"/>
            </w:pPr>
            <w:r>
              <w:t xml:space="preserve">Ostetrico</w:t>
            </w:r>
          </w:p>
        </w:tc>
        <w:tc>
          <w:tcPr/>
          <w:p>
            <w:pPr>
              <w:pStyle w:val="Compact"/>
            </w:pPr>
            <w:r>
              <w:t xml:space="preserve">Immediata</w:t>
            </w:r>
          </w:p>
        </w:tc>
      </w:tr>
      <w:tr>
        <w:tc>
          <w:tcPr/>
          <w:p>
            <w:pPr>
              <w:pStyle w:val="Compact"/>
            </w:pPr>
            <w:r>
              <w:t xml:space="preserve">Massa pulsante con dolore addominale o lombare</w:t>
            </w:r>
          </w:p>
        </w:tc>
        <w:tc>
          <w:tcPr/>
          <w:p>
            <w:pPr>
              <w:pStyle w:val="Compact"/>
            </w:pPr>
            <w:r>
              <w:t xml:space="preserve">Pronto soccorso</w:t>
            </w:r>
          </w:p>
        </w:tc>
        <w:tc>
          <w:tcPr/>
          <w:p>
            <w:pPr>
              <w:pStyle w:val="Compact"/>
            </w:pPr>
            <w:r>
              <w:t xml:space="preserve">Immediata</w:t>
            </w:r>
          </w:p>
        </w:tc>
      </w:tr>
      <w:tr>
        <w:tc>
          <w:tcPr/>
          <w:p>
            <w:pPr>
              <w:pStyle w:val="Compact"/>
            </w:pPr>
            <w:r>
              <w:t xml:space="preserve">Massa addominale pulsante isolata</w:t>
            </w:r>
          </w:p>
        </w:tc>
        <w:tc>
          <w:tcPr/>
          <w:p>
            <w:pPr>
              <w:pStyle w:val="Compact"/>
            </w:pPr>
            <w:r>
              <w:t xml:space="preserve">Ecografia dell’aorta</w:t>
            </w:r>
          </w:p>
        </w:tc>
        <w:tc>
          <w:tcPr/>
          <w:p>
            <w:pPr>
              <w:pStyle w:val="Compact"/>
            </w:pPr>
            <w:r>
              <w:t xml:space="preserve">Giorni</w:t>
            </w:r>
          </w:p>
        </w:tc>
      </w:tr>
      <w:tr>
        <w:tc>
          <w:tcPr/>
          <w:p>
            <w:pPr>
              <w:pStyle w:val="Compact"/>
            </w:pPr>
            <w:r>
              <w:t xml:space="preserve">Vomito ripetuto che non si ferma</w:t>
            </w:r>
          </w:p>
        </w:tc>
        <w:tc>
          <w:tcPr/>
          <w:p>
            <w:pPr>
              <w:pStyle w:val="Compact"/>
            </w:pPr>
            <w:r>
              <w:t xml:space="preserve">Medico di base</w:t>
            </w:r>
          </w:p>
        </w:tc>
        <w:tc>
          <w:tcPr/>
          <w:p>
            <w:pPr>
              <w:pStyle w:val="Compact"/>
            </w:pPr>
            <w:r>
              <w:t xml:space="preserve">In giornata</w:t>
            </w:r>
          </w:p>
        </w:tc>
      </w:tr>
      <w:tr>
        <w:tc>
          <w:tcPr/>
          <w:p>
            <w:pPr>
              <w:pStyle w:val="Compact"/>
            </w:pPr>
            <w:r>
              <w:t xml:space="preserve">Difficoltà o dolore a deglutire</w:t>
            </w:r>
          </w:p>
        </w:tc>
        <w:tc>
          <w:tcPr/>
          <w:p>
            <w:pPr>
              <w:pStyle w:val="Compact"/>
            </w:pPr>
            <w:r>
              <w:t xml:space="preserve">Gastroenterologo</w:t>
            </w:r>
          </w:p>
        </w:tc>
        <w:tc>
          <w:tcPr/>
          <w:p>
            <w:pPr>
              <w:pStyle w:val="Compact"/>
            </w:pPr>
            <w:r>
              <w:t xml:space="preserve">Giorni</w:t>
            </w:r>
          </w:p>
        </w:tc>
      </w:tr>
      <w:tr>
        <w:tc>
          <w:tcPr/>
          <w:p>
            <w:pPr>
              <w:pStyle w:val="Compact"/>
            </w:pPr>
            <w:r>
              <w:t xml:space="preserve">Calo di peso involontario</w:t>
            </w:r>
          </w:p>
        </w:tc>
        <w:tc>
          <w:tcPr/>
          <w:p>
            <w:pPr>
              <w:pStyle w:val="Compact"/>
            </w:pPr>
            <w:r>
              <w:t xml:space="preserve">Medico di base</w:t>
            </w:r>
          </w:p>
        </w:tc>
        <w:tc>
          <w:tcPr/>
          <w:p>
            <w:pPr>
              <w:pStyle w:val="Compact"/>
            </w:pPr>
            <w:r>
              <w:t xml:space="preserve">Giorni</w:t>
            </w:r>
          </w:p>
        </w:tc>
      </w:tr>
      <w:tr>
        <w:tc>
          <w:tcPr/>
          <w:p>
            <w:pPr>
              <w:pStyle w:val="Compact"/>
            </w:pPr>
            <w:r>
              <w:t xml:space="preserve">Voce roca oltre tre settimane</w:t>
            </w:r>
          </w:p>
        </w:tc>
        <w:tc>
          <w:tcPr/>
          <w:p>
            <w:pPr>
              <w:pStyle w:val="Compact"/>
            </w:pPr>
            <w:r>
              <w:t xml:space="preserve">Otorinolaringoiatra</w:t>
            </w:r>
          </w:p>
        </w:tc>
        <w:tc>
          <w:tcPr/>
          <w:p>
            <w:pPr>
              <w:pStyle w:val="Compact"/>
            </w:pPr>
            <w:r>
              <w:t xml:space="preserve">Prima del ciclo</w:t>
            </w:r>
          </w:p>
        </w:tc>
      </w:tr>
      <w:tr>
        <w:tc>
          <w:tcPr/>
          <w:p>
            <w:pPr>
              <w:pStyle w:val="Compact"/>
            </w:pPr>
            <w:r>
              <w:t xml:space="preserve">Sintomi nuovi dopo i 50 anni</w:t>
            </w:r>
          </w:p>
        </w:tc>
        <w:tc>
          <w:tcPr/>
          <w:p>
            <w:pPr>
              <w:pStyle w:val="Compact"/>
            </w:pPr>
            <w:r>
              <w:t xml:space="preserve">Medico di base</w:t>
            </w:r>
          </w:p>
        </w:tc>
        <w:tc>
          <w:tcPr/>
          <w:p>
            <w:pPr>
              <w:pStyle w:val="Compact"/>
            </w:pPr>
            <w:r>
              <w:t xml:space="preserve">Prima del ciclo</w:t>
            </w:r>
          </w:p>
        </w:tc>
      </w:tr>
      <w:tr>
        <w:tc>
          <w:tcPr/>
          <w:p>
            <w:pPr>
              <w:pStyle w:val="Compact"/>
            </w:pPr>
            <w:r>
              <w:t xml:space="preserve">Anemia o stanchezza ingiustificata</w:t>
            </w:r>
          </w:p>
        </w:tc>
        <w:tc>
          <w:tcPr/>
          <w:p>
            <w:pPr>
              <w:pStyle w:val="Compact"/>
            </w:pPr>
            <w:r>
              <w:t xml:space="preserve">Medico di base</w:t>
            </w:r>
          </w:p>
        </w:tc>
        <w:tc>
          <w:tcPr/>
          <w:p>
            <w:pPr>
              <w:pStyle w:val="Compact"/>
            </w:pPr>
            <w:r>
              <w:t xml:space="preserve">Prima del ciclo</w:t>
            </w:r>
          </w:p>
        </w:tc>
      </w:tr>
    </w:tbl>
    <w:p>
      <w:pPr>
        <w:pStyle w:val="BodyText"/>
      </w:pPr>
      <w:r>
        <w:rPr>
          <w:b/>
          <w:bCs/>
        </w:rPr>
        <w:t xml:space="preserve">La massa pulsante è la riga che si sbaglia dove fa più male.</w:t>
      </w:r>
      <w:r>
        <w:t xml:space="preserve"> </w:t>
      </w:r>
      <w:r>
        <w:t xml:space="preserve">È un aneurisma dell’aorta addominale fino a prova contraria, e un aneurisma sintomatico è un’emergenza chirurgica (American College of Radiology, criteri di appropriatezza 2023). Con dolore addominale o lombare, pallore o ipotensione: pronto soccorso, lo stesso giorno. Isolata: ecografia in giorni. In entrambi i casi</w:t>
      </w:r>
      <w:r>
        <w:t xml:space="preserve"> </w:t>
      </w:r>
      <w:r>
        <w:rPr>
          <w:b/>
          <w:bCs/>
        </w:rPr>
        <w:t xml:space="preserve">quella zona non si ripalpa, non si tratta, e il ciclo non si apre finché non è chiarita.</w:t>
      </w:r>
      <w:r>
        <w:t xml:space="preserve"> </w:t>
      </w:r>
      <w:r>
        <w:t xml:space="preserve">È la stessa regione — epigastrio profondo — che il capitolo sulle leve indica come bersaglio.</w:t>
      </w:r>
    </w:p>
    <w:p>
      <w:pPr>
        <w:pStyle w:val="BodyText"/>
      </w:pPr>
      <w:r>
        <w:rPr>
          <w:b/>
          <w:bCs/>
        </w:rPr>
        <w:t xml:space="preserve">Nel paziente in anticoagulante o antiaggregante, spesso con un antinfiammatorio sopra, due righe scendono di un livello.</w:t>
      </w:r>
      <w:r>
        <w:t xml:space="preserve"> </w:t>
      </w:r>
      <w:r>
        <w:t xml:space="preserve">Le feci nere e catramose (melena) e un’anemia o una stanchezza nuova non aspettano. In lui</w:t>
      </w:r>
      <w:r>
        <w:t xml:space="preserve"> </w:t>
      </w:r>
      <w:r>
        <w:t xml:space="preserve">“bruciore di stomaco”</w:t>
      </w:r>
      <w:r>
        <w:t xml:space="preserve"> </w:t>
      </w:r>
      <w:r>
        <w:t xml:space="preserve">ha una probabilità molto più alta di essere un’ulcera che sanguina, e i due farmaci sommano il rischio invece di dividerlo.</w:t>
      </w:r>
    </w:p>
    <w:p>
      <w:pPr>
        <w:pStyle w:val="BodyText"/>
      </w:pPr>
      <w:r>
        <w:t xml:space="preserve">Il dolore dietro lo sterno merita una nota a parte. Il paziente stesso dice spesso</w:t>
      </w:r>
      <w:r>
        <w:t xml:space="preserve"> </w:t>
      </w:r>
      <w:r>
        <w:rPr>
          <w:i/>
          <w:iCs/>
        </w:rPr>
        <w:t xml:space="preserve">“mi ha fatto pensare al cuore”</w:t>
      </w:r>
      <w:r>
        <w:t xml:space="preserve">, e quella frase non si liquida.</w:t>
      </w:r>
      <w:r>
        <w:t xml:space="preserve"> </w:t>
      </w:r>
      <w:r>
        <w:rPr>
          <w:b/>
          <w:bCs/>
        </w:rPr>
        <w:t xml:space="preserve">Il percorso è cardiologico e urgente</w:t>
      </w:r>
      <w:r>
        <w:t xml:space="preserve"> </w:t>
      </w:r>
      <w:r>
        <w:t xml:space="preserve">in tre casi:</w:t>
      </w:r>
    </w:p>
    <w:p>
      <w:pPr>
        <w:pStyle w:val="Compact"/>
        <w:numPr>
          <w:ilvl w:val="0"/>
          <w:numId w:val="1022"/>
        </w:numPr>
      </w:pPr>
      <w:r>
        <w:t xml:space="preserve">Dolore che compare o peggiora sotto sforzo.</w:t>
      </w:r>
    </w:p>
    <w:p>
      <w:pPr>
        <w:pStyle w:val="Compact"/>
        <w:numPr>
          <w:ilvl w:val="0"/>
          <w:numId w:val="1022"/>
        </w:numPr>
      </w:pPr>
      <w:r>
        <w:t xml:space="preserve">Sudorazione, nausea o affanno associati.</w:t>
      </w:r>
    </w:p>
    <w:p>
      <w:pPr>
        <w:pStyle w:val="Compact"/>
        <w:numPr>
          <w:ilvl w:val="0"/>
          <w:numId w:val="1022"/>
        </w:numPr>
      </w:pPr>
      <w:r>
        <w:t xml:space="preserve">Irradiazione a mandibola o braccio sinistro.</w:t>
      </w:r>
    </w:p>
    <w:p>
      <w:pPr>
        <w:pStyle w:val="FirstParagraph"/>
      </w:pPr>
      <w:r>
        <w:rPr>
          <w:b/>
          <w:bCs/>
        </w:rPr>
        <w:t xml:space="preserve">Ma quel filtro è scritto per il maschio di cinquant’anni, e su alcune popolazioni fallisce.</w:t>
      </w:r>
      <w:r>
        <w:t xml:space="preserve"> </w:t>
      </w:r>
      <w:r>
        <w:t xml:space="preserve">In donne, over-65, diabetici e nefropatici l’ischemia si presenta spesso come bruciore epigastrico, nausea o affanno</w:t>
      </w:r>
      <w:r>
        <w:t xml:space="preserve"> </w:t>
      </w:r>
      <w:r>
        <w:rPr>
          <w:b/>
          <w:bCs/>
        </w:rPr>
        <w:t xml:space="preserve">isolati</w:t>
      </w:r>
      <w:r>
        <w:t xml:space="preserve">: senza sforzo e senza irradiazione. In questi gruppi un sintomo nuovo, o cambiato di carattere, è cardiaco fino a prova contraria. E</w:t>
      </w:r>
      <w:r>
        <w:t xml:space="preserve"> </w:t>
      </w:r>
      <w:r>
        <w:rPr>
          <w:b/>
          <w:bCs/>
        </w:rPr>
        <w:t xml:space="preserve">il sollievo dopo un antiacido non esclude nulla</w:t>
      </w:r>
      <w:r>
        <w:t xml:space="preserve">: non è un test diagnostico.</w:t>
      </w:r>
    </w:p>
    <w:p>
      <w:pPr>
        <w:pStyle w:val="BodyText"/>
      </w:pPr>
      <w:r>
        <w:rPr>
          <w:b/>
          <w:bCs/>
        </w:rPr>
        <w:t xml:space="preserve">La gravida del terzo trimestre ha una regola sua.</w:t>
      </w:r>
      <w:r>
        <w:t xml:space="preserve"> </w:t>
      </w:r>
      <w:r>
        <w:t xml:space="preserve">Lì il dolore epigastrico o sotto le coste a destra è sintomo cardinale di preeclampsia e HELLP. Non è bruciante, non risale verso la gola, non risponde all’antiacido, e viene scambiato per pirosi di routine. Una quota di HELLP è normotesa: una pressione normale non rassicura.</w:t>
      </w:r>
    </w:p>
    <w:bookmarkEnd w:id="62"/>
    <w:bookmarkStart w:id="63" w:name="il-cancello-dingresso"/>
    <w:p>
      <w:pPr>
        <w:pStyle w:val="Heading3"/>
      </w:pPr>
      <w:r>
        <w:t xml:space="preserve">Il cancello d’ingresso</w:t>
      </w:r>
    </w:p>
    <w:p>
      <w:pPr>
        <w:pStyle w:val="FirstParagraph"/>
      </w:pPr>
      <w:r>
        <w:t xml:space="preserve">Prima di aprire un ciclo devono esserci tre cose.</w:t>
      </w:r>
    </w:p>
    <w:p>
      <w:pPr>
        <w:pStyle w:val="BodyText"/>
      </w:pPr>
      <w:r>
        <w:rPr>
          <w:b/>
          <w:bCs/>
        </w:rPr>
        <w:t xml:space="preserve">Un inquadramento medico già fatto</w:t>
      </w:r>
      <w:r>
        <w:t xml:space="preserve"> </w:t>
      </w:r>
      <w:r>
        <w:t xml:space="preserve">— medico di base o gastroenterologo, e gastroscopia quando indicata. Scade se il sintomo ha cambiato carattere, sede o intensità dopo l’ultimo accertamento.</w:t>
      </w:r>
    </w:p>
    <w:p>
      <w:pPr>
        <w:pStyle w:val="BodyText"/>
      </w:pPr>
      <w:r>
        <w:rPr>
          <w:b/>
          <w:bCs/>
        </w:rPr>
        <w:t xml:space="preserve">Un dolore toracico già chiarito</w:t>
      </w:r>
      <w:r>
        <w:t xml:space="preserve">, se il paziente lo riferisce.</w:t>
      </w:r>
    </w:p>
    <w:p>
      <w:pPr>
        <w:pStyle w:val="BodyText"/>
      </w:pPr>
      <w:r>
        <w:rPr>
          <w:b/>
          <w:bCs/>
        </w:rPr>
        <w:t xml:space="preserve">Una pH-impedenzometria fatta, o consapevolmente esclusa dal medico</w:t>
      </w:r>
      <w:r>
        <w:t xml:space="preserve">, se il sintomo persiste con l’inibitore di pompa a dose piena. È l’esame che definisce quel paziente, e la risposta al farmaco non è una conferma diagnostica. Chi decide di non farla è il medico, non tu.</w:t>
      </w:r>
    </w:p>
    <w:p>
      <w:pPr>
        <w:pStyle w:val="BodyText"/>
      </w:pPr>
      <w:r>
        <w:t xml:space="preserve">Se manca l’inquadramento, non è un no: è un rinvio.</w:t>
      </w:r>
    </w:p>
    <w:p>
      <w:pPr>
        <w:pStyle w:val="BodyText"/>
      </w:pPr>
      <w:r>
        <w:rPr>
          <w:b/>
          <w:bCs/>
        </w:rPr>
        <w:t xml:space="preserve">E c’è una regola d’uscita, non solo d’ingresso.</w:t>
      </w:r>
      <w:r>
        <w:t xml:space="preserve"> </w:t>
      </w:r>
      <w:r>
        <w:t xml:space="preserve">Un quadro che non si muove, o che peggiora, torna al medico. Il paziente deve inoltre sapere due cose.</w:t>
      </w:r>
    </w:p>
    <w:p>
      <w:pPr>
        <w:pStyle w:val="BodyText"/>
      </w:pPr>
      <w:r>
        <w:t xml:space="preserve">La prima: telefona subito se compare un</w:t>
      </w:r>
      <w:r>
        <w:t xml:space="preserve"> </w:t>
      </w:r>
      <w:r>
        <w:rPr>
          <w:b/>
          <w:bCs/>
        </w:rPr>
        <w:t xml:space="preserve">dolore addominale profondo</w:t>
      </w:r>
      <w:r>
        <w:t xml:space="preserve"> </w:t>
      </w:r>
      <w:r>
        <w:t xml:space="preserve">che non cede nelle ore dopo la seduta.</w:t>
      </w:r>
    </w:p>
    <w:p>
      <w:pPr>
        <w:pStyle w:val="BodyText"/>
      </w:pPr>
      <w:r>
        <w:t xml:space="preserve">La seconda: va in</w:t>
      </w:r>
      <w:r>
        <w:t xml:space="preserve"> </w:t>
      </w:r>
      <w:r>
        <w:rPr>
          <w:b/>
          <w:bCs/>
        </w:rPr>
        <w:t xml:space="preserve">pronto soccorso</w:t>
      </w:r>
      <w:r>
        <w:t xml:space="preserve">, senza telefonare, se dopo un lavoro sulla regione cervicale compare uno di questi segni.</w:t>
      </w:r>
    </w:p>
    <w:p>
      <w:pPr>
        <w:pStyle w:val="Compact"/>
        <w:numPr>
          <w:ilvl w:val="0"/>
          <w:numId w:val="1023"/>
        </w:numPr>
      </w:pPr>
      <w:r>
        <w:t xml:space="preserve">Cefalea o dolore al collo nuovi e diversi dai soliti.</w:t>
      </w:r>
    </w:p>
    <w:p>
      <w:pPr>
        <w:pStyle w:val="Compact"/>
        <w:numPr>
          <w:ilvl w:val="0"/>
          <w:numId w:val="1023"/>
        </w:numPr>
      </w:pPr>
      <w:r>
        <w:t xml:space="preserve">Disturbo visivo.</w:t>
      </w:r>
    </w:p>
    <w:p>
      <w:pPr>
        <w:pStyle w:val="Compact"/>
        <w:numPr>
          <w:ilvl w:val="0"/>
          <w:numId w:val="1023"/>
        </w:numPr>
      </w:pPr>
      <w:r>
        <w:t xml:space="preserve">Palpebra cadente.</w:t>
      </w:r>
    </w:p>
    <w:p>
      <w:pPr>
        <w:pStyle w:val="Compact"/>
        <w:numPr>
          <w:ilvl w:val="0"/>
          <w:numId w:val="1023"/>
        </w:numPr>
      </w:pPr>
      <w:r>
        <w:t xml:space="preserve">Difficoltà di parola.</w:t>
      </w:r>
    </w:p>
    <w:p>
      <w:pPr>
        <w:pStyle w:val="Compact"/>
        <w:numPr>
          <w:ilvl w:val="0"/>
          <w:numId w:val="1023"/>
        </w:numPr>
      </w:pPr>
      <w:r>
        <w:t xml:space="preserve">Deviazione della lingua.</w:t>
      </w:r>
    </w:p>
    <w:p>
      <w:pPr>
        <w:pStyle w:val="Compact"/>
        <w:numPr>
          <w:ilvl w:val="0"/>
          <w:numId w:val="1023"/>
        </w:numPr>
      </w:pPr>
      <w:r>
        <w:t xml:space="preserve">Debolezza di un lato.</w:t>
      </w:r>
    </w:p>
    <w:p>
      <w:pPr>
        <w:pStyle w:val="FirstParagraph"/>
      </w:pPr>
      <w:r>
        <w:t xml:space="preserve">La lesione vascolare cervicale si presenta in differita, anche a una settimana: non si valuta al telefono.</w:t>
      </w:r>
    </w:p>
    <w:p>
      <w:pPr>
        <w:pStyle w:val="BodyText"/>
      </w:pPr>
      <w:r>
        <w:rPr>
          <w:b/>
          <w:bCs/>
        </w:rPr>
        <w:t xml:space="preserve">Come si segnala.</w:t>
      </w:r>
      <w:r>
        <w:t xml:space="preserve"> </w:t>
      </w:r>
      <w:r>
        <w:t xml:space="preserve">Ogni segnalazione è una</w:t>
      </w:r>
      <w:r>
        <w:t xml:space="preserve"> </w:t>
      </w:r>
      <w:r>
        <w:rPr>
          <w:b/>
          <w:bCs/>
        </w:rPr>
        <w:t xml:space="preserve">nota scritta</w:t>
      </w:r>
      <w:r>
        <w:t xml:space="preserve">, consegnata al paziente e indirizzata al medico: cosa hai osservato, perché lo rimandi. Senza una forma, non arriva.</w:t>
      </w:r>
    </w:p>
    <w:p>
      <w:pPr>
        <w:pStyle w:val="BlockText"/>
      </w:pPr>
      <w:r>
        <w:rPr>
          <w:b/>
          <w:bCs/>
        </w:rPr>
        <w:t xml:space="preserve">Attenzione.</w:t>
      </w:r>
      <w:r>
        <w:t xml:space="preserve"> </w:t>
      </w:r>
      <w:r>
        <w:t xml:space="preserve">Non cadere nel vizio dello scaricabarile. Rimandare al medico non significa chiudere la porta: significa aprire la porta giusta, e restare disponibile per quello che è tuo.</w:t>
      </w:r>
    </w:p>
    <w:bookmarkEnd w:id="63"/>
    <w:bookmarkStart w:id="64" w:name="Xb12653909be9bea9493377c2abe60e53d9ac35b"/>
    <w:p>
      <w:pPr>
        <w:pStyle w:val="Heading3"/>
      </w:pPr>
      <w:r>
        <w:t xml:space="preserve">I farmaci che prende, e perché non li commenti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Classe</w:t>
            </w:r>
          </w:p>
        </w:tc>
        <w:tc>
          <w:tcPr/>
          <w:p>
            <w:pPr>
              <w:pStyle w:val="Compact"/>
            </w:pPr>
            <w:r>
              <w:t xml:space="preserve">Cosa fa</w:t>
            </w:r>
          </w:p>
        </w:tc>
      </w:tr>
      <w:tr>
        <w:tc>
          <w:tcPr/>
          <w:p>
            <w:pPr>
              <w:pStyle w:val="Compact"/>
            </w:pPr>
            <w:r>
              <w:t xml:space="preserve">Inibitori di pompa protonica</w:t>
            </w:r>
          </w:p>
        </w:tc>
        <w:tc>
          <w:tcPr/>
          <w:p>
            <w:pPr>
              <w:pStyle w:val="Compact"/>
            </w:pPr>
            <w:r>
              <w:t xml:space="preserve">Riducono la produzione di acido</w:t>
            </w:r>
          </w:p>
        </w:tc>
      </w:tr>
      <w:tr>
        <w:tc>
          <w:tcPr/>
          <w:p>
            <w:pPr>
              <w:pStyle w:val="Compact"/>
            </w:pPr>
            <w:r>
              <w:t xml:space="preserve">Alginati e antiacidi</w:t>
            </w:r>
          </w:p>
        </w:tc>
        <w:tc>
          <w:tcPr/>
          <w:p>
            <w:pPr>
              <w:pStyle w:val="Compact"/>
            </w:pPr>
            <w:r>
              <w:t xml:space="preserve">Tamponano e formano barriera fisica</w:t>
            </w:r>
          </w:p>
        </w:tc>
      </w:tr>
      <w:tr>
        <w:tc>
          <w:tcPr/>
          <w:p>
            <w:pPr>
              <w:pStyle w:val="Compact"/>
            </w:pPr>
            <w:r>
              <w:t xml:space="preserve">Anti-H2</w:t>
            </w:r>
          </w:p>
        </w:tc>
        <w:tc>
          <w:tcPr/>
          <w:p>
            <w:pPr>
              <w:pStyle w:val="Compact"/>
            </w:pPr>
            <w:r>
              <w:t xml:space="preserve">Riducono l’acidità per altra via</w:t>
            </w:r>
          </w:p>
        </w:tc>
      </w:tr>
      <w:tr>
        <w:tc>
          <w:tcPr/>
          <w:p>
            <w:pPr>
              <w:pStyle w:val="Compact"/>
            </w:pPr>
            <w:r>
              <w:t xml:space="preserve">Procinetici</w:t>
            </w:r>
          </w:p>
        </w:tc>
        <w:tc>
          <w:tcPr/>
          <w:p>
            <w:pPr>
              <w:pStyle w:val="Compact"/>
            </w:pPr>
            <w:r>
              <w:t xml:space="preserve">Accelerano lo svuotamento gastrico</w:t>
            </w:r>
          </w:p>
        </w:tc>
      </w:tr>
    </w:tbl>
    <w:p>
      <w:pPr>
        <w:pStyle w:val="BodyText"/>
      </w:pPr>
      <w:r>
        <w:t xml:space="preserve">Nessuno agisce sulla meccanica della barriera: agiscono sul contenuto o sulla sua velocità. È il motivo per cui il tuo lavoro non è alternativo al loro.</w:t>
      </w:r>
    </w:p>
    <w:p>
      <w:pPr>
        <w:pStyle w:val="BodyText"/>
      </w:pPr>
      <w:r>
        <w:rPr>
          <w:b/>
          <w:bCs/>
        </w:rPr>
        <w:t xml:space="preserve">Esiste però l’altra metà della tabella: i farmaci che alimentano il quadro.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Classe</w:t>
            </w:r>
          </w:p>
        </w:tc>
        <w:tc>
          <w:tcPr/>
          <w:p>
            <w:pPr>
              <w:pStyle w:val="Compact"/>
            </w:pPr>
            <w:r>
              <w:t xml:space="preserve">Cosa fa al quadro</w:t>
            </w:r>
          </w:p>
        </w:tc>
      </w:tr>
      <w:tr>
        <w:tc>
          <w:tcPr/>
          <w:p>
            <w:pPr>
              <w:pStyle w:val="Compact"/>
            </w:pPr>
            <w:r>
              <w:t xml:space="preserve">Bifosfonati, doxiciclina, potassio, antinfiammatori</w:t>
            </w:r>
          </w:p>
        </w:tc>
        <w:tc>
          <w:tcPr/>
          <w:p>
            <w:pPr>
              <w:pStyle w:val="Compact"/>
            </w:pPr>
            <w:r>
              <w:t xml:space="preserve">Esofagite da pillola</w:t>
            </w:r>
          </w:p>
        </w:tc>
      </w:tr>
      <w:tr>
        <w:tc>
          <w:tcPr/>
          <w:p>
            <w:pPr>
              <w:pStyle w:val="Compact"/>
            </w:pPr>
            <w:r>
              <w:t xml:space="preserve">Calcio-antagonisti, nitrati, anticolinergici, teofillina, benzodiazepine</w:t>
            </w:r>
          </w:p>
        </w:tc>
        <w:tc>
          <w:tcPr/>
          <w:p>
            <w:pPr>
              <w:pStyle w:val="Compact"/>
            </w:pPr>
            <w:r>
              <w:t xml:space="preserve">Abbassano il tono dello sfintere</w:t>
            </w:r>
          </w:p>
        </w:tc>
      </w:tr>
      <w:tr>
        <w:tc>
          <w:tcPr/>
          <w:p>
            <w:pPr>
              <w:pStyle w:val="Compact"/>
            </w:pPr>
            <w:r>
              <w:rPr>
                <w:b/>
                <w:bCs/>
              </w:rPr>
              <w:t xml:space="preserve">Agonisti del recettore GLP-1</w:t>
            </w:r>
          </w:p>
        </w:tc>
        <w:tc>
          <w:tcPr/>
          <w:p>
            <w:pPr>
              <w:pStyle w:val="Compact"/>
            </w:pPr>
            <w:r>
              <w:t xml:space="preserve">Rallentano lo svuotamento gastrico</w:t>
            </w:r>
          </w:p>
        </w:tc>
      </w:tr>
      <w:tr>
        <w:tc>
          <w:tcPr/>
          <w:p>
            <w:pPr>
              <w:pStyle w:val="Compact"/>
            </w:pPr>
            <w:r>
              <w:rPr>
                <w:b/>
                <w:bCs/>
              </w:rPr>
              <w:t xml:space="preserve">Oppioidi</w:t>
            </w:r>
          </w:p>
        </w:tc>
        <w:tc>
          <w:tcPr/>
          <w:p>
            <w:pPr>
              <w:pStyle w:val="Compact"/>
            </w:pPr>
            <w:r>
              <w:t xml:space="preserve">Abbassano il tono e rallentano lo svuotamento</w:t>
            </w:r>
          </w:p>
        </w:tc>
      </w:tr>
    </w:tbl>
    <w:p>
      <w:pPr>
        <w:pStyle w:val="BodyText"/>
      </w:pPr>
      <w:r>
        <w:t xml:space="preserve">Le ultime due righe sono le classi che oggi vedi di più. Gli agonisti GLP-1 — semaglutide, tirzepatide — hanno un rischio aumentato di reflusso rispetto a un comparatore attivo: rapporto di rischio 1,27, e 1,55 per le complicanze (Noh,</w:t>
      </w:r>
      <w:r>
        <w:t xml:space="preserve"> </w:t>
      </w:r>
      <w:r>
        <w:rPr>
          <w:i/>
          <w:iCs/>
        </w:rPr>
        <w:t xml:space="preserve">Ann Intern Med</w:t>
      </w:r>
      <w:r>
        <w:t xml:space="preserve"> </w:t>
      </w:r>
      <w:r>
        <w:t xml:space="preserve">2025). Il quadro che producono è la variante lenta descritta in «Cosa si rompe».</w:t>
      </w:r>
    </w:p>
    <w:p>
      <w:pPr>
        <w:pStyle w:val="BodyText"/>
      </w:pPr>
      <w:r>
        <w:t xml:space="preserve">La signora di 78 anni in alendronato che</w:t>
      </w:r>
      <w:r>
        <w:t xml:space="preserve"> </w:t>
      </w:r>
      <w:r>
        <w:t xml:space="preserve">“ha il reflusso da tre mesi”</w:t>
      </w:r>
      <w:r>
        <w:t xml:space="preserve"> </w:t>
      </w:r>
      <w:r>
        <w:rPr>
          <w:b/>
          <w:bCs/>
        </w:rPr>
        <w:t xml:space="preserve">può</w:t>
      </w:r>
      <w:r>
        <w:t xml:space="preserve"> </w:t>
      </w:r>
      <w:r>
        <w:t xml:space="preserve">avere una causa legata al farmaco. Si segnala, non si conclude: l’esofagite da bifosfonato è una diagnosi medica.</w:t>
      </w:r>
    </w:p>
    <w:p>
      <w:pPr>
        <w:pStyle w:val="BodyText"/>
      </w:pPr>
      <w:r>
        <w:t xml:space="preserve">Un ultimo dato riguarda l’osso. L’uso prolungato di inibitore di pompa è</w:t>
      </w:r>
      <w:r>
        <w:t xml:space="preserve"> </w:t>
      </w:r>
      <w:r>
        <w:rPr>
          <w:b/>
          <w:bCs/>
        </w:rPr>
        <w:t xml:space="preserve">associato</w:t>
      </w:r>
      <w:r>
        <w:t xml:space="preserve"> </w:t>
      </w:r>
      <w:r>
        <w:t xml:space="preserve">a più fratture di anca, polso e colonna, con avvertenza FDA dal 2010. Ma l’associazione è osservazionale, il meccanismo non è dimostrato, e</w:t>
      </w:r>
      <w:r>
        <w:t xml:space="preserve"> </w:t>
      </w:r>
      <w:r>
        <w:rPr>
          <w:b/>
          <w:bCs/>
        </w:rPr>
        <w:t xml:space="preserve">nessuna revisione dedicata raccomanda di sospendere il farmaco</w:t>
      </w:r>
      <w:r>
        <w:t xml:space="preserve">.</w:t>
      </w:r>
    </w:p>
    <w:p>
      <w:pPr>
        <w:pStyle w:val="BlockText"/>
      </w:pPr>
      <w:r>
        <w:rPr>
          <w:b/>
          <w:bCs/>
        </w:rPr>
        <w:t xml:space="preserve">Attenzione — destinazione d’uso.</w:t>
      </w:r>
      <w:r>
        <w:t xml:space="preserve"> </w:t>
      </w:r>
      <w:r>
        <w:t xml:space="preserve">Questo dato serve a due cose sole. Primo: capire perché il medico rivaluta la terapia. Secondo: regolare le tue mani, e la conseguenza manuale sta in «Perché le mani possono cambiare qualcosa». Non è un argomento da portare in studio. Se è lui a tirarlo fuori, la risposta è quella di sempre: ne parla con chi gliel’ha prescritto.</w:t>
      </w:r>
    </w:p>
    <w:p>
      <w:pPr>
        <w:pStyle w:val="FirstParagraph"/>
      </w:pPr>
      <w:r>
        <w:rPr>
          <w:b/>
          <w:bCs/>
        </w:rPr>
        <w:t xml:space="preserve">Non commenti la terapia. Mai.</w:t>
      </w:r>
      <w:r>
        <w:t xml:space="preserve"> </w:t>
      </w:r>
      <w:r>
        <w:t xml:space="preserve">Non suggerisci di ridurla, di sospenderla o di saltarne una. Nemmeno in forma dubitativa, nemmeno se il paziente te lo chiede — e te lo chiederà. La risposta è sempre la stessa:</w:t>
      </w:r>
      <w:r>
        <w:t xml:space="preserve"> </w:t>
      </w:r>
      <w:r>
        <w:rPr>
          <w:i/>
          <w:iCs/>
        </w:rPr>
        <w:t xml:space="preserve">“la terapia la decide chi te l’ha prescritta”</w:t>
      </w:r>
      <w:r>
        <w:t xml:space="preserve">.</w:t>
      </w:r>
    </w:p>
    <w:p>
      <w:pPr>
        <w:pStyle w:val="BodyText"/>
      </w:pPr>
      <w:r>
        <w:t xml:space="preserve">C’è una ragione clinica, oltre a quella deontologica. Sospendere l’inibitore di pompa può dare un rimbalzo di secrezione acida. Un paziente che smette da solo dopo aver parlato con te sta peggio, e pensa che sia colpa tua.</w:t>
      </w:r>
    </w:p>
    <w:bookmarkEnd w:id="64"/>
    <w:bookmarkStart w:id="66" w:name="il-perimetro-legale"/>
    <w:p>
      <w:pPr>
        <w:pStyle w:val="Heading3"/>
      </w:pPr>
      <w:r>
        <w:t xml:space="preserve">Il perimetro legale</w:t>
      </w:r>
    </w:p>
    <w:p>
      <w:pPr>
        <w:pStyle w:val="FirstParagraph"/>
      </w:pPr>
      <w:r>
        <w:t xml:space="preserve">La professione è istituita dalla L. 3/2018 e definita dal DPR 131/2021, che inquadra l’osteopata come professionista sanitario. Il DPCM 25 marzo 2026 ne completa l’attuazione. L’art. 1 del DPR descrive l’attività autonoma come</w:t>
      </w:r>
      <w:r>
        <w:t xml:space="preserve"> </w:t>
      </w:r>
      <w:r>
        <w:rPr>
          <w:b/>
          <w:bCs/>
        </w:rPr>
        <w:t xml:space="preserve">intervento di prevenzione e mantenimento della salute</w:t>
      </w:r>
      <w:r>
        <w:t xml:space="preserve">, non come cura di una malattia diagnosticata. L’osteopata interviene con tecniche</w:t>
      </w:r>
      <w:r>
        <w:t xml:space="preserve"> </w:t>
      </w:r>
      <w:r>
        <w:rPr>
          <w:b/>
          <w:bCs/>
        </w:rPr>
        <w:t xml:space="preserve">esclusivamente manuali, non invasive ed esterne</w:t>
      </w:r>
      <w:r>
        <w:t xml:space="preserve">, su</w:t>
      </w:r>
      <w:r>
        <w:t xml:space="preserve"> </w:t>
      </w:r>
      <w:r>
        <w:rPr>
          <w:b/>
          <w:bCs/>
        </w:rPr>
        <w:t xml:space="preserve">disfunzioni somatiche non riconducibili a patologie, nell’ambito dell’apparato muscolo-scheletrico</w:t>
      </w:r>
      <w:r>
        <w:t xml:space="preserve">, e</w:t>
      </w:r>
      <w:r>
        <w:t xml:space="preserve"> </w:t>
      </w:r>
      <w:r>
        <w:rPr>
          <w:b/>
          <w:bCs/>
        </w:rPr>
        <w:t xml:space="preserve">in riferimento alla diagnosi di competenza medica</w:t>
      </w:r>
      <w:r>
        <w:t xml:space="preserve">.</w:t>
      </w:r>
    </w:p>
    <w:p>
      <w:pPr>
        <w:pStyle w:val="BodyText"/>
      </w:pPr>
      <w:r>
        <w:t xml:space="preserve">Quelle espressioni ti vincolano, e la prima rende difendibili tutte le altre.</w:t>
      </w:r>
      <w:r>
        <w:t xml:space="preserve"> </w:t>
      </w:r>
      <w:r>
        <w:rPr>
          <w:b/>
          <w:bCs/>
        </w:rPr>
        <w:t xml:space="preserve">L’oggetto del tuo trattamento non è il reflusso.</w:t>
      </w:r>
      <w:r>
        <w:t xml:space="preserve"> </w:t>
      </w:r>
      <w:r>
        <w:t xml:space="preserve">È la disfunzione somatica muscolo-scheletrica: diaframma, gabbia toracica bassa, cerniera dorso-lombare, parete addominale. E il paziente è uno il cui reflusso è diagnosticato e gestito dal medico. Non fai diagnosi, non interpreti una gastroscopia, non stadi un’esofagite.</w:t>
      </w:r>
    </w:p>
    <w:p>
      <w:pPr>
        <w:pStyle w:val="BodyText"/>
      </w:pPr>
      <w:r>
        <w:t xml:space="preserve">Lo status richiede laurea abilitante o titolo equipollente</w:t>
      </w:r>
      <w:r>
        <w:t xml:space="preserve"> </w:t>
      </w:r>
      <w:r>
        <w:rPr>
          <w:b/>
          <w:bCs/>
        </w:rPr>
        <w:t xml:space="preserve">e</w:t>
      </w:r>
      <w:r>
        <w:t xml:space="preserve"> </w:t>
      </w:r>
      <w:r>
        <w:t xml:space="preserve">iscrizione: verifica la tua.</w:t>
      </w:r>
    </w:p>
    <w:p>
      <w:pPr>
        <w:pStyle w:val="BodyText"/>
      </w:pPr>
      <w:r>
        <w:t xml:space="preserve">Il consenso informato va raccolto e documentato prima del trattamento, comprende le alternative ed è revocabile (L. 219/2017).</w:t>
      </w:r>
      <w:r>
        <w:t xml:space="preserve"> </w:t>
      </w:r>
      <w:r>
        <w:rPr>
          <w:b/>
          <w:bCs/>
        </w:rPr>
        <w:t xml:space="preserve">Su questa condizione dichiara tre cose in più:</w:t>
      </w:r>
    </w:p>
    <w:p>
      <w:pPr>
        <w:pStyle w:val="Compact"/>
        <w:numPr>
          <w:ilvl w:val="0"/>
          <w:numId w:val="1024"/>
        </w:numPr>
      </w:pPr>
      <w:r>
        <w:t xml:space="preserve">Che l’oggetto del trattamento è la disfunzione somatica e non la cura del reflusso.</w:t>
      </w:r>
    </w:p>
    <w:p>
      <w:pPr>
        <w:pStyle w:val="Compact"/>
        <w:numPr>
          <w:ilvl w:val="0"/>
          <w:numId w:val="1024"/>
        </w:numPr>
      </w:pPr>
      <w:r>
        <w:t xml:space="preserve">Che l’evidenza di terapia manuale è limitata e a breve termine.</w:t>
      </w:r>
    </w:p>
    <w:p>
      <w:pPr>
        <w:pStyle w:val="Compact"/>
        <w:numPr>
          <w:ilvl w:val="0"/>
          <w:numId w:val="1024"/>
        </w:numPr>
      </w:pPr>
      <w:r>
        <w:t xml:space="preserve">Che il trattamento si affianca alla terapia medica e non la sostituisce.</w:t>
      </w:r>
    </w:p>
    <w:p>
      <w:pPr>
        <w:pStyle w:val="FirstParagraph"/>
      </w:pPr>
      <w:r>
        <w:t xml:space="preserve">Una Bibbia che scrive</w:t>
      </w:r>
      <w:r>
        <w:t xml:space="preserve"> </w:t>
      </w:r>
      <w:r>
        <w:t xml:space="preserve">“letteratura sottile”</w:t>
      </w:r>
      <w:r>
        <w:t xml:space="preserve"> </w:t>
      </w:r>
      <w:r>
        <w:t xml:space="preserve">e un consenso che non lo dice sono due carte che, insieme, mostrano che si sapeva e non si è detto.</w:t>
      </w:r>
    </w:p>
    <w:p>
      <w:pPr>
        <w:pStyle w:val="BodyText"/>
      </w:pPr>
      <w:r>
        <w:t xml:space="preserve">I dati di salute sono dati particolari ai sensi dell’art. 9 del GDPR: si trattano per la finalità di cura, si conservano protetti, non si condividono senza autorizzazione.</w:t>
      </w:r>
    </w:p>
    <w:p>
      <w:pPr>
        <w:pStyle w:val="BodyText"/>
      </w:pPr>
      <w:r>
        <w:rPr>
          <w:b/>
          <w:bCs/>
        </w:rPr>
        <w:t xml:space="preserve">Se sbagli campo</w:t>
      </w:r>
      <w:r>
        <w:t xml:space="preserve">, il danno non è professionale ma clinico. Un dolore cardiaco scambiato per reflusso può essere grave. E un paziente che sospende la terapia perché ha capito male non lo dice a nessuno finché non sta male.</w:t>
      </w:r>
    </w:p>
    <w:p>
      <w:pPr>
        <w:pStyle w:val="BodyText"/>
      </w:pPr>
      <w:r>
        <w:rPr>
          <w:b/>
          <w:bCs/>
        </w:rPr>
        <w:t xml:space="preserve">Le tre cose da ricordare</w:t>
      </w:r>
    </w:p>
    <w:p>
      <w:pPr>
        <w:pStyle w:val="Compact"/>
        <w:numPr>
          <w:ilvl w:val="0"/>
          <w:numId w:val="1025"/>
        </w:numPr>
      </w:pPr>
      <w:r>
        <w:t xml:space="preserve">Si esclude il cuore prima di qualunque altra cosa. E in donna, anziano, diabetico e nefropatico il filtro classico non basta.</w:t>
      </w:r>
    </w:p>
    <w:p>
      <w:pPr>
        <w:pStyle w:val="Compact"/>
        <w:numPr>
          <w:ilvl w:val="0"/>
          <w:numId w:val="1025"/>
        </w:numPr>
      </w:pPr>
      <w:r>
        <w:t xml:space="preserve">La terapia farmacologica non si commenta, non si riduce, non si mette in discussione — mai.</w:t>
      </w:r>
    </w:p>
    <w:p>
      <w:pPr>
        <w:pStyle w:val="Heading2"/>
        <w:numPr>
          <w:ilvl w:val="0"/>
          <w:numId w:val="1025"/>
        </w:numPr>
      </w:pPr>
      <w:bookmarkStart w:id="65" w:name="X52a1ce7d942ca07c8d1424770e72debc2270f93"/>
      <w:r>
        <w:t xml:space="preserve">Non fai diagnosi e non tratti il reflusso: tratti la disfunzione muscolo-scheletrica di un paziente il cui reflusso è del medico.</w:t>
      </w:r>
      <w:bookmarkEnd w:id="65"/>
    </w:p>
    <w:bookmarkEnd w:id="66"/>
    <w:bookmarkEnd w:id="67"/>
    <w:bookmarkStart w:id="88" w:name="capitolo-10-cosa-dice-la-scienza"/>
    <w:p>
      <w:pPr>
        <w:pStyle w:val="Heading2"/>
      </w:pPr>
      <w:r>
        <w:t xml:space="preserve">Capitolo 10 — Cosa dice la scienza</w:t>
      </w:r>
    </w:p>
    <w:p>
      <w:pPr>
        <w:pStyle w:val="BlockText"/>
      </w:pPr>
      <w:r>
        <w:rPr>
          <w:b/>
          <w:bCs/>
        </w:rPr>
        <w:t xml:space="preserve">In una riga:</w:t>
      </w:r>
      <w:r>
        <w:t xml:space="preserve"> </w:t>
      </w:r>
      <w:r>
        <w:t xml:space="preserve">su questa condizione non esiste un ricercatore-ancora della terapia manuale con la statura che altre condizioni hanno, e questo si dice.</w:t>
      </w:r>
    </w:p>
    <w:bookmarkStart w:id="68" w:name="le-due-ancore"/>
    <w:p>
      <w:pPr>
        <w:pStyle w:val="Heading3"/>
      </w:pPr>
      <w:r>
        <w:t xml:space="preserve">Le due ancore</w:t>
      </w:r>
    </w:p>
    <w:p>
      <w:pPr>
        <w:pStyle w:val="FirstParagraph"/>
      </w:pPr>
      <w:r>
        <w:t xml:space="preserve">Nessun gruppo ha costruito una linea di lavoro con RCT ampi e follow-up lunghi. Per questo le ancore sono due, e vanno dichiarate separate.</w:t>
      </w:r>
    </w:p>
    <w:p>
      <w:pPr>
        <w:pStyle w:val="BodyText"/>
      </w:pPr>
      <w:r>
        <w:t xml:space="preserve">L’</w:t>
      </w:r>
      <w:r>
        <w:rPr>
          <w:b/>
          <w:bCs/>
        </w:rPr>
        <w:t xml:space="preserve">ancora clinica</w:t>
      </w:r>
      <w:r>
        <w:t xml:space="preserve"> </w:t>
      </w:r>
      <w:r>
        <w:t xml:space="preserve">è</w:t>
      </w:r>
      <w:r>
        <w:t xml:space="preserve"> </w:t>
      </w:r>
      <w:r>
        <w:rPr>
          <w:b/>
          <w:bCs/>
        </w:rPr>
        <w:t xml:space="preserve">Ángel Oliva-Pascual-Vaca</w:t>
      </w:r>
      <w:r>
        <w:t xml:space="preserve">, professore titolare del Dipartimento di Fisioterapia dell’Universidad de Sevilla. Firma due dei quattro studi controllati esistenti (da Silva 2013; Eguaras 2019). Il limite va detto:</w:t>
      </w:r>
      <w:r>
        <w:t xml:space="preserve"> </w:t>
      </w:r>
      <w:r>
        <w:rPr>
          <w:b/>
          <w:bCs/>
        </w:rPr>
        <w:t xml:space="preserve">due dei quattro vengono dallo stesso gruppo, e manca una replica indipendente</w:t>
      </w:r>
      <w:r>
        <w:t xml:space="preserve">.</w:t>
      </w:r>
    </w:p>
    <w:p>
      <w:pPr>
        <w:pStyle w:val="BodyText"/>
      </w:pPr>
      <w:r>
        <w:t xml:space="preserve">L’</w:t>
      </w:r>
      <w:r>
        <w:rPr>
          <w:b/>
          <w:bCs/>
        </w:rPr>
        <w:t xml:space="preserve">ancora fisiologica</w:t>
      </w:r>
      <w:r>
        <w:t xml:space="preserve"> </w:t>
      </w:r>
      <w:r>
        <w:t xml:space="preserve">è di prima grandezza, ed è più autorevole della prima. È</w:t>
      </w:r>
      <w:r>
        <w:t xml:space="preserve"> </w:t>
      </w:r>
      <w:r>
        <w:rPr>
          <w:b/>
          <w:bCs/>
        </w:rPr>
        <w:t xml:space="preserve">Ravinder K. Mittal</w:t>
      </w:r>
      <w:r>
        <w:t xml:space="preserve">, dell’Università della California a San Diego. Ha stabilito il ruolo del diaframma crurale come sfintere esterno e quello dei rilasciamenti transitori. Non è un ricercatore di terapia manuale: è lui che rende</w:t>
      </w:r>
      <w:r>
        <w:t xml:space="preserve"> </w:t>
      </w:r>
      <w:r>
        <w:rPr>
          <w:b/>
          <w:bCs/>
        </w:rPr>
        <w:t xml:space="preserve">anatomicamente sensato</w:t>
      </w:r>
      <w:r>
        <w:t xml:space="preserve"> </w:t>
      </w:r>
      <w:r>
        <w:t xml:space="preserve">il nostro lavoro.</w:t>
      </w:r>
    </w:p>
    <w:bookmarkEnd w:id="68"/>
    <w:bookmarkStart w:id="82" w:name="i-tre-cerchi"/>
    <w:p>
      <w:pPr>
        <w:pStyle w:val="Heading3"/>
      </w:pPr>
      <w:r>
        <w:t xml:space="preserve">I tre cerchi</w:t>
      </w:r>
    </w:p>
    <w:p>
      <w:pPr>
        <w:pStyle w:val="FirstParagraph"/>
      </w:pPr>
      <w:r>
        <w:t xml:space="preserve">Cercare solo studi di terapia manuale sul reflusso porta a concludere che si può dire poco. È vero, ed è incompleto. Le fonti si leggono su tre cerchi, e ognuno regge una cosa diversa.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Cerchio</w:t>
            </w:r>
          </w:p>
        </w:tc>
        <w:tc>
          <w:tcPr/>
          <w:p>
            <w:pPr>
              <w:pStyle w:val="Compact"/>
            </w:pPr>
            <w:r>
              <w:t xml:space="preserve">Cosa contiene</w:t>
            </w:r>
          </w:p>
        </w:tc>
        <w:tc>
          <w:tcPr/>
          <w:p>
            <w:pPr>
              <w:pStyle w:val="Compact"/>
            </w:pPr>
            <w:r>
              <w:t xml:space="preserve">Cosa può reggere</w:t>
            </w:r>
          </w:p>
        </w:tc>
      </w:tr>
      <w:tr>
        <w:tc>
          <w:tcPr/>
          <w:p>
            <w:pPr>
              <w:pStyle w:val="Compact"/>
            </w:pPr>
            <w:r>
              <w:t xml:space="preserve">1 — Specifico</w:t>
            </w:r>
          </w:p>
        </w:tc>
        <w:tc>
          <w:tcPr/>
          <w:p>
            <w:pPr>
              <w:pStyle w:val="Compact"/>
            </w:pPr>
            <w:r>
              <w:t xml:space="preserve">quell’intervento, su questa condizione</w:t>
            </w:r>
          </w:p>
        </w:tc>
        <w:tc>
          <w:tcPr/>
          <w:p>
            <w:pPr>
              <w:pStyle w:val="Compact"/>
            </w:pPr>
            <w:r>
              <w:t xml:space="preserve">DIMOSTRATO su una leva</w:t>
            </w:r>
          </w:p>
        </w:tc>
      </w:tr>
      <w:tr>
        <w:tc>
          <w:tcPr/>
          <w:p>
            <w:pPr>
              <w:pStyle w:val="Compact"/>
            </w:pPr>
            <w:r>
              <w:t xml:space="preserve">2 — Trasversale</w:t>
            </w:r>
          </w:p>
        </w:tc>
        <w:tc>
          <w:tcPr/>
          <w:p>
            <w:pPr>
              <w:pStyle w:val="Compact"/>
            </w:pPr>
            <w:r>
              <w:t xml:space="preserve">il meccanismo, misurato altrove</w:t>
            </w:r>
          </w:p>
        </w:tc>
        <w:tc>
          <w:tcPr/>
          <w:p>
            <w:pPr>
              <w:pStyle w:val="Compact"/>
            </w:pPr>
            <w:r>
              <w:t xml:space="preserve">DIMOSTRATO su un meccanismo</w:t>
            </w:r>
          </w:p>
        </w:tc>
      </w:tr>
      <w:tr>
        <w:tc>
          <w:tcPr/>
          <w:p>
            <w:pPr>
              <w:pStyle w:val="Compact"/>
            </w:pPr>
            <w:r>
              <w:t xml:space="preserve">3 — Fisiologico</w:t>
            </w:r>
          </w:p>
        </w:tc>
        <w:tc>
          <w:tcPr/>
          <w:p>
            <w:pPr>
              <w:pStyle w:val="Compact"/>
            </w:pPr>
            <w:r>
              <w:t xml:space="preserve">anatomia e fisiologia misurate</w:t>
            </w:r>
          </w:p>
        </w:tc>
        <w:tc>
          <w:tcPr/>
          <w:p>
            <w:pPr>
              <w:pStyle w:val="Compact"/>
            </w:pPr>
            <w:r>
              <w:t xml:space="preserve">il razionale, mai l’efficacia</w:t>
            </w:r>
          </w:p>
        </w:tc>
      </w:tr>
    </w:tbl>
    <w:p>
      <w:pPr>
        <w:pStyle w:val="BlockText"/>
      </w:pPr>
      <w:r>
        <w:rPr>
          <w:b/>
          <w:bCs/>
        </w:rPr>
        <w:t xml:space="preserve">Attenzione.</w:t>
      </w:r>
      <w:r>
        <w:t xml:space="preserve"> </w:t>
      </w:r>
      <w:r>
        <w:t xml:space="preserve">La regola del ponte: una fonte del cerchio 2 alza l’etichetta del</w:t>
      </w:r>
      <w:r>
        <w:t xml:space="preserve"> </w:t>
      </w:r>
      <w:r>
        <w:rPr>
          <w:b/>
          <w:bCs/>
        </w:rPr>
        <w:t xml:space="preserve">meccanismo</w:t>
      </w:r>
      <w:r>
        <w:t xml:space="preserve">, mai quella della</w:t>
      </w:r>
      <w:r>
        <w:t xml:space="preserve"> </w:t>
      </w:r>
      <w:r>
        <w:rPr>
          <w:b/>
          <w:bCs/>
        </w:rPr>
        <w:t xml:space="preserve">leva</w:t>
      </w:r>
      <w:r>
        <w:t xml:space="preserve"> </w:t>
      </w:r>
      <w:r>
        <w:t xml:space="preserve">su questa condizione. Per questo ogni fonte del secondo cerchio, qui sotto, porta scritto su chi è stata misurata.</w:t>
      </w:r>
    </w:p>
    <w:p>
      <w:pPr>
        <w:pStyle w:val="FirstParagraph"/>
      </w:pPr>
      <w:r>
        <w:rPr>
          <w:b/>
          <w:bCs/>
        </w:rPr>
        <w:t xml:space="preserve">Cerchio 1 — gli studi cardine.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Autore, anno (PubMed)</w:t>
            </w:r>
          </w:p>
        </w:tc>
        <w:tc>
          <w:tcPr/>
          <w:p>
            <w:pPr>
              <w:pStyle w:val="Compact"/>
            </w:pPr>
            <w:r>
              <w:t xml:space="preserve">n e disegno</w:t>
            </w:r>
          </w:p>
        </w:tc>
        <w:tc>
          <w:tcPr/>
          <w:p>
            <w:pPr>
              <w:pStyle w:val="Compact"/>
            </w:pPr>
            <w:r>
              <w:t xml:space="preserve">Cosa ti autorizza a fare</w:t>
            </w:r>
          </w:p>
        </w:tc>
      </w:tr>
      <w:tr>
        <w:tc>
          <w:tcPr/>
          <w:p>
            <w:pPr>
              <w:pStyle w:val="Compact"/>
            </w:pPr>
            <w:r>
              <w:t xml:space="preserve">Eherer 2012 (</w:t>
            </w:r>
            <w:hyperlink r:id="rId69">
              <w:r>
                <w:rPr>
                  <w:rStyle w:val="Hyperlink"/>
                </w:rPr>
                <w:t xml:space="preserve">22146488</w:t>
              </w:r>
            </w:hyperlink>
            <w:r>
              <w:t xml:space="preserve">)</w:t>
            </w:r>
          </w:p>
        </w:tc>
        <w:tc>
          <w:tcPr/>
          <w:p>
            <w:pPr>
              <w:pStyle w:val="Compact"/>
            </w:pPr>
            <w:r>
              <w:t xml:space="preserve">19, RCT non cieco</w:t>
            </w:r>
          </w:p>
        </w:tc>
        <w:tc>
          <w:tcPr/>
          <w:p>
            <w:pPr>
              <w:pStyle w:val="Compact"/>
            </w:pPr>
            <w:r>
              <w:t xml:space="preserve">Citare l’esercizio respiratorio, mai il tocco</w:t>
            </w:r>
          </w:p>
        </w:tc>
      </w:tr>
      <w:tr>
        <w:tc>
          <w:tcPr/>
          <w:p>
            <w:pPr>
              <w:pStyle w:val="Compact"/>
            </w:pPr>
            <w:r>
              <w:t xml:space="preserve">Nobre e Souza 2013 (</w:t>
            </w:r>
            <w:hyperlink r:id="rId70">
              <w:r>
                <w:rPr>
                  <w:rStyle w:val="Hyperlink"/>
                </w:rPr>
                <w:t xml:space="preserve">24113771</w:t>
              </w:r>
            </w:hyperlink>
            <w:r>
              <w:t xml:space="preserve">)</w:t>
            </w:r>
          </w:p>
        </w:tc>
        <w:tc>
          <w:tcPr/>
          <w:p>
            <w:pPr>
              <w:pStyle w:val="Compact"/>
            </w:pPr>
            <w:r>
              <w:t xml:space="preserve">12, prima-dopo</w:t>
            </w:r>
          </w:p>
        </w:tc>
        <w:tc>
          <w:tcPr/>
          <w:p>
            <w:pPr>
              <w:pStyle w:val="Compact"/>
            </w:pPr>
            <w:r>
              <w:t xml:space="preserve">Citare guadagno pressorio, non effetto clinico</w:t>
            </w:r>
          </w:p>
        </w:tc>
      </w:tr>
      <w:tr>
        <w:tc>
          <w:tcPr/>
          <w:p>
            <w:pPr>
              <w:pStyle w:val="Compact"/>
            </w:pPr>
            <w:r>
              <w:t xml:space="preserve">Ong 2018 (</w:t>
            </w:r>
            <w:hyperlink r:id="rId71">
              <w:r>
                <w:rPr>
                  <w:rStyle w:val="Hyperlink"/>
                </w:rPr>
                <w:t xml:space="preserve">29104130</w:t>
              </w:r>
            </w:hyperlink>
            <w:r>
              <w:t xml:space="preserve">)</w:t>
            </w:r>
          </w:p>
        </w:tc>
        <w:tc>
          <w:tcPr/>
          <w:p>
            <w:pPr>
              <w:pStyle w:val="Compact"/>
            </w:pPr>
            <w:r>
              <w:t xml:space="preserve">36, controllato</w:t>
            </w:r>
          </w:p>
        </w:tc>
        <w:tc>
          <w:tcPr/>
          <w:p>
            <w:pPr>
              <w:pStyle w:val="Compact"/>
            </w:pPr>
            <w:r>
              <w:t xml:space="preserve">Citare eruttazione e sintomi refrattari</w:t>
            </w:r>
          </w:p>
        </w:tc>
      </w:tr>
      <w:tr>
        <w:tc>
          <w:tcPr/>
          <w:p>
            <w:pPr>
              <w:pStyle w:val="Compact"/>
            </w:pPr>
            <w:r>
              <w:t xml:space="preserve">Abureesh 2026 (</w:t>
            </w:r>
            <w:hyperlink r:id="rId72">
              <w:r>
                <w:rPr>
                  <w:rStyle w:val="Hyperlink"/>
                </w:rPr>
                <w:t xml:space="preserve">42123139</w:t>
              </w:r>
            </w:hyperlink>
            <w:r>
              <w:t xml:space="preserve">)</w:t>
            </w:r>
          </w:p>
        </w:tc>
        <w:tc>
          <w:tcPr/>
          <w:p>
            <w:pPr>
              <w:pStyle w:val="Compact"/>
            </w:pPr>
            <w:r>
              <w:t xml:space="preserve">10 RCT, 476 pz</w:t>
            </w:r>
          </w:p>
        </w:tc>
        <w:tc>
          <w:tcPr/>
          <w:p>
            <w:pPr>
              <w:pStyle w:val="Compact"/>
            </w:pPr>
            <w:r>
              <w:t xml:space="preserve">Effetto medio, eterogeneità alta, cautela</w:t>
            </w:r>
          </w:p>
        </w:tc>
      </w:tr>
      <w:tr>
        <w:tc>
          <w:tcPr/>
          <w:p>
            <w:pPr>
              <w:pStyle w:val="Compact"/>
            </w:pPr>
            <w:r>
              <w:t xml:space="preserve">Zdrhova 2023 (</w:t>
            </w:r>
            <w:hyperlink r:id="rId73">
              <w:r>
                <w:rPr>
                  <w:rStyle w:val="Hyperlink"/>
                </w:rPr>
                <w:t xml:space="preserve">35842548</w:t>
              </w:r>
            </w:hyperlink>
            <w:r>
              <w:t xml:space="preserve">)</w:t>
            </w:r>
          </w:p>
        </w:tc>
        <w:tc>
          <w:tcPr/>
          <w:p>
            <w:pPr>
              <w:pStyle w:val="Compact"/>
            </w:pPr>
            <w:r>
              <w:t xml:space="preserve">11 studi, ~387 pz</w:t>
            </w:r>
          </w:p>
        </w:tc>
        <w:tc>
          <w:tcPr/>
          <w:p>
            <w:pPr>
              <w:pStyle w:val="Compact"/>
            </w:pPr>
            <w:r>
              <w:t xml:space="preserve">Citare la revisione dedicata al respiro</w:t>
            </w:r>
          </w:p>
        </w:tc>
      </w:tr>
      <w:tr>
        <w:tc>
          <w:tcPr/>
          <w:p>
            <w:pPr>
              <w:pStyle w:val="Compact"/>
            </w:pPr>
            <w:r>
              <w:t xml:space="preserve">da Silva 2013 (</w:t>
            </w:r>
            <w:hyperlink r:id="rId74">
              <w:r>
                <w:rPr>
                  <w:rStyle w:val="Hyperlink"/>
                </w:rPr>
                <w:t xml:space="preserve">22676647</w:t>
              </w:r>
            </w:hyperlink>
            <w:r>
              <w:t xml:space="preserve">)</w:t>
            </w:r>
          </w:p>
        </w:tc>
        <w:tc>
          <w:tcPr/>
          <w:p>
            <w:pPr>
              <w:pStyle w:val="Compact"/>
            </w:pPr>
            <w:r>
              <w:t xml:space="preserve">38, RCT con sham</w:t>
            </w:r>
          </w:p>
        </w:tc>
        <w:tc>
          <w:tcPr/>
          <w:p>
            <w:pPr>
              <w:pStyle w:val="Compact"/>
            </w:pPr>
            <w:r>
              <w:t xml:space="preserve">Attendere pressione, non riduzione dell’ernia</w:t>
            </w:r>
          </w:p>
        </w:tc>
      </w:tr>
      <w:tr>
        <w:tc>
          <w:tcPr/>
          <w:p>
            <w:pPr>
              <w:pStyle w:val="Compact"/>
            </w:pPr>
            <w:r>
              <w:t xml:space="preserve">Eguaras 2019 (</w:t>
            </w:r>
            <w:hyperlink r:id="rId75">
              <w:r>
                <w:rPr>
                  <w:rStyle w:val="Hyperlink"/>
                </w:rPr>
                <w:t xml:space="preserve">31635110</w:t>
              </w:r>
            </w:hyperlink>
            <w:r>
              <w:t xml:space="preserve">)</w:t>
            </w:r>
          </w:p>
        </w:tc>
        <w:tc>
          <w:tcPr/>
          <w:p>
            <w:pPr>
              <w:pStyle w:val="Compact"/>
            </w:pPr>
            <w:r>
              <w:t xml:space="preserve">60, RCT, 1 settimana</w:t>
            </w:r>
          </w:p>
        </w:tc>
        <w:tc>
          <w:tcPr/>
          <w:p>
            <w:pPr>
              <w:pStyle w:val="Compact"/>
            </w:pPr>
            <w:r>
              <w:t xml:space="preserve">Citare i sintomi, solo a brevissimo termine</w:t>
            </w:r>
          </w:p>
        </w:tc>
      </w:tr>
      <w:tr>
        <w:tc>
          <w:tcPr/>
          <w:p>
            <w:pPr>
              <w:pStyle w:val="Compact"/>
            </w:pPr>
            <w:r>
              <w:t xml:space="preserve">Martínez-Hurtado 2019 (</w:t>
            </w:r>
            <w:hyperlink r:id="rId76">
              <w:r>
                <w:rPr>
                  <w:rStyle w:val="Hyperlink"/>
                </w:rPr>
                <w:t xml:space="preserve">31086250</w:t>
              </w:r>
            </w:hyperlink>
            <w:r>
              <w:t xml:space="preserve">)</w:t>
            </w:r>
          </w:p>
        </w:tc>
        <w:tc>
          <w:tcPr/>
          <w:p>
            <w:pPr>
              <w:pStyle w:val="Compact"/>
            </w:pPr>
            <w:r>
              <w:t xml:space="preserve">30, RCT preliminare</w:t>
            </w:r>
          </w:p>
        </w:tc>
        <w:tc>
          <w:tcPr/>
          <w:p>
            <w:pPr>
              <w:pStyle w:val="Compact"/>
            </w:pPr>
            <w:r>
              <w:t xml:space="preserve">Citare sintomi e farmaco, mai pressione</w:t>
            </w:r>
          </w:p>
        </w:tc>
      </w:tr>
      <w:tr>
        <w:tc>
          <w:tcPr/>
          <w:p>
            <w:pPr>
              <w:pStyle w:val="Compact"/>
            </w:pPr>
            <w:r>
              <w:t xml:space="preserve">Lynen 2022 (</w:t>
            </w:r>
            <w:hyperlink r:id="rId77">
              <w:r>
                <w:rPr>
                  <w:rStyle w:val="Hyperlink"/>
                </w:rPr>
                <w:t xml:space="preserve">35248274</w:t>
              </w:r>
            </w:hyperlink>
            <w:r>
              <w:t xml:space="preserve">)</w:t>
            </w:r>
          </w:p>
        </w:tc>
        <w:tc>
          <w:tcPr/>
          <w:p>
            <w:pPr>
              <w:pStyle w:val="Compact"/>
            </w:pPr>
            <w:r>
              <w:t xml:space="preserve">70, in condizioni reali, 20 sett.</w:t>
            </w:r>
          </w:p>
        </w:tc>
        <w:tc>
          <w:tcPr/>
          <w:p>
            <w:pPr>
              <w:pStyle w:val="Compact"/>
            </w:pPr>
            <w:r>
              <w:t xml:space="preserve">Non citarlo a favore: dati non interpretabili</w:t>
            </w:r>
          </w:p>
        </w:tc>
      </w:tr>
      <w:tr>
        <w:tc>
          <w:tcPr/>
          <w:p>
            <w:pPr>
              <w:pStyle w:val="Compact"/>
            </w:pPr>
            <w:r>
              <w:t xml:space="preserve">Schuitenmaker 2022 (</w:t>
            </w:r>
            <w:hyperlink r:id="rId78">
              <w:r>
                <w:rPr>
                  <w:rStyle w:val="Hyperlink"/>
                </w:rPr>
                <w:t xml:space="preserve">35301135</w:t>
              </w:r>
            </w:hyperlink>
            <w:r>
              <w:t xml:space="preserve">)</w:t>
            </w:r>
          </w:p>
        </w:tc>
        <w:tc>
          <w:tcPr/>
          <w:p>
            <w:pPr>
              <w:pStyle w:val="Compact"/>
            </w:pPr>
            <w:r>
              <w:t xml:space="preserve">100, RCT sham, doppio cieco</w:t>
            </w:r>
          </w:p>
        </w:tc>
        <w:tc>
          <w:tcPr/>
          <w:p>
            <w:pPr>
              <w:pStyle w:val="Compact"/>
            </w:pPr>
            <w:r>
              <w:t xml:space="preserve">Citare la terapia posizionale notturna</w:t>
            </w:r>
          </w:p>
        </w:tc>
      </w:tr>
      <w:tr>
        <w:tc>
          <w:tcPr/>
          <w:p>
            <w:pPr>
              <w:pStyle w:val="Compact"/>
            </w:pPr>
            <w:r>
              <w:t xml:space="preserve">Villamil Morales 2020 (</w:t>
            </w:r>
            <w:hyperlink r:id="rId79">
              <w:r>
                <w:rPr>
                  <w:rStyle w:val="Hyperlink"/>
                </w:rPr>
                <w:t xml:space="preserve">32229033</w:t>
              </w:r>
            </w:hyperlink>
            <w:r>
              <w:t xml:space="preserve">)</w:t>
            </w:r>
          </w:p>
        </w:tc>
        <w:tc>
          <w:tcPr/>
          <w:p>
            <w:pPr>
              <w:pStyle w:val="Compact"/>
            </w:pPr>
            <w:r>
              <w:t xml:space="preserve">39, in cieco, entrambe le condizioni</w:t>
            </w:r>
          </w:p>
        </w:tc>
        <w:tc>
          <w:tcPr/>
          <w:p>
            <w:pPr>
              <w:pStyle w:val="Compact"/>
            </w:pPr>
            <w:r>
              <w:t xml:space="preserve">Testata alzata, con i suoi effetti avversi</w:t>
            </w:r>
          </w:p>
        </w:tc>
      </w:tr>
    </w:tbl>
    <w:p>
      <w:pPr>
        <w:pStyle w:val="BodyText"/>
      </w:pPr>
      <w:r>
        <w:t xml:space="preserve">Due studi stanno fuori tabella perché non misurano una terapia.</w:t>
      </w:r>
      <w:r>
        <w:t xml:space="preserve"> </w:t>
      </w:r>
      <w:r>
        <w:rPr>
          <w:b/>
          <w:bCs/>
        </w:rPr>
        <w:t xml:space="preserve">Fass 2008</w:t>
      </w:r>
      <w:r>
        <w:t xml:space="preserve"> </w:t>
      </w:r>
      <w:r>
        <w:t xml:space="preserve">(</w:t>
      </w:r>
      <w:hyperlink r:id="rId80">
        <w:r>
          <w:rPr>
            <w:rStyle w:val="Hyperlink"/>
          </w:rPr>
          <w:t xml:space="preserve">18206149</w:t>
        </w:r>
      </w:hyperlink>
      <w:r>
        <w:t xml:space="preserve">), su 46 pazienti e 10 sani, è la fonte del legame fra attivazione e percezione.</w:t>
      </w:r>
      <w:r>
        <w:t xml:space="preserve"> </w:t>
      </w:r>
      <w:r>
        <w:rPr>
          <w:b/>
          <w:bCs/>
        </w:rPr>
        <w:t xml:space="preserve">Wong 2021</w:t>
      </w:r>
      <w:r>
        <w:t xml:space="preserve"> </w:t>
      </w:r>
      <w:r>
        <w:t xml:space="preserve">(</w:t>
      </w:r>
      <w:hyperlink r:id="rId81">
        <w:r>
          <w:rPr>
            <w:rStyle w:val="Hyperlink"/>
          </w:rPr>
          <w:t xml:space="preserve">34383968</w:t>
        </w:r>
      </w:hyperlink>
      <w:r>
        <w:t xml:space="preserve">), su 105 pazienti, mostra che ipervigilanza e ansia esofagea correlano con la gravità del sintomo e non con i parametri di reflusso.</w:t>
      </w:r>
    </w:p>
    <w:p>
      <w:pPr>
        <w:pStyle w:val="BodyText"/>
      </w:pPr>
      <w:r>
        <w:t xml:space="preserve">Due numeri vanno usati con il loro denominatore accanto.</w:t>
      </w:r>
    </w:p>
    <w:p>
      <w:pPr>
        <w:pStyle w:val="BodyText"/>
      </w:pPr>
      <w:r>
        <w:t xml:space="preserve">Il primo. La tecnica sul diaframma ha alzato la pressione media respiratoria dello sfintere rispetto al placebo, con una dimensione dell’effetto di 0,80 — cioè grande — su 38 pazienti. L’altra misura pressoria dello stesso studio, la massima espiratoria,</w:t>
      </w:r>
      <w:r>
        <w:t xml:space="preserve"> </w:t>
      </w:r>
      <w:r>
        <w:rPr>
          <w:b/>
          <w:bCs/>
        </w:rPr>
        <w:t xml:space="preserve">non ha raggiunto la significatività</w:t>
      </w:r>
      <w:r>
        <w:t xml:space="preserve">.</w:t>
      </w:r>
    </w:p>
    <w:p>
      <w:pPr>
        <w:pStyle w:val="BodyText"/>
      </w:pPr>
      <w:r>
        <w:t xml:space="preserve">Il secondo. La tecnica sulla regione della giunzione ha dato 1,49 punti sul GerdQ a una settimana. La scala va da 0 a 18, e</w:t>
      </w:r>
      <w:r>
        <w:t xml:space="preserve"> </w:t>
      </w:r>
      <w:r>
        <w:rPr>
          <w:b/>
          <w:bCs/>
        </w:rPr>
        <w:t xml:space="preserve">per quella scala non esiste una differenza minima clinicamente rilevante pubblicata</w:t>
      </w:r>
      <w:r>
        <w:t xml:space="preserve">.</w:t>
      </w:r>
    </w:p>
    <w:p>
      <w:pPr>
        <w:pStyle w:val="BodyText"/>
      </w:pPr>
      <w:r>
        <w:t xml:space="preserve">Lo stesso studio riporta anche una differenza di mobilità cervicale di 33,89 gradi dopo una sola tecnica viscerale. È un valore implausibile, e segnala un problema di misura più che un effetto: quel dato non si cita. Il punteggio dei sintomi dello stesso studio, invece, si cita — con il limite del brevissimo termine.</w:t>
      </w:r>
    </w:p>
    <w:p>
      <w:pPr>
        <w:pStyle w:val="BodyText"/>
      </w:pPr>
      <w:r>
        <w:rPr>
          <w:b/>
          <w:bCs/>
        </w:rPr>
        <w:t xml:space="preserve">Cerchio 2 — il meccanismo, misurato altrove.</w:t>
      </w:r>
    </w:p>
    <w:p>
      <w:pPr>
        <w:pStyle w:val="BodyText"/>
      </w:pPr>
      <w:r>
        <w:t xml:space="preserve">Il respiro lento alza gli indici di variabilità della frequenza cardiaca legati al vago: meta-analisi su 223 studi, con effetto durante l’esercizio, subito dopo e dopo cicli ripetuti (Laborde,</w:t>
      </w:r>
      <w:r>
        <w:t xml:space="preserve"> </w:t>
      </w:r>
      <w:r>
        <w:rPr>
          <w:i/>
          <w:iCs/>
        </w:rPr>
        <w:t xml:space="preserve">Neurosci Biobehav Rev</w:t>
      </w:r>
      <w:r>
        <w:t xml:space="preserve"> </w:t>
      </w:r>
      <w:r>
        <w:t xml:space="preserve">2022). Misurato su volontari e popolazioni miste, non su pazienti con reflusso.</w:t>
      </w:r>
    </w:p>
    <w:p>
      <w:pPr>
        <w:pStyle w:val="BodyText"/>
      </w:pPr>
      <w:r>
        <w:t xml:space="preserve">Il trattamento osteopatico ha alzato uno di quegli indici rispetto a sham e controllo, su 66 soggetti sani (Ruffini,</w:t>
      </w:r>
      <w:r>
        <w:t xml:space="preserve"> </w:t>
      </w:r>
      <w:r>
        <w:rPr>
          <w:i/>
          <w:iCs/>
        </w:rPr>
        <w:t xml:space="preserve">Front Neurosci</w:t>
      </w:r>
      <w:r>
        <w:t xml:space="preserve"> </w:t>
      </w:r>
      <w:r>
        <w:t xml:space="preserve">2015). Sani, non pazienti con reflusso.</w:t>
      </w:r>
    </w:p>
    <w:p>
      <w:pPr>
        <w:pStyle w:val="BodyText"/>
      </w:pPr>
      <w:r>
        <w:rPr>
          <w:b/>
          <w:bCs/>
        </w:rPr>
        <w:t xml:space="preserve">Ma la sintesi più ampia dice un’altra cosa, e va detta.</w:t>
      </w:r>
      <w:r>
        <w:t xml:space="preserve"> </w:t>
      </w:r>
      <w:r>
        <w:t xml:space="preserve">Su 20 studi randomizzati, il trattamento osteopatico ha ridotto la depressione e ha</w:t>
      </w:r>
      <w:r>
        <w:t xml:space="preserve"> </w:t>
      </w:r>
      <w:r>
        <w:rPr>
          <w:b/>
          <w:bCs/>
        </w:rPr>
        <w:t xml:space="preserve">aumentato</w:t>
      </w:r>
      <w:r>
        <w:t xml:space="preserve"> </w:t>
      </w:r>
      <w:r>
        <w:t xml:space="preserve">la conduttanza della pelle, che è un indice di attivazione e non di calma. E</w:t>
      </w:r>
      <w:r>
        <w:t xml:space="preserve"> </w:t>
      </w:r>
      <w:r>
        <w:rPr>
          <w:b/>
          <w:bCs/>
        </w:rPr>
        <w:t xml:space="preserve">non ha avuto alcun effetto su ansia e stress</w:t>
      </w:r>
      <w:r>
        <w:t xml:space="preserve"> </w:t>
      </w:r>
      <w:r>
        <w:t xml:space="preserve">(Gordon,</w:t>
      </w:r>
      <w:r>
        <w:t xml:space="preserve"> </w:t>
      </w:r>
      <w:r>
        <w:rPr>
          <w:i/>
          <w:iCs/>
        </w:rPr>
        <w:t xml:space="preserve">BMJ Open</w:t>
      </w:r>
      <w:r>
        <w:t xml:space="preserve"> </w:t>
      </w:r>
      <w:r>
        <w:t xml:space="preserve">2025). Misurato su popolazioni miste subito dopo la seduta, non su pazienti con reflusso. L’intervallo di confidenza sulla conduttanza cutanea tocca lo zero.</w:t>
      </w:r>
    </w:p>
    <w:p>
      <w:pPr>
        <w:pStyle w:val="BlockText"/>
      </w:pPr>
      <w:r>
        <w:rPr>
          <w:b/>
          <w:bCs/>
        </w:rPr>
        <w:t xml:space="preserve">Attenzione.</w:t>
      </w:r>
      <w:r>
        <w:t xml:space="preserve"> </w:t>
      </w:r>
      <w:r>
        <w:t xml:space="preserve">L’indice usato da Ruffini non serve come marker in studio: è confuso dal respiro e non è interpretabile sotto i nove atti al minuto.</w:t>
      </w:r>
    </w:p>
    <w:p>
      <w:pPr>
        <w:pStyle w:val="FirstParagraph"/>
      </w:pPr>
      <w:r>
        <w:t xml:space="preserve">La terapia manuale inibisce il dolore per via neurofisiologica, non per il solo effetto meccanico locale (Bialosky,</w:t>
      </w:r>
      <w:r>
        <w:t xml:space="preserve"> </w:t>
      </w:r>
      <w:r>
        <w:rPr>
          <w:i/>
          <w:iCs/>
        </w:rPr>
        <w:t xml:space="preserve">J Orthop Sports Phys Ther</w:t>
      </w:r>
      <w:r>
        <w:t xml:space="preserve"> </w:t>
      </w:r>
      <w:r>
        <w:t xml:space="preserve">2018). E i fattori di contesto — parole, aspettativa, alleanza, ambiente — modificano l’esito riferito in modo misurabile (Rossettini,</w:t>
      </w:r>
      <w:r>
        <w:t xml:space="preserve"> </w:t>
      </w:r>
      <w:r>
        <w:rPr>
          <w:i/>
          <w:iCs/>
        </w:rPr>
        <w:t xml:space="preserve">BMC Musculoskelet Disord</w:t>
      </w:r>
      <w:r>
        <w:t xml:space="preserve"> </w:t>
      </w:r>
      <w:r>
        <w:t xml:space="preserve">2018). Entrambi sul dolore muscolo-scheletrico, non su quello viscerale.</w:t>
      </w:r>
    </w:p>
    <w:p>
      <w:pPr>
        <w:pStyle w:val="BlockText"/>
      </w:pPr>
      <w:r>
        <w:rPr>
          <w:b/>
          <w:bCs/>
        </w:rPr>
        <w:t xml:space="preserve">Quanto è solido:</w:t>
      </w:r>
      <w:r>
        <w:t xml:space="preserve"> </w:t>
      </w:r>
      <w:r>
        <w:t xml:space="preserve">DIMOSTRATO che il respiro lento e il contatto modulano indici autonomici e percezione del dolore in popolazioni non-reflusso. IPOTESI che quella modulazione riduca il sintomo di un paziente con reflusso: nessuno studio ha attraversato il ponte fra i due enunciati.</w:t>
      </w:r>
    </w:p>
    <w:p>
      <w:pPr>
        <w:pStyle w:val="FirstParagraph"/>
      </w:pPr>
      <w:r>
        <w:rPr>
          <w:b/>
          <w:bCs/>
        </w:rPr>
        <w:t xml:space="preserve">Cerchio 3 — la fisiologia.</w:t>
      </w:r>
      <w:r>
        <w:t xml:space="preserve"> </w:t>
      </w:r>
      <w:r>
        <w:t xml:space="preserve">Mittal e Balaban 1997 per i due sfinteri, Mittal 1995 per i rilasciamenti, Pandolfino 2006 per il gradiente, Beaumont 2010 per la tasca acida, Kahrilas 1999 per l’ernia. Reggono il razionale, non un’efficacia.</w:t>
      </w:r>
    </w:p>
    <w:bookmarkEnd w:id="82"/>
    <w:bookmarkStart w:id="83" w:name="cosa-possiamo-dire-e-cosa-no"/>
    <w:p>
      <w:pPr>
        <w:pStyle w:val="Heading3"/>
      </w:pPr>
      <w:r>
        <w:t xml:space="preserve">Cosa possiamo dire, e cosa no</w:t>
      </w:r>
    </w:p>
    <w:p>
      <w:pPr>
        <w:pStyle w:val="FirstParagraph"/>
      </w:pPr>
      <w:r>
        <w:rPr>
          <w:b/>
          <w:bCs/>
        </w:rPr>
        <w:t xml:space="preserve">Si può dire.</w:t>
      </w:r>
    </w:p>
    <w:p>
      <w:pPr>
        <w:pStyle w:val="Compact"/>
        <w:numPr>
          <w:ilvl w:val="0"/>
          <w:numId w:val="1026"/>
        </w:numPr>
      </w:pPr>
      <w:r>
        <w:t xml:space="preserve">Una delle due componenti dello sfintere è muscolo scheletrico: il crus.</w:t>
      </w:r>
    </w:p>
    <w:p>
      <w:pPr>
        <w:pStyle w:val="Compact"/>
        <w:numPr>
          <w:ilvl w:val="0"/>
          <w:numId w:val="1026"/>
        </w:numPr>
      </w:pPr>
      <w:r>
        <w:t xml:space="preserve">Allenarlo migliora esposizione acida e pressione, su campioni piccoli.</w:t>
      </w:r>
    </w:p>
    <w:p>
      <w:pPr>
        <w:pStyle w:val="Compact"/>
        <w:numPr>
          <w:ilvl w:val="0"/>
          <w:numId w:val="1026"/>
        </w:numPr>
      </w:pPr>
      <w:r>
        <w:rPr>
          <w:b/>
          <w:bCs/>
        </w:rPr>
        <w:t xml:space="preserve">Un solo</w:t>
      </w:r>
      <w:r>
        <w:t xml:space="preserve"> </w:t>
      </w:r>
      <w:r>
        <w:t xml:space="preserve">studio con sham ha misurato una</w:t>
      </w:r>
      <w:r>
        <w:t xml:space="preserve"> </w:t>
      </w:r>
      <w:r>
        <w:rPr>
          <w:b/>
          <w:bCs/>
        </w:rPr>
        <w:t xml:space="preserve">pressione</w:t>
      </w:r>
      <w:r>
        <w:t xml:space="preserve"> </w:t>
      </w:r>
      <w:r>
        <w:t xml:space="preserve">dopo tecnica manuale.</w:t>
      </w:r>
    </w:p>
    <w:p>
      <w:pPr>
        <w:pStyle w:val="Compact"/>
        <w:numPr>
          <w:ilvl w:val="0"/>
          <w:numId w:val="1026"/>
        </w:numPr>
      </w:pPr>
      <w:r>
        <w:rPr>
          <w:b/>
          <w:bCs/>
        </w:rPr>
        <w:t xml:space="preserve">Due altri</w:t>
      </w:r>
      <w:r>
        <w:t xml:space="preserve"> </w:t>
      </w:r>
      <w:r>
        <w:t xml:space="preserve">studi controllati hanno misurato</w:t>
      </w:r>
      <w:r>
        <w:t xml:space="preserve"> </w:t>
      </w:r>
      <w:r>
        <w:rPr>
          <w:b/>
          <w:bCs/>
        </w:rPr>
        <w:t xml:space="preserve">sintomi</w:t>
      </w:r>
      <w:r>
        <w:t xml:space="preserve"> </w:t>
      </w:r>
      <w:r>
        <w:t xml:space="preserve">e consumo di farmaco.</w:t>
      </w:r>
    </w:p>
    <w:p>
      <w:pPr>
        <w:pStyle w:val="Compact"/>
        <w:numPr>
          <w:ilvl w:val="0"/>
          <w:numId w:val="1026"/>
        </w:numPr>
      </w:pPr>
      <w:r>
        <w:t xml:space="preserve">Lo stato di attivazione cambia la percezione dell’acido, misurato in laboratorio.</w:t>
      </w:r>
    </w:p>
    <w:p>
      <w:pPr>
        <w:pStyle w:val="Compact"/>
        <w:numPr>
          <w:ilvl w:val="0"/>
          <w:numId w:val="1026"/>
        </w:numPr>
      </w:pPr>
      <w:r>
        <w:t xml:space="preserve">L’ipervigilanza pesa sulla gravità riferita più dei parametri di reflusso acido.</w:t>
      </w:r>
    </w:p>
    <w:p>
      <w:pPr>
        <w:pStyle w:val="Compact"/>
        <w:numPr>
          <w:ilvl w:val="0"/>
          <w:numId w:val="1026"/>
        </w:numPr>
      </w:pPr>
      <w:r>
        <w:t xml:space="preserve">La pressione dentro l’addome è un determinante misurato del gradiente, e una compressione esterna della parete produce reflusso e rallenta la pulizia dell’esofago.</w:t>
      </w:r>
    </w:p>
    <w:p>
      <w:pPr>
        <w:pStyle w:val="FirstParagraph"/>
      </w:pPr>
      <w:r>
        <w:rPr>
          <w:b/>
          <w:bCs/>
        </w:rPr>
        <w:t xml:space="preserve">Non si può dire.</w:t>
      </w:r>
    </w:p>
    <w:p>
      <w:pPr>
        <w:pStyle w:val="Compact"/>
        <w:numPr>
          <w:ilvl w:val="0"/>
          <w:numId w:val="1027"/>
        </w:numPr>
      </w:pPr>
      <w:r>
        <w:t xml:space="preserve">Che l’osteopatia curi il reflusso, o lo risolva.</w:t>
      </w:r>
    </w:p>
    <w:p>
      <w:pPr>
        <w:pStyle w:val="Compact"/>
        <w:numPr>
          <w:ilvl w:val="0"/>
          <w:numId w:val="1027"/>
        </w:numPr>
      </w:pPr>
      <w:r>
        <w:t xml:space="preserve">Che il trattamento manuale riduca l’ernia o riposizioni il cardias.</w:t>
      </w:r>
    </w:p>
    <w:p>
      <w:pPr>
        <w:pStyle w:val="Compact"/>
        <w:numPr>
          <w:ilvl w:val="0"/>
          <w:numId w:val="1027"/>
        </w:numPr>
      </w:pPr>
      <w:r>
        <w:t xml:space="preserve">Che le mani riducano i rilasciamenti transitori: mai misurato.</w:t>
      </w:r>
    </w:p>
    <w:p>
      <w:pPr>
        <w:pStyle w:val="Compact"/>
        <w:numPr>
          <w:ilvl w:val="0"/>
          <w:numId w:val="1027"/>
        </w:numPr>
      </w:pPr>
      <w:r>
        <w:t xml:space="preserve">Che si possa ridurre o sospendere un farmaco grazie a noi.</w:t>
      </w:r>
    </w:p>
    <w:p>
      <w:pPr>
        <w:pStyle w:val="Compact"/>
        <w:numPr>
          <w:ilvl w:val="0"/>
          <w:numId w:val="1027"/>
        </w:numPr>
      </w:pPr>
      <w:r>
        <w:t xml:space="preserve">Che il nostro tocco muova il tono vagale in una direzione utile qui.</w:t>
      </w:r>
    </w:p>
    <w:p>
      <w:pPr>
        <w:pStyle w:val="Compact"/>
        <w:numPr>
          <w:ilvl w:val="0"/>
          <w:numId w:val="1027"/>
        </w:numPr>
      </w:pPr>
      <w:r>
        <w:rPr>
          <w:b/>
          <w:bCs/>
        </w:rPr>
        <w:t xml:space="preserve">Che il nostro tocco abbassi l’attivazione.</w:t>
      </w:r>
      <w:r>
        <w:t xml:space="preserve"> </w:t>
      </w:r>
      <w:r>
        <w:t xml:space="preserve">La meta-analisi più ampia sugli effetti psicofisiologici del trattamento osteopatico (20 RCT) non trova effetto su ansia e stress. E sull’unico indice autonomico significativo, la conduttanza cutanea, l’effetto va verso l’attivazione e non verso la calma (Gordon 2025).</w:t>
      </w:r>
    </w:p>
    <w:p>
      <w:pPr>
        <w:pStyle w:val="Compact"/>
        <w:numPr>
          <w:ilvl w:val="0"/>
          <w:numId w:val="1027"/>
        </w:numPr>
      </w:pPr>
      <w:r>
        <w:t xml:space="preserve">Che il nostro lavoro riduca l’esposizione acida: mai misurata.</w:t>
      </w:r>
    </w:p>
    <w:p>
      <w:pPr>
        <w:pStyle w:val="Compact"/>
        <w:numPr>
          <w:ilvl w:val="0"/>
          <w:numId w:val="1027"/>
        </w:numPr>
      </w:pPr>
      <w:r>
        <w:t xml:space="preserve">Che il reflusso spieghi con certezza tosse cronica o voce roca.</w:t>
      </w:r>
    </w:p>
    <w:p>
      <w:pPr>
        <w:pStyle w:val="FirstParagraph"/>
      </w:pPr>
      <w:r>
        <w:t xml:space="preserve">Tre negazioni meritano il loro dato.</w:t>
      </w:r>
    </w:p>
    <w:p>
      <w:pPr>
        <w:pStyle w:val="BodyText"/>
      </w:pPr>
      <w:r>
        <w:t xml:space="preserve">Il</w:t>
      </w:r>
      <w:r>
        <w:t xml:space="preserve"> </w:t>
      </w:r>
      <w:r>
        <w:rPr>
          <w:b/>
          <w:bCs/>
        </w:rPr>
        <w:t xml:space="preserve">cortisolo</w:t>
      </w:r>
      <w:r>
        <w:t xml:space="preserve">: la revisione dedicata misura -0,10 µg/dl su quattro studi e 135 partecipanti, e</w:t>
      </w:r>
      <w:r>
        <w:t xml:space="preserve"> </w:t>
      </w:r>
      <w:r>
        <w:rPr>
          <w:b/>
          <w:bCs/>
        </w:rPr>
        <w:t xml:space="preserve">non è statisticamente significativa</w:t>
      </w:r>
      <w:r>
        <w:t xml:space="preserve"> </w:t>
      </w:r>
      <w:r>
        <w:t xml:space="preserve">(</w:t>
      </w:r>
      <w:r>
        <w:rPr>
          <w:i/>
          <w:iCs/>
        </w:rPr>
        <w:t xml:space="preserve">Cureus</w:t>
      </w:r>
      <w:r>
        <w:t xml:space="preserve"> </w:t>
      </w:r>
      <w:r>
        <w:t xml:space="preserve">2023).</w:t>
      </w:r>
    </w:p>
    <w:p>
      <w:pPr>
        <w:pStyle w:val="BodyText"/>
      </w:pPr>
      <w:r>
        <w:t xml:space="preserve">Le</w:t>
      </w:r>
      <w:r>
        <w:t xml:space="preserve"> </w:t>
      </w:r>
      <w:r>
        <w:rPr>
          <w:b/>
          <w:bCs/>
        </w:rPr>
        <w:t xml:space="preserve">fibre C-tattili</w:t>
      </w:r>
      <w:r>
        <w:t xml:space="preserve">: studiate sulla piacevolezza del tocco sulla pelle (Löken,</w:t>
      </w:r>
      <w:r>
        <w:t xml:space="preserve"> </w:t>
      </w:r>
      <w:r>
        <w:rPr>
          <w:i/>
          <w:iCs/>
        </w:rPr>
        <w:t xml:space="preserve">Nat Neurosci</w:t>
      </w:r>
      <w:r>
        <w:t xml:space="preserve"> </w:t>
      </w:r>
      <w:r>
        <w:t xml:space="preserve">2009), mai su un viscere.</w:t>
      </w:r>
    </w:p>
    <w:p>
      <w:pPr>
        <w:pStyle w:val="BodyText"/>
      </w:pPr>
      <w:r>
        <w:t xml:space="preserve">La</w:t>
      </w:r>
      <w:r>
        <w:t xml:space="preserve"> </w:t>
      </w:r>
      <w:r>
        <w:rPr>
          <w:b/>
          <w:bCs/>
        </w:rPr>
        <w:t xml:space="preserve">durata</w:t>
      </w:r>
      <w:r>
        <w:t xml:space="preserve">: nessun trial manuale ha follow-up oltre le venti settimane, e il più lungo è quello con i dati primari dichiarati non interpretabili.</w:t>
      </w:r>
    </w:p>
    <w:bookmarkEnd w:id="83"/>
    <w:bookmarkStart w:id="86" w:name="dove-la-letteratura-è-sottile"/>
    <w:p>
      <w:pPr>
        <w:pStyle w:val="Heading3"/>
      </w:pPr>
      <w:r>
        <w:t xml:space="preserve">Dove la letteratura è sottile</w:t>
      </w:r>
    </w:p>
    <w:p>
      <w:pPr>
        <w:pStyle w:val="FirstParagraph"/>
      </w:pPr>
      <w:r>
        <w:t xml:space="preserve">Gli studi controllati di terapia manuale sul reflusso sono</w:t>
      </w:r>
      <w:r>
        <w:t xml:space="preserve"> </w:t>
      </w:r>
      <w:r>
        <w:rPr>
          <w:b/>
          <w:bCs/>
        </w:rPr>
        <w:t xml:space="preserve">quattro</w:t>
      </w:r>
      <w:r>
        <w:t xml:space="preserve">: da Silva 2013, Martínez-Hurtado 2019, Eguaras 2019 e Lynen 2022. Hanno follow-up di giorni o settimane, e misure di sintomo. Uno solo ha misurato una pressione.</w:t>
      </w:r>
    </w:p>
    <w:p>
      <w:pPr>
        <w:pStyle w:val="BodyText"/>
      </w:pPr>
      <w:r>
        <w:t xml:space="preserve">Il più numeroso è anche il meno favorevole. Lynen 2022 ha un controllo non trattato, cioè un disegno che non separa effetto specifico e aspecifico. E gli autori dichiarano che i dati del questionario primario non sono interpretabili. Un documento che si vanta di dire i propri limiti non omette l’unico studio che non gli dà ragione.</w:t>
      </w:r>
    </w:p>
    <w:p>
      <w:pPr>
        <w:pStyle w:val="BodyText"/>
      </w:pPr>
      <w:r>
        <w:rPr>
          <w:b/>
          <w:bCs/>
        </w:rPr>
        <w:t xml:space="preserve">E la stessa regola vale per le revisioni sistematiche, che esistono e sono in maggioranza sfavorevoli.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Revisione</w:t>
            </w:r>
          </w:p>
        </w:tc>
        <w:tc>
          <w:tcPr/>
          <w:p>
            <w:pPr>
              <w:pStyle w:val="Compact"/>
            </w:pPr>
            <w:r>
              <w:t xml:space="preserve">Cosa copre</w:t>
            </w:r>
          </w:p>
        </w:tc>
        <w:tc>
          <w:tcPr/>
          <w:p>
            <w:pPr>
              <w:pStyle w:val="Compact"/>
            </w:pPr>
            <w:r>
              <w:t xml:space="preserve">Cosa conclude</w:t>
            </w:r>
          </w:p>
        </w:tc>
      </w:tr>
      <w:tr>
        <w:tc>
          <w:tcPr/>
          <w:p>
            <w:pPr>
              <w:pStyle w:val="Compact"/>
            </w:pPr>
            <w:r>
              <w:t xml:space="preserve">dos Santos 2022</w:t>
            </w:r>
          </w:p>
        </w:tc>
        <w:tc>
          <w:tcPr/>
          <w:p>
            <w:pPr>
              <w:pStyle w:val="Compact"/>
            </w:pPr>
            <w:r>
              <w:t xml:space="preserve">6 trial, 218 pz, manuale sul reflusso</w:t>
            </w:r>
          </w:p>
        </w:tc>
        <w:tc>
          <w:tcPr/>
          <w:p>
            <w:pPr>
              <w:pStyle w:val="Compact"/>
            </w:pPr>
            <w:r>
              <w:t xml:space="preserve">Favorevole, con cautela; qualità disomogenea</w:t>
            </w:r>
          </w:p>
        </w:tc>
      </w:tr>
      <w:tr>
        <w:tc>
          <w:tcPr/>
          <w:p>
            <w:pPr>
              <w:pStyle w:val="Compact"/>
            </w:pPr>
            <w:r>
              <w:t xml:space="preserve">da Silva FC 2023 (</w:t>
            </w:r>
            <w:hyperlink r:id="rId84">
              <w:r>
                <w:rPr>
                  <w:rStyle w:val="Hyperlink"/>
                </w:rPr>
                <w:t xml:space="preserve">37525195</w:t>
              </w:r>
            </w:hyperlink>
            <w:r>
              <w:t xml:space="preserve">)</w:t>
            </w:r>
          </w:p>
        </w:tc>
        <w:tc>
          <w:tcPr/>
          <w:p>
            <w:pPr>
              <w:pStyle w:val="Compact"/>
            </w:pPr>
            <w:r>
              <w:t xml:space="preserve">11 RCT, terapia fasciale viscerale</w:t>
            </w:r>
          </w:p>
        </w:tc>
        <w:tc>
          <w:tcPr/>
          <w:p>
            <w:pPr>
              <w:pStyle w:val="Compact"/>
            </w:pPr>
            <w:r>
              <w:t xml:space="preserve">Evidenza scarsa di efficacia</w:t>
            </w:r>
          </w:p>
        </w:tc>
      </w:tr>
      <w:tr>
        <w:tc>
          <w:tcPr/>
          <w:p>
            <w:pPr>
              <w:pStyle w:val="Compact"/>
            </w:pPr>
            <w:r>
              <w:t xml:space="preserve">Ceballos-Laita ed Ernst 2024</w:t>
            </w:r>
          </w:p>
        </w:tc>
        <w:tc>
          <w:tcPr/>
          <w:p>
            <w:pPr>
              <w:pStyle w:val="Compact"/>
            </w:pPr>
            <w:r>
              <w:t xml:space="preserve">15 studi, 7 in meta-analisi</w:t>
            </w:r>
          </w:p>
        </w:tc>
        <w:tc>
          <w:tcPr/>
          <w:p>
            <w:pPr>
              <w:pStyle w:val="Compact"/>
            </w:pPr>
            <w:r>
              <w:t xml:space="preserve">Nessun miglioramento contro sham</w:t>
            </w:r>
          </w:p>
        </w:tc>
      </w:tr>
      <w:tr>
        <w:tc>
          <w:tcPr/>
          <w:p>
            <w:pPr>
              <w:pStyle w:val="Compact"/>
            </w:pPr>
            <w:r>
              <w:t xml:space="preserve">Guillaud 2018 (</w:t>
            </w:r>
            <w:hyperlink r:id="rId85">
              <w:r>
                <w:rPr>
                  <w:rStyle w:val="Hyperlink"/>
                </w:rPr>
                <w:t xml:space="preserve">29452579</w:t>
              </w:r>
            </w:hyperlink>
            <w:r>
              <w:t xml:space="preserve">)</w:t>
            </w:r>
          </w:p>
        </w:tc>
        <w:tc>
          <w:tcPr/>
          <w:p>
            <w:pPr>
              <w:pStyle w:val="Compact"/>
            </w:pPr>
            <w:r>
              <w:t xml:space="preserve">Affidabilità ed efficacia della viscerale</w:t>
            </w:r>
          </w:p>
        </w:tc>
        <w:tc>
          <w:tcPr/>
          <w:p>
            <w:pPr>
              <w:pStyle w:val="Compact"/>
            </w:pPr>
            <w:r>
              <w:t xml:space="preserve">Evidenza solida:</w:t>
            </w:r>
            <w:r>
              <w:t xml:space="preserve"> </w:t>
            </w:r>
            <w:r>
              <w:rPr>
                <w:b/>
                <w:bCs/>
              </w:rPr>
              <w:t xml:space="preserve">assente</w:t>
            </w:r>
          </w:p>
        </w:tc>
      </w:tr>
    </w:tbl>
    <w:p>
      <w:pPr>
        <w:pStyle w:val="BodyText"/>
      </w:pPr>
      <w:r>
        <w:t xml:space="preserve">La prima ha due limiti: è pubblicata su una rivista di settore non indicizzata in PubMed, e non è indipendente dal campo. Le altre tre sono quelle che un collega scettico ti metterà davanti. La conseguenza è una, e questo documento la applica:</w:t>
      </w:r>
      <w:r>
        <w:t xml:space="preserve"> </w:t>
      </w:r>
      <w:r>
        <w:rPr>
          <w:b/>
          <w:bCs/>
        </w:rPr>
        <w:t xml:space="preserve">nessuna etichetta PROBABILE di questa Bibbia poggia sul solo studio viscerale</w:t>
      </w:r>
      <w:r>
        <w:t xml:space="preserve">.</w:t>
      </w:r>
    </w:p>
    <w:p>
      <w:pPr>
        <w:pStyle w:val="BodyText"/>
      </w:pPr>
      <w:r>
        <w:t xml:space="preserve">Resta vero che manca un RCT di terapia manuale con follow-up a sei mesi.</w:t>
      </w:r>
    </w:p>
    <w:bookmarkEnd w:id="86"/>
    <w:bookmarkStart w:id="87" w:name="quando-la-scienza-tace"/>
    <w:p>
      <w:pPr>
        <w:pStyle w:val="Heading3"/>
      </w:pPr>
      <w:r>
        <w:t xml:space="preserve">Quando la scienza tace</w:t>
      </w:r>
    </w:p>
    <w:p>
      <w:pPr>
        <w:pStyle w:val="FirstParagraph"/>
      </w:pPr>
      <w:r>
        <w:t xml:space="preserve">Questo è il pezzo che manca a chi legge la sezione precedente e conclude, sbagliando, che allora il reflusso non si tratta.</w:t>
      </w:r>
    </w:p>
    <w:p>
      <w:pPr>
        <w:pStyle w:val="BodyText"/>
      </w:pPr>
      <w:r>
        <w:rPr>
          <w:b/>
          <w:bCs/>
        </w:rPr>
        <w:t xml:space="preserve">Primo: assenza di prove non è prova di assenza.</w:t>
      </w:r>
      <w:r>
        <w:t xml:space="preserve"> </w:t>
      </w:r>
      <w:r>
        <w:t xml:space="preserve">Che nessuno abbia misurato l’effetto di una tecnica non dice niente sulla sua efficacia. Dice che nessuno l’ha misurata. Confonderle è un errore di logica, non un eccesso di prudenza. Attenzione però: qui</w:t>
      </w:r>
      <w:r>
        <w:t xml:space="preserve"> </w:t>
      </w:r>
      <w:r>
        <w:rPr>
          <w:b/>
          <w:bCs/>
        </w:rPr>
        <w:t xml:space="preserve">alcune prove ci sono, e vanno in direzione sfavorevole</w:t>
      </w:r>
      <w:r>
        <w:t xml:space="preserve"> </w:t>
      </w:r>
      <w:r>
        <w:t xml:space="preserve">(le revisioni sopra). Quello è un dato, non un silenzio.</w:t>
      </w:r>
    </w:p>
    <w:p>
      <w:pPr>
        <w:pStyle w:val="BodyText"/>
      </w:pPr>
      <w:r>
        <w:rPr>
          <w:b/>
          <w:bCs/>
        </w:rPr>
        <w:t xml:space="preserve">Secondo: perché quella letteratura è così sottile.</w:t>
      </w:r>
      <w:r>
        <w:t xml:space="preserve"> </w:t>
      </w:r>
      <w:r>
        <w:t xml:space="preserve">Non perché gli studi siano stati fatti e negativi — quello starebbe in «Cosa non possiamo dire» — ma perché non sono stati fatti. Le ragioni sono quattro: la pH-impedenzometria è invasiva e costosa; nessun finanziatore vuole confrontare una tecnica manuale con un farmaco da pochi centesimi; non esiste un placebo credibile per il tocco; i campioni restano da trenta pazienti.</w:t>
      </w:r>
    </w:p>
    <w:p>
      <w:pPr>
        <w:pStyle w:val="BodyText"/>
      </w:pPr>
      <w:r>
        <w:rPr>
          <w:b/>
          <w:bCs/>
        </w:rPr>
        <w:t xml:space="preserve">Terzo: su cosa ti basi allora</w:t>
      </w:r>
      <w:r>
        <w:t xml:space="preserve">, in ordine di forza. Sul</w:t>
      </w:r>
      <w:r>
        <w:t xml:space="preserve"> </w:t>
      </w:r>
      <w:r>
        <w:rPr>
          <w:b/>
          <w:bCs/>
        </w:rPr>
        <w:t xml:space="preserve">meccanismo fisiologico</w:t>
      </w:r>
      <w:r>
        <w:t xml:space="preserve"> </w:t>
      </w:r>
      <w:r>
        <w:t xml:space="preserve">dei cerchi 2 e 3. Sul</w:t>
      </w:r>
      <w:r>
        <w:t xml:space="preserve"> </w:t>
      </w:r>
      <w:r>
        <w:rPr>
          <w:b/>
          <w:bCs/>
        </w:rPr>
        <w:t xml:space="preserve">ragionamento clinico</w:t>
      </w:r>
      <w:r>
        <w:t xml:space="preserve"> </w:t>
      </w:r>
      <w:r>
        <w:t xml:space="preserve">del capitolo precedente, dichiarato come tale. Sulla</w:t>
      </w:r>
      <w:r>
        <w:t xml:space="preserve"> </w:t>
      </w:r>
      <w:r>
        <w:rPr>
          <w:b/>
          <w:bCs/>
        </w:rPr>
        <w:t xml:space="preserve">verifica in questo paziente</w:t>
      </w:r>
      <w:r>
        <w:t xml:space="preserve">, con un marker di dominanza scelto prima di trattare.</w:t>
      </w:r>
    </w:p>
    <w:p>
      <w:pPr>
        <w:pStyle w:val="BodyText"/>
      </w:pPr>
      <w:r>
        <w:rPr>
          <w:b/>
          <w:bCs/>
        </w:rPr>
        <w:t xml:space="preserve">Quarto: cosa lo separa dal pensiero magico.</w:t>
      </w:r>
      <w:r>
        <w:t xml:space="preserve"> </w:t>
      </w:r>
      <w:r>
        <w:t xml:space="preserve">La verifica, e nient’altro. Scegliere il marker prima e accettarne il verdetto è metodo scientifico su un caso singolo. Sceglierlo dopo aver visto il paziente migliorare non lo è.</w:t>
      </w:r>
    </w:p>
    <w:p>
      <w:pPr>
        <w:pStyle w:val="BodyText"/>
      </w:pPr>
      <w:r>
        <w:rPr>
          <w:b/>
          <w:bCs/>
        </w:rPr>
        <w:t xml:space="preserve">Quinto: cosa non autorizza.</w:t>
      </w:r>
      <w:r>
        <w:t xml:space="preserve"> </w:t>
      </w:r>
      <w:r>
        <w:t xml:space="preserve">Non a promettere un esito, non a scrivere DIMOSTRATO dove c’è IPOTESI, non a dire al paziente che</w:t>
      </w:r>
      <w:r>
        <w:t xml:space="preserve"> </w:t>
      </w:r>
      <w:r>
        <w:t xml:space="preserve">“gli studi lo confermano”</w:t>
      </w:r>
      <w:r>
        <w:t xml:space="preserve">. La libertà che ti dà è</w:t>
      </w:r>
      <w:r>
        <w:t xml:space="preserve"> </w:t>
      </w:r>
      <w:r>
        <w:rPr>
          <w:b/>
          <w:bCs/>
        </w:rPr>
        <w:t xml:space="preserve">trattare e verificare</w:t>
      </w:r>
      <w:r>
        <w:t xml:space="preserve">, non affermare.</w:t>
      </w:r>
    </w:p>
    <w:p>
      <w:pPr>
        <w:pStyle w:val="BodyText"/>
      </w:pPr>
      <w:r>
        <w:rPr>
          <w:b/>
          <w:bCs/>
        </w:rPr>
        <w:t xml:space="preserve">Le tre cose da ricordare</w:t>
      </w:r>
    </w:p>
    <w:p>
      <w:pPr>
        <w:pStyle w:val="Compact"/>
        <w:numPr>
          <w:ilvl w:val="0"/>
          <w:numId w:val="1028"/>
        </w:numPr>
      </w:pPr>
      <w:r>
        <w:t xml:space="preserve">Le prove più forti su questa condizione riguardano l’allenamento del diaframma e il peso, non il tocco.</w:t>
      </w:r>
    </w:p>
    <w:p>
      <w:pPr>
        <w:pStyle w:val="Compact"/>
        <w:numPr>
          <w:ilvl w:val="0"/>
          <w:numId w:val="1028"/>
        </w:numPr>
      </w:pPr>
      <w:r>
        <w:t xml:space="preserve">L’evidenza trasversale alza l’etichetta del meccanismo, mai quella della leva: ogni fonte porta scritto su chi è stata misurata.</w:t>
      </w:r>
    </w:p>
    <w:p>
      <w:pPr>
        <w:pStyle w:val="Compact"/>
        <w:numPr>
          <w:ilvl w:val="0"/>
          <w:numId w:val="1028"/>
        </w:numPr>
      </w:pPr>
      <w:r>
        <w:t xml:space="preserve">Dove la scienza tace, quello che ti resta è il meccanismo, il ragionamento dichiarato e la verifica sul singolo paziente.</w:t>
      </w:r>
    </w:p>
    <w:p>
      <w:r>
        <w:pict>
          <v:rect style="width:0;height:1.5pt" o:hralign="center" o:hrstd="t" o:hr="t"/>
        </w:pict>
      </w:r>
    </w:p>
    <w:bookmarkEnd w:id="87"/>
    <w:bookmarkEnd w:id="88"/>
    <w:bookmarkStart w:id="93" w:name="X749ea22382664277f31924734c3f9c650ac2093"/>
    <w:p>
      <w:pPr>
        <w:pStyle w:val="Heading2"/>
      </w:pPr>
      <w:r>
        <w:t xml:space="preserve">Capitolo 11 — Perché le mani possono cambiare qualcosa</w:t>
      </w:r>
    </w:p>
    <w:p>
      <w:pPr>
        <w:pStyle w:val="BlockText"/>
      </w:pPr>
      <w:r>
        <w:rPr>
          <w:b/>
          <w:bCs/>
        </w:rPr>
        <w:t xml:space="preserve">In una riga:</w:t>
      </w:r>
      <w:r>
        <w:t xml:space="preserve"> </w:t>
      </w:r>
      <w:r>
        <w:t xml:space="preserve">una delle due componenti della barriera antireflusso è un muscolo scheletrico, e i muscoli scheletrici sono il nostro campo.</w:t>
      </w:r>
    </w:p>
    <w:p>
      <w:pPr>
        <w:pStyle w:val="BlockText"/>
      </w:pPr>
      <w:r>
        <w:rPr>
          <w:b/>
          <w:bCs/>
        </w:rPr>
        <w:t xml:space="preserve">Attenzione — l’addome.</w:t>
      </w:r>
      <w:r>
        <w:t xml:space="preserve"> </w:t>
      </w:r>
      <w:r>
        <w:t xml:space="preserve">La regione che questa Bibbia indica come leva è l’epigastrio profondo, le arcate costali e le inserzioni crurali verso L1-L3. Lì sotto stanno l’aorta addominale, il plesso celiaco (il crocevia nervoso dietro lo stomaco), la milza e il margine del fegato. Sotto quelle mani esistono reperti che non sono disfunzione: una massa pulsante, un dolore profondo che non cede.</w:t>
      </w:r>
      <w:r>
        <w:t xml:space="preserve"> </w:t>
      </w:r>
      <w:r>
        <w:rPr>
          <w:b/>
          <w:bCs/>
        </w:rPr>
        <w:t xml:space="preserve">Sotto le mani in addome la rottura non è documentata.</w:t>
      </w:r>
      <w:r>
        <w:t xml:space="preserve"> </w:t>
      </w:r>
      <w:r>
        <w:t xml:space="preserve">Va però detto che gli studi di terapia manuale viscerale in larga parte non registrano affatto gli eventi avversi, e lì l’assenza di segnalazioni non è un dato di sicurezza. Il pericolo vero è un altro: trattare per settimane come</w:t>
      </w:r>
      <w:r>
        <w:t xml:space="preserve"> </w:t>
      </w:r>
      <w:r>
        <w:t xml:space="preserve">“parete tesa”</w:t>
      </w:r>
      <w:r>
        <w:t xml:space="preserve"> </w:t>
      </w:r>
      <w:r>
        <w:t xml:space="preserve">qualcosa che andava mandato a un’ecografia. Davanti a una pulsazione espansiva in epigastrio la seduta si interrompe.</w:t>
      </w:r>
    </w:p>
    <w:p>
      <w:pPr>
        <w:pStyle w:val="BlockText"/>
      </w:pPr>
      <w:r>
        <w:rPr>
          <w:b/>
          <w:bCs/>
        </w:rPr>
        <w:t xml:space="preserve">Attenzione — le coste.</w:t>
      </w:r>
      <w:r>
        <w:t xml:space="preserve"> </w:t>
      </w:r>
      <w:r>
        <w:t xml:space="preserve">Il paziente tipo di questo documento prende un inibitore di pompa da anni ed è spesso over-65. Va considerato a</w:t>
      </w:r>
      <w:r>
        <w:t xml:space="preserve"> </w:t>
      </w:r>
      <w:r>
        <w:rPr>
          <w:b/>
          <w:bCs/>
        </w:rPr>
        <w:t xml:space="preserve">densità ossea ridotta finché non è escluso</w:t>
      </w:r>
      <w:r>
        <w:t xml:space="preserve">, e la sua gabbia toracica bassa e la sua cerniera dorso-lombare sono zona a rischio di frattura. È la conseguenza manuale del dato in «Dove finisce il nostro campo», e nessuno la trae al posto tuo.</w:t>
      </w:r>
    </w:p>
    <w:bookmarkStart w:id="89" w:name="X7b24e6ae9a1bd1d2ae9eefaef88af03186ef945"/>
    <w:p>
      <w:pPr>
        <w:pStyle w:val="Heading3"/>
      </w:pPr>
      <w:r>
        <w:t xml:space="preserve">Cosa non possono fare le mani, detto per primo</w:t>
      </w:r>
    </w:p>
    <w:p>
      <w:pPr>
        <w:pStyle w:val="FirstParagraph"/>
      </w:pPr>
      <w:r>
        <w:t xml:space="preserve">Non riducono un’ernia iatale. Non riposizionano il cardias. Non ricostruiscono la membrana freno-esofagea. Non spengono il riflesso che apre la barriera dopo un pasto: in quell’istante il crus è spento dal centro. Non sostituiscono un farmaco.</w:t>
      </w:r>
    </w:p>
    <w:p>
      <w:pPr>
        <w:pStyle w:val="BodyText"/>
      </w:pPr>
      <w:r>
        <w:t xml:space="preserve">Se queste righe non sono chiare, tutto quello che segue diventa una promessa.</w:t>
      </w:r>
    </w:p>
    <w:bookmarkEnd w:id="89"/>
    <w:bookmarkStart w:id="90" w:name="le-leve-meccanismo-per-meccanismo"/>
    <w:p>
      <w:pPr>
        <w:pStyle w:val="Heading3"/>
      </w:pPr>
      <w:r>
        <w:t xml:space="preserve">Le leve, meccanismo per meccanismo</w:t>
      </w:r>
    </w:p>
    <w:p>
      <w:pPr>
        <w:pStyle w:val="FirstParagraph"/>
      </w:pPr>
      <w:r>
        <w:rPr>
          <w:b/>
          <w:bCs/>
        </w:rPr>
        <w:t xml:space="preserve">Primo meccanismo — la porta che si apre da sola, e la sua variante lenta.</w:t>
      </w:r>
      <w:r>
        <w:t xml:space="preserve"> </w:t>
      </w:r>
      <w:r>
        <w:t xml:space="preserve">Nessuna leva manuale. La leva che funziona è il volume del pasto: si segnala e si rinvia. L’allenamento inspiratorio è un’altra questione, e sta in «Cosa può fare il paziente da solo».</w:t>
      </w:r>
    </w:p>
    <w:p>
      <w:pPr>
        <w:pStyle w:val="BlockText"/>
      </w:pPr>
      <w:r>
        <w:rPr>
          <w:b/>
          <w:bCs/>
        </w:rPr>
        <w:t xml:space="preserve">Quanto è solido:</w:t>
      </w:r>
      <w:r>
        <w:t xml:space="preserve"> </w:t>
      </w:r>
      <w:r>
        <w:t xml:space="preserve">IPOTESI che una</w:t>
      </w:r>
      <w:r>
        <w:t xml:space="preserve"> </w:t>
      </w:r>
      <w:r>
        <w:rPr>
          <w:b/>
          <w:bCs/>
        </w:rPr>
        <w:t xml:space="preserve">mano</w:t>
      </w:r>
      <w:r>
        <w:t xml:space="preserve"> </w:t>
      </w:r>
      <w:r>
        <w:t xml:space="preserve">possa influenzare questo riflesso, e IPOTESI per qualunque leva manuale sullo svuotamento. Nessuno l’ha misurato, e il razionale non c’è.</w:t>
      </w:r>
    </w:p>
    <w:p>
      <w:pPr>
        <w:pStyle w:val="FirstParagraph"/>
      </w:pPr>
      <w:r>
        <w:rPr>
          <w:b/>
          <w:bCs/>
        </w:rPr>
        <w:t xml:space="preserve">Secondo meccanismo — la separazione dei due sfinteri.</w:t>
      </w:r>
      <w:r>
        <w:t xml:space="preserve"> </w:t>
      </w:r>
      <w:r>
        <w:t xml:space="preserve">Una mano può agire sulle inserzioni crurali e sulla mobilità dello iato, non sulla posizione del cardias.</w:t>
      </w:r>
      <w:r>
        <w:t xml:space="preserve"> </w:t>
      </w:r>
      <w:r>
        <w:rPr>
          <w:b/>
          <w:bCs/>
        </w:rPr>
        <w:t xml:space="preserve">Nessun guadagno di barriera va atteso quando la sovrapposizione è persa</w:t>
      </w:r>
      <w:r>
        <w:t xml:space="preserve">: un guadagno pressorio crurale non si somma a un LES che sta altrove. Il contributo utile è invece la</w:t>
      </w:r>
      <w:r>
        <w:t xml:space="preserve"> </w:t>
      </w:r>
      <w:r>
        <w:rPr>
          <w:b/>
          <w:bCs/>
        </w:rPr>
        <w:t xml:space="preserve">riduzione del carico pressorio</w:t>
      </w:r>
      <w:r>
        <w:t xml:space="preserve">, e passa in gran parte fuori dalle tue mani: peso, pasti, tosse, ponzamento, sforzi. Il tuo lavoro è riconoscerne le sorgenti e nominarle.</w:t>
      </w:r>
    </w:p>
    <w:p>
      <w:pPr>
        <w:pStyle w:val="BlockText"/>
      </w:pPr>
      <w:r>
        <w:rPr>
          <w:b/>
          <w:bCs/>
        </w:rPr>
        <w:t xml:space="preserve">Quanto è solido:</w:t>
      </w:r>
      <w:r>
        <w:t xml:space="preserve"> </w:t>
      </w:r>
      <w:r>
        <w:t xml:space="preserve">IPOTESI per il guadagno di barriera con l’ernia — lo studio con sham non ha stratificato per ernia iatale. Nessun effetto anatomico: non è una questione di dose.</w:t>
      </w:r>
    </w:p>
    <w:p>
      <w:pPr>
        <w:pStyle w:val="FirstParagraph"/>
      </w:pPr>
      <w:r>
        <w:rPr>
          <w:b/>
          <w:bCs/>
        </w:rPr>
        <w:t xml:space="preserve">Terzo meccanismo — l’amplificazione percettiva.</w:t>
      </w:r>
      <w:r>
        <w:t xml:space="preserve"> </w:t>
      </w:r>
      <w:r>
        <w:t xml:space="preserve">Una mano può agire sull’attivazione generale, attraverso il contatto lento, il ritmo del respiro e il tempo dedicato. L’esito coerente è</w:t>
      </w:r>
      <w:r>
        <w:t xml:space="preserve"> </w:t>
      </w:r>
      <w:r>
        <w:rPr>
          <w:b/>
          <w:bCs/>
        </w:rPr>
        <w:t xml:space="preserve">intensità del sintomo giù a parità di numero di episodi</w:t>
      </w:r>
      <w:r>
        <w:t xml:space="preserve">, e va dichiarato prima di iniziare. Ma i tempi sono due, e confonderli è una promessa: una cosa è scaldare la stanza, un’altra è spostare il termostato.</w:t>
      </w:r>
    </w:p>
    <w:p>
      <w:pPr>
        <w:pStyle w:val="Compact"/>
        <w:numPr>
          <w:ilvl w:val="0"/>
          <w:numId w:val="1029"/>
        </w:numPr>
      </w:pPr>
      <w:r>
        <w:rPr>
          <w:b/>
          <w:bCs/>
        </w:rPr>
        <w:t xml:space="preserve">Effetto di stato:</w:t>
      </w:r>
      <w:r>
        <w:t xml:space="preserve"> </w:t>
      </w:r>
      <w:r>
        <w:t xml:space="preserve">dentro la seduta, e finisce con lei. Minuti.</w:t>
      </w:r>
    </w:p>
    <w:p>
      <w:pPr>
        <w:pStyle w:val="Compact"/>
        <w:numPr>
          <w:ilvl w:val="0"/>
          <w:numId w:val="1029"/>
        </w:numPr>
      </w:pPr>
      <w:r>
        <w:rPr>
          <w:b/>
          <w:bCs/>
        </w:rPr>
        <w:t xml:space="preserve">Effetto durevole sulla soglia:</w:t>
      </w:r>
      <w:r>
        <w:t xml:space="preserve"> </w:t>
      </w:r>
      <w:r>
        <w:t xml:space="preserve">è plasticità, e richiede settimane. Si legge su una scala che guarda l’ultimo mese.</w:t>
      </w:r>
      <w:r>
        <w:t xml:space="preserve"> </w:t>
      </w:r>
      <w:r>
        <w:rPr>
          <w:b/>
          <w:bCs/>
        </w:rPr>
        <w:t xml:space="preserve">Nessuna soglia si sposta stabilmente in poche sedute.</w:t>
      </w:r>
    </w:p>
    <w:p>
      <w:pPr>
        <w:pStyle w:val="BlockText"/>
      </w:pPr>
      <w:r>
        <w:rPr>
          <w:b/>
          <w:bCs/>
        </w:rPr>
        <w:t xml:space="preserve">Quanto è solido:</w:t>
      </w:r>
      <w:r>
        <w:t xml:space="preserve"> </w:t>
      </w:r>
      <w:r>
        <w:t xml:space="preserve">PROBABILE</w:t>
      </w:r>
      <w:r>
        <w:t xml:space="preserve"> </w:t>
      </w:r>
      <w:r>
        <w:rPr>
          <w:b/>
          <w:bCs/>
        </w:rPr>
        <w:t xml:space="preserve">sul meccanismo</w:t>
      </w:r>
      <w:r>
        <w:t xml:space="preserve">, IPOTESI</w:t>
      </w:r>
      <w:r>
        <w:t xml:space="preserve"> </w:t>
      </w:r>
      <w:r>
        <w:rPr>
          <w:b/>
          <w:bCs/>
        </w:rPr>
        <w:t xml:space="preserve">sulla leva</w:t>
      </w:r>
      <w:r>
        <w:t xml:space="preserve">. Che l’attivazione modifichi la percezione dell’acido è dimostrato (Fass 2008). Che una mano modifichi l’elaborazione centrale dei segnali che vengono dal corpo ha ora un dato. In un RCT con sham su 32 pazienti con lombalgia cronica, il trattamento osteopatico ha ridotto la risposta di due aree: l’insula e il cingolo anteriore, che elaborano i segnali del corpo (Cerritelli,</w:t>
      </w:r>
      <w:r>
        <w:t xml:space="preserve"> </w:t>
      </w:r>
      <w:r>
        <w:rPr>
          <w:i/>
          <w:iCs/>
        </w:rPr>
        <w:t xml:space="preserve">Sci Rep</w:t>
      </w:r>
      <w:r>
        <w:t xml:space="preserve"> </w:t>
      </w:r>
      <w:r>
        <w:t xml:space="preserve">2020). Misurato su 32 pazienti con lombalgia cronica, con la risonanza e non con il sintomo, e mai su un viscere: una riduzione del segnale nell’insula non è una riduzione del bruciore. E la riduzione si è vista</w:t>
      </w:r>
      <w:r>
        <w:t xml:space="preserve"> </w:t>
      </w:r>
      <w:r>
        <w:rPr>
          <w:b/>
          <w:bCs/>
        </w:rPr>
        <w:t xml:space="preserve">a un mese, non nella seduta</w:t>
      </w:r>
      <w:r>
        <w:t xml:space="preserve">. Che il nostro tocco modifichi quell’attivazione</w:t>
      </w:r>
      <w:r>
        <w:t xml:space="preserve"> </w:t>
      </w:r>
      <w:r>
        <w:rPr>
          <w:b/>
          <w:bCs/>
        </w:rPr>
        <w:t xml:space="preserve">in questi pazienti</w:t>
      </w:r>
      <w:r>
        <w:t xml:space="preserve"> </w:t>
      </w:r>
      <w:r>
        <w:t xml:space="preserve">non è stato studiato: resta riduzione aspecifica, non un meccanismo neuroendocrino dimostrato. E nemmeno la direzione è stabilita, perché sulla conduttanza cutanea la sintesi più ampia va verso l’attivazione (Gordon 2025, in «Cosa dice la scienza»).</w:t>
      </w:r>
    </w:p>
    <w:p>
      <w:pPr>
        <w:pStyle w:val="FirstParagraph"/>
      </w:pPr>
      <w:r>
        <w:rPr>
          <w:b/>
          <w:bCs/>
        </w:rPr>
        <w:t xml:space="preserve">Sulla stessa soglia, per una via che non è il tocco.</w:t>
      </w:r>
      <w:r>
        <w:t xml:space="preserve"> </w:t>
      </w:r>
      <w:r>
        <w:t xml:space="preserve">La leva del modello Comportamentale è la</w:t>
      </w:r>
      <w:r>
        <w:t xml:space="preserve"> </w:t>
      </w:r>
      <w:r>
        <w:rPr>
          <w:b/>
          <w:bCs/>
        </w:rPr>
        <w:t xml:space="preserve">spiegazione</w:t>
      </w:r>
      <w:r>
        <w:t xml:space="preserve">: separare, davanti al paziente, quanto risale da quanto lui lo sente.</w:t>
      </w:r>
    </w:p>
    <w:p>
      <w:pPr>
        <w:pStyle w:val="BlockText"/>
      </w:pPr>
      <w:r>
        <w:rPr>
          <w:b/>
          <w:bCs/>
        </w:rPr>
        <w:t xml:space="preserve">Quanto è solido:</w:t>
      </w:r>
      <w:r>
        <w:t xml:space="preserve"> </w:t>
      </w:r>
      <w:r>
        <w:t xml:space="preserve">PROBABILE per l’effetto dei fattori di contesto sull’esito riferito, misurato però sul dolore muscolo-scheletrico (Rossettini 2018; Bialosky 2018). IPOTESI per il trasferimento al viscerale.</w:t>
      </w:r>
    </w:p>
    <w:p>
      <w:pPr>
        <w:pStyle w:val="FirstParagraph"/>
      </w:pPr>
      <w:r>
        <w:rPr>
          <w:b/>
          <w:bCs/>
        </w:rPr>
        <w:t xml:space="preserve">Quarto meccanismo — la pressione che spinge da fuori.</w:t>
      </w:r>
      <w:r>
        <w:t xml:space="preserve"> </w:t>
      </w:r>
      <w:r>
        <w:t xml:space="preserve">Una mano può agire su parete addominale, cerniera dorso-lombare, gabbia toracica bassa, e sulla coordinazione fra respiro e pressione. L’effetto atteso si dichiara in</w:t>
      </w:r>
      <w:r>
        <w:t xml:space="preserve"> </w:t>
      </w:r>
      <w:r>
        <w:rPr>
          <w:b/>
          <w:bCs/>
        </w:rPr>
        <w:t xml:space="preserve">sintomi posizionali</w:t>
      </w:r>
      <w:r>
        <w:t xml:space="preserve">, non in</w:t>
      </w:r>
      <w:r>
        <w:t xml:space="preserve"> </w:t>
      </w:r>
      <w:r>
        <w:t xml:space="preserve">“gradiente”</w:t>
      </w:r>
      <w:r>
        <w:t xml:space="preserve">: il gradiente dipende dal volume, che cambia in mesi e non passa dalle tue mani. Si osserva sulla comparsa del bruciore in flessione anteriore mantenuta, contata prima e dopo.</w:t>
      </w:r>
    </w:p>
    <w:p>
      <w:pPr>
        <w:pStyle w:val="BlockText"/>
      </w:pPr>
      <w:r>
        <w:rPr>
          <w:b/>
          <w:bCs/>
        </w:rPr>
        <w:t xml:space="preserve">Quanto è solido:</w:t>
      </w:r>
      <w:r>
        <w:t xml:space="preserve"> </w:t>
      </w:r>
      <w:r>
        <w:t xml:space="preserve">IPOTESI</w:t>
      </w:r>
      <w:r>
        <w:t xml:space="preserve"> </w:t>
      </w:r>
      <w:r>
        <w:rPr>
          <w:b/>
          <w:bCs/>
        </w:rPr>
        <w:t xml:space="preserve">sulla leva</w:t>
      </w:r>
      <w:r>
        <w:t xml:space="preserve">. Il meccanismo sta più in alto. DIMOSTRATA è la</w:t>
      </w:r>
      <w:r>
        <w:t xml:space="preserve"> </w:t>
      </w:r>
      <w:r>
        <w:rPr>
          <w:b/>
          <w:bCs/>
        </w:rPr>
        <w:t xml:space="preserve">compressione esterna</w:t>
      </w:r>
      <w:r>
        <w:t xml:space="preserve">, misurata due volte con una cintura (Mitchell 2017; Lee 2014) — ma nessuno l’ha mai prodotta, né tolta, con una mano. PROBABILE è la componente di</w:t>
      </w:r>
      <w:r>
        <w:t xml:space="preserve"> </w:t>
      </w:r>
      <w:r>
        <w:rPr>
          <w:b/>
          <w:bCs/>
        </w:rPr>
        <w:t xml:space="preserve">volume</w:t>
      </w:r>
      <w:r>
        <w:t xml:space="preserve">, che non tratti. Quella</w:t>
      </w:r>
      <w:r>
        <w:t xml:space="preserve"> </w:t>
      </w:r>
      <w:r>
        <w:rPr>
          <w:b/>
          <w:bCs/>
        </w:rPr>
        <w:t xml:space="preserve">tensiva intrinseca</w:t>
      </w:r>
      <w:r>
        <w:t xml:space="preserve">, che tratti, resta IPOTESI in ogni capitolo di questa Bibbia, e un dato va in direzione opposta (Bitnar 2016, che ha però misurato un carico acuto).</w:t>
      </w:r>
    </w:p>
    <w:p>
      <w:pPr>
        <w:pStyle w:val="FirstParagraph"/>
      </w:pPr>
      <w:r>
        <w:rPr>
          <w:b/>
          <w:bCs/>
        </w:rPr>
        <w:t xml:space="preserve">Quinto meccanismo — il crus che non dà il suo contributo.</w:t>
      </w:r>
      <w:r>
        <w:t xml:space="preserve"> </w:t>
      </w:r>
      <w:r>
        <w:t xml:space="preserve">È la leva migliore che hai: escursione diaframmatica, inserzioni costali e crurali, mobilità toracica. Due effetti che il gergo confonde.</w:t>
      </w:r>
      <w:r>
        <w:t xml:space="preserve"> </w:t>
      </w:r>
      <w:r>
        <w:rPr>
          <w:b/>
          <w:bCs/>
        </w:rPr>
        <w:t xml:space="preserve">Immediato:</w:t>
      </w:r>
      <w:r>
        <w:t xml:space="preserve"> </w:t>
      </w:r>
      <w:r>
        <w:t xml:space="preserve">una modifica del tono a riposo, vista in manometria nei minuti dopo, di durata mai misurata.</w:t>
      </w:r>
      <w:r>
        <w:t xml:space="preserve"> </w:t>
      </w:r>
      <w:r>
        <w:rPr>
          <w:b/>
          <w:bCs/>
        </w:rPr>
        <w:t xml:space="preserve">Durevole:</w:t>
      </w:r>
      <w:r>
        <w:t xml:space="preserve"> </w:t>
      </w:r>
      <w:r>
        <w:t xml:space="preserve">il recupero del picco inspiratorio della barriera, che richiede settimane di ripetizione — e la sua prova viene dall’allenamento respiratorio, non dal tocco.</w:t>
      </w:r>
    </w:p>
    <w:p>
      <w:pPr>
        <w:pStyle w:val="BlockText"/>
      </w:pPr>
      <w:r>
        <w:rPr>
          <w:b/>
          <w:bCs/>
        </w:rPr>
        <w:t xml:space="preserve">Quanto è solido:</w:t>
      </w:r>
      <w:r>
        <w:t xml:space="preserve"> </w:t>
      </w:r>
      <w:r>
        <w:t xml:space="preserve">PROBABILE per l’effetto pressorio immediato, su</w:t>
      </w:r>
      <w:r>
        <w:t xml:space="preserve"> </w:t>
      </w:r>
      <w:r>
        <w:rPr>
          <w:b/>
          <w:bCs/>
        </w:rPr>
        <w:t xml:space="preserve">un solo studio controllato con sham</w:t>
      </w:r>
      <w:r>
        <w:t xml:space="preserve"> </w:t>
      </w:r>
      <w:r>
        <w:t xml:space="preserve">che l’ha misurato (da Silva 2013: 38 pazienti, manometria subito dopo la tecnica, dimensione dell’effetto 0,80 sulla sola pressione media respiratoria; la massima espiratoria non era significativa). Due altri studi controllati (Martínez-Hurtado 2019; Eguaras 2019) hanno misurato</w:t>
      </w:r>
      <w:r>
        <w:t xml:space="preserve"> </w:t>
      </w:r>
      <w:r>
        <w:rPr>
          <w:b/>
          <w:bCs/>
        </w:rPr>
        <w:t xml:space="preserve">sintomi e consumo di farmaco</w:t>
      </w:r>
      <w:r>
        <w:t xml:space="preserve">, non pressione. IPOTESI che una mano produca il recupero del picco inspiratorio: nessuno l’ha testato.</w:t>
      </w:r>
    </w:p>
    <w:p>
      <w:pPr>
        <w:pStyle w:val="BlockText"/>
      </w:pPr>
      <w:r>
        <w:rPr>
          <w:b/>
          <w:bCs/>
        </w:rPr>
        <w:t xml:space="preserve">Attenzione.</w:t>
      </w:r>
      <w:r>
        <w:t xml:space="preserve"> </w:t>
      </w:r>
      <w:r>
        <w:t xml:space="preserve">Non chiamare</w:t>
      </w:r>
      <w:r>
        <w:t xml:space="preserve"> </w:t>
      </w:r>
      <w:r>
        <w:t xml:space="preserve">“riflessa”</w:t>
      </w:r>
      <w:r>
        <w:t xml:space="preserve"> </w:t>
      </w:r>
      <w:r>
        <w:t xml:space="preserve">quella modifica immediata: non esiste un arco somato-viscerale documentato verso lo sfintere. Resta plausibile un effetto meccanico e viscoelastico, con mediatore non isolato.</w:t>
      </w:r>
    </w:p>
    <w:p>
      <w:pPr>
        <w:pStyle w:val="FirstParagraph"/>
      </w:pPr>
      <w:r>
        <w:rPr>
          <w:b/>
          <w:bCs/>
        </w:rPr>
        <w:t xml:space="preserve">Sesto meccanismo — la clearance notturna, e il nodo in gola.</w:t>
      </w:r>
      <w:r>
        <w:t xml:space="preserve"> </w:t>
      </w:r>
      <w:r>
        <w:t xml:space="preserve">Una mano può fare poco, e per via indiretta, attraverso la meccanica toracica. Il lato su cui dorme e l’inclinazione del letto pesano più di te. Sulla tosse e sulla voce non aspettartelo.</w:t>
      </w:r>
    </w:p>
    <w:p>
      <w:pPr>
        <w:pStyle w:val="BodyText"/>
      </w:pPr>
      <w:r>
        <w:t xml:space="preserve">Sul nodo in gola la ragione è fisiologica. Uno sfintere tenuto alto per via riflessa non si abbassa lavorando il tessuto intorno: si abbassa se cala il comando che lo tiene su. Il nodo in gola appartiene quindi alla leva sull’</w:t>
      </w:r>
      <w:r>
        <w:rPr>
          <w:b/>
          <w:bCs/>
        </w:rPr>
        <w:t xml:space="preserve">amplificazione percettiva</w:t>
      </w:r>
      <w:r>
        <w:t xml:space="preserve">, non a una leva meccanica locale.</w:t>
      </w:r>
    </w:p>
    <w:p>
      <w:pPr>
        <w:pStyle w:val="BlockText"/>
      </w:pPr>
      <w:r>
        <w:rPr>
          <w:b/>
          <w:bCs/>
        </w:rPr>
        <w:t xml:space="preserve">Attenzione — il collo anteriore non è una leva.</w:t>
      </w:r>
      <w:r>
        <w:t xml:space="preserve"> </w:t>
      </w:r>
      <w:r>
        <w:t xml:space="preserve">La regione fra osso ioide e cartilagine tiroidea contiene la guaina carotidea — l’astuccio di tessuto che avvolge carotide, giugulare e vago — e la biforcazione. Non si applica pressione sostenuta né profonda. Sono documentate sia la dissezione della carotide dopo un automassaggio del collo (Shibata,</w:t>
      </w:r>
      <w:r>
        <w:t xml:space="preserve"> </w:t>
      </w:r>
      <w:r>
        <w:rPr>
          <w:i/>
          <w:iCs/>
        </w:rPr>
        <w:t xml:space="preserve">Cureus</w:t>
      </w:r>
      <w:r>
        <w:t xml:space="preserve"> </w:t>
      </w:r>
      <w:r>
        <w:t xml:space="preserve">2023), sia lo svenimento da compressione del seno carotideo. Nel paziente tipo di questo documento — over-50 con fattori di rischio vascolare — non sono eventi teorici. Le presentazioni vascolari si riconoscono da un esordio preciso: dolore al collo o cefalea</w:t>
      </w:r>
      <w:r>
        <w:t xml:space="preserve"> </w:t>
      </w:r>
      <w:r>
        <w:rPr>
          <w:b/>
          <w:bCs/>
        </w:rPr>
        <w:t xml:space="preserve">nuovi e diversi da qualunque precedente</w:t>
      </w:r>
      <w:r>
        <w:t xml:space="preserve">, a volte con segni neurologici transitori. Riferimento: International IFOMPT Cervical Framework, revisione 2020.</w:t>
      </w:r>
    </w:p>
    <w:p>
      <w:pPr>
        <w:pStyle w:val="BlockText"/>
      </w:pPr>
      <w:r>
        <w:rPr>
          <w:b/>
          <w:bCs/>
        </w:rPr>
        <w:t xml:space="preserve">Quanto è solido:</w:t>
      </w:r>
      <w:r>
        <w:t xml:space="preserve"> </w:t>
      </w:r>
      <w:r>
        <w:t xml:space="preserve">IPOTESI — nessuno studio ha misurato clearance esofagea né tono dello sfintere superiore dopo trattamento manuale. E l’associazione fra nodo in gola e reflusso è debole.</w:t>
      </w:r>
    </w:p>
    <w:bookmarkEnd w:id="90"/>
    <w:bookmarkStart w:id="91" w:name="quanto-dura-quello-che-fai"/>
    <w:p>
      <w:pPr>
        <w:pStyle w:val="Heading3"/>
      </w:pPr>
      <w:r>
        <w:t xml:space="preserve">Quanto dura quello che fai</w:t>
      </w:r>
    </w:p>
    <w:p>
      <w:pPr>
        <w:pStyle w:val="FirstParagraph"/>
      </w:pPr>
      <w:r>
        <w:t xml:space="preserve">Dopo la tecnica manuale la manometria si registra subito. Il guadagno da allenamento arriva dopo settimane, e a nove mesi resta solo in chi ha continuato. Un effetto è stato mantenuto a</w:t>
      </w:r>
      <w:r>
        <w:t xml:space="preserve"> </w:t>
      </w:r>
      <w:r>
        <w:rPr>
          <w:b/>
          <w:bCs/>
        </w:rPr>
        <w:t xml:space="preserve">quattro mesi</w:t>
      </w:r>
      <w:r>
        <w:t xml:space="preserve"> </w:t>
      </w:r>
      <w:r>
        <w:t xml:space="preserve">in pazienti refrattari al farmaco (Ong 2018), più a lungo di qualunque follow-up manuale.</w:t>
      </w:r>
    </w:p>
    <w:p>
      <w:pPr>
        <w:pStyle w:val="BodyText"/>
      </w:pPr>
      <w:r>
        <w:t xml:space="preserve">Il guadagno di barriera appartiene al</w:t>
      </w:r>
      <w:r>
        <w:t xml:space="preserve"> </w:t>
      </w:r>
      <w:r>
        <w:rPr>
          <w:b/>
          <w:bCs/>
        </w:rPr>
        <w:t xml:space="preserve">ripetuto</w:t>
      </w:r>
      <w:r>
        <w:t xml:space="preserve">, non alla singola seduta. Chi non lo sa vede il paziente migliorare, ricadere in due settimane, e conclude che sul reflusso non funziona niente.</w:t>
      </w:r>
    </w:p>
    <w:p>
      <w:pPr>
        <w:pStyle w:val="BlockText"/>
      </w:pPr>
      <w:r>
        <w:rPr>
          <w:b/>
          <w:bCs/>
        </w:rPr>
        <w:t xml:space="preserve">Quanto è solido:</w:t>
      </w:r>
      <w:r>
        <w:t xml:space="preserve"> </w:t>
      </w:r>
      <w:r>
        <w:t xml:space="preserve">DIMOSTRATO per la dipendenza dall’allenamento ripetuto. RAGIONAMENTO per la durata dell’effetto manuale: nessuno l’ha misurata.</w:t>
      </w:r>
    </w:p>
    <w:bookmarkEnd w:id="91"/>
    <w:bookmarkStart w:id="92" w:name="X9598c2740e96a4b0eabd4dccd618a7f838df154"/>
    <w:p>
      <w:pPr>
        <w:pStyle w:val="Heading3"/>
      </w:pPr>
      <w:r>
        <w:t xml:space="preserve">Cosa il percorso di questo paziente non ha guardato</w:t>
      </w:r>
    </w:p>
    <w:p>
      <w:pPr>
        <w:pStyle w:val="FirstParagraph"/>
      </w:pPr>
      <w:r>
        <w:t xml:space="preserve">Tre punti. Riguardano i</w:t>
      </w:r>
      <w:r>
        <w:t xml:space="preserve"> </w:t>
      </w:r>
      <w:r>
        <w:rPr>
          <w:b/>
          <w:bCs/>
        </w:rPr>
        <w:t xml:space="preserve">meccanismi</w:t>
      </w:r>
      <w:r>
        <w:t xml:space="preserve">, non le persone, e nemmeno la superiorità di una professione su un’altra: l’allenamento respiratorio che questo documento cita come prova migliore è pratica fisioterapica e pneumologica.</w:t>
      </w:r>
    </w:p>
    <w:p>
      <w:pPr>
        <w:pStyle w:val="Compact"/>
        <w:numPr>
          <w:ilvl w:val="0"/>
          <w:numId w:val="1030"/>
        </w:numPr>
      </w:pPr>
      <w:r>
        <w:rPr>
          <w:b/>
          <w:bCs/>
        </w:rPr>
        <w:t xml:space="preserve">Il muscolo che fa da sfintere esterno</w:t>
      </w:r>
      <w:r>
        <w:t xml:space="preserve">, che nessuno degli esami in cartella misura.</w:t>
      </w:r>
    </w:p>
    <w:p>
      <w:pPr>
        <w:pStyle w:val="Compact"/>
        <w:numPr>
          <w:ilvl w:val="0"/>
          <w:numId w:val="1030"/>
        </w:numPr>
      </w:pPr>
      <w:r>
        <w:rPr>
          <w:b/>
          <w:bCs/>
        </w:rPr>
        <w:t xml:space="preserve">La pressione del contenitore invece del contenuto.</w:t>
      </w:r>
    </w:p>
    <w:p>
      <w:pPr>
        <w:pStyle w:val="Compact"/>
        <w:numPr>
          <w:ilvl w:val="0"/>
          <w:numId w:val="1030"/>
        </w:numPr>
      </w:pPr>
      <w:r>
        <w:rPr>
          <w:b/>
          <w:bCs/>
        </w:rPr>
        <w:t xml:space="preserve">La separazione fra esposizione e percezione, detta davanti a lui.</w:t>
      </w:r>
    </w:p>
    <w:p>
      <w:pPr>
        <w:pStyle w:val="BlockText"/>
      </w:pPr>
      <w:r>
        <w:rPr>
          <w:b/>
          <w:bCs/>
        </w:rPr>
        <w:t xml:space="preserve">Quanto è solido:</w:t>
      </w:r>
      <w:r>
        <w:t xml:space="preserve"> </w:t>
      </w:r>
      <w:r>
        <w:t xml:space="preserve">IPOTESI che la terza, da sola, cambi qualcosa in questo paziente. La controprova: l’unico trial di educazione strutturata nel reflusso, 102 contro 109 pazienti,</w:t>
      </w:r>
      <w:r>
        <w:t xml:space="preserve"> </w:t>
      </w:r>
      <w:r>
        <w:rPr>
          <w:b/>
          <w:bCs/>
        </w:rPr>
        <w:t xml:space="preserve">non ha trovato effetto</w:t>
      </w:r>
      <w:r>
        <w:t xml:space="preserve"> </w:t>
      </w:r>
      <w:r>
        <w:t xml:space="preserve">su qualità di vita né su uso dei servizi (Urnes,</w:t>
      </w:r>
      <w:r>
        <w:t xml:space="preserve"> </w:t>
      </w:r>
      <w:r>
        <w:rPr>
          <w:i/>
          <w:iCs/>
        </w:rPr>
        <w:t xml:space="preserve">Eur J Gastroenterol Hepatol</w:t>
      </w:r>
      <w:r>
        <w:t xml:space="preserve"> </w:t>
      </w:r>
      <w:r>
        <w:t xml:space="preserve">2007).</w:t>
      </w:r>
    </w:p>
    <w:p>
      <w:pPr>
        <w:pStyle w:val="FirstParagraph"/>
      </w:pPr>
      <w:r>
        <w:rPr>
          <w:i/>
          <w:iCs/>
        </w:rPr>
        <w:t xml:space="preserve">È lì che entri tu — e solo su tre dei sei meccanismi. Sapere quali sono i tre è ciò che ti rende un clinico invece che un venditore.</w:t>
      </w:r>
    </w:p>
    <w:p>
      <w:pPr>
        <w:pStyle w:val="BodyText"/>
      </w:pPr>
      <w:r>
        <w:t xml:space="preserve">Il come si fa non è qui. Sta nella Procedura del Reflusso gastroesofageo: due pagine, tecniche, dosi e piano delle sedute.</w:t>
      </w:r>
    </w:p>
    <w:p>
      <w:pPr>
        <w:pStyle w:val="BodyText"/>
      </w:pPr>
      <w:r>
        <w:rPr>
          <w:b/>
          <w:bCs/>
        </w:rPr>
        <w:t xml:space="preserve">Le tre cose da ricordare</w:t>
      </w:r>
    </w:p>
    <w:p>
      <w:pPr>
        <w:pStyle w:val="Compact"/>
        <w:numPr>
          <w:ilvl w:val="0"/>
          <w:numId w:val="1031"/>
        </w:numPr>
      </w:pPr>
      <w:r>
        <w:t xml:space="preserve">Le mani hanno una leva su tre meccanismi su sei, e nessuna leva sul principale.</w:t>
      </w:r>
    </w:p>
    <w:p>
      <w:pPr>
        <w:pStyle w:val="Compact"/>
        <w:numPr>
          <w:ilvl w:val="0"/>
          <w:numId w:val="1031"/>
        </w:numPr>
      </w:pPr>
      <w:r>
        <w:t xml:space="preserve">La leva migliore è il crus, e va letta in due tempi: riflesso nei minuti, riallenamento in settimane.</w:t>
      </w:r>
    </w:p>
    <w:p>
      <w:pPr>
        <w:pStyle w:val="Compact"/>
        <w:numPr>
          <w:ilvl w:val="0"/>
          <w:numId w:val="1031"/>
        </w:numPr>
      </w:pPr>
      <w:r>
        <w:t xml:space="preserve">L’esito atteso nel paziente con sintomo sproporzionato è l’intensità, non il numero di episodi.</w:t>
      </w:r>
    </w:p>
    <w:p>
      <w:r>
        <w:pict>
          <v:rect style="width:0;height:1.5pt" o:hralign="center" o:hrstd="t" o:hr="t"/>
        </w:pict>
      </w:r>
    </w:p>
    <w:bookmarkEnd w:id="92"/>
    <w:bookmarkEnd w:id="93"/>
    <w:bookmarkStart w:id="97" w:name="X136fc797340a8505b3f1ef11420398b4b0fe2f0"/>
    <w:p>
      <w:pPr>
        <w:pStyle w:val="Heading2"/>
      </w:pPr>
      <w:r>
        <w:t xml:space="preserve">Capitolo 12 — Cosa può fare il paziente da solo</w:t>
      </w:r>
    </w:p>
    <w:p>
      <w:pPr>
        <w:pStyle w:val="BlockText"/>
      </w:pPr>
      <w:r>
        <w:rPr>
          <w:b/>
          <w:bCs/>
        </w:rPr>
        <w:t xml:space="preserve">In una riga:</w:t>
      </w:r>
      <w:r>
        <w:t xml:space="preserve"> </w:t>
      </w:r>
      <w:r>
        <w:t xml:space="preserve">su questa condizione le due leve con le prove migliori non sono nelle tue mani, e ignorarlo è il modo più veloce per sembrare un venditore.</w:t>
      </w:r>
    </w:p>
    <w:p>
      <w:pPr>
        <w:pStyle w:val="FirstParagraph"/>
      </w:pPr>
      <w:r>
        <w:t xml:space="preserve">Questo capitolo esiste perché due strumenti attivi reggono, sul reflusso, prove più forti di qualunque tecnica manuale. Il primo è l’esercizio respiratorio. Il secondo è il gruppo di leve legate a peso, pasti e posizione notturna.</w:t>
      </w:r>
    </w:p>
    <w:bookmarkStart w:id="94" w:name="Xf4bfaa58eeb3b578d05b8a9bc3b7684672f6b91"/>
    <w:p>
      <w:pPr>
        <w:pStyle w:val="Heading3"/>
      </w:pPr>
      <w:r>
        <w:t xml:space="preserve">Strumento 1 — L’esercizio respiratorio diaframmatico</w:t>
      </w:r>
    </w:p>
    <w:p>
      <w:pPr>
        <w:pStyle w:val="FirstParagraph"/>
      </w:pPr>
      <w:r>
        <w:rPr>
          <w:b/>
          <w:bCs/>
        </w:rPr>
        <w:t xml:space="preserve">Cos’è.</w:t>
      </w:r>
      <w:r>
        <w:t xml:space="preserve"> </w:t>
      </w:r>
      <w:r>
        <w:t xml:space="preserve">Un allenamento del respiro che sposta il lavoro sul diaframma e lo carica in modo progressivo. In alcuni studi si aggiunge una resistenza inspiratoria.</w:t>
      </w:r>
    </w:p>
    <w:p>
      <w:pPr>
        <w:pStyle w:val="BodyText"/>
      </w:pPr>
      <w:r>
        <w:rPr>
          <w:b/>
          <w:bCs/>
        </w:rPr>
        <w:t xml:space="preserve">Su quale meccanismo agisce.</w:t>
      </w:r>
      <w:r>
        <w:t xml:space="preserve"> </w:t>
      </w:r>
      <w:r>
        <w:t xml:space="preserve">Sul quinto: il crus che smette di dare il suo contributo. Recupera il picco inspiratorio della barriera, non il tono di base.</w:t>
      </w:r>
    </w:p>
    <w:p>
      <w:pPr>
        <w:pStyle w:val="BodyText"/>
      </w:pPr>
      <w:r>
        <w:rPr>
          <w:b/>
          <w:bCs/>
        </w:rPr>
        <w:t xml:space="preserve">Cosa hanno misurato gli studi.</w:t>
      </w:r>
    </w:p>
    <w:p>
      <w:pPr>
        <w:pStyle w:val="BodyText"/>
      </w:pPr>
      <w:r>
        <w:t xml:space="preserve">Nel trial di Eherer, 19 pazienti hanno svolto quattro settimane di allenamento. Il tempo con pH sotto 4 è sceso dal 9,1% al 4,7%, e a nove mesi il beneficio è rimasto solo negli undici che avevano continuato.</w:t>
      </w:r>
    </w:p>
    <w:p>
      <w:pPr>
        <w:pStyle w:val="BodyText"/>
      </w:pPr>
      <w:r>
        <w:t xml:space="preserve">Nel lavoro di Nobre e Souza, dodici pazienti hanno allenato i muscoli inspiratori cinque giorni a settimana: la pressione media della giunzione è passata da 19,7 a 29,5 mmHg.</w:t>
      </w:r>
    </w:p>
    <w:p>
      <w:pPr>
        <w:pStyle w:val="BodyText"/>
      </w:pPr>
      <w:r>
        <w:t xml:space="preserve">Nello studio di Ong, su 36 pazienti refrattari al farmaco con eruttazione eccessiva, il 60% del gruppo attivo ha dimezzato il punteggio contro nessuno dei controlli, con effetto mantenuto a quattro mesi.</w:t>
      </w:r>
    </w:p>
    <w:p>
      <w:pPr>
        <w:pStyle w:val="BodyText"/>
      </w:pPr>
      <w:r>
        <w:t xml:space="preserve">Le due sintesi concordano. Abureesh (10 RCT, 476 pazienti) trova effetto medio sui sintomi, nulla sulla qualità di vita ed eterogeneità molto alta. Zdrhova (11 studi) elenca fra gli esiti migliorati anche la riduzione dei rilasciamenti transitori.</w:t>
      </w:r>
    </w:p>
    <w:p>
      <w:pPr>
        <w:pStyle w:val="BlockText"/>
      </w:pPr>
      <w:r>
        <w:rPr>
          <w:b/>
          <w:bCs/>
        </w:rPr>
        <w:t xml:space="preserve">Quanto è solido:</w:t>
      </w:r>
      <w:r>
        <w:t xml:space="preserve"> </w:t>
      </w:r>
      <w:r>
        <w:t xml:space="preserve">PROBABILE forte — più studi controllati, misure oggettive di esposizione acida e di pressione, una meta-analisi e una revisione sistematica dedicata. Non DIMOSTRATO: campioni piccoli, disegni non in cieco, cautela chiesta dagli autori.</w:t>
      </w:r>
    </w:p>
    <w:p>
      <w:pPr>
        <w:pStyle w:val="FirstParagraph"/>
      </w:pPr>
      <w:r>
        <w:rPr>
          <w:b/>
          <w:bCs/>
        </w:rPr>
        <w:t xml:space="preserve">Cosa non fa, e cosa succede quando smette.</w:t>
      </w:r>
      <w:r>
        <w:t xml:space="preserve"> </w:t>
      </w:r>
      <w:r>
        <w:t xml:space="preserve">Non riduce un’ernia. Su altri due punti la formulazione corrente va corretta, perché i suoi stessi studi la smentiscono.</w:t>
      </w:r>
    </w:p>
    <w:p>
      <w:pPr>
        <w:pStyle w:val="BodyText"/>
      </w:pPr>
      <w:r>
        <w:t xml:space="preserve">Sui</w:t>
      </w:r>
      <w:r>
        <w:t xml:space="preserve"> </w:t>
      </w:r>
      <w:r>
        <w:rPr>
          <w:b/>
          <w:bCs/>
        </w:rPr>
        <w:t xml:space="preserve">rilasciamenti transitori</w:t>
      </w:r>
      <w:r>
        <w:t xml:space="preserve">, l’allenamento ne ha ridotto numero e durata cumulativa nell’unico studio che li ha contati: dodici pazienti, nessuna replica. IPOTESI, non</w:t>
      </w:r>
      <w:r>
        <w:t xml:space="preserve"> </w:t>
      </w:r>
      <w:r>
        <w:t xml:space="preserve">“non lo fa”</w:t>
      </w:r>
      <w:r>
        <w:t xml:space="preserve">.</w:t>
      </w:r>
    </w:p>
    <w:p>
      <w:pPr>
        <w:pStyle w:val="BodyText"/>
      </w:pPr>
      <w:r>
        <w:t xml:space="preserve">Sull’</w:t>
      </w:r>
      <w:r>
        <w:rPr>
          <w:b/>
          <w:bCs/>
        </w:rPr>
        <w:t xml:space="preserve">ernia</w:t>
      </w:r>
      <w:r>
        <w:t xml:space="preserve">, l’effetto non è mai stato testato nel sottogruppo con sovrapposizione persa, e la revisione dedicata suggerisce di non escludere quel fenotipo. IPOTESI in entrambe le direzioni. Da non confondere con la frase omologa sulle</w:t>
      </w:r>
      <w:r>
        <w:t xml:space="preserve"> </w:t>
      </w:r>
      <w:r>
        <w:rPr>
          <w:b/>
          <w:bCs/>
        </w:rPr>
        <w:t xml:space="preserve">mani</w:t>
      </w:r>
      <w:r>
        <w:t xml:space="preserve">, in «Perché le mani possono cambiare qualcosa», che invece è corretta.</w:t>
      </w:r>
    </w:p>
    <w:p>
      <w:pPr>
        <w:pStyle w:val="BodyText"/>
      </w:pPr>
      <w:r>
        <w:t xml:space="preserve">E soprattutto:</w:t>
      </w:r>
      <w:r>
        <w:t xml:space="preserve"> </w:t>
      </w:r>
      <w:r>
        <w:rPr>
          <w:b/>
          <w:bCs/>
        </w:rPr>
        <w:t xml:space="preserve">il guadagno appartiene alla ripetizione.</w:t>
      </w:r>
      <w:r>
        <w:t xml:space="preserve"> </w:t>
      </w:r>
      <w:r>
        <w:t xml:space="preserve">Chi smette torna dov’era: vale come per la palestra, dove il risultato non è della lezione di ieri ma dei tre mesi. È la spiegazione della ricaduta che altrimenti leggeresti come fallimento tuo.</w:t>
      </w:r>
    </w:p>
    <w:bookmarkEnd w:id="94"/>
    <w:bookmarkStart w:id="96" w:name="Xac6d3424f196a9d58213775fc33cec032bd9014"/>
    <w:p>
      <w:pPr>
        <w:pStyle w:val="Heading3"/>
      </w:pPr>
      <w:r>
        <w:t xml:space="preserve">Strumento 2 — Le leve di stile di vita legate al meccanismo</w:t>
      </w:r>
    </w:p>
    <w:p>
      <w:pPr>
        <w:pStyle w:val="FirstParagraph"/>
      </w:pPr>
      <w:r>
        <w:rPr>
          <w:b/>
          <w:bCs/>
        </w:rPr>
        <w:t xml:space="preserve">Cos’è.</w:t>
      </w:r>
      <w:r>
        <w:t xml:space="preserve"> </w:t>
      </w:r>
      <w:r>
        <w:t xml:space="preserve">Peso corporeo, volume e orario dei pasti, posizione del sonno e inclinazione del letto, e ciò che stringe l’addome dall’esterno. Ognuna aggancia un meccanismo preciso. Peso, pasti e indumenti compressivi agiscono sul quarto (pressione dal contenitore) e sul primo (distensione del fondo). Sonno e letto agiscono sul sesto (clearance notturna).</w:t>
      </w:r>
    </w:p>
    <w:p>
      <w:pPr>
        <w:pStyle w:val="BodyText"/>
      </w:pPr>
      <w:r>
        <w:rPr>
          <w:b/>
          <w:bCs/>
        </w:rPr>
        <w:t xml:space="preserve">Cosa hanno misurato gli studi.</w:t>
      </w:r>
    </w:p>
    <w:p>
      <w:pPr>
        <w:pStyle w:val="BodyText"/>
      </w:pPr>
      <w:r>
        <w:t xml:space="preserve">Nella coorte HUNT la riduzione dei sintomi è risultata proporzionata alla perdita di peso, e la dose-risposta si legge in entrambe le direzioni: il peso ripreso riporta i sintomi (Ness-Jensen, 2013).</w:t>
      </w:r>
    </w:p>
    <w:p>
      <w:pPr>
        <w:pStyle w:val="BodyText"/>
      </w:pPr>
      <w:r>
        <w:t xml:space="preserve">Nella Nurses’ Health Study II, su 42.955 donne, l’aderenza a cinque comportamenti ha dimezzato il rischio di sintomi settimanali. I cinque sono: peso normale, mai fumato, mezz’ora al giorno di attività moderata, non più di due tazze fra caffè, tè e bibite, dieta prudente. Quei cinque fattori insieme spiegherebbero il 37% dei casi (Mehta, 2021).</w:t>
      </w:r>
    </w:p>
    <w:p>
      <w:pPr>
        <w:pStyle w:val="BodyText"/>
      </w:pPr>
      <w:r>
        <w:t xml:space="preserve">Sul sonno gli studi sono tre e misurano cose diverse.</w:t>
      </w:r>
    </w:p>
    <w:p>
      <w:pPr>
        <w:pStyle w:val="BodyText"/>
      </w:pPr>
      <w:r>
        <w:rPr>
          <w:b/>
          <w:bCs/>
        </w:rPr>
        <w:t xml:space="preserve">Il lato, come fisiologia:</w:t>
      </w:r>
      <w:r>
        <w:t xml:space="preserve"> </w:t>
      </w:r>
      <w:r>
        <w:t xml:space="preserve">sul fianco sinistro l’esofago si pulisce in 35 secondi, sul destro ne servono 90.</w:t>
      </w:r>
    </w:p>
    <w:p>
      <w:pPr>
        <w:pStyle w:val="BodyText"/>
      </w:pPr>
      <w:r>
        <w:rPr>
          <w:b/>
          <w:bCs/>
        </w:rPr>
        <w:t xml:space="preserve">Il lato, come intervento:</w:t>
      </w:r>
      <w:r>
        <w:t xml:space="preserve"> </w:t>
      </w:r>
      <w:r>
        <w:t xml:space="preserve">un trial in doppio cieco con sham su 100 pazienti ha usato un dispositivo che vibrava quando il paziente si girava sul fianco destro. Il punteggio notturno si è dimezzato nel 44% contro il 24% (Schuitenmaker 2022).</w:t>
      </w:r>
    </w:p>
    <w:p>
      <w:pPr>
        <w:pStyle w:val="BodyText"/>
      </w:pPr>
      <w:r>
        <w:rPr>
          <w:b/>
          <w:bCs/>
        </w:rPr>
        <w:t xml:space="preserve">L’inclinazione del letto:</w:t>
      </w:r>
      <w:r>
        <w:t xml:space="preserve"> </w:t>
      </w:r>
      <w:r>
        <w:t xml:space="preserve">in uno studio in cieco su 39 pazienti già in terapia, ognuno ha provato entrambe le condizioni. Sei settimane con la testata alzata di 20 cm hanno portato all’esito primario 27 pazienti su 39 contro 13, senza effetto sul punteggio generale di salute. Ma con</w:t>
      </w:r>
      <w:r>
        <w:t xml:space="preserve"> </w:t>
      </w:r>
      <w:r>
        <w:rPr>
          <w:b/>
          <w:bCs/>
        </w:rPr>
        <w:t xml:space="preserve">eventi avversi nel 54%</w:t>
      </w:r>
      <w:r>
        <w:t xml:space="preserve"> </w:t>
      </w:r>
      <w:r>
        <w:t xml:space="preserve">(Villamil Morales,</w:t>
      </w:r>
      <w:r>
        <w:t xml:space="preserve"> </w:t>
      </w:r>
      <w:r>
        <w:rPr>
          <w:i/>
          <w:iCs/>
        </w:rPr>
        <w:t xml:space="preserve">Gastroenterol Hepatol</w:t>
      </w:r>
      <w:r>
        <w:t xml:space="preserve"> </w:t>
      </w:r>
      <w:r>
        <w:t xml:space="preserve">2020).</w:t>
      </w:r>
    </w:p>
    <w:p>
      <w:pPr>
        <w:pStyle w:val="BodyText"/>
      </w:pPr>
      <w:r>
        <w:rPr>
          <w:b/>
          <w:bCs/>
        </w:rPr>
        <w:t xml:space="preserve">E c’è la leva a costo zero che nessuno gli ha nominato:</w:t>
      </w:r>
      <w:r>
        <w:t xml:space="preserve"> </w:t>
      </w:r>
      <w:r>
        <w:t xml:space="preserve">ciò che stringe l’addome. La cintura serrata e gli indumenti compressivi sono l’unica voce di questo capitolo con una</w:t>
      </w:r>
      <w:r>
        <w:t xml:space="preserve"> </w:t>
      </w:r>
      <w:r>
        <w:rPr>
          <w:b/>
          <w:bCs/>
        </w:rPr>
        <w:t xml:space="preserve">misura diretta del meccanismo in pazienti</w:t>
      </w:r>
      <w:r>
        <w:t xml:space="preserve">, senza costo e senza effetti avversi noti. I numeri sono nel quarto meccanismo di «Cosa si rompe».</w:t>
      </w:r>
    </w:p>
    <w:p>
      <w:pPr>
        <w:pStyle w:val="BlockText"/>
      </w:pPr>
      <w:r>
        <w:rPr>
          <w:b/>
          <w:bCs/>
        </w:rPr>
        <w:t xml:space="preserve">Attenzione.</w:t>
      </w:r>
      <w:r>
        <w:t xml:space="preserve"> </w:t>
      </w:r>
      <w:r>
        <w:t xml:space="preserve">Quello che il paziente ha già provato è il</w:t>
      </w:r>
      <w:r>
        <w:t xml:space="preserve"> </w:t>
      </w:r>
      <w:r>
        <w:rPr>
          <w:b/>
          <w:bCs/>
        </w:rPr>
        <w:t xml:space="preserve">cuscino</w:t>
      </w:r>
      <w:r>
        <w:t xml:space="preserve">, e ti dirà che non ha funzionato. Ha ragione: i cuscini flettono il tronco e possono alzare la pressione addominale invece di abbassarla. Gli studi hanno inclinato</w:t>
      </w:r>
      <w:r>
        <w:t xml:space="preserve"> </w:t>
      </w:r>
      <w:r>
        <w:rPr>
          <w:b/>
          <w:bCs/>
        </w:rPr>
        <w:t xml:space="preserve">tutto il piano</w:t>
      </w:r>
      <w:r>
        <w:t xml:space="preserve"> </w:t>
      </w:r>
      <w:r>
        <w:t xml:space="preserve">del letto. È l’applicazione sbagliata della misura giusta, e nessuno gliel’ha detto.</w:t>
      </w:r>
    </w:p>
    <w:p>
      <w:pPr>
        <w:pStyle w:val="BlockText"/>
      </w:pPr>
      <w:r>
        <w:rPr>
          <w:b/>
          <w:bCs/>
        </w:rPr>
        <w:t xml:space="preserve">Quanto è solido:</w:t>
      </w:r>
      <w:r>
        <w:t xml:space="preserve"> </w:t>
      </w:r>
      <w:r>
        <w:t xml:space="preserve">DIMOSTRATO per il peso, con relazione dose-risposta in coorti ampie. DIMOSTRATO per la terapia posizionale notturna, che ha un RCT con sham in doppio cieco — un livello di prova che nessuna tecnica manuale su questa condizione raggiunge. PROBABILE per il sollevamento della testata, un solo studio e molti effetti indesiderati. PROBABILE per volume e orario dei pasti. PROBABILE per gli indumenti compressivi: due studi, campioni piccoli, nessun trial che ne abbia misurato l’esito a lungo termine. RAGIONAMENTO per la differenza fra inclinare il piano e impilare cuscini.</w:t>
      </w:r>
    </w:p>
    <w:p>
      <w:pPr>
        <w:pStyle w:val="FirstParagraph"/>
      </w:pPr>
      <w:r>
        <w:rPr>
          <w:b/>
          <w:bCs/>
        </w:rPr>
        <w:t xml:space="preserve">Cosa non fa.</w:t>
      </w:r>
      <w:r>
        <w:t xml:space="preserve"> </w:t>
      </w:r>
      <w:r>
        <w:t xml:space="preserve">Non cambia l’anatomia della giunzione, e non è atto osteopatico: peso e alimentazione si valutano, si segnalano e si rimandano al medico o al dietista. Il tuo contributo è riconoscere che questa leva pesa più della tua, e dirlo.</w:t>
      </w:r>
    </w:p>
    <w:p>
      <w:pPr>
        <w:pStyle w:val="BodyText"/>
      </w:pPr>
      <w:r>
        <w:rPr>
          <w:b/>
          <w:bCs/>
        </w:rPr>
        <w:t xml:space="preserve">Una trappola: l’attività fisica ha due effetti opposti.</w:t>
      </w:r>
      <w:r>
        <w:t xml:space="preserve"> </w:t>
      </w:r>
      <w:r>
        <w:t xml:space="preserve">Cronica, è protettiva (Mehta). Acuta, è provocativa: durante la corsa il tempo con pH sotto 4 sale, e gli episodi si fanno più frequenti e più lunghi (Herregods 2016). Chi legge solo il dato epidemiologico manda a correre il paziente post-prandiale.</w:t>
      </w:r>
    </w:p>
    <w:p>
      <w:pPr>
        <w:pStyle w:val="BodyText"/>
      </w:pPr>
      <w:r>
        <w:rPr>
          <w:b/>
          <w:bCs/>
        </w:rPr>
        <w:t xml:space="preserve">La chiusura di confine.</w:t>
      </w:r>
      <w:r>
        <w:t xml:space="preserve"> </w:t>
      </w:r>
      <w:r>
        <w:t xml:space="preserve">Come e quando consegnare questi strumenti al tuo paziente sta nella Procedura.</w:t>
      </w:r>
    </w:p>
    <w:p>
      <w:pPr>
        <w:pStyle w:val="BodyText"/>
      </w:pPr>
      <w:r>
        <w:rPr>
          <w:b/>
          <w:bCs/>
        </w:rPr>
        <w:t xml:space="preserve">Le tre cose da ricordare</w:t>
      </w:r>
    </w:p>
    <w:p>
      <w:pPr>
        <w:pStyle w:val="Compact"/>
        <w:numPr>
          <w:ilvl w:val="0"/>
          <w:numId w:val="1032"/>
        </w:numPr>
      </w:pPr>
      <w:r>
        <w:t xml:space="preserve">Sul reflusso le leve con le prove migliori sono l’esercizio respiratorio, il peso e la posizione notturna, e nessuna delle tre passa dalle tue mani.</w:t>
      </w:r>
    </w:p>
    <w:p>
      <w:pPr>
        <w:pStyle w:val="Compact"/>
        <w:numPr>
          <w:ilvl w:val="0"/>
          <w:numId w:val="1032"/>
        </w:numPr>
      </w:pPr>
      <w:r>
        <w:t xml:space="preserve">Il guadagno respiratorio appartiene alla ripetizione: chi smette torna dov’era, e non è una tua sconfitta.</w:t>
      </w:r>
    </w:p>
    <w:p>
      <w:pPr>
        <w:pStyle w:val="Heading2"/>
        <w:numPr>
          <w:ilvl w:val="0"/>
          <w:numId w:val="1032"/>
        </w:numPr>
      </w:pPr>
      <w:bookmarkStart w:id="95" w:name="X2fc6d4055e1b28236dedf4fe8302904ec7f68cf"/>
      <w:r>
        <w:t xml:space="preserve">Riconoscere che la leva più forte non è la tua è ciò che rende credibile tutto il resto del documento.</w:t>
      </w:r>
      <w:bookmarkEnd w:id="95"/>
    </w:p>
    <w:bookmarkEnd w:id="96"/>
    <w:bookmarkEnd w:id="97"/>
    <w:bookmarkStart w:id="101" w:name="capitolo-13-cosa-dire-al-paziente"/>
    <w:p>
      <w:pPr>
        <w:pStyle w:val="Heading2"/>
      </w:pPr>
      <w:r>
        <w:t xml:space="preserve">Capitolo 13 — Cosa dire al paziente</w:t>
      </w:r>
    </w:p>
    <w:p>
      <w:pPr>
        <w:pStyle w:val="BlockText"/>
      </w:pPr>
      <w:r>
        <w:rPr>
          <w:b/>
          <w:bCs/>
        </w:rPr>
        <w:t xml:space="preserve">In una riga:</w:t>
      </w:r>
      <w:r>
        <w:t xml:space="preserve"> </w:t>
      </w:r>
      <w:r>
        <w:t xml:space="preserve">la spiegazione che gli dai deve stare in trenta secondi e non contenere una sola parola tecnica.</w:t>
      </w:r>
    </w:p>
    <w:bookmarkStart w:id="98" w:name="lo-script"/>
    <w:p>
      <w:pPr>
        <w:pStyle w:val="Heading3"/>
      </w:pPr>
      <w:r>
        <w:t xml:space="preserve">Lo script</w:t>
      </w:r>
    </w:p>
    <w:p>
      <w:pPr>
        <w:pStyle w:val="FirstParagraph"/>
      </w:pPr>
      <w:r>
        <w:rPr>
          <w:i/>
          <w:iCs/>
        </w:rPr>
        <w:t xml:space="preserve">“La chiusura fra stomaco ed esofago non è una valvola sola: è aiutata dal muscolo del respiro, che le fa da anello intorno. Se quel muscolo lavora poco, o se la pancia spinge troppo da sotto, l’anello stringe male. È uno dei motivi per cui si può mangiare in bianco e bruciare lo stesso. Non conta quanto è stretto il tappo del tubetto: conta quanto stringi il tubo. Su quella parte lavoriamo noi, e quanto pesi nel tuo caso lo capiamo insieme. La pastiglia continua a deciderla il tuo medico.”</w:t>
      </w:r>
    </w:p>
    <w:bookmarkEnd w:id="98"/>
    <w:bookmarkStart w:id="99" w:name="le-obiezioni-e-le-risposte-oneste"/>
    <w:p>
      <w:pPr>
        <w:pStyle w:val="Heading3"/>
      </w:pPr>
      <w:r>
        <w:t xml:space="preserve">Le obiezioni, e le risposte oneste</w:t>
      </w:r>
    </w:p>
    <w:p>
      <w:pPr>
        <w:pStyle w:val="FirstParagraph"/>
      </w:pPr>
      <w:r>
        <w:rPr>
          <w:b/>
          <w:bCs/>
        </w:rPr>
        <w:t xml:space="preserve">“Cosa c’entrano le mani con lo stomaco?”</w:t>
      </w:r>
      <w:r>
        <w:t xml:space="preserve"> </w:t>
      </w:r>
      <w:r>
        <w:t xml:space="preserve">Lo stomaco è compresso o liberato da quello che ha intorno: il muscolo del respiro, il torace, la parete della pancia. Una parte della chiusura che deve tenere è un muscolo come tutti gli altri.</w:t>
      </w:r>
    </w:p>
    <w:p>
      <w:pPr>
        <w:pStyle w:val="BodyText"/>
      </w:pPr>
      <w:r>
        <w:rPr>
          <w:b/>
          <w:bCs/>
        </w:rPr>
        <w:t xml:space="preserve">“Prendo già la pastiglia.”</w:t>
      </w:r>
      <w:r>
        <w:t xml:space="preserve"> </w:t>
      </w:r>
      <w:r>
        <w:t xml:space="preserve">E continui a prenderla secondo le indicazioni del tuo medico. La pastiglia agisce sull’acido, noi sulla parte meccanica, che è un’altra cosa. Non ti chiederò mai di cambiare la terapia.</w:t>
      </w:r>
    </w:p>
    <w:p>
      <w:pPr>
        <w:pStyle w:val="BodyText"/>
      </w:pPr>
      <w:r>
        <w:rPr>
          <w:b/>
          <w:bCs/>
        </w:rPr>
        <w:t xml:space="preserve">“La gastroscopia è a posto.”</w:t>
      </w:r>
      <w:r>
        <w:t xml:space="preserve"> </w:t>
      </w:r>
      <w:r>
        <w:t xml:space="preserve">Serviva, ed è andata bene: ha guardato dentro. Che cosa abbia escluso te lo dice il tuo medico, non io. Quello che quell’esame non misura è quanto lavora il muscolo del respiro e quanta pressione arriva da fuori.</w:t>
      </w:r>
    </w:p>
    <w:p>
      <w:pPr>
        <w:pStyle w:val="BodyText"/>
      </w:pPr>
      <w:r>
        <w:rPr>
          <w:b/>
          <w:bCs/>
        </w:rPr>
        <w:t xml:space="preserve">“Ho già tolto tutti i cibi.”</w:t>
      </w:r>
      <w:r>
        <w:t xml:space="preserve"> </w:t>
      </w:r>
      <w:r>
        <w:t xml:space="preserve">E il bruciore è rimasto. È il segnale migliore che il problema non era solo nel piatto.</w:t>
      </w:r>
    </w:p>
    <w:bookmarkEnd w:id="99"/>
    <w:bookmarkStart w:id="100" w:name="cosa-non-promettere-mai"/>
    <w:p>
      <w:pPr>
        <w:pStyle w:val="Heading3"/>
      </w:pPr>
      <w:r>
        <w:t xml:space="preserve">Cosa non promettere mai</w:t>
      </w:r>
    </w:p>
    <w:p>
      <w:pPr>
        <w:pStyle w:val="FirstParagraph"/>
      </w:pPr>
      <w:r>
        <w:t xml:space="preserve">Non promettere che smetterà il farmaco: quella decisione non è tua. Non promettere che il bruciore sparirà: prometti che guarderai qualcosa che nessuno ha ancora guardato. Non promettere che l’ernia si sistemerà: non si sistema con le mani.</w:t>
      </w:r>
    </w:p>
    <w:p>
      <w:pPr>
        <w:pStyle w:val="BodyText"/>
      </w:pPr>
      <w:r>
        <w:t xml:space="preserve">Sii cauto nelle promesse verbali, e preciso e iper-competente nell’approccio manuale.</w:t>
      </w:r>
    </w:p>
    <w:p>
      <w:pPr>
        <w:pStyle w:val="BodyText"/>
      </w:pPr>
      <w:r>
        <w:rPr>
          <w:b/>
          <w:bCs/>
        </w:rPr>
        <w:t xml:space="preserve">Le tre cose da ricordare</w:t>
      </w:r>
    </w:p>
    <w:p>
      <w:pPr>
        <w:pStyle w:val="Compact"/>
        <w:numPr>
          <w:ilvl w:val="0"/>
          <w:numId w:val="1033"/>
        </w:numPr>
      </w:pPr>
      <w:r>
        <w:t xml:space="preserve">Lo script sta sotto le cento parole e non contiene una parola tecnica: è fatto per essere ripetuto da lui a casa.</w:t>
      </w:r>
    </w:p>
    <w:p>
      <w:pPr>
        <w:pStyle w:val="Compact"/>
        <w:numPr>
          <w:ilvl w:val="0"/>
          <w:numId w:val="1033"/>
        </w:numPr>
      </w:pPr>
      <w:r>
        <w:t xml:space="preserve">Ogni obiezione si risponde spostando il campo, mai contraddicendo il percorso medico.</w:t>
      </w:r>
    </w:p>
    <w:p>
      <w:pPr>
        <w:pStyle w:val="Compact"/>
        <w:numPr>
          <w:ilvl w:val="0"/>
          <w:numId w:val="1033"/>
        </w:numPr>
      </w:pPr>
      <w:r>
        <w:t xml:space="preserve">Prometti metodo e attenzione. Mai l’esito.</w:t>
      </w:r>
    </w:p>
    <w:p>
      <w:r>
        <w:pict>
          <v:rect style="width:0;height:1.5pt" o:hralign="center" o:hrstd="t" o:hr="t"/>
        </w:pict>
      </w:r>
    </w:p>
    <w:bookmarkEnd w:id="100"/>
    <w:bookmarkEnd w:id="101"/>
    <w:bookmarkStart w:id="103" w:name="capitolo-14-cosa-fare-adesso"/>
    <w:p>
      <w:pPr>
        <w:pStyle w:val="Heading2"/>
      </w:pPr>
      <w:r>
        <w:t xml:space="preserve">Capitolo 14 — Cosa fare adesso</w:t>
      </w:r>
    </w:p>
    <w:p>
      <w:pPr>
        <w:pStyle w:val="BlockText"/>
      </w:pPr>
      <w:r>
        <w:rPr>
          <w:b/>
          <w:bCs/>
        </w:rPr>
        <w:t xml:space="preserve">In una riga:</w:t>
      </w:r>
      <w:r>
        <w:t xml:space="preserve"> </w:t>
      </w:r>
      <w:r>
        <w:t xml:space="preserve">hai la conoscenza; servono tre decisioni che cambiano cosa fai lunedì.</w:t>
      </w:r>
    </w:p>
    <w:p>
      <w:pPr>
        <w:pStyle w:val="FirstParagraph"/>
      </w:pPr>
      <w:r>
        <w:t xml:space="preserve">Davanti a te arriva una persona che ha già fatto tutto e brucia ancora. Tutto quello che ha fatto guardava dentro il tubo. La barriera che le cede è doppia, e una metà è un muscolo scheletrico che respira.</w:t>
      </w:r>
    </w:p>
    <w:p>
      <w:pPr>
        <w:pStyle w:val="BodyText"/>
      </w:pPr>
      <w:r>
        <w:t xml:space="preserve">Si rompe in sei modi, e su tre soltanto le tue mani hanno una leva: la pressione del contenitore, il contributo del crus, la soglia a cui il segnale diventa sintomo. Quale comanda oggi lo decide un marker di dominanza, scelto prima di trattare e su un piano che non hai toccato. Non lo decide l’esito clinico, che si legge su giorni e che il placebo contamina.</w:t>
      </w:r>
    </w:p>
    <w:p>
      <w:pPr>
        <w:pStyle w:val="BodyText"/>
      </w:pPr>
      <w:r>
        <w:t xml:space="preserve">E il confine è stretto. Dietro un bruciore c’è a volte un cuore. E le leve con le prove migliori — respiro allenato, peso, posizione notturna — non passano dalle tue mani.</w:t>
      </w:r>
    </w:p>
    <w:bookmarkStart w:id="102" w:name="le-tre-cose-che-cambi-da-lunedì"/>
    <w:p>
      <w:pPr>
        <w:pStyle w:val="Heading3"/>
      </w:pPr>
      <w:r>
        <w:t xml:space="preserve">Le tre cose che cambi da lunedì</w:t>
      </w:r>
    </w:p>
    <w:p>
      <w:pPr>
        <w:pStyle w:val="FirstParagraph"/>
      </w:pPr>
      <w:r>
        <w:rPr>
          <w:b/>
          <w:bCs/>
        </w:rPr>
        <w:t xml:space="preserve">Guarda la frequenza respiratoria del paziente mentre parla, e confrontala con la sua stessa partenza</w:t>
      </w:r>
      <w:r>
        <w:t xml:space="preserve"> </w:t>
      </w:r>
      <w:r>
        <w:t xml:space="preserve">— non con una soglia sul libro. Se il sistema è in allarme, nessun lavoro locale tiene.</w:t>
      </w:r>
    </w:p>
    <w:p>
      <w:pPr>
        <w:pStyle w:val="BodyText"/>
      </w:pPr>
      <w:r>
        <w:rPr>
          <w:b/>
          <w:bCs/>
        </w:rPr>
        <w:t xml:space="preserve">Di’ al paziente, con parole sue, che il sintomo ha due componenti: quanto risale e quanto lui lo sente.</w:t>
      </w:r>
      <w:r>
        <w:t xml:space="preserve"> </w:t>
      </w:r>
      <w:r>
        <w:t xml:space="preserve">A chi ha referto pulito e farmaco inefficace questa frase non l’ha detta nessuno.</w:t>
      </w:r>
    </w:p>
    <w:p>
      <w:pPr>
        <w:pStyle w:val="BodyText"/>
      </w:pPr>
      <w:r>
        <w:rPr>
          <w:b/>
          <w:bCs/>
        </w:rPr>
        <w:t xml:space="preserve">Smetti di dire che il tuo lavoro</w:t>
      </w:r>
      <w:r>
        <w:rPr>
          <w:b/>
          <w:bCs/>
        </w:rPr>
        <w:t xml:space="preserve"> </w:t>
      </w:r>
      <w:r>
        <w:rPr>
          <w:b/>
          <w:bCs/>
        </w:rPr>
        <w:t xml:space="preserve">“riattiva il vago”</w:t>
      </w:r>
      <w:r>
        <w:rPr>
          <w:b/>
          <w:bCs/>
        </w:rPr>
        <w:t xml:space="preserve"> </w:t>
      </w:r>
      <w:r>
        <w:rPr>
          <w:b/>
          <w:bCs/>
        </w:rPr>
        <w:t xml:space="preserve">e che</w:t>
      </w:r>
      <w:r>
        <w:rPr>
          <w:b/>
          <w:bCs/>
        </w:rPr>
        <w:t xml:space="preserve"> </w:t>
      </w:r>
      <w:r>
        <w:rPr>
          <w:b/>
          <w:bCs/>
        </w:rPr>
        <w:t xml:space="preserve">“lo stress causa il reflusso”</w:t>
      </w:r>
      <w:r>
        <w:rPr>
          <w:b/>
          <w:bCs/>
        </w:rPr>
        <w:t xml:space="preserve">.</w:t>
      </w:r>
      <w:r>
        <w:t xml:space="preserve"> </w:t>
      </w:r>
      <w:r>
        <w:t xml:space="preserve">La prima punta in una direzione che la farmacologia non conferma. La seconda non regge sui dati umani.</w:t>
      </w:r>
    </w:p>
    <w:p>
      <w:pPr>
        <w:pStyle w:val="BodyText"/>
      </w:pPr>
      <w:r>
        <w:rPr>
          <w:i/>
          <w:iCs/>
        </w:rPr>
        <w:t xml:space="preserve">Su questa condizione non hai la leva più forte, e lo sai. Hai però un paio di mani che valuta il muscolo che fa da sfintere esterno — un muscolo che, nel percorso che questo paziente ha già fatto, non ha guardato nessuno — e il tempo per chiedergli da quanto tempo va avanti così. Vale la pena farlo bene.</w:t>
      </w:r>
    </w:p>
    <w:p>
      <w:pPr>
        <w:pStyle w:val="BodyText"/>
      </w:pPr>
      <w:r>
        <w:rPr>
          <w:b/>
          <w:bCs/>
        </w:rPr>
        <w:t xml:space="preserve">Saprai di averla capita</w:t>
      </w:r>
      <w:r>
        <w:t xml:space="preserve"> </w:t>
      </w:r>
      <w:r>
        <w:t xml:space="preserve">quando distingui il pressorio dal diaframmatico con due domande, quando riconosci il paziente su cui puoi poco, e quando sai dire a un gastroenterologo cosa possiamo affermare e cosa no. Se una delle tre esita, torna al capitolo che la regge.</w:t>
      </w:r>
    </w:p>
    <w:p>
      <w:pPr>
        <w:pStyle w:val="BodyText"/>
      </w:pPr>
      <w:r>
        <w:rPr>
          <w:b/>
          <w:bCs/>
        </w:rPr>
        <w:t xml:space="preserve">Le tre cose da ricordare</w:t>
      </w:r>
    </w:p>
    <w:p>
      <w:pPr>
        <w:pStyle w:val="Compact"/>
        <w:numPr>
          <w:ilvl w:val="0"/>
          <w:numId w:val="1034"/>
        </w:numPr>
      </w:pPr>
      <w:r>
        <w:t xml:space="preserve">Guarda la frequenza respiratoria confrontata con la sua stessa partenza.</w:t>
      </w:r>
    </w:p>
    <w:p>
      <w:pPr>
        <w:pStyle w:val="Compact"/>
        <w:numPr>
          <w:ilvl w:val="0"/>
          <w:numId w:val="1034"/>
        </w:numPr>
      </w:pPr>
      <w:r>
        <w:t xml:space="preserve">Spiega al paziente la differenza fra quanto risale e quanto lo sente.</w:t>
      </w:r>
    </w:p>
    <w:p>
      <w:pPr>
        <w:pStyle w:val="Compact"/>
        <w:numPr>
          <w:ilvl w:val="0"/>
          <w:numId w:val="1034"/>
        </w:numPr>
      </w:pPr>
      <w:r>
        <w:t xml:space="preserve">Smetti di attribuire al vago una direzione e allo stress una causa.</w:t>
      </w:r>
    </w:p>
    <w:p>
      <w:r>
        <w:pict>
          <v:rect style="width:0;height:1.5pt" o:hralign="center" o:hrstd="t" o:hr="t"/>
        </w:pict>
      </w:r>
    </w:p>
    <w:bookmarkEnd w:id="102"/>
    <w:bookmarkEnd w:id="103"/>
    <w:bookmarkStart w:id="104" w:name="appendice-a-glossario"/>
    <w:p>
      <w:pPr>
        <w:pStyle w:val="Heading2"/>
      </w:pPr>
      <w:r>
        <w:t xml:space="preserve">Appendice A — Glossario</w:t>
      </w:r>
    </w:p>
    <w:p>
      <w:pPr>
        <w:pStyle w:val="Compact"/>
        <w:numPr>
          <w:ilvl w:val="0"/>
          <w:numId w:val="1035"/>
        </w:numPr>
      </w:pPr>
      <w:r>
        <w:rPr>
          <w:b/>
          <w:bCs/>
        </w:rPr>
        <w:t xml:space="preserve">Acalasia</w:t>
      </w:r>
      <w:r>
        <w:t xml:space="preserve"> </w:t>
      </w:r>
      <w:r>
        <w:t xml:space="preserve">— disturbo in cui la valvola dell’esofago non si apre, invece di non chiudersi.</w:t>
      </w:r>
    </w:p>
    <w:p>
      <w:pPr>
        <w:pStyle w:val="Compact"/>
        <w:numPr>
          <w:ilvl w:val="0"/>
          <w:numId w:val="1035"/>
        </w:numPr>
      </w:pPr>
      <w:r>
        <w:rPr>
          <w:b/>
          <w:bCs/>
        </w:rPr>
        <w:t xml:space="preserve">Angolo di His e valvola di Gubaroff</w:t>
      </w:r>
      <w:r>
        <w:t xml:space="preserve"> </w:t>
      </w:r>
      <w:r>
        <w:t xml:space="preserve">— l’angolo acuto fra esofago e fondo dello stomaco, e la piega di mucosa che genera: insieme fanno da lembo.</w:t>
      </w:r>
    </w:p>
    <w:p>
      <w:pPr>
        <w:pStyle w:val="Compact"/>
        <w:numPr>
          <w:ilvl w:val="0"/>
          <w:numId w:val="1035"/>
        </w:numPr>
      </w:pPr>
      <w:r>
        <w:rPr>
          <w:b/>
          <w:bCs/>
        </w:rPr>
        <w:t xml:space="preserve">Agonista del recettore GLP-1</w:t>
      </w:r>
      <w:r>
        <w:t xml:space="preserve"> </w:t>
      </w:r>
      <w:r>
        <w:t xml:space="preserve">— farmaco per diabete e obesità (semaglutide, tirzepatide) che rallenta lo svuotamento dello stomaco.</w:t>
      </w:r>
    </w:p>
    <w:p>
      <w:pPr>
        <w:pStyle w:val="Compact"/>
        <w:numPr>
          <w:ilvl w:val="0"/>
          <w:numId w:val="1035"/>
        </w:numPr>
      </w:pPr>
      <w:r>
        <w:rPr>
          <w:b/>
          <w:bCs/>
        </w:rPr>
        <w:t xml:space="preserve">Barrett (esofago di)</w:t>
      </w:r>
      <w:r>
        <w:t xml:space="preserve"> </w:t>
      </w:r>
      <w:r>
        <w:t xml:space="preserve">— trasformazione della mucosa esofagea dopo esposizione acida prolungata.</w:t>
      </w:r>
    </w:p>
    <w:p>
      <w:pPr>
        <w:pStyle w:val="Compact"/>
        <w:numPr>
          <w:ilvl w:val="0"/>
          <w:numId w:val="1035"/>
        </w:numPr>
      </w:pPr>
      <w:r>
        <w:rPr>
          <w:b/>
          <w:bCs/>
        </w:rPr>
        <w:t xml:space="preserve">Cardias</w:t>
      </w:r>
      <w:r>
        <w:t xml:space="preserve"> </w:t>
      </w:r>
      <w:r>
        <w:t xml:space="preserve">— la giunzione fra esofago e stomaco.</w:t>
      </w:r>
    </w:p>
    <w:p>
      <w:pPr>
        <w:pStyle w:val="Compact"/>
        <w:numPr>
          <w:ilvl w:val="0"/>
          <w:numId w:val="1035"/>
        </w:numPr>
      </w:pPr>
      <w:r>
        <w:rPr>
          <w:b/>
          <w:bCs/>
        </w:rPr>
        <w:t xml:space="preserve">Centro di coordinazione e centro di percezione</w:t>
      </w:r>
      <w:r>
        <w:t xml:space="preserve"> </w:t>
      </w:r>
      <w:r>
        <w:t xml:space="preserve">— nel ragionamento fasciale, il punto dove convergono le forze e il punto dove il paziente sente.</w:t>
      </w:r>
    </w:p>
    <w:p>
      <w:pPr>
        <w:pStyle w:val="Compact"/>
        <w:numPr>
          <w:ilvl w:val="0"/>
          <w:numId w:val="1035"/>
        </w:numPr>
      </w:pPr>
      <w:r>
        <w:rPr>
          <w:b/>
          <w:bCs/>
        </w:rPr>
        <w:t xml:space="preserve">Chiusura anteriore del torace</w:t>
      </w:r>
      <w:r>
        <w:t xml:space="preserve"> </w:t>
      </w:r>
      <w:r>
        <w:t xml:space="preserve">— atteggiamento in cui sterno e coste restano abbassati e ruotati in dentro, e l’estensione dorsale è ridotta.</w:t>
      </w:r>
    </w:p>
    <w:p>
      <w:pPr>
        <w:pStyle w:val="Compact"/>
        <w:numPr>
          <w:ilvl w:val="0"/>
          <w:numId w:val="1035"/>
        </w:numPr>
      </w:pPr>
      <w:r>
        <w:rPr>
          <w:b/>
          <w:bCs/>
        </w:rPr>
        <w:t xml:space="preserve">Clearance esofagea</w:t>
      </w:r>
      <w:r>
        <w:t xml:space="preserve"> </w:t>
      </w:r>
      <w:r>
        <w:t xml:space="preserve">— la capacità dell’esofago di svuotarsi e di neutralizzare ciò che è risalito.</w:t>
      </w:r>
    </w:p>
    <w:p>
      <w:pPr>
        <w:pStyle w:val="Compact"/>
        <w:numPr>
          <w:ilvl w:val="0"/>
          <w:numId w:val="1035"/>
        </w:numPr>
      </w:pPr>
      <w:r>
        <w:rPr>
          <w:b/>
          <w:bCs/>
        </w:rPr>
        <w:t xml:space="preserve">Crus / diaframma crurale</w:t>
      </w:r>
      <w:r>
        <w:t xml:space="preserve"> </w:t>
      </w:r>
      <w:r>
        <w:t xml:space="preserve">— i pilastri del diaframma; il destro forma l’anello dello iato.</w:t>
      </w:r>
    </w:p>
    <w:p>
      <w:pPr>
        <w:pStyle w:val="Compact"/>
        <w:numPr>
          <w:ilvl w:val="0"/>
          <w:numId w:val="1035"/>
        </w:numPr>
      </w:pPr>
      <w:r>
        <w:rPr>
          <w:b/>
          <w:bCs/>
        </w:rPr>
        <w:t xml:space="preserve">Dimensione dell’effetto, eterogeneità, differenza minima clinicamente rilevante</w:t>
      </w:r>
      <w:r>
        <w:t xml:space="preserve"> </w:t>
      </w:r>
      <w:r>
        <w:t xml:space="preserve">— i tre numeri con cui si legge uno studio. La</w:t>
      </w:r>
      <w:r>
        <w:t xml:space="preserve"> </w:t>
      </w:r>
      <w:r>
        <w:rPr>
          <w:i/>
          <w:iCs/>
        </w:rPr>
        <w:t xml:space="preserve">dimensione dell’effetto</w:t>
      </w:r>
      <w:r>
        <w:t xml:space="preserve"> </w:t>
      </w:r>
      <w:r>
        <w:t xml:space="preserve">dice quanto è grande una differenza a prescindere dal numero di pazienti: attorno a 0,2 è piccola, a 0,5 media, a 0,8 grande. L’</w:t>
      </w:r>
      <w:r>
        <w:rPr>
          <w:i/>
          <w:iCs/>
        </w:rPr>
        <w:t xml:space="preserve">eterogeneità</w:t>
      </w:r>
      <w:r>
        <w:t xml:space="preserve"> </w:t>
      </w:r>
      <w:r>
        <w:t xml:space="preserve">dice quanto i risultati raccolti in una meta-analisi divergono fra loro: alta significa che la media nasconde risposte molto diverse. La</w:t>
      </w:r>
      <w:r>
        <w:t xml:space="preserve"> </w:t>
      </w:r>
      <w:r>
        <w:rPr>
          <w:i/>
          <w:iCs/>
        </w:rPr>
        <w:t xml:space="preserve">differenza minima clinicamente rilevante</w:t>
      </w:r>
      <w:r>
        <w:t xml:space="preserve"> </w:t>
      </w:r>
      <w:r>
        <w:t xml:space="preserve">è la variazione più piccola di un punteggio che il paziente percepisce come un cambiamento reale. Senza di essa, un miglioramento statistico non si traduce in clinica.</w:t>
      </w:r>
    </w:p>
    <w:p>
      <w:pPr>
        <w:pStyle w:val="Compact"/>
        <w:numPr>
          <w:ilvl w:val="0"/>
          <w:numId w:val="1035"/>
        </w:numPr>
      </w:pPr>
      <w:r>
        <w:rPr>
          <w:b/>
          <w:bCs/>
        </w:rPr>
        <w:t xml:space="preserve">Dissociazione respiratoria</w:t>
      </w:r>
      <w:r>
        <w:t xml:space="preserve"> </w:t>
      </w:r>
      <w:r>
        <w:t xml:space="preserve">— capacità di respirare separando il movimento del torace da quello dell’addome.</w:t>
      </w:r>
    </w:p>
    <w:p>
      <w:pPr>
        <w:pStyle w:val="Compact"/>
        <w:numPr>
          <w:ilvl w:val="0"/>
          <w:numId w:val="1035"/>
        </w:numPr>
      </w:pPr>
      <w:r>
        <w:rPr>
          <w:b/>
          <w:bCs/>
        </w:rPr>
        <w:t xml:space="preserve">Esophageal Hypervigilance and Anxiety Scale</w:t>
      </w:r>
      <w:r>
        <w:t xml:space="preserve"> </w:t>
      </w:r>
      <w:r>
        <w:t xml:space="preserve">— questionario di quindici domande che misura ipervigilanza e ansia esofagea sull’ultimo mese.</w:t>
      </w:r>
    </w:p>
    <w:p>
      <w:pPr>
        <w:pStyle w:val="Compact"/>
        <w:numPr>
          <w:ilvl w:val="0"/>
          <w:numId w:val="1035"/>
        </w:numPr>
      </w:pPr>
      <w:r>
        <w:rPr>
          <w:b/>
          <w:bCs/>
        </w:rPr>
        <w:t xml:space="preserve">Eruttazione sopragastrica</w:t>
      </w:r>
      <w:r>
        <w:t xml:space="preserve"> </w:t>
      </w:r>
      <w:r>
        <w:t xml:space="preserve">— aria aspirata in esofago e riespulsa subito; è un comportamento, non un riflesso.</w:t>
      </w:r>
    </w:p>
    <w:p>
      <w:pPr>
        <w:pStyle w:val="Compact"/>
        <w:numPr>
          <w:ilvl w:val="0"/>
          <w:numId w:val="1035"/>
        </w:numPr>
      </w:pPr>
      <w:r>
        <w:rPr>
          <w:b/>
          <w:bCs/>
        </w:rPr>
        <w:t xml:space="preserve">Esofagite eosinofila</w:t>
      </w:r>
      <w:r>
        <w:t xml:space="preserve"> </w:t>
      </w:r>
      <w:r>
        <w:t xml:space="preserve">— malattia infiammatoria dell’esofago; si diagnostica solo con biopsia, e la risposta agli inibitori di pompa non la esclude.</w:t>
      </w:r>
    </w:p>
    <w:p>
      <w:pPr>
        <w:pStyle w:val="Compact"/>
        <w:numPr>
          <w:ilvl w:val="0"/>
          <w:numId w:val="1035"/>
        </w:numPr>
      </w:pPr>
      <w:r>
        <w:rPr>
          <w:b/>
          <w:bCs/>
        </w:rPr>
        <w:t xml:space="preserve">Esofagite erosiva</w:t>
      </w:r>
      <w:r>
        <w:t xml:space="preserve"> </w:t>
      </w:r>
      <w:r>
        <w:t xml:space="preserve">— infiammazione dell’esofago con lesioni visibili; si gradua con la classificazione di Los Angeles, da LA-A a LA-D.</w:t>
      </w:r>
    </w:p>
    <w:p>
      <w:pPr>
        <w:pStyle w:val="Compact"/>
        <w:numPr>
          <w:ilvl w:val="0"/>
          <w:numId w:val="1035"/>
        </w:numPr>
      </w:pPr>
      <w:r>
        <w:rPr>
          <w:b/>
          <w:bCs/>
        </w:rPr>
        <w:t xml:space="preserve">Esami del percorso</w:t>
      </w:r>
      <w:r>
        <w:t xml:space="preserve"> </w:t>
      </w:r>
      <w:r>
        <w:t xml:space="preserve">— la</w:t>
      </w:r>
      <w:r>
        <w:t xml:space="preserve"> </w:t>
      </w:r>
      <w:r>
        <w:rPr>
          <w:i/>
          <w:iCs/>
        </w:rPr>
        <w:t xml:space="preserve">gastroscopia</w:t>
      </w:r>
      <w:r>
        <w:t xml:space="preserve"> </w:t>
      </w:r>
      <w:r>
        <w:t xml:space="preserve">guarda direttamente esofago e stomaco; la</w:t>
      </w:r>
      <w:r>
        <w:t xml:space="preserve"> </w:t>
      </w:r>
      <w:r>
        <w:rPr>
          <w:i/>
          <w:iCs/>
        </w:rPr>
        <w:t xml:space="preserve">manometria esofagea</w:t>
      </w:r>
      <w:r>
        <w:t xml:space="preserve"> </w:t>
      </w:r>
      <w:r>
        <w:t xml:space="preserve">misura le pressioni dell’esofago e della giunzione; la</w:t>
      </w:r>
      <w:r>
        <w:t xml:space="preserve"> </w:t>
      </w:r>
      <w:r>
        <w:rPr>
          <w:i/>
          <w:iCs/>
        </w:rPr>
        <w:t xml:space="preserve">pH-impedenzometria</w:t>
      </w:r>
      <w:r>
        <w:t xml:space="preserve"> </w:t>
      </w:r>
      <w:r>
        <w:t xml:space="preserve">misura quanto e quando il contenuto risale, in 24 ore.</w:t>
      </w:r>
    </w:p>
    <w:p>
      <w:pPr>
        <w:pStyle w:val="Compact"/>
        <w:numPr>
          <w:ilvl w:val="0"/>
          <w:numId w:val="1035"/>
        </w:numPr>
      </w:pPr>
      <w:r>
        <w:rPr>
          <w:b/>
          <w:bCs/>
        </w:rPr>
        <w:t xml:space="preserve">Frenico (nervo)</w:t>
      </w:r>
      <w:r>
        <w:t xml:space="preserve"> </w:t>
      </w:r>
      <w:r>
        <w:t xml:space="preserve">— nervo che nasce da C3-C5 e comanda il diaframma.</w:t>
      </w:r>
    </w:p>
    <w:p>
      <w:pPr>
        <w:pStyle w:val="Compact"/>
        <w:numPr>
          <w:ilvl w:val="0"/>
          <w:numId w:val="1035"/>
        </w:numPr>
      </w:pPr>
      <w:r>
        <w:rPr>
          <w:b/>
          <w:bCs/>
        </w:rPr>
        <w:t xml:space="preserve">GerdQ</w:t>
      </w:r>
      <w:r>
        <w:t xml:space="preserve"> </w:t>
      </w:r>
      <w:r>
        <w:t xml:space="preserve">— questionario validato per i sintomi da reflusso, scala 0-18; non ha una differenza minima clinicamente rilevante pubblicata.</w:t>
      </w:r>
    </w:p>
    <w:p>
      <w:pPr>
        <w:pStyle w:val="Compact"/>
        <w:numPr>
          <w:ilvl w:val="0"/>
          <w:numId w:val="1035"/>
        </w:numPr>
      </w:pPr>
      <w:r>
        <w:rPr>
          <w:b/>
          <w:bCs/>
        </w:rPr>
        <w:t xml:space="preserve">Gradiente gastro-esofageo</w:t>
      </w:r>
      <w:r>
        <w:t xml:space="preserve"> </w:t>
      </w:r>
      <w:r>
        <w:t xml:space="preserve">— differenza di pressione fra stomaco ed esofago.</w:t>
      </w:r>
    </w:p>
    <w:p>
      <w:pPr>
        <w:pStyle w:val="Compact"/>
        <w:numPr>
          <w:ilvl w:val="0"/>
          <w:numId w:val="1035"/>
        </w:numPr>
      </w:pPr>
      <w:r>
        <w:rPr>
          <w:b/>
          <w:bCs/>
        </w:rPr>
        <w:t xml:space="preserve">Guadagno</w:t>
      </w:r>
      <w:r>
        <w:t xml:space="preserve"> </w:t>
      </w:r>
      <w:r>
        <w:t xml:space="preserve">— quanto il sistema amplifica un segnale prima di trasformarlo in sintomo. Stesso stimolo, guadagno diverso, sintomo diverso.</w:t>
      </w:r>
    </w:p>
    <w:p>
      <w:pPr>
        <w:pStyle w:val="Compact"/>
        <w:numPr>
          <w:ilvl w:val="0"/>
          <w:numId w:val="1035"/>
        </w:numPr>
      </w:pPr>
      <w:r>
        <w:rPr>
          <w:b/>
          <w:bCs/>
        </w:rPr>
        <w:t xml:space="preserve">Guaina carotidea</w:t>
      </w:r>
      <w:r>
        <w:t xml:space="preserve"> </w:t>
      </w:r>
      <w:r>
        <w:t xml:space="preserve">— l’astuccio di tessuto connettivo che nel collo avvolge insieme carotide, giugulare interna e nervo vago.</w:t>
      </w:r>
    </w:p>
    <w:p>
      <w:pPr>
        <w:pStyle w:val="Compact"/>
        <w:numPr>
          <w:ilvl w:val="0"/>
          <w:numId w:val="1035"/>
        </w:numPr>
      </w:pPr>
      <w:r>
        <w:rPr>
          <w:b/>
          <w:bCs/>
        </w:rPr>
        <w:t xml:space="preserve">Iato esofageo</w:t>
      </w:r>
      <w:r>
        <w:t xml:space="preserve"> </w:t>
      </w:r>
      <w:r>
        <w:t xml:space="preserve">— il passaggio nel diaframma attraverso cui transita l’esofago.</w:t>
      </w:r>
    </w:p>
    <w:p>
      <w:pPr>
        <w:pStyle w:val="Compact"/>
        <w:numPr>
          <w:ilvl w:val="0"/>
          <w:numId w:val="1035"/>
        </w:numPr>
      </w:pPr>
      <w:r>
        <w:rPr>
          <w:b/>
          <w:bCs/>
        </w:rPr>
        <w:t xml:space="preserve">Inibitore di pompa protonica</w:t>
      </w:r>
      <w:r>
        <w:t xml:space="preserve"> </w:t>
      </w:r>
      <w:r>
        <w:t xml:space="preserve">— farmaco che riduce la produzione di acido gastrico.</w:t>
      </w:r>
    </w:p>
    <w:p>
      <w:pPr>
        <w:pStyle w:val="Compact"/>
        <w:numPr>
          <w:ilvl w:val="0"/>
          <w:numId w:val="1035"/>
        </w:numPr>
      </w:pPr>
      <w:r>
        <w:rPr>
          <w:b/>
          <w:bCs/>
        </w:rPr>
        <w:t xml:space="preserve">Ipervigilanza viscerale</w:t>
      </w:r>
      <w:r>
        <w:t xml:space="preserve"> </w:t>
      </w:r>
      <w:r>
        <w:t xml:space="preserve">— controllo continuo delle sensazioni di un organo, che ne aumenta la gravità riferita.</w:t>
      </w:r>
    </w:p>
    <w:p>
      <w:pPr>
        <w:pStyle w:val="Compact"/>
        <w:numPr>
          <w:ilvl w:val="0"/>
          <w:numId w:val="1035"/>
        </w:numPr>
      </w:pPr>
      <w:r>
        <w:rPr>
          <w:b/>
          <w:bCs/>
        </w:rPr>
        <w:t xml:space="preserve">LES</w:t>
      </w:r>
      <w:r>
        <w:t xml:space="preserve"> </w:t>
      </w:r>
      <w:r>
        <w:t xml:space="preserve">— sfintere esofageo inferiore; la componente liscia della barriera.</w:t>
      </w:r>
    </w:p>
    <w:p>
      <w:pPr>
        <w:pStyle w:val="Compact"/>
        <w:numPr>
          <w:ilvl w:val="0"/>
          <w:numId w:val="1035"/>
        </w:numPr>
      </w:pPr>
      <w:r>
        <w:rPr>
          <w:b/>
          <w:bCs/>
        </w:rPr>
        <w:t xml:space="preserve">Melena</w:t>
      </w:r>
      <w:r>
        <w:t xml:space="preserve"> </w:t>
      </w:r>
      <w:r>
        <w:t xml:space="preserve">— feci nere e catramose, segno di sanguinamento dal tratto digestivo alto.</w:t>
      </w:r>
    </w:p>
    <w:p>
      <w:pPr>
        <w:pStyle w:val="Compact"/>
        <w:numPr>
          <w:ilvl w:val="0"/>
          <w:numId w:val="1035"/>
        </w:numPr>
      </w:pPr>
      <w:r>
        <w:rPr>
          <w:b/>
          <w:bCs/>
        </w:rPr>
        <w:t xml:space="preserve">Membrana freno-esofagea</w:t>
      </w:r>
      <w:r>
        <w:t xml:space="preserve"> </w:t>
      </w:r>
      <w:r>
        <w:t xml:space="preserve">— lamina elastica che ancora l’esofago allo iato.</w:t>
      </w:r>
    </w:p>
    <w:p>
      <w:pPr>
        <w:pStyle w:val="Compact"/>
        <w:numPr>
          <w:ilvl w:val="0"/>
          <w:numId w:val="1035"/>
        </w:numPr>
      </w:pPr>
      <w:r>
        <w:rPr>
          <w:b/>
          <w:bCs/>
        </w:rPr>
        <w:t xml:space="preserve">Nocicettivo e nociplastico (dolore)</w:t>
      </w:r>
      <w:r>
        <w:t xml:space="preserve"> </w:t>
      </w:r>
      <w:r>
        <w:t xml:space="preserve">— il primo è generato da un danno reale del tessuto; il secondo nasce da un’elaborazione alterata del segnale, senza danno proporzionato.</w:t>
      </w:r>
    </w:p>
    <w:p>
      <w:pPr>
        <w:pStyle w:val="Compact"/>
        <w:numPr>
          <w:ilvl w:val="0"/>
          <w:numId w:val="1035"/>
        </w:numPr>
      </w:pPr>
      <w:r>
        <w:rPr>
          <w:b/>
          <w:bCs/>
        </w:rPr>
        <w:t xml:space="preserve">Picco inspiratorio della barriera</w:t>
      </w:r>
      <w:r>
        <w:t xml:space="preserve"> </w:t>
      </w:r>
      <w:r>
        <w:t xml:space="preserve">— l’aumento di pressione della giunzione che il crus produce a ogni inspirazione. È la parte pulsante della tenuta, e quella che si perde nel quinto meccanismo.</w:t>
      </w:r>
    </w:p>
    <w:p>
      <w:pPr>
        <w:pStyle w:val="Compact"/>
        <w:numPr>
          <w:ilvl w:val="0"/>
          <w:numId w:val="1035"/>
        </w:numPr>
      </w:pPr>
      <w:r>
        <w:rPr>
          <w:b/>
          <w:bCs/>
        </w:rPr>
        <w:t xml:space="preserve">Pirosi</w:t>
      </w:r>
      <w:r>
        <w:t xml:space="preserve"> </w:t>
      </w:r>
      <w:r>
        <w:t xml:space="preserve">— il bruciore che risale dietro lo sterno.</w:t>
      </w:r>
    </w:p>
    <w:p>
      <w:pPr>
        <w:pStyle w:val="Compact"/>
        <w:numPr>
          <w:ilvl w:val="0"/>
          <w:numId w:val="1035"/>
        </w:numPr>
      </w:pPr>
      <w:r>
        <w:rPr>
          <w:b/>
          <w:bCs/>
        </w:rPr>
        <w:t xml:space="preserve">Pirosi funzionale e reflusso ipersensibile</w:t>
      </w:r>
      <w:r>
        <w:t xml:space="preserve"> </w:t>
      </w:r>
      <w:r>
        <w:t xml:space="preserve">— le due etichette di Roma IV per il bruciore senza reflusso patologico.</w:t>
      </w:r>
    </w:p>
    <w:p>
      <w:pPr>
        <w:pStyle w:val="Compact"/>
        <w:numPr>
          <w:ilvl w:val="0"/>
          <w:numId w:val="1035"/>
        </w:numPr>
      </w:pPr>
      <w:r>
        <w:rPr>
          <w:b/>
          <w:bCs/>
        </w:rPr>
        <w:t xml:space="preserve">Preeclampsia e HELLP</w:t>
      </w:r>
      <w:r>
        <w:t xml:space="preserve"> </w:t>
      </w:r>
      <w:r>
        <w:t xml:space="preserve">— complicanze gravi della gravidanza; danno dolore epigastrico o sotto le coste a destra, e una pressione normale non le esclude.</w:t>
      </w:r>
    </w:p>
    <w:p>
      <w:pPr>
        <w:pStyle w:val="Compact"/>
        <w:numPr>
          <w:ilvl w:val="0"/>
          <w:numId w:val="1035"/>
        </w:numPr>
      </w:pPr>
      <w:r>
        <w:rPr>
          <w:b/>
          <w:bCs/>
        </w:rPr>
        <w:t xml:space="preserve">Reflusso non erosivo</w:t>
      </w:r>
      <w:r>
        <w:t xml:space="preserve"> </w:t>
      </w:r>
      <w:r>
        <w:t xml:space="preserve">— reflusso sintomatico con mucosa integra.</w:t>
      </w:r>
    </w:p>
    <w:p>
      <w:pPr>
        <w:pStyle w:val="Compact"/>
        <w:numPr>
          <w:ilvl w:val="0"/>
          <w:numId w:val="1035"/>
        </w:numPr>
      </w:pPr>
      <w:r>
        <w:rPr>
          <w:b/>
          <w:bCs/>
        </w:rPr>
        <w:t xml:space="preserve">Rilasciamento transitorio</w:t>
      </w:r>
      <w:r>
        <w:t xml:space="preserve"> </w:t>
      </w:r>
      <w:r>
        <w:t xml:space="preserve">— apertura spontanea della barriera per riflesso vagale.</w:t>
      </w:r>
    </w:p>
    <w:p>
      <w:pPr>
        <w:pStyle w:val="Compact"/>
        <w:numPr>
          <w:ilvl w:val="0"/>
          <w:numId w:val="1035"/>
        </w:numPr>
      </w:pPr>
      <w:r>
        <w:rPr>
          <w:b/>
          <w:bCs/>
        </w:rPr>
        <w:t xml:space="preserve">Ruminazione (sindrome da)</w:t>
      </w:r>
      <w:r>
        <w:t xml:space="preserve"> </w:t>
      </w:r>
      <w:r>
        <w:t xml:space="preserve">— rigurgito non acido ripetuto pochi minuti dopo il pasto, senza nausea.</w:t>
      </w:r>
    </w:p>
    <w:p>
      <w:pPr>
        <w:pStyle w:val="Compact"/>
        <w:numPr>
          <w:ilvl w:val="0"/>
          <w:numId w:val="1035"/>
        </w:numPr>
      </w:pPr>
      <w:r>
        <w:rPr>
          <w:b/>
          <w:bCs/>
        </w:rPr>
        <w:t xml:space="preserve">Sensibilizzazione periferica e centrale</w:t>
      </w:r>
      <w:r>
        <w:t xml:space="preserve"> </w:t>
      </w:r>
      <w:r>
        <w:t xml:space="preserve">— la prima è l’abbassamento della soglia dei recettori nel tessuto; la seconda è l’aumento di eccitabilità dei neuroni del midollo che ricevono l’organo, e abbassa la soglia anche dove lo stimolo non è mai arrivato.</w:t>
      </w:r>
    </w:p>
    <w:p>
      <w:pPr>
        <w:pStyle w:val="Compact"/>
        <w:numPr>
          <w:ilvl w:val="0"/>
          <w:numId w:val="1035"/>
        </w:numPr>
      </w:pPr>
      <w:r>
        <w:rPr>
          <w:b/>
          <w:bCs/>
        </w:rPr>
        <w:t xml:space="preserve">Sfintere esofageo superiore</w:t>
      </w:r>
      <w:r>
        <w:t xml:space="preserve"> </w:t>
      </w:r>
      <w:r>
        <w:t xml:space="preserve">— anello muscolare all’ingresso dell’esofago; il nodo in gola gli viene attribuito, con un nesso debole.</w:t>
      </w:r>
    </w:p>
    <w:p>
      <w:pPr>
        <w:pStyle w:val="Compact"/>
        <w:numPr>
          <w:ilvl w:val="0"/>
          <w:numId w:val="1035"/>
        </w:numPr>
      </w:pPr>
      <w:r>
        <w:rPr>
          <w:b/>
          <w:bCs/>
        </w:rPr>
        <w:t xml:space="preserve">Sham</w:t>
      </w:r>
      <w:r>
        <w:t xml:space="preserve"> </w:t>
      </w:r>
      <w:r>
        <w:t xml:space="preserve">— trattamento finto, costruito per somigliare a quello vero, usato nei trial per separare l’effetto specifico da tutto il resto.</w:t>
      </w:r>
    </w:p>
    <w:p>
      <w:pPr>
        <w:pStyle w:val="Compact"/>
        <w:numPr>
          <w:ilvl w:val="0"/>
          <w:numId w:val="1035"/>
        </w:numPr>
      </w:pPr>
      <w:r>
        <w:rPr>
          <w:b/>
          <w:bCs/>
        </w:rPr>
        <w:t xml:space="preserve">Splancnico (nervo grande)</w:t>
      </w:r>
      <w:r>
        <w:t xml:space="preserve"> </w:t>
      </w:r>
      <w:r>
        <w:t xml:space="preserve">— nervo che porta le afferenze viscerali dello stomaco a T5-T9.</w:t>
      </w:r>
    </w:p>
    <w:p>
      <w:pPr>
        <w:pStyle w:val="Compact"/>
        <w:numPr>
          <w:ilvl w:val="0"/>
          <w:numId w:val="1035"/>
        </w:numPr>
      </w:pPr>
      <w:r>
        <w:rPr>
          <w:b/>
          <w:bCs/>
        </w:rPr>
        <w:t xml:space="preserve">Tasca acida</w:t>
      </w:r>
      <w:r>
        <w:t xml:space="preserve"> </w:t>
      </w:r>
      <w:r>
        <w:t xml:space="preserve">— strato di succo gastrico non tamponato che galleggia sopra il pasto.</w:t>
      </w:r>
    </w:p>
    <w:p>
      <w:pPr>
        <w:pStyle w:val="Compact"/>
        <w:numPr>
          <w:ilvl w:val="0"/>
          <w:numId w:val="1035"/>
        </w:numPr>
      </w:pPr>
      <w:r>
        <w:rPr>
          <w:b/>
          <w:bCs/>
        </w:rPr>
        <w:t xml:space="preserve">Tempo di esposizione acida</w:t>
      </w:r>
      <w:r>
        <w:t xml:space="preserve"> </w:t>
      </w:r>
      <w:r>
        <w:t xml:space="preserve">— quota delle 24 ore in cui l’esofago sta sotto pH 4.</w:t>
      </w:r>
    </w:p>
    <w:p>
      <w:pPr>
        <w:pStyle w:val="Compact"/>
        <w:numPr>
          <w:ilvl w:val="0"/>
          <w:numId w:val="1035"/>
        </w:numPr>
      </w:pPr>
      <w:r>
        <w:rPr>
          <w:b/>
          <w:bCs/>
        </w:rPr>
        <w:t xml:space="preserve">Valsalva</w:t>
      </w:r>
      <w:r>
        <w:t xml:space="preserve"> </w:t>
      </w:r>
      <w:r>
        <w:t xml:space="preserve">— spinta a glottide chiusa: si trattiene il fiato e si spinge, e la pressione dentro l’addome sale di colpo.</w:t>
      </w:r>
    </w:p>
    <w:p>
      <w:pPr>
        <w:pStyle w:val="Compact"/>
        <w:numPr>
          <w:ilvl w:val="0"/>
          <w:numId w:val="1035"/>
        </w:numPr>
      </w:pPr>
      <w:r>
        <w:rPr>
          <w:b/>
          <w:bCs/>
        </w:rPr>
        <w:t xml:space="preserve">Variabilità della frequenza cardiaca</w:t>
      </w:r>
      <w:r>
        <w:t xml:space="preserve"> </w:t>
      </w:r>
      <w:r>
        <w:t xml:space="preserve">— misura della modulazione autonomica del battito; alcuni suoi indici riflettono l’attività del vago.</w:t>
      </w:r>
    </w:p>
    <w:p>
      <w:pPr>
        <w:pStyle w:val="Compact"/>
        <w:numPr>
          <w:ilvl w:val="0"/>
          <w:numId w:val="1035"/>
        </w:numPr>
      </w:pPr>
      <w:r>
        <w:rPr>
          <w:b/>
          <w:bCs/>
        </w:rPr>
        <w:t xml:space="preserve">Vago (nervo)</w:t>
      </w:r>
      <w:r>
        <w:t xml:space="preserve"> </w:t>
      </w:r>
      <w:r>
        <w:t xml:space="preserve">— decimo nervo cranico; porta l’afferenza gastrica e il comando di rilasciamento.</w:t>
      </w:r>
    </w:p>
    <w:p>
      <w:pPr>
        <w:pStyle w:val="Compact"/>
        <w:numPr>
          <w:ilvl w:val="0"/>
          <w:numId w:val="1035"/>
        </w:numPr>
      </w:pPr>
      <w:r>
        <w:rPr>
          <w:b/>
          <w:bCs/>
        </w:rPr>
        <w:t xml:space="preserve">Viscero-somatico (riflesso)</w:t>
      </w:r>
      <w:r>
        <w:t xml:space="preserve"> </w:t>
      </w:r>
      <w:r>
        <w:t xml:space="preserve">— tensione somatica segmentaria generata da un organo irritato.</w:t>
      </w:r>
    </w:p>
    <w:p>
      <w:r>
        <w:pict>
          <v:rect style="width:0;height:1.5pt" o:hralign="center" o:hrstd="t" o:hr="t"/>
        </w:pict>
      </w:r>
    </w:p>
    <w:bookmarkEnd w:id="104"/>
    <w:bookmarkStart w:id="149" w:name="appendice-b-le-fonti"/>
    <w:p>
      <w:pPr>
        <w:pStyle w:val="Heading2"/>
      </w:pPr>
      <w:r>
        <w:t xml:space="preserve">Appendice B — Le fonti</w:t>
      </w:r>
    </w:p>
    <w:p>
      <w:pPr>
        <w:pStyle w:val="FirstParagraph"/>
      </w:pPr>
      <w:r>
        <w:t xml:space="preserve">Nell’ordine in cui compaiono nel testo.</w:t>
      </w:r>
    </w:p>
    <w:p>
      <w:pPr>
        <w:numPr>
          <w:ilvl w:val="0"/>
          <w:numId w:val="1036"/>
        </w:numPr>
      </w:pPr>
      <w:r>
        <w:t xml:space="preserve">Nirwan JS, Hasan SS, Babar ZUD, Conway BR, Ghori MU.</w:t>
      </w:r>
      <w:r>
        <w:t xml:space="preserve"> </w:t>
      </w:r>
      <w:r>
        <w:rPr>
          <w:i/>
          <w:iCs/>
        </w:rPr>
        <w:t xml:space="preserve">Global Prevalence and Risk Factors of Gastro-oesophageal Reflux Disease (GORD): Systematic Review with Meta-analysis.</w:t>
      </w:r>
      <w:r>
        <w:t xml:space="preserve"> </w:t>
      </w:r>
      <w:r>
        <w:t xml:space="preserve">Sci Rep. 2020;10:5814.</w:t>
      </w:r>
      <w:r>
        <w:t xml:space="preserve"> </w:t>
      </w:r>
      <w:hyperlink r:id="rId105">
        <w:r>
          <w:rPr>
            <w:rStyle w:val="Hyperlink"/>
          </w:rPr>
          <w:t xml:space="preserve">PMID 32242117</w:t>
        </w:r>
      </w:hyperlink>
    </w:p>
    <w:p>
      <w:pPr>
        <w:numPr>
          <w:ilvl w:val="0"/>
          <w:numId w:val="1036"/>
        </w:numPr>
      </w:pPr>
      <w:r>
        <w:t xml:space="preserve">El-Serag H, Becher A, Jones R.</w:t>
      </w:r>
      <w:r>
        <w:t xml:space="preserve"> </w:t>
      </w:r>
      <w:r>
        <w:rPr>
          <w:i/>
          <w:iCs/>
        </w:rPr>
        <w:t xml:space="preserve">Systematic review: persistent reflux symptoms on proton pump inhibitor therapy in primary care and community studies.</w:t>
      </w:r>
      <w:r>
        <w:t xml:space="preserve"> </w:t>
      </w:r>
      <w:r>
        <w:t xml:space="preserve">Aliment Pharmacol Ther. 2010;32(6):720-737.</w:t>
      </w:r>
      <w:r>
        <w:t xml:space="preserve"> </w:t>
      </w:r>
      <w:hyperlink r:id="rId106">
        <w:r>
          <w:rPr>
            <w:rStyle w:val="Hyperlink"/>
          </w:rPr>
          <w:t xml:space="preserve">PMID 20662774</w:t>
        </w:r>
      </w:hyperlink>
    </w:p>
    <w:p>
      <w:pPr>
        <w:numPr>
          <w:ilvl w:val="0"/>
          <w:numId w:val="1036"/>
        </w:numPr>
      </w:pPr>
      <w:r>
        <w:t xml:space="preserve">Cremonini F, Ziogas DC, Chang HY, et al. </w:t>
      </w:r>
      <w:r>
        <w:rPr>
          <w:i/>
          <w:iCs/>
        </w:rPr>
        <w:t xml:space="preserve">Meta-analysis: the effects of placebo treatment on gastro-oesophageal reflux disease.</w:t>
      </w:r>
      <w:r>
        <w:t xml:space="preserve"> </w:t>
      </w:r>
      <w:r>
        <w:t xml:space="preserve">Aliment Pharmacol Ther. 2010;32(1):29-42.</w:t>
      </w:r>
      <w:r>
        <w:t xml:space="preserve"> </w:t>
      </w:r>
      <w:hyperlink r:id="rId107">
        <w:r>
          <w:rPr>
            <w:rStyle w:val="Hyperlink"/>
          </w:rPr>
          <w:t xml:space="preserve">PMID 20353496</w:t>
        </w:r>
      </w:hyperlink>
    </w:p>
    <w:p>
      <w:pPr>
        <w:numPr>
          <w:ilvl w:val="0"/>
          <w:numId w:val="1036"/>
        </w:numPr>
      </w:pPr>
      <w:r>
        <w:t xml:space="preserve">Gyawali CP, Yadlapati R, Fass R, et al. </w:t>
      </w:r>
      <w:r>
        <w:rPr>
          <w:i/>
          <w:iCs/>
        </w:rPr>
        <w:t xml:space="preserve">Updates to the modern diagnosis of GERD: Lyon consensus 2.0.</w:t>
      </w:r>
      <w:r>
        <w:t xml:space="preserve"> </w:t>
      </w:r>
      <w:r>
        <w:t xml:space="preserve">Gut. 2024;73(2):361-371.</w:t>
      </w:r>
      <w:r>
        <w:t xml:space="preserve"> </w:t>
      </w:r>
      <w:hyperlink r:id="rId108">
        <w:r>
          <w:rPr>
            <w:rStyle w:val="Hyperlink"/>
          </w:rPr>
          <w:t xml:space="preserve">PMID 37734911</w:t>
        </w:r>
      </w:hyperlink>
    </w:p>
    <w:p>
      <w:pPr>
        <w:numPr>
          <w:ilvl w:val="0"/>
          <w:numId w:val="1036"/>
        </w:numPr>
      </w:pPr>
      <w:r>
        <w:t xml:space="preserve">Mittal RK, Balaban DH.</w:t>
      </w:r>
      <w:r>
        <w:t xml:space="preserve"> </w:t>
      </w:r>
      <w:r>
        <w:rPr>
          <w:i/>
          <w:iCs/>
        </w:rPr>
        <w:t xml:space="preserve">The esophagogastric junction.</w:t>
      </w:r>
      <w:r>
        <w:t xml:space="preserve"> </w:t>
      </w:r>
      <w:r>
        <w:t xml:space="preserve">N Engl J Med. 1997;336(13):924-932.</w:t>
      </w:r>
      <w:r>
        <w:t xml:space="preserve"> </w:t>
      </w:r>
      <w:hyperlink r:id="rId109">
        <w:r>
          <w:rPr>
            <w:rStyle w:val="Hyperlink"/>
          </w:rPr>
          <w:t xml:space="preserve">PMID 9070474</w:t>
        </w:r>
      </w:hyperlink>
    </w:p>
    <w:p>
      <w:pPr>
        <w:numPr>
          <w:ilvl w:val="0"/>
          <w:numId w:val="1036"/>
        </w:numPr>
      </w:pPr>
      <w:r>
        <w:rPr>
          <w:i/>
          <w:iCs/>
        </w:rPr>
        <w:t xml:space="preserve">Anatomy, Thorax, Greater Splanchnic Nerves.</w:t>
      </w:r>
      <w:r>
        <w:t xml:space="preserve"> </w:t>
      </w:r>
      <w:r>
        <w:t xml:space="preserve">StatPearls, NCBI Bookshelf.</w:t>
      </w:r>
      <w:r>
        <w:t xml:space="preserve"> </w:t>
      </w:r>
      <w:hyperlink r:id="rId110">
        <w:r>
          <w:rPr>
            <w:rStyle w:val="Hyperlink"/>
          </w:rPr>
          <w:t xml:space="preserve">NBK500026</w:t>
        </w:r>
      </w:hyperlink>
      <w:r>
        <w:t xml:space="preserve"> </w:t>
      </w:r>
      <w:r>
        <w:t xml:space="preserve">— fonte dei livelli segmentari T5-T9.</w:t>
      </w:r>
    </w:p>
    <w:p>
      <w:pPr>
        <w:numPr>
          <w:ilvl w:val="0"/>
          <w:numId w:val="1036"/>
        </w:numPr>
      </w:pPr>
      <w:r>
        <w:t xml:space="preserve">Mittal RK, Holloway RH, Penagini R, Blackshaw LA, Dent J.</w:t>
      </w:r>
      <w:r>
        <w:t xml:space="preserve"> </w:t>
      </w:r>
      <w:r>
        <w:rPr>
          <w:i/>
          <w:iCs/>
        </w:rPr>
        <w:t xml:space="preserve">Transient lower esophageal sphincter relaxation.</w:t>
      </w:r>
      <w:r>
        <w:t xml:space="preserve"> </w:t>
      </w:r>
      <w:r>
        <w:t xml:space="preserve">Gastroenterology. 1995;109(2):601-610.</w:t>
      </w:r>
      <w:r>
        <w:t xml:space="preserve"> </w:t>
      </w:r>
      <w:hyperlink r:id="rId111">
        <w:r>
          <w:rPr>
            <w:rStyle w:val="Hyperlink"/>
          </w:rPr>
          <w:t xml:space="preserve">PMID 7615211</w:t>
        </w:r>
      </w:hyperlink>
    </w:p>
    <w:p>
      <w:pPr>
        <w:numPr>
          <w:ilvl w:val="0"/>
          <w:numId w:val="1036"/>
        </w:numPr>
      </w:pPr>
      <w:r>
        <w:t xml:space="preserve">Beaumont H, Bennink RJ, de Jong J, Boeckxstaens GE.</w:t>
      </w:r>
      <w:r>
        <w:t xml:space="preserve"> </w:t>
      </w:r>
      <w:r>
        <w:rPr>
          <w:i/>
          <w:iCs/>
        </w:rPr>
        <w:t xml:space="preserve">The position of the acid pocket as a major risk factor for acidic reflux in healthy subjects and patients with GORD.</w:t>
      </w:r>
      <w:r>
        <w:t xml:space="preserve"> </w:t>
      </w:r>
      <w:r>
        <w:t xml:space="preserve">Gut. 2010;59(4):441-451.</w:t>
      </w:r>
      <w:r>
        <w:t xml:space="preserve"> </w:t>
      </w:r>
      <w:hyperlink r:id="rId112">
        <w:r>
          <w:rPr>
            <w:rStyle w:val="Hyperlink"/>
          </w:rPr>
          <w:t xml:space="preserve">PMID 19651625</w:t>
        </w:r>
      </w:hyperlink>
    </w:p>
    <w:p>
      <w:pPr>
        <w:numPr>
          <w:ilvl w:val="0"/>
          <w:numId w:val="1036"/>
        </w:numPr>
      </w:pPr>
      <w:r>
        <w:t xml:space="preserve">Ong AM, Chua LT, Khor CJ, Asokkumar R, Namasivayam V, Wang YT.</w:t>
      </w:r>
      <w:r>
        <w:t xml:space="preserve"> </w:t>
      </w:r>
      <w:r>
        <w:rPr>
          <w:i/>
          <w:iCs/>
        </w:rPr>
        <w:t xml:space="preserve">Diaphragmatic Breathing Reduces Belching and Proton Pump Inhibitor Refractory Gastroesophageal Reflux Symptoms.</w:t>
      </w:r>
      <w:r>
        <w:t xml:space="preserve"> </w:t>
      </w:r>
      <w:r>
        <w:t xml:space="preserve">Clin Gastroenterol Hepatol. 2018;16(3):407-416.</w:t>
      </w:r>
      <w:r>
        <w:t xml:space="preserve"> </w:t>
      </w:r>
      <w:hyperlink r:id="rId71">
        <w:r>
          <w:rPr>
            <w:rStyle w:val="Hyperlink"/>
          </w:rPr>
          <w:t xml:space="preserve">PMID 29104130</w:t>
        </w:r>
      </w:hyperlink>
    </w:p>
    <w:p>
      <w:pPr>
        <w:numPr>
          <w:ilvl w:val="0"/>
          <w:numId w:val="1036"/>
        </w:numPr>
      </w:pPr>
      <w:r>
        <w:t xml:space="preserve">Kahrilas PJ.</w:t>
      </w:r>
      <w:r>
        <w:t xml:space="preserve"> </w:t>
      </w:r>
      <w:r>
        <w:rPr>
          <w:i/>
          <w:iCs/>
        </w:rPr>
        <w:t xml:space="preserve">The role of hiatus hernia in GERD.</w:t>
      </w:r>
      <w:r>
        <w:t xml:space="preserve"> </w:t>
      </w:r>
      <w:r>
        <w:t xml:space="preserve">Yale J Biol Med. 1999;72(2-3):101-111.</w:t>
      </w:r>
      <w:r>
        <w:t xml:space="preserve"> </w:t>
      </w:r>
      <w:hyperlink r:id="rId113">
        <w:r>
          <w:rPr>
            <w:rStyle w:val="Hyperlink"/>
          </w:rPr>
          <w:t xml:space="preserve">PMID 10780571</w:t>
        </w:r>
      </w:hyperlink>
    </w:p>
    <w:p>
      <w:pPr>
        <w:numPr>
          <w:ilvl w:val="0"/>
          <w:numId w:val="1036"/>
        </w:numPr>
      </w:pPr>
      <w:r>
        <w:t xml:space="preserve">Pandolfino JE, El-Serag HB, Zhang Q, Shah N, Ghosh SK, Kahrilas PJ.</w:t>
      </w:r>
      <w:r>
        <w:t xml:space="preserve"> </w:t>
      </w:r>
      <w:r>
        <w:rPr>
          <w:i/>
          <w:iCs/>
        </w:rPr>
        <w:t xml:space="preserve">Obesity: a challenge to esophagogastric junction integrity.</w:t>
      </w:r>
      <w:r>
        <w:t xml:space="preserve"> </w:t>
      </w:r>
      <w:r>
        <w:t xml:space="preserve">Gastroenterology. 2006;130(3):639-649.</w:t>
      </w:r>
      <w:r>
        <w:t xml:space="preserve"> </w:t>
      </w:r>
      <w:hyperlink r:id="rId114">
        <w:r>
          <w:rPr>
            <w:rStyle w:val="Hyperlink"/>
          </w:rPr>
          <w:t xml:space="preserve">PMID 16530504</w:t>
        </w:r>
      </w:hyperlink>
    </w:p>
    <w:p>
      <w:pPr>
        <w:numPr>
          <w:ilvl w:val="0"/>
          <w:numId w:val="1036"/>
        </w:numPr>
      </w:pPr>
      <w:r>
        <w:t xml:space="preserve">Fass R, Naliboff BD, Fass SS, et al. </w:t>
      </w:r>
      <w:r>
        <w:rPr>
          <w:i/>
          <w:iCs/>
        </w:rPr>
        <w:t xml:space="preserve">The effect of auditory stress on perception of intraesophageal acid in patients with gastroesophageal reflux disease.</w:t>
      </w:r>
      <w:r>
        <w:t xml:space="preserve"> </w:t>
      </w:r>
      <w:r>
        <w:t xml:space="preserve">Gastroenterology. 2008;134(3):696-705.</w:t>
      </w:r>
      <w:r>
        <w:t xml:space="preserve"> </w:t>
      </w:r>
      <w:hyperlink r:id="rId80">
        <w:r>
          <w:rPr>
            <w:rStyle w:val="Hyperlink"/>
          </w:rPr>
          <w:t xml:space="preserve">PMID 18206149</w:t>
        </w:r>
      </w:hyperlink>
    </w:p>
    <w:p>
      <w:pPr>
        <w:numPr>
          <w:ilvl w:val="0"/>
          <w:numId w:val="1036"/>
        </w:numPr>
      </w:pPr>
      <w:r>
        <w:t xml:space="preserve">Wong MW, Liu TT, Yi CH, et al. </w:t>
      </w:r>
      <w:r>
        <w:rPr>
          <w:i/>
          <w:iCs/>
        </w:rPr>
        <w:t xml:space="preserve">Oesophageal hypervigilance and visceral anxiety relate to reflux symptom severity and psychological distress but not to acid reflux parameters.</w:t>
      </w:r>
      <w:r>
        <w:t xml:space="preserve"> </w:t>
      </w:r>
      <w:r>
        <w:t xml:space="preserve">Aliment Pharmacol Ther. 2021;54(7):923-930.</w:t>
      </w:r>
      <w:r>
        <w:t xml:space="preserve"> </w:t>
      </w:r>
      <w:hyperlink r:id="rId81">
        <w:r>
          <w:rPr>
            <w:rStyle w:val="Hyperlink"/>
          </w:rPr>
          <w:t xml:space="preserve">PMID 34383968</w:t>
        </w:r>
      </w:hyperlink>
    </w:p>
    <w:p>
      <w:pPr>
        <w:numPr>
          <w:ilvl w:val="0"/>
          <w:numId w:val="1036"/>
        </w:numPr>
      </w:pPr>
      <w:r>
        <w:t xml:space="preserve">Bitnar P, Stovicek J, Andel R, et al. </w:t>
      </w:r>
      <w:r>
        <w:rPr>
          <w:i/>
          <w:iCs/>
        </w:rPr>
        <w:t xml:space="preserve">Leg raise increases pressure in lower and upper esophageal sphincter among patients with gastroesophageal reflux disease.</w:t>
      </w:r>
      <w:r>
        <w:t xml:space="preserve"> </w:t>
      </w:r>
      <w:r>
        <w:t xml:space="preserve">J Bodyw Mov Ther. 2016;20(3):518-524.</w:t>
      </w:r>
      <w:r>
        <w:t xml:space="preserve"> </w:t>
      </w:r>
      <w:hyperlink r:id="rId115">
        <w:r>
          <w:rPr>
            <w:rStyle w:val="Hyperlink"/>
          </w:rPr>
          <w:t xml:space="preserve">PMID 27634073</w:t>
        </w:r>
      </w:hyperlink>
    </w:p>
    <w:p>
      <w:pPr>
        <w:numPr>
          <w:ilvl w:val="0"/>
          <w:numId w:val="1036"/>
        </w:numPr>
      </w:pPr>
      <w:r>
        <w:t xml:space="preserve">Nobre e Souza MA, Lima MJV, Martins GB, et al. </w:t>
      </w:r>
      <w:r>
        <w:rPr>
          <w:i/>
          <w:iCs/>
        </w:rPr>
        <w:t xml:space="preserve">Inspiratory muscle training improves antireflux barrier in GERD patients.</w:t>
      </w:r>
      <w:r>
        <w:t xml:space="preserve"> </w:t>
      </w:r>
      <w:r>
        <w:t xml:space="preserve">Am J Physiol Gastrointest Liver Physiol. 2013;305(11):G862-G867.</w:t>
      </w:r>
      <w:r>
        <w:t xml:space="preserve"> </w:t>
      </w:r>
      <w:hyperlink r:id="rId70">
        <w:r>
          <w:rPr>
            <w:rStyle w:val="Hyperlink"/>
          </w:rPr>
          <w:t xml:space="preserve">PMID 24113771</w:t>
        </w:r>
      </w:hyperlink>
    </w:p>
    <w:p>
      <w:pPr>
        <w:numPr>
          <w:ilvl w:val="0"/>
          <w:numId w:val="1036"/>
        </w:numPr>
      </w:pPr>
      <w:r>
        <w:t xml:space="preserve">Schuitenmaker JM, van Dijk M, Oude Nijhuis RAB, Smout AJPM, Bredenoord AJ.</w:t>
      </w:r>
      <w:r>
        <w:t xml:space="preserve"> </w:t>
      </w:r>
      <w:r>
        <w:rPr>
          <w:i/>
          <w:iCs/>
        </w:rPr>
        <w:t xml:space="preserve">Associations Between Sleep Position and Nocturnal Gastroesophageal Reflux.</w:t>
      </w:r>
      <w:r>
        <w:t xml:space="preserve"> </w:t>
      </w:r>
      <w:r>
        <w:t xml:space="preserve">Am J Gastroenterol. 2022;117(2):346-351.</w:t>
      </w:r>
      <w:r>
        <w:t xml:space="preserve"> </w:t>
      </w:r>
      <w:hyperlink r:id="rId116">
        <w:r>
          <w:rPr>
            <w:rStyle w:val="Hyperlink"/>
          </w:rPr>
          <w:t xml:space="preserve">PMID 34928874</w:t>
        </w:r>
      </w:hyperlink>
    </w:p>
    <w:p>
      <w:pPr>
        <w:numPr>
          <w:ilvl w:val="0"/>
          <w:numId w:val="1036"/>
        </w:numPr>
      </w:pPr>
      <w:r>
        <w:t xml:space="preserve">da Silva RCV, de Sá CC, Pascual-Vaca ÁO, et al. </w:t>
      </w:r>
      <w:r>
        <w:rPr>
          <w:i/>
          <w:iCs/>
        </w:rPr>
        <w:t xml:space="preserve">Increase of lower esophageal sphincter pressure after osteopathic intervention on the diaphragm in patients with gastroesophageal reflux.</w:t>
      </w:r>
      <w:r>
        <w:t xml:space="preserve"> </w:t>
      </w:r>
      <w:r>
        <w:t xml:space="preserve">Dis Esophagus. 2013;26(5):451-456.</w:t>
      </w:r>
      <w:r>
        <w:t xml:space="preserve"> </w:t>
      </w:r>
      <w:hyperlink r:id="rId74">
        <w:r>
          <w:rPr>
            <w:rStyle w:val="Hyperlink"/>
          </w:rPr>
          <w:t xml:space="preserve">PMID 22676647</w:t>
        </w:r>
      </w:hyperlink>
    </w:p>
    <w:p>
      <w:pPr>
        <w:numPr>
          <w:ilvl w:val="0"/>
          <w:numId w:val="1036"/>
        </w:numPr>
      </w:pPr>
      <w:r>
        <w:t xml:space="preserve">Eguaras N, Rodríguez-López ES, Lopez-Dicastillo O, Franco-Sierra MÁ, Ricard F, Oliva-Pascual-Vaca Á.</w:t>
      </w:r>
      <w:r>
        <w:t xml:space="preserve"> </w:t>
      </w:r>
      <w:r>
        <w:rPr>
          <w:i/>
          <w:iCs/>
        </w:rPr>
        <w:t xml:space="preserve">Effects of Osteopathic Visceral Treatment in Patients with Gastroesophageal Reflux: A Randomized Controlled Trial.</w:t>
      </w:r>
      <w:r>
        <w:t xml:space="preserve"> </w:t>
      </w:r>
      <w:r>
        <w:t xml:space="preserve">J Clin Med. 2019;8(10):1738.</w:t>
      </w:r>
      <w:r>
        <w:t xml:space="preserve"> </w:t>
      </w:r>
      <w:hyperlink r:id="rId75">
        <w:r>
          <w:rPr>
            <w:rStyle w:val="Hyperlink"/>
          </w:rPr>
          <w:t xml:space="preserve">PMID 31635110</w:t>
        </w:r>
      </w:hyperlink>
    </w:p>
    <w:p>
      <w:pPr>
        <w:numPr>
          <w:ilvl w:val="0"/>
          <w:numId w:val="1036"/>
        </w:numPr>
      </w:pPr>
      <w:r>
        <w:t xml:space="preserve">Martínez-Hurtado I, Arguisuelas MD, Almela-Notari P, et al. </w:t>
      </w:r>
      <w:r>
        <w:rPr>
          <w:i/>
          <w:iCs/>
        </w:rPr>
        <w:t xml:space="preserve">Effects of diaphragmatic myofascial release on gastroesophageal reflux disease: a preliminary randomized controlled trial.</w:t>
      </w:r>
      <w:r>
        <w:t xml:space="preserve"> </w:t>
      </w:r>
      <w:r>
        <w:t xml:space="preserve">Sci Rep. 2019;9(1):7273.</w:t>
      </w:r>
      <w:r>
        <w:t xml:space="preserve"> </w:t>
      </w:r>
      <w:hyperlink r:id="rId76">
        <w:r>
          <w:rPr>
            <w:rStyle w:val="Hyperlink"/>
          </w:rPr>
          <w:t xml:space="preserve">PMID 31086250</w:t>
        </w:r>
      </w:hyperlink>
    </w:p>
    <w:p>
      <w:pPr>
        <w:numPr>
          <w:ilvl w:val="0"/>
          <w:numId w:val="1036"/>
        </w:numPr>
      </w:pPr>
      <w:r>
        <w:t xml:space="preserve">Eherer AJ, Netolitzky F, Högenauer C, et al. </w:t>
      </w:r>
      <w:r>
        <w:rPr>
          <w:i/>
          <w:iCs/>
        </w:rPr>
        <w:t xml:space="preserve">Positive effect of abdominal breathing exercise on gastroesophageal reflux disease: a randomized, controlled study.</w:t>
      </w:r>
      <w:r>
        <w:t xml:space="preserve"> </w:t>
      </w:r>
      <w:r>
        <w:t xml:space="preserve">Am J Gastroenterol. 2012;107(3):372-378.</w:t>
      </w:r>
      <w:r>
        <w:t xml:space="preserve"> </w:t>
      </w:r>
      <w:hyperlink r:id="rId69">
        <w:r>
          <w:rPr>
            <w:rStyle w:val="Hyperlink"/>
          </w:rPr>
          <w:t xml:space="preserve">PMID 22146488</w:t>
        </w:r>
      </w:hyperlink>
    </w:p>
    <w:p>
      <w:pPr>
        <w:numPr>
          <w:ilvl w:val="0"/>
          <w:numId w:val="1036"/>
        </w:numPr>
      </w:pPr>
      <w:r>
        <w:t xml:space="preserve">Abureesh M, Qaqish F, Abu-Shaban M, et al. </w:t>
      </w:r>
      <w:r>
        <w:rPr>
          <w:i/>
          <w:iCs/>
        </w:rPr>
        <w:t xml:space="preserve">Efficacy and Safety of Diaphragmatic Breathing Exercises for Gastroesophageal Reflux Disease: A Systematic Review and Meta-Analysis.</w:t>
      </w:r>
      <w:r>
        <w:t xml:space="preserve"> </w:t>
      </w:r>
      <w:r>
        <w:t xml:space="preserve">J Clin Med. 2026;15(9):3406.</w:t>
      </w:r>
      <w:r>
        <w:t xml:space="preserve"> </w:t>
      </w:r>
      <w:hyperlink r:id="rId72">
        <w:r>
          <w:rPr>
            <w:rStyle w:val="Hyperlink"/>
          </w:rPr>
          <w:t xml:space="preserve">PMID 42123139</w:t>
        </w:r>
      </w:hyperlink>
    </w:p>
    <w:p>
      <w:pPr>
        <w:numPr>
          <w:ilvl w:val="0"/>
          <w:numId w:val="1036"/>
        </w:numPr>
      </w:pPr>
      <w:r>
        <w:t xml:space="preserve">Zdrhova L, Bitnar P, Balihar K, et al. </w:t>
      </w:r>
      <w:r>
        <w:rPr>
          <w:i/>
          <w:iCs/>
        </w:rPr>
        <w:t xml:space="preserve">Breathing Exercises in Gastroesophageal Reflux Disease: A Systematic Review.</w:t>
      </w:r>
      <w:r>
        <w:t xml:space="preserve"> </w:t>
      </w:r>
      <w:r>
        <w:t xml:space="preserve">Dysphagia. 2023;38(2):609-621.</w:t>
      </w:r>
      <w:r>
        <w:t xml:space="preserve"> </w:t>
      </w:r>
      <w:hyperlink r:id="rId73">
        <w:r>
          <w:rPr>
            <w:rStyle w:val="Hyperlink"/>
          </w:rPr>
          <w:t xml:space="preserve">PMID 35842548</w:t>
        </w:r>
      </w:hyperlink>
    </w:p>
    <w:p>
      <w:pPr>
        <w:numPr>
          <w:ilvl w:val="0"/>
          <w:numId w:val="1036"/>
        </w:numPr>
      </w:pPr>
      <w:r>
        <w:t xml:space="preserve">Lynen A, Schömitz M, Vahle M, Jäkel A, Rütz M, Schwerla F.</w:t>
      </w:r>
      <w:r>
        <w:t xml:space="preserve"> </w:t>
      </w:r>
      <w:r>
        <w:rPr>
          <w:i/>
          <w:iCs/>
        </w:rPr>
        <w:t xml:space="preserve">Osteopathic treatment in addition to standard care in patients with Gastroesophageal Reflux Disease (GERD) — a pragmatic randomized controlled trial.</w:t>
      </w:r>
      <w:r>
        <w:t xml:space="preserve"> </w:t>
      </w:r>
      <w:r>
        <w:t xml:space="preserve">J Bodyw Mov Ther. 2022;29:223-231.</w:t>
      </w:r>
      <w:r>
        <w:t xml:space="preserve"> </w:t>
      </w:r>
      <w:hyperlink r:id="rId77">
        <w:r>
          <w:rPr>
            <w:rStyle w:val="Hyperlink"/>
          </w:rPr>
          <w:t xml:space="preserve">PMID 35248274</w:t>
        </w:r>
      </w:hyperlink>
    </w:p>
    <w:p>
      <w:pPr>
        <w:numPr>
          <w:ilvl w:val="0"/>
          <w:numId w:val="1036"/>
        </w:numPr>
      </w:pPr>
      <w:r>
        <w:t xml:space="preserve">Laborde S, Allen MS, Borges U, et al. </w:t>
      </w:r>
      <w:r>
        <w:rPr>
          <w:i/>
          <w:iCs/>
        </w:rPr>
        <w:t xml:space="preserve">Effects of voluntary slow breathing on heart rate and heart rate variability: A systematic review and a meta-analysis.</w:t>
      </w:r>
      <w:r>
        <w:t xml:space="preserve"> </w:t>
      </w:r>
      <w:r>
        <w:t xml:space="preserve">Neurosci Biobehav Rev. 2022;138:104711.</w:t>
      </w:r>
      <w:r>
        <w:t xml:space="preserve"> </w:t>
      </w:r>
      <w:hyperlink r:id="rId117">
        <w:r>
          <w:rPr>
            <w:rStyle w:val="Hyperlink"/>
          </w:rPr>
          <w:t xml:space="preserve">PMID 35623448</w:t>
        </w:r>
      </w:hyperlink>
    </w:p>
    <w:p>
      <w:pPr>
        <w:numPr>
          <w:ilvl w:val="0"/>
          <w:numId w:val="1036"/>
        </w:numPr>
      </w:pPr>
      <w:r>
        <w:t xml:space="preserve">Ruffini N, D’Alessandro G, Mariani N, Pollastrelli A, Cardinali L, Cerritelli F.</w:t>
      </w:r>
      <w:r>
        <w:t xml:space="preserve"> </w:t>
      </w:r>
      <w:r>
        <w:rPr>
          <w:i/>
          <w:iCs/>
        </w:rPr>
        <w:t xml:space="preserve">Variations of high frequency parameter of heart rate variability following osteopathic manipulative treatment in healthy subjects compared to control group and sham therapy: randomized controlled trial.</w:t>
      </w:r>
      <w:r>
        <w:t xml:space="preserve"> </w:t>
      </w:r>
      <w:r>
        <w:t xml:space="preserve">Front Neurosci. 2015;9:272.</w:t>
      </w:r>
      <w:r>
        <w:t xml:space="preserve"> </w:t>
      </w:r>
      <w:hyperlink r:id="rId118">
        <w:r>
          <w:rPr>
            <w:rStyle w:val="Hyperlink"/>
          </w:rPr>
          <w:t xml:space="preserve">PMID 26300719</w:t>
        </w:r>
      </w:hyperlink>
    </w:p>
    <w:p>
      <w:pPr>
        <w:numPr>
          <w:ilvl w:val="0"/>
          <w:numId w:val="1036"/>
        </w:numPr>
      </w:pPr>
      <w:r>
        <w:t xml:space="preserve">Löken LS, Wessberg J, Morrison I, McGlone F, Olausson H.</w:t>
      </w:r>
      <w:r>
        <w:t xml:space="preserve"> </w:t>
      </w:r>
      <w:r>
        <w:rPr>
          <w:i/>
          <w:iCs/>
        </w:rPr>
        <w:t xml:space="preserve">Coding of pleasant touch by unmyelinated afferents in humans.</w:t>
      </w:r>
      <w:r>
        <w:t xml:space="preserve"> </w:t>
      </w:r>
      <w:r>
        <w:t xml:space="preserve">Nat Neurosci. 2009;12(5):547-548.</w:t>
      </w:r>
      <w:r>
        <w:t xml:space="preserve"> </w:t>
      </w:r>
      <w:hyperlink r:id="rId119">
        <w:r>
          <w:rPr>
            <w:rStyle w:val="Hyperlink"/>
          </w:rPr>
          <w:t xml:space="preserve">PMID 19363489</w:t>
        </w:r>
      </w:hyperlink>
    </w:p>
    <w:p>
      <w:pPr>
        <w:numPr>
          <w:ilvl w:val="0"/>
          <w:numId w:val="1036"/>
        </w:numPr>
      </w:pPr>
      <w:r>
        <w:t xml:space="preserve">Bialosky JE, Beneciuk JM, Bishop MD, et al. </w:t>
      </w:r>
      <w:r>
        <w:rPr>
          <w:i/>
          <w:iCs/>
        </w:rPr>
        <w:t xml:space="preserve">Unraveling the Mechanisms of Manual Therapy: Modeling an Approach.</w:t>
      </w:r>
      <w:r>
        <w:t xml:space="preserve"> </w:t>
      </w:r>
      <w:r>
        <w:t xml:space="preserve">J Orthop Sports Phys Ther. 2018;48(1):8-18.</w:t>
      </w:r>
      <w:r>
        <w:t xml:space="preserve"> </w:t>
      </w:r>
      <w:hyperlink r:id="rId120">
        <w:r>
          <w:rPr>
            <w:rStyle w:val="Hyperlink"/>
          </w:rPr>
          <w:t xml:space="preserve">PMID 29034802</w:t>
        </w:r>
      </w:hyperlink>
    </w:p>
    <w:p>
      <w:pPr>
        <w:numPr>
          <w:ilvl w:val="0"/>
          <w:numId w:val="1036"/>
        </w:numPr>
      </w:pPr>
      <w:r>
        <w:t xml:space="preserve">Rossettini G, Carlino E, Testa M.</w:t>
      </w:r>
      <w:r>
        <w:t xml:space="preserve"> </w:t>
      </w:r>
      <w:r>
        <w:rPr>
          <w:i/>
          <w:iCs/>
        </w:rPr>
        <w:t xml:space="preserve">Clinical relevance of contextual factors as triggers of placebo and nocebo effects in musculoskeletal pain.</w:t>
      </w:r>
      <w:r>
        <w:t xml:space="preserve"> </w:t>
      </w:r>
      <w:r>
        <w:t xml:space="preserve">BMC Musculoskelet Disord. 2018;19(1):27.</w:t>
      </w:r>
      <w:r>
        <w:t xml:space="preserve"> </w:t>
      </w:r>
      <w:hyperlink r:id="rId121">
        <w:r>
          <w:rPr>
            <w:rStyle w:val="Hyperlink"/>
          </w:rPr>
          <w:t xml:space="preserve">PMID 29357856</w:t>
        </w:r>
      </w:hyperlink>
    </w:p>
    <w:p>
      <w:pPr>
        <w:numPr>
          <w:ilvl w:val="0"/>
          <w:numId w:val="1036"/>
        </w:numPr>
      </w:pPr>
      <w:r>
        <w:t xml:space="preserve">Jacobson BC, Somers SC, Fuchs CS, Kelly CP, Camargo CA Jr. </w:t>
      </w:r>
      <w:r>
        <w:rPr>
          <w:i/>
          <w:iCs/>
        </w:rPr>
        <w:t xml:space="preserve">Body-mass index and symptoms of gastroesophageal reflux in women.</w:t>
      </w:r>
      <w:r>
        <w:t xml:space="preserve"> </w:t>
      </w:r>
      <w:r>
        <w:t xml:space="preserve">N Engl J Med. 2006;354(22):2340-2348.</w:t>
      </w:r>
      <w:r>
        <w:t xml:space="preserve"> </w:t>
      </w:r>
      <w:hyperlink r:id="rId122">
        <w:r>
          <w:rPr>
            <w:rStyle w:val="Hyperlink"/>
          </w:rPr>
          <w:t xml:space="preserve">PMID 16738270</w:t>
        </w:r>
      </w:hyperlink>
    </w:p>
    <w:p>
      <w:pPr>
        <w:numPr>
          <w:ilvl w:val="0"/>
          <w:numId w:val="1036"/>
        </w:numPr>
      </w:pPr>
      <w:r>
        <w:t xml:space="preserve">Ness-Jensen E, Lindam A, Lagergren J, Hveem K.</w:t>
      </w:r>
      <w:r>
        <w:t xml:space="preserve"> </w:t>
      </w:r>
      <w:r>
        <w:rPr>
          <w:i/>
          <w:iCs/>
        </w:rPr>
        <w:t xml:space="preserve">Weight loss and reduction in gastroesophageal reflux. A prospective population-based cohort study: the HUNT study.</w:t>
      </w:r>
      <w:r>
        <w:t xml:space="preserve"> </w:t>
      </w:r>
      <w:r>
        <w:t xml:space="preserve">Am J Gastroenterol. 2013;108(3):376-382.</w:t>
      </w:r>
      <w:r>
        <w:t xml:space="preserve"> </w:t>
      </w:r>
      <w:hyperlink r:id="rId123">
        <w:r>
          <w:rPr>
            <w:rStyle w:val="Hyperlink"/>
          </w:rPr>
          <w:t xml:space="preserve">PMID 23358462</w:t>
        </w:r>
      </w:hyperlink>
    </w:p>
    <w:p>
      <w:pPr>
        <w:numPr>
          <w:ilvl w:val="0"/>
          <w:numId w:val="1036"/>
        </w:numPr>
      </w:pPr>
      <w:r>
        <w:t xml:space="preserve">Mehta RS, Nguyen LH, Ma W, Staller K, Song M, Chan AT.</w:t>
      </w:r>
      <w:r>
        <w:t xml:space="preserve"> </w:t>
      </w:r>
      <w:r>
        <w:rPr>
          <w:i/>
          <w:iCs/>
        </w:rPr>
        <w:t xml:space="preserve">Association of Diet and Lifestyle With the Risk of Gastroesophageal Reflux Disease Symptoms in US Women.</w:t>
      </w:r>
      <w:r>
        <w:t xml:space="preserve"> </w:t>
      </w:r>
      <w:r>
        <w:t xml:space="preserve">JAMA Intern Med. 2021;181(4):552-554.</w:t>
      </w:r>
      <w:r>
        <w:t xml:space="preserve"> </w:t>
      </w:r>
      <w:hyperlink r:id="rId124">
        <w:r>
          <w:rPr>
            <w:rStyle w:val="Hyperlink"/>
          </w:rPr>
          <w:t xml:space="preserve">PMID 33393976</w:t>
        </w:r>
      </w:hyperlink>
    </w:p>
    <w:p>
      <w:pPr>
        <w:numPr>
          <w:ilvl w:val="0"/>
          <w:numId w:val="1036"/>
        </w:numPr>
      </w:pPr>
      <w:r>
        <w:rPr>
          <w:i/>
          <w:iCs/>
        </w:rPr>
        <w:t xml:space="preserve">Osteopathic Manipulation as a Method of Cortisol Modification: A Systematic Review.</w:t>
      </w:r>
      <w:r>
        <w:t xml:space="preserve"> </w:t>
      </w:r>
      <w:r>
        <w:t xml:space="preserve">Cureus. 2023.</w:t>
      </w:r>
      <w:r>
        <w:t xml:space="preserve"> </w:t>
      </w:r>
      <w:hyperlink r:id="rId125">
        <w:r>
          <w:rPr>
            <w:rStyle w:val="Hyperlink"/>
          </w:rPr>
          <w:t xml:space="preserve">PMID 37123793</w:t>
        </w:r>
      </w:hyperlink>
    </w:p>
    <w:p>
      <w:pPr>
        <w:pStyle w:val="FirstParagraph"/>
      </w:pPr>
      <w:r>
        <w:rPr>
          <w:b/>
          <w:bCs/>
        </w:rPr>
        <w:t xml:space="preserve">Aggiunte alla v2, dopo il primo livello di revisione.</w:t>
      </w:r>
    </w:p>
    <w:p>
      <w:pPr>
        <w:numPr>
          <w:ilvl w:val="0"/>
          <w:numId w:val="1037"/>
        </w:numPr>
      </w:pPr>
      <w:r>
        <w:t xml:space="preserve">Dellon ES, Liacouras CA, Molina-Infante J, et al. </w:t>
      </w:r>
      <w:r>
        <w:rPr>
          <w:i/>
          <w:iCs/>
        </w:rPr>
        <w:t xml:space="preserve">Updated International Consensus Diagnostic Criteria for Eosinophilic Esophagitis: Proceedings of the AGREE Conference.</w:t>
      </w:r>
      <w:r>
        <w:t xml:space="preserve"> </w:t>
      </w:r>
      <w:r>
        <w:t xml:space="preserve">Gastroenterology. 2018;155(4):1022-1033.</w:t>
      </w:r>
      <w:r>
        <w:t xml:space="preserve"> </w:t>
      </w:r>
      <w:hyperlink r:id="rId126">
        <w:r>
          <w:rPr>
            <w:rStyle w:val="Hyperlink"/>
          </w:rPr>
          <w:t xml:space="preserve">PMID 30009819</w:t>
        </w:r>
      </w:hyperlink>
    </w:p>
    <w:p>
      <w:pPr>
        <w:numPr>
          <w:ilvl w:val="0"/>
          <w:numId w:val="1037"/>
        </w:numPr>
      </w:pPr>
      <w:r>
        <w:t xml:space="preserve">Ness-Jensen E, Lindam A, Lagergren J, Hveem K.</w:t>
      </w:r>
      <w:r>
        <w:t xml:space="preserve"> </w:t>
      </w:r>
      <w:r>
        <w:rPr>
          <w:i/>
          <w:iCs/>
        </w:rPr>
        <w:t xml:space="preserve">Changes in prevalence, incidence and spontaneous loss of gastro-oesophageal reflux symptoms: the HUNT study.</w:t>
      </w:r>
      <w:r>
        <w:t xml:space="preserve"> </w:t>
      </w:r>
      <w:r>
        <w:t xml:space="preserve">Gut. 2012;61(10):1390-1397.</w:t>
      </w:r>
      <w:r>
        <w:t xml:space="preserve"> </w:t>
      </w:r>
      <w:hyperlink r:id="rId127">
        <w:r>
          <w:rPr>
            <w:rStyle w:val="Hyperlink"/>
          </w:rPr>
          <w:t xml:space="preserve">PMID 22190483</w:t>
        </w:r>
      </w:hyperlink>
    </w:p>
    <w:p>
      <w:pPr>
        <w:numPr>
          <w:ilvl w:val="0"/>
          <w:numId w:val="1037"/>
        </w:numPr>
      </w:pPr>
      <w:r>
        <w:t xml:space="preserve">Noh Y, Yin H, Yu OHY, Bitton A, Azoulay L.</w:t>
      </w:r>
      <w:r>
        <w:t xml:space="preserve"> </w:t>
      </w:r>
      <w:r>
        <w:rPr>
          <w:i/>
          <w:iCs/>
        </w:rPr>
        <w:t xml:space="preserve">Glucagon-Like Peptide-1 Receptor Agonists and Risk for Gastroesophageal Reflux Disease in Patients With Type 2 Diabetes.</w:t>
      </w:r>
      <w:r>
        <w:t xml:space="preserve"> </w:t>
      </w:r>
      <w:r>
        <w:t xml:space="preserve">Ann Intern Med. 2025;178(9):1268-1278.</w:t>
      </w:r>
      <w:r>
        <w:t xml:space="preserve"> </w:t>
      </w:r>
      <w:hyperlink r:id="rId128">
        <w:r>
          <w:rPr>
            <w:rStyle w:val="Hyperlink"/>
          </w:rPr>
          <w:t xml:space="preserve">PMID 40658955</w:t>
        </w:r>
      </w:hyperlink>
    </w:p>
    <w:p>
      <w:pPr>
        <w:numPr>
          <w:ilvl w:val="0"/>
          <w:numId w:val="1037"/>
        </w:numPr>
      </w:pPr>
      <w:r>
        <w:t xml:space="preserve">American College of Radiology.</w:t>
      </w:r>
      <w:r>
        <w:t xml:space="preserve"> </w:t>
      </w:r>
      <w:r>
        <w:rPr>
          <w:i/>
          <w:iCs/>
        </w:rPr>
        <w:t xml:space="preserve">ACR Appropriateness Criteria: Pulsatile Abdominal Mass, Suspected Abdominal Aortic Aneurysm</w:t>
      </w:r>
      <w:r>
        <w:t xml:space="preserve">, 2023 update.</w:t>
      </w:r>
      <w:r>
        <w:t xml:space="preserve"> </w:t>
      </w:r>
      <w:hyperlink r:id="rId129">
        <w:r>
          <w:rPr>
            <w:rStyle w:val="Hyperlink"/>
          </w:rPr>
          <w:t xml:space="preserve">PMID 38040468</w:t>
        </w:r>
      </w:hyperlink>
    </w:p>
    <w:p>
      <w:pPr>
        <w:numPr>
          <w:ilvl w:val="0"/>
          <w:numId w:val="1037"/>
        </w:numPr>
      </w:pPr>
      <w:r>
        <w:t xml:space="preserve">Sarkar S, Aziz Q, Woolf CJ, Hobson AR, Thompson DG.</w:t>
      </w:r>
      <w:r>
        <w:t xml:space="preserve"> </w:t>
      </w:r>
      <w:r>
        <w:rPr>
          <w:i/>
          <w:iCs/>
        </w:rPr>
        <w:t xml:space="preserve">Contribution of central sensitisation to the development of non-cardiac chest pain.</w:t>
      </w:r>
      <w:r>
        <w:t xml:space="preserve"> </w:t>
      </w:r>
      <w:r>
        <w:t xml:space="preserve">Lancet. 2000;356(9236):1154-1159.</w:t>
      </w:r>
      <w:r>
        <w:t xml:space="preserve"> </w:t>
      </w:r>
      <w:hyperlink r:id="rId130">
        <w:r>
          <w:rPr>
            <w:rStyle w:val="Hyperlink"/>
          </w:rPr>
          <w:t xml:space="preserve">PMID 11030295</w:t>
        </w:r>
      </w:hyperlink>
    </w:p>
    <w:p>
      <w:pPr>
        <w:numPr>
          <w:ilvl w:val="0"/>
          <w:numId w:val="1037"/>
        </w:numPr>
      </w:pPr>
      <w:r>
        <w:t xml:space="preserve">Willert RP, Woolf CJ, Hobson AR, et al. </w:t>
      </w:r>
      <w:r>
        <w:rPr>
          <w:i/>
          <w:iCs/>
        </w:rPr>
        <w:t xml:space="preserve">The development and maintenance of human visceral pain hypersensitivity is dependent on the N-methyl-D-aspartate receptor.</w:t>
      </w:r>
      <w:r>
        <w:t xml:space="preserve"> </w:t>
      </w:r>
      <w:r>
        <w:t xml:space="preserve">Neurogastroenterol Motil. 2007.</w:t>
      </w:r>
      <w:r>
        <w:t xml:space="preserve"> </w:t>
      </w:r>
      <w:hyperlink r:id="rId131">
        <w:r>
          <w:rPr>
            <w:rStyle w:val="Hyperlink"/>
          </w:rPr>
          <w:t xml:space="preserve">PMID 17391243</w:t>
        </w:r>
      </w:hyperlink>
    </w:p>
    <w:p>
      <w:pPr>
        <w:numPr>
          <w:ilvl w:val="0"/>
          <w:numId w:val="1037"/>
        </w:numPr>
      </w:pPr>
      <w:r>
        <w:t xml:space="preserve">Corso MJ, Pursnani KG, Mohiuddin MA, et al. </w:t>
      </w:r>
      <w:r>
        <w:rPr>
          <w:i/>
          <w:iCs/>
        </w:rPr>
        <w:t xml:space="preserve">Globus sensation is associated with hypertensive upper esophageal sphincter but not with gastroesophageal reflux.</w:t>
      </w:r>
      <w:r>
        <w:t xml:space="preserve"> </w:t>
      </w:r>
      <w:r>
        <w:t xml:space="preserve">Dig Dis Sci. 1998;43(7):1513-1517.</w:t>
      </w:r>
      <w:r>
        <w:t xml:space="preserve"> </w:t>
      </w:r>
      <w:hyperlink r:id="rId132">
        <w:r>
          <w:rPr>
            <w:rStyle w:val="Hyperlink"/>
          </w:rPr>
          <w:t xml:space="preserve">PMID 9690388</w:t>
        </w:r>
      </w:hyperlink>
    </w:p>
    <w:p>
      <w:pPr>
        <w:numPr>
          <w:ilvl w:val="0"/>
          <w:numId w:val="1037"/>
        </w:numPr>
      </w:pPr>
      <w:r>
        <w:t xml:space="preserve">Joshua J, et al. </w:t>
      </w:r>
      <w:r>
        <w:rPr>
          <w:i/>
          <w:iCs/>
        </w:rPr>
        <w:t xml:space="preserve">Selective crural diaphragm dysfunction in patients with chronic lung disease.</w:t>
      </w:r>
      <w:r>
        <w:t xml:space="preserve"> </w:t>
      </w:r>
      <w:r>
        <w:t xml:space="preserve">Neurogastroenterol Motil. 2024.</w:t>
      </w:r>
      <w:r>
        <w:t xml:space="preserve"> </w:t>
      </w:r>
      <w:hyperlink r:id="rId133">
        <w:r>
          <w:rPr>
            <w:rStyle w:val="Hyperlink"/>
          </w:rPr>
          <w:t xml:space="preserve">PMID 37882102</w:t>
        </w:r>
      </w:hyperlink>
    </w:p>
    <w:p>
      <w:pPr>
        <w:numPr>
          <w:ilvl w:val="0"/>
          <w:numId w:val="1037"/>
        </w:numPr>
      </w:pPr>
      <w:r>
        <w:t xml:space="preserve">Siboni S, et al. </w:t>
      </w:r>
      <w:r>
        <w:rPr>
          <w:i/>
          <w:iCs/>
        </w:rPr>
        <w:t xml:space="preserve">Effect of Increased Intra-abdominal Pressure on the Esophagogastric Junction: A Systematic Review.</w:t>
      </w:r>
      <w:r>
        <w:t xml:space="preserve"> </w:t>
      </w:r>
      <w:r>
        <w:t xml:space="preserve">J Clin Gastroenterol. 2022.</w:t>
      </w:r>
      <w:r>
        <w:t xml:space="preserve"> </w:t>
      </w:r>
      <w:hyperlink r:id="rId134">
        <w:r>
          <w:rPr>
            <w:rStyle w:val="Hyperlink"/>
          </w:rPr>
          <w:t xml:space="preserve">PMID 36084164</w:t>
        </w:r>
      </w:hyperlink>
    </w:p>
    <w:p>
      <w:pPr>
        <w:numPr>
          <w:ilvl w:val="0"/>
          <w:numId w:val="1037"/>
        </w:numPr>
      </w:pPr>
      <w:r>
        <w:t xml:space="preserve">Spence EK, Rosato EF.</w:t>
      </w:r>
      <w:r>
        <w:t xml:space="preserve"> </w:t>
      </w:r>
      <w:r>
        <w:rPr>
          <w:i/>
          <w:iCs/>
        </w:rPr>
        <w:t xml:space="preserve">The slipping rib syndrome.</w:t>
      </w:r>
      <w:r>
        <w:t xml:space="preserve"> </w:t>
      </w:r>
      <w:r>
        <w:t xml:space="preserve">Arch Surg. 1983;118(11):1330-1332.</w:t>
      </w:r>
      <w:r>
        <w:t xml:space="preserve"> </w:t>
      </w:r>
      <w:hyperlink r:id="rId135">
        <w:r>
          <w:rPr>
            <w:rStyle w:val="Hyperlink"/>
          </w:rPr>
          <w:t xml:space="preserve">PMID 6639342</w:t>
        </w:r>
      </w:hyperlink>
    </w:p>
    <w:p>
      <w:pPr>
        <w:numPr>
          <w:ilvl w:val="0"/>
          <w:numId w:val="1037"/>
        </w:numPr>
      </w:pPr>
      <w:r>
        <w:t xml:space="preserve">Fares MY, et al. </w:t>
      </w:r>
      <w:r>
        <w:rPr>
          <w:i/>
          <w:iCs/>
        </w:rPr>
        <w:t xml:space="preserve">Slipping Rib Syndrome: Solving the Mystery of the Shooting Pain.</w:t>
      </w:r>
      <w:r>
        <w:t xml:space="preserve"> </w:t>
      </w:r>
      <w:r>
        <w:t xml:space="preserve">Am J Med Sci. 2019;357(2):168-173.</w:t>
      </w:r>
      <w:r>
        <w:t xml:space="preserve"> </w:t>
      </w:r>
      <w:hyperlink r:id="rId136">
        <w:r>
          <w:rPr>
            <w:rStyle w:val="Hyperlink"/>
          </w:rPr>
          <w:t xml:space="preserve">PMID 30509726</w:t>
        </w:r>
      </w:hyperlink>
    </w:p>
    <w:p>
      <w:pPr>
        <w:numPr>
          <w:ilvl w:val="0"/>
          <w:numId w:val="1037"/>
        </w:numPr>
      </w:pPr>
      <w:r>
        <w:rPr>
          <w:i/>
          <w:iCs/>
        </w:rPr>
        <w:t xml:space="preserve">Intra-abdominal pressure during voluntary and reflex cough.</w:t>
      </w:r>
      <w:r>
        <w:t xml:space="preserve"> </w:t>
      </w:r>
      <w:r>
        <w:t xml:space="preserve">Cough. 2008;4:2.</w:t>
      </w:r>
      <w:r>
        <w:t xml:space="preserve"> </w:t>
      </w:r>
      <w:hyperlink r:id="rId137">
        <w:r>
          <w:rPr>
            <w:rStyle w:val="Hyperlink"/>
          </w:rPr>
          <w:t xml:space="preserve">PMID 18447952</w:t>
        </w:r>
      </w:hyperlink>
    </w:p>
    <w:p>
      <w:pPr>
        <w:numPr>
          <w:ilvl w:val="0"/>
          <w:numId w:val="1037"/>
        </w:numPr>
      </w:pPr>
      <w:r>
        <w:t xml:space="preserve">Villamil Morales IM, Galvis Blanco SJ, Valderrama Chaparro JA, et al. </w:t>
      </w:r>
      <w:r>
        <w:rPr>
          <w:i/>
          <w:iCs/>
        </w:rPr>
        <w:t xml:space="preserve">Impact of head of bed elevation in symptoms of patients with gastroesophageal reflux disease: a randomized single-blind study (IBELGA).</w:t>
      </w:r>
      <w:r>
        <w:t xml:space="preserve"> </w:t>
      </w:r>
      <w:r>
        <w:t xml:space="preserve">Gastroenterol Hepatol. 2020;43(6):310-321.</w:t>
      </w:r>
      <w:r>
        <w:t xml:space="preserve"> </w:t>
      </w:r>
      <w:hyperlink r:id="rId79">
        <w:r>
          <w:rPr>
            <w:rStyle w:val="Hyperlink"/>
          </w:rPr>
          <w:t xml:space="preserve">PMID 32229033</w:t>
        </w:r>
      </w:hyperlink>
    </w:p>
    <w:p>
      <w:pPr>
        <w:numPr>
          <w:ilvl w:val="0"/>
          <w:numId w:val="1037"/>
        </w:numPr>
      </w:pPr>
      <w:r>
        <w:t xml:space="preserve">Schuitenmaker JM, Kuipers T, Oude Nijhuis RAB, et al. </w:t>
      </w:r>
      <w:r>
        <w:rPr>
          <w:i/>
          <w:iCs/>
        </w:rPr>
        <w:t xml:space="preserve">Sleep Positional Therapy for Nocturnal Gastroesophageal Reflux: A Double-Blind, Randomized, Sham-Controlled Trial.</w:t>
      </w:r>
      <w:r>
        <w:t xml:space="preserve"> </w:t>
      </w:r>
      <w:r>
        <w:t xml:space="preserve">Clin Gastroenterol Hepatol. 2022.</w:t>
      </w:r>
      <w:r>
        <w:t xml:space="preserve"> </w:t>
      </w:r>
      <w:hyperlink r:id="rId78">
        <w:r>
          <w:rPr>
            <w:rStyle w:val="Hyperlink"/>
          </w:rPr>
          <w:t xml:space="preserve">PMID 35301135</w:t>
        </w:r>
      </w:hyperlink>
    </w:p>
    <w:p>
      <w:pPr>
        <w:numPr>
          <w:ilvl w:val="0"/>
          <w:numId w:val="1037"/>
        </w:numPr>
      </w:pPr>
      <w:r>
        <w:t xml:space="preserve">Herregods TVK, van Hoeij FB, Oors JM, Bredenoord AJ, Smout AJPM.</w:t>
      </w:r>
      <w:r>
        <w:t xml:space="preserve"> </w:t>
      </w:r>
      <w:r>
        <w:rPr>
          <w:i/>
          <w:iCs/>
        </w:rPr>
        <w:t xml:space="preserve">Effect of Running on Gastroesophageal Reflux and Reflux Mechanisms.</w:t>
      </w:r>
      <w:r>
        <w:t xml:space="preserve"> </w:t>
      </w:r>
      <w:r>
        <w:t xml:space="preserve">Am J Gastroenterol. 2016;111(7):940-946.</w:t>
      </w:r>
      <w:r>
        <w:t xml:space="preserve"> </w:t>
      </w:r>
      <w:hyperlink r:id="rId138">
        <w:r>
          <w:rPr>
            <w:rStyle w:val="Hyperlink"/>
          </w:rPr>
          <w:t xml:space="preserve">PMID 27068716</w:t>
        </w:r>
      </w:hyperlink>
    </w:p>
    <w:p>
      <w:pPr>
        <w:numPr>
          <w:ilvl w:val="0"/>
          <w:numId w:val="1037"/>
        </w:numPr>
      </w:pPr>
      <w:r>
        <w:t xml:space="preserve">Urnes J, Farup PG, Lydersen S, Petersen H.</w:t>
      </w:r>
      <w:r>
        <w:t xml:space="preserve"> </w:t>
      </w:r>
      <w:r>
        <w:rPr>
          <w:i/>
          <w:iCs/>
        </w:rPr>
        <w:t xml:space="preserve">Patient education in gastro-oesophageal reflux disease: a randomised controlled trial.</w:t>
      </w:r>
      <w:r>
        <w:t xml:space="preserve"> </w:t>
      </w:r>
      <w:r>
        <w:t xml:space="preserve">Eur J Gastroenterol Hepatol. 2007;19(12):1104-1109.</w:t>
      </w:r>
      <w:r>
        <w:t xml:space="preserve"> </w:t>
      </w:r>
      <w:hyperlink r:id="rId139">
        <w:r>
          <w:rPr>
            <w:rStyle w:val="Hyperlink"/>
          </w:rPr>
          <w:t xml:space="preserve">PMID 17998836</w:t>
        </w:r>
      </w:hyperlink>
    </w:p>
    <w:p>
      <w:pPr>
        <w:numPr>
          <w:ilvl w:val="0"/>
          <w:numId w:val="1037"/>
        </w:numPr>
      </w:pPr>
      <w:r>
        <w:t xml:space="preserve">Guillaud A, Darbois N, Monvoisin R, Pinsault N.</w:t>
      </w:r>
      <w:r>
        <w:t xml:space="preserve"> </w:t>
      </w:r>
      <w:r>
        <w:rPr>
          <w:i/>
          <w:iCs/>
        </w:rPr>
        <w:t xml:space="preserve">Reliability of diagnosis and clinical efficacy of visceral osteopathy: a systematic review.</w:t>
      </w:r>
      <w:r>
        <w:t xml:space="preserve"> </w:t>
      </w:r>
      <w:r>
        <w:t xml:space="preserve">BMC Complement Altern Med. 2018;18(1):65.</w:t>
      </w:r>
      <w:r>
        <w:t xml:space="preserve"> </w:t>
      </w:r>
      <w:hyperlink r:id="rId85">
        <w:r>
          <w:rPr>
            <w:rStyle w:val="Hyperlink"/>
          </w:rPr>
          <w:t xml:space="preserve">PMID 29452579</w:t>
        </w:r>
      </w:hyperlink>
    </w:p>
    <w:p>
      <w:pPr>
        <w:numPr>
          <w:ilvl w:val="0"/>
          <w:numId w:val="1037"/>
        </w:numPr>
      </w:pPr>
      <w:r>
        <w:t xml:space="preserve">da Silva FC, et al. </w:t>
      </w:r>
      <w:r>
        <w:rPr>
          <w:i/>
          <w:iCs/>
        </w:rPr>
        <w:t xml:space="preserve">Effectiveness of Fascial Therapy on the visceral system: a systematic review.</w:t>
      </w:r>
      <w:r>
        <w:t xml:space="preserve"> </w:t>
      </w:r>
      <w:r>
        <w:t xml:space="preserve">BMC Complement Med Ther. 2023;23:274.</w:t>
      </w:r>
      <w:r>
        <w:t xml:space="preserve"> </w:t>
      </w:r>
      <w:hyperlink r:id="rId84">
        <w:r>
          <w:rPr>
            <w:rStyle w:val="Hyperlink"/>
          </w:rPr>
          <w:t xml:space="preserve">PMID 37525195</w:t>
        </w:r>
      </w:hyperlink>
    </w:p>
    <w:p>
      <w:pPr>
        <w:numPr>
          <w:ilvl w:val="0"/>
          <w:numId w:val="1037"/>
        </w:numPr>
      </w:pPr>
      <w:r>
        <w:t xml:space="preserve">Ceballos-Laita L, Ernst E, Carrasco-Uribarren A, et al. </w:t>
      </w:r>
      <w:r>
        <w:rPr>
          <w:i/>
          <w:iCs/>
        </w:rPr>
        <w:t xml:space="preserve">Is visceral osteopathy therapy effective? A systematic review and meta-analysis.</w:t>
      </w:r>
      <w:r>
        <w:t xml:space="preserve"> </w:t>
      </w:r>
      <w:r>
        <w:t xml:space="preserve">Int J Osteopath Med. 2024;53:100729.</w:t>
      </w:r>
    </w:p>
    <w:p>
      <w:pPr>
        <w:numPr>
          <w:ilvl w:val="0"/>
          <w:numId w:val="1037"/>
        </w:numPr>
      </w:pPr>
      <w:r>
        <w:t xml:space="preserve">dos Santos C, Artioli DP, Bertolini GRF.</w:t>
      </w:r>
      <w:r>
        <w:t xml:space="preserve"> </w:t>
      </w:r>
      <w:r>
        <w:rPr>
          <w:i/>
          <w:iCs/>
        </w:rPr>
        <w:t xml:space="preserve">Manual therapy as a management approach for gastroesophageal reflux disease: a systematic review.</w:t>
      </w:r>
      <w:r>
        <w:t xml:space="preserve"> </w:t>
      </w:r>
      <w:r>
        <w:t xml:space="preserve">Int J Osteopath Med. 2022;46:45-50. — rivista di settore, non indicizzata in PubMed.</w:t>
      </w:r>
    </w:p>
    <w:p>
      <w:pPr>
        <w:numPr>
          <w:ilvl w:val="0"/>
          <w:numId w:val="1037"/>
        </w:numPr>
      </w:pPr>
      <w:r>
        <w:t xml:space="preserve">Riehl ME, Pandolfino JE, Palsson OS, Keefer L.</w:t>
      </w:r>
      <w:r>
        <w:t xml:space="preserve"> </w:t>
      </w:r>
      <w:r>
        <w:rPr>
          <w:i/>
          <w:iCs/>
        </w:rPr>
        <w:t xml:space="preserve">Feasibility and acceptability of esophageal-directed hypnotherapy for functional heartburn.</w:t>
      </w:r>
      <w:r>
        <w:t xml:space="preserve"> </w:t>
      </w:r>
      <w:r>
        <w:t xml:space="preserve">Dis Esophagus. 2016;29(5):490-496.</w:t>
      </w:r>
      <w:r>
        <w:t xml:space="preserve"> </w:t>
      </w:r>
      <w:hyperlink r:id="rId140">
        <w:r>
          <w:rPr>
            <w:rStyle w:val="Hyperlink"/>
          </w:rPr>
          <w:t xml:space="preserve">PMID 25824436</w:t>
        </w:r>
      </w:hyperlink>
    </w:p>
    <w:p>
      <w:pPr>
        <w:numPr>
          <w:ilvl w:val="0"/>
          <w:numId w:val="1037"/>
        </w:numPr>
      </w:pPr>
      <w:r>
        <w:t xml:space="preserve">Taft TH, Triggs JR, Carlson DA, et al. </w:t>
      </w:r>
      <w:r>
        <w:rPr>
          <w:i/>
          <w:iCs/>
        </w:rPr>
        <w:t xml:space="preserve">Validation of the oesophageal hypervigilance and anxiety scale.</w:t>
      </w:r>
      <w:r>
        <w:t xml:space="preserve"> </w:t>
      </w:r>
      <w:r>
        <w:t xml:space="preserve">Aliment Pharmacol Ther. 2018;47(9):1270-1277.</w:t>
      </w:r>
      <w:r>
        <w:t xml:space="preserve"> </w:t>
      </w:r>
      <w:hyperlink r:id="rId141">
        <w:r>
          <w:rPr>
            <w:rStyle w:val="Hyperlink"/>
          </w:rPr>
          <w:t xml:space="preserve">PMID 29528128</w:t>
        </w:r>
      </w:hyperlink>
    </w:p>
    <w:p>
      <w:pPr>
        <w:numPr>
          <w:ilvl w:val="0"/>
          <w:numId w:val="1037"/>
        </w:numPr>
      </w:pPr>
      <w:r>
        <w:t xml:space="preserve">Rushton A, Carlesso LC, Flynn T, et al. </w:t>
      </w:r>
      <w:r>
        <w:rPr>
          <w:i/>
          <w:iCs/>
        </w:rPr>
        <w:t xml:space="preserve">International Framework for Examination of the Cervical Region for Potential of Vascular Pathologies of the Neck Prior to Musculoskeletal Intervention.</w:t>
      </w:r>
      <w:r>
        <w:t xml:space="preserve"> </w:t>
      </w:r>
      <w:r>
        <w:t xml:space="preserve">J Orthop Sports Phys Ther. 2022;52(9):1-58. (International IFOMPT Cervical Framework, revisione 2020)</w:t>
      </w:r>
    </w:p>
    <w:p>
      <w:pPr>
        <w:numPr>
          <w:ilvl w:val="0"/>
          <w:numId w:val="1037"/>
        </w:numPr>
      </w:pPr>
      <w:r>
        <w:t xml:space="preserve">Shibata Y, et al. </w:t>
      </w:r>
      <w:r>
        <w:rPr>
          <w:i/>
          <w:iCs/>
        </w:rPr>
        <w:t xml:space="preserve">Internal Carotid Artery Dissection Following Self-Massage of the Neck.</w:t>
      </w:r>
      <w:r>
        <w:t xml:space="preserve"> </w:t>
      </w:r>
      <w:r>
        <w:t xml:space="preserve">Cureus. 2023;15(9):e45516.</w:t>
      </w:r>
      <w:r>
        <w:t xml:space="preserve"> </w:t>
      </w:r>
      <w:hyperlink r:id="rId142">
        <w:r>
          <w:rPr>
            <w:rStyle w:val="Hyperlink"/>
          </w:rPr>
          <w:t xml:space="preserve">PMID 37868401</w:t>
        </w:r>
      </w:hyperlink>
    </w:p>
    <w:p>
      <w:pPr>
        <w:pStyle w:val="FirstParagraph"/>
      </w:pPr>
      <w:r>
        <w:rPr>
          <w:b/>
          <w:bCs/>
        </w:rPr>
        <w:t xml:space="preserve">Aggiunte alla v3, dopo il secondo livello di revisione.</w:t>
      </w:r>
    </w:p>
    <w:p>
      <w:pPr>
        <w:numPr>
          <w:ilvl w:val="0"/>
          <w:numId w:val="1038"/>
        </w:numPr>
      </w:pPr>
      <w:r>
        <w:t xml:space="preserve">Mitchell DR, Derakhshan MH, Wirz AA, Ballantyne SA, McColl KEL.</w:t>
      </w:r>
      <w:r>
        <w:t xml:space="preserve"> </w:t>
      </w:r>
      <w:r>
        <w:rPr>
          <w:i/>
          <w:iCs/>
        </w:rPr>
        <w:t xml:space="preserve">Abdominal Compression by Waist Belt Aggravates Gastroesophageal Reflux, Primarily by Impairing Esophageal Clearance.</w:t>
      </w:r>
      <w:r>
        <w:t xml:space="preserve"> </w:t>
      </w:r>
      <w:r>
        <w:t xml:space="preserve">Gastroenterology. 2017;152(8):1881-1888.</w:t>
      </w:r>
      <w:r>
        <w:t xml:space="preserve"> </w:t>
      </w:r>
      <w:hyperlink r:id="rId143">
        <w:r>
          <w:rPr>
            <w:rStyle w:val="Hyperlink"/>
          </w:rPr>
          <w:t xml:space="preserve">PMID 28267445</w:t>
        </w:r>
      </w:hyperlink>
    </w:p>
    <w:p>
      <w:pPr>
        <w:numPr>
          <w:ilvl w:val="0"/>
          <w:numId w:val="1038"/>
        </w:numPr>
      </w:pPr>
      <w:r>
        <w:t xml:space="preserve">Lee YY, Wirz AA, Whiting JGH, et al. </w:t>
      </w:r>
      <w:r>
        <w:rPr>
          <w:i/>
          <w:iCs/>
        </w:rPr>
        <w:t xml:space="preserve">Waist belt and central obesity cause partial hiatus hernia and short-segment acid reflux in asymptomatic volunteers.</w:t>
      </w:r>
      <w:r>
        <w:t xml:space="preserve"> </w:t>
      </w:r>
      <w:r>
        <w:t xml:space="preserve">Gut. 2014;63(7):1053-1060.</w:t>
      </w:r>
      <w:r>
        <w:t xml:space="preserve"> </w:t>
      </w:r>
      <w:hyperlink r:id="rId144">
        <w:r>
          <w:rPr>
            <w:rStyle w:val="Hyperlink"/>
          </w:rPr>
          <w:t xml:space="preserve">PMID 24064007</w:t>
        </w:r>
      </w:hyperlink>
    </w:p>
    <w:p>
      <w:pPr>
        <w:numPr>
          <w:ilvl w:val="0"/>
          <w:numId w:val="1038"/>
        </w:numPr>
      </w:pPr>
      <w:r>
        <w:t xml:space="preserve">Imagama S, et al. </w:t>
      </w:r>
      <w:r>
        <w:rPr>
          <w:i/>
          <w:iCs/>
        </w:rPr>
        <w:t xml:space="preserve">Impact of spinal alignment and back muscle strength on the development of gastroesophageal reflux disease: a 5-year prospective longitudinal study.</w:t>
      </w:r>
      <w:r>
        <w:t xml:space="preserve"> </w:t>
      </w:r>
      <w:r>
        <w:t xml:space="preserve">Eur Spine J. 2019;28(11):2619-2628.</w:t>
      </w:r>
      <w:r>
        <w:t xml:space="preserve"> </w:t>
      </w:r>
      <w:hyperlink r:id="rId145">
        <w:r>
          <w:rPr>
            <w:rStyle w:val="Hyperlink"/>
          </w:rPr>
          <w:t xml:space="preserve">PMID 31506765</w:t>
        </w:r>
      </w:hyperlink>
    </w:p>
    <w:p>
      <w:pPr>
        <w:numPr>
          <w:ilvl w:val="0"/>
          <w:numId w:val="1038"/>
        </w:numPr>
      </w:pPr>
      <w:r>
        <w:t xml:space="preserve">Gordon TC, Hope-Bell J, Draper-Rodi J, MacMillan A, Miller D, Edwards DJ.</w:t>
      </w:r>
      <w:r>
        <w:t xml:space="preserve"> </w:t>
      </w:r>
      <w:r>
        <w:rPr>
          <w:i/>
          <w:iCs/>
        </w:rPr>
        <w:t xml:space="preserve">Effects of osteopathic interventions on measures of physiological and psychological outcomes: systematic review and meta-analysis.</w:t>
      </w:r>
      <w:r>
        <w:t xml:space="preserve"> </w:t>
      </w:r>
      <w:r>
        <w:t xml:space="preserve">BMJ Open. 2025.</w:t>
      </w:r>
      <w:r>
        <w:t xml:space="preserve"> </w:t>
      </w:r>
      <w:hyperlink r:id="rId146">
        <w:r>
          <w:rPr>
            <w:rStyle w:val="Hyperlink"/>
          </w:rPr>
          <w:t xml:space="preserve">PMID 39920074</w:t>
        </w:r>
      </w:hyperlink>
    </w:p>
    <w:p>
      <w:pPr>
        <w:numPr>
          <w:ilvl w:val="0"/>
          <w:numId w:val="1038"/>
        </w:numPr>
      </w:pPr>
      <w:r>
        <w:t xml:space="preserve">Cerritelli F, Chiacchiaretta P, Gambi F, et al. </w:t>
      </w:r>
      <w:r>
        <w:rPr>
          <w:i/>
          <w:iCs/>
        </w:rPr>
        <w:t xml:space="preserve">Effect of manual approaches with osteopathic modality on brain correlates of interoception: an fMRI study.</w:t>
      </w:r>
      <w:r>
        <w:t xml:space="preserve"> </w:t>
      </w:r>
      <w:r>
        <w:t xml:space="preserve">Sci Rep. 2020;10:3214.</w:t>
      </w:r>
      <w:r>
        <w:t xml:space="preserve"> </w:t>
      </w:r>
      <w:hyperlink r:id="rId147">
        <w:r>
          <w:rPr>
            <w:rStyle w:val="Hyperlink"/>
          </w:rPr>
          <w:t xml:space="preserve">PMID 32081945</w:t>
        </w:r>
      </w:hyperlink>
    </w:p>
    <w:p>
      <w:pPr>
        <w:numPr>
          <w:ilvl w:val="0"/>
          <w:numId w:val="1038"/>
        </w:numPr>
      </w:pPr>
      <w:r>
        <w:t xml:space="preserve">Guadagnoli L, Yadlapati R, Pandolfino J, et al. </w:t>
      </w:r>
      <w:r>
        <w:rPr>
          <w:i/>
          <w:iCs/>
        </w:rPr>
        <w:t xml:space="preserve">Behavioral Therapy for Functional Heartburn: Recommendation Statements.</w:t>
      </w:r>
      <w:r>
        <w:t xml:space="preserve"> </w:t>
      </w:r>
      <w:r>
        <w:t xml:space="preserve">Clin Gastroenterol Hepatol. 2024;22(8):1709-1718.</w:t>
      </w:r>
      <w:r>
        <w:t xml:space="preserve"> </w:t>
      </w:r>
      <w:hyperlink r:id="rId148">
        <w:r>
          <w:rPr>
            <w:rStyle w:val="Hyperlink"/>
          </w:rPr>
          <w:t xml:space="preserve">PMID 38518891</w:t>
        </w:r>
      </w:hyperlink>
    </w:p>
    <w:bookmarkEnd w:id="149"/>
    <w:bookmarkEnd w:id="1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157">
    <w:nsid w:val="0A994157"/>
    <w:multiLevelType w:val="multilevel"/>
    <w:lvl w:ilvl="0">
      <w:start w:val="57"/>
      <w:numFmt w:val="decimal"/>
      <w:lvlText w:val="%1."/>
      <w:lvlJc w:val="left"/>
      <w:pPr>
        <w:ind w:left="720" w:hanging="360"/>
      </w:pPr>
    </w:lvl>
    <w:lvl w:ilvl="1">
      <w:start w:val="57"/>
      <w:numFmt w:val="decimal"/>
      <w:lvlText w:val="%2."/>
      <w:lvlJc w:val="left"/>
      <w:pPr>
        <w:ind w:left="1440" w:hanging="360"/>
      </w:pPr>
    </w:lvl>
    <w:lvl w:ilvl="2">
      <w:start w:val="57"/>
      <w:numFmt w:val="decimal"/>
      <w:lvlText w:val="%3."/>
      <w:lvlJc w:val="left"/>
      <w:pPr>
        <w:ind w:left="2160" w:hanging="360"/>
      </w:pPr>
    </w:lvl>
    <w:lvl w:ilvl="3">
      <w:start w:val="57"/>
      <w:numFmt w:val="decimal"/>
      <w:lvlText w:val="%4."/>
      <w:lvlJc w:val="left"/>
      <w:pPr>
        <w:ind w:left="2880" w:hanging="360"/>
      </w:pPr>
    </w:lvl>
    <w:lvl w:ilvl="4">
      <w:start w:val="57"/>
      <w:numFmt w:val="decimal"/>
      <w:lvlText w:val="%5."/>
      <w:lvlJc w:val="left"/>
      <w:pPr>
        <w:ind w:left="3600" w:hanging="360"/>
      </w:pPr>
    </w:lvl>
    <w:lvl w:ilvl="5">
      <w:start w:val="57"/>
      <w:numFmt w:val="decimal"/>
      <w:lvlText w:val="%6."/>
      <w:lvlJc w:val="left"/>
      <w:pPr>
        <w:ind w:left="4320" w:hanging="360"/>
      </w:pPr>
    </w:lvl>
    <w:lvl w:ilvl="6">
      <w:start w:val="57"/>
      <w:numFmt w:val="decimal"/>
      <w:lvlText w:val="%7."/>
      <w:lvlJc w:val="left"/>
      <w:pPr>
        <w:ind w:left="5040" w:hanging="360"/>
      </w:pPr>
    </w:lvl>
    <w:lvl w:ilvl="7">
      <w:start w:val="57"/>
      <w:numFmt w:val="decimal"/>
      <w:lvlText w:val="%8."/>
      <w:lvlJc w:val="left"/>
      <w:pPr>
        <w:ind w:left="5760" w:hanging="360"/>
      </w:pPr>
    </w:lvl>
    <w:lvl w:ilvl="8">
      <w:start w:val="57"/>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38">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t-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3" Target="https://pubmed.ncbi.nlm.nih.gov/10780571/" TargetMode="External" /><Relationship Type="http://schemas.openxmlformats.org/officeDocument/2006/relationships/hyperlink" Id="rId130" Target="https://pubmed.ncbi.nlm.nih.gov/11030295/" TargetMode="External" /><Relationship Type="http://schemas.openxmlformats.org/officeDocument/2006/relationships/hyperlink" Id="rId114" Target="https://pubmed.ncbi.nlm.nih.gov/16530504/" TargetMode="External" /><Relationship Type="http://schemas.openxmlformats.org/officeDocument/2006/relationships/hyperlink" Id="rId122" Target="https://pubmed.ncbi.nlm.nih.gov/16738270/" TargetMode="External" /><Relationship Type="http://schemas.openxmlformats.org/officeDocument/2006/relationships/hyperlink" Id="rId131" Target="https://pubmed.ncbi.nlm.nih.gov/17391243/" TargetMode="External" /><Relationship Type="http://schemas.openxmlformats.org/officeDocument/2006/relationships/hyperlink" Id="rId139" Target="https://pubmed.ncbi.nlm.nih.gov/17998836/" TargetMode="External" /><Relationship Type="http://schemas.openxmlformats.org/officeDocument/2006/relationships/hyperlink" Id="rId80" Target="https://pubmed.ncbi.nlm.nih.gov/18206149/" TargetMode="External" /><Relationship Type="http://schemas.openxmlformats.org/officeDocument/2006/relationships/hyperlink" Id="rId137" Target="https://pubmed.ncbi.nlm.nih.gov/18447952/" TargetMode="External" /><Relationship Type="http://schemas.openxmlformats.org/officeDocument/2006/relationships/hyperlink" Id="rId119" Target="https://pubmed.ncbi.nlm.nih.gov/19363489/" TargetMode="External" /><Relationship Type="http://schemas.openxmlformats.org/officeDocument/2006/relationships/hyperlink" Id="rId112" Target="https://pubmed.ncbi.nlm.nih.gov/19651625/" TargetMode="External" /><Relationship Type="http://schemas.openxmlformats.org/officeDocument/2006/relationships/hyperlink" Id="rId107" Target="https://pubmed.ncbi.nlm.nih.gov/20353496/" TargetMode="External" /><Relationship Type="http://schemas.openxmlformats.org/officeDocument/2006/relationships/hyperlink" Id="rId106" Target="https://pubmed.ncbi.nlm.nih.gov/20662774/" TargetMode="External" /><Relationship Type="http://schemas.openxmlformats.org/officeDocument/2006/relationships/hyperlink" Id="rId69" Target="https://pubmed.ncbi.nlm.nih.gov/22146488/" TargetMode="External" /><Relationship Type="http://schemas.openxmlformats.org/officeDocument/2006/relationships/hyperlink" Id="rId127" Target="https://pubmed.ncbi.nlm.nih.gov/22190483/" TargetMode="External" /><Relationship Type="http://schemas.openxmlformats.org/officeDocument/2006/relationships/hyperlink" Id="rId74" Target="https://pubmed.ncbi.nlm.nih.gov/22676647/" TargetMode="External" /><Relationship Type="http://schemas.openxmlformats.org/officeDocument/2006/relationships/hyperlink" Id="rId123" Target="https://pubmed.ncbi.nlm.nih.gov/23358462/" TargetMode="External" /><Relationship Type="http://schemas.openxmlformats.org/officeDocument/2006/relationships/hyperlink" Id="rId144" Target="https://pubmed.ncbi.nlm.nih.gov/24064007/" TargetMode="External" /><Relationship Type="http://schemas.openxmlformats.org/officeDocument/2006/relationships/hyperlink" Id="rId70" Target="https://pubmed.ncbi.nlm.nih.gov/24113771/" TargetMode="External" /><Relationship Type="http://schemas.openxmlformats.org/officeDocument/2006/relationships/hyperlink" Id="rId140" Target="https://pubmed.ncbi.nlm.nih.gov/25824436/" TargetMode="External" /><Relationship Type="http://schemas.openxmlformats.org/officeDocument/2006/relationships/hyperlink" Id="rId118" Target="https://pubmed.ncbi.nlm.nih.gov/26300719/" TargetMode="External" /><Relationship Type="http://schemas.openxmlformats.org/officeDocument/2006/relationships/hyperlink" Id="rId138" Target="https://pubmed.ncbi.nlm.nih.gov/27068716/" TargetMode="External" /><Relationship Type="http://schemas.openxmlformats.org/officeDocument/2006/relationships/hyperlink" Id="rId115" Target="https://pubmed.ncbi.nlm.nih.gov/27634073/" TargetMode="External" /><Relationship Type="http://schemas.openxmlformats.org/officeDocument/2006/relationships/hyperlink" Id="rId143" Target="https://pubmed.ncbi.nlm.nih.gov/28267445/" TargetMode="External" /><Relationship Type="http://schemas.openxmlformats.org/officeDocument/2006/relationships/hyperlink" Id="rId120" Target="https://pubmed.ncbi.nlm.nih.gov/29034802/" TargetMode="External" /><Relationship Type="http://schemas.openxmlformats.org/officeDocument/2006/relationships/hyperlink" Id="rId71" Target="https://pubmed.ncbi.nlm.nih.gov/29104130/" TargetMode="External" /><Relationship Type="http://schemas.openxmlformats.org/officeDocument/2006/relationships/hyperlink" Id="rId121" Target="https://pubmed.ncbi.nlm.nih.gov/29357856/" TargetMode="External" /><Relationship Type="http://schemas.openxmlformats.org/officeDocument/2006/relationships/hyperlink" Id="rId85" Target="https://pubmed.ncbi.nlm.nih.gov/29452579/" TargetMode="External" /><Relationship Type="http://schemas.openxmlformats.org/officeDocument/2006/relationships/hyperlink" Id="rId141" Target="https://pubmed.ncbi.nlm.nih.gov/29528128/" TargetMode="External" /><Relationship Type="http://schemas.openxmlformats.org/officeDocument/2006/relationships/hyperlink" Id="rId126" Target="https://pubmed.ncbi.nlm.nih.gov/30009819/" TargetMode="External" /><Relationship Type="http://schemas.openxmlformats.org/officeDocument/2006/relationships/hyperlink" Id="rId136" Target="https://pubmed.ncbi.nlm.nih.gov/30509726/" TargetMode="External" /><Relationship Type="http://schemas.openxmlformats.org/officeDocument/2006/relationships/hyperlink" Id="rId76" Target="https://pubmed.ncbi.nlm.nih.gov/31086250/" TargetMode="External" /><Relationship Type="http://schemas.openxmlformats.org/officeDocument/2006/relationships/hyperlink" Id="rId145" Target="https://pubmed.ncbi.nlm.nih.gov/31506765/" TargetMode="External" /><Relationship Type="http://schemas.openxmlformats.org/officeDocument/2006/relationships/hyperlink" Id="rId75" Target="https://pubmed.ncbi.nlm.nih.gov/31635110/" TargetMode="External" /><Relationship Type="http://schemas.openxmlformats.org/officeDocument/2006/relationships/hyperlink" Id="rId147" Target="https://pubmed.ncbi.nlm.nih.gov/32081945/" TargetMode="External" /><Relationship Type="http://schemas.openxmlformats.org/officeDocument/2006/relationships/hyperlink" Id="rId79" Target="https://pubmed.ncbi.nlm.nih.gov/32229033/" TargetMode="External" /><Relationship Type="http://schemas.openxmlformats.org/officeDocument/2006/relationships/hyperlink" Id="rId105" Target="https://pubmed.ncbi.nlm.nih.gov/32242117/" TargetMode="External" /><Relationship Type="http://schemas.openxmlformats.org/officeDocument/2006/relationships/hyperlink" Id="rId124" Target="https://pubmed.ncbi.nlm.nih.gov/33393976/" TargetMode="External" /><Relationship Type="http://schemas.openxmlformats.org/officeDocument/2006/relationships/hyperlink" Id="rId81" Target="https://pubmed.ncbi.nlm.nih.gov/34383968/" TargetMode="External" /><Relationship Type="http://schemas.openxmlformats.org/officeDocument/2006/relationships/hyperlink" Id="rId116" Target="https://pubmed.ncbi.nlm.nih.gov/34928874/" TargetMode="External" /><Relationship Type="http://schemas.openxmlformats.org/officeDocument/2006/relationships/hyperlink" Id="rId77" Target="https://pubmed.ncbi.nlm.nih.gov/35248274/" TargetMode="External" /><Relationship Type="http://schemas.openxmlformats.org/officeDocument/2006/relationships/hyperlink" Id="rId78" Target="https://pubmed.ncbi.nlm.nih.gov/35301135/" TargetMode="External" /><Relationship Type="http://schemas.openxmlformats.org/officeDocument/2006/relationships/hyperlink" Id="rId117" Target="https://pubmed.ncbi.nlm.nih.gov/35623448/" TargetMode="External" /><Relationship Type="http://schemas.openxmlformats.org/officeDocument/2006/relationships/hyperlink" Id="rId73" Target="https://pubmed.ncbi.nlm.nih.gov/35842548/" TargetMode="External" /><Relationship Type="http://schemas.openxmlformats.org/officeDocument/2006/relationships/hyperlink" Id="rId134" Target="https://pubmed.ncbi.nlm.nih.gov/36084164/" TargetMode="External" /><Relationship Type="http://schemas.openxmlformats.org/officeDocument/2006/relationships/hyperlink" Id="rId125" Target="https://pubmed.ncbi.nlm.nih.gov/37123793/" TargetMode="External" /><Relationship Type="http://schemas.openxmlformats.org/officeDocument/2006/relationships/hyperlink" Id="rId84" Target="https://pubmed.ncbi.nlm.nih.gov/37525195/" TargetMode="External" /><Relationship Type="http://schemas.openxmlformats.org/officeDocument/2006/relationships/hyperlink" Id="rId108" Target="https://pubmed.ncbi.nlm.nih.gov/37734911/" TargetMode="External" /><Relationship Type="http://schemas.openxmlformats.org/officeDocument/2006/relationships/hyperlink" Id="rId142" Target="https://pubmed.ncbi.nlm.nih.gov/37868401/" TargetMode="External" /><Relationship Type="http://schemas.openxmlformats.org/officeDocument/2006/relationships/hyperlink" Id="rId133" Target="https://pubmed.ncbi.nlm.nih.gov/37882102/" TargetMode="External" /><Relationship Type="http://schemas.openxmlformats.org/officeDocument/2006/relationships/hyperlink" Id="rId129" Target="https://pubmed.ncbi.nlm.nih.gov/38040468/" TargetMode="External" /><Relationship Type="http://schemas.openxmlformats.org/officeDocument/2006/relationships/hyperlink" Id="rId148" Target="https://pubmed.ncbi.nlm.nih.gov/38518891/" TargetMode="External" /><Relationship Type="http://schemas.openxmlformats.org/officeDocument/2006/relationships/hyperlink" Id="rId146" Target="https://pubmed.ncbi.nlm.nih.gov/39920074/" TargetMode="External" /><Relationship Type="http://schemas.openxmlformats.org/officeDocument/2006/relationships/hyperlink" Id="rId128" Target="https://pubmed.ncbi.nlm.nih.gov/40658955/" TargetMode="External" /><Relationship Type="http://schemas.openxmlformats.org/officeDocument/2006/relationships/hyperlink" Id="rId72" Target="https://pubmed.ncbi.nlm.nih.gov/42123139/" TargetMode="External" /><Relationship Type="http://schemas.openxmlformats.org/officeDocument/2006/relationships/hyperlink" Id="rId135" Target="https://pubmed.ncbi.nlm.nih.gov/6639342/" TargetMode="External" /><Relationship Type="http://schemas.openxmlformats.org/officeDocument/2006/relationships/hyperlink" Id="rId111" Target="https://pubmed.ncbi.nlm.nih.gov/7615211/" TargetMode="External" /><Relationship Type="http://schemas.openxmlformats.org/officeDocument/2006/relationships/hyperlink" Id="rId109" Target="https://pubmed.ncbi.nlm.nih.gov/9070474/" TargetMode="External" /><Relationship Type="http://schemas.openxmlformats.org/officeDocument/2006/relationships/hyperlink" Id="rId132" Target="https://pubmed.ncbi.nlm.nih.gov/9690388/" TargetMode="External" /><Relationship Type="http://schemas.openxmlformats.org/officeDocument/2006/relationships/hyperlink" Id="rId110" Target="https://www.ncbi.nlm.nih.gov/books/NBK500026/" TargetMode="External" /></Relationships>
</file>

<file path=word/_rels/footnotes.xml.rels><?xml version="1.0" encoding="UTF-8"?><Relationships xmlns="http://schemas.openxmlformats.org/package/2006/relationships"><Relationship Type="http://schemas.openxmlformats.org/officeDocument/2006/relationships/hyperlink" Id="rId113" Target="https://pubmed.ncbi.nlm.nih.gov/10780571/" TargetMode="External" /><Relationship Type="http://schemas.openxmlformats.org/officeDocument/2006/relationships/hyperlink" Id="rId130" Target="https://pubmed.ncbi.nlm.nih.gov/11030295/" TargetMode="External" /><Relationship Type="http://schemas.openxmlformats.org/officeDocument/2006/relationships/hyperlink" Id="rId114" Target="https://pubmed.ncbi.nlm.nih.gov/16530504/" TargetMode="External" /><Relationship Type="http://schemas.openxmlformats.org/officeDocument/2006/relationships/hyperlink" Id="rId122" Target="https://pubmed.ncbi.nlm.nih.gov/16738270/" TargetMode="External" /><Relationship Type="http://schemas.openxmlformats.org/officeDocument/2006/relationships/hyperlink" Id="rId131" Target="https://pubmed.ncbi.nlm.nih.gov/17391243/" TargetMode="External" /><Relationship Type="http://schemas.openxmlformats.org/officeDocument/2006/relationships/hyperlink" Id="rId139" Target="https://pubmed.ncbi.nlm.nih.gov/17998836/" TargetMode="External" /><Relationship Type="http://schemas.openxmlformats.org/officeDocument/2006/relationships/hyperlink" Id="rId80" Target="https://pubmed.ncbi.nlm.nih.gov/18206149/" TargetMode="External" /><Relationship Type="http://schemas.openxmlformats.org/officeDocument/2006/relationships/hyperlink" Id="rId137" Target="https://pubmed.ncbi.nlm.nih.gov/18447952/" TargetMode="External" /><Relationship Type="http://schemas.openxmlformats.org/officeDocument/2006/relationships/hyperlink" Id="rId119" Target="https://pubmed.ncbi.nlm.nih.gov/19363489/" TargetMode="External" /><Relationship Type="http://schemas.openxmlformats.org/officeDocument/2006/relationships/hyperlink" Id="rId112" Target="https://pubmed.ncbi.nlm.nih.gov/19651625/" TargetMode="External" /><Relationship Type="http://schemas.openxmlformats.org/officeDocument/2006/relationships/hyperlink" Id="rId107" Target="https://pubmed.ncbi.nlm.nih.gov/20353496/" TargetMode="External" /><Relationship Type="http://schemas.openxmlformats.org/officeDocument/2006/relationships/hyperlink" Id="rId106" Target="https://pubmed.ncbi.nlm.nih.gov/20662774/" TargetMode="External" /><Relationship Type="http://schemas.openxmlformats.org/officeDocument/2006/relationships/hyperlink" Id="rId69" Target="https://pubmed.ncbi.nlm.nih.gov/22146488/" TargetMode="External" /><Relationship Type="http://schemas.openxmlformats.org/officeDocument/2006/relationships/hyperlink" Id="rId127" Target="https://pubmed.ncbi.nlm.nih.gov/22190483/" TargetMode="External" /><Relationship Type="http://schemas.openxmlformats.org/officeDocument/2006/relationships/hyperlink" Id="rId74" Target="https://pubmed.ncbi.nlm.nih.gov/22676647/" TargetMode="External" /><Relationship Type="http://schemas.openxmlformats.org/officeDocument/2006/relationships/hyperlink" Id="rId123" Target="https://pubmed.ncbi.nlm.nih.gov/23358462/" TargetMode="External" /><Relationship Type="http://schemas.openxmlformats.org/officeDocument/2006/relationships/hyperlink" Id="rId144" Target="https://pubmed.ncbi.nlm.nih.gov/24064007/" TargetMode="External" /><Relationship Type="http://schemas.openxmlformats.org/officeDocument/2006/relationships/hyperlink" Id="rId70" Target="https://pubmed.ncbi.nlm.nih.gov/24113771/" TargetMode="External" /><Relationship Type="http://schemas.openxmlformats.org/officeDocument/2006/relationships/hyperlink" Id="rId140" Target="https://pubmed.ncbi.nlm.nih.gov/25824436/" TargetMode="External" /><Relationship Type="http://schemas.openxmlformats.org/officeDocument/2006/relationships/hyperlink" Id="rId118" Target="https://pubmed.ncbi.nlm.nih.gov/26300719/" TargetMode="External" /><Relationship Type="http://schemas.openxmlformats.org/officeDocument/2006/relationships/hyperlink" Id="rId138" Target="https://pubmed.ncbi.nlm.nih.gov/27068716/" TargetMode="External" /><Relationship Type="http://schemas.openxmlformats.org/officeDocument/2006/relationships/hyperlink" Id="rId115" Target="https://pubmed.ncbi.nlm.nih.gov/27634073/" TargetMode="External" /><Relationship Type="http://schemas.openxmlformats.org/officeDocument/2006/relationships/hyperlink" Id="rId143" Target="https://pubmed.ncbi.nlm.nih.gov/28267445/" TargetMode="External" /><Relationship Type="http://schemas.openxmlformats.org/officeDocument/2006/relationships/hyperlink" Id="rId120" Target="https://pubmed.ncbi.nlm.nih.gov/29034802/" TargetMode="External" /><Relationship Type="http://schemas.openxmlformats.org/officeDocument/2006/relationships/hyperlink" Id="rId71" Target="https://pubmed.ncbi.nlm.nih.gov/29104130/" TargetMode="External" /><Relationship Type="http://schemas.openxmlformats.org/officeDocument/2006/relationships/hyperlink" Id="rId121" Target="https://pubmed.ncbi.nlm.nih.gov/29357856/" TargetMode="External" /><Relationship Type="http://schemas.openxmlformats.org/officeDocument/2006/relationships/hyperlink" Id="rId85" Target="https://pubmed.ncbi.nlm.nih.gov/29452579/" TargetMode="External" /><Relationship Type="http://schemas.openxmlformats.org/officeDocument/2006/relationships/hyperlink" Id="rId141" Target="https://pubmed.ncbi.nlm.nih.gov/29528128/" TargetMode="External" /><Relationship Type="http://schemas.openxmlformats.org/officeDocument/2006/relationships/hyperlink" Id="rId126" Target="https://pubmed.ncbi.nlm.nih.gov/30009819/" TargetMode="External" /><Relationship Type="http://schemas.openxmlformats.org/officeDocument/2006/relationships/hyperlink" Id="rId136" Target="https://pubmed.ncbi.nlm.nih.gov/30509726/" TargetMode="External" /><Relationship Type="http://schemas.openxmlformats.org/officeDocument/2006/relationships/hyperlink" Id="rId76" Target="https://pubmed.ncbi.nlm.nih.gov/31086250/" TargetMode="External" /><Relationship Type="http://schemas.openxmlformats.org/officeDocument/2006/relationships/hyperlink" Id="rId145" Target="https://pubmed.ncbi.nlm.nih.gov/31506765/" TargetMode="External" /><Relationship Type="http://schemas.openxmlformats.org/officeDocument/2006/relationships/hyperlink" Id="rId75" Target="https://pubmed.ncbi.nlm.nih.gov/31635110/" TargetMode="External" /><Relationship Type="http://schemas.openxmlformats.org/officeDocument/2006/relationships/hyperlink" Id="rId147" Target="https://pubmed.ncbi.nlm.nih.gov/32081945/" TargetMode="External" /><Relationship Type="http://schemas.openxmlformats.org/officeDocument/2006/relationships/hyperlink" Id="rId79" Target="https://pubmed.ncbi.nlm.nih.gov/32229033/" TargetMode="External" /><Relationship Type="http://schemas.openxmlformats.org/officeDocument/2006/relationships/hyperlink" Id="rId105" Target="https://pubmed.ncbi.nlm.nih.gov/32242117/" TargetMode="External" /><Relationship Type="http://schemas.openxmlformats.org/officeDocument/2006/relationships/hyperlink" Id="rId124" Target="https://pubmed.ncbi.nlm.nih.gov/33393976/" TargetMode="External" /><Relationship Type="http://schemas.openxmlformats.org/officeDocument/2006/relationships/hyperlink" Id="rId81" Target="https://pubmed.ncbi.nlm.nih.gov/34383968/" TargetMode="External" /><Relationship Type="http://schemas.openxmlformats.org/officeDocument/2006/relationships/hyperlink" Id="rId116" Target="https://pubmed.ncbi.nlm.nih.gov/34928874/" TargetMode="External" /><Relationship Type="http://schemas.openxmlformats.org/officeDocument/2006/relationships/hyperlink" Id="rId77" Target="https://pubmed.ncbi.nlm.nih.gov/35248274/" TargetMode="External" /><Relationship Type="http://schemas.openxmlformats.org/officeDocument/2006/relationships/hyperlink" Id="rId78" Target="https://pubmed.ncbi.nlm.nih.gov/35301135/" TargetMode="External" /><Relationship Type="http://schemas.openxmlformats.org/officeDocument/2006/relationships/hyperlink" Id="rId117" Target="https://pubmed.ncbi.nlm.nih.gov/35623448/" TargetMode="External" /><Relationship Type="http://schemas.openxmlformats.org/officeDocument/2006/relationships/hyperlink" Id="rId73" Target="https://pubmed.ncbi.nlm.nih.gov/35842548/" TargetMode="External" /><Relationship Type="http://schemas.openxmlformats.org/officeDocument/2006/relationships/hyperlink" Id="rId134" Target="https://pubmed.ncbi.nlm.nih.gov/36084164/" TargetMode="External" /><Relationship Type="http://schemas.openxmlformats.org/officeDocument/2006/relationships/hyperlink" Id="rId125" Target="https://pubmed.ncbi.nlm.nih.gov/37123793/" TargetMode="External" /><Relationship Type="http://schemas.openxmlformats.org/officeDocument/2006/relationships/hyperlink" Id="rId84" Target="https://pubmed.ncbi.nlm.nih.gov/37525195/" TargetMode="External" /><Relationship Type="http://schemas.openxmlformats.org/officeDocument/2006/relationships/hyperlink" Id="rId108" Target="https://pubmed.ncbi.nlm.nih.gov/37734911/" TargetMode="External" /><Relationship Type="http://schemas.openxmlformats.org/officeDocument/2006/relationships/hyperlink" Id="rId142" Target="https://pubmed.ncbi.nlm.nih.gov/37868401/" TargetMode="External" /><Relationship Type="http://schemas.openxmlformats.org/officeDocument/2006/relationships/hyperlink" Id="rId133" Target="https://pubmed.ncbi.nlm.nih.gov/37882102/" TargetMode="External" /><Relationship Type="http://schemas.openxmlformats.org/officeDocument/2006/relationships/hyperlink" Id="rId129" Target="https://pubmed.ncbi.nlm.nih.gov/38040468/" TargetMode="External" /><Relationship Type="http://schemas.openxmlformats.org/officeDocument/2006/relationships/hyperlink" Id="rId148" Target="https://pubmed.ncbi.nlm.nih.gov/38518891/" TargetMode="External" /><Relationship Type="http://schemas.openxmlformats.org/officeDocument/2006/relationships/hyperlink" Id="rId146" Target="https://pubmed.ncbi.nlm.nih.gov/39920074/" TargetMode="External" /><Relationship Type="http://schemas.openxmlformats.org/officeDocument/2006/relationships/hyperlink" Id="rId128" Target="https://pubmed.ncbi.nlm.nih.gov/40658955/" TargetMode="External" /><Relationship Type="http://schemas.openxmlformats.org/officeDocument/2006/relationships/hyperlink" Id="rId72" Target="https://pubmed.ncbi.nlm.nih.gov/42123139/" TargetMode="External" /><Relationship Type="http://schemas.openxmlformats.org/officeDocument/2006/relationships/hyperlink" Id="rId135" Target="https://pubmed.ncbi.nlm.nih.gov/6639342/" TargetMode="External" /><Relationship Type="http://schemas.openxmlformats.org/officeDocument/2006/relationships/hyperlink" Id="rId111" Target="https://pubmed.ncbi.nlm.nih.gov/7615211/" TargetMode="External" /><Relationship Type="http://schemas.openxmlformats.org/officeDocument/2006/relationships/hyperlink" Id="rId109" Target="https://pubmed.ncbi.nlm.nih.gov/9070474/" TargetMode="External" /><Relationship Type="http://schemas.openxmlformats.org/officeDocument/2006/relationships/hyperlink" Id="rId132" Target="https://pubmed.ncbi.nlm.nih.gov/9690388/" TargetMode="External" /><Relationship Type="http://schemas.openxmlformats.org/officeDocument/2006/relationships/hyperlink" Id="rId110" Target="https://www.ncbi.nlm.nih.gov/books/NBK50002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Bibbia Teorica — Reflusso Gastroesofageo</dc:title>
  <dc:creator>Mobilitas — Direzione Osteopatica</dc:creator>
  <dc:language>it-IT</dc:language>
  <cp:keywords/>
  <dcterms:created xsi:type="dcterms:W3CDTF">2026-08-07T14:13:54Z</dcterms:created>
  <dcterms:modified xsi:type="dcterms:W3CDTF">2026-08-07T14:13:54Z</dcterms:modified>
</cp:coreProperties>
</file>

<file path=docProps/custom.xml><?xml version="1.0" encoding="utf-8"?>
<Properties xmlns="http://schemas.openxmlformats.org/officeDocument/2006/custom-properties" xmlns:vt="http://schemas.openxmlformats.org/officeDocument/2006/docPropsVTypes"/>
</file>