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4"/>
        </w:rPr>
        <w:t>GuruMaster Carga Colombia</w:t>
      </w:r>
    </w:p>
    <w:p>
      <w:pPr>
        <w:jc w:val="center"/>
      </w:pPr>
      <w:r>
        <w:rPr>
          <w:b/>
          <w:color w:val="0F172A"/>
          <w:sz w:val="32"/>
        </w:rPr>
        <w:t>Framework Replicable - Arquitectura Técnica de Datos e IA</w:t>
      </w:r>
    </w:p>
    <w:p>
      <w:pPr>
        <w:jc w:val="center"/>
      </w:pPr>
      <w:r>
        <w:rPr>
          <w:i/>
          <w:color w:val="4B5563"/>
          <w:sz w:val="20"/>
        </w:rPr>
        <w:t>Documento de trabajo para revisar, ajustar y usar como guía arquitectónica del proyecto</w:t>
      </w:r>
    </w:p>
    <w:p/>
    <w:tbl>
      <w:tblPr>
        <w:tblStyle w:val="TableGrid"/>
        <w:tblW w:type="auto" w:w="0"/>
        <w:tblLook w:firstColumn="1" w:firstRow="1" w:lastColumn="0" w:lastRow="0" w:noHBand="0" w:noVBand="1" w:val="04A0"/>
      </w:tblPr>
      <w:tblGrid>
        <w:gridCol w:w="10080"/>
      </w:tblGrid>
      <w:tr>
        <w:tc>
          <w:tcPr>
            <w:tcW w:type="dxa" w:w="10080"/>
            <w:shd w:fill="ECFDF5"/>
          </w:tcPr>
          <w:p>
            <w:r>
              <w:rPr>
                <w:b/>
                <w:color w:val="0C4A6E"/>
                <w:sz w:val="20"/>
              </w:rPr>
              <w:t>Tesis central</w:t>
            </w:r>
          </w:p>
          <w:p>
            <w:pPr>
              <w:spacing w:after="0"/>
            </w:pPr>
            <w:r>
              <w:rPr>
                <w:sz w:val="18"/>
              </w:rPr>
              <w:t>GuruMaster debe construirse como un framework configurable y replicable, no como una solución a la medida para cada empresa. El moat no está en usar tecnologías conocidas, sino en el orquestador inteligente, la configuración por cliente y la estrategia de replicabilidad que permite implementar más rápido en nuevas empresas.</w:t>
            </w:r>
          </w:p>
        </w:tc>
      </w:tr>
    </w:tbl>
    <w:p/>
    <w:p>
      <w:pPr>
        <w:pStyle w:val="Heading1"/>
      </w:pPr>
      <w:r>
        <w:t>Contenido del documento</w:t>
      </w:r>
    </w:p>
    <w:p>
      <w:pPr>
        <w:pStyle w:val="ListNumber"/>
        <w:spacing w:after="20"/>
      </w:pPr>
      <w:r>
        <w:t>Objetivo del framework</w:t>
      </w:r>
    </w:p>
    <w:p>
      <w:pPr>
        <w:pStyle w:val="ListNumber"/>
        <w:spacing w:after="20"/>
      </w:pPr>
      <w:r>
        <w:t>Opinión sobre el moat del negocio</w:t>
      </w:r>
    </w:p>
    <w:p>
      <w:pPr>
        <w:pStyle w:val="ListNumber"/>
        <w:spacing w:after="20"/>
      </w:pPr>
      <w:r>
        <w:t>Principios de diseño</w:t>
      </w:r>
    </w:p>
    <w:p>
      <w:pPr>
        <w:pStyle w:val="ListNumber"/>
        <w:spacing w:after="20"/>
      </w:pPr>
      <w:r>
        <w:t>Arquitectura por capas</w:t>
      </w:r>
    </w:p>
    <w:p>
      <w:pPr>
        <w:pStyle w:val="ListNumber"/>
        <w:spacing w:after="20"/>
      </w:pPr>
      <w:r>
        <w:t>Modelo canónico GuruMaster</w:t>
      </w:r>
    </w:p>
    <w:p>
      <w:pPr>
        <w:pStyle w:val="ListNumber"/>
      </w:pPr>
      <w:r>
        <w:t>Detalle: modelo canónico operacional vs modelo dimensional analítico</w:t>
      </w:r>
    </w:p>
    <w:p>
      <w:pPr>
        <w:pStyle w:val="ListNumber"/>
        <w:spacing w:after="20"/>
      </w:pPr>
      <w:r>
        <w:t>Capas Bronze, Silver y Gold</w:t>
      </w:r>
    </w:p>
    <w:p>
      <w:pPr>
        <w:pStyle w:val="ListNumber"/>
        <w:spacing w:after="20"/>
      </w:pPr>
      <w:r>
        <w:t>Capa documental RAG</w:t>
      </w:r>
    </w:p>
    <w:p>
      <w:pPr>
        <w:pStyle w:val="ListNumber"/>
        <w:spacing w:after="20"/>
      </w:pPr>
      <w:r>
        <w:t>Motor SQL para datos estructurados</w:t>
      </w:r>
    </w:p>
    <w:p>
      <w:pPr>
        <w:pStyle w:val="ListNumber"/>
        <w:spacing w:after="20"/>
      </w:pPr>
      <w:r>
        <w:t>Orquestador inteligente</w:t>
      </w:r>
    </w:p>
    <w:p>
      <w:pPr>
        <w:pStyle w:val="ListNumber"/>
        <w:spacing w:after="20"/>
      </w:pPr>
      <w:r>
        <w:t>Configuración por cliente</w:t>
      </w:r>
    </w:p>
    <w:p>
      <w:pPr>
        <w:pStyle w:val="ListNumber"/>
        <w:spacing w:after="20"/>
      </w:pPr>
      <w:r>
        <w:t>Estrategia de replicabilidad</w:t>
      </w:r>
    </w:p>
    <w:p>
      <w:pPr>
        <w:pStyle w:val="ListNumber"/>
        <w:spacing w:after="20"/>
      </w:pPr>
      <w:r>
        <w:t>Versión MVP local</w:t>
      </w:r>
    </w:p>
    <w:p>
      <w:pPr>
        <w:pStyle w:val="ListNumber"/>
        <w:spacing w:after="20"/>
      </w:pPr>
      <w:r>
        <w:t>Versión enterprise cloud</w:t>
      </w:r>
    </w:p>
    <w:p>
      <w:pPr>
        <w:pStyle w:val="ListNumber"/>
        <w:spacing w:after="20"/>
      </w:pPr>
      <w:r>
        <w:t>Checklist de revisión</w:t>
      </w:r>
    </w:p>
    <w:p>
      <w:r>
        <w:br w:type="page"/>
      </w:r>
    </w:p>
    <w:p>
      <w:pPr>
        <w:pStyle w:val="Heading1"/>
      </w:pPr>
      <w:r>
        <w:t>1. Objetivo del framework</w:t>
      </w:r>
    </w:p>
    <w:p>
      <w:r>
        <w:t>El objetivo es diseñar GuruMaster como una base técnica y metodológica reutilizable para implementar copilotos de inteligencia operativa en empresas de transporte de carga, especialmente empresas medianas y grandes con flotas superiores a 100 equipos.</w:t>
      </w:r>
    </w:p>
    <w:p>
      <w:pPr>
        <w:pStyle w:val="ListBullet"/>
        <w:spacing w:after="20"/>
      </w:pPr>
      <w:r>
        <w:t>Estandarizar datos de viajes, gastos, vehículos, rutas, activos, documentos y alertas.</w:t>
      </w:r>
    </w:p>
    <w:p>
      <w:pPr>
        <w:pStyle w:val="ListBullet"/>
        <w:spacing w:after="20"/>
      </w:pPr>
      <w:r>
        <w:t>Permitir que cada cliente conecte sus fuentes mediante mappings y configuración, evitando desarrollos desde cero.</w:t>
      </w:r>
    </w:p>
    <w:p>
      <w:pPr>
        <w:pStyle w:val="ListBullet"/>
        <w:spacing w:after="20"/>
      </w:pPr>
      <w:r>
        <w:t>Consultar información estructurada mediante SQL y documentos mediante RAG.</w:t>
      </w:r>
    </w:p>
    <w:p>
      <w:pPr>
        <w:pStyle w:val="ListBullet"/>
        <w:spacing w:after="20"/>
      </w:pPr>
      <w:r>
        <w:t>Orquestar respuestas inteligentes combinando datos, documentos, reglas de negocio y contexto del cliente.</w:t>
      </w:r>
    </w:p>
    <w:p>
      <w:pPr>
        <w:pStyle w:val="ListBullet"/>
        <w:spacing w:after="20"/>
      </w:pPr>
      <w:r>
        <w:t>Reducir el tiempo de implementación en cada nuevo cliente gracias a plantillas, reglas, vistas y componentes reutilizables.</w:t>
      </w:r>
    </w:p>
    <w:p>
      <w:pPr>
        <w:pStyle w:val="Heading1"/>
      </w:pPr>
      <w:r>
        <w:t>2. Opinión sobre el moat del negocio</w:t>
      </w:r>
    </w:p>
    <w:p>
      <w:r>
        <w:t>Estoy de acuerdo con la tesis de que el moat principal no está en las capas base de datos o RAG por sí solas. Esas capacidades son importantes, pero se apoyan en patrones y herramientas que otras empresas también pueden implementar. El valor defendible debe concentrarse en lo que hace que GuruMaster sea difícil de reemplazar y fácil de replicar por nosotros.</w:t>
      </w:r>
    </w:p>
    <w:tbl>
      <w:tblPr>
        <w:tblStyle w:val="TableGrid"/>
        <w:tblW w:type="auto" w:w="0"/>
        <w:tblLook w:firstColumn="1" w:firstRow="1" w:lastColumn="0" w:lastRow="0" w:noHBand="0" w:noVBand="1" w:val="04A0"/>
      </w:tblPr>
      <w:tblGrid>
        <w:gridCol w:w="10080"/>
      </w:tblGrid>
      <w:tr>
        <w:tc>
          <w:tcPr>
            <w:tcW w:type="dxa" w:w="10080"/>
            <w:shd w:fill="FEF3C7"/>
          </w:tcPr>
          <w:p>
            <w:r>
              <w:rPr>
                <w:b/>
                <w:color w:val="0C4A6E"/>
                <w:sz w:val="20"/>
              </w:rPr>
              <w:t>Moat propuesto</w:t>
            </w:r>
          </w:p>
          <w:p>
            <w:pPr>
              <w:spacing w:after="0"/>
            </w:pPr>
            <w:r>
              <w:rPr>
                <w:sz w:val="18"/>
              </w:rPr>
              <w:t>El moat de GuruMaster debe concentrarse en tres capacidades: (1) Orquestador inteligente, (2) Configuración por cliente y (3) Estrategia de replicabilidad. En una etapa avanzada, este moat se puede fortalecer con benchmarks anonimizados y conocimiento operativo acumulado del sector.</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0F766E"/>
          </w:tcPr>
          <w:p>
            <w:pPr>
              <w:jc w:val="left"/>
            </w:pPr>
            <w:r/>
            <w:r>
              <w:rPr>
                <w:rFonts w:ascii="Arial" w:hAnsi="Arial" w:eastAsia="Arial"/>
                <w:b/>
                <w:color w:val="FFFFFF"/>
                <w:sz w:val="18"/>
              </w:rPr>
              <w:t>Elemento</w:t>
            </w:r>
          </w:p>
        </w:tc>
        <w:tc>
          <w:tcPr>
            <w:tcW w:type="dxa" w:w="1728"/>
            <w:vAlign w:val="center"/>
            <w:shd w:fill="0F766E"/>
          </w:tcPr>
          <w:p>
            <w:pPr>
              <w:jc w:val="left"/>
            </w:pPr>
            <w:r/>
            <w:r>
              <w:rPr>
                <w:rFonts w:ascii="Arial" w:hAnsi="Arial" w:eastAsia="Arial"/>
                <w:b/>
                <w:color w:val="FFFFFF"/>
                <w:sz w:val="18"/>
              </w:rPr>
              <w:t>¿Es moat?</w:t>
            </w:r>
          </w:p>
        </w:tc>
        <w:tc>
          <w:tcPr>
            <w:tcW w:type="dxa" w:w="5760"/>
            <w:vAlign w:val="center"/>
            <w:shd w:fill="0F766E"/>
          </w:tcPr>
          <w:p>
            <w:pPr>
              <w:jc w:val="left"/>
            </w:pPr>
            <w:r/>
            <w:r>
              <w:rPr>
                <w:rFonts w:ascii="Arial" w:hAnsi="Arial" w:eastAsia="Arial"/>
                <w:b/>
                <w:color w:val="FFFFFF"/>
                <w:sz w:val="18"/>
              </w:rPr>
              <w:t>Razón</w:t>
            </w:r>
          </w:p>
        </w:tc>
      </w:tr>
      <w:tr>
        <w:tc>
          <w:tcPr>
            <w:tcW w:type="dxa" w:w="2448"/>
            <w:vAlign w:val="center"/>
            <w:shd w:fill="ECFDF5"/>
          </w:tcPr>
          <w:p>
            <w:pPr>
              <w:jc w:val="left"/>
            </w:pPr>
            <w:r/>
            <w:r>
              <w:rPr>
                <w:rFonts w:ascii="Arial" w:hAnsi="Arial" w:eastAsia="Arial"/>
                <w:b w:val="0"/>
                <w:color w:val="1F2937"/>
                <w:sz w:val="18"/>
              </w:rPr>
              <w:t>Lakehouse / base de datos</w:t>
            </w:r>
          </w:p>
        </w:tc>
        <w:tc>
          <w:tcPr>
            <w:tcW w:type="dxa" w:w="1728"/>
            <w:vAlign w:val="center"/>
          </w:tcPr>
          <w:p>
            <w:pPr>
              <w:jc w:val="left"/>
            </w:pPr>
            <w:r/>
            <w:r>
              <w:rPr>
                <w:rFonts w:ascii="Arial" w:hAnsi="Arial" w:eastAsia="Arial"/>
                <w:b w:val="0"/>
                <w:color w:val="1F2937"/>
                <w:sz w:val="18"/>
              </w:rPr>
              <w:t>Bajo</w:t>
            </w:r>
          </w:p>
        </w:tc>
        <w:tc>
          <w:tcPr>
            <w:tcW w:type="dxa" w:w="5760"/>
            <w:vAlign w:val="center"/>
          </w:tcPr>
          <w:p>
            <w:pPr>
              <w:jc w:val="left"/>
            </w:pPr>
            <w:r/>
            <w:r>
              <w:rPr>
                <w:rFonts w:ascii="Arial" w:hAnsi="Arial" w:eastAsia="Arial"/>
                <w:b w:val="0"/>
                <w:color w:val="1F2937"/>
                <w:sz w:val="18"/>
              </w:rPr>
              <w:t>Es necesario, pero es una implementación técnica conocida y replicable.</w:t>
            </w:r>
          </w:p>
        </w:tc>
      </w:tr>
      <w:tr>
        <w:tc>
          <w:tcPr>
            <w:tcW w:type="dxa" w:w="2448"/>
            <w:vAlign w:val="center"/>
            <w:shd w:fill="ECFDF5"/>
          </w:tcPr>
          <w:p>
            <w:pPr>
              <w:jc w:val="left"/>
            </w:pPr>
            <w:r/>
            <w:r>
              <w:rPr>
                <w:rFonts w:ascii="Arial" w:hAnsi="Arial" w:eastAsia="Arial"/>
                <w:b w:val="0"/>
                <w:color w:val="1F2937"/>
                <w:sz w:val="18"/>
              </w:rPr>
              <w:t>RAG documental</w:t>
            </w:r>
          </w:p>
        </w:tc>
        <w:tc>
          <w:tcPr>
            <w:tcW w:type="dxa" w:w="1728"/>
            <w:vAlign w:val="center"/>
          </w:tcPr>
          <w:p>
            <w:pPr>
              <w:jc w:val="left"/>
            </w:pPr>
            <w:r/>
            <w:r>
              <w:rPr>
                <w:rFonts w:ascii="Arial" w:hAnsi="Arial" w:eastAsia="Arial"/>
                <w:b w:val="0"/>
                <w:color w:val="1F2937"/>
                <w:sz w:val="18"/>
              </w:rPr>
              <w:t>Medio-bajo</w:t>
            </w:r>
          </w:p>
        </w:tc>
        <w:tc>
          <w:tcPr>
            <w:tcW w:type="dxa" w:w="5760"/>
            <w:vAlign w:val="center"/>
          </w:tcPr>
          <w:p>
            <w:pPr>
              <w:jc w:val="left"/>
            </w:pPr>
            <w:r/>
            <w:r>
              <w:rPr>
                <w:rFonts w:ascii="Arial" w:hAnsi="Arial" w:eastAsia="Arial"/>
                <w:b w:val="0"/>
                <w:color w:val="1F2937"/>
                <w:sz w:val="18"/>
              </w:rPr>
              <w:t>Aporta valor, pero el patrón de RAG ya es común. El diferencial está en cómo se integra al negocio.</w:t>
            </w:r>
          </w:p>
        </w:tc>
      </w:tr>
      <w:tr>
        <w:tc>
          <w:tcPr>
            <w:tcW w:type="dxa" w:w="2448"/>
            <w:vAlign w:val="center"/>
            <w:shd w:fill="ECFDF5"/>
          </w:tcPr>
          <w:p>
            <w:pPr>
              <w:jc w:val="left"/>
            </w:pPr>
            <w:r/>
            <w:r>
              <w:rPr>
                <w:rFonts w:ascii="Arial" w:hAnsi="Arial" w:eastAsia="Arial"/>
                <w:b w:val="0"/>
                <w:color w:val="1F2937"/>
                <w:sz w:val="18"/>
              </w:rPr>
              <w:t>Modelo canónico</w:t>
            </w:r>
          </w:p>
        </w:tc>
        <w:tc>
          <w:tcPr>
            <w:tcW w:type="dxa" w:w="1728"/>
            <w:vAlign w:val="center"/>
          </w:tcPr>
          <w:p>
            <w:pPr>
              <w:jc w:val="left"/>
            </w:pPr>
            <w:r/>
            <w:r>
              <w:rPr>
                <w:rFonts w:ascii="Arial" w:hAnsi="Arial" w:eastAsia="Arial"/>
                <w:b w:val="0"/>
                <w:color w:val="1F2937"/>
                <w:sz w:val="18"/>
              </w:rPr>
              <w:t>Medio</w:t>
            </w:r>
          </w:p>
        </w:tc>
        <w:tc>
          <w:tcPr>
            <w:tcW w:type="dxa" w:w="5760"/>
            <w:vAlign w:val="center"/>
          </w:tcPr>
          <w:p>
            <w:pPr>
              <w:jc w:val="left"/>
            </w:pPr>
            <w:r/>
            <w:r>
              <w:rPr>
                <w:rFonts w:ascii="Arial" w:hAnsi="Arial" w:eastAsia="Arial"/>
                <w:b w:val="0"/>
                <w:color w:val="1F2937"/>
                <w:sz w:val="18"/>
              </w:rPr>
              <w:t>Ayuda a replicar implementaciones y reduce fricción, pero debe evolucionar con reglas y casos de uso.</w:t>
            </w:r>
          </w:p>
        </w:tc>
      </w:tr>
      <w:tr>
        <w:tc>
          <w:tcPr>
            <w:tcW w:type="dxa" w:w="2448"/>
            <w:vAlign w:val="center"/>
            <w:shd w:fill="ECFDF5"/>
          </w:tcPr>
          <w:p>
            <w:pPr>
              <w:jc w:val="left"/>
            </w:pPr>
            <w:r/>
            <w:r>
              <w:rPr>
                <w:rFonts w:ascii="Arial" w:hAnsi="Arial" w:eastAsia="Arial"/>
                <w:b w:val="0"/>
                <w:color w:val="1F2937"/>
                <w:sz w:val="18"/>
              </w:rPr>
              <w:t>Orquestador inteligente</w:t>
            </w:r>
          </w:p>
        </w:tc>
        <w:tc>
          <w:tcPr>
            <w:tcW w:type="dxa" w:w="1728"/>
            <w:vAlign w:val="center"/>
          </w:tcPr>
          <w:p>
            <w:pPr>
              <w:jc w:val="left"/>
            </w:pPr>
            <w:r/>
            <w:r>
              <w:rPr>
                <w:rFonts w:ascii="Arial" w:hAnsi="Arial" w:eastAsia="Arial"/>
                <w:b w:val="0"/>
                <w:color w:val="1F2937"/>
                <w:sz w:val="18"/>
              </w:rPr>
              <w:t>Alto</w:t>
            </w:r>
          </w:p>
        </w:tc>
        <w:tc>
          <w:tcPr>
            <w:tcW w:type="dxa" w:w="5760"/>
            <w:vAlign w:val="center"/>
          </w:tcPr>
          <w:p>
            <w:pPr>
              <w:jc w:val="left"/>
            </w:pPr>
            <w:r/>
            <w:r>
              <w:rPr>
                <w:rFonts w:ascii="Arial" w:hAnsi="Arial" w:eastAsia="Arial"/>
                <w:b w:val="0"/>
                <w:color w:val="1F2937"/>
                <w:sz w:val="18"/>
              </w:rPr>
              <w:t>Decide cómo responder: SQL, RAG, reglas, contexto del cliente o combinación híbrida.</w:t>
            </w:r>
          </w:p>
        </w:tc>
      </w:tr>
      <w:tr>
        <w:tc>
          <w:tcPr>
            <w:tcW w:type="dxa" w:w="2448"/>
            <w:vAlign w:val="center"/>
            <w:shd w:fill="ECFDF5"/>
          </w:tcPr>
          <w:p>
            <w:pPr>
              <w:jc w:val="left"/>
            </w:pPr>
            <w:r/>
            <w:r>
              <w:rPr>
                <w:rFonts w:ascii="Arial" w:hAnsi="Arial" w:eastAsia="Arial"/>
                <w:b w:val="0"/>
                <w:color w:val="1F2937"/>
                <w:sz w:val="18"/>
              </w:rPr>
              <w:t>Configuración por cliente</w:t>
            </w:r>
          </w:p>
        </w:tc>
        <w:tc>
          <w:tcPr>
            <w:tcW w:type="dxa" w:w="1728"/>
            <w:vAlign w:val="center"/>
          </w:tcPr>
          <w:p>
            <w:pPr>
              <w:jc w:val="left"/>
            </w:pPr>
            <w:r/>
            <w:r>
              <w:rPr>
                <w:rFonts w:ascii="Arial" w:hAnsi="Arial" w:eastAsia="Arial"/>
                <w:b w:val="0"/>
                <w:color w:val="1F2937"/>
                <w:sz w:val="18"/>
              </w:rPr>
              <w:t>Alto</w:t>
            </w:r>
          </w:p>
        </w:tc>
        <w:tc>
          <w:tcPr>
            <w:tcW w:type="dxa" w:w="5760"/>
            <w:vAlign w:val="center"/>
          </w:tcPr>
          <w:p>
            <w:pPr>
              <w:jc w:val="left"/>
            </w:pPr>
            <w:r/>
            <w:r>
              <w:rPr>
                <w:rFonts w:ascii="Arial" w:hAnsi="Arial" w:eastAsia="Arial"/>
                <w:b w:val="0"/>
                <w:color w:val="1F2937"/>
                <w:sz w:val="18"/>
              </w:rPr>
              <w:t>Permite adaptar GuruMaster sin rehacer código, acelerando implementación y reduciendo costo.</w:t>
            </w:r>
          </w:p>
        </w:tc>
      </w:tr>
      <w:tr>
        <w:tc>
          <w:tcPr>
            <w:tcW w:type="dxa" w:w="2448"/>
            <w:vAlign w:val="center"/>
            <w:shd w:fill="ECFDF5"/>
          </w:tcPr>
          <w:p>
            <w:pPr>
              <w:jc w:val="left"/>
            </w:pPr>
            <w:r/>
            <w:r>
              <w:rPr>
                <w:rFonts w:ascii="Arial" w:hAnsi="Arial" w:eastAsia="Arial"/>
                <w:b w:val="0"/>
                <w:color w:val="1F2937"/>
                <w:sz w:val="18"/>
              </w:rPr>
              <w:t>Estrategia de replicabilidad</w:t>
            </w:r>
          </w:p>
        </w:tc>
        <w:tc>
          <w:tcPr>
            <w:tcW w:type="dxa" w:w="1728"/>
            <w:vAlign w:val="center"/>
          </w:tcPr>
          <w:p>
            <w:pPr>
              <w:jc w:val="left"/>
            </w:pPr>
            <w:r/>
            <w:r>
              <w:rPr>
                <w:rFonts w:ascii="Arial" w:hAnsi="Arial" w:eastAsia="Arial"/>
                <w:b w:val="0"/>
                <w:color w:val="1F2937"/>
                <w:sz w:val="18"/>
              </w:rPr>
              <w:t>Alto</w:t>
            </w:r>
          </w:p>
        </w:tc>
        <w:tc>
          <w:tcPr>
            <w:tcW w:type="dxa" w:w="5760"/>
            <w:vAlign w:val="center"/>
          </w:tcPr>
          <w:p>
            <w:pPr>
              <w:jc w:val="left"/>
            </w:pPr>
            <w:r/>
            <w:r>
              <w:rPr>
                <w:rFonts w:ascii="Arial" w:hAnsi="Arial" w:eastAsia="Arial"/>
                <w:b w:val="0"/>
                <w:color w:val="1F2937"/>
                <w:sz w:val="18"/>
              </w:rPr>
              <w:t>Convierte proyectos repetibles en metodología, plantillas, aceleradores y producto.</w:t>
            </w:r>
          </w:p>
        </w:tc>
      </w:tr>
      <w:tr>
        <w:tc>
          <w:tcPr>
            <w:tcW w:type="dxa" w:w="2448"/>
            <w:vAlign w:val="center"/>
            <w:shd w:fill="ECFDF5"/>
          </w:tcPr>
          <w:p>
            <w:pPr>
              <w:jc w:val="left"/>
            </w:pPr>
            <w:r/>
            <w:r>
              <w:rPr>
                <w:rFonts w:ascii="Arial" w:hAnsi="Arial" w:eastAsia="Arial"/>
                <w:b w:val="0"/>
                <w:color w:val="1F2937"/>
                <w:sz w:val="18"/>
              </w:rPr>
              <w:t>Benchmarks anonimizados</w:t>
            </w:r>
          </w:p>
        </w:tc>
        <w:tc>
          <w:tcPr>
            <w:tcW w:type="dxa" w:w="1728"/>
            <w:vAlign w:val="center"/>
          </w:tcPr>
          <w:p>
            <w:pPr>
              <w:jc w:val="left"/>
            </w:pPr>
            <w:r/>
            <w:r>
              <w:rPr>
                <w:rFonts w:ascii="Arial" w:hAnsi="Arial" w:eastAsia="Arial"/>
                <w:b w:val="0"/>
                <w:color w:val="1F2937"/>
                <w:sz w:val="18"/>
              </w:rPr>
              <w:t>Muy alto futuro</w:t>
            </w:r>
          </w:p>
        </w:tc>
        <w:tc>
          <w:tcPr>
            <w:tcW w:type="dxa" w:w="5760"/>
            <w:vAlign w:val="center"/>
          </w:tcPr>
          <w:p>
            <w:pPr>
              <w:jc w:val="left"/>
            </w:pPr>
            <w:r/>
            <w:r>
              <w:rPr>
                <w:rFonts w:ascii="Arial" w:hAnsi="Arial" w:eastAsia="Arial"/>
                <w:b w:val="0"/>
                <w:color w:val="1F2937"/>
                <w:sz w:val="18"/>
              </w:rPr>
              <w:t>Con varios clientes, permite comparar costos, rutas y márgenes contra patrones del mercado.</w:t>
            </w:r>
          </w:p>
        </w:tc>
      </w:tr>
    </w:tbl>
    <w:p/>
    <w:p>
      <w:pPr>
        <w:pStyle w:val="Heading1"/>
      </w:pPr>
      <w:r>
        <w:t>3. Principios de diseño</w:t>
      </w:r>
    </w:p>
    <w:p>
      <w:pPr>
        <w:pStyle w:val="ListBullet"/>
        <w:spacing w:after="20"/>
      </w:pPr>
      <w:r>
        <w:t>Configurar más, desarrollar menos.</w:t>
      </w:r>
    </w:p>
    <w:p>
      <w:pPr>
        <w:pStyle w:val="ListBullet"/>
        <w:spacing w:after="20"/>
      </w:pPr>
      <w:r>
        <w:t>Separar lo reutilizable de lo personalizable.</w:t>
      </w:r>
    </w:p>
    <w:p>
      <w:pPr>
        <w:pStyle w:val="ListBullet"/>
      </w:pPr>
      <w:r>
        <w:t>Separar Silver como modelo canónico operacional y Gold como modelo dimensional analítico con facts y dimensions.</w:t>
      </w:r>
    </w:p>
    <w:p>
      <w:pPr>
        <w:pStyle w:val="ListBullet"/>
        <w:spacing w:after="20"/>
      </w:pPr>
      <w:r>
        <w:t>Estandarizar datos en un modelo canónico antes de activar analítica o IA.</w:t>
      </w:r>
    </w:p>
    <w:p>
      <w:pPr>
        <w:pStyle w:val="ListBullet"/>
        <w:spacing w:after="20"/>
      </w:pPr>
      <w:r>
        <w:t>Mantener trazabilidad entre respuesta, datos consultados y documentos fuente.</w:t>
      </w:r>
    </w:p>
    <w:p>
      <w:pPr>
        <w:pStyle w:val="ListBullet"/>
        <w:spacing w:after="20"/>
      </w:pPr>
      <w:r>
        <w:t>Diseñar cada módulo pensando en el siguiente cliente, no solo en el cliente actual.</w:t>
      </w:r>
    </w:p>
    <w:p>
      <w:pPr>
        <w:pStyle w:val="ListBullet"/>
        <w:spacing w:after="20"/>
      </w:pPr>
      <w:r>
        <w:t>Evitar prometer integraciones complejas desde el inicio; priorizar fuentes críticas y valor demostrable.</w:t>
      </w:r>
    </w:p>
    <w:p>
      <w:pPr>
        <w:pStyle w:val="ListBullet"/>
        <w:spacing w:after="20"/>
      </w:pPr>
      <w:r>
        <w:t>Construir primero una versión local/MVP barata y luego escalar hacia arquitectura enterprise.</w:t>
      </w:r>
    </w:p>
    <w:p>
      <w:pPr>
        <w:pStyle w:val="Heading1"/>
      </w:pPr>
      <w:r>
        <w:t>4. Arquitectura por capas</w:t>
      </w:r>
    </w:p>
    <w:p>
      <w:r>
        <w:t>La arquitectura propuesta organiza GuruMaster como un framework de datos e IA compuesto por capas independientes. Cada capa tiene una responsabilidad clara y puede evolucionar sin romper el resto del sistema.</w:t>
      </w:r>
    </w:p>
    <w:p>
      <w:pPr>
        <w:pStyle w:val="CodeBlock"/>
      </w:pPr>
      <w:r>
        <w:t>FUENTES DEL CLIENTE</w:t>
        <w:br/>
        <w:t>Excel | CSV | ERP | TMS | GPS | Documentos | PDFs | Carpetas compartidas</w:t>
        <w:br/>
        <w:t xml:space="preserve">        ↓</w:t>
        <w:br/>
        <w:t>INGESTA Y VALIDACIÓN</w:t>
        <w:br/>
        <w:t>Carga de archivos | validaciones | extracción documental | metadatos</w:t>
        <w:br/>
        <w:t xml:space="preserve">        ↓</w:t>
        <w:br/>
        <w:t>BRONZE</w:t>
        <w:br/>
        <w:t>Datos crudos por cliente</w:t>
        <w:br/>
        <w:t xml:space="preserve">        ↓</w:t>
        <w:br/>
        <w:t>SILVER / MODELO CANÓNICO</w:t>
        <w:br/>
        <w:t>viajes | gastos | vehículos | rutas | activos | documentos | alertas</w:t>
        <w:br/>
        <w:t xml:space="preserve">        ↓</w:t>
        <w:br/>
        <w:t>GOLD / CAPA DE NEGOCIO</w:t>
        <w:br/>
        <w:t>rentabilidad | costos por km | alertas | vencimientos | KPIs</w:t>
        <w:br/>
        <w:t xml:space="preserve">        ↓</w:t>
        <w:br/>
        <w:t>KNOWLEDGE LAYER</w:t>
        <w:br/>
        <w:t>RAG documental sobre normatividad, políticas internas y documentos operativos</w:t>
        <w:br/>
        <w:t xml:space="preserve">        ↓</w:t>
        <w:br/>
        <w:t>AI ORCHESTRATION LAYER</w:t>
        <w:br/>
        <w:t>Clasificación de intención | SQL | RAG | reglas | respuesta integrada</w:t>
        <w:br/>
        <w:t xml:space="preserve">        ↓</w:t>
        <w:br/>
        <w:t>EXPERIENCIA</w:t>
        <w:br/>
        <w:t>Chat GuruMaster | dashboard | reportes | alertas | evidencia</w:t>
        <w:br/>
        <w:t xml:space="preserve">        ↓</w:t>
        <w:br/>
        <w:t>CONFIGURACIÓN POR CLIENTE</w:t>
        <w:br/>
        <w:t>mappings | umbrales | módulos activos | permisos | branding | fuentes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0F766E"/>
          </w:tcPr>
          <w:p>
            <w:pPr>
              <w:jc w:val="left"/>
            </w:pPr>
            <w:r/>
            <w:r>
              <w:rPr>
                <w:rFonts w:ascii="Arial" w:hAnsi="Arial" w:eastAsia="Arial"/>
                <w:b/>
                <w:color w:val="FFFFFF"/>
                <w:sz w:val="18"/>
              </w:rPr>
              <w:t>Capa</w:t>
            </w:r>
          </w:p>
        </w:tc>
        <w:tc>
          <w:tcPr>
            <w:tcW w:type="dxa" w:w="4752"/>
            <w:vAlign w:val="center"/>
            <w:shd w:fill="0F766E"/>
          </w:tcPr>
          <w:p>
            <w:pPr>
              <w:jc w:val="left"/>
            </w:pPr>
            <w:r/>
            <w:r>
              <w:rPr>
                <w:rFonts w:ascii="Arial" w:hAnsi="Arial" w:eastAsia="Arial"/>
                <w:b/>
                <w:color w:val="FFFFFF"/>
                <w:sz w:val="18"/>
              </w:rPr>
              <w:t>Responsabilidad</w:t>
            </w:r>
          </w:p>
        </w:tc>
        <w:tc>
          <w:tcPr>
            <w:tcW w:type="dxa" w:w="3024"/>
            <w:vAlign w:val="center"/>
            <w:shd w:fill="0F766E"/>
          </w:tcPr>
          <w:p>
            <w:pPr>
              <w:jc w:val="left"/>
            </w:pPr>
            <w:r/>
            <w:r>
              <w:rPr>
                <w:rFonts w:ascii="Arial" w:hAnsi="Arial" w:eastAsia="Arial"/>
                <w:b/>
                <w:color w:val="FFFFFF"/>
                <w:sz w:val="18"/>
              </w:rPr>
              <w:t>Reutilizable</w:t>
            </w:r>
          </w:p>
        </w:tc>
      </w:tr>
      <w:tr>
        <w:tc>
          <w:tcPr>
            <w:tcW w:type="dxa" w:w="2160"/>
            <w:vAlign w:val="center"/>
            <w:shd w:fill="ECFDF5"/>
          </w:tcPr>
          <w:p>
            <w:pPr>
              <w:jc w:val="left"/>
            </w:pPr>
            <w:r/>
            <w:r>
              <w:rPr>
                <w:rFonts w:ascii="Arial" w:hAnsi="Arial" w:eastAsia="Arial"/>
                <w:b w:val="0"/>
                <w:color w:val="1F2937"/>
                <w:sz w:val="18"/>
              </w:rPr>
              <w:t>Source Layer</w:t>
            </w:r>
          </w:p>
        </w:tc>
        <w:tc>
          <w:tcPr>
            <w:tcW w:type="dxa" w:w="4752"/>
            <w:vAlign w:val="center"/>
          </w:tcPr>
          <w:p>
            <w:pPr>
              <w:jc w:val="left"/>
            </w:pPr>
            <w:r/>
            <w:r>
              <w:rPr>
                <w:rFonts w:ascii="Arial" w:hAnsi="Arial" w:eastAsia="Arial"/>
                <w:b w:val="0"/>
                <w:color w:val="1F2937"/>
                <w:sz w:val="18"/>
              </w:rPr>
              <w:t>Recibir datos y documentos del cliente.</w:t>
            </w:r>
          </w:p>
        </w:tc>
        <w:tc>
          <w:tcPr>
            <w:tcW w:type="dxa" w:w="3024"/>
            <w:vAlign w:val="center"/>
          </w:tcPr>
          <w:p>
            <w:pPr>
              <w:jc w:val="left"/>
            </w:pPr>
            <w:r/>
            <w:r>
              <w:rPr>
                <w:rFonts w:ascii="Arial" w:hAnsi="Arial" w:eastAsia="Arial"/>
                <w:b w:val="0"/>
                <w:color w:val="1F2937"/>
                <w:sz w:val="18"/>
              </w:rPr>
              <w:t>Parcial</w:t>
            </w:r>
          </w:p>
        </w:tc>
      </w:tr>
      <w:tr>
        <w:tc>
          <w:tcPr>
            <w:tcW w:type="dxa" w:w="2160"/>
            <w:vAlign w:val="center"/>
            <w:shd w:fill="ECFDF5"/>
          </w:tcPr>
          <w:p>
            <w:pPr>
              <w:jc w:val="left"/>
            </w:pPr>
            <w:r/>
            <w:r>
              <w:rPr>
                <w:rFonts w:ascii="Arial" w:hAnsi="Arial" w:eastAsia="Arial"/>
                <w:b w:val="0"/>
                <w:color w:val="1F2937"/>
                <w:sz w:val="18"/>
              </w:rPr>
              <w:t>Ingestion Layer</w:t>
            </w:r>
          </w:p>
        </w:tc>
        <w:tc>
          <w:tcPr>
            <w:tcW w:type="dxa" w:w="4752"/>
            <w:vAlign w:val="center"/>
          </w:tcPr>
          <w:p>
            <w:pPr>
              <w:jc w:val="left"/>
            </w:pPr>
            <w:r/>
            <w:r>
              <w:rPr>
                <w:rFonts w:ascii="Arial" w:hAnsi="Arial" w:eastAsia="Arial"/>
                <w:b w:val="0"/>
                <w:color w:val="1F2937"/>
                <w:sz w:val="18"/>
              </w:rPr>
              <w:t>Cargar, validar y registrar metadatos.</w:t>
            </w:r>
          </w:p>
        </w:tc>
        <w:tc>
          <w:tcPr>
            <w:tcW w:type="dxa" w:w="3024"/>
            <w:vAlign w:val="center"/>
          </w:tcPr>
          <w:p>
            <w:pPr>
              <w:jc w:val="left"/>
            </w:pPr>
            <w:r/>
            <w:r>
              <w:rPr>
                <w:rFonts w:ascii="Arial" w:hAnsi="Arial" w:eastAsia="Arial"/>
                <w:b w:val="0"/>
                <w:color w:val="1F2937"/>
                <w:sz w:val="18"/>
              </w:rPr>
              <w:t>Alta</w:t>
            </w:r>
          </w:p>
        </w:tc>
      </w:tr>
      <w:tr>
        <w:tc>
          <w:tcPr>
            <w:tcW w:type="dxa" w:w="2160"/>
            <w:vAlign w:val="center"/>
            <w:shd w:fill="ECFDF5"/>
          </w:tcPr>
          <w:p>
            <w:pPr>
              <w:jc w:val="left"/>
            </w:pPr>
            <w:r/>
            <w:r>
              <w:rPr>
                <w:rFonts w:ascii="Arial" w:hAnsi="Arial" w:eastAsia="Arial"/>
                <w:b w:val="0"/>
                <w:color w:val="1F2937"/>
                <w:sz w:val="18"/>
              </w:rPr>
              <w:t>Bronze</w:t>
            </w:r>
          </w:p>
        </w:tc>
        <w:tc>
          <w:tcPr>
            <w:tcW w:type="dxa" w:w="4752"/>
            <w:vAlign w:val="center"/>
          </w:tcPr>
          <w:p>
            <w:pPr>
              <w:jc w:val="left"/>
            </w:pPr>
            <w:r/>
            <w:r>
              <w:rPr>
                <w:rFonts w:ascii="Arial" w:hAnsi="Arial" w:eastAsia="Arial"/>
                <w:b w:val="0"/>
                <w:color w:val="1F2937"/>
                <w:sz w:val="18"/>
              </w:rPr>
              <w:t>Guardar datos crudos por cliente.</w:t>
            </w:r>
          </w:p>
        </w:tc>
        <w:tc>
          <w:tcPr>
            <w:tcW w:type="dxa" w:w="3024"/>
            <w:vAlign w:val="center"/>
          </w:tcPr>
          <w:p>
            <w:pPr>
              <w:jc w:val="left"/>
            </w:pPr>
            <w:r/>
            <w:r>
              <w:rPr>
                <w:rFonts w:ascii="Arial" w:hAnsi="Arial" w:eastAsia="Arial"/>
                <w:b w:val="0"/>
                <w:color w:val="1F2937"/>
                <w:sz w:val="18"/>
              </w:rPr>
              <w:t>Alta</w:t>
            </w:r>
          </w:p>
        </w:tc>
      </w:tr>
      <w:tr>
        <w:tc>
          <w:tcPr>
            <w:tcW w:type="dxa" w:w="2160"/>
            <w:vAlign w:val="center"/>
            <w:shd w:fill="ECFDF5"/>
          </w:tcPr>
          <w:p>
            <w:pPr>
              <w:jc w:val="left"/>
            </w:pPr>
            <w:r/>
            <w:r>
              <w:rPr>
                <w:rFonts w:ascii="Arial" w:hAnsi="Arial" w:eastAsia="Arial"/>
                <w:b w:val="0"/>
                <w:color w:val="1F2937"/>
                <w:sz w:val="18"/>
              </w:rPr>
              <w:t>Silver / Canonical</w:t>
            </w:r>
          </w:p>
        </w:tc>
        <w:tc>
          <w:tcPr>
            <w:tcW w:type="dxa" w:w="4752"/>
            <w:vAlign w:val="center"/>
          </w:tcPr>
          <w:p>
            <w:pPr>
              <w:jc w:val="left"/>
            </w:pPr>
            <w:r/>
            <w:r>
              <w:rPr>
                <w:rFonts w:ascii="Arial" w:hAnsi="Arial" w:eastAsia="Arial"/>
                <w:b w:val="0"/>
                <w:color w:val="1F2937"/>
                <w:sz w:val="18"/>
              </w:rPr>
              <w:t>Normalizar al modelo GuruMaster.</w:t>
            </w:r>
          </w:p>
        </w:tc>
        <w:tc>
          <w:tcPr>
            <w:tcW w:type="dxa" w:w="3024"/>
            <w:vAlign w:val="center"/>
          </w:tcPr>
          <w:p>
            <w:pPr>
              <w:jc w:val="left"/>
            </w:pPr>
            <w:r/>
            <w:r>
              <w:rPr>
                <w:rFonts w:ascii="Arial" w:hAnsi="Arial" w:eastAsia="Arial"/>
                <w:b w:val="0"/>
                <w:color w:val="1F2937"/>
                <w:sz w:val="18"/>
              </w:rPr>
              <w:t>Muy alta</w:t>
            </w:r>
          </w:p>
        </w:tc>
      </w:tr>
      <w:tr>
        <w:tc>
          <w:tcPr>
            <w:tcW w:type="dxa" w:w="2160"/>
            <w:vAlign w:val="center"/>
            <w:shd w:fill="ECFDF5"/>
          </w:tcPr>
          <w:p>
            <w:pPr>
              <w:jc w:val="left"/>
            </w:pPr>
            <w:r/>
            <w:r>
              <w:rPr>
                <w:rFonts w:ascii="Arial" w:hAnsi="Arial" w:eastAsia="Arial"/>
                <w:b w:val="0"/>
                <w:color w:val="1F2937"/>
                <w:sz w:val="18"/>
              </w:rPr>
              <w:t>Gold / Business</w:t>
            </w:r>
          </w:p>
        </w:tc>
        <w:tc>
          <w:tcPr>
            <w:tcW w:type="dxa" w:w="4752"/>
            <w:vAlign w:val="center"/>
          </w:tcPr>
          <w:p>
            <w:pPr>
              <w:jc w:val="left"/>
            </w:pPr>
            <w:r/>
            <w:r>
              <w:rPr>
                <w:rFonts w:ascii="Arial" w:hAnsi="Arial" w:eastAsia="Arial"/>
                <w:b w:val="0"/>
                <w:color w:val="1F2937"/>
                <w:sz w:val="18"/>
              </w:rPr>
              <w:t>Crear vistas e indicadores de negocio.</w:t>
            </w:r>
          </w:p>
        </w:tc>
        <w:tc>
          <w:tcPr>
            <w:tcW w:type="dxa" w:w="3024"/>
            <w:vAlign w:val="center"/>
          </w:tcPr>
          <w:p>
            <w:pPr>
              <w:jc w:val="left"/>
            </w:pPr>
            <w:r/>
            <w:r>
              <w:rPr>
                <w:rFonts w:ascii="Arial" w:hAnsi="Arial" w:eastAsia="Arial"/>
                <w:b w:val="0"/>
                <w:color w:val="1F2937"/>
                <w:sz w:val="18"/>
              </w:rPr>
              <w:t>Muy alta</w:t>
            </w:r>
          </w:p>
        </w:tc>
      </w:tr>
      <w:tr>
        <w:tc>
          <w:tcPr>
            <w:tcW w:type="dxa" w:w="2160"/>
            <w:vAlign w:val="center"/>
            <w:shd w:fill="ECFDF5"/>
          </w:tcPr>
          <w:p>
            <w:pPr>
              <w:jc w:val="left"/>
            </w:pPr>
            <w:r/>
            <w:r>
              <w:rPr>
                <w:rFonts w:ascii="Arial" w:hAnsi="Arial" w:eastAsia="Arial"/>
                <w:b w:val="0"/>
                <w:color w:val="1F2937"/>
                <w:sz w:val="18"/>
              </w:rPr>
              <w:t>Knowledge Layer</w:t>
            </w:r>
          </w:p>
        </w:tc>
        <w:tc>
          <w:tcPr>
            <w:tcW w:type="dxa" w:w="4752"/>
            <w:vAlign w:val="center"/>
          </w:tcPr>
          <w:p>
            <w:pPr>
              <w:jc w:val="left"/>
            </w:pPr>
            <w:r/>
            <w:r>
              <w:rPr>
                <w:rFonts w:ascii="Arial" w:hAnsi="Arial" w:eastAsia="Arial"/>
                <w:b w:val="0"/>
                <w:color w:val="1F2937"/>
                <w:sz w:val="18"/>
              </w:rPr>
              <w:t>Consultar documentos mediante RAG.</w:t>
            </w:r>
          </w:p>
        </w:tc>
        <w:tc>
          <w:tcPr>
            <w:tcW w:type="dxa" w:w="3024"/>
            <w:vAlign w:val="center"/>
          </w:tcPr>
          <w:p>
            <w:pPr>
              <w:jc w:val="left"/>
            </w:pPr>
            <w:r/>
            <w:r>
              <w:rPr>
                <w:rFonts w:ascii="Arial" w:hAnsi="Arial" w:eastAsia="Arial"/>
                <w:b w:val="0"/>
                <w:color w:val="1F2937"/>
                <w:sz w:val="18"/>
              </w:rPr>
              <w:t>Alta</w:t>
            </w:r>
          </w:p>
        </w:tc>
      </w:tr>
      <w:tr>
        <w:tc>
          <w:tcPr>
            <w:tcW w:type="dxa" w:w="2160"/>
            <w:vAlign w:val="center"/>
            <w:shd w:fill="ECFDF5"/>
          </w:tcPr>
          <w:p>
            <w:pPr>
              <w:jc w:val="left"/>
            </w:pPr>
            <w:r/>
            <w:r>
              <w:rPr>
                <w:rFonts w:ascii="Arial" w:hAnsi="Arial" w:eastAsia="Arial"/>
                <w:b w:val="0"/>
                <w:color w:val="1F2937"/>
                <w:sz w:val="18"/>
              </w:rPr>
              <w:t>AI Orchestration</w:t>
            </w:r>
          </w:p>
        </w:tc>
        <w:tc>
          <w:tcPr>
            <w:tcW w:type="dxa" w:w="4752"/>
            <w:vAlign w:val="center"/>
          </w:tcPr>
          <w:p>
            <w:pPr>
              <w:jc w:val="left"/>
            </w:pPr>
            <w:r/>
            <w:r>
              <w:rPr>
                <w:rFonts w:ascii="Arial" w:hAnsi="Arial" w:eastAsia="Arial"/>
                <w:b w:val="0"/>
                <w:color w:val="1F2937"/>
                <w:sz w:val="18"/>
              </w:rPr>
              <w:t>Elegir herramientas y construir respuestas.</w:t>
            </w:r>
          </w:p>
        </w:tc>
        <w:tc>
          <w:tcPr>
            <w:tcW w:type="dxa" w:w="3024"/>
            <w:vAlign w:val="center"/>
          </w:tcPr>
          <w:p>
            <w:pPr>
              <w:jc w:val="left"/>
            </w:pPr>
            <w:r/>
            <w:r>
              <w:rPr>
                <w:rFonts w:ascii="Arial" w:hAnsi="Arial" w:eastAsia="Arial"/>
                <w:b w:val="0"/>
                <w:color w:val="1F2937"/>
                <w:sz w:val="18"/>
              </w:rPr>
              <w:t>Muy alta y parte central del moat</w:t>
            </w:r>
          </w:p>
        </w:tc>
      </w:tr>
      <w:tr>
        <w:tc>
          <w:tcPr>
            <w:tcW w:type="dxa" w:w="2160"/>
            <w:vAlign w:val="center"/>
            <w:shd w:fill="ECFDF5"/>
          </w:tcPr>
          <w:p>
            <w:pPr>
              <w:jc w:val="left"/>
            </w:pPr>
            <w:r/>
            <w:r>
              <w:rPr>
                <w:rFonts w:ascii="Arial" w:hAnsi="Arial" w:eastAsia="Arial"/>
                <w:b w:val="0"/>
                <w:color w:val="1F2937"/>
                <w:sz w:val="18"/>
              </w:rPr>
              <w:t>Experience Layer</w:t>
            </w:r>
          </w:p>
        </w:tc>
        <w:tc>
          <w:tcPr>
            <w:tcW w:type="dxa" w:w="4752"/>
            <w:vAlign w:val="center"/>
          </w:tcPr>
          <w:p>
            <w:pPr>
              <w:jc w:val="left"/>
            </w:pPr>
            <w:r/>
            <w:r>
              <w:rPr>
                <w:rFonts w:ascii="Arial" w:hAnsi="Arial" w:eastAsia="Arial"/>
                <w:b w:val="0"/>
                <w:color w:val="1F2937"/>
                <w:sz w:val="18"/>
              </w:rPr>
              <w:t>Exponer chat, dashboard y reportes.</w:t>
            </w:r>
          </w:p>
        </w:tc>
        <w:tc>
          <w:tcPr>
            <w:tcW w:type="dxa" w:w="3024"/>
            <w:vAlign w:val="center"/>
          </w:tcPr>
          <w:p>
            <w:pPr>
              <w:jc w:val="left"/>
            </w:pPr>
            <w:r/>
            <w:r>
              <w:rPr>
                <w:rFonts w:ascii="Arial" w:hAnsi="Arial" w:eastAsia="Arial"/>
                <w:b w:val="0"/>
                <w:color w:val="1F2937"/>
                <w:sz w:val="18"/>
              </w:rPr>
              <w:t>Alta</w:t>
            </w:r>
          </w:p>
        </w:tc>
      </w:tr>
      <w:tr>
        <w:tc>
          <w:tcPr>
            <w:tcW w:type="dxa" w:w="2160"/>
            <w:vAlign w:val="center"/>
            <w:shd w:fill="ECFDF5"/>
          </w:tcPr>
          <w:p>
            <w:pPr>
              <w:jc w:val="left"/>
            </w:pPr>
            <w:r/>
            <w:r>
              <w:rPr>
                <w:rFonts w:ascii="Arial" w:hAnsi="Arial" w:eastAsia="Arial"/>
                <w:b w:val="0"/>
                <w:color w:val="1F2937"/>
                <w:sz w:val="18"/>
              </w:rPr>
              <w:t>Configuration Layer</w:t>
            </w:r>
          </w:p>
        </w:tc>
        <w:tc>
          <w:tcPr>
            <w:tcW w:type="dxa" w:w="4752"/>
            <w:vAlign w:val="center"/>
          </w:tcPr>
          <w:p>
            <w:pPr>
              <w:jc w:val="left"/>
            </w:pPr>
            <w:r/>
            <w:r>
              <w:rPr>
                <w:rFonts w:ascii="Arial" w:hAnsi="Arial" w:eastAsia="Arial"/>
                <w:b w:val="0"/>
                <w:color w:val="1F2937"/>
                <w:sz w:val="18"/>
              </w:rPr>
              <w:t>Adaptar el framework a cada cliente.</w:t>
            </w:r>
          </w:p>
        </w:tc>
        <w:tc>
          <w:tcPr>
            <w:tcW w:type="dxa" w:w="3024"/>
            <w:vAlign w:val="center"/>
          </w:tcPr>
          <w:p>
            <w:pPr>
              <w:jc w:val="left"/>
            </w:pPr>
            <w:r/>
            <w:r>
              <w:rPr>
                <w:rFonts w:ascii="Arial" w:hAnsi="Arial" w:eastAsia="Arial"/>
                <w:b w:val="0"/>
                <w:color w:val="1F2937"/>
                <w:sz w:val="18"/>
              </w:rPr>
              <w:t>Muy alta y parte central del moat</w:t>
            </w:r>
          </w:p>
        </w:tc>
      </w:tr>
    </w:tbl>
    <w:p/>
    <w:p>
      <w:pPr>
        <w:pStyle w:val="Heading1"/>
      </w:pPr>
      <w:r>
        <w:t>5. Modelo canónico GuruMaster</w:t>
      </w:r>
    </w:p>
    <w:p>
      <w:r>
        <w:t>El modelo canónico es la representación estándar de datos que GuruMaster espera, sin importar cómo se llamen los campos en cada cliente. Este modelo es necesario para que el framework sea replicable.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0F766E"/>
          </w:tcPr>
          <w:p>
            <w:pPr>
              <w:jc w:val="left"/>
            </w:pPr>
            <w:r/>
            <w:r>
              <w:rPr>
                <w:rFonts w:ascii="Arial" w:hAnsi="Arial" w:eastAsia="Arial"/>
                <w:b/>
                <w:color w:val="FFFFFF"/>
                <w:sz w:val="18"/>
              </w:rPr>
              <w:t>Dominio</w:t>
            </w:r>
          </w:p>
        </w:tc>
        <w:tc>
          <w:tcPr>
            <w:tcW w:type="dxa" w:w="5040"/>
            <w:vAlign w:val="center"/>
            <w:shd w:fill="0F766E"/>
          </w:tcPr>
          <w:p>
            <w:pPr>
              <w:jc w:val="left"/>
            </w:pPr>
            <w:r/>
            <w:r>
              <w:rPr>
                <w:rFonts w:ascii="Arial" w:hAnsi="Arial" w:eastAsia="Arial"/>
                <w:b/>
                <w:color w:val="FFFFFF"/>
                <w:sz w:val="18"/>
              </w:rPr>
              <w:t>Tablas canónicas sugeridas</w:t>
            </w:r>
          </w:p>
        </w:tc>
        <w:tc>
          <w:tcPr>
            <w:tcW w:type="dxa" w:w="2880"/>
            <w:vAlign w:val="center"/>
            <w:shd w:fill="0F766E"/>
          </w:tcPr>
          <w:p>
            <w:pPr>
              <w:jc w:val="left"/>
            </w:pPr>
            <w:r/>
            <w:r>
              <w:rPr>
                <w:rFonts w:ascii="Arial" w:hAnsi="Arial" w:eastAsia="Arial"/>
                <w:b/>
                <w:color w:val="FFFFFF"/>
                <w:sz w:val="18"/>
              </w:rPr>
              <w:t>Propósito</w:t>
            </w:r>
          </w:p>
        </w:tc>
      </w:tr>
      <w:tr>
        <w:tc>
          <w:tcPr>
            <w:tcW w:type="dxa" w:w="2160"/>
            <w:vAlign w:val="center"/>
            <w:shd w:fill="ECFDF5"/>
          </w:tcPr>
          <w:p>
            <w:pPr>
              <w:jc w:val="left"/>
            </w:pPr>
            <w:r/>
            <w:r>
              <w:rPr>
                <w:rFonts w:ascii="Arial" w:hAnsi="Arial" w:eastAsia="Arial"/>
                <w:b w:val="0"/>
                <w:color w:val="1F2937"/>
                <w:sz w:val="18"/>
              </w:rPr>
              <w:t>Costos operativos</w:t>
            </w:r>
          </w:p>
        </w:tc>
        <w:tc>
          <w:tcPr>
            <w:tcW w:type="dxa" w:w="5040"/>
            <w:vAlign w:val="center"/>
          </w:tcPr>
          <w:p>
            <w:pPr>
              <w:jc w:val="left"/>
            </w:pPr>
            <w:r/>
            <w:r>
              <w:rPr>
                <w:rFonts w:ascii="Arial" w:hAnsi="Arial" w:eastAsia="Arial"/>
                <w:b w:val="0"/>
                <w:color w:val="1F2937"/>
                <w:sz w:val="18"/>
              </w:rPr>
              <w:t>gm_viajes, gm_gastos_viaje, gm_rutas, gm_conductores, gm_precios_combustible, gm_costos_peajes</w:t>
            </w:r>
          </w:p>
        </w:tc>
        <w:tc>
          <w:tcPr>
            <w:tcW w:type="dxa" w:w="2880"/>
            <w:vAlign w:val="center"/>
          </w:tcPr>
          <w:p>
            <w:pPr>
              <w:jc w:val="left"/>
            </w:pPr>
            <w:r/>
            <w:r>
              <w:rPr>
                <w:rFonts w:ascii="Arial" w:hAnsi="Arial" w:eastAsia="Arial"/>
                <w:b w:val="0"/>
                <w:color w:val="1F2937"/>
                <w:sz w:val="18"/>
              </w:rPr>
              <w:t>Analizar ingresos, gastos, utilidad, margen, costo por km y costos por ruta.</w:t>
            </w:r>
          </w:p>
        </w:tc>
      </w:tr>
      <w:tr>
        <w:tc>
          <w:tcPr>
            <w:tcW w:type="dxa" w:w="2160"/>
            <w:vAlign w:val="center"/>
            <w:shd w:fill="ECFDF5"/>
          </w:tcPr>
          <w:p>
            <w:pPr>
              <w:jc w:val="left"/>
            </w:pPr>
            <w:r/>
            <w:r>
              <w:rPr>
                <w:rFonts w:ascii="Arial" w:hAnsi="Arial" w:eastAsia="Arial"/>
                <w:b w:val="0"/>
                <w:color w:val="1F2937"/>
                <w:sz w:val="18"/>
              </w:rPr>
              <w:t>Gestión de activos</w:t>
            </w:r>
          </w:p>
        </w:tc>
        <w:tc>
          <w:tcPr>
            <w:tcW w:type="dxa" w:w="5040"/>
            <w:vAlign w:val="center"/>
          </w:tcPr>
          <w:p>
            <w:pPr>
              <w:jc w:val="left"/>
            </w:pPr>
            <w:r/>
            <w:r>
              <w:rPr>
                <w:rFonts w:ascii="Arial" w:hAnsi="Arial" w:eastAsia="Arial"/>
                <w:b w:val="0"/>
                <w:color w:val="1F2937"/>
                <w:sz w:val="18"/>
              </w:rPr>
              <w:t>gm_vehiculos, gm_documentos_vehiculo, gm_mantenimientos, gm_odometro, gm_llantas, gm_alertas_activo</w:t>
            </w:r>
          </w:p>
        </w:tc>
        <w:tc>
          <w:tcPr>
            <w:tcW w:type="dxa" w:w="2880"/>
            <w:vAlign w:val="center"/>
          </w:tcPr>
          <w:p>
            <w:pPr>
              <w:jc w:val="left"/>
            </w:pPr>
            <w:r/>
            <w:r>
              <w:rPr>
                <w:rFonts w:ascii="Arial" w:hAnsi="Arial" w:eastAsia="Arial"/>
                <w:b w:val="0"/>
                <w:color w:val="1F2937"/>
                <w:sz w:val="18"/>
              </w:rPr>
              <w:t>Controlar flota, vencimientos, mantenimientos, llantas, alertas y disponibilidad.</w:t>
            </w:r>
          </w:p>
        </w:tc>
      </w:tr>
      <w:tr>
        <w:tc>
          <w:tcPr>
            <w:tcW w:type="dxa" w:w="2160"/>
            <w:vAlign w:val="center"/>
            <w:shd w:fill="ECFDF5"/>
          </w:tcPr>
          <w:p>
            <w:pPr>
              <w:jc w:val="left"/>
            </w:pPr>
            <w:r/>
            <w:r>
              <w:rPr>
                <w:rFonts w:ascii="Arial" w:hAnsi="Arial" w:eastAsia="Arial"/>
                <w:b w:val="0"/>
                <w:color w:val="1F2937"/>
                <w:sz w:val="18"/>
              </w:rPr>
              <w:t>Documentación</w:t>
            </w:r>
          </w:p>
        </w:tc>
        <w:tc>
          <w:tcPr>
            <w:tcW w:type="dxa" w:w="5040"/>
            <w:vAlign w:val="center"/>
          </w:tcPr>
          <w:p>
            <w:pPr>
              <w:jc w:val="left"/>
            </w:pPr>
            <w:r/>
            <w:r>
              <w:rPr>
                <w:rFonts w:ascii="Arial" w:hAnsi="Arial" w:eastAsia="Arial"/>
                <w:b w:val="0"/>
                <w:color w:val="1F2937"/>
                <w:sz w:val="18"/>
              </w:rPr>
              <w:t>gm_documentos, gm_chunks_documentales, gm_fuentes_documentales</w:t>
            </w:r>
          </w:p>
        </w:tc>
        <w:tc>
          <w:tcPr>
            <w:tcW w:type="dxa" w:w="2880"/>
            <w:vAlign w:val="center"/>
          </w:tcPr>
          <w:p>
            <w:pPr>
              <w:jc w:val="left"/>
            </w:pPr>
            <w:r/>
            <w:r>
              <w:rPr>
                <w:rFonts w:ascii="Arial" w:hAnsi="Arial" w:eastAsia="Arial"/>
                <w:b w:val="0"/>
                <w:color w:val="1F2937"/>
                <w:sz w:val="18"/>
              </w:rPr>
              <w:t>Gestionar normatividad, políticas, contratos y evidencia documental.</w:t>
            </w:r>
          </w:p>
        </w:tc>
      </w:tr>
      <w:tr>
        <w:tc>
          <w:tcPr>
            <w:tcW w:type="dxa" w:w="2160"/>
            <w:vAlign w:val="center"/>
            <w:shd w:fill="ECFDF5"/>
          </w:tcPr>
          <w:p>
            <w:pPr>
              <w:jc w:val="left"/>
            </w:pPr>
            <w:r/>
            <w:r>
              <w:rPr>
                <w:rFonts w:ascii="Arial" w:hAnsi="Arial" w:eastAsia="Arial"/>
                <w:b w:val="0"/>
                <w:color w:val="1F2937"/>
                <w:sz w:val="18"/>
              </w:rPr>
              <w:t>Configuración</w:t>
            </w:r>
          </w:p>
        </w:tc>
        <w:tc>
          <w:tcPr>
            <w:tcW w:type="dxa" w:w="5040"/>
            <w:vAlign w:val="center"/>
          </w:tcPr>
          <w:p>
            <w:pPr>
              <w:jc w:val="left"/>
            </w:pPr>
            <w:r/>
            <w:r>
              <w:rPr>
                <w:rFonts w:ascii="Arial" w:hAnsi="Arial" w:eastAsia="Arial"/>
                <w:b w:val="0"/>
                <w:color w:val="1F2937"/>
                <w:sz w:val="18"/>
              </w:rPr>
              <w:t>gm_clientes, gm_mapeos_columnas, gm_reglas_cliente, gm_modulos_cliente</w:t>
            </w:r>
          </w:p>
        </w:tc>
        <w:tc>
          <w:tcPr>
            <w:tcW w:type="dxa" w:w="2880"/>
            <w:vAlign w:val="center"/>
          </w:tcPr>
          <w:p>
            <w:pPr>
              <w:jc w:val="left"/>
            </w:pPr>
            <w:r/>
            <w:r>
              <w:rPr>
                <w:rFonts w:ascii="Arial" w:hAnsi="Arial" w:eastAsia="Arial"/>
                <w:b w:val="0"/>
                <w:color w:val="1F2937"/>
                <w:sz w:val="18"/>
              </w:rPr>
              <w:t>Permitir implementación multiempresa y configuración sin reescribir código.</w:t>
            </w:r>
          </w:p>
        </w:tc>
      </w:tr>
    </w:tbl>
    <w:p/>
    <w:tbl>
      <w:tblPr>
        <w:tblStyle w:val="TableGrid"/>
        <w:tblW w:type="auto" w:w="0"/>
        <w:tblLook w:firstColumn="1" w:firstRow="1" w:lastColumn="0" w:lastRow="0" w:noHBand="0" w:noVBand="1" w:val="04A0"/>
      </w:tblPr>
      <w:tblGrid>
        <w:gridCol w:w="10080"/>
      </w:tblGrid>
      <w:tr>
        <w:tc>
          <w:tcPr>
            <w:tcW w:type="dxa" w:w="10080"/>
            <w:shd w:fill="E0F2FE"/>
          </w:tcPr>
          <w:p>
            <w:r>
              <w:rPr>
                <w:b/>
                <w:color w:val="0C4A6E"/>
                <w:sz w:val="20"/>
              </w:rPr>
              <w:t>Punto clave</w:t>
            </w:r>
          </w:p>
          <w:p>
            <w:pPr>
              <w:spacing w:after="0"/>
            </w:pPr>
            <w:r>
              <w:rPr>
                <w:sz w:val="18"/>
              </w:rPr>
              <w:t>El modelo canónico no es solo una tabla bonita. Es el contrato interno del framework. Si cada cliente puede mapear sus datos a este contrato, GuruMaster puede reutilizar vistas, prompts, reglas, dashboards y endpoints.</w:t>
            </w:r>
          </w:p>
        </w:tc>
      </w:tr>
    </w:tbl>
    <w:p/>
    <w:p>
      <w:pPr>
        <w:pStyle w:val="Heading2"/>
      </w:pPr>
      <w:r>
        <w:t>5.1 Modelo canónico operacional y modelo dimensional analítico</w:t>
      </w:r>
    </w:p>
    <w:p>
      <w:pPr/>
      <w:r>
        <w:t>Para GuruMaster, el modelo canónico no debe confundirse con una tabla plana ni con un modelo dimensional tradicional. El modelo canónico es el contrato estándar que permite recibir datos diferentes de cada cliente y normalizarlos a una misma estructura. Sobre esa base canónica se puede construir una capa analítica con dimensiones y hechos para reportes, KPIs y consultas de negocio.</w:t>
      </w:r>
    </w:p>
    <w:p>
      <w:pPr>
        <w:pStyle w:val="CodeBlock"/>
      </w:pPr>
      <w:r>
        <w:t>Fuentes del cliente</w:t>
        <w:br/>
        <w:t>Excel | ERP | TMS | GPS | archivos planos | documentos</w:t>
        <w:br/>
        <w:t xml:space="preserve">        ↓</w:t>
        <w:br/>
        <w:t>Bronze</w:t>
        <w:br/>
        <w:t>Datos originales sin transformar</w:t>
        <w:br/>
        <w:t xml:space="preserve">        ↓</w:t>
        <w:br/>
        <w:t>Silver</w:t>
        <w:br/>
        <w:t>Modelo canónico operacional GuruMaster</w:t>
        <w:br/>
        <w:t>gm_viajes | gm_gastos_viaje | gm_vehiculos | gm_rutas | gm_activos</w:t>
        <w:br/>
        <w:t xml:space="preserve">        ↓</w:t>
        <w:br/>
        <w:t>Gold</w:t>
        <w:br/>
        <w:t>Modelo analítico dimensional</w:t>
        <w:br/>
        <w:t>dim_vehiculo | dim_ruta | dim_cliente | fact_viaje | fact_gasto_viaje</w:t>
        <w:br/>
        <w:t xml:space="preserve">        ↓</w:t>
        <w:br/>
        <w:t>Dashboards | KPIs | Orquestador inteligente | Respuestas IA</w:t>
      </w:r>
    </w:p>
    <w:p>
      <w:pPr>
        <w:pStyle w:val="Heading3"/>
      </w:pPr>
      <w:r>
        <w:t>Diferencia entre las dos capas</w:t>
      </w:r>
    </w:p>
    <w:p>
      <w:pPr>
        <w:pStyle w:val="ListBullet"/>
      </w:pPr>
      <w:r>
        <w:t>Modelo canónico operacional: responde a la pregunta “¿cómo estandarizo los datos de muchos clientes para que GuruMaster los entienda siempre igual?”</w:t>
      </w:r>
    </w:p>
    <w:p>
      <w:pPr>
        <w:pStyle w:val="ListBullet"/>
      </w:pPr>
      <w:r>
        <w:t>Modelo dimensional analítico: responde a la pregunta “¿cómo organizo los datos para análisis, KPIs, dashboards y reportes de negocio?”</w:t>
      </w:r>
    </w:p>
    <w:p>
      <w:pPr>
        <w:pStyle w:val="ListBullet"/>
      </w:pPr>
      <w:r>
        <w:t>Ambos pueden convivir: Silver estandariza y Gold analiza.</w:t>
      </w:r>
    </w:p>
    <w:p>
      <w:pPr>
        <w:pStyle w:val="ListBullet"/>
      </w:pPr>
      <w:r>
        <w:t>Esta separación refuerza la replicabilidad: cada cliente se mapea una vez al modelo canónico y luego reutiliza las mismas vistas, KPIs, prompts y reglas.</w:t>
      </w:r>
    </w:p>
    <w:p>
      <w:pPr>
        <w:pStyle w:val="Heading3"/>
      </w:pPr>
      <w:r>
        <w:t>Ejemplo de modelo canónico operacional</w:t>
      </w:r>
    </w:p>
    <w:p>
      <w:pPr>
        <w:pStyle w:val="ListBullet"/>
      </w:pPr>
      <w:r>
        <w:t>gm_vehiculos: datos estandarizados de placas, tipo de vehículo, capacidad, estado y propiedad.</w:t>
      </w:r>
    </w:p>
    <w:p>
      <w:pPr>
        <w:pStyle w:val="ListBullet"/>
      </w:pPr>
      <w:r>
        <w:t>gm_rutas: origen, destino, distancia, tipo de ruta y estado.</w:t>
      </w:r>
    </w:p>
    <w:p>
      <w:pPr>
        <w:pStyle w:val="ListBullet"/>
      </w:pPr>
      <w:r>
        <w:t>gm_viajes: fecha, vehículo, conductor, ruta, cliente, tipo de carga, peso, ingreso y estado del viaje.</w:t>
      </w:r>
    </w:p>
    <w:p>
      <w:pPr>
        <w:pStyle w:val="ListBullet"/>
      </w:pPr>
      <w:r>
        <w:t>gm_gastos_viaje: gasto asociado a un viaje, tipo de gasto, valor, proveedor, método de pago y descripción.</w:t>
      </w:r>
    </w:p>
    <w:p>
      <w:pPr>
        <w:pStyle w:val="ListBullet"/>
      </w:pPr>
      <w:r>
        <w:t>gm_documentos_vehiculo, gm_mantenimientos_vehiculo, gm_llantas_vehiculo y gm_alertas_activo: base estándar para gestión de activos.</w:t>
      </w:r>
    </w:p>
    <w:p>
      <w:pPr>
        <w:pStyle w:val="Heading3"/>
      </w:pPr>
      <w:r>
        <w:t>Ejemplo de modelo dimensional analítico</w:t>
      </w:r>
    </w:p>
    <w:p>
      <w:pPr>
        <w:pStyle w:val="ListBullet"/>
      </w:pPr>
      <w:r>
        <w:t>Dimensiones recomendadas: dim_vehiculo, dim_conductor, dim_ruta, dim_cliente, dim_fecha, dim_tipo_gasto, dim_tipo_carga y dim_estado_viaje.</w:t>
      </w:r>
    </w:p>
    <w:p>
      <w:pPr>
        <w:pStyle w:val="ListBullet"/>
      </w:pPr>
      <w:r>
        <w:t>Hechos recomendados: fact_viaje, fact_gasto_viaje, fact_mantenimiento, fact_alerta_activo, fact_documento_vencimiento, fact_combustible y fact_peaje.</w:t>
      </w:r>
    </w:p>
    <w:p>
      <w:pPr>
        <w:pStyle w:val="ListBullet"/>
      </w:pPr>
      <w:r>
        <w:t>Ejemplo: fact_viaje debe relacionarse con dim_vehiculo, dim_conductor, dim_ruta, dim_cliente y dim_fecha para calcular ingresos, distancia, carga transportada y estado.</w:t>
      </w:r>
    </w:p>
    <w:p>
      <w:pPr>
        <w:pStyle w:val="ListBullet"/>
      </w:pPr>
      <w:r>
        <w:t>Ejemplo: fact_gasto_viaje debe relacionarse con dim_tipo_gasto, dim_vehiculo, dim_ruta y dim_fecha para calcular costos por categoría, vehículo, ruta y periodo.</w:t>
      </w:r>
    </w:p>
    <w:p>
      <w:pPr>
        <w:pStyle w:val="Heading3"/>
      </w:pPr>
      <w:r>
        <w:t>Recomendación arquitectónica para GuruMaster</w:t>
      </w:r>
    </w:p>
    <w:p>
      <w:pPr/>
      <w:r>
        <w:t>La recomendación es mantener Silver como modelo canónico operacional y Gold como modelo dimensional analítico. De esta forma, GuruMaster no pierde flexibilidad para integrar clientes distintos, pero gana una capa estable para analítica, dashboards y consultas del orquestador inteligente.</w:t>
      </w:r>
    </w:p>
    <w:p>
      <w:pPr>
        <w:pStyle w:val="Heading1"/>
      </w:pPr>
      <w:r>
        <w:t>6. Capas Bronze, Silver y Gold</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0F766E"/>
          </w:tcPr>
          <w:p>
            <w:pPr>
              <w:jc w:val="left"/>
            </w:pPr>
            <w:r/>
            <w:r>
              <w:rPr>
                <w:rFonts w:ascii="Arial" w:hAnsi="Arial" w:eastAsia="Arial"/>
                <w:b/>
                <w:color w:val="FFFFFF"/>
                <w:sz w:val="18"/>
              </w:rPr>
              <w:t>Capa</w:t>
            </w:r>
          </w:p>
        </w:tc>
        <w:tc>
          <w:tcPr>
            <w:tcW w:type="dxa" w:w="4320"/>
            <w:vAlign w:val="center"/>
            <w:shd w:fill="0F766E"/>
          </w:tcPr>
          <w:p>
            <w:pPr>
              <w:jc w:val="left"/>
            </w:pPr>
            <w:r/>
            <w:r>
              <w:rPr>
                <w:rFonts w:ascii="Arial" w:hAnsi="Arial" w:eastAsia="Arial"/>
                <w:b/>
                <w:color w:val="FFFFFF"/>
                <w:sz w:val="18"/>
              </w:rPr>
              <w:t>Contenido</w:t>
            </w:r>
          </w:p>
        </w:tc>
        <w:tc>
          <w:tcPr>
            <w:tcW w:type="dxa" w:w="4320"/>
            <w:vAlign w:val="center"/>
            <w:shd w:fill="0F766E"/>
          </w:tcPr>
          <w:p>
            <w:pPr>
              <w:jc w:val="left"/>
            </w:pPr>
            <w:r/>
            <w:r>
              <w:rPr>
                <w:rFonts w:ascii="Arial" w:hAnsi="Arial" w:eastAsia="Arial"/>
                <w:b/>
                <w:color w:val="FFFFFF"/>
                <w:sz w:val="18"/>
              </w:rPr>
              <w:t>Ejemplo en GuruMaster</w:t>
            </w:r>
          </w:p>
        </w:tc>
      </w:tr>
      <w:tr>
        <w:tc>
          <w:tcPr>
            <w:tcW w:type="dxa" w:w="1728"/>
            <w:vAlign w:val="center"/>
            <w:shd w:fill="ECFDF5"/>
          </w:tcPr>
          <w:p>
            <w:pPr>
              <w:jc w:val="left"/>
            </w:pPr>
            <w:r/>
            <w:r>
              <w:rPr>
                <w:rFonts w:ascii="Arial" w:hAnsi="Arial" w:eastAsia="Arial"/>
                <w:b w:val="0"/>
                <w:color w:val="1F2937"/>
                <w:sz w:val="18"/>
              </w:rPr>
              <w:t>Bronze</w:t>
            </w:r>
          </w:p>
        </w:tc>
        <w:tc>
          <w:tcPr>
            <w:tcW w:type="dxa" w:w="4320"/>
            <w:vAlign w:val="center"/>
          </w:tcPr>
          <w:p>
            <w:pPr>
              <w:jc w:val="left"/>
            </w:pPr>
            <w:r/>
            <w:r>
              <w:rPr>
                <w:rFonts w:ascii="Arial" w:hAnsi="Arial" w:eastAsia="Arial"/>
                <w:b w:val="0"/>
                <w:color w:val="1F2937"/>
                <w:sz w:val="18"/>
              </w:rPr>
              <w:t>Datos originales recibidos del cliente, sin transformación fuerte.</w:t>
            </w:r>
          </w:p>
        </w:tc>
        <w:tc>
          <w:tcPr>
            <w:tcW w:type="dxa" w:w="4320"/>
            <w:vAlign w:val="center"/>
          </w:tcPr>
          <w:p>
            <w:pPr>
              <w:jc w:val="left"/>
            </w:pPr>
            <w:r/>
            <w:r>
              <w:rPr>
                <w:rFonts w:ascii="Arial" w:hAnsi="Arial" w:eastAsia="Arial"/>
                <w:b w:val="0"/>
                <w:color w:val="1F2937"/>
                <w:sz w:val="18"/>
              </w:rPr>
              <w:t>Excel de viajes, CSV de gastos, export de TMS, archivos PDF originales.</w:t>
            </w:r>
          </w:p>
        </w:tc>
      </w:tr>
      <w:tr>
        <w:tc>
          <w:tcPr>
            <w:tcW w:type="dxa" w:w="1728"/>
            <w:vAlign w:val="center"/>
            <w:shd w:fill="ECFDF5"/>
          </w:tcPr>
          <w:p>
            <w:pPr>
              <w:jc w:val="left"/>
            </w:pPr>
            <w:r/>
            <w:r>
              <w:rPr>
                <w:rFonts w:ascii="Arial" w:hAnsi="Arial" w:eastAsia="Arial"/>
                <w:b w:val="0"/>
                <w:color w:val="1F2937"/>
                <w:sz w:val="18"/>
              </w:rPr>
              <w:t>Silver</w:t>
            </w:r>
          </w:p>
        </w:tc>
        <w:tc>
          <w:tcPr>
            <w:tcW w:type="dxa" w:w="4320"/>
            <w:vAlign w:val="center"/>
          </w:tcPr>
          <w:p>
            <w:pPr>
              <w:jc w:val="left"/>
            </w:pPr>
            <w:r/>
            <w:r>
              <w:rPr>
                <w:rFonts w:ascii="Arial" w:hAnsi="Arial" w:eastAsia="Arial"/>
                <w:b w:val="0"/>
                <w:color w:val="1F2937"/>
                <w:sz w:val="18"/>
              </w:rPr>
              <w:t>Datos limpios y normalizados al modelo canónico.</w:t>
            </w:r>
          </w:p>
        </w:tc>
        <w:tc>
          <w:tcPr>
            <w:tcW w:type="dxa" w:w="4320"/>
            <w:vAlign w:val="center"/>
          </w:tcPr>
          <w:p>
            <w:pPr>
              <w:jc w:val="left"/>
            </w:pPr>
            <w:r/>
            <w:r>
              <w:rPr>
                <w:rFonts w:ascii="Arial" w:hAnsi="Arial" w:eastAsia="Arial"/>
                <w:b w:val="0"/>
                <w:color w:val="1F2937"/>
                <w:sz w:val="18"/>
              </w:rPr>
              <w:t>gm_viajes con columnas estandarizadas: viaje_id, fecha_viaje, vehiculo_id, ruta_id, ingreso.</w:t>
            </w:r>
          </w:p>
        </w:tc>
      </w:tr>
      <w:tr>
        <w:tc>
          <w:tcPr>
            <w:tcW w:type="dxa" w:w="1728"/>
            <w:vAlign w:val="center"/>
            <w:shd w:fill="ECFDF5"/>
          </w:tcPr>
          <w:p>
            <w:pPr>
              <w:jc w:val="left"/>
            </w:pPr>
            <w:r/>
            <w:r>
              <w:rPr>
                <w:rFonts w:ascii="Arial" w:hAnsi="Arial" w:eastAsia="Arial"/>
                <w:b w:val="0"/>
                <w:color w:val="1F2937"/>
                <w:sz w:val="18"/>
              </w:rPr>
              <w:t>Gold</w:t>
            </w:r>
          </w:p>
        </w:tc>
        <w:tc>
          <w:tcPr>
            <w:tcW w:type="dxa" w:w="4320"/>
            <w:vAlign w:val="center"/>
          </w:tcPr>
          <w:p>
            <w:pPr>
              <w:jc w:val="left"/>
            </w:pPr>
            <w:r/>
            <w:r>
              <w:rPr>
                <w:rFonts w:ascii="Arial" w:hAnsi="Arial" w:eastAsia="Arial"/>
                <w:b w:val="0"/>
                <w:color w:val="1F2937"/>
                <w:sz w:val="18"/>
              </w:rPr>
              <w:t>Vistas de negocio listas para consulta y dashboard.</w:t>
            </w:r>
          </w:p>
        </w:tc>
        <w:tc>
          <w:tcPr>
            <w:tcW w:type="dxa" w:w="4320"/>
            <w:vAlign w:val="center"/>
          </w:tcPr>
          <w:p>
            <w:pPr>
              <w:jc w:val="left"/>
            </w:pPr>
            <w:r/>
            <w:r>
              <w:rPr>
                <w:rFonts w:ascii="Arial" w:hAnsi="Arial" w:eastAsia="Arial"/>
                <w:b w:val="0"/>
                <w:color w:val="1F2937"/>
                <w:sz w:val="18"/>
              </w:rPr>
              <w:t>vw_rentabilidad_viaje, vw_costos_por_ruta, vw_documentos_por_vencer, vw_alertas_activas.</w:t>
            </w:r>
          </w:p>
        </w:tc>
      </w:tr>
    </w:tbl>
    <w:p/>
    <w:p>
      <w:r>
        <w:t>Esta separación evita mezclar carga, limpieza, negocio e IA en un solo bloque. También facilita auditoría, depuración y replicabilidad.</w:t>
      </w:r>
    </w:p>
    <w:p>
      <w:pPr>
        <w:pStyle w:val="Heading1"/>
      </w:pPr>
      <w:r>
        <w:t>7. Capa documental RAG</w:t>
      </w:r>
    </w:p>
    <w:p>
      <w:r>
        <w:t>La capa RAG se encarga de consultar documentos no estructurados o semi-estructurados. Para GuruMaster Carga, esta capa aplica especialmente a normatividad, políticas internas, contratos, procedimientos y documentación operativa.</w:t>
      </w:r>
    </w:p>
    <w:p>
      <w:pPr>
        <w:pStyle w:val="ListBullet"/>
        <w:spacing w:after="20"/>
      </w:pPr>
      <w:r>
        <w:t>Recibe documentos PDF, Word, HTML o texto.</w:t>
      </w:r>
    </w:p>
    <w:p>
      <w:pPr>
        <w:pStyle w:val="ListBullet"/>
        <w:spacing w:after="20"/>
      </w:pPr>
      <w:r>
        <w:t>Extrae texto y metadatos: pilar, cliente, fuente, fecha, versión, tipo de documento.</w:t>
      </w:r>
    </w:p>
    <w:p>
      <w:pPr>
        <w:pStyle w:val="ListBullet"/>
        <w:spacing w:after="20"/>
      </w:pPr>
      <w:r>
        <w:t>Divide el contenido en chunks reutilizables.</w:t>
      </w:r>
    </w:p>
    <w:p>
      <w:pPr>
        <w:pStyle w:val="ListBullet"/>
        <w:spacing w:after="20"/>
      </w:pPr>
      <w:r>
        <w:t>Genera embeddings y almacena los vectores.</w:t>
      </w:r>
    </w:p>
    <w:p>
      <w:pPr>
        <w:pStyle w:val="ListBullet"/>
        <w:spacing w:after="20"/>
      </w:pPr>
      <w:r>
        <w:t>Retorna fragmentos relevantes al orquestador inteligente cuando la pregunta requiere evidencia documental.</w:t>
      </w:r>
    </w:p>
    <w:p>
      <w:r>
        <w:t>Esta capa no debe decidir la respuesta final. Su responsabilidad es recuperar evidencia documental; el orquestador decide cómo combinarla con datos estructurados, reglas de negocio y contexto del cliente.</w:t>
      </w:r>
    </w:p>
    <w:p>
      <w:r>
        <w:br w:type="page"/>
      </w:r>
    </w:p>
    <w:p>
      <w:pPr>
        <w:pStyle w:val="Heading1"/>
      </w:pPr>
      <w:r>
        <w:t>8. Motor SQL para datos estructurados</w:t>
      </w:r>
    </w:p>
    <w:p>
      <w:r>
        <w:t>El motor SQL permite responder preguntas numéricas y operativas sobre viajes, gastos, activos y alertas. Debe consultar principalmente vistas Gold para reducir complejidad y controlar resultados.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0F766E"/>
          </w:tcPr>
          <w:p>
            <w:pPr>
              <w:jc w:val="left"/>
            </w:pPr>
            <w:r/>
            <w:r>
              <w:rPr>
                <w:rFonts w:ascii="Arial" w:hAnsi="Arial" w:eastAsia="Arial"/>
                <w:b/>
                <w:color w:val="FFFFFF"/>
                <w:sz w:val="18"/>
              </w:rPr>
              <w:t>Tipo de pregunta</w:t>
            </w:r>
          </w:p>
        </w:tc>
        <w:tc>
          <w:tcPr>
            <w:tcW w:type="dxa" w:w="3312"/>
            <w:vAlign w:val="center"/>
            <w:shd w:fill="0F766E"/>
          </w:tcPr>
          <w:p>
            <w:pPr>
              <w:jc w:val="left"/>
            </w:pPr>
            <w:r/>
            <w:r>
              <w:rPr>
                <w:rFonts w:ascii="Arial" w:hAnsi="Arial" w:eastAsia="Arial"/>
                <w:b/>
                <w:color w:val="FFFFFF"/>
                <w:sz w:val="18"/>
              </w:rPr>
              <w:t>Fuente recomendada</w:t>
            </w:r>
          </w:p>
        </w:tc>
        <w:tc>
          <w:tcPr>
            <w:tcW w:type="dxa" w:w="4608"/>
            <w:vAlign w:val="center"/>
            <w:shd w:fill="0F766E"/>
          </w:tcPr>
          <w:p>
            <w:pPr>
              <w:jc w:val="left"/>
            </w:pPr>
            <w:r/>
            <w:r>
              <w:rPr>
                <w:rFonts w:ascii="Arial" w:hAnsi="Arial" w:eastAsia="Arial"/>
                <w:b/>
                <w:color w:val="FFFFFF"/>
                <w:sz w:val="18"/>
              </w:rPr>
              <w:t>Ejemplo</w:t>
            </w:r>
          </w:p>
        </w:tc>
      </w:tr>
      <w:tr>
        <w:tc>
          <w:tcPr>
            <w:tcW w:type="dxa" w:w="2160"/>
            <w:vAlign w:val="center"/>
            <w:shd w:fill="ECFDF5"/>
          </w:tcPr>
          <w:p>
            <w:pPr>
              <w:jc w:val="left"/>
            </w:pPr>
            <w:r/>
            <w:r>
              <w:rPr>
                <w:rFonts w:ascii="Arial" w:hAnsi="Arial" w:eastAsia="Arial"/>
                <w:b w:val="0"/>
                <w:color w:val="1F2937"/>
                <w:sz w:val="18"/>
              </w:rPr>
              <w:t>Rentabilidad</w:t>
            </w:r>
          </w:p>
        </w:tc>
        <w:tc>
          <w:tcPr>
            <w:tcW w:type="dxa" w:w="3312"/>
            <w:vAlign w:val="center"/>
          </w:tcPr>
          <w:p>
            <w:pPr>
              <w:jc w:val="left"/>
            </w:pPr>
            <w:r/>
            <w:r>
              <w:rPr>
                <w:rFonts w:ascii="Arial" w:hAnsi="Arial" w:eastAsia="Arial"/>
                <w:b w:val="0"/>
                <w:color w:val="1F2937"/>
                <w:sz w:val="18"/>
              </w:rPr>
              <w:t>vw_rentabilidad_viaje</w:t>
            </w:r>
          </w:p>
        </w:tc>
        <w:tc>
          <w:tcPr>
            <w:tcW w:type="dxa" w:w="4608"/>
            <w:vAlign w:val="center"/>
          </w:tcPr>
          <w:p>
            <w:pPr>
              <w:jc w:val="left"/>
            </w:pPr>
            <w:r/>
            <w:r>
              <w:rPr>
                <w:rFonts w:ascii="Arial" w:hAnsi="Arial" w:eastAsia="Arial"/>
                <w:b w:val="0"/>
                <w:color w:val="1F2937"/>
                <w:sz w:val="18"/>
              </w:rPr>
              <w:t>¿Qué viajes dejaron margen negativo?</w:t>
            </w:r>
          </w:p>
        </w:tc>
      </w:tr>
      <w:tr>
        <w:tc>
          <w:tcPr>
            <w:tcW w:type="dxa" w:w="2160"/>
            <w:vAlign w:val="center"/>
            <w:shd w:fill="ECFDF5"/>
          </w:tcPr>
          <w:p>
            <w:pPr>
              <w:jc w:val="left"/>
            </w:pPr>
            <w:r/>
            <w:r>
              <w:rPr>
                <w:rFonts w:ascii="Arial" w:hAnsi="Arial" w:eastAsia="Arial"/>
                <w:b w:val="0"/>
                <w:color w:val="1F2937"/>
                <w:sz w:val="18"/>
              </w:rPr>
              <w:t>Costos por ruta</w:t>
            </w:r>
          </w:p>
        </w:tc>
        <w:tc>
          <w:tcPr>
            <w:tcW w:type="dxa" w:w="3312"/>
            <w:vAlign w:val="center"/>
          </w:tcPr>
          <w:p>
            <w:pPr>
              <w:jc w:val="left"/>
            </w:pPr>
            <w:r/>
            <w:r>
              <w:rPr>
                <w:rFonts w:ascii="Arial" w:hAnsi="Arial" w:eastAsia="Arial"/>
                <w:b w:val="0"/>
                <w:color w:val="1F2937"/>
                <w:sz w:val="18"/>
              </w:rPr>
              <w:t>vw_costos_por_ruta</w:t>
            </w:r>
          </w:p>
        </w:tc>
        <w:tc>
          <w:tcPr>
            <w:tcW w:type="dxa" w:w="4608"/>
            <w:vAlign w:val="center"/>
          </w:tcPr>
          <w:p>
            <w:pPr>
              <w:jc w:val="left"/>
            </w:pPr>
            <w:r/>
            <w:r>
              <w:rPr>
                <w:rFonts w:ascii="Arial" w:hAnsi="Arial" w:eastAsia="Arial"/>
                <w:b w:val="0"/>
                <w:color w:val="1F2937"/>
                <w:sz w:val="18"/>
              </w:rPr>
              <w:t>¿Cuál ruta tuvo mayor gasto en combustible?</w:t>
            </w:r>
          </w:p>
        </w:tc>
      </w:tr>
      <w:tr>
        <w:tc>
          <w:tcPr>
            <w:tcW w:type="dxa" w:w="2160"/>
            <w:vAlign w:val="center"/>
            <w:shd w:fill="ECFDF5"/>
          </w:tcPr>
          <w:p>
            <w:pPr>
              <w:jc w:val="left"/>
            </w:pPr>
            <w:r/>
            <w:r>
              <w:rPr>
                <w:rFonts w:ascii="Arial" w:hAnsi="Arial" w:eastAsia="Arial"/>
                <w:b w:val="0"/>
                <w:color w:val="1F2937"/>
                <w:sz w:val="18"/>
              </w:rPr>
              <w:t>Activos</w:t>
            </w:r>
          </w:p>
        </w:tc>
        <w:tc>
          <w:tcPr>
            <w:tcW w:type="dxa" w:w="3312"/>
            <w:vAlign w:val="center"/>
          </w:tcPr>
          <w:p>
            <w:pPr>
              <w:jc w:val="left"/>
            </w:pPr>
            <w:r/>
            <w:r>
              <w:rPr>
                <w:rFonts w:ascii="Arial" w:hAnsi="Arial" w:eastAsia="Arial"/>
                <w:b w:val="0"/>
                <w:color w:val="1F2937"/>
                <w:sz w:val="18"/>
              </w:rPr>
              <w:t>vw_estado_activos</w:t>
            </w:r>
          </w:p>
        </w:tc>
        <w:tc>
          <w:tcPr>
            <w:tcW w:type="dxa" w:w="4608"/>
            <w:vAlign w:val="center"/>
          </w:tcPr>
          <w:p>
            <w:pPr>
              <w:jc w:val="left"/>
            </w:pPr>
            <w:r/>
            <w:r>
              <w:rPr>
                <w:rFonts w:ascii="Arial" w:hAnsi="Arial" w:eastAsia="Arial"/>
                <w:b w:val="0"/>
                <w:color w:val="1F2937"/>
                <w:sz w:val="18"/>
              </w:rPr>
              <w:t>¿Qué vehículos están fuera de operación?</w:t>
            </w:r>
          </w:p>
        </w:tc>
      </w:tr>
      <w:tr>
        <w:tc>
          <w:tcPr>
            <w:tcW w:type="dxa" w:w="2160"/>
            <w:vAlign w:val="center"/>
            <w:shd w:fill="ECFDF5"/>
          </w:tcPr>
          <w:p>
            <w:pPr>
              <w:jc w:val="left"/>
            </w:pPr>
            <w:r/>
            <w:r>
              <w:rPr>
                <w:rFonts w:ascii="Arial" w:hAnsi="Arial" w:eastAsia="Arial"/>
                <w:b w:val="0"/>
                <w:color w:val="1F2937"/>
                <w:sz w:val="18"/>
              </w:rPr>
              <w:t>Documentos</w:t>
            </w:r>
          </w:p>
        </w:tc>
        <w:tc>
          <w:tcPr>
            <w:tcW w:type="dxa" w:w="3312"/>
            <w:vAlign w:val="center"/>
          </w:tcPr>
          <w:p>
            <w:pPr>
              <w:jc w:val="left"/>
            </w:pPr>
            <w:r/>
            <w:r>
              <w:rPr>
                <w:rFonts w:ascii="Arial" w:hAnsi="Arial" w:eastAsia="Arial"/>
                <w:b w:val="0"/>
                <w:color w:val="1F2937"/>
                <w:sz w:val="18"/>
              </w:rPr>
              <w:t>vw_documentos_por_vencer</w:t>
            </w:r>
          </w:p>
        </w:tc>
        <w:tc>
          <w:tcPr>
            <w:tcW w:type="dxa" w:w="4608"/>
            <w:vAlign w:val="center"/>
          </w:tcPr>
          <w:p>
            <w:pPr>
              <w:jc w:val="left"/>
            </w:pPr>
            <w:r/>
            <w:r>
              <w:rPr>
                <w:rFonts w:ascii="Arial" w:hAnsi="Arial" w:eastAsia="Arial"/>
                <w:b w:val="0"/>
                <w:color w:val="1F2937"/>
                <w:sz w:val="18"/>
              </w:rPr>
              <w:t>¿Qué documentos vencen en 30 días?</w:t>
            </w:r>
          </w:p>
        </w:tc>
      </w:tr>
      <w:tr>
        <w:tc>
          <w:tcPr>
            <w:tcW w:type="dxa" w:w="2160"/>
            <w:vAlign w:val="center"/>
            <w:shd w:fill="ECFDF5"/>
          </w:tcPr>
          <w:p>
            <w:pPr>
              <w:jc w:val="left"/>
            </w:pPr>
            <w:r/>
            <w:r>
              <w:rPr>
                <w:rFonts w:ascii="Arial" w:hAnsi="Arial" w:eastAsia="Arial"/>
                <w:b w:val="0"/>
                <w:color w:val="1F2937"/>
                <w:sz w:val="18"/>
              </w:rPr>
              <w:t>Alertas</w:t>
            </w:r>
          </w:p>
        </w:tc>
        <w:tc>
          <w:tcPr>
            <w:tcW w:type="dxa" w:w="3312"/>
            <w:vAlign w:val="center"/>
          </w:tcPr>
          <w:p>
            <w:pPr>
              <w:jc w:val="left"/>
            </w:pPr>
            <w:r/>
            <w:r>
              <w:rPr>
                <w:rFonts w:ascii="Arial" w:hAnsi="Arial" w:eastAsia="Arial"/>
                <w:b w:val="0"/>
                <w:color w:val="1F2937"/>
                <w:sz w:val="18"/>
              </w:rPr>
              <w:t>vw_alertas_activas</w:t>
            </w:r>
          </w:p>
        </w:tc>
        <w:tc>
          <w:tcPr>
            <w:tcW w:type="dxa" w:w="4608"/>
            <w:vAlign w:val="center"/>
          </w:tcPr>
          <w:p>
            <w:pPr>
              <w:jc w:val="left"/>
            </w:pPr>
            <w:r/>
            <w:r>
              <w:rPr>
                <w:rFonts w:ascii="Arial" w:hAnsi="Arial" w:eastAsia="Arial"/>
                <w:b w:val="0"/>
                <w:color w:val="1F2937"/>
                <w:sz w:val="18"/>
              </w:rPr>
              <w:t>¿Qué alertas críticas tengo hoy?</w:t>
            </w:r>
          </w:p>
        </w:tc>
      </w:tr>
    </w:tbl>
    <w:p/>
    <w:p>
      <w:pPr>
        <w:pStyle w:val="Heading1"/>
      </w:pPr>
      <w:r>
        <w:t>9. Orquestador inteligente</w:t>
      </w:r>
    </w:p>
    <w:tbl>
      <w:tblPr>
        <w:tblStyle w:val="TableGrid"/>
        <w:tblW w:type="auto" w:w="0"/>
        <w:tblLook w:firstColumn="1" w:firstRow="1" w:lastColumn="0" w:lastRow="0" w:noHBand="0" w:noVBand="1" w:val="04A0"/>
      </w:tblPr>
      <w:tblGrid>
        <w:gridCol w:w="10080"/>
      </w:tblGrid>
      <w:tr>
        <w:tc>
          <w:tcPr>
            <w:tcW w:type="dxa" w:w="10080"/>
            <w:shd w:fill="FEF3C7"/>
          </w:tcPr>
          <w:p>
            <w:r>
              <w:rPr>
                <w:b/>
                <w:color w:val="0C4A6E"/>
                <w:sz w:val="20"/>
              </w:rPr>
              <w:t>Por qué es moat</w:t>
            </w:r>
          </w:p>
          <w:p>
            <w:pPr>
              <w:spacing w:after="0"/>
            </w:pPr>
            <w:r>
              <w:rPr>
                <w:sz w:val="18"/>
              </w:rPr>
              <w:t>El orquestador inteligente es el cerebro del framework. No solo llama un modelo de IA: decide qué fuentes consultar, qué reglas aplicar, cómo combinar SQL y RAG, cómo responder con evidencia y cómo adaptar la respuesta al cliente.</w:t>
            </w:r>
          </w:p>
        </w:tc>
      </w:tr>
    </w:tbl>
    <w:p/>
    <w:p>
      <w:r>
        <w:t>Responsabilidades principales del orquestador:</w:t>
      </w:r>
    </w:p>
    <w:p>
      <w:pPr>
        <w:pStyle w:val="ListNumber"/>
        <w:spacing w:after="20"/>
      </w:pPr>
      <w:r>
        <w:t>Recibir la pregunta del usuario y el contexto activo: cliente, usuario, módulo, vehículo, ruta o periodo.</w:t>
      </w:r>
    </w:p>
    <w:p>
      <w:pPr>
        <w:pStyle w:val="ListNumber"/>
        <w:spacing w:after="20"/>
      </w:pPr>
      <w:r>
        <w:t>Clasificar la intención de la consulta: normativa, rentabilidad, activos, costos, alertas, mixta o fuera de alcance.</w:t>
      </w:r>
    </w:p>
    <w:p>
      <w:pPr>
        <w:pStyle w:val="ListNumber"/>
        <w:spacing w:after="20"/>
      </w:pPr>
      <w:r>
        <w:t>Determinar qué herramientas usar: SQL, RAG, reglas de negocio, configuración del cliente o una combinación.</w:t>
      </w:r>
    </w:p>
    <w:p>
      <w:pPr>
        <w:pStyle w:val="ListNumber"/>
        <w:spacing w:after="20"/>
      </w:pPr>
      <w:r>
        <w:t>Construir el contexto final para el LLM con datos, fragmentos documentales, reglas y restricciones.</w:t>
      </w:r>
    </w:p>
    <w:p>
      <w:pPr>
        <w:pStyle w:val="ListNumber"/>
        <w:spacing w:after="20"/>
      </w:pPr>
      <w:r>
        <w:t>Generar una respuesta clara, accionable y con evidencia.</w:t>
      </w:r>
    </w:p>
    <w:p>
      <w:pPr>
        <w:pStyle w:val="ListNumber"/>
        <w:spacing w:after="20"/>
      </w:pPr>
      <w:r>
        <w:t>Registrar la consulta, fuentes usadas, resultado y retroalimentación del usuario para mejorar el framework.</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0F766E"/>
          </w:tcPr>
          <w:p>
            <w:pPr>
              <w:jc w:val="left"/>
            </w:pPr>
            <w:r/>
            <w:r>
              <w:rPr>
                <w:rFonts w:ascii="Arial" w:hAnsi="Arial" w:eastAsia="Arial"/>
                <w:b/>
                <w:color w:val="FFFFFF"/>
                <w:sz w:val="18"/>
              </w:rPr>
              <w:t>Intención</w:t>
            </w:r>
          </w:p>
        </w:tc>
        <w:tc>
          <w:tcPr>
            <w:tcW w:type="dxa" w:w="2448"/>
            <w:vAlign w:val="center"/>
            <w:shd w:fill="0F766E"/>
          </w:tcPr>
          <w:p>
            <w:pPr>
              <w:jc w:val="left"/>
            </w:pPr>
            <w:r/>
            <w:r>
              <w:rPr>
                <w:rFonts w:ascii="Arial" w:hAnsi="Arial" w:eastAsia="Arial"/>
                <w:b/>
                <w:color w:val="FFFFFF"/>
                <w:sz w:val="18"/>
              </w:rPr>
              <w:t>Herramienta principal</w:t>
            </w:r>
          </w:p>
        </w:tc>
        <w:tc>
          <w:tcPr>
            <w:tcW w:type="dxa" w:w="5328"/>
            <w:vAlign w:val="center"/>
            <w:shd w:fill="0F766E"/>
          </w:tcPr>
          <w:p>
            <w:pPr>
              <w:jc w:val="left"/>
            </w:pPr>
            <w:r/>
            <w:r>
              <w:rPr>
                <w:rFonts w:ascii="Arial" w:hAnsi="Arial" w:eastAsia="Arial"/>
                <w:b/>
                <w:color w:val="FFFFFF"/>
                <w:sz w:val="18"/>
              </w:rPr>
              <w:t>Salida esperada</w:t>
            </w:r>
          </w:p>
        </w:tc>
      </w:tr>
      <w:tr>
        <w:tc>
          <w:tcPr>
            <w:tcW w:type="dxa" w:w="2304"/>
            <w:vAlign w:val="center"/>
            <w:shd w:fill="ECFDF5"/>
          </w:tcPr>
          <w:p>
            <w:pPr>
              <w:jc w:val="left"/>
            </w:pPr>
            <w:r/>
            <w:r>
              <w:rPr>
                <w:rFonts w:ascii="Arial" w:hAnsi="Arial" w:eastAsia="Arial"/>
                <w:b w:val="0"/>
                <w:color w:val="1F2937"/>
                <w:sz w:val="18"/>
              </w:rPr>
              <w:t>consulta_normativa</w:t>
            </w:r>
          </w:p>
        </w:tc>
        <w:tc>
          <w:tcPr>
            <w:tcW w:type="dxa" w:w="2448"/>
            <w:vAlign w:val="center"/>
          </w:tcPr>
          <w:p>
            <w:pPr>
              <w:jc w:val="left"/>
            </w:pPr>
            <w:r/>
            <w:r>
              <w:rPr>
                <w:rFonts w:ascii="Arial" w:hAnsi="Arial" w:eastAsia="Arial"/>
                <w:b w:val="0"/>
                <w:color w:val="1F2937"/>
                <w:sz w:val="18"/>
              </w:rPr>
              <w:t>RAG</w:t>
            </w:r>
          </w:p>
        </w:tc>
        <w:tc>
          <w:tcPr>
            <w:tcW w:type="dxa" w:w="5328"/>
            <w:vAlign w:val="center"/>
          </w:tcPr>
          <w:p>
            <w:pPr>
              <w:jc w:val="left"/>
            </w:pPr>
            <w:r/>
            <w:r>
              <w:rPr>
                <w:rFonts w:ascii="Arial" w:hAnsi="Arial" w:eastAsia="Arial"/>
                <w:b w:val="0"/>
                <w:color w:val="1F2937"/>
                <w:sz w:val="18"/>
              </w:rPr>
              <w:t>Respuesta con fragmentos y fuente documental.</w:t>
            </w:r>
          </w:p>
        </w:tc>
      </w:tr>
      <w:tr>
        <w:tc>
          <w:tcPr>
            <w:tcW w:type="dxa" w:w="2304"/>
            <w:vAlign w:val="center"/>
            <w:shd w:fill="ECFDF5"/>
          </w:tcPr>
          <w:p>
            <w:pPr>
              <w:jc w:val="left"/>
            </w:pPr>
            <w:r/>
            <w:r>
              <w:rPr>
                <w:rFonts w:ascii="Arial" w:hAnsi="Arial" w:eastAsia="Arial"/>
                <w:b w:val="0"/>
                <w:color w:val="1F2937"/>
                <w:sz w:val="18"/>
              </w:rPr>
              <w:t>rentabilidad_viaje</w:t>
            </w:r>
          </w:p>
        </w:tc>
        <w:tc>
          <w:tcPr>
            <w:tcW w:type="dxa" w:w="2448"/>
            <w:vAlign w:val="center"/>
          </w:tcPr>
          <w:p>
            <w:pPr>
              <w:jc w:val="left"/>
            </w:pPr>
            <w:r/>
            <w:r>
              <w:rPr>
                <w:rFonts w:ascii="Arial" w:hAnsi="Arial" w:eastAsia="Arial"/>
                <w:b w:val="0"/>
                <w:color w:val="1F2937"/>
                <w:sz w:val="18"/>
              </w:rPr>
              <w:t>SQL</w:t>
            </w:r>
          </w:p>
        </w:tc>
        <w:tc>
          <w:tcPr>
            <w:tcW w:type="dxa" w:w="5328"/>
            <w:vAlign w:val="center"/>
          </w:tcPr>
          <w:p>
            <w:pPr>
              <w:jc w:val="left"/>
            </w:pPr>
            <w:r/>
            <w:r>
              <w:rPr>
                <w:rFonts w:ascii="Arial" w:hAnsi="Arial" w:eastAsia="Arial"/>
                <w:b w:val="0"/>
                <w:color w:val="1F2937"/>
                <w:sz w:val="18"/>
              </w:rPr>
              <w:t>Ingreso, gastos, utilidad, margen y conclusión.</w:t>
            </w:r>
          </w:p>
        </w:tc>
      </w:tr>
      <w:tr>
        <w:tc>
          <w:tcPr>
            <w:tcW w:type="dxa" w:w="2304"/>
            <w:vAlign w:val="center"/>
            <w:shd w:fill="ECFDF5"/>
          </w:tcPr>
          <w:p>
            <w:pPr>
              <w:jc w:val="left"/>
            </w:pPr>
            <w:r/>
            <w:r>
              <w:rPr>
                <w:rFonts w:ascii="Arial" w:hAnsi="Arial" w:eastAsia="Arial"/>
                <w:b w:val="0"/>
                <w:color w:val="1F2937"/>
                <w:sz w:val="18"/>
              </w:rPr>
              <w:t>costos_por_ruta</w:t>
            </w:r>
          </w:p>
        </w:tc>
        <w:tc>
          <w:tcPr>
            <w:tcW w:type="dxa" w:w="2448"/>
            <w:vAlign w:val="center"/>
          </w:tcPr>
          <w:p>
            <w:pPr>
              <w:jc w:val="left"/>
            </w:pPr>
            <w:r/>
            <w:r>
              <w:rPr>
                <w:rFonts w:ascii="Arial" w:hAnsi="Arial" w:eastAsia="Arial"/>
                <w:b w:val="0"/>
                <w:color w:val="1F2937"/>
                <w:sz w:val="18"/>
              </w:rPr>
              <w:t>SQL</w:t>
            </w:r>
          </w:p>
        </w:tc>
        <w:tc>
          <w:tcPr>
            <w:tcW w:type="dxa" w:w="5328"/>
            <w:vAlign w:val="center"/>
          </w:tcPr>
          <w:p>
            <w:pPr>
              <w:jc w:val="left"/>
            </w:pPr>
            <w:r/>
            <w:r>
              <w:rPr>
                <w:rFonts w:ascii="Arial" w:hAnsi="Arial" w:eastAsia="Arial"/>
                <w:b w:val="0"/>
                <w:color w:val="1F2937"/>
                <w:sz w:val="18"/>
              </w:rPr>
              <w:t>Comparación de costos, categorías y desviaciones.</w:t>
            </w:r>
          </w:p>
        </w:tc>
      </w:tr>
      <w:tr>
        <w:tc>
          <w:tcPr>
            <w:tcW w:type="dxa" w:w="2304"/>
            <w:vAlign w:val="center"/>
            <w:shd w:fill="ECFDF5"/>
          </w:tcPr>
          <w:p>
            <w:pPr>
              <w:jc w:val="left"/>
            </w:pPr>
            <w:r/>
            <w:r>
              <w:rPr>
                <w:rFonts w:ascii="Arial" w:hAnsi="Arial" w:eastAsia="Arial"/>
                <w:b w:val="0"/>
                <w:color w:val="1F2937"/>
                <w:sz w:val="18"/>
              </w:rPr>
              <w:t>documentos_vencidos</w:t>
            </w:r>
          </w:p>
        </w:tc>
        <w:tc>
          <w:tcPr>
            <w:tcW w:type="dxa" w:w="2448"/>
            <w:vAlign w:val="center"/>
          </w:tcPr>
          <w:p>
            <w:pPr>
              <w:jc w:val="left"/>
            </w:pPr>
            <w:r/>
            <w:r>
              <w:rPr>
                <w:rFonts w:ascii="Arial" w:hAnsi="Arial" w:eastAsia="Arial"/>
                <w:b w:val="0"/>
                <w:color w:val="1F2937"/>
                <w:sz w:val="18"/>
              </w:rPr>
              <w:t>SQL + reglas</w:t>
            </w:r>
          </w:p>
        </w:tc>
        <w:tc>
          <w:tcPr>
            <w:tcW w:type="dxa" w:w="5328"/>
            <w:vAlign w:val="center"/>
          </w:tcPr>
          <w:p>
            <w:pPr>
              <w:jc w:val="left"/>
            </w:pPr>
            <w:r/>
            <w:r>
              <w:rPr>
                <w:rFonts w:ascii="Arial" w:hAnsi="Arial" w:eastAsia="Arial"/>
                <w:b w:val="0"/>
                <w:color w:val="1F2937"/>
                <w:sz w:val="18"/>
              </w:rPr>
              <w:t>Listado de vehículos y documentos con prioridad.</w:t>
            </w:r>
          </w:p>
        </w:tc>
      </w:tr>
      <w:tr>
        <w:tc>
          <w:tcPr>
            <w:tcW w:type="dxa" w:w="2304"/>
            <w:vAlign w:val="center"/>
            <w:shd w:fill="ECFDF5"/>
          </w:tcPr>
          <w:p>
            <w:pPr>
              <w:jc w:val="left"/>
            </w:pPr>
            <w:r/>
            <w:r>
              <w:rPr>
                <w:rFonts w:ascii="Arial" w:hAnsi="Arial" w:eastAsia="Arial"/>
                <w:b w:val="0"/>
                <w:color w:val="1F2937"/>
                <w:sz w:val="18"/>
              </w:rPr>
              <w:t>consulta_mixta</w:t>
            </w:r>
          </w:p>
        </w:tc>
        <w:tc>
          <w:tcPr>
            <w:tcW w:type="dxa" w:w="2448"/>
            <w:vAlign w:val="center"/>
          </w:tcPr>
          <w:p>
            <w:pPr>
              <w:jc w:val="left"/>
            </w:pPr>
            <w:r/>
            <w:r>
              <w:rPr>
                <w:rFonts w:ascii="Arial" w:hAnsi="Arial" w:eastAsia="Arial"/>
                <w:b w:val="0"/>
                <w:color w:val="1F2937"/>
                <w:sz w:val="18"/>
              </w:rPr>
              <w:t>SQL + RAG</w:t>
            </w:r>
          </w:p>
        </w:tc>
        <w:tc>
          <w:tcPr>
            <w:tcW w:type="dxa" w:w="5328"/>
            <w:vAlign w:val="center"/>
          </w:tcPr>
          <w:p>
            <w:pPr>
              <w:jc w:val="left"/>
            </w:pPr>
            <w:r/>
            <w:r>
              <w:rPr>
                <w:rFonts w:ascii="Arial" w:hAnsi="Arial" w:eastAsia="Arial"/>
                <w:b w:val="0"/>
                <w:color w:val="1F2937"/>
                <w:sz w:val="18"/>
              </w:rPr>
              <w:t>Respuesta integrada con números y soporte documental.</w:t>
            </w:r>
          </w:p>
        </w:tc>
      </w:tr>
      <w:tr>
        <w:tc>
          <w:tcPr>
            <w:tcW w:type="dxa" w:w="2304"/>
            <w:vAlign w:val="center"/>
            <w:shd w:fill="ECFDF5"/>
          </w:tcPr>
          <w:p>
            <w:pPr>
              <w:jc w:val="left"/>
            </w:pPr>
            <w:r/>
            <w:r>
              <w:rPr>
                <w:rFonts w:ascii="Arial" w:hAnsi="Arial" w:eastAsia="Arial"/>
                <w:b w:val="0"/>
                <w:color w:val="1F2937"/>
                <w:sz w:val="18"/>
              </w:rPr>
              <w:t>fuera_alcance</w:t>
            </w:r>
          </w:p>
        </w:tc>
        <w:tc>
          <w:tcPr>
            <w:tcW w:type="dxa" w:w="2448"/>
            <w:vAlign w:val="center"/>
          </w:tcPr>
          <w:p>
            <w:pPr>
              <w:jc w:val="left"/>
            </w:pPr>
            <w:r/>
            <w:r>
              <w:rPr>
                <w:rFonts w:ascii="Arial" w:hAnsi="Arial" w:eastAsia="Arial"/>
                <w:b w:val="0"/>
                <w:color w:val="1F2937"/>
                <w:sz w:val="18"/>
              </w:rPr>
              <w:t>Guardrails</w:t>
            </w:r>
          </w:p>
        </w:tc>
        <w:tc>
          <w:tcPr>
            <w:tcW w:type="dxa" w:w="5328"/>
            <w:vAlign w:val="center"/>
          </w:tcPr>
          <w:p>
            <w:pPr>
              <w:jc w:val="left"/>
            </w:pPr>
            <w:r/>
            <w:r>
              <w:rPr>
                <w:rFonts w:ascii="Arial" w:hAnsi="Arial" w:eastAsia="Arial"/>
                <w:b w:val="0"/>
                <w:color w:val="1F2937"/>
                <w:sz w:val="18"/>
              </w:rPr>
              <w:t>Respuesta segura indicando limitaciones.</w:t>
            </w:r>
          </w:p>
        </w:tc>
      </w:tr>
    </w:tbl>
    <w:p/>
    <w:p>
      <w:pPr>
        <w:pStyle w:val="Heading2"/>
      </w:pPr>
      <w:r>
        <w:t>Ejemplo de flujo del orquestador:</w:t>
      </w:r>
    </w:p>
    <w:p>
      <w:pPr>
        <w:pStyle w:val="CodeBlock"/>
      </w:pPr>
      <w:r>
        <w:t>Pregunta: ¿El viaje Medellín - Barranquilla fue rentable y qué costos debo revisar?</w:t>
        <w:br/>
        <w:t>1. Clasifica intención: rentabilidad_viaje + costos_operativos.</w:t>
        <w:br/>
        <w:t>2. Consulta SQL: vw_rentabilidad_viaje y vw_gastos_por_categoria.</w:t>
        <w:br/>
        <w:t>3. Aplica reglas del cliente: margen mínimo aceptable = 18%.</w:t>
        <w:br/>
        <w:t>4. Construye respuesta: ingreso, gasto, utilidad, margen, categorías principales y recomendación.</w:t>
        <w:br/>
        <w:t>5. Registra consulta y fuentes usadas.</w:t>
      </w:r>
    </w:p>
    <w:p>
      <w:pPr>
        <w:pStyle w:val="Heading1"/>
      </w:pPr>
      <w:r>
        <w:t>10. Configuración por cliente</w:t>
      </w:r>
    </w:p>
    <w:tbl>
      <w:tblPr>
        <w:tblStyle w:val="TableGrid"/>
        <w:tblW w:type="auto" w:w="0"/>
        <w:tblLook w:firstColumn="1" w:firstRow="1" w:lastColumn="0" w:lastRow="0" w:noHBand="0" w:noVBand="1" w:val="04A0"/>
      </w:tblPr>
      <w:tblGrid>
        <w:gridCol w:w="10080"/>
      </w:tblGrid>
      <w:tr>
        <w:tc>
          <w:tcPr>
            <w:tcW w:type="dxa" w:w="10080"/>
            <w:shd w:fill="FEF3C7"/>
          </w:tcPr>
          <w:p>
            <w:r>
              <w:rPr>
                <w:b/>
                <w:color w:val="0C4A6E"/>
                <w:sz w:val="20"/>
              </w:rPr>
              <w:t>Por qué es moat</w:t>
            </w:r>
          </w:p>
          <w:p>
            <w:pPr>
              <w:spacing w:after="0"/>
            </w:pPr>
            <w:r>
              <w:rPr>
                <w:sz w:val="18"/>
              </w:rPr>
              <w:t>La configuración por cliente permite que GuruMaster sea implementado en varias empresas sin reescribir el producto. Esta capa convierte implementaciones personalizadas en despliegues configurables.</w:t>
            </w:r>
          </w:p>
        </w:tc>
      </w:tr>
    </w:tbl>
    <w:p/>
    <w:p>
      <w:r>
        <w:t>Componentes configurables recomendados:</w:t>
      </w:r>
    </w:p>
    <w:p>
      <w:pPr>
        <w:pStyle w:val="ListBullet"/>
        <w:spacing w:after="20"/>
      </w:pPr>
      <w:r>
        <w:t>Mapeo de columnas: cómo se traducen los datos del cliente al modelo canónico.</w:t>
      </w:r>
    </w:p>
    <w:p>
      <w:pPr>
        <w:pStyle w:val="ListBullet"/>
        <w:spacing w:after="20"/>
      </w:pPr>
      <w:r>
        <w:t>Fuentes activas: archivos, bases de datos, APIs, carpetas o cargas manuales.</w:t>
      </w:r>
    </w:p>
    <w:p>
      <w:pPr>
        <w:pStyle w:val="ListBullet"/>
        <w:spacing w:after="20"/>
      </w:pPr>
      <w:r>
        <w:t>Reglas de negocio: margen mínimo, días de vencimiento, límites de gasto, umbrales de alertas.</w:t>
      </w:r>
    </w:p>
    <w:p>
      <w:pPr>
        <w:pStyle w:val="ListBullet"/>
        <w:spacing w:after="20"/>
      </w:pPr>
      <w:r>
        <w:t>Módulos habilitados: costos, activos, normatividad, reportes, alertas.</w:t>
      </w:r>
    </w:p>
    <w:p>
      <w:pPr>
        <w:pStyle w:val="ListBullet"/>
        <w:spacing w:after="20"/>
      </w:pPr>
      <w:r>
        <w:t>Branding: nombre del cliente, logo, colores y textos del dashboard.</w:t>
      </w:r>
    </w:p>
    <w:p>
      <w:pPr>
        <w:pStyle w:val="ListBullet"/>
        <w:spacing w:after="20"/>
      </w:pPr>
      <w:r>
        <w:t>Permisos y roles: gerencia, operación, mantenimiento, finanzas, administrador.</w:t>
      </w:r>
    </w:p>
    <w:p>
      <w:pPr>
        <w:pStyle w:val="ListBullet"/>
        <w:spacing w:after="20"/>
      </w:pPr>
      <w:r>
        <w:t>Prompts y tono: lenguaje, nivel técnico, advertencias y disclaimers.</w:t>
      </w:r>
    </w:p>
    <w:p>
      <w:pPr>
        <w:pStyle w:val="Heading2"/>
      </w:pPr>
      <w:r>
        <w:t>Ejemplo de configuración YAML por cliente:</w:t>
      </w:r>
    </w:p>
    <w:p>
      <w:pPr>
        <w:pStyle w:val="CodeBlock"/>
      </w:pPr>
      <w:r>
        <w:t>cliente: transportes_andina</w:t>
        <w:br/>
        <w:t>modulos_activos:</w:t>
        <w:br/>
        <w:t xml:space="preserve">  - costos_operativos</w:t>
        <w:br/>
        <w:t xml:space="preserve">  - gestion_activos</w:t>
        <w:br/>
        <w:t xml:space="preserve">  - consulta_normativa</w:t>
        <w:br/>
        <w:t>reglas:</w:t>
        <w:br/>
        <w:t xml:space="preserve">  margen_minimo_aceptable_pct: 18</w:t>
        <w:br/>
        <w:t xml:space="preserve">  alerta_documentos_dias: 30</w:t>
        <w:br/>
        <w:t xml:space="preserve">  combustible_max_pct_ingreso: 35</w:t>
        <w:br/>
        <w:t>fuentes:</w:t>
        <w:br/>
        <w:t xml:space="preserve">  viajes:</w:t>
        <w:br/>
        <w:t xml:space="preserve">    tipo: excel</w:t>
        <w:br/>
        <w:t xml:space="preserve">    archivo: viajes_2026.xlsx</w:t>
        <w:br/>
        <w:t xml:space="preserve">    mapeo_columnas:</w:t>
        <w:br/>
        <w:t xml:space="preserve">      numero_viaje: viaje_id</w:t>
        <w:br/>
        <w:t xml:space="preserve">      placa: placa</w:t>
        <w:br/>
        <w:t xml:space="preserve">      fecha: fecha_viaje</w:t>
        <w:br/>
        <w:t xml:space="preserve">      valor_flete: ingreso</w:t>
        <w:br/>
        <w:t xml:space="preserve">  gastos:</w:t>
        <w:br/>
        <w:t xml:space="preserve">    tipo: csv</w:t>
        <w:br/>
        <w:t xml:space="preserve">    archivo: gastos_2026.csv</w:t>
        <w:br/>
        <w:t xml:space="preserve">    mapeo_columnas:</w:t>
        <w:br/>
        <w:t xml:space="preserve">      id: gasto_id</w:t>
        <w:br/>
        <w:t xml:space="preserve">      viaje: viaje_id</w:t>
        <w:br/>
        <w:t xml:space="preserve">      concepto: tipo_gasto</w:t>
        <w:br/>
        <w:t xml:space="preserve">      valor: valor</w:t>
      </w:r>
    </w:p>
    <w:p>
      <w:pPr>
        <w:pStyle w:val="Heading1"/>
      </w:pPr>
      <w:r>
        <w:t>11. Estrategia de replicabilidad</w:t>
      </w:r>
    </w:p>
    <w:tbl>
      <w:tblPr>
        <w:tblStyle w:val="TableGrid"/>
        <w:tblW w:type="auto" w:w="0"/>
        <w:tblLook w:firstColumn="1" w:firstRow="1" w:lastColumn="0" w:lastRow="0" w:noHBand="0" w:noVBand="1" w:val="04A0"/>
      </w:tblPr>
      <w:tblGrid>
        <w:gridCol w:w="10080"/>
      </w:tblGrid>
      <w:tr>
        <w:tc>
          <w:tcPr>
            <w:tcW w:type="dxa" w:w="10080"/>
            <w:shd w:fill="FEF3C7"/>
          </w:tcPr>
          <w:p>
            <w:r>
              <w:rPr>
                <w:b/>
                <w:color w:val="0C4A6E"/>
                <w:sz w:val="20"/>
              </w:rPr>
              <w:t>Por qué es moat</w:t>
            </w:r>
          </w:p>
          <w:p>
            <w:pPr>
              <w:spacing w:after="0"/>
            </w:pPr>
            <w:r>
              <w:rPr>
                <w:sz w:val="18"/>
              </w:rPr>
              <w:t>La estrategia de replicabilidad convierte experiencia de implementación en activos reutilizables: plantillas, validaciones, vistas, configuraciones, prompts, módulos y metodología comercial. Cada cliente debe hacer más fuerte el framework.</w:t>
            </w:r>
          </w:p>
        </w:tc>
      </w:tr>
    </w:tbl>
    <w:p/>
    <w:p>
      <w:r>
        <w:t>Elementos que deben ser reutilizables: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0F766E"/>
          </w:tcPr>
          <w:p>
            <w:pPr>
              <w:jc w:val="left"/>
            </w:pPr>
            <w:r/>
            <w:r>
              <w:rPr>
                <w:rFonts w:ascii="Arial" w:hAnsi="Arial" w:eastAsia="Arial"/>
                <w:b/>
                <w:color w:val="FFFFFF"/>
                <w:sz w:val="18"/>
              </w:rPr>
              <w:t>Activo reutilizable</w:t>
            </w:r>
          </w:p>
        </w:tc>
        <w:tc>
          <w:tcPr>
            <w:tcW w:type="dxa" w:w="4320"/>
            <w:vAlign w:val="center"/>
            <w:shd w:fill="0F766E"/>
          </w:tcPr>
          <w:p>
            <w:pPr>
              <w:jc w:val="left"/>
            </w:pPr>
            <w:r/>
            <w:r>
              <w:rPr>
                <w:rFonts w:ascii="Arial" w:hAnsi="Arial" w:eastAsia="Arial"/>
                <w:b/>
                <w:color w:val="FFFFFF"/>
                <w:sz w:val="18"/>
              </w:rPr>
              <w:t>Descripción</w:t>
            </w:r>
          </w:p>
        </w:tc>
        <w:tc>
          <w:tcPr>
            <w:tcW w:type="dxa" w:w="3312"/>
            <w:vAlign w:val="center"/>
            <w:shd w:fill="0F766E"/>
          </w:tcPr>
          <w:p>
            <w:pPr>
              <w:jc w:val="left"/>
            </w:pPr>
            <w:r/>
            <w:r>
              <w:rPr>
                <w:rFonts w:ascii="Arial" w:hAnsi="Arial" w:eastAsia="Arial"/>
                <w:b/>
                <w:color w:val="FFFFFF"/>
                <w:sz w:val="18"/>
              </w:rPr>
              <w:t>Beneficio</w:t>
            </w:r>
          </w:p>
        </w:tc>
      </w:tr>
      <w:tr>
        <w:tc>
          <w:tcPr>
            <w:tcW w:type="dxa" w:w="2448"/>
            <w:vAlign w:val="center"/>
            <w:shd w:fill="ECFDF5"/>
          </w:tcPr>
          <w:p>
            <w:pPr>
              <w:jc w:val="left"/>
            </w:pPr>
            <w:r/>
            <w:r>
              <w:rPr>
                <w:rFonts w:ascii="Arial" w:hAnsi="Arial" w:eastAsia="Arial"/>
                <w:b w:val="0"/>
                <w:color w:val="1F2937"/>
                <w:sz w:val="18"/>
              </w:rPr>
              <w:t>Plantillas de datos</w:t>
            </w:r>
          </w:p>
        </w:tc>
        <w:tc>
          <w:tcPr>
            <w:tcW w:type="dxa" w:w="4320"/>
            <w:vAlign w:val="center"/>
          </w:tcPr>
          <w:p>
            <w:pPr>
              <w:jc w:val="left"/>
            </w:pPr>
            <w:r/>
            <w:r>
              <w:rPr>
                <w:rFonts w:ascii="Arial" w:hAnsi="Arial" w:eastAsia="Arial"/>
                <w:b w:val="0"/>
                <w:color w:val="1F2937"/>
                <w:sz w:val="18"/>
              </w:rPr>
              <w:t>Excel/CSV estándar para viajes, gastos, vehículos, documentos y mantenimientos.</w:t>
            </w:r>
          </w:p>
        </w:tc>
        <w:tc>
          <w:tcPr>
            <w:tcW w:type="dxa" w:w="3312"/>
            <w:vAlign w:val="center"/>
          </w:tcPr>
          <w:p>
            <w:pPr>
              <w:jc w:val="left"/>
            </w:pPr>
            <w:r/>
            <w:r>
              <w:rPr>
                <w:rFonts w:ascii="Arial" w:hAnsi="Arial" w:eastAsia="Arial"/>
                <w:b w:val="0"/>
                <w:color w:val="1F2937"/>
                <w:sz w:val="18"/>
              </w:rPr>
              <w:t>Acelera clientes sin sistemas integrados.</w:t>
            </w:r>
          </w:p>
        </w:tc>
      </w:tr>
      <w:tr>
        <w:tc>
          <w:tcPr>
            <w:tcW w:type="dxa" w:w="2448"/>
            <w:vAlign w:val="center"/>
            <w:shd w:fill="ECFDF5"/>
          </w:tcPr>
          <w:p>
            <w:pPr>
              <w:jc w:val="left"/>
            </w:pPr>
            <w:r/>
            <w:r>
              <w:rPr>
                <w:rFonts w:ascii="Arial" w:hAnsi="Arial" w:eastAsia="Arial"/>
                <w:b w:val="0"/>
                <w:color w:val="1F2937"/>
                <w:sz w:val="18"/>
              </w:rPr>
              <w:t>Modelo canónico</w:t>
            </w:r>
          </w:p>
        </w:tc>
        <w:tc>
          <w:tcPr>
            <w:tcW w:type="dxa" w:w="4320"/>
            <w:vAlign w:val="center"/>
          </w:tcPr>
          <w:p>
            <w:pPr>
              <w:jc w:val="left"/>
            </w:pPr>
            <w:r/>
            <w:r>
              <w:rPr>
                <w:rFonts w:ascii="Arial" w:hAnsi="Arial" w:eastAsia="Arial"/>
                <w:b w:val="0"/>
                <w:color w:val="1F2937"/>
                <w:sz w:val="18"/>
              </w:rPr>
              <w:t>Tablas estándar para operar el framework.</w:t>
            </w:r>
          </w:p>
        </w:tc>
        <w:tc>
          <w:tcPr>
            <w:tcW w:type="dxa" w:w="3312"/>
            <w:vAlign w:val="center"/>
          </w:tcPr>
          <w:p>
            <w:pPr>
              <w:jc w:val="left"/>
            </w:pPr>
            <w:r/>
            <w:r>
              <w:rPr>
                <w:rFonts w:ascii="Arial" w:hAnsi="Arial" w:eastAsia="Arial"/>
                <w:b w:val="0"/>
                <w:color w:val="1F2937"/>
                <w:sz w:val="18"/>
              </w:rPr>
              <w:t>Permite reutilizar vistas, APIs y dashboards.</w:t>
            </w:r>
          </w:p>
        </w:tc>
      </w:tr>
      <w:tr>
        <w:tc>
          <w:tcPr>
            <w:tcW w:type="dxa" w:w="2448"/>
            <w:vAlign w:val="center"/>
            <w:shd w:fill="ECFDF5"/>
          </w:tcPr>
          <w:p>
            <w:pPr>
              <w:jc w:val="left"/>
            </w:pPr>
            <w:r/>
            <w:r>
              <w:rPr>
                <w:rFonts w:ascii="Arial" w:hAnsi="Arial" w:eastAsia="Arial"/>
                <w:b w:val="0"/>
                <w:color w:val="1F2937"/>
                <w:sz w:val="18"/>
              </w:rPr>
              <w:t>Validaciones</w:t>
            </w:r>
          </w:p>
        </w:tc>
        <w:tc>
          <w:tcPr>
            <w:tcW w:type="dxa" w:w="4320"/>
            <w:vAlign w:val="center"/>
          </w:tcPr>
          <w:p>
            <w:pPr>
              <w:jc w:val="left"/>
            </w:pPr>
            <w:r/>
            <w:r>
              <w:rPr>
                <w:rFonts w:ascii="Arial" w:hAnsi="Arial" w:eastAsia="Arial"/>
                <w:b w:val="0"/>
                <w:color w:val="1F2937"/>
                <w:sz w:val="18"/>
              </w:rPr>
              <w:t>Reglas de calidad: nulos, duplicados, formatos, integridad referencial.</w:t>
            </w:r>
          </w:p>
        </w:tc>
        <w:tc>
          <w:tcPr>
            <w:tcW w:type="dxa" w:w="3312"/>
            <w:vAlign w:val="center"/>
          </w:tcPr>
          <w:p>
            <w:pPr>
              <w:jc w:val="left"/>
            </w:pPr>
            <w:r/>
            <w:r>
              <w:rPr>
                <w:rFonts w:ascii="Arial" w:hAnsi="Arial" w:eastAsia="Arial"/>
                <w:b w:val="0"/>
                <w:color w:val="1F2937"/>
                <w:sz w:val="18"/>
              </w:rPr>
              <w:t>Reduce errores en onboarding.</w:t>
            </w:r>
          </w:p>
        </w:tc>
      </w:tr>
      <w:tr>
        <w:tc>
          <w:tcPr>
            <w:tcW w:type="dxa" w:w="2448"/>
            <w:vAlign w:val="center"/>
            <w:shd w:fill="ECFDF5"/>
          </w:tcPr>
          <w:p>
            <w:pPr>
              <w:jc w:val="left"/>
            </w:pPr>
            <w:r/>
            <w:r>
              <w:rPr>
                <w:rFonts w:ascii="Arial" w:hAnsi="Arial" w:eastAsia="Arial"/>
                <w:b w:val="0"/>
                <w:color w:val="1F2937"/>
                <w:sz w:val="18"/>
              </w:rPr>
              <w:t>Vistas Gold</w:t>
            </w:r>
          </w:p>
        </w:tc>
        <w:tc>
          <w:tcPr>
            <w:tcW w:type="dxa" w:w="4320"/>
            <w:vAlign w:val="center"/>
          </w:tcPr>
          <w:p>
            <w:pPr>
              <w:jc w:val="left"/>
            </w:pPr>
            <w:r/>
            <w:r>
              <w:rPr>
                <w:rFonts w:ascii="Arial" w:hAnsi="Arial" w:eastAsia="Arial"/>
                <w:b w:val="0"/>
                <w:color w:val="1F2937"/>
                <w:sz w:val="18"/>
              </w:rPr>
              <w:t>Consultas de rentabilidad, costos, activos y alertas.</w:t>
            </w:r>
          </w:p>
        </w:tc>
        <w:tc>
          <w:tcPr>
            <w:tcW w:type="dxa" w:w="3312"/>
            <w:vAlign w:val="center"/>
          </w:tcPr>
          <w:p>
            <w:pPr>
              <w:jc w:val="left"/>
            </w:pPr>
            <w:r/>
            <w:r>
              <w:rPr>
                <w:rFonts w:ascii="Arial" w:hAnsi="Arial" w:eastAsia="Arial"/>
                <w:b w:val="0"/>
                <w:color w:val="1F2937"/>
                <w:sz w:val="18"/>
              </w:rPr>
              <w:t>Estandariza indicadores de negocio.</w:t>
            </w:r>
          </w:p>
        </w:tc>
      </w:tr>
      <w:tr>
        <w:tc>
          <w:tcPr>
            <w:tcW w:type="dxa" w:w="2448"/>
            <w:vAlign w:val="center"/>
            <w:shd w:fill="ECFDF5"/>
          </w:tcPr>
          <w:p>
            <w:pPr>
              <w:jc w:val="left"/>
            </w:pPr>
            <w:r/>
            <w:r>
              <w:rPr>
                <w:rFonts w:ascii="Arial" w:hAnsi="Arial" w:eastAsia="Arial"/>
                <w:b w:val="0"/>
                <w:color w:val="1F2937"/>
                <w:sz w:val="18"/>
              </w:rPr>
              <w:t>Prompts base</w:t>
            </w:r>
          </w:p>
        </w:tc>
        <w:tc>
          <w:tcPr>
            <w:tcW w:type="dxa" w:w="4320"/>
            <w:vAlign w:val="center"/>
          </w:tcPr>
          <w:p>
            <w:pPr>
              <w:jc w:val="left"/>
            </w:pPr>
            <w:r/>
            <w:r>
              <w:rPr>
                <w:rFonts w:ascii="Arial" w:hAnsi="Arial" w:eastAsia="Arial"/>
                <w:b w:val="0"/>
                <w:color w:val="1F2937"/>
                <w:sz w:val="18"/>
              </w:rPr>
              <w:t>Prompts para cada intención y tipo de respuesta.</w:t>
            </w:r>
          </w:p>
        </w:tc>
        <w:tc>
          <w:tcPr>
            <w:tcW w:type="dxa" w:w="3312"/>
            <w:vAlign w:val="center"/>
          </w:tcPr>
          <w:p>
            <w:pPr>
              <w:jc w:val="left"/>
            </w:pPr>
            <w:r/>
            <w:r>
              <w:rPr>
                <w:rFonts w:ascii="Arial" w:hAnsi="Arial" w:eastAsia="Arial"/>
                <w:b w:val="0"/>
                <w:color w:val="1F2937"/>
                <w:sz w:val="18"/>
              </w:rPr>
              <w:t>Asegura consistencia del copiloto.</w:t>
            </w:r>
          </w:p>
        </w:tc>
      </w:tr>
      <w:tr>
        <w:tc>
          <w:tcPr>
            <w:tcW w:type="dxa" w:w="2448"/>
            <w:vAlign w:val="center"/>
            <w:shd w:fill="ECFDF5"/>
          </w:tcPr>
          <w:p>
            <w:pPr>
              <w:jc w:val="left"/>
            </w:pPr>
            <w:r/>
            <w:r>
              <w:rPr>
                <w:rFonts w:ascii="Arial" w:hAnsi="Arial" w:eastAsia="Arial"/>
                <w:b w:val="0"/>
                <w:color w:val="1F2937"/>
                <w:sz w:val="18"/>
              </w:rPr>
              <w:t>Configuración YAML/JSON</w:t>
            </w:r>
          </w:p>
        </w:tc>
        <w:tc>
          <w:tcPr>
            <w:tcW w:type="dxa" w:w="4320"/>
            <w:vAlign w:val="center"/>
          </w:tcPr>
          <w:p>
            <w:pPr>
              <w:jc w:val="left"/>
            </w:pPr>
            <w:r/>
            <w:r>
              <w:rPr>
                <w:rFonts w:ascii="Arial" w:hAnsi="Arial" w:eastAsia="Arial"/>
                <w:b w:val="0"/>
                <w:color w:val="1F2937"/>
                <w:sz w:val="18"/>
              </w:rPr>
              <w:t>Reglas, mappings y módulos por cliente.</w:t>
            </w:r>
          </w:p>
        </w:tc>
        <w:tc>
          <w:tcPr>
            <w:tcW w:type="dxa" w:w="3312"/>
            <w:vAlign w:val="center"/>
          </w:tcPr>
          <w:p>
            <w:pPr>
              <w:jc w:val="left"/>
            </w:pPr>
            <w:r/>
            <w:r>
              <w:rPr>
                <w:rFonts w:ascii="Arial" w:hAnsi="Arial" w:eastAsia="Arial"/>
                <w:b w:val="0"/>
                <w:color w:val="1F2937"/>
                <w:sz w:val="18"/>
              </w:rPr>
              <w:t>Reduce desarrollo por cliente.</w:t>
            </w:r>
          </w:p>
        </w:tc>
      </w:tr>
      <w:tr>
        <w:tc>
          <w:tcPr>
            <w:tcW w:type="dxa" w:w="2448"/>
            <w:vAlign w:val="center"/>
            <w:shd w:fill="ECFDF5"/>
          </w:tcPr>
          <w:p>
            <w:pPr>
              <w:jc w:val="left"/>
            </w:pPr>
            <w:r/>
            <w:r>
              <w:rPr>
                <w:rFonts w:ascii="Arial" w:hAnsi="Arial" w:eastAsia="Arial"/>
                <w:b w:val="0"/>
                <w:color w:val="1F2937"/>
                <w:sz w:val="18"/>
              </w:rPr>
              <w:t>Dashboard base</w:t>
            </w:r>
          </w:p>
        </w:tc>
        <w:tc>
          <w:tcPr>
            <w:tcW w:type="dxa" w:w="4320"/>
            <w:vAlign w:val="center"/>
          </w:tcPr>
          <w:p>
            <w:pPr>
              <w:jc w:val="left"/>
            </w:pPr>
            <w:r/>
            <w:r>
              <w:rPr>
                <w:rFonts w:ascii="Arial" w:hAnsi="Arial" w:eastAsia="Arial"/>
                <w:b w:val="0"/>
                <w:color w:val="1F2937"/>
                <w:sz w:val="18"/>
              </w:rPr>
              <w:t>Interfaz reusable con branding y módulos configurables.</w:t>
            </w:r>
          </w:p>
        </w:tc>
        <w:tc>
          <w:tcPr>
            <w:tcW w:type="dxa" w:w="3312"/>
            <w:vAlign w:val="center"/>
          </w:tcPr>
          <w:p>
            <w:pPr>
              <w:jc w:val="left"/>
            </w:pPr>
            <w:r/>
            <w:r>
              <w:rPr>
                <w:rFonts w:ascii="Arial" w:hAnsi="Arial" w:eastAsia="Arial"/>
                <w:b w:val="0"/>
                <w:color w:val="1F2937"/>
                <w:sz w:val="18"/>
              </w:rPr>
              <w:t>Mejora velocidad de implementación.</w:t>
            </w:r>
          </w:p>
        </w:tc>
      </w:tr>
      <w:tr>
        <w:tc>
          <w:tcPr>
            <w:tcW w:type="dxa" w:w="2448"/>
            <w:vAlign w:val="center"/>
            <w:shd w:fill="ECFDF5"/>
          </w:tcPr>
          <w:p>
            <w:pPr>
              <w:jc w:val="left"/>
            </w:pPr>
            <w:r/>
            <w:r>
              <w:rPr>
                <w:rFonts w:ascii="Arial" w:hAnsi="Arial" w:eastAsia="Arial"/>
                <w:b w:val="0"/>
                <w:color w:val="1F2937"/>
                <w:sz w:val="18"/>
              </w:rPr>
              <w:t>Checklist de onboarding</w:t>
            </w:r>
          </w:p>
        </w:tc>
        <w:tc>
          <w:tcPr>
            <w:tcW w:type="dxa" w:w="4320"/>
            <w:vAlign w:val="center"/>
          </w:tcPr>
          <w:p>
            <w:pPr>
              <w:jc w:val="left"/>
            </w:pPr>
            <w:r/>
            <w:r>
              <w:rPr>
                <w:rFonts w:ascii="Arial" w:hAnsi="Arial" w:eastAsia="Arial"/>
                <w:b w:val="0"/>
                <w:color w:val="1F2937"/>
                <w:sz w:val="18"/>
              </w:rPr>
              <w:t>Proceso repetible de levantamiento, carga, validación y entrega.</w:t>
            </w:r>
          </w:p>
        </w:tc>
        <w:tc>
          <w:tcPr>
            <w:tcW w:type="dxa" w:w="3312"/>
            <w:vAlign w:val="center"/>
          </w:tcPr>
          <w:p>
            <w:pPr>
              <w:jc w:val="left"/>
            </w:pPr>
            <w:r/>
            <w:r>
              <w:rPr>
                <w:rFonts w:ascii="Arial" w:hAnsi="Arial" w:eastAsia="Arial"/>
                <w:b w:val="0"/>
                <w:color w:val="1F2937"/>
                <w:sz w:val="18"/>
              </w:rPr>
              <w:t>Profesionaliza el servicio.</w:t>
            </w:r>
          </w:p>
        </w:tc>
      </w:tr>
    </w:tbl>
    <w:p/>
    <w:p>
      <w:pPr>
        <w:pStyle w:val="ListNumber"/>
        <w:spacing w:after="20"/>
      </w:pPr>
      <w:r>
        <w:t>Primer cliente: construir MVP, validar modelo canónico y registrar lecciones aprendidas.</w:t>
      </w:r>
    </w:p>
    <w:p>
      <w:pPr>
        <w:pStyle w:val="ListNumber"/>
        <w:spacing w:after="20"/>
      </w:pPr>
      <w:r>
        <w:t>Segundo cliente: reutilizar plantillas, ajustar mappings y crear nuevas reglas configurables.</w:t>
      </w:r>
    </w:p>
    <w:p>
      <w:pPr>
        <w:pStyle w:val="ListNumber"/>
        <w:spacing w:after="20"/>
      </w:pPr>
      <w:r>
        <w:t>Tercer cliente: empaquetar scripts, vistas y prompts en un acelerador de implementación.</w:t>
      </w:r>
    </w:p>
    <w:p>
      <w:pPr>
        <w:pStyle w:val="ListNumber"/>
        <w:spacing w:after="20"/>
      </w:pPr>
      <w:r>
        <w:t>Quinto cliente: formalizar benchmarks anonimizados y mejores prácticas por tipo de operación.</w:t>
      </w:r>
    </w:p>
    <w:p>
      <w:pPr>
        <w:pStyle w:val="ListNumber"/>
        <w:spacing w:after="20"/>
      </w:pPr>
      <w:r>
        <w:t>Décimo cliente: avanzar hacia producto SaaS/enterprise con onboarding más automatizado.</w:t>
      </w:r>
    </w:p>
    <w:p>
      <w:pPr>
        <w:pStyle w:val="Heading1"/>
      </w:pPr>
      <w:r>
        <w:t>12. Versión MVP local</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0F766E"/>
          </w:tcPr>
          <w:p>
            <w:pPr>
              <w:jc w:val="left"/>
            </w:pPr>
            <w:r/>
            <w:r>
              <w:rPr>
                <w:rFonts w:ascii="Arial" w:hAnsi="Arial" w:eastAsia="Arial"/>
                <w:b/>
                <w:color w:val="FFFFFF"/>
                <w:sz w:val="18"/>
              </w:rPr>
              <w:t>Componente</w:t>
            </w:r>
          </w:p>
        </w:tc>
        <w:tc>
          <w:tcPr>
            <w:tcW w:type="dxa" w:w="2880"/>
            <w:vAlign w:val="center"/>
            <w:shd w:fill="0F766E"/>
          </w:tcPr>
          <w:p>
            <w:pPr>
              <w:jc w:val="left"/>
            </w:pPr>
            <w:r/>
            <w:r>
              <w:rPr>
                <w:rFonts w:ascii="Arial" w:hAnsi="Arial" w:eastAsia="Arial"/>
                <w:b/>
                <w:color w:val="FFFFFF"/>
                <w:sz w:val="18"/>
              </w:rPr>
              <w:t>Herramienta sugerida</w:t>
            </w:r>
          </w:p>
        </w:tc>
        <w:tc>
          <w:tcPr>
            <w:tcW w:type="dxa" w:w="5040"/>
            <w:vAlign w:val="center"/>
            <w:shd w:fill="0F766E"/>
          </w:tcPr>
          <w:p>
            <w:pPr>
              <w:jc w:val="left"/>
            </w:pPr>
            <w:r/>
            <w:r>
              <w:rPr>
                <w:rFonts w:ascii="Arial" w:hAnsi="Arial" w:eastAsia="Arial"/>
                <w:b/>
                <w:color w:val="FFFFFF"/>
                <w:sz w:val="18"/>
              </w:rPr>
              <w:t>Uso</w:t>
            </w:r>
          </w:p>
        </w:tc>
      </w:tr>
      <w:tr>
        <w:tc>
          <w:tcPr>
            <w:tcW w:type="dxa" w:w="2160"/>
            <w:vAlign w:val="center"/>
            <w:shd w:fill="ECFDF5"/>
          </w:tcPr>
          <w:p>
            <w:pPr>
              <w:jc w:val="left"/>
            </w:pPr>
            <w:r/>
            <w:r>
              <w:rPr>
                <w:rFonts w:ascii="Arial" w:hAnsi="Arial" w:eastAsia="Arial"/>
                <w:b w:val="0"/>
                <w:color w:val="1F2937"/>
                <w:sz w:val="18"/>
              </w:rPr>
              <w:t>Base estructurada</w:t>
            </w:r>
          </w:p>
        </w:tc>
        <w:tc>
          <w:tcPr>
            <w:tcW w:type="dxa" w:w="2880"/>
            <w:vAlign w:val="center"/>
          </w:tcPr>
          <w:p>
            <w:pPr>
              <w:jc w:val="left"/>
            </w:pPr>
            <w:r/>
            <w:r>
              <w:rPr>
                <w:rFonts w:ascii="Arial" w:hAnsi="Arial" w:eastAsia="Arial"/>
                <w:b w:val="0"/>
                <w:color w:val="1F2937"/>
                <w:sz w:val="18"/>
              </w:rPr>
              <w:t>SQLite o DuckDB</w:t>
            </w:r>
          </w:p>
        </w:tc>
        <w:tc>
          <w:tcPr>
            <w:tcW w:type="dxa" w:w="5040"/>
            <w:vAlign w:val="center"/>
          </w:tcPr>
          <w:p>
            <w:pPr>
              <w:jc w:val="left"/>
            </w:pPr>
            <w:r/>
            <w:r>
              <w:rPr>
                <w:rFonts w:ascii="Arial" w:hAnsi="Arial" w:eastAsia="Arial"/>
                <w:b w:val="0"/>
                <w:color w:val="1F2937"/>
                <w:sz w:val="18"/>
              </w:rPr>
              <w:t>Almacenar viajes, gastos, vehículos y activos para demo local.</w:t>
            </w:r>
          </w:p>
        </w:tc>
      </w:tr>
      <w:tr>
        <w:tc>
          <w:tcPr>
            <w:tcW w:type="dxa" w:w="2160"/>
            <w:vAlign w:val="center"/>
            <w:shd w:fill="ECFDF5"/>
          </w:tcPr>
          <w:p>
            <w:pPr>
              <w:jc w:val="left"/>
            </w:pPr>
            <w:r/>
            <w:r>
              <w:rPr>
                <w:rFonts w:ascii="Arial" w:hAnsi="Arial" w:eastAsia="Arial"/>
                <w:b w:val="0"/>
                <w:color w:val="1F2937"/>
                <w:sz w:val="18"/>
              </w:rPr>
              <w:t>Procesamiento</w:t>
            </w:r>
          </w:p>
        </w:tc>
        <w:tc>
          <w:tcPr>
            <w:tcW w:type="dxa" w:w="2880"/>
            <w:vAlign w:val="center"/>
          </w:tcPr>
          <w:p>
            <w:pPr>
              <w:jc w:val="left"/>
            </w:pPr>
            <w:r/>
            <w:r>
              <w:rPr>
                <w:rFonts w:ascii="Arial" w:hAnsi="Arial" w:eastAsia="Arial"/>
                <w:b w:val="0"/>
                <w:color w:val="1F2937"/>
                <w:sz w:val="18"/>
              </w:rPr>
              <w:t>Python + Pandas</w:t>
            </w:r>
          </w:p>
        </w:tc>
        <w:tc>
          <w:tcPr>
            <w:tcW w:type="dxa" w:w="5040"/>
            <w:vAlign w:val="center"/>
          </w:tcPr>
          <w:p>
            <w:pPr>
              <w:jc w:val="left"/>
            </w:pPr>
            <w:r/>
            <w:r>
              <w:rPr>
                <w:rFonts w:ascii="Arial" w:hAnsi="Arial" w:eastAsia="Arial"/>
                <w:b w:val="0"/>
                <w:color w:val="1F2937"/>
                <w:sz w:val="18"/>
              </w:rPr>
              <w:t>Cargar CSV, validar datos y preparar tablas.</w:t>
            </w:r>
          </w:p>
        </w:tc>
      </w:tr>
      <w:tr>
        <w:tc>
          <w:tcPr>
            <w:tcW w:type="dxa" w:w="2160"/>
            <w:vAlign w:val="center"/>
            <w:shd w:fill="ECFDF5"/>
          </w:tcPr>
          <w:p>
            <w:pPr>
              <w:jc w:val="left"/>
            </w:pPr>
            <w:r/>
            <w:r>
              <w:rPr>
                <w:rFonts w:ascii="Arial" w:hAnsi="Arial" w:eastAsia="Arial"/>
                <w:b w:val="0"/>
                <w:color w:val="1F2937"/>
                <w:sz w:val="18"/>
              </w:rPr>
              <w:t>RAG</w:t>
            </w:r>
          </w:p>
        </w:tc>
        <w:tc>
          <w:tcPr>
            <w:tcW w:type="dxa" w:w="2880"/>
            <w:vAlign w:val="center"/>
          </w:tcPr>
          <w:p>
            <w:pPr>
              <w:jc w:val="left"/>
            </w:pPr>
            <w:r/>
            <w:r>
              <w:rPr>
                <w:rFonts w:ascii="Arial" w:hAnsi="Arial" w:eastAsia="Arial"/>
                <w:b w:val="0"/>
                <w:color w:val="1F2937"/>
                <w:sz w:val="18"/>
              </w:rPr>
              <w:t>ChromaDB o FAISS</w:t>
            </w:r>
          </w:p>
        </w:tc>
        <w:tc>
          <w:tcPr>
            <w:tcW w:type="dxa" w:w="5040"/>
            <w:vAlign w:val="center"/>
          </w:tcPr>
          <w:p>
            <w:pPr>
              <w:jc w:val="left"/>
            </w:pPr>
            <w:r/>
            <w:r>
              <w:rPr>
                <w:rFonts w:ascii="Arial" w:hAnsi="Arial" w:eastAsia="Arial"/>
                <w:b w:val="0"/>
                <w:color w:val="1F2937"/>
                <w:sz w:val="18"/>
              </w:rPr>
              <w:t>Consultar documentos normativos y operativos.</w:t>
            </w:r>
          </w:p>
        </w:tc>
      </w:tr>
      <w:tr>
        <w:tc>
          <w:tcPr>
            <w:tcW w:type="dxa" w:w="2160"/>
            <w:vAlign w:val="center"/>
            <w:shd w:fill="ECFDF5"/>
          </w:tcPr>
          <w:p>
            <w:pPr>
              <w:jc w:val="left"/>
            </w:pPr>
            <w:r/>
            <w:r>
              <w:rPr>
                <w:rFonts w:ascii="Arial" w:hAnsi="Arial" w:eastAsia="Arial"/>
                <w:b w:val="0"/>
                <w:color w:val="1F2937"/>
                <w:sz w:val="18"/>
              </w:rPr>
              <w:t>API</w:t>
            </w:r>
          </w:p>
        </w:tc>
        <w:tc>
          <w:tcPr>
            <w:tcW w:type="dxa" w:w="2880"/>
            <w:vAlign w:val="center"/>
          </w:tcPr>
          <w:p>
            <w:pPr>
              <w:jc w:val="left"/>
            </w:pPr>
            <w:r/>
            <w:r>
              <w:rPr>
                <w:rFonts w:ascii="Arial" w:hAnsi="Arial" w:eastAsia="Arial"/>
                <w:b w:val="0"/>
                <w:color w:val="1F2937"/>
                <w:sz w:val="18"/>
              </w:rPr>
              <w:t>FastAPI</w:t>
            </w:r>
          </w:p>
        </w:tc>
        <w:tc>
          <w:tcPr>
            <w:tcW w:type="dxa" w:w="5040"/>
            <w:vAlign w:val="center"/>
          </w:tcPr>
          <w:p>
            <w:pPr>
              <w:jc w:val="left"/>
            </w:pPr>
            <w:r/>
            <w:r>
              <w:rPr>
                <w:rFonts w:ascii="Arial" w:hAnsi="Arial" w:eastAsia="Arial"/>
                <w:b w:val="0"/>
                <w:color w:val="1F2937"/>
                <w:sz w:val="18"/>
              </w:rPr>
              <w:t>Exponer endpoints para chat, activos, viajes, costos y alertas.</w:t>
            </w:r>
          </w:p>
        </w:tc>
      </w:tr>
      <w:tr>
        <w:tc>
          <w:tcPr>
            <w:tcW w:type="dxa" w:w="2160"/>
            <w:vAlign w:val="center"/>
            <w:shd w:fill="ECFDF5"/>
          </w:tcPr>
          <w:p>
            <w:pPr>
              <w:jc w:val="left"/>
            </w:pPr>
            <w:r/>
            <w:r>
              <w:rPr>
                <w:rFonts w:ascii="Arial" w:hAnsi="Arial" w:eastAsia="Arial"/>
                <w:b w:val="0"/>
                <w:color w:val="1F2937"/>
                <w:sz w:val="18"/>
              </w:rPr>
              <w:t>Frontend</w:t>
            </w:r>
          </w:p>
        </w:tc>
        <w:tc>
          <w:tcPr>
            <w:tcW w:type="dxa" w:w="2880"/>
            <w:vAlign w:val="center"/>
          </w:tcPr>
          <w:p>
            <w:pPr>
              <w:jc w:val="left"/>
            </w:pPr>
            <w:r/>
            <w:r>
              <w:rPr>
                <w:rFonts w:ascii="Arial" w:hAnsi="Arial" w:eastAsia="Arial"/>
                <w:b w:val="0"/>
                <w:color w:val="1F2937"/>
                <w:sz w:val="18"/>
              </w:rPr>
              <w:t>Demo actual React/HTML</w:t>
            </w:r>
          </w:p>
        </w:tc>
        <w:tc>
          <w:tcPr>
            <w:tcW w:type="dxa" w:w="5040"/>
            <w:vAlign w:val="center"/>
          </w:tcPr>
          <w:p>
            <w:pPr>
              <w:jc w:val="left"/>
            </w:pPr>
            <w:r/>
            <w:r>
              <w:rPr>
                <w:rFonts w:ascii="Arial" w:hAnsi="Arial" w:eastAsia="Arial"/>
                <w:b w:val="0"/>
                <w:color w:val="1F2937"/>
                <w:sz w:val="18"/>
              </w:rPr>
              <w:t>Consumir API y conservar diseño actual.</w:t>
            </w:r>
          </w:p>
        </w:tc>
      </w:tr>
      <w:tr>
        <w:tc>
          <w:tcPr>
            <w:tcW w:type="dxa" w:w="2160"/>
            <w:vAlign w:val="center"/>
            <w:shd w:fill="ECFDF5"/>
          </w:tcPr>
          <w:p>
            <w:pPr>
              <w:jc w:val="left"/>
            </w:pPr>
            <w:r/>
            <w:r>
              <w:rPr>
                <w:rFonts w:ascii="Arial" w:hAnsi="Arial" w:eastAsia="Arial"/>
                <w:b w:val="0"/>
                <w:color w:val="1F2937"/>
                <w:sz w:val="18"/>
              </w:rPr>
              <w:t>LLM</w:t>
            </w:r>
          </w:p>
        </w:tc>
        <w:tc>
          <w:tcPr>
            <w:tcW w:type="dxa" w:w="2880"/>
            <w:vAlign w:val="center"/>
          </w:tcPr>
          <w:p>
            <w:pPr>
              <w:jc w:val="left"/>
            </w:pPr>
            <w:r/>
            <w:r>
              <w:rPr>
                <w:rFonts w:ascii="Arial" w:hAnsi="Arial" w:eastAsia="Arial"/>
                <w:b w:val="0"/>
                <w:color w:val="1F2937"/>
                <w:sz w:val="18"/>
              </w:rPr>
              <w:t>API externa u Ollama</w:t>
            </w:r>
          </w:p>
        </w:tc>
        <w:tc>
          <w:tcPr>
            <w:tcW w:type="dxa" w:w="5040"/>
            <w:vAlign w:val="center"/>
          </w:tcPr>
          <w:p>
            <w:pPr>
              <w:jc w:val="left"/>
            </w:pPr>
            <w:r/>
            <w:r>
              <w:rPr>
                <w:rFonts w:ascii="Arial" w:hAnsi="Arial" w:eastAsia="Arial"/>
                <w:b w:val="0"/>
                <w:color w:val="1F2937"/>
                <w:sz w:val="18"/>
              </w:rPr>
              <w:t>Generar respuestas en lenguaje natural.</w:t>
            </w:r>
          </w:p>
        </w:tc>
      </w:tr>
      <w:tr>
        <w:tc>
          <w:tcPr>
            <w:tcW w:type="dxa" w:w="2160"/>
            <w:vAlign w:val="center"/>
            <w:shd w:fill="ECFDF5"/>
          </w:tcPr>
          <w:p>
            <w:pPr>
              <w:jc w:val="left"/>
            </w:pPr>
            <w:r/>
            <w:r>
              <w:rPr>
                <w:rFonts w:ascii="Arial" w:hAnsi="Arial" w:eastAsia="Arial"/>
                <w:b w:val="0"/>
                <w:color w:val="1F2937"/>
                <w:sz w:val="18"/>
              </w:rPr>
              <w:t>Configuración</w:t>
            </w:r>
          </w:p>
        </w:tc>
        <w:tc>
          <w:tcPr>
            <w:tcW w:type="dxa" w:w="2880"/>
            <w:vAlign w:val="center"/>
          </w:tcPr>
          <w:p>
            <w:pPr>
              <w:jc w:val="left"/>
            </w:pPr>
            <w:r/>
            <w:r>
              <w:rPr>
                <w:rFonts w:ascii="Arial" w:hAnsi="Arial" w:eastAsia="Arial"/>
                <w:b w:val="0"/>
                <w:color w:val="1F2937"/>
                <w:sz w:val="18"/>
              </w:rPr>
              <w:t>YAML/JSON</w:t>
            </w:r>
          </w:p>
        </w:tc>
        <w:tc>
          <w:tcPr>
            <w:tcW w:type="dxa" w:w="5040"/>
            <w:vAlign w:val="center"/>
          </w:tcPr>
          <w:p>
            <w:pPr>
              <w:jc w:val="left"/>
            </w:pPr>
            <w:r/>
            <w:r>
              <w:rPr>
                <w:rFonts w:ascii="Arial" w:hAnsi="Arial" w:eastAsia="Arial"/>
                <w:b w:val="0"/>
                <w:color w:val="1F2937"/>
                <w:sz w:val="18"/>
              </w:rPr>
              <w:t>Definir cliente, reglas, mappings y módulos activos.</w:t>
            </w:r>
          </w:p>
        </w:tc>
      </w:tr>
    </w:tbl>
    <w:p/>
    <w:p>
      <w:pPr>
        <w:pStyle w:val="Heading1"/>
      </w:pPr>
      <w:r>
        <w:t>13. Versión enterprise cloud</w:t>
      </w:r>
    </w:p>
    <w:p>
      <w:r>
        <w:t>La versión enterprise debe mantener la misma lógica del framework, pero cambiando las herramientas de ejecución y escalabilidad.</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0F766E"/>
          </w:tcPr>
          <w:p>
            <w:pPr>
              <w:jc w:val="left"/>
            </w:pPr>
            <w:r/>
            <w:r>
              <w:rPr>
                <w:rFonts w:ascii="Arial" w:hAnsi="Arial" w:eastAsia="Arial"/>
                <w:b/>
                <w:color w:val="FFFFFF"/>
                <w:sz w:val="18"/>
              </w:rPr>
              <w:t>Capa</w:t>
            </w:r>
          </w:p>
        </w:tc>
        <w:tc>
          <w:tcPr>
            <w:tcW w:type="dxa" w:w="3168"/>
            <w:vAlign w:val="center"/>
            <w:shd w:fill="0F766E"/>
          </w:tcPr>
          <w:p>
            <w:pPr>
              <w:jc w:val="left"/>
            </w:pPr>
            <w:r/>
            <w:r>
              <w:rPr>
                <w:rFonts w:ascii="Arial" w:hAnsi="Arial" w:eastAsia="Arial"/>
                <w:b/>
                <w:color w:val="FFFFFF"/>
                <w:sz w:val="18"/>
              </w:rPr>
              <w:t>MVP local</w:t>
            </w:r>
          </w:p>
        </w:tc>
        <w:tc>
          <w:tcPr>
            <w:tcW w:type="dxa" w:w="4464"/>
            <w:vAlign w:val="center"/>
            <w:shd w:fill="0F766E"/>
          </w:tcPr>
          <w:p>
            <w:pPr>
              <w:jc w:val="left"/>
            </w:pPr>
            <w:r/>
            <w:r>
              <w:rPr>
                <w:rFonts w:ascii="Arial" w:hAnsi="Arial" w:eastAsia="Arial"/>
                <w:b/>
                <w:color w:val="FFFFFF"/>
                <w:sz w:val="18"/>
              </w:rPr>
              <w:t>Enterprise posible</w:t>
            </w:r>
          </w:p>
        </w:tc>
      </w:tr>
      <w:tr>
        <w:tc>
          <w:tcPr>
            <w:tcW w:type="dxa" w:w="2448"/>
            <w:vAlign w:val="center"/>
            <w:shd w:fill="ECFDF5"/>
          </w:tcPr>
          <w:p>
            <w:pPr>
              <w:jc w:val="left"/>
            </w:pPr>
            <w:r/>
            <w:r>
              <w:rPr>
                <w:rFonts w:ascii="Arial" w:hAnsi="Arial" w:eastAsia="Arial"/>
                <w:b w:val="0"/>
                <w:color w:val="1F2937"/>
                <w:sz w:val="18"/>
              </w:rPr>
              <w:t>Base de datos</w:t>
            </w:r>
          </w:p>
        </w:tc>
        <w:tc>
          <w:tcPr>
            <w:tcW w:type="dxa" w:w="3168"/>
            <w:vAlign w:val="center"/>
          </w:tcPr>
          <w:p>
            <w:pPr>
              <w:jc w:val="left"/>
            </w:pPr>
            <w:r/>
            <w:r>
              <w:rPr>
                <w:rFonts w:ascii="Arial" w:hAnsi="Arial" w:eastAsia="Arial"/>
                <w:b w:val="0"/>
                <w:color w:val="1F2937"/>
                <w:sz w:val="18"/>
              </w:rPr>
              <w:t>SQLite/DuckDB</w:t>
            </w:r>
          </w:p>
        </w:tc>
        <w:tc>
          <w:tcPr>
            <w:tcW w:type="dxa" w:w="4464"/>
            <w:vAlign w:val="center"/>
          </w:tcPr>
          <w:p>
            <w:pPr>
              <w:jc w:val="left"/>
            </w:pPr>
            <w:r/>
            <w:r>
              <w:rPr>
                <w:rFonts w:ascii="Arial" w:hAnsi="Arial" w:eastAsia="Arial"/>
                <w:b w:val="0"/>
                <w:color w:val="1F2937"/>
                <w:sz w:val="18"/>
              </w:rPr>
              <w:t>PostgreSQL, Azure SQL, Databricks Delta</w:t>
            </w:r>
          </w:p>
        </w:tc>
      </w:tr>
      <w:tr>
        <w:tc>
          <w:tcPr>
            <w:tcW w:type="dxa" w:w="2448"/>
            <w:vAlign w:val="center"/>
            <w:shd w:fill="ECFDF5"/>
          </w:tcPr>
          <w:p>
            <w:pPr>
              <w:jc w:val="left"/>
            </w:pPr>
            <w:r/>
            <w:r>
              <w:rPr>
                <w:rFonts w:ascii="Arial" w:hAnsi="Arial" w:eastAsia="Arial"/>
                <w:b w:val="0"/>
                <w:color w:val="1F2937"/>
                <w:sz w:val="18"/>
              </w:rPr>
              <w:t>Procesamiento</w:t>
            </w:r>
          </w:p>
        </w:tc>
        <w:tc>
          <w:tcPr>
            <w:tcW w:type="dxa" w:w="3168"/>
            <w:vAlign w:val="center"/>
          </w:tcPr>
          <w:p>
            <w:pPr>
              <w:jc w:val="left"/>
            </w:pPr>
            <w:r/>
            <w:r>
              <w:rPr>
                <w:rFonts w:ascii="Arial" w:hAnsi="Arial" w:eastAsia="Arial"/>
                <w:b w:val="0"/>
                <w:color w:val="1F2937"/>
                <w:sz w:val="18"/>
              </w:rPr>
              <w:t>Python local</w:t>
            </w:r>
          </w:p>
        </w:tc>
        <w:tc>
          <w:tcPr>
            <w:tcW w:type="dxa" w:w="4464"/>
            <w:vAlign w:val="center"/>
          </w:tcPr>
          <w:p>
            <w:pPr>
              <w:jc w:val="left"/>
            </w:pPr>
            <w:r/>
            <w:r>
              <w:rPr>
                <w:rFonts w:ascii="Arial" w:hAnsi="Arial" w:eastAsia="Arial"/>
                <w:b w:val="0"/>
                <w:color w:val="1F2937"/>
                <w:sz w:val="18"/>
              </w:rPr>
              <w:t>Databricks Workflows, ADF, Fabric, Airflow</w:t>
            </w:r>
          </w:p>
        </w:tc>
      </w:tr>
      <w:tr>
        <w:tc>
          <w:tcPr>
            <w:tcW w:type="dxa" w:w="2448"/>
            <w:vAlign w:val="center"/>
            <w:shd w:fill="ECFDF5"/>
          </w:tcPr>
          <w:p>
            <w:pPr>
              <w:jc w:val="left"/>
            </w:pPr>
            <w:r/>
            <w:r>
              <w:rPr>
                <w:rFonts w:ascii="Arial" w:hAnsi="Arial" w:eastAsia="Arial"/>
                <w:b w:val="0"/>
                <w:color w:val="1F2937"/>
                <w:sz w:val="18"/>
              </w:rPr>
              <w:t>Vector DB</w:t>
            </w:r>
          </w:p>
        </w:tc>
        <w:tc>
          <w:tcPr>
            <w:tcW w:type="dxa" w:w="3168"/>
            <w:vAlign w:val="center"/>
          </w:tcPr>
          <w:p>
            <w:pPr>
              <w:jc w:val="left"/>
            </w:pPr>
            <w:r/>
            <w:r>
              <w:rPr>
                <w:rFonts w:ascii="Arial" w:hAnsi="Arial" w:eastAsia="Arial"/>
                <w:b w:val="0"/>
                <w:color w:val="1F2937"/>
                <w:sz w:val="18"/>
              </w:rPr>
              <w:t>ChromaDB/FAISS</w:t>
            </w:r>
          </w:p>
        </w:tc>
        <w:tc>
          <w:tcPr>
            <w:tcW w:type="dxa" w:w="4464"/>
            <w:vAlign w:val="center"/>
          </w:tcPr>
          <w:p>
            <w:pPr>
              <w:jc w:val="left"/>
            </w:pPr>
            <w:r/>
            <w:r>
              <w:rPr>
                <w:rFonts w:ascii="Arial" w:hAnsi="Arial" w:eastAsia="Arial"/>
                <w:b w:val="0"/>
                <w:color w:val="1F2937"/>
                <w:sz w:val="18"/>
              </w:rPr>
              <w:t>Databricks Vector Search, Azure AI Search</w:t>
            </w:r>
          </w:p>
        </w:tc>
      </w:tr>
      <w:tr>
        <w:tc>
          <w:tcPr>
            <w:tcW w:type="dxa" w:w="2448"/>
            <w:vAlign w:val="center"/>
            <w:shd w:fill="ECFDF5"/>
          </w:tcPr>
          <w:p>
            <w:pPr>
              <w:jc w:val="left"/>
            </w:pPr>
            <w:r/>
            <w:r>
              <w:rPr>
                <w:rFonts w:ascii="Arial" w:hAnsi="Arial" w:eastAsia="Arial"/>
                <w:b w:val="0"/>
                <w:color w:val="1F2937"/>
                <w:sz w:val="18"/>
              </w:rPr>
              <w:t>API</w:t>
            </w:r>
          </w:p>
        </w:tc>
        <w:tc>
          <w:tcPr>
            <w:tcW w:type="dxa" w:w="3168"/>
            <w:vAlign w:val="center"/>
          </w:tcPr>
          <w:p>
            <w:pPr>
              <w:jc w:val="left"/>
            </w:pPr>
            <w:r/>
            <w:r>
              <w:rPr>
                <w:rFonts w:ascii="Arial" w:hAnsi="Arial" w:eastAsia="Arial"/>
                <w:b w:val="0"/>
                <w:color w:val="1F2937"/>
                <w:sz w:val="18"/>
              </w:rPr>
              <w:t>FastAPI local</w:t>
            </w:r>
          </w:p>
        </w:tc>
        <w:tc>
          <w:tcPr>
            <w:tcW w:type="dxa" w:w="4464"/>
            <w:vAlign w:val="center"/>
          </w:tcPr>
          <w:p>
            <w:pPr>
              <w:jc w:val="left"/>
            </w:pPr>
            <w:r/>
            <w:r>
              <w:rPr>
                <w:rFonts w:ascii="Arial" w:hAnsi="Arial" w:eastAsia="Arial"/>
                <w:b w:val="0"/>
                <w:color w:val="1F2937"/>
                <w:sz w:val="18"/>
              </w:rPr>
              <w:t>FastAPI en Azure App Service, Container Apps o Kubernetes</w:t>
            </w:r>
          </w:p>
        </w:tc>
      </w:tr>
      <w:tr>
        <w:tc>
          <w:tcPr>
            <w:tcW w:type="dxa" w:w="2448"/>
            <w:vAlign w:val="center"/>
            <w:shd w:fill="ECFDF5"/>
          </w:tcPr>
          <w:p>
            <w:pPr>
              <w:jc w:val="left"/>
            </w:pPr>
            <w:r/>
            <w:r>
              <w:rPr>
                <w:rFonts w:ascii="Arial" w:hAnsi="Arial" w:eastAsia="Arial"/>
                <w:b w:val="0"/>
                <w:color w:val="1F2937"/>
                <w:sz w:val="18"/>
              </w:rPr>
              <w:t>Seguridad</w:t>
            </w:r>
          </w:p>
        </w:tc>
        <w:tc>
          <w:tcPr>
            <w:tcW w:type="dxa" w:w="3168"/>
            <w:vAlign w:val="center"/>
          </w:tcPr>
          <w:p>
            <w:pPr>
              <w:jc w:val="left"/>
            </w:pPr>
            <w:r/>
            <w:r>
              <w:rPr>
                <w:rFonts w:ascii="Arial" w:hAnsi="Arial" w:eastAsia="Arial"/>
                <w:b w:val="0"/>
                <w:color w:val="1F2937"/>
                <w:sz w:val="18"/>
              </w:rPr>
              <w:t>Local/simple</w:t>
            </w:r>
          </w:p>
        </w:tc>
        <w:tc>
          <w:tcPr>
            <w:tcW w:type="dxa" w:w="4464"/>
            <w:vAlign w:val="center"/>
          </w:tcPr>
          <w:p>
            <w:pPr>
              <w:jc w:val="left"/>
            </w:pPr>
            <w:r/>
            <w:r>
              <w:rPr>
                <w:rFonts w:ascii="Arial" w:hAnsi="Arial" w:eastAsia="Arial"/>
                <w:b w:val="0"/>
                <w:color w:val="1F2937"/>
                <w:sz w:val="18"/>
              </w:rPr>
              <w:t>SSO, RBAC, Key Vault, auditoría</w:t>
            </w:r>
          </w:p>
        </w:tc>
      </w:tr>
      <w:tr>
        <w:tc>
          <w:tcPr>
            <w:tcW w:type="dxa" w:w="2448"/>
            <w:vAlign w:val="center"/>
            <w:shd w:fill="ECFDF5"/>
          </w:tcPr>
          <w:p>
            <w:pPr>
              <w:jc w:val="left"/>
            </w:pPr>
            <w:r/>
            <w:r>
              <w:rPr>
                <w:rFonts w:ascii="Arial" w:hAnsi="Arial" w:eastAsia="Arial"/>
                <w:b w:val="0"/>
                <w:color w:val="1F2937"/>
                <w:sz w:val="18"/>
              </w:rPr>
              <w:t>Frontend</w:t>
            </w:r>
          </w:p>
        </w:tc>
        <w:tc>
          <w:tcPr>
            <w:tcW w:type="dxa" w:w="3168"/>
            <w:vAlign w:val="center"/>
          </w:tcPr>
          <w:p>
            <w:pPr>
              <w:jc w:val="left"/>
            </w:pPr>
            <w:r/>
            <w:r>
              <w:rPr>
                <w:rFonts w:ascii="Arial" w:hAnsi="Arial" w:eastAsia="Arial"/>
                <w:b w:val="0"/>
                <w:color w:val="1F2937"/>
                <w:sz w:val="18"/>
              </w:rPr>
              <w:t>HTML/React</w:t>
            </w:r>
          </w:p>
        </w:tc>
        <w:tc>
          <w:tcPr>
            <w:tcW w:type="dxa" w:w="4464"/>
            <w:vAlign w:val="center"/>
          </w:tcPr>
          <w:p>
            <w:pPr>
              <w:jc w:val="left"/>
            </w:pPr>
            <w:r/>
            <w:r>
              <w:rPr>
                <w:rFonts w:ascii="Arial" w:hAnsi="Arial" w:eastAsia="Arial"/>
                <w:b w:val="0"/>
                <w:color w:val="1F2937"/>
                <w:sz w:val="18"/>
              </w:rPr>
              <w:t>React/Vite con despliegue cloud y autenticación</w:t>
            </w:r>
          </w:p>
        </w:tc>
      </w:tr>
      <w:tr>
        <w:tc>
          <w:tcPr>
            <w:tcW w:type="dxa" w:w="2448"/>
            <w:vAlign w:val="center"/>
            <w:shd w:fill="ECFDF5"/>
          </w:tcPr>
          <w:p>
            <w:pPr>
              <w:jc w:val="left"/>
            </w:pPr>
            <w:r/>
            <w:r>
              <w:rPr>
                <w:rFonts w:ascii="Arial" w:hAnsi="Arial" w:eastAsia="Arial"/>
                <w:b w:val="0"/>
                <w:color w:val="1F2937"/>
                <w:sz w:val="18"/>
              </w:rPr>
              <w:t>Monitoreo</w:t>
            </w:r>
          </w:p>
        </w:tc>
        <w:tc>
          <w:tcPr>
            <w:tcW w:type="dxa" w:w="3168"/>
            <w:vAlign w:val="center"/>
          </w:tcPr>
          <w:p>
            <w:pPr>
              <w:jc w:val="left"/>
            </w:pPr>
            <w:r/>
            <w:r>
              <w:rPr>
                <w:rFonts w:ascii="Arial" w:hAnsi="Arial" w:eastAsia="Arial"/>
                <w:b w:val="0"/>
                <w:color w:val="1F2937"/>
                <w:sz w:val="18"/>
              </w:rPr>
              <w:t>Logs locales</w:t>
            </w:r>
          </w:p>
        </w:tc>
        <w:tc>
          <w:tcPr>
            <w:tcW w:type="dxa" w:w="4464"/>
            <w:vAlign w:val="center"/>
          </w:tcPr>
          <w:p>
            <w:pPr>
              <w:jc w:val="left"/>
            </w:pPr>
            <w:r/>
            <w:r>
              <w:rPr>
                <w:rFonts w:ascii="Arial" w:hAnsi="Arial" w:eastAsia="Arial"/>
                <w:b w:val="0"/>
                <w:color w:val="1F2937"/>
                <w:sz w:val="18"/>
              </w:rPr>
              <w:t>Application Insights, Databricks monitoring, dashboards operativos</w:t>
            </w:r>
          </w:p>
        </w:tc>
      </w:tr>
    </w:tbl>
    <w:p/>
    <w:p>
      <w:pPr>
        <w:pStyle w:val="Heading1"/>
      </w:pPr>
      <w:r>
        <w:t>14. Cómo proteger el moat desde el inicio</w:t>
      </w:r>
    </w:p>
    <w:p>
      <w:pPr>
        <w:pStyle w:val="ListBullet"/>
        <w:spacing w:after="20"/>
      </w:pPr>
      <w:r>
        <w:t>Documentar cada mapping realizado por cliente para convertirlo en plantilla reusable.</w:t>
      </w:r>
    </w:p>
    <w:p>
      <w:pPr>
        <w:pStyle w:val="ListBullet"/>
        <w:spacing w:after="20"/>
      </w:pPr>
      <w:r>
        <w:t>Guardar todas las reglas de negocio en configuración, no quemadas en código.</w:t>
      </w:r>
    </w:p>
    <w:p>
      <w:pPr>
        <w:pStyle w:val="ListBullet"/>
        <w:spacing w:after="20"/>
      </w:pPr>
      <w:r>
        <w:t>Registrar preguntas frecuentes reales y convertirlas en intents del orquestador.</w:t>
      </w:r>
    </w:p>
    <w:p>
      <w:pPr>
        <w:pStyle w:val="ListBullet"/>
        <w:spacing w:after="20"/>
      </w:pPr>
      <w:r>
        <w:t>Crear una librería de vistas Gold estándar y no modificarla por cliente salvo que sea necesario.</w:t>
      </w:r>
    </w:p>
    <w:p>
      <w:pPr>
        <w:pStyle w:val="ListBullet"/>
        <w:spacing w:after="20"/>
      </w:pPr>
      <w:r>
        <w:t>Separar claramente core framework de customizaciones.</w:t>
      </w:r>
    </w:p>
    <w:p>
      <w:pPr>
        <w:pStyle w:val="ListBullet"/>
        <w:spacing w:after="20"/>
      </w:pPr>
      <w:r>
        <w:t>Diseñar métricas para medir tiempo de implementación por cliente y buscar reducirlo.</w:t>
      </w:r>
    </w:p>
    <w:p>
      <w:pPr>
        <w:pStyle w:val="ListBullet"/>
        <w:spacing w:after="20"/>
      </w:pPr>
      <w:r>
        <w:t>Recolectar retroalimentación de usuarios para mejorar prompts, reglas y respuestas.</w:t>
      </w:r>
    </w:p>
    <w:p>
      <w:pPr>
        <w:pStyle w:val="ListBullet"/>
        <w:spacing w:after="20"/>
      </w:pPr>
      <w:r>
        <w:t>Construir benchmark anonimizado solo cuando existan suficientes clientes y permisos contractuales adecuados.</w:t>
      </w:r>
    </w:p>
    <w:p>
      <w:pPr>
        <w:pStyle w:val="Heading1"/>
      </w:pPr>
      <w:r>
        <w:t>15. Checklist de revisión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766E"/>
          </w:tcPr>
          <w:p>
            <w:pPr>
              <w:jc w:val="left"/>
            </w:pPr>
            <w:r/>
            <w:r>
              <w:rPr>
                <w:rFonts w:ascii="Arial" w:hAnsi="Arial" w:eastAsia="Arial"/>
                <w:b/>
                <w:color w:val="FFFFFF"/>
                <w:sz w:val="18"/>
              </w:rPr>
              <w:t>Pregunta</w:t>
            </w:r>
          </w:p>
        </w:tc>
        <w:tc>
          <w:tcPr>
            <w:tcW w:type="dxa" w:w="5040"/>
            <w:vAlign w:val="center"/>
            <w:shd w:fill="0F766E"/>
          </w:tcPr>
          <w:p>
            <w:pPr>
              <w:jc w:val="left"/>
            </w:pPr>
            <w:r/>
            <w:r>
              <w:rPr>
                <w:rFonts w:ascii="Arial" w:hAnsi="Arial" w:eastAsia="Arial"/>
                <w:b/>
                <w:color w:val="FFFFFF"/>
                <w:sz w:val="18"/>
              </w:rPr>
              <w:t>Respuesta esperada</w:t>
            </w:r>
          </w:p>
        </w:tc>
      </w:tr>
      <w:tr>
        <w:tc>
          <w:tcPr>
            <w:tcW w:type="dxa" w:w="5040"/>
            <w:vAlign w:val="center"/>
            <w:shd w:fill="ECFDF5"/>
          </w:tcPr>
          <w:p>
            <w:pPr>
              <w:jc w:val="left"/>
            </w:pPr>
            <w:r/>
            <w:r>
              <w:rPr>
                <w:rFonts w:ascii="Arial" w:hAnsi="Arial" w:eastAsia="Arial"/>
                <w:b w:val="0"/>
                <w:color w:val="1F2937"/>
                <w:sz w:val="18"/>
              </w:rPr>
              <w:t>¿El módulo se puede reutilizar en otro cliente?</w:t>
            </w:r>
          </w:p>
        </w:tc>
        <w:tc>
          <w:tcPr>
            <w:tcW w:type="dxa" w:w="5040"/>
            <w:vAlign w:val="center"/>
          </w:tcPr>
          <w:p>
            <w:pPr>
              <w:jc w:val="left"/>
            </w:pPr>
            <w:r/>
            <w:r>
              <w:rPr>
                <w:rFonts w:ascii="Arial" w:hAnsi="Arial" w:eastAsia="Arial"/>
                <w:b w:val="0"/>
                <w:color w:val="1F2937"/>
                <w:sz w:val="18"/>
              </w:rPr>
              <w:t>Sí, con cambios de configuración o mapping.</w:t>
            </w:r>
          </w:p>
        </w:tc>
      </w:tr>
      <w:tr>
        <w:tc>
          <w:tcPr>
            <w:tcW w:type="dxa" w:w="5040"/>
            <w:vAlign w:val="center"/>
            <w:shd w:fill="ECFDF5"/>
          </w:tcPr>
          <w:p>
            <w:pPr>
              <w:jc w:val="left"/>
            </w:pPr>
            <w:r/>
            <w:r>
              <w:rPr>
                <w:rFonts w:ascii="Arial" w:hAnsi="Arial" w:eastAsia="Arial"/>
                <w:b w:val="0"/>
                <w:color w:val="1F2937"/>
                <w:sz w:val="18"/>
              </w:rPr>
              <w:t>¿La lógica está quemada en código o parametrizada?</w:t>
            </w:r>
          </w:p>
        </w:tc>
        <w:tc>
          <w:tcPr>
            <w:tcW w:type="dxa" w:w="5040"/>
            <w:vAlign w:val="center"/>
          </w:tcPr>
          <w:p>
            <w:pPr>
              <w:jc w:val="left"/>
            </w:pPr>
            <w:r/>
            <w:r>
              <w:rPr>
                <w:rFonts w:ascii="Arial" w:hAnsi="Arial" w:eastAsia="Arial"/>
                <w:b w:val="0"/>
                <w:color w:val="1F2937"/>
                <w:sz w:val="18"/>
              </w:rPr>
              <w:t>Debe estar parametrizada cuando sea regla de cliente.</w:t>
            </w:r>
          </w:p>
        </w:tc>
      </w:tr>
      <w:tr>
        <w:tc>
          <w:tcPr>
            <w:tcW w:type="dxa" w:w="5040"/>
            <w:vAlign w:val="center"/>
            <w:shd w:fill="ECFDF5"/>
          </w:tcPr>
          <w:p>
            <w:pPr>
              <w:jc w:val="left"/>
            </w:pPr>
            <w:r/>
            <w:r>
              <w:rPr>
                <w:rFonts w:ascii="Arial" w:hAnsi="Arial" w:eastAsia="Arial"/>
                <w:b w:val="0"/>
                <w:color w:val="1F2937"/>
                <w:sz w:val="18"/>
              </w:rPr>
              <w:t>¿La fuente de datos se puede mapear al modelo canónico?</w:t>
            </w:r>
          </w:p>
        </w:tc>
        <w:tc>
          <w:tcPr>
            <w:tcW w:type="dxa" w:w="5040"/>
            <w:vAlign w:val="center"/>
          </w:tcPr>
          <w:p>
            <w:pPr>
              <w:jc w:val="left"/>
            </w:pPr>
            <w:r/>
            <w:r>
              <w:rPr>
                <w:rFonts w:ascii="Arial" w:hAnsi="Arial" w:eastAsia="Arial"/>
                <w:b w:val="0"/>
                <w:color w:val="1F2937"/>
                <w:sz w:val="18"/>
              </w:rPr>
              <w:t>Debe existir mapping documentado.</w:t>
            </w:r>
          </w:p>
        </w:tc>
      </w:tr>
      <w:tr>
        <w:tc>
          <w:tcPr>
            <w:tcW w:type="dxa" w:w="5040"/>
            <w:vAlign w:val="center"/>
            <w:shd w:fill="ECFDF5"/>
          </w:tcPr>
          <w:p>
            <w:pPr>
              <w:jc w:val="left"/>
            </w:pPr>
            <w:r/>
            <w:r>
              <w:rPr>
                <w:rFonts w:ascii="Arial" w:hAnsi="Arial" w:eastAsia="Arial"/>
                <w:b w:val="0"/>
                <w:color w:val="1F2937"/>
                <w:sz w:val="18"/>
              </w:rPr>
              <w:t>¿La respuesta del copiloto indica fuente o evidencia?</w:t>
            </w:r>
          </w:p>
        </w:tc>
        <w:tc>
          <w:tcPr>
            <w:tcW w:type="dxa" w:w="5040"/>
            <w:vAlign w:val="center"/>
          </w:tcPr>
          <w:p>
            <w:pPr>
              <w:jc w:val="left"/>
            </w:pPr>
            <w:r/>
            <w:r>
              <w:rPr>
                <w:rFonts w:ascii="Arial" w:hAnsi="Arial" w:eastAsia="Arial"/>
                <w:b w:val="0"/>
                <w:color w:val="1F2937"/>
                <w:sz w:val="18"/>
              </w:rPr>
              <w:t>Sí, desde SQL, RAG o ambos.</w:t>
            </w:r>
          </w:p>
        </w:tc>
      </w:tr>
      <w:tr>
        <w:tc>
          <w:tcPr>
            <w:tcW w:type="dxa" w:w="5040"/>
            <w:vAlign w:val="center"/>
            <w:shd w:fill="ECFDF5"/>
          </w:tcPr>
          <w:p>
            <w:pPr>
              <w:jc w:val="left"/>
            </w:pPr>
            <w:r/>
            <w:r>
              <w:rPr>
                <w:rFonts w:ascii="Arial" w:hAnsi="Arial" w:eastAsia="Arial"/>
                <w:b w:val="0"/>
                <w:color w:val="1F2937"/>
                <w:sz w:val="18"/>
              </w:rPr>
              <w:t>¿El orquestador decide SQL/RAG/híbrido?</w:t>
            </w:r>
          </w:p>
        </w:tc>
        <w:tc>
          <w:tcPr>
            <w:tcW w:type="dxa" w:w="5040"/>
            <w:vAlign w:val="center"/>
          </w:tcPr>
          <w:p>
            <w:pPr>
              <w:jc w:val="left"/>
            </w:pPr>
            <w:r/>
            <w:r>
              <w:rPr>
                <w:rFonts w:ascii="Arial" w:hAnsi="Arial" w:eastAsia="Arial"/>
                <w:b w:val="0"/>
                <w:color w:val="1F2937"/>
                <w:sz w:val="18"/>
              </w:rPr>
              <w:t>Sí, según intención y contexto.</w:t>
            </w:r>
          </w:p>
        </w:tc>
      </w:tr>
      <w:tr>
        <w:tc>
          <w:tcPr>
            <w:tcW w:type="dxa" w:w="5040"/>
            <w:vAlign w:val="center"/>
            <w:shd w:fill="ECFDF5"/>
          </w:tcPr>
          <w:p>
            <w:pPr>
              <w:jc w:val="left"/>
            </w:pPr>
            <w:r/>
            <w:r>
              <w:rPr>
                <w:rFonts w:ascii="Arial" w:hAnsi="Arial" w:eastAsia="Arial"/>
                <w:b w:val="0"/>
                <w:color w:val="1F2937"/>
                <w:sz w:val="18"/>
              </w:rPr>
              <w:t>¿El dashboard depende del cliente o del framework?</w:t>
            </w:r>
          </w:p>
        </w:tc>
        <w:tc>
          <w:tcPr>
            <w:tcW w:type="dxa" w:w="5040"/>
            <w:vAlign w:val="center"/>
          </w:tcPr>
          <w:p>
            <w:pPr>
              <w:jc w:val="left"/>
            </w:pPr>
            <w:r/>
            <w:r>
              <w:rPr>
                <w:rFonts w:ascii="Arial" w:hAnsi="Arial" w:eastAsia="Arial"/>
                <w:b w:val="0"/>
                <w:color w:val="1F2937"/>
                <w:sz w:val="18"/>
              </w:rPr>
              <w:t>Debe depender del framework y recibir configuración del cliente.</w:t>
            </w:r>
          </w:p>
        </w:tc>
      </w:tr>
      <w:tr>
        <w:tc>
          <w:tcPr>
            <w:tcW w:type="dxa" w:w="5040"/>
            <w:vAlign w:val="center"/>
            <w:shd w:fill="ECFDF5"/>
          </w:tcPr>
          <w:p>
            <w:pPr>
              <w:jc w:val="left"/>
            </w:pPr>
            <w:r/>
            <w:r>
              <w:rPr>
                <w:rFonts w:ascii="Arial" w:hAnsi="Arial" w:eastAsia="Arial"/>
                <w:b w:val="0"/>
                <w:color w:val="1F2937"/>
                <w:sz w:val="18"/>
              </w:rPr>
              <w:t>¿Estamos creando un activo reusable?</w:t>
            </w:r>
          </w:p>
        </w:tc>
        <w:tc>
          <w:tcPr>
            <w:tcW w:type="dxa" w:w="5040"/>
            <w:vAlign w:val="center"/>
          </w:tcPr>
          <w:p>
            <w:pPr>
              <w:jc w:val="left"/>
            </w:pPr>
            <w:r/>
            <w:r>
              <w:rPr>
                <w:rFonts w:ascii="Arial" w:hAnsi="Arial" w:eastAsia="Arial"/>
                <w:b w:val="0"/>
                <w:color w:val="1F2937"/>
                <w:sz w:val="18"/>
              </w:rPr>
              <w:t>Sí; si no, debe justificarse como personalización.</w:t>
            </w:r>
          </w:p>
        </w:tc>
      </w:tr>
    </w:tbl>
    <w:p/>
    <w:p>
      <w:pPr>
        <w:pStyle w:val="Heading1"/>
      </w:pPr>
      <w:r>
        <w:t>16. Conclusión</w:t>
      </w:r>
    </w:p>
    <w:p>
      <w:r>
        <w:t>GuruMaster debe ser diseñado como un framework replicable, no como una suma de implementaciones aisladas. Las tecnologías base son necesarias, pero no son el moat principal. El moat debe construirse alrededor de la capacidad de orquestar datos, documentos y reglas de negocio en respuestas útiles, configurables y repetibles para múltiples empresas de transporte.</w:t>
      </w:r>
    </w:p>
    <w:tbl>
      <w:tblPr>
        <w:tblStyle w:val="TableGrid"/>
        <w:tblW w:type="auto" w:w="0"/>
        <w:tblLook w:firstColumn="1" w:firstRow="1" w:lastColumn="0" w:lastRow="0" w:noHBand="0" w:noVBand="1" w:val="04A0"/>
      </w:tblPr>
      <w:tblGrid>
        <w:gridCol w:w="10080"/>
      </w:tblGrid>
      <w:tr>
        <w:tc>
          <w:tcPr>
            <w:tcW w:type="dxa" w:w="10080"/>
            <w:shd w:fill="ECFDF5"/>
          </w:tcPr>
          <w:p>
            <w:r>
              <w:rPr>
                <w:b/>
                <w:color w:val="0C4A6E"/>
                <w:sz w:val="20"/>
              </w:rPr>
              <w:t>Definición recomendada</w:t>
            </w:r>
          </w:p>
          <w:p>
            <w:pPr>
              <w:spacing w:after="0"/>
            </w:pPr>
            <w:r>
              <w:rPr>
                <w:sz w:val="18"/>
              </w:rPr>
              <w:t>GuruMaster es un framework replicable de Data + AI para transporte de carga que estandariza datos, documentos y reglas de negocio para activar copilotos inteligentes configurables por cliente.</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GuruMaster Carga Colombia - Framework Replicable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40A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16"/>
    </w:pPr>
    <w:rPr>
      <w:rFonts w:ascii="Courier New" w:hAnsi="Courier New" w:eastAsia="Courier New"/>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