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the</w:t>
      </w:r>
      <w:r>
        <w:t xml:space="preserve"> </w:t>
      </w:r>
      <w:r>
        <w:t xml:space="preserve">EU</w:t>
      </w:r>
      <w:r>
        <w:t xml:space="preserve"> </w:t>
      </w:r>
      <w:r>
        <w:t xml:space="preserve">Rule</w:t>
      </w:r>
      <w:r>
        <w:t xml:space="preserve"> </w:t>
      </w:r>
      <w:r>
        <w:t xml:space="preserve">of</w:t>
      </w:r>
      <w:r>
        <w:t xml:space="preserve"> </w:t>
      </w:r>
      <w:r>
        <w:t xml:space="preserve">Law</w:t>
      </w:r>
      <w:r>
        <w:t xml:space="preserve"> </w:t>
      </w:r>
      <w:r>
        <w:t xml:space="preserve">Tracker</w:t>
      </w:r>
    </w:p>
    <w:p>
      <w:pPr>
        <w:pStyle w:val="Author"/>
      </w:pPr>
      <w:r>
        <w:t xml:space="preserve">Carlos</w:t>
      </w:r>
      <w:r>
        <w:t xml:space="preserve"> </w:t>
      </w:r>
      <w:r>
        <w:t xml:space="preserve">A.</w:t>
      </w:r>
      <w:r>
        <w:t xml:space="preserve"> </w:t>
      </w:r>
      <w:r>
        <w:t xml:space="preserve">Toruño</w:t>
      </w:r>
      <w:r>
        <w:t xml:space="preserve"> </w:t>
      </w:r>
      <w:r>
        <w:t xml:space="preserve">Paniagua</w:t>
      </w:r>
    </w:p>
    <w:p>
      <w:pPr>
        <w:pStyle w:val="Date"/>
      </w:pPr>
      <w:r>
        <w:t xml:space="preserve">2024-09-09</w:t>
      </w:r>
    </w:p>
    <w:p>
      <w:pPr>
        <w:pStyle w:val="AbstractTitle"/>
      </w:pPr>
      <w:r>
        <w:t xml:space="preserve">Abstract</w:t>
      </w:r>
    </w:p>
    <w:p>
      <w:pPr>
        <w:pStyle w:val="Abstract"/>
      </w:pPr>
      <w:r>
        <w:t xml:space="preserve">This</w:t>
      </w:r>
      <w:r>
        <w:t xml:space="preserve"> </w:t>
      </w:r>
      <w:r>
        <w:t xml:space="preserve">paper</w:t>
      </w:r>
      <w:r>
        <w:t xml:space="preserve"> </w:t>
      </w:r>
      <w:r>
        <w:t xml:space="preserve">introduces</w:t>
      </w:r>
      <w:r>
        <w:t xml:space="preserve"> </w:t>
      </w:r>
      <w:r>
        <w:t xml:space="preserve">the</w:t>
      </w:r>
      <w:r>
        <w:t xml:space="preserve"> </w:t>
      </w:r>
      <w:r>
        <w:t xml:space="preserve">EU</w:t>
      </w:r>
      <w:r>
        <w:t xml:space="preserve"> </w:t>
      </w:r>
      <w:r>
        <w:t xml:space="preserve">Rule</w:t>
      </w:r>
      <w:r>
        <w:t xml:space="preserve"> </w:t>
      </w:r>
      <w:r>
        <w:t xml:space="preserve">of</w:t>
      </w:r>
      <w:r>
        <w:t xml:space="preserve"> </w:t>
      </w:r>
      <w:r>
        <w:t xml:space="preserve">Law</w:t>
      </w:r>
      <w:r>
        <w:t xml:space="preserve"> </w:t>
      </w:r>
      <w:r>
        <w:t xml:space="preserve">Tracker,</w:t>
      </w:r>
      <w:r>
        <w:t xml:space="preserve"> </w:t>
      </w:r>
      <w:r>
        <w:t xml:space="preserve">a</w:t>
      </w:r>
      <w:r>
        <w:t xml:space="preserve"> </w:t>
      </w:r>
      <w:r>
        <w:t xml:space="preserve">project</w:t>
      </w:r>
      <w:r>
        <w:t xml:space="preserve"> </w:t>
      </w:r>
      <w:r>
        <w:t xml:space="preserve">aimed</w:t>
      </w:r>
      <w:r>
        <w:t xml:space="preserve"> </w:t>
      </w:r>
      <w:r>
        <w:t xml:space="preserve">at</w:t>
      </w:r>
      <w:r>
        <w:t xml:space="preserve"> </w:t>
      </w:r>
      <w:r>
        <w:t xml:space="preserve">systematically</w:t>
      </w:r>
      <w:r>
        <w:t xml:space="preserve"> </w:t>
      </w:r>
      <w:r>
        <w:t xml:space="preserve">tracking,</w:t>
      </w:r>
      <w:r>
        <w:t xml:space="preserve"> </w:t>
      </w:r>
      <w:r>
        <w:t xml:space="preserve">classifying,</w:t>
      </w:r>
      <w:r>
        <w:t xml:space="preserve"> </w:t>
      </w:r>
      <w:r>
        <w:t xml:space="preserve">and</w:t>
      </w:r>
      <w:r>
        <w:t xml:space="preserve"> </w:t>
      </w:r>
      <w:r>
        <w:t xml:space="preserve">analyzing</w:t>
      </w:r>
      <w:r>
        <w:t xml:space="preserve"> </w:t>
      </w:r>
      <w:r>
        <w:t xml:space="preserve">social</w:t>
      </w:r>
      <w:r>
        <w:t xml:space="preserve"> </w:t>
      </w:r>
      <w:r>
        <w:t xml:space="preserve">and</w:t>
      </w:r>
      <w:r>
        <w:t xml:space="preserve"> </w:t>
      </w:r>
      <w:r>
        <w:t xml:space="preserve">political</w:t>
      </w:r>
      <w:r>
        <w:t xml:space="preserve"> </w:t>
      </w:r>
      <w:r>
        <w:t xml:space="preserve">events</w:t>
      </w:r>
      <w:r>
        <w:t xml:space="preserve"> </w:t>
      </w:r>
      <w:r>
        <w:t xml:space="preserve">related</w:t>
      </w:r>
      <w:r>
        <w:t xml:space="preserve"> </w:t>
      </w:r>
      <w:r>
        <w:t xml:space="preserve">to</w:t>
      </w:r>
      <w:r>
        <w:t xml:space="preserve"> </w:t>
      </w:r>
      <w:r>
        <w:t xml:space="preserve">the</w:t>
      </w:r>
      <w:r>
        <w:t xml:space="preserve"> </w:t>
      </w:r>
      <w:r>
        <w:t xml:space="preserve">rule</w:t>
      </w:r>
      <w:r>
        <w:t xml:space="preserve"> </w:t>
      </w:r>
      <w:r>
        <w:t xml:space="preserve">of</w:t>
      </w:r>
      <w:r>
        <w:t xml:space="preserve"> </w:t>
      </w:r>
      <w:r>
        <w:t xml:space="preserve">law</w:t>
      </w:r>
      <w:r>
        <w:t xml:space="preserve"> </w:t>
      </w:r>
      <w:r>
        <w:t xml:space="preserve">across</w:t>
      </w:r>
      <w:r>
        <w:t xml:space="preserve"> </w:t>
      </w:r>
      <w:r>
        <w:t xml:space="preserve">the</w:t>
      </w:r>
      <w:r>
        <w:t xml:space="preserve"> </w:t>
      </w:r>
      <w:r>
        <w:t xml:space="preserve">27</w:t>
      </w:r>
      <w:r>
        <w:t xml:space="preserve"> </w:t>
      </w:r>
      <w:r>
        <w:t xml:space="preserve">member</w:t>
      </w:r>
      <w:r>
        <w:t xml:space="preserve"> </w:t>
      </w:r>
      <w:r>
        <w:t xml:space="preserve">states</w:t>
      </w:r>
      <w:r>
        <w:t xml:space="preserve"> </w:t>
      </w:r>
      <w:r>
        <w:t xml:space="preserve">of</w:t>
      </w:r>
      <w:r>
        <w:t xml:space="preserve"> </w:t>
      </w:r>
      <w:r>
        <w:t xml:space="preserve">the</w:t>
      </w:r>
      <w:r>
        <w:t xml:space="preserve"> </w:t>
      </w:r>
      <w:r>
        <w:t xml:space="preserve">European</w:t>
      </w:r>
      <w:r>
        <w:t xml:space="preserve"> </w:t>
      </w:r>
      <w:r>
        <w:t xml:space="preserve">Union.</w:t>
      </w:r>
      <w:r>
        <w:t xml:space="preserve"> </w:t>
      </w:r>
      <w:r>
        <w:t xml:space="preserve">While</w:t>
      </w:r>
      <w:r>
        <w:t xml:space="preserve"> </w:t>
      </w:r>
      <w:r>
        <w:t xml:space="preserve">existing</w:t>
      </w:r>
      <w:r>
        <w:t xml:space="preserve"> </w:t>
      </w:r>
      <w:r>
        <w:t xml:space="preserve">indices,</w:t>
      </w:r>
      <w:r>
        <w:t xml:space="preserve"> </w:t>
      </w:r>
      <w:r>
        <w:t xml:space="preserve">such</w:t>
      </w:r>
      <w:r>
        <w:t xml:space="preserve"> </w:t>
      </w:r>
      <w:r>
        <w:t xml:space="preserve">as</w:t>
      </w:r>
      <w:r>
        <w:t xml:space="preserve"> </w:t>
      </w:r>
      <w:r>
        <w:t xml:space="preserve">the</w:t>
      </w:r>
      <w:r>
        <w:t xml:space="preserve"> </w:t>
      </w:r>
      <w:r>
        <w:t xml:space="preserve">World</w:t>
      </w:r>
      <w:r>
        <w:t xml:space="preserve"> </w:t>
      </w:r>
      <w:r>
        <w:t xml:space="preserve">Justice</w:t>
      </w:r>
      <w:r>
        <w:t xml:space="preserve"> </w:t>
      </w:r>
      <w:r>
        <w:t xml:space="preserve">Project’s</w:t>
      </w:r>
      <w:r>
        <w:t xml:space="preserve"> </w:t>
      </w:r>
      <w:r>
        <w:t xml:space="preserve">Rule</w:t>
      </w:r>
      <w:r>
        <w:t xml:space="preserve"> </w:t>
      </w:r>
      <w:r>
        <w:t xml:space="preserve">of</w:t>
      </w:r>
      <w:r>
        <w:t xml:space="preserve"> </w:t>
      </w:r>
      <w:r>
        <w:t xml:space="preserve">Law</w:t>
      </w:r>
      <w:r>
        <w:t xml:space="preserve"> </w:t>
      </w:r>
      <w:r>
        <w:t xml:space="preserve">Index,</w:t>
      </w:r>
      <w:r>
        <w:t xml:space="preserve"> </w:t>
      </w:r>
      <w:r>
        <w:t xml:space="preserve">rely</w:t>
      </w:r>
      <w:r>
        <w:t xml:space="preserve"> </w:t>
      </w:r>
      <w:r>
        <w:t xml:space="preserve">on</w:t>
      </w:r>
      <w:r>
        <w:t xml:space="preserve"> </w:t>
      </w:r>
      <w:r>
        <w:t xml:space="preserve">expert</w:t>
      </w:r>
      <w:r>
        <w:t xml:space="preserve"> </w:t>
      </w:r>
      <w:r>
        <w:t xml:space="preserve">assessments</w:t>
      </w:r>
      <w:r>
        <w:t xml:space="preserve"> </w:t>
      </w:r>
      <w:r>
        <w:t xml:space="preserve">and</w:t>
      </w:r>
      <w:r>
        <w:t xml:space="preserve"> </w:t>
      </w:r>
      <w:r>
        <w:t xml:space="preserve">public</w:t>
      </w:r>
      <w:r>
        <w:t xml:space="preserve"> </w:t>
      </w:r>
      <w:r>
        <w:t xml:space="preserve">perceptions</w:t>
      </w:r>
      <w:r>
        <w:t xml:space="preserve"> </w:t>
      </w:r>
      <w:r>
        <w:t xml:space="preserve">to</w:t>
      </w:r>
      <w:r>
        <w:t xml:space="preserve"> </w:t>
      </w:r>
      <w:r>
        <w:t xml:space="preserve">evaluate</w:t>
      </w:r>
      <w:r>
        <w:t xml:space="preserve"> </w:t>
      </w:r>
      <w:r>
        <w:t xml:space="preserve">key</w:t>
      </w:r>
      <w:r>
        <w:t xml:space="preserve"> </w:t>
      </w:r>
      <w:r>
        <w:t xml:space="preserve">dimensions</w:t>
      </w:r>
      <w:r>
        <w:t xml:space="preserve"> </w:t>
      </w:r>
      <w:r>
        <w:t xml:space="preserve">of</w:t>
      </w:r>
      <w:r>
        <w:t xml:space="preserve"> </w:t>
      </w:r>
      <w:r>
        <w:t xml:space="preserve">the</w:t>
      </w:r>
      <w:r>
        <w:t xml:space="preserve"> </w:t>
      </w:r>
      <w:r>
        <w:t xml:space="preserve">rule</w:t>
      </w:r>
      <w:r>
        <w:t xml:space="preserve"> </w:t>
      </w:r>
      <w:r>
        <w:t xml:space="preserve">of</w:t>
      </w:r>
      <w:r>
        <w:t xml:space="preserve"> </w:t>
      </w:r>
      <w:r>
        <w:t xml:space="preserve">law,</w:t>
      </w:r>
      <w:r>
        <w:t xml:space="preserve"> </w:t>
      </w:r>
      <w:r>
        <w:t xml:space="preserve">they</w:t>
      </w:r>
      <w:r>
        <w:t xml:space="preserve"> </w:t>
      </w:r>
      <w:r>
        <w:t xml:space="preserve">may</w:t>
      </w:r>
      <w:r>
        <w:t xml:space="preserve"> </w:t>
      </w:r>
      <w:r>
        <w:t xml:space="preserve">not</w:t>
      </w:r>
      <w:r>
        <w:t xml:space="preserve"> </w:t>
      </w:r>
      <w:r>
        <w:t xml:space="preserve">fully</w:t>
      </w:r>
      <w:r>
        <w:t xml:space="preserve"> </w:t>
      </w:r>
      <w:r>
        <w:t xml:space="preserve">capture</w:t>
      </w:r>
      <w:r>
        <w:t xml:space="preserve"> </w:t>
      </w:r>
      <w:r>
        <w:t xml:space="preserve">the</w:t>
      </w:r>
      <w:r>
        <w:t xml:space="preserve"> </w:t>
      </w:r>
      <w:r>
        <w:t xml:space="preserve">connection</w:t>
      </w:r>
      <w:r>
        <w:t xml:space="preserve"> </w:t>
      </w:r>
      <w:r>
        <w:t xml:space="preserve">between</w:t>
      </w:r>
      <w:r>
        <w:t xml:space="preserve"> </w:t>
      </w:r>
      <w:r>
        <w:t xml:space="preserve">perceptions</w:t>
      </w:r>
      <w:r>
        <w:t xml:space="preserve"> </w:t>
      </w:r>
      <w:r>
        <w:t xml:space="preserve">and</w:t>
      </w:r>
      <w:r>
        <w:t xml:space="preserve"> </w:t>
      </w:r>
      <w:r>
        <w:t xml:space="preserve">tangible</w:t>
      </w:r>
      <w:r>
        <w:t xml:space="preserve"> </w:t>
      </w:r>
      <w:r>
        <w:t xml:space="preserve">events.</w:t>
      </w:r>
      <w:r>
        <w:t xml:space="preserve"> </w:t>
      </w:r>
      <w:r>
        <w:t xml:space="preserve">Leveraging</w:t>
      </w:r>
      <w:r>
        <w:t xml:space="preserve"> </w:t>
      </w:r>
      <w:r>
        <w:t xml:space="preserve">news</w:t>
      </w:r>
      <w:r>
        <w:t xml:space="preserve"> </w:t>
      </w:r>
      <w:r>
        <w:t xml:space="preserve">archives</w:t>
      </w:r>
      <w:r>
        <w:t xml:space="preserve"> </w:t>
      </w:r>
      <w:r>
        <w:t xml:space="preserve">and</w:t>
      </w:r>
      <w:r>
        <w:t xml:space="preserve"> </w:t>
      </w:r>
      <w:r>
        <w:t xml:space="preserve">advances</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artificial</w:t>
      </w:r>
      <w:r>
        <w:t xml:space="preserve"> </w:t>
      </w:r>
      <w:r>
        <w:t xml:space="preserve">intelligence,</w:t>
      </w:r>
      <w:r>
        <w:t xml:space="preserve"> </w:t>
      </w:r>
      <w:r>
        <w:t xml:space="preserve">particularly</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this</w:t>
      </w:r>
      <w:r>
        <w:t xml:space="preserve"> </w:t>
      </w:r>
      <w:r>
        <w:t xml:space="preserve">initiative</w:t>
      </w:r>
      <w:r>
        <w:t xml:space="preserve"> </w:t>
      </w:r>
      <w:r>
        <w:t xml:space="preserve">seeks</w:t>
      </w:r>
      <w:r>
        <w:t xml:space="preserve"> </w:t>
      </w:r>
      <w:r>
        <w:t xml:space="preserve">to</w:t>
      </w:r>
      <w:r>
        <w:t xml:space="preserve"> </w:t>
      </w:r>
      <w:r>
        <w:t xml:space="preserve">complement</w:t>
      </w:r>
      <w:r>
        <w:t xml:space="preserve"> </w:t>
      </w:r>
      <w:r>
        <w:t xml:space="preserve">perception-based</w:t>
      </w:r>
      <w:r>
        <w:t xml:space="preserve"> </w:t>
      </w:r>
      <w:r>
        <w:t xml:space="preserve">metrics</w:t>
      </w:r>
      <w:r>
        <w:t xml:space="preserve"> </w:t>
      </w:r>
      <w:r>
        <w:t xml:space="preserve">by</w:t>
      </w:r>
      <w:r>
        <w:t xml:space="preserve"> </w:t>
      </w:r>
      <w:r>
        <w:t xml:space="preserve">building</w:t>
      </w:r>
      <w:r>
        <w:t xml:space="preserve"> </w:t>
      </w:r>
      <w:r>
        <w:t xml:space="preserve">a</w:t>
      </w:r>
      <w:r>
        <w:t xml:space="preserve"> </w:t>
      </w:r>
      <w:r>
        <w:t xml:space="preserve">comprehensive</w:t>
      </w:r>
      <w:r>
        <w:t xml:space="preserve"> </w:t>
      </w:r>
      <w:r>
        <w:t xml:space="preserve">event</w:t>
      </w:r>
      <w:r>
        <w:t xml:space="preserve"> </w:t>
      </w:r>
      <w:r>
        <w:t xml:space="preserve">database.</w:t>
      </w:r>
      <w:r>
        <w:t xml:space="preserve"> </w:t>
      </w:r>
      <w:r>
        <w:t xml:space="preserve">This</w:t>
      </w:r>
      <w:r>
        <w:t xml:space="preserve"> </w:t>
      </w:r>
      <w:r>
        <w:t xml:space="preserve">document</w:t>
      </w:r>
      <w:r>
        <w:t xml:space="preserve"> </w:t>
      </w:r>
      <w:r>
        <w:t xml:space="preserve">details</w:t>
      </w:r>
      <w:r>
        <w:t xml:space="preserve"> </w:t>
      </w:r>
      <w:r>
        <w:t xml:space="preserve">the</w:t>
      </w:r>
      <w:r>
        <w:t xml:space="preserve"> </w:t>
      </w:r>
      <w:r>
        <w:t xml:space="preserve">data</w:t>
      </w:r>
      <w:r>
        <w:t xml:space="preserve"> </w:t>
      </w:r>
      <w:r>
        <w:t xml:space="preserve">extraction</w:t>
      </w:r>
      <w:r>
        <w:t xml:space="preserve"> </w:t>
      </w:r>
      <w:r>
        <w:t xml:space="preserve">process,</w:t>
      </w:r>
      <w:r>
        <w:t xml:space="preserve"> </w:t>
      </w:r>
      <w:r>
        <w:t xml:space="preserve">classification</w:t>
      </w:r>
      <w:r>
        <w:t xml:space="preserve"> </w:t>
      </w:r>
      <w:r>
        <w:t xml:space="preserve">methods,</w:t>
      </w:r>
      <w:r>
        <w:t xml:space="preserve"> </w:t>
      </w:r>
      <w:r>
        <w:t xml:space="preserve">use</w:t>
      </w:r>
      <w:r>
        <w:t xml:space="preserve"> </w:t>
      </w:r>
      <w:r>
        <w:t xml:space="preserve">of</w:t>
      </w:r>
      <w:r>
        <w:t xml:space="preserve"> </w:t>
      </w:r>
      <w:r>
        <w:t xml:space="preserve">LLMs</w:t>
      </w:r>
      <w:r>
        <w:t xml:space="preserve"> </w:t>
      </w:r>
      <w:r>
        <w:t xml:space="preserve">for</w:t>
      </w:r>
      <w:r>
        <w:t xml:space="preserve"> </w:t>
      </w:r>
      <w:r>
        <w:t xml:space="preserve">analysis,</w:t>
      </w:r>
      <w:r>
        <w:t xml:space="preserve"> </w:t>
      </w:r>
      <w:r>
        <w:t xml:space="preserve">and</w:t>
      </w:r>
      <w:r>
        <w:t xml:space="preserve"> </w:t>
      </w:r>
      <w:r>
        <w:t xml:space="preserve">future</w:t>
      </w:r>
      <w:r>
        <w:t xml:space="preserve"> </w:t>
      </w:r>
      <w:r>
        <w:t xml:space="preserve">directions</w:t>
      </w:r>
      <w:r>
        <w:t xml:space="preserve"> </w:t>
      </w:r>
      <w:r>
        <w:t xml:space="preserve">for</w:t>
      </w:r>
      <w:r>
        <w:t xml:space="preserve"> </w:t>
      </w:r>
      <w:r>
        <w:t xml:space="preserve">the</w:t>
      </w:r>
      <w:r>
        <w:t xml:space="preserve"> </w:t>
      </w:r>
      <w:r>
        <w:t xml:space="preserve">project</w:t>
      </w:r>
      <w:r>
        <w:t xml:space="preserve"> </w:t>
      </w:r>
      <w:r>
        <w:t xml:space="preserve">…</w:t>
      </w:r>
    </w:p>
    <w:bookmarkStart w:id="23"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six sections. After this brief introduction, we introduced some guidelines on how the extraction and translation of the input data was performed. The third section is focused on the use of LLMs to help us classify the extracted data. The fourth section covers the use of LLMs to help us summarize the information into brief media reports that can complement and facilitate the work of researchers when having to assess changes in people’s perceptions. The fifth section explain the use of some Natural Language Processing (NLP) techniques to get further insights from the final database. Finally, the last section provides some brief overview on the next steps and potential extensions.</w:t>
      </w:r>
    </w:p>
    <w:p>
      <w:pPr>
        <w:pStyle w:val="CaptionedFigure"/>
      </w:pPr>
      <w:r>
        <w:drawing>
          <wp:inline>
            <wp:extent cx="5334000" cy="3353954"/>
            <wp:effectExtent b="0" l="0" r="0" t="0"/>
            <wp:docPr descr="Figure 1: Overview of the Process"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p>
      <w:pPr>
        <w:pStyle w:val="ImageCaption"/>
      </w:pPr>
      <w:r>
        <w:t xml:space="preserve">Figure 1: Overview of the Process</w:t>
      </w:r>
    </w:p>
    <w:bookmarkEnd w:id="23"/>
    <w:bookmarkStart w:id="34" w:name="conceptual-framework"/>
    <w:p>
      <w:pPr>
        <w:pStyle w:val="Heading2"/>
      </w:pPr>
      <w:r>
        <w:t xml:space="preserve">2 Conceptual Framework</w:t>
      </w:r>
    </w:p>
    <w:bookmarkStart w:id="24" w:name="macro-concepts"/>
    <w:p>
      <w:pPr>
        <w:pStyle w:val="Heading3"/>
      </w:pPr>
      <w:r>
        <w:t xml:space="preserve">2.1 Macro-concepts</w:t>
      </w:r>
    </w:p>
    <w:p>
      <w:pPr>
        <w:pStyle w:val="FirstParagraph"/>
      </w:pPr>
      <w:r>
        <w:t xml:space="preserve">The term Rule of Law refers to a system in which law is able to impose meaningful restraints on the state and individual members of the ruling elite. It refers to a governance principle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pPr>
        <w:pStyle w:val="BodyText"/>
      </w:pPr>
      <w:r>
        <w:t xml:space="preserve">We extend this concept further by defining the Rule of Law as a rules-based system in which the following four universal principles are upheld. First, the government and its officials and agents are accountable under the law. Second, the laws are clear, publicized, stable, and fair, and protect fundamental rights, including the security of persons and property. Third, the process by which the laws are enacted, administered, and enforced is accessible, fair, and efficient. Lastly, access to justice is provided by competent, independent, and ethical adjudicators, attorneys or representatives, and judicial officers who are of sufficient number, have adequate resources, and reflect the makeup of the communities they serve.</w:t>
      </w:r>
    </w:p>
    <w:p>
      <w:pPr>
        <w:pStyle w:val="BodyText"/>
      </w:pPr>
      <w:r>
        <w:t xml:space="preserve">Given the previous definitions, we can infer that the Rule of Law is a multidimensional concept that extends over eight basic pillars: limited government powers; absence of corruption; order and security; fundamental rights; open government; effective regulatory enforcement; access to civil justice; and an effective criminal justice.</w:t>
      </w:r>
    </w:p>
    <w:p>
      <w:pPr>
        <w:pStyle w:val="BodyText"/>
      </w:pPr>
      <w:r>
        <w:t xml:space="preserve">From a political science perspective, these factors draw on four basic ideas related to the relationship between the state and the civil society: the checks and balances on the government’s power, the effectiveness of the state in performing its basic functions, participation and collaboration between the state and its citizens, and absence of arbitrary abuse by the authority.</w:t>
      </w:r>
    </w:p>
    <w:p>
      <w:pPr>
        <w:pStyle w:val="BodyText"/>
      </w:pPr>
      <w:r>
        <w:t xml:space="preserve">We define Justice as the ethical, philosophical idea that people are to be treated impartially, fairly, properly, and reasonably by the law and by arbiters of the law, that laws are to ensure that no harm befalls another, and that, where harm is alleged, a remedial action is taken - both the accuser and the accused receive a morally right consequence merited by their actions.</w:t>
      </w:r>
    </w:p>
    <w:p>
      <w:pPr>
        <w:pStyle w:val="BodyText"/>
      </w:pPr>
      <w:r>
        <w:t xml:space="preserve">Justice also refers more specifically to the set of institutions and services that allow for the impartial mediation and adjudication of disputes arising from the violation or conflicting interpretations of laws, including the enforcement of decisions or agreements reached through their operation.</w:t>
      </w:r>
    </w:p>
    <w:p>
      <w:pPr>
        <w:pStyle w:val="BodyText"/>
      </w:pPr>
      <w:r>
        <w:t xml:space="preserve">Finally, we define Governance as the mechanisms, processes, and structures through which public institutions operate and make decisions for the welfare and benefit of their respective communities. This encompasses the way governments and local authorities are organized, how policies are formulated and implemented, how resources are allocated and managed, and how public services are delivered to citizens.</w:t>
      </w:r>
    </w:p>
    <w:bookmarkEnd w:id="24"/>
    <w:bookmarkStart w:id="33" w:name="pillars-of-the-rule-of-law"/>
    <w:p>
      <w:pPr>
        <w:pStyle w:val="Heading3"/>
      </w:pPr>
      <w:r>
        <w:t xml:space="preserve">2.2 Pillars of the rule of law</w:t>
      </w:r>
    </w:p>
    <w:bookmarkStart w:id="25" w:name="constraints-on-government-powers"/>
    <w:p>
      <w:pPr>
        <w:pStyle w:val="Heading4"/>
      </w:pPr>
      <w:r>
        <w:t xml:space="preserve">2.2.1 Constraints on Government Powers</w:t>
      </w:r>
    </w:p>
    <w:p>
      <w:pPr>
        <w:pStyle w:val="FirstParagraph"/>
      </w:pPr>
      <w:r>
        <w:t xml:space="preserve">Measures the extent to which those who govern are bound by law. It comprises the means, both constitutional and institutional, by which the powers of the government and its officials and agents are limited and held accountable under the law. It also includes non-governmental checks on the government’s power, such as a free and independent press. Additionally, it measures the absence of authoritarianism, which includes the accountability of the Chief Executive, and its respect for checks and balances. In more detail, this pillar is related to the following topics:</w:t>
      </w:r>
    </w:p>
    <w:p>
      <w:pPr>
        <w:pStyle w:val="Compact"/>
        <w:numPr>
          <w:ilvl w:val="0"/>
          <w:numId w:val="1001"/>
        </w:numPr>
      </w:pPr>
      <w:r>
        <w:t xml:space="preserve">The active and reactive transparency of legislative bodies (senate, parliament, assemblies), its ability to impose disciplinary measures to government officials, and if there is representation of disadvantaged groups, as well as citizen participation. It also measures if the opposition can express its opinions and if it exercises its functions of overseeing and investigating the government.</w:t>
      </w:r>
    </w:p>
    <w:p>
      <w:pPr>
        <w:pStyle w:val="Compact"/>
        <w:numPr>
          <w:ilvl w:val="0"/>
          <w:numId w:val="1001"/>
        </w:numPr>
      </w:pPr>
      <w:r>
        <w:t xml:space="preserve">The independence of the judiciary, by means of having sufficient resources and professional judges, with adequate rights and competencies, as well as its ability to impose disciplinary measures on government officials.</w:t>
      </w:r>
    </w:p>
    <w:p>
      <w:pPr>
        <w:pStyle w:val="Compact"/>
        <w:numPr>
          <w:ilvl w:val="0"/>
          <w:numId w:val="1001"/>
        </w:numPr>
      </w:pPr>
      <w:r>
        <w:t xml:space="preserve">The independence and effectiveness of oversight institutions, such as the Supreme Audit Institution or comptroller, anticorruption authority, human rights institution, the office of the ombudsman, and prosecution services, as well as if civil servants are free from political pressure, and are effective in implementing public policies.</w:t>
      </w:r>
    </w:p>
    <w:p>
      <w:pPr>
        <w:pStyle w:val="Compact"/>
        <w:numPr>
          <w:ilvl w:val="0"/>
          <w:numId w:val="1001"/>
        </w:numPr>
      </w:pPr>
      <w:r>
        <w:t xml:space="preserve">Whether elections are free of barriers of entry, intimidation, corruption, and criminality, in accordance with the law, with equitable access to resources, free from misinformation, secure from cyberattacks and with protection of personal. It also measures the effectiveness and independence of the electoral authority.</w:t>
      </w:r>
    </w:p>
    <w:p>
      <w:pPr>
        <w:pStyle w:val="Compact"/>
        <w:numPr>
          <w:ilvl w:val="0"/>
          <w:numId w:val="1001"/>
        </w:numPr>
      </w:pPr>
      <w:r>
        <w:t xml:space="preserve">The effectiveness of non-governmental checks on the government’s power, such as the media, CSOs, political parties, activists, and citizens. It includes their effective exercise of the freedoms of assembly, association, opinion, and expression, and the rights to petition and civic engagement.</w:t>
      </w:r>
    </w:p>
    <w:p>
      <w:pPr>
        <w:pStyle w:val="Compact"/>
        <w:numPr>
          <w:ilvl w:val="0"/>
          <w:numId w:val="1001"/>
        </w:numPr>
      </w:pPr>
      <w:r>
        <w:t xml:space="preserve">The accountability of the Chief Executive or the Head of Government, and its respect for the constitutional order, the law-making process, the outcome and quality of elections, civil liberties, political opponents, as well as the independence of the judiciary and oversight institutions. It also measures the likelihood of sanctions to officials for misconduct.</w:t>
      </w:r>
    </w:p>
    <w:p>
      <w:pPr>
        <w:pStyle w:val="Compact"/>
        <w:numPr>
          <w:ilvl w:val="0"/>
          <w:numId w:val="1001"/>
        </w:numPr>
      </w:pPr>
      <w:r>
        <w:t xml:space="preserve">Whether members of the legislature, judiciary, elected leaders or high-ranking government officials, public sector employees, and police officers, who abuse their power are sanctioned for misconduct.</w:t>
      </w:r>
    </w:p>
    <w:bookmarkEnd w:id="25"/>
    <w:bookmarkStart w:id="26" w:name="abscense-of-corruption"/>
    <w:p>
      <w:pPr>
        <w:pStyle w:val="Heading4"/>
      </w:pPr>
      <w:r>
        <w:t xml:space="preserve">2.2.2 Abscense of Corruption</w:t>
      </w:r>
    </w:p>
    <w:p>
      <w:pPr>
        <w:pStyle w:val="FirstParagraph"/>
      </w:pPr>
      <w:r>
        <w:t xml:space="preserve">Measures the control of corruption in various forms: bribery in administrative and political proceedings, graft, embezzlement, fraud, payroll fraud, asset misappropriation and skimming, nepotism, favoritism, patronage, illegal campaign financing, electoral fraud and vote buying. In more detail, this pillar is related to the following topics:</w:t>
      </w:r>
    </w:p>
    <w:p>
      <w:pPr>
        <w:pStyle w:val="Compact"/>
        <w:numPr>
          <w:ilvl w:val="0"/>
          <w:numId w:val="1002"/>
        </w:numPr>
      </w:pPr>
      <w:r>
        <w:t xml:space="preserve">The prevalence of bribery in the delivery of public services and regulations, as well as in the political process.</w:t>
      </w:r>
    </w:p>
    <w:p>
      <w:pPr>
        <w:pStyle w:val="Compact"/>
        <w:numPr>
          <w:ilvl w:val="0"/>
          <w:numId w:val="1002"/>
        </w:numPr>
      </w:pPr>
      <w:r>
        <w:t xml:space="preserve">The prevalence of graft by elected officials, public sector employees, by awarding contracts without competitive bidding processes, exerting influence for their private benefit, and using insider knowledge to profit.</w:t>
      </w:r>
    </w:p>
    <w:p>
      <w:pPr>
        <w:pStyle w:val="Compact"/>
        <w:numPr>
          <w:ilvl w:val="0"/>
          <w:numId w:val="1002"/>
        </w:numPr>
      </w:pPr>
      <w:r>
        <w:t xml:space="preserve">The prevalence of embezzlement or misappropriation of public funds, payroll fraud, asset misappropriation and skimming, as well as of nepotism, favoritism, and patronage.</w:t>
      </w:r>
    </w:p>
    <w:p>
      <w:pPr>
        <w:pStyle w:val="Compact"/>
        <w:numPr>
          <w:ilvl w:val="0"/>
          <w:numId w:val="1002"/>
        </w:numPr>
      </w:pPr>
      <w:r>
        <w:t xml:space="preserve">The prevalence of nepotism and favoritism by elected officials, public sector employees, judges, and prosecutors. It also measures the prevalence of patronage by elected officials.</w:t>
      </w:r>
    </w:p>
    <w:p>
      <w:pPr>
        <w:pStyle w:val="Compact"/>
        <w:numPr>
          <w:ilvl w:val="0"/>
          <w:numId w:val="1002"/>
        </w:numPr>
      </w:pPr>
      <w:r>
        <w:t xml:space="preserve">The prevalence of corruption in elections, including illegal campaign financing, manipulation of elections, and vote buying.</w:t>
      </w:r>
    </w:p>
    <w:bookmarkEnd w:id="26"/>
    <w:bookmarkStart w:id="27" w:name="open-government"/>
    <w:p>
      <w:pPr>
        <w:pStyle w:val="Heading4"/>
      </w:pPr>
      <w:r>
        <w:t xml:space="preserve">2.2.3 Open Government</w:t>
      </w:r>
    </w:p>
    <w:p>
      <w:pPr>
        <w:pStyle w:val="FirstParagraph"/>
      </w:pPr>
      <w:r>
        <w:t xml:space="preserve">Measures the openness of government defined by the extent to which a government shares information, empowers people with tools to hold the government accountable, and fosters citizen participation in public policy deliberations while maintaining an open civic space. This factor measures whether basic laws and information on legal rights are publicized and evaluates the quality of information published by the government. In more detail, this pillar is related to the following topics:</w:t>
      </w:r>
    </w:p>
    <w:p>
      <w:pPr>
        <w:pStyle w:val="Compact"/>
        <w:numPr>
          <w:ilvl w:val="0"/>
          <w:numId w:val="1003"/>
        </w:numPr>
      </w:pPr>
      <w:r>
        <w:t xml:space="preserve">Whether requests for information from the public to government agencies and institutions are granted, and if these requests are granted within a reasonable time period, with complete and pertinent answers, at a reasonable cost and without having to pay a bribe for the information.</w:t>
      </w:r>
    </w:p>
    <w:p>
      <w:pPr>
        <w:pStyle w:val="Compact"/>
        <w:numPr>
          <w:ilvl w:val="0"/>
          <w:numId w:val="1003"/>
        </w:numPr>
      </w:pPr>
      <w:r>
        <w:t xml:space="preserve">Whether people are aware of their right to information, and whether relevant records are accessible to the public upon request.</w:t>
      </w:r>
    </w:p>
    <w:p>
      <w:pPr>
        <w:pStyle w:val="Compact"/>
        <w:numPr>
          <w:ilvl w:val="0"/>
          <w:numId w:val="1003"/>
        </w:numPr>
      </w:pPr>
      <w:r>
        <w:t xml:space="preserve">The effectiveness of non-governmental checks on the government’s power, as well as the openness of the civic space and the extent of citizen participation. It includes the effective exercise of the freedoms of assembly, association, opinion, and expression, and the rights to petition and civic engagement.</w:t>
      </w:r>
    </w:p>
    <w:bookmarkEnd w:id="27"/>
    <w:bookmarkStart w:id="28" w:name="fundamental-rights"/>
    <w:p>
      <w:pPr>
        <w:pStyle w:val="Heading4"/>
      </w:pPr>
      <w:r>
        <w:t xml:space="preserve">2.2.4 Fundamental Rights</w:t>
      </w:r>
    </w:p>
    <w:p>
      <w:pPr>
        <w:pStyle w:val="FirstParagraph"/>
      </w:pPr>
      <w:r>
        <w:t xml:space="preserve">This pillar recognizes that a system of positive law that fails to respect core human rights established under international law is at best</w:t>
      </w:r>
      <w:r>
        <w:t xml:space="preserve"> </w:t>
      </w:r>
      <w:r>
        <w:t xml:space="preserve">“</w:t>
      </w:r>
      <w:r>
        <w:t xml:space="preserve">rule by law,</w:t>
      </w:r>
      <w:r>
        <w:t xml:space="preserve">”</w:t>
      </w:r>
      <w:r>
        <w:t xml:space="preserve"> </w:t>
      </w:r>
      <w:r>
        <w:t xml:space="preserve">and does not</w:t>
      </w:r>
      <w:r>
        <w:t xml:space="preserve"> </w:t>
      </w:r>
      <w:r>
        <w:t xml:space="preserve">deserve to be called a rule of law system. This aspect focuses on rights that are firmly established under the Charter of Fundamental Rights of the European Union, but</w:t>
      </w:r>
      <w:r>
        <w:t xml:space="preserve"> </w:t>
      </w:r>
      <w:r>
        <w:t xml:space="preserve">only includes a relatively small number of rights which are most closely related to rule of law concerns. In more detail, this pillar is related to the following topics:</w:t>
      </w:r>
    </w:p>
    <w:p>
      <w:pPr>
        <w:pStyle w:val="Compact"/>
        <w:numPr>
          <w:ilvl w:val="0"/>
          <w:numId w:val="1004"/>
        </w:numPr>
      </w:pPr>
      <w:r>
        <w:t xml:space="preserve">The protection of rights related to dignity, including the prohibition of torture, slavery and forced labor.</w:t>
      </w:r>
      <w:r>
        <w:br/>
      </w:r>
    </w:p>
    <w:p>
      <w:pPr>
        <w:pStyle w:val="Compact"/>
        <w:numPr>
          <w:ilvl w:val="0"/>
          <w:numId w:val="1004"/>
        </w:numPr>
      </w:pPr>
      <w:r>
        <w:t xml:space="preserve">The protection of rights related to freedom, including freedom of thought, conscience, religion, peaceful assembly, association, opinion, and expression, as well as the right to property and to asylum.</w:t>
      </w:r>
    </w:p>
    <w:p>
      <w:pPr>
        <w:pStyle w:val="Compact"/>
        <w:numPr>
          <w:ilvl w:val="0"/>
          <w:numId w:val="1004"/>
        </w:numPr>
      </w:pPr>
      <w:r>
        <w:t xml:space="preserve">Whether civil society organizations are free to comment on government policies, without fear of retaliation. In addition, it also measures if quarantines and lockdowns are applied proportionately, not discriminatory, with limited duration and in accordance with the law.</w:t>
      </w:r>
    </w:p>
    <w:p>
      <w:pPr>
        <w:pStyle w:val="Compact"/>
        <w:numPr>
          <w:ilvl w:val="0"/>
          <w:numId w:val="1004"/>
        </w:numPr>
      </w:pPr>
      <w:r>
        <w:t xml:space="preserve">Whether independent media, civil society organizations, members of the opposition, opposing factions of the governing party, activists, whistleblowers, and individuals are free to report and comment on government policies, without fear of retaliation.</w:t>
      </w:r>
    </w:p>
    <w:p>
      <w:pPr>
        <w:pStyle w:val="Compact"/>
        <w:numPr>
          <w:ilvl w:val="0"/>
          <w:numId w:val="1004"/>
        </w:numPr>
      </w:pPr>
      <w:r>
        <w:t xml:space="preserve">The extent to which the media publish credible fact-checked information, and if its editorial content is independent from political influences, as well as if it can conduct investigations and expose cases of corruption without facing surveillance, harassment, threats, legal actions, or administrative sanctions.</w:t>
      </w:r>
    </w:p>
    <w:p>
      <w:pPr>
        <w:pStyle w:val="Compact"/>
        <w:numPr>
          <w:ilvl w:val="0"/>
          <w:numId w:val="1004"/>
        </w:numPr>
      </w:pPr>
      <w:r>
        <w:t xml:space="preserve">The extent to which the government allows the formation or operation of CSOs, and the formation or operation of opposition parties.</w:t>
      </w:r>
    </w:p>
    <w:p>
      <w:pPr>
        <w:pStyle w:val="Compact"/>
        <w:numPr>
          <w:ilvl w:val="0"/>
          <w:numId w:val="1004"/>
        </w:numPr>
      </w:pPr>
      <w:r>
        <w:t xml:space="preserve">Whether the government respects the property rights of people and corporations, refrains from the illegal seizure of private property, and provides adequate reasons and compensation when property is legally expropriated. It also measures if the process for transferring a property is simple and quick. In addition, it measures if foreign investors receive fair and equitable treatment from the government, and the effective enforcement of anti-squatting laws and intellectual property rights.</w:t>
      </w:r>
    </w:p>
    <w:p>
      <w:pPr>
        <w:pStyle w:val="Compact"/>
        <w:numPr>
          <w:ilvl w:val="0"/>
          <w:numId w:val="1004"/>
        </w:numPr>
      </w:pPr>
      <w:r>
        <w:t xml:space="preserve">Whether the government respects the right to asylum and refugees can move freely within the host country, have access to legal work and state services such as education, accommodation, meals, healthcare, and cash benefits, as well as legal documentation and economic opportunities.</w:t>
      </w:r>
    </w:p>
    <w:p>
      <w:pPr>
        <w:pStyle w:val="Compact"/>
        <w:numPr>
          <w:ilvl w:val="0"/>
          <w:numId w:val="1004"/>
        </w:numPr>
      </w:pPr>
      <w:r>
        <w:t xml:space="preserve">The protection of rights related to equality, including equality before the law, and absence of discrimination based on socio-economic status, gender, ethnicity, religion, national origin, sexual orientation, or gender identity.</w:t>
      </w:r>
    </w:p>
    <w:p>
      <w:pPr>
        <w:pStyle w:val="Compact"/>
        <w:numPr>
          <w:ilvl w:val="0"/>
          <w:numId w:val="1004"/>
        </w:numPr>
      </w:pPr>
      <w:r>
        <w:t xml:space="preserve">The protection of rights related to solidarity, including labor rights such as workers’ right to information, consultation, collective bargaining, access to placement services, and protection in the event of unjustified dismissal, as well as the prohibition of child labor.</w:t>
      </w:r>
    </w:p>
    <w:p>
      <w:pPr>
        <w:pStyle w:val="Compact"/>
        <w:numPr>
          <w:ilvl w:val="0"/>
          <w:numId w:val="1004"/>
        </w:numPr>
      </w:pPr>
      <w:r>
        <w:t xml:space="preserve">The protection of rights related to citizens´ rights, including political rights such as the right to vote and to stand as a candidate at European Parliament and municipal elections, to information, petition, movement, and of residence.</w:t>
      </w:r>
    </w:p>
    <w:p>
      <w:pPr>
        <w:pStyle w:val="Compact"/>
        <w:numPr>
          <w:ilvl w:val="0"/>
          <w:numId w:val="1004"/>
        </w:numPr>
      </w:pPr>
      <w:r>
        <w:t xml:space="preserve">The protection of rights related to justice, including the right to effective remedy and to a fair trial, presumption of innocence, and to defense, as well as rights of the accused including principles of legality and proportionality of criminal offenses and penalties, and the right not to be tried or punished twice.</w:t>
      </w:r>
    </w:p>
    <w:bookmarkEnd w:id="28"/>
    <w:bookmarkStart w:id="29" w:name="security"/>
    <w:p>
      <w:pPr>
        <w:pStyle w:val="Heading4"/>
      </w:pPr>
      <w:r>
        <w:t xml:space="preserve">2.2.5 Security</w:t>
      </w:r>
    </w:p>
    <w:p>
      <w:pPr>
        <w:pStyle w:val="FirstParagraph"/>
      </w:pPr>
      <w:r>
        <w:t xml:space="preserve">Measures the assurance of the security of persons and property. Security is one of the defining aspects of any rule of law society and is a fundamental function of the state. It is also a precondition for the realization of the rights and freedoms that the rule of law seeks to advance. We are excluding armed conflict from this pillar. In more detail, this pillar is related to the following topics:</w:t>
      </w:r>
    </w:p>
    <w:p>
      <w:pPr>
        <w:pStyle w:val="Compact"/>
        <w:numPr>
          <w:ilvl w:val="0"/>
          <w:numId w:val="1005"/>
        </w:numPr>
      </w:pPr>
      <w:r>
        <w:t xml:space="preserve">The extent to which people feel safe and secure in their city, town, or village, and in their neighborhood.</w:t>
      </w:r>
    </w:p>
    <w:p>
      <w:pPr>
        <w:pStyle w:val="Compact"/>
        <w:numPr>
          <w:ilvl w:val="0"/>
          <w:numId w:val="1005"/>
        </w:numPr>
      </w:pPr>
      <w:r>
        <w:t xml:space="preserve">The extent to which the State is able to keep crime and violence to minimum levels.</w:t>
      </w:r>
    </w:p>
    <w:bookmarkEnd w:id="29"/>
    <w:bookmarkStart w:id="30" w:name="X5a7d65abe24ef3248c32066319cca17299397c7"/>
    <w:p>
      <w:pPr>
        <w:pStyle w:val="Heading4"/>
      </w:pPr>
      <w:r>
        <w:t xml:space="preserve">2.2.6 Regulatory Enforcement and Enabling Business Environment</w:t>
      </w:r>
    </w:p>
    <w:p>
      <w:pPr>
        <w:pStyle w:val="FirstParagraph"/>
      </w:pPr>
      <w:r>
        <w:t xml:space="preserve">Measures the extent to which regulations are fairly and effectively implemented and enforced. Regulations, both legal and administrative, structure behaviors within and outside of the government. This factor does not assess which activities a government chooses to regulate, nor does it consider how much regulation of a particular activity is appropriate. Rather, it examines how regulations are implemented and enforced. In more detail, this pillar is related to the following topics:</w:t>
      </w:r>
    </w:p>
    <w:p>
      <w:pPr>
        <w:pStyle w:val="Compact"/>
        <w:numPr>
          <w:ilvl w:val="0"/>
          <w:numId w:val="1006"/>
        </w:numPr>
      </w:pPr>
      <w:r>
        <w:t xml:space="preserve">The extent to which the legal framework for businesses is clear, accessible, and predictable, as well as the respect for property rights.</w:t>
      </w:r>
    </w:p>
    <w:p>
      <w:pPr>
        <w:pStyle w:val="Compact"/>
        <w:numPr>
          <w:ilvl w:val="0"/>
          <w:numId w:val="1006"/>
        </w:numPr>
      </w:pPr>
      <w:r>
        <w:t xml:space="preserve">Whether the government respects the property rights of people and corporations, refrains from the illegal seizure of private property, and provides adequate reasons and compensation when property is legally expropriated. In addition, it measures if foreign investors receive fair and equitable treatment from the government, and the effective enforcement of anti-squatting laws and intellectual property rights.</w:t>
      </w:r>
    </w:p>
    <w:p>
      <w:pPr>
        <w:pStyle w:val="Compact"/>
        <w:numPr>
          <w:ilvl w:val="0"/>
          <w:numId w:val="1006"/>
        </w:numPr>
      </w:pPr>
      <w:r>
        <w:t xml:space="preserve">Whether the process for transferring a property is simple and quick.</w:t>
      </w:r>
    </w:p>
    <w:p>
      <w:pPr>
        <w:pStyle w:val="Compact"/>
        <w:numPr>
          <w:ilvl w:val="0"/>
          <w:numId w:val="1006"/>
        </w:numPr>
      </w:pPr>
      <w:r>
        <w:t xml:space="preserve">The extent to which the government audits and inspections are conducted in accordance with the law and are free of corruption; if complaint mechanisms are simple, accessible, and cost-effective, and if regulation authorities are impartial, and if they sanction violations.</w:t>
      </w:r>
    </w:p>
    <w:p>
      <w:pPr>
        <w:pStyle w:val="Compact"/>
        <w:numPr>
          <w:ilvl w:val="0"/>
          <w:numId w:val="1006"/>
        </w:numPr>
      </w:pPr>
      <w:r>
        <w:t xml:space="preserve">Whether environmental and labor regulation authorities sanction violations, such as occupational safety and business license or zoning violations.</w:t>
      </w:r>
    </w:p>
    <w:bookmarkEnd w:id="30"/>
    <w:bookmarkStart w:id="31" w:name="civil-justice"/>
    <w:p>
      <w:pPr>
        <w:pStyle w:val="Heading4"/>
      </w:pPr>
      <w:r>
        <w:t xml:space="preserve">2.2.7 Civil Justice</w:t>
      </w:r>
    </w:p>
    <w:p>
      <w:pPr>
        <w:pStyle w:val="FirstParagraph"/>
      </w:pPr>
      <w:r>
        <w:t xml:space="preserve">Measures whether ordinary people can resolve their grievances through formal institutions of justice in a peaceful and effective manner, as well as in accordance with generally accepted social norms rather than resorting to violence or self-help. Access to civil justice requires that the system be accessible, affordable, effective, impartial, and culturally competent. In more detail, this pillar is related to the following topics:</w:t>
      </w:r>
    </w:p>
    <w:p>
      <w:pPr>
        <w:pStyle w:val="Compact"/>
        <w:numPr>
          <w:ilvl w:val="0"/>
          <w:numId w:val="1007"/>
        </w:numPr>
      </w:pPr>
      <w:r>
        <w:t xml:space="preserve">Whether justice institutions help prevent legal and justice needs. It also measures whether authorities tolerate illegal activities such as squatting, street vending or informal labor arrangements.</w:t>
      </w:r>
    </w:p>
    <w:p>
      <w:pPr>
        <w:pStyle w:val="Compact"/>
        <w:numPr>
          <w:ilvl w:val="0"/>
          <w:numId w:val="1007"/>
        </w:numPr>
      </w:pPr>
      <w:r>
        <w:t xml:space="preserve">Whether people are aware of their rights, formal justice, and alternative justice mechanisms, and know where to get information and advice when facing a legal problem.</w:t>
      </w:r>
    </w:p>
    <w:p>
      <w:pPr>
        <w:pStyle w:val="Compact"/>
        <w:numPr>
          <w:ilvl w:val="0"/>
          <w:numId w:val="1007"/>
        </w:numPr>
      </w:pPr>
      <w:r>
        <w:t xml:space="preserve">Whether can access and afford legal advice and representation; and can access the court system without incurring unreasonable fees.</w:t>
      </w:r>
    </w:p>
    <w:p>
      <w:pPr>
        <w:pStyle w:val="Compact"/>
        <w:numPr>
          <w:ilvl w:val="0"/>
          <w:numId w:val="1007"/>
        </w:numPr>
      </w:pPr>
      <w:r>
        <w:t xml:space="preserve">Whether the civil justice system is impartial and free of discrimination, corruption and undue influence from the government and private interests.</w:t>
      </w:r>
    </w:p>
    <w:p>
      <w:pPr>
        <w:pStyle w:val="Compact"/>
        <w:numPr>
          <w:ilvl w:val="0"/>
          <w:numId w:val="1007"/>
        </w:numPr>
      </w:pPr>
      <w:r>
        <w:t xml:space="preserve">The effectiveness and timeliness of the enforcement of civil justice decisions and judgments in practice.</w:t>
      </w:r>
    </w:p>
    <w:p>
      <w:pPr>
        <w:pStyle w:val="Compact"/>
        <w:numPr>
          <w:ilvl w:val="0"/>
          <w:numId w:val="1007"/>
        </w:numPr>
      </w:pPr>
      <w:r>
        <w:t xml:space="preserve">Whether alternative dispute resolution mechanisms (ADRs) are available, accessible, affordable, impartial, timely, effective, enforceable, and free of corruption and undue influence from the government and private interests.</w:t>
      </w:r>
    </w:p>
    <w:bookmarkEnd w:id="31"/>
    <w:bookmarkStart w:id="32" w:name="criminal-justice"/>
    <w:p>
      <w:pPr>
        <w:pStyle w:val="Heading4"/>
      </w:pPr>
      <w:r>
        <w:t xml:space="preserve">2.2.8 Criminal Justice</w:t>
      </w:r>
    </w:p>
    <w:p>
      <w:pPr>
        <w:pStyle w:val="FirstParagraph"/>
      </w:pPr>
      <w:r>
        <w:t xml:space="preserve">Evaluates a country’s criminal justice system. An effective criminal justice system is a key aspect of the rule of law, as it constitutes the conventional mechanism to redress grievances and bring action against individuals for offenses against society. An assessment of the delivery of criminal justice should take into consideration the entire system, including the police, lawyers, prosecutors, judges, and prison officers. In more detail, this pillar is related to the following topics:</w:t>
      </w:r>
    </w:p>
    <w:p>
      <w:pPr>
        <w:pStyle w:val="Compact"/>
        <w:numPr>
          <w:ilvl w:val="0"/>
          <w:numId w:val="1008"/>
        </w:numPr>
      </w:pPr>
      <w:r>
        <w:t xml:space="preserve">Whether criminal investigations are effective, timely, impartial, and free of corruption and undue influence from criminal organizations and political and private interests.</w:t>
      </w:r>
    </w:p>
    <w:p>
      <w:pPr>
        <w:pStyle w:val="Compact"/>
        <w:numPr>
          <w:ilvl w:val="0"/>
          <w:numId w:val="1008"/>
        </w:numPr>
      </w:pPr>
      <w:r>
        <w:t xml:space="preserve">The effectiveness of prosecutors in investigating crimes, and if pre-trial proceedings are timely, outcome-oriented, impartial, and free of corruption and undue influence from political and private interests.</w:t>
      </w:r>
    </w:p>
    <w:p>
      <w:pPr>
        <w:pStyle w:val="Compact"/>
        <w:numPr>
          <w:ilvl w:val="0"/>
          <w:numId w:val="1008"/>
        </w:numPr>
      </w:pPr>
      <w:r>
        <w:t xml:space="preserve">Whether trials are timely, outcome-oriented, impartial, and free of corruption and undue influence from political and private interests.</w:t>
      </w:r>
    </w:p>
    <w:p>
      <w:pPr>
        <w:pStyle w:val="Compact"/>
        <w:numPr>
          <w:ilvl w:val="0"/>
          <w:numId w:val="1008"/>
        </w:numPr>
      </w:pPr>
      <w:r>
        <w:t xml:space="preserve">Whether alternative dispute resolution mechanisms (ADRs) are available, accessible, affordable, impartial, timely, effective, enforceable, and free of corruption and undue influence from the government and private interests.</w:t>
      </w:r>
    </w:p>
    <w:p>
      <w:pPr>
        <w:pStyle w:val="Compact"/>
        <w:numPr>
          <w:ilvl w:val="0"/>
          <w:numId w:val="1008"/>
        </w:numPr>
      </w:pPr>
      <w:r>
        <w:t xml:space="preserve">Whether victim’s rights are effectively guaranteed, including treatment with respect, absence of discrimination, timely and sufficient information, and protection.</w:t>
      </w:r>
    </w:p>
    <w:p>
      <w:pPr>
        <w:pStyle w:val="Compact"/>
        <w:numPr>
          <w:ilvl w:val="0"/>
          <w:numId w:val="1008"/>
        </w:numPr>
      </w:pPr>
      <w:r>
        <w:t xml:space="preserve">Whether the basic rights of criminal suspects are respected, including the presumption of innocence and the freedom from arbitrary arrest and unreasonable pre-trial detention. It also measures whether criminal suspects are able to access and challenge evidence used against them, whether they are subject to abusive treatment, and whether they are provided with adequate legal assistance. In addition, it measures whether the basic rights of prisoners are respected once they have been convicted of a crime.</w:t>
      </w:r>
    </w:p>
    <w:p>
      <w:pPr>
        <w:pStyle w:val="Compact"/>
        <w:numPr>
          <w:ilvl w:val="0"/>
          <w:numId w:val="1008"/>
        </w:numPr>
      </w:pPr>
      <w:r>
        <w:t xml:space="preserve">Whether the prison system guarantees conditions of safety and order and respects the rights of people deprived of their liberty. It also measures the absence of corruption and the effectiveness of the prison system in reducing recidivism.</w:t>
      </w:r>
    </w:p>
    <w:bookmarkEnd w:id="32"/>
    <w:bookmarkEnd w:id="33"/>
    <w:bookmarkEnd w:id="34"/>
    <w:bookmarkStart w:id="40" w:name="extraction-and-translation"/>
    <w:p>
      <w:pPr>
        <w:pStyle w:val="Heading2"/>
      </w:pPr>
      <w:r>
        <w:t xml:space="preserve">3 Extraction and translation</w:t>
      </w:r>
    </w:p>
    <w:p>
      <w:pPr>
        <w:pStyle w:val="FirstParagraph"/>
      </w:pPr>
      <w:r>
        <w:t xml:space="preserve">The first step in designing the</w:t>
      </w:r>
      <w:r>
        <w:t xml:space="preserve"> </w:t>
      </w:r>
      <w:r>
        <w:rPr>
          <w:i/>
          <w:iCs/>
        </w:rPr>
        <w:t xml:space="preserve">EU Rule of Law Tracker</w:t>
      </w:r>
      <w:r>
        <w:t xml:space="preserve"> </w:t>
      </w:r>
      <w:r>
        <w:t xml:space="preserve">was to identify, gather, and compile the information that would serve as the primary input for the tracker. Several inputs such as official records, social media, academic research, and think tanks publications were considered. Several sources, including official records, social media, academic research, and think tank publications, were considered. After a careful review, it was decided to use news articles for the pilot version of the tracker due to several advantages.</w:t>
      </w:r>
    </w:p>
    <w:p>
      <w:pPr>
        <w:pStyle w:val="BodyText"/>
      </w:pPr>
      <w:r>
        <w:t xml:space="preserve">First, multiple data archives offer harmonized databases for a wide range of newspapers from around the world, often accessible via Application Programming Interfaces (APIs). These databases are frequently updated, providing near real-time access to the latest events. In contrast, alternative data sources, such as academic publications and official records, generally have longer research, editorial, and publishing times, resulting in less timely information compared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across different countries.</w:t>
      </w:r>
    </w:p>
    <w:p>
      <w:pPr>
        <w:pStyle w:val="BodyText"/>
      </w:pPr>
      <w:r>
        <w:t xml:space="preserve">Third, newspapers create a historical record of events that can be tracked over time. They also offer a resource that is easily accessible to the general public. Moreover, competition for readership among newspapers often drives journalists to provide additional research, background information, and context, enhancing the quality of reporting.</w:t>
      </w:r>
    </w:p>
    <w:p>
      <w:pPr>
        <w:pStyle w:val="BodyText"/>
      </w:pPr>
      <w:r>
        <w:t xml:space="preserve">On the other hand, relying on news articles as the primary data source for tracking democracy and rule of law events also presents some drawbacks. The most significant challenges are the risks of media bias, subjectivity, and sensationalism. Additionally, the quality and consistency of data can vary significantly between sources, posing risks related to misinformation, lack of depth, and disparities in regional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5.1</w:t>
        </w:r>
      </w:hyperlink>
      <w:r>
        <w:t xml:space="preserve">. Due to limited resources during the news extraction phase, only high-priority sources were used in the pilot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35">
        <w:r>
          <w:rPr>
            <w:rStyle w:val="Hyperlink"/>
          </w:rPr>
          <w:t xml:space="preserve">Newscatcher</w:t>
        </w:r>
      </w:hyperlink>
      <w:r>
        <w:t xml:space="preserve">. A news API is a programming interface that allows users to access and retrieve news articles from a wide variety of sources. By using</w:t>
      </w:r>
      <w:r>
        <w:t xml:space="preserve"> </w:t>
      </w:r>
      <w:hyperlink r:id="rId36">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w:t>
      </w:r>
    </w:p>
    <w:p>
      <w:pPr>
        <w:pStyle w:val="BodyText"/>
      </w:pPr>
      <w:r>
        <w:t xml:space="preserve">However, it is not possible to directly query for news articles solely related to our definition of the rule of law. As a workaround, we developed queries using specific keywords associated with our definition of the rule of law and its dimensions, as well as broader concepts like justice and governance. Our strategy focused on performing a</w:t>
      </w:r>
      <w:r>
        <w:t xml:space="preserve"> </w:t>
      </w:r>
      <w:r>
        <w:rPr>
          <w:i/>
          <w:iCs/>
        </w:rPr>
        <w:t xml:space="preserve">wide search</w:t>
      </w:r>
      <w:r>
        <w:t xml:space="preserve"> </w:t>
      </w:r>
      <w:r>
        <w:t xml:space="preserve">rather than a</w:t>
      </w:r>
      <w:r>
        <w:t xml:space="preserve"> </w:t>
      </w:r>
      <w:r>
        <w:rPr>
          <w:i/>
          <w:iCs/>
        </w:rPr>
        <w:t xml:space="preserve">narrow search</w:t>
      </w:r>
      <w:r>
        <w:t xml:space="preserve">. In other words, we intentionally used broad, general keywords to ensure that our results included a wide range of articles, even at the risk of retrieving some unrelated content. This approach was chosen to avoid excluding potentially relevant articles. The process of refining the search results through text classification using Large Language Models (LLMs) is covered in detail in</w:t>
      </w:r>
      <w:r>
        <w:t xml:space="preserve"> </w:t>
      </w:r>
      <w:hyperlink w:anchor="sec-class">
        <w:r>
          <w:rPr>
            <w:rStyle w:val="Hyperlink"/>
          </w:rPr>
          <w:t xml:space="preserve">Section 4</w:t>
        </w:r>
      </w:hyperlink>
      <w:r>
        <w:t xml:space="preserve">.</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37"/>
      </w:r>
      <w:r>
        <w:t xml:space="preserve"> </w:t>
      </w:r>
      <w:r>
        <w:t xml:space="preserve">The full list of keywords can be consulted in</w:t>
      </w:r>
      <w:r>
        <w:t xml:space="preserve"> </w:t>
      </w:r>
      <w:hyperlink w:anchor="sec-keys">
        <w:r>
          <w:rPr>
            <w:rStyle w:val="Hyperlink"/>
          </w:rPr>
          <w:t xml:space="preserve">Section 5.2</w:t>
        </w:r>
      </w:hyperlink>
      <w:r>
        <w:t xml:space="preserve">.</w:t>
      </w:r>
    </w:p>
    <w:p>
      <w:pPr>
        <w:pStyle w:val="BodyText"/>
      </w:pPr>
      <w:r>
        <w:t xml:space="preserve">Due to quota limitations at the time of the extraction,</w:t>
      </w:r>
      <w:r>
        <w:rPr>
          <w:rStyle w:val="FootnoteReference"/>
        </w:rPr>
        <w:footnoteReference w:id="38"/>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 or a regular section of the newspaper.</w:t>
      </w:r>
    </w:p>
    <w:tbl>
      <w:tblPr>
        <w:tblStyle w:val="Table"/>
        <w:tblW w:type="pct" w:w="5000"/>
        <w:tblLayout w:type="fixed"/>
        <w:tblLook w:firstRow="0" w:lastRow="0" w:firstColumn="0" w:lastColumn="0" w:noHBand="0" w:noVBand="0" w:val="0000"/>
      </w:tblPr>
      <w:tblGrid>
        <w:gridCol w:w="7920"/>
      </w:tblGrid>
      <w:tr>
        <w:tc>
          <w:tcPr/>
          <w:bookmarkStart w:id="39" w:name="tbl-extraction"/>
          <w:p>
            <w:pPr>
              <w:jc w:val="center"/>
            </w:pPr>
            <w:pPr>
              <w:jc w:val="start"/>
              <w:spacing w:before="200"/>
              <w:pStyle w:val="ImageCaption"/>
            </w:pPr>
            <w:r>
              <w:t xml:space="preserve">Table 1: Total news extracted per country</w:t>
            </w:r>
          </w:p>
          <w:tbl>
            <w:tblPr>
              <w:tblStyle w:val="Table"/>
              <w:tblW w:type="pct" w:w="5000"/>
              <w:tblLayout w:type="fixed"/>
              <w:tblLook w:firstRow="1" w:lastRow="0" w:firstColumn="0" w:lastColumn="0" w:noHBand="0" w:noVBand="0" w:val="0020"/>
            </w:tblPr>
            <w:tblGrid>
              <w:gridCol w:w="1470"/>
              <w:gridCol w:w="2941"/>
              <w:gridCol w:w="3507"/>
            </w:tblGrid>
            <w:tr>
              <w:trPr>
                <w:tblHeader w:val="on"/>
              </w:trPr>
              <w:tc>
                <w:tcPr/>
                <w:p>
                  <w:pPr>
                    <w:pStyle w:val="Compact"/>
                    <w:jc w:val="left"/>
                    <w:jc w:val="center"/>
                  </w:pPr>
                  <w:r>
                    <w:rPr>
                      <w:b/>
                      <w:bCs/>
                    </w:rPr>
                    <w:t xml:space="preserve">Country</w:t>
                  </w:r>
                </w:p>
              </w:tc>
              <w:tc>
                <w:tcPr/>
                <w:p>
                  <w:pPr>
                    <w:pStyle w:val="Compact"/>
                    <w:jc w:val="left"/>
                    <w:jc w:val="center"/>
                  </w:pPr>
                  <w:r>
                    <w:rPr>
                      <w:b/>
                      <w:bCs/>
                    </w:rPr>
                    <w:t xml:space="preserve">Total News Extracted</w:t>
                  </w:r>
                </w:p>
              </w:tc>
              <w:tc>
                <w:tcPr/>
                <w:p>
                  <w:pPr>
                    <w:pStyle w:val="Compact"/>
                    <w:jc w:val="left"/>
                    <w:jc w:val="center"/>
                  </w:pPr>
                  <w:r>
                    <w:rPr>
                      <w:b/>
                      <w:bCs/>
                    </w:rPr>
                    <w:t xml:space="preserve">Date Range</w:t>
                  </w:r>
                </w:p>
              </w:tc>
            </w:tr>
            <w:tr>
              <w:tc>
                <w:tcPr/>
                <w:p>
                  <w:pPr>
                    <w:pStyle w:val="Compact"/>
                    <w:jc w:val="left"/>
                    <w:jc w:val="center"/>
                  </w:pPr>
                  <w:r>
                    <w:t xml:space="preserve">Austria</w:t>
                  </w:r>
                </w:p>
              </w:tc>
              <w:tc>
                <w:tcPr/>
                <w:p>
                  <w:pPr>
                    <w:pStyle w:val="Compact"/>
                    <w:jc w:val="left"/>
                    <w:jc w:val="center"/>
                  </w:pPr>
                  <w:r>
                    <w:t xml:space="preserve">46,145</w:t>
                  </w:r>
                </w:p>
              </w:tc>
              <w:tc>
                <w:tcPr/>
                <w:p>
                  <w:pPr>
                    <w:pStyle w:val="Compact"/>
                    <w:jc w:val="left"/>
                    <w:jc w:val="center"/>
                  </w:pPr>
                  <w:r>
                    <w:t xml:space="preserve">Mar 06, 2023 - Mar 07, 2024</w:t>
                  </w:r>
                </w:p>
              </w:tc>
            </w:tr>
            <w:tr>
              <w:tc>
                <w:tcPr/>
                <w:p>
                  <w:pPr>
                    <w:pStyle w:val="Compact"/>
                    <w:jc w:val="left"/>
                    <w:jc w:val="center"/>
                  </w:pPr>
                  <w:r>
                    <w:t xml:space="preserve">Belgium</w:t>
                  </w:r>
                </w:p>
              </w:tc>
              <w:tc>
                <w:tcPr/>
                <w:p>
                  <w:pPr>
                    <w:pStyle w:val="Compact"/>
                    <w:jc w:val="left"/>
                    <w:jc w:val="center"/>
                  </w:pPr>
                  <w:r>
                    <w:t xml:space="preserve">21,287</w:t>
                  </w:r>
                </w:p>
              </w:tc>
              <w:tc>
                <w:tcPr/>
                <w:p>
                  <w:pPr>
                    <w:pStyle w:val="Compact"/>
                    <w:jc w:val="left"/>
                    <w:jc w:val="center"/>
                  </w:pPr>
                  <w:r>
                    <w:t xml:space="preserve">Jun 07, 2023 - Mar 07, 2024</w:t>
                  </w:r>
                </w:p>
              </w:tc>
            </w:tr>
            <w:tr>
              <w:tc>
                <w:tcPr/>
                <w:p>
                  <w:pPr>
                    <w:pStyle w:val="Compact"/>
                    <w:jc w:val="left"/>
                    <w:jc w:val="center"/>
                  </w:pPr>
                  <w:r>
                    <w:t xml:space="preserve">Bulgaria</w:t>
                  </w:r>
                </w:p>
              </w:tc>
              <w:tc>
                <w:tcPr/>
                <w:p>
                  <w:pPr>
                    <w:pStyle w:val="Compact"/>
                    <w:jc w:val="left"/>
                    <w:jc w:val="center"/>
                  </w:pPr>
                  <w:r>
                    <w:t xml:space="preserve">38,118</w:t>
                  </w:r>
                </w:p>
              </w:tc>
              <w:tc>
                <w:tcPr/>
                <w:p>
                  <w:pPr>
                    <w:pStyle w:val="Compact"/>
                    <w:jc w:val="left"/>
                    <w:jc w:val="center"/>
                  </w:pPr>
                  <w:r>
                    <w:t xml:space="preserve">Jul 07, 2023 - Mar 07, 2024</w:t>
                  </w:r>
                </w:p>
              </w:tc>
            </w:tr>
            <w:tr>
              <w:tc>
                <w:tcPr/>
                <w:p>
                  <w:pPr>
                    <w:pStyle w:val="Compact"/>
                    <w:jc w:val="left"/>
                    <w:jc w:val="center"/>
                  </w:pPr>
                  <w:r>
                    <w:t xml:space="preserve">Croatia</w:t>
                  </w:r>
                </w:p>
              </w:tc>
              <w:tc>
                <w:tcPr/>
                <w:p>
                  <w:pPr>
                    <w:pStyle w:val="Compact"/>
                    <w:jc w:val="left"/>
                    <w:jc w:val="center"/>
                  </w:pPr>
                  <w:r>
                    <w:t xml:space="preserve">37,068</w:t>
                  </w:r>
                </w:p>
              </w:tc>
              <w:tc>
                <w:tcPr/>
                <w:p>
                  <w:pPr>
                    <w:pStyle w:val="Compact"/>
                    <w:jc w:val="left"/>
                    <w:jc w:val="center"/>
                  </w:pPr>
                  <w:r>
                    <w:t xml:space="preserve">Jul 07, 2023 - Mar 07, 2024</w:t>
                  </w:r>
                </w:p>
              </w:tc>
            </w:tr>
            <w:tr>
              <w:tc>
                <w:tcPr/>
                <w:p>
                  <w:pPr>
                    <w:pStyle w:val="Compact"/>
                    <w:jc w:val="left"/>
                    <w:jc w:val="center"/>
                  </w:pPr>
                  <w:r>
                    <w:t xml:space="preserve">Cyprus</w:t>
                  </w:r>
                </w:p>
              </w:tc>
              <w:tc>
                <w:tcPr/>
                <w:p>
                  <w:pPr>
                    <w:pStyle w:val="Compact"/>
                    <w:jc w:val="left"/>
                    <w:jc w:val="center"/>
                  </w:pPr>
                  <w:r>
                    <w:t xml:space="preserve">34,955</w:t>
                  </w:r>
                </w:p>
              </w:tc>
              <w:tc>
                <w:tcPr/>
                <w:p>
                  <w:pPr>
                    <w:pStyle w:val="Compact"/>
                    <w:jc w:val="left"/>
                    <w:jc w:val="center"/>
                  </w:pPr>
                  <w:r>
                    <w:t xml:space="preserve">Jul 07, 2023 - Mar 08, 2024</w:t>
                  </w:r>
                </w:p>
              </w:tc>
            </w:tr>
            <w:tr>
              <w:tc>
                <w:tcPr/>
                <w:p>
                  <w:pPr>
                    <w:pStyle w:val="Compact"/>
                    <w:jc w:val="left"/>
                    <w:jc w:val="center"/>
                  </w:pPr>
                  <w:r>
                    <w:t xml:space="preserve">Czechia</w:t>
                  </w:r>
                </w:p>
              </w:tc>
              <w:tc>
                <w:tcPr/>
                <w:p>
                  <w:pPr>
                    <w:pStyle w:val="Compact"/>
                    <w:jc w:val="left"/>
                    <w:jc w:val="center"/>
                  </w:pPr>
                  <w:r>
                    <w:t xml:space="preserve">41,415</w:t>
                  </w:r>
                </w:p>
              </w:tc>
              <w:tc>
                <w:tcPr/>
                <w:p>
                  <w:pPr>
                    <w:pStyle w:val="Compact"/>
                    <w:jc w:val="left"/>
                    <w:jc w:val="center"/>
                  </w:pPr>
                  <w:r>
                    <w:t xml:space="preserve">Jul 07, 2023 - Mar 08, 2024</w:t>
                  </w:r>
                </w:p>
              </w:tc>
            </w:tr>
            <w:tr>
              <w:tc>
                <w:tcPr/>
                <w:p>
                  <w:pPr>
                    <w:pStyle w:val="Compact"/>
                    <w:jc w:val="left"/>
                    <w:jc w:val="center"/>
                  </w:pPr>
                  <w:r>
                    <w:t xml:space="preserve">Denmark</w:t>
                  </w:r>
                </w:p>
              </w:tc>
              <w:tc>
                <w:tcPr/>
                <w:p>
                  <w:pPr>
                    <w:pStyle w:val="Compact"/>
                    <w:jc w:val="left"/>
                    <w:jc w:val="center"/>
                  </w:pPr>
                  <w:r>
                    <w:t xml:space="preserve">11,312</w:t>
                  </w:r>
                </w:p>
              </w:tc>
              <w:tc>
                <w:tcPr/>
                <w:p>
                  <w:pPr>
                    <w:pStyle w:val="Compact"/>
                    <w:jc w:val="left"/>
                    <w:jc w:val="center"/>
                  </w:pPr>
                  <w:r>
                    <w:t xml:space="preserve">Aug 07, 2023 - Mar 07, 2024</w:t>
                  </w:r>
                </w:p>
              </w:tc>
            </w:tr>
            <w:tr>
              <w:tc>
                <w:tcPr/>
                <w:p>
                  <w:pPr>
                    <w:pStyle w:val="Compact"/>
                    <w:jc w:val="left"/>
                    <w:jc w:val="center"/>
                  </w:pPr>
                  <w:r>
                    <w:t xml:space="preserve">Estonia</w:t>
                  </w:r>
                </w:p>
              </w:tc>
              <w:tc>
                <w:tcPr/>
                <w:p>
                  <w:pPr>
                    <w:pStyle w:val="Compact"/>
                    <w:jc w:val="left"/>
                    <w:jc w:val="center"/>
                  </w:pPr>
                  <w:r>
                    <w:t xml:space="preserve">12,370</w:t>
                  </w:r>
                </w:p>
              </w:tc>
              <w:tc>
                <w:tcPr/>
                <w:p>
                  <w:pPr>
                    <w:pStyle w:val="Compact"/>
                    <w:jc w:val="left"/>
                    <w:jc w:val="center"/>
                  </w:pPr>
                  <w:r>
                    <w:t xml:space="preserve">Aug 08, 2023 - Mar 07, 2024</w:t>
                  </w:r>
                </w:p>
              </w:tc>
            </w:tr>
            <w:tr>
              <w:tc>
                <w:tcPr/>
                <w:p>
                  <w:pPr>
                    <w:pStyle w:val="Compact"/>
                    <w:jc w:val="left"/>
                    <w:jc w:val="center"/>
                  </w:pPr>
                  <w:r>
                    <w:t xml:space="preserve">Finland</w:t>
                  </w:r>
                </w:p>
              </w:tc>
              <w:tc>
                <w:tcPr/>
                <w:p>
                  <w:pPr>
                    <w:pStyle w:val="Compact"/>
                    <w:jc w:val="left"/>
                    <w:jc w:val="center"/>
                  </w:pPr>
                  <w:r>
                    <w:t xml:space="preserve">6,647</w:t>
                  </w:r>
                </w:p>
              </w:tc>
              <w:tc>
                <w:tcPr/>
                <w:p>
                  <w:pPr>
                    <w:pStyle w:val="Compact"/>
                    <w:jc w:val="left"/>
                    <w:jc w:val="center"/>
                  </w:pPr>
                  <w:r>
                    <w:t xml:space="preserve">Aug 08, 2023 - Mar 07, 2024</w:t>
                  </w:r>
                </w:p>
              </w:tc>
            </w:tr>
            <w:tr>
              <w:tc>
                <w:tcPr/>
                <w:p>
                  <w:pPr>
                    <w:pStyle w:val="Compact"/>
                    <w:jc w:val="left"/>
                    <w:jc w:val="center"/>
                  </w:pPr>
                  <w:r>
                    <w:t xml:space="preserve">France</w:t>
                  </w:r>
                </w:p>
              </w:tc>
              <w:tc>
                <w:tcPr/>
                <w:p>
                  <w:pPr>
                    <w:pStyle w:val="Compact"/>
                    <w:jc w:val="left"/>
                    <w:jc w:val="center"/>
                  </w:pPr>
                  <w:r>
                    <w:t xml:space="preserve">64,527</w:t>
                  </w:r>
                </w:p>
              </w:tc>
              <w:tc>
                <w:tcPr/>
                <w:p>
                  <w:pPr>
                    <w:pStyle w:val="Compact"/>
                    <w:jc w:val="left"/>
                    <w:jc w:val="center"/>
                  </w:pPr>
                  <w:r>
                    <w:t xml:space="preserve">Aug 07, 2023 - Mar 07, 2024</w:t>
                  </w:r>
                </w:p>
              </w:tc>
            </w:tr>
            <w:tr>
              <w:tc>
                <w:tcPr/>
                <w:p>
                  <w:pPr>
                    <w:pStyle w:val="Compact"/>
                    <w:jc w:val="left"/>
                    <w:jc w:val="center"/>
                  </w:pPr>
                  <w:r>
                    <w:t xml:space="preserve">Germany</w:t>
                  </w:r>
                </w:p>
              </w:tc>
              <w:tc>
                <w:tcPr/>
                <w:p>
                  <w:pPr>
                    <w:pStyle w:val="Compact"/>
                    <w:jc w:val="left"/>
                    <w:jc w:val="center"/>
                  </w:pPr>
                  <w:r>
                    <w:t xml:space="preserve">45,321</w:t>
                  </w:r>
                </w:p>
              </w:tc>
              <w:tc>
                <w:tcPr/>
                <w:p>
                  <w:pPr>
                    <w:pStyle w:val="Compact"/>
                    <w:jc w:val="left"/>
                    <w:jc w:val="center"/>
                  </w:pPr>
                  <w:r>
                    <w:t xml:space="preserve">Jan 08, 2024 - Mar 07, 2024</w:t>
                  </w:r>
                </w:p>
              </w:tc>
            </w:tr>
            <w:tr>
              <w:tc>
                <w:tcPr/>
                <w:p>
                  <w:pPr>
                    <w:pStyle w:val="Compact"/>
                    <w:jc w:val="left"/>
                    <w:jc w:val="center"/>
                  </w:pPr>
                  <w:r>
                    <w:t xml:space="preserve">Greece</w:t>
                  </w:r>
                </w:p>
              </w:tc>
              <w:tc>
                <w:tcPr/>
                <w:p>
                  <w:pPr>
                    <w:pStyle w:val="Compact"/>
                    <w:jc w:val="left"/>
                    <w:jc w:val="center"/>
                  </w:pPr>
                  <w:r>
                    <w:t xml:space="preserve">49,504</w:t>
                  </w:r>
                </w:p>
              </w:tc>
              <w:tc>
                <w:tcPr/>
                <w:p>
                  <w:pPr>
                    <w:pStyle w:val="Compact"/>
                    <w:jc w:val="left"/>
                    <w:jc w:val="center"/>
                  </w:pPr>
                  <w:r>
                    <w:t xml:space="preserve">Aug 08, 2023 - Mar 07, 2024</w:t>
                  </w:r>
                </w:p>
              </w:tc>
            </w:tr>
            <w:tr>
              <w:tc>
                <w:tcPr/>
                <w:p>
                  <w:pPr>
                    <w:pStyle w:val="Compact"/>
                    <w:jc w:val="left"/>
                    <w:jc w:val="center"/>
                  </w:pPr>
                  <w:r>
                    <w:t xml:space="preserve">Hungary</w:t>
                  </w:r>
                </w:p>
              </w:tc>
              <w:tc>
                <w:tcPr/>
                <w:p>
                  <w:pPr>
                    <w:pStyle w:val="Compact"/>
                    <w:jc w:val="left"/>
                    <w:jc w:val="center"/>
                  </w:pPr>
                  <w:r>
                    <w:t xml:space="preserve">18,111</w:t>
                  </w:r>
                </w:p>
              </w:tc>
              <w:tc>
                <w:tcPr/>
                <w:p>
                  <w:pPr>
                    <w:pStyle w:val="Compact"/>
                    <w:jc w:val="left"/>
                    <w:jc w:val="center"/>
                  </w:pPr>
                  <w:r>
                    <w:t xml:space="preserve">Aug 08, 2023 - Mar 07, 2024</w:t>
                  </w:r>
                </w:p>
              </w:tc>
            </w:tr>
            <w:tr>
              <w:tc>
                <w:tcPr/>
                <w:p>
                  <w:pPr>
                    <w:pStyle w:val="Compact"/>
                    <w:jc w:val="left"/>
                    <w:jc w:val="center"/>
                  </w:pPr>
                  <w:r>
                    <w:t xml:space="preserve">Ireland</w:t>
                  </w:r>
                </w:p>
              </w:tc>
              <w:tc>
                <w:tcPr/>
                <w:p>
                  <w:pPr>
                    <w:pStyle w:val="Compact"/>
                    <w:jc w:val="left"/>
                    <w:jc w:val="center"/>
                  </w:pPr>
                  <w:r>
                    <w:t xml:space="preserve">48,409</w:t>
                  </w:r>
                </w:p>
              </w:tc>
              <w:tc>
                <w:tcPr/>
                <w:p>
                  <w:pPr>
                    <w:pStyle w:val="Compact"/>
                    <w:jc w:val="left"/>
                    <w:jc w:val="center"/>
                  </w:pPr>
                  <w:r>
                    <w:t xml:space="preserve">Aug 08, 2023 - Mar 07, 2024</w:t>
                  </w:r>
                </w:p>
              </w:tc>
            </w:tr>
            <w:tr>
              <w:tc>
                <w:tcPr/>
                <w:p>
                  <w:pPr>
                    <w:pStyle w:val="Compact"/>
                    <w:jc w:val="left"/>
                    <w:jc w:val="center"/>
                  </w:pPr>
                  <w:r>
                    <w:t xml:space="preserve">Italy</w:t>
                  </w:r>
                </w:p>
              </w:tc>
              <w:tc>
                <w:tcPr/>
                <w:p>
                  <w:pPr>
                    <w:pStyle w:val="Compact"/>
                    <w:jc w:val="left"/>
                    <w:jc w:val="center"/>
                  </w:pPr>
                  <w:r>
                    <w:t xml:space="preserve">93,858</w:t>
                  </w:r>
                </w:p>
              </w:tc>
              <w:tc>
                <w:tcPr/>
                <w:p>
                  <w:pPr>
                    <w:pStyle w:val="Compact"/>
                    <w:jc w:val="left"/>
                    <w:jc w:val="center"/>
                  </w:pPr>
                  <w:r>
                    <w:t xml:space="preserve">Aug 08, 2023 - Mar 07, 2024</w:t>
                  </w:r>
                </w:p>
              </w:tc>
            </w:tr>
            <w:tr>
              <w:tc>
                <w:tcPr/>
                <w:p>
                  <w:pPr>
                    <w:pStyle w:val="Compact"/>
                    <w:jc w:val="left"/>
                    <w:jc w:val="center"/>
                  </w:pPr>
                  <w:r>
                    <w:t xml:space="preserve">Latvia</w:t>
                  </w:r>
                </w:p>
              </w:tc>
              <w:tc>
                <w:tcPr/>
                <w:p>
                  <w:pPr>
                    <w:pStyle w:val="Compact"/>
                    <w:jc w:val="left"/>
                    <w:jc w:val="center"/>
                  </w:pPr>
                  <w:r>
                    <w:t xml:space="preserve">5,487</w:t>
                  </w:r>
                </w:p>
              </w:tc>
              <w:tc>
                <w:tcPr/>
                <w:p>
                  <w:pPr>
                    <w:pStyle w:val="Compact"/>
                    <w:jc w:val="left"/>
                    <w:jc w:val="center"/>
                  </w:pPr>
                  <w:r>
                    <w:t xml:space="preserve">Aug 09, 2023 - Mar 07, 2024</w:t>
                  </w:r>
                </w:p>
              </w:tc>
            </w:tr>
            <w:tr>
              <w:tc>
                <w:tcPr/>
                <w:p>
                  <w:pPr>
                    <w:pStyle w:val="Compact"/>
                    <w:jc w:val="left"/>
                    <w:jc w:val="center"/>
                  </w:pPr>
                  <w:r>
                    <w:t xml:space="preserve">Lithuania</w:t>
                  </w:r>
                </w:p>
              </w:tc>
              <w:tc>
                <w:tcPr/>
                <w:p>
                  <w:pPr>
                    <w:pStyle w:val="Compact"/>
                    <w:jc w:val="left"/>
                    <w:jc w:val="center"/>
                  </w:pPr>
                  <w:r>
                    <w:t xml:space="preserve">14,396</w:t>
                  </w:r>
                </w:p>
              </w:tc>
              <w:tc>
                <w:tcPr/>
                <w:p>
                  <w:pPr>
                    <w:pStyle w:val="Compact"/>
                    <w:jc w:val="left"/>
                    <w:jc w:val="center"/>
                  </w:pPr>
                  <w:r>
                    <w:t xml:space="preserve">Aug 08, 2023 - Mar 07, 2024</w:t>
                  </w:r>
                </w:p>
              </w:tc>
            </w:tr>
            <w:tr>
              <w:tc>
                <w:tcPr/>
                <w:p>
                  <w:pPr>
                    <w:pStyle w:val="Compact"/>
                    <w:jc w:val="left"/>
                    <w:jc w:val="center"/>
                  </w:pPr>
                  <w:r>
                    <w:t xml:space="preserve">Luxembourg</w:t>
                  </w:r>
                </w:p>
              </w:tc>
              <w:tc>
                <w:tcPr/>
                <w:p>
                  <w:pPr>
                    <w:pStyle w:val="Compact"/>
                    <w:jc w:val="left"/>
                    <w:jc w:val="center"/>
                  </w:pPr>
                  <w:r>
                    <w:t xml:space="preserve">7,894</w:t>
                  </w:r>
                </w:p>
              </w:tc>
              <w:tc>
                <w:tcPr/>
                <w:p>
                  <w:pPr>
                    <w:pStyle w:val="Compact"/>
                    <w:jc w:val="left"/>
                    <w:jc w:val="center"/>
                  </w:pPr>
                  <w:r>
                    <w:t xml:space="preserve">Aug 08, 2023 - Mar 07, 2024</w:t>
                  </w:r>
                </w:p>
              </w:tc>
            </w:tr>
            <w:tr>
              <w:tc>
                <w:tcPr/>
                <w:p>
                  <w:pPr>
                    <w:pStyle w:val="Compact"/>
                    <w:jc w:val="left"/>
                    <w:jc w:val="center"/>
                  </w:pPr>
                  <w:r>
                    <w:t xml:space="preserve">Malta</w:t>
                  </w:r>
                </w:p>
              </w:tc>
              <w:tc>
                <w:tcPr/>
                <w:p>
                  <w:pPr>
                    <w:pStyle w:val="Compact"/>
                    <w:jc w:val="left"/>
                    <w:jc w:val="center"/>
                  </w:pPr>
                  <w:r>
                    <w:t xml:space="preserve">10,842</w:t>
                  </w:r>
                </w:p>
              </w:tc>
              <w:tc>
                <w:tcPr/>
                <w:p>
                  <w:pPr>
                    <w:pStyle w:val="Compact"/>
                    <w:jc w:val="left"/>
                    <w:jc w:val="center"/>
                  </w:pPr>
                  <w:r>
                    <w:t xml:space="preserve">Aug 08, 2023 - Mar 07, 2024</w:t>
                  </w:r>
                </w:p>
              </w:tc>
            </w:tr>
            <w:tr>
              <w:tc>
                <w:tcPr/>
                <w:p>
                  <w:pPr>
                    <w:pStyle w:val="Compact"/>
                    <w:jc w:val="left"/>
                    <w:jc w:val="center"/>
                  </w:pPr>
                  <w:r>
                    <w:t xml:space="preserve">Netherlands</w:t>
                  </w:r>
                </w:p>
              </w:tc>
              <w:tc>
                <w:tcPr/>
                <w:p>
                  <w:pPr>
                    <w:pStyle w:val="Compact"/>
                    <w:jc w:val="left"/>
                    <w:jc w:val="center"/>
                  </w:pPr>
                  <w:r>
                    <w:t xml:space="preserve">23,935</w:t>
                  </w:r>
                </w:p>
              </w:tc>
              <w:tc>
                <w:tcPr/>
                <w:p>
                  <w:pPr>
                    <w:pStyle w:val="Compact"/>
                    <w:jc w:val="left"/>
                    <w:jc w:val="center"/>
                  </w:pPr>
                  <w:r>
                    <w:t xml:space="preserve">Aug 08, 2023 - Mar 07, 2024</w:t>
                  </w:r>
                </w:p>
              </w:tc>
            </w:tr>
            <w:tr>
              <w:tc>
                <w:tcPr/>
                <w:p>
                  <w:pPr>
                    <w:pStyle w:val="Compact"/>
                    <w:jc w:val="left"/>
                    <w:jc w:val="center"/>
                  </w:pPr>
                  <w:r>
                    <w:t xml:space="preserve">Poland</w:t>
                  </w:r>
                </w:p>
              </w:tc>
              <w:tc>
                <w:tcPr/>
                <w:p>
                  <w:pPr>
                    <w:pStyle w:val="Compact"/>
                    <w:jc w:val="left"/>
                    <w:jc w:val="center"/>
                  </w:pPr>
                  <w:r>
                    <w:t xml:space="preserve">21,434</w:t>
                  </w:r>
                </w:p>
              </w:tc>
              <w:tc>
                <w:tcPr/>
                <w:p>
                  <w:pPr>
                    <w:pStyle w:val="Compact"/>
                    <w:jc w:val="left"/>
                    <w:jc w:val="center"/>
                  </w:pPr>
                  <w:r>
                    <w:t xml:space="preserve">Aug 08, 2023 - Mar 07, 2024</w:t>
                  </w:r>
                </w:p>
              </w:tc>
            </w:tr>
            <w:tr>
              <w:tc>
                <w:tcPr/>
                <w:p>
                  <w:pPr>
                    <w:pStyle w:val="Compact"/>
                    <w:jc w:val="left"/>
                    <w:jc w:val="center"/>
                  </w:pPr>
                  <w:r>
                    <w:t xml:space="preserve">Portugal</w:t>
                  </w:r>
                </w:p>
              </w:tc>
              <w:tc>
                <w:tcPr/>
                <w:p>
                  <w:pPr>
                    <w:pStyle w:val="Compact"/>
                    <w:jc w:val="left"/>
                    <w:jc w:val="center"/>
                  </w:pPr>
                  <w:r>
                    <w:t xml:space="preserve">29,624</w:t>
                  </w:r>
                </w:p>
              </w:tc>
              <w:tc>
                <w:tcPr/>
                <w:p>
                  <w:pPr>
                    <w:pStyle w:val="Compact"/>
                    <w:jc w:val="left"/>
                    <w:jc w:val="center"/>
                  </w:pPr>
                  <w:r>
                    <w:t xml:space="preserve">Aug 08, 2023 - Mar 07, 2024</w:t>
                  </w:r>
                </w:p>
              </w:tc>
            </w:tr>
            <w:tr>
              <w:tc>
                <w:tcPr/>
                <w:p>
                  <w:pPr>
                    <w:pStyle w:val="Compact"/>
                    <w:jc w:val="left"/>
                    <w:jc w:val="center"/>
                  </w:pPr>
                  <w:r>
                    <w:t xml:space="preserve">Romania</w:t>
                  </w:r>
                </w:p>
              </w:tc>
              <w:tc>
                <w:tcPr/>
                <w:p>
                  <w:pPr>
                    <w:pStyle w:val="Compact"/>
                    <w:jc w:val="left"/>
                    <w:jc w:val="center"/>
                  </w:pPr>
                  <w:r>
                    <w:t xml:space="preserve">33,264</w:t>
                  </w:r>
                </w:p>
              </w:tc>
              <w:tc>
                <w:tcPr/>
                <w:p>
                  <w:pPr>
                    <w:pStyle w:val="Compact"/>
                    <w:jc w:val="left"/>
                    <w:jc w:val="center"/>
                  </w:pPr>
                  <w:r>
                    <w:t xml:space="preserve">Aug 08, 2023 - Mar 07, 2024</w:t>
                  </w:r>
                </w:p>
              </w:tc>
            </w:tr>
            <w:tr>
              <w:tc>
                <w:tcPr/>
                <w:p>
                  <w:pPr>
                    <w:pStyle w:val="Compact"/>
                    <w:jc w:val="left"/>
                    <w:jc w:val="center"/>
                  </w:pPr>
                  <w:r>
                    <w:t xml:space="preserve">Slovakia</w:t>
                  </w:r>
                </w:p>
              </w:tc>
              <w:tc>
                <w:tcPr/>
                <w:p>
                  <w:pPr>
                    <w:pStyle w:val="Compact"/>
                    <w:jc w:val="left"/>
                    <w:jc w:val="center"/>
                  </w:pPr>
                  <w:r>
                    <w:t xml:space="preserve">34,874</w:t>
                  </w:r>
                </w:p>
              </w:tc>
              <w:tc>
                <w:tcPr/>
                <w:p>
                  <w:pPr>
                    <w:pStyle w:val="Compact"/>
                    <w:jc w:val="left"/>
                    <w:jc w:val="center"/>
                  </w:pPr>
                  <w:r>
                    <w:t xml:space="preserve">Aug 08, 2023 - Mar 07, 2024</w:t>
                  </w:r>
                </w:p>
              </w:tc>
            </w:tr>
            <w:tr>
              <w:tc>
                <w:tcPr/>
                <w:p>
                  <w:pPr>
                    <w:pStyle w:val="Compact"/>
                    <w:jc w:val="left"/>
                    <w:jc w:val="center"/>
                  </w:pPr>
                  <w:r>
                    <w:t xml:space="preserve">Slovenia</w:t>
                  </w:r>
                </w:p>
              </w:tc>
              <w:tc>
                <w:tcPr/>
                <w:p>
                  <w:pPr>
                    <w:pStyle w:val="Compact"/>
                    <w:jc w:val="left"/>
                    <w:jc w:val="center"/>
                  </w:pPr>
                  <w:r>
                    <w:t xml:space="preserve">10,211</w:t>
                  </w:r>
                </w:p>
              </w:tc>
              <w:tc>
                <w:tcPr/>
                <w:p>
                  <w:pPr>
                    <w:pStyle w:val="Compact"/>
                    <w:jc w:val="left"/>
                    <w:jc w:val="center"/>
                  </w:pPr>
                  <w:r>
                    <w:t xml:space="preserve">Aug 08, 2023 - Mar 07, 2024</w:t>
                  </w:r>
                </w:p>
              </w:tc>
            </w:tr>
            <w:tr>
              <w:tc>
                <w:tcPr/>
                <w:p>
                  <w:pPr>
                    <w:pStyle w:val="Compact"/>
                    <w:jc w:val="left"/>
                    <w:jc w:val="center"/>
                  </w:pPr>
                  <w:r>
                    <w:t xml:space="preserve">Spain</w:t>
                  </w:r>
                </w:p>
              </w:tc>
              <w:tc>
                <w:tcPr/>
                <w:p>
                  <w:pPr>
                    <w:pStyle w:val="Compact"/>
                    <w:jc w:val="left"/>
                    <w:jc w:val="center"/>
                  </w:pPr>
                  <w:r>
                    <w:t xml:space="preserve">112,820</w:t>
                  </w:r>
                </w:p>
              </w:tc>
              <w:tc>
                <w:tcPr/>
                <w:p>
                  <w:pPr>
                    <w:pStyle w:val="Compact"/>
                    <w:jc w:val="left"/>
                    <w:jc w:val="center"/>
                  </w:pPr>
                  <w:r>
                    <w:t xml:space="preserve">Aug 08, 2023 - Mar 07, 2024</w:t>
                  </w:r>
                </w:p>
              </w:tc>
            </w:tr>
            <w:tr>
              <w:tc>
                <w:tcPr/>
                <w:p>
                  <w:pPr>
                    <w:pStyle w:val="Compact"/>
                    <w:jc w:val="left"/>
                    <w:jc w:val="center"/>
                  </w:pPr>
                  <w:r>
                    <w:t xml:space="preserve">Sweden</w:t>
                  </w:r>
                </w:p>
              </w:tc>
              <w:tc>
                <w:tcPr/>
                <w:p>
                  <w:pPr>
                    <w:pStyle w:val="Compact"/>
                    <w:jc w:val="left"/>
                    <w:jc w:val="center"/>
                  </w:pPr>
                  <w:r>
                    <w:t xml:space="preserve">6,417</w:t>
                  </w:r>
                </w:p>
              </w:tc>
              <w:tc>
                <w:tcPr/>
                <w:p>
                  <w:pPr>
                    <w:pStyle w:val="Compact"/>
                    <w:jc w:val="left"/>
                    <w:jc w:val="center"/>
                  </w:pPr>
                  <w:r>
                    <w:t xml:space="preserve">Jan 08, 2024 - Mar 07, 2024</w:t>
                  </w:r>
                </w:p>
              </w:tc>
            </w:tr>
            <w:tr>
              <w:tc>
                <w:tcPr/>
                <w:p>
                  <w:pPr>
                    <w:pStyle w:val="Compact"/>
                    <w:jc w:val="left"/>
                    <w:jc w:val="center"/>
                  </w:pPr>
                  <w:r>
                    <w:rPr>
                      <w:b/>
                      <w:bCs/>
                    </w:rPr>
                    <w:t xml:space="preserve">Total</w:t>
                  </w:r>
                </w:p>
              </w:tc>
              <w:tc>
                <w:tcPr/>
                <w:p>
                  <w:pPr>
                    <w:pStyle w:val="Compact"/>
                    <w:jc w:val="left"/>
                    <w:jc w:val="center"/>
                  </w:pPr>
                  <w:r>
                    <w:rPr>
                      <w:b/>
                      <w:bCs/>
                    </w:rPr>
                    <w:t xml:space="preserve">904,944</w:t>
                  </w:r>
                </w:p>
              </w:tc>
              <w:tc>
                <w:tcPr/>
                <w:p>
                  <w:pPr>
                    <w:pStyle w:val="Compact"/>
                  </w:pPr>
                </w:p>
              </w:tc>
            </w:tr>
          </w:tbl>
          <w:bookmarkEnd w:id="39"/>
          <w:p/>
        </w:tc>
      </w:tr>
    </w:tbl>
    <w:p>
      <w:pPr>
        <w:pStyle w:val="BodyText"/>
      </w:pPr>
      <w:r>
        <w:t xml:space="preserve">The titles and content of the news articles were returned in their original publication languages, resulting in a diverse collection of information in 23 different languages: Bulgarian, Croatian, Czech, Danish, Dutch, English, Estonian, Finnish, French, German, Greek, Hungarian, Italian, Latvian, Lithuanian, Maltese, Polish, Portuguese, Romanian, Slovak, Slovene, Spanish, and Swedish. While this linguistic diversity highlights the cultural richness of the region, it also presents challenges for accurate classification and text analysis.</w:t>
      </w:r>
    </w:p>
    <w:p>
      <w:pPr>
        <w:pStyle w:val="BodyText"/>
      </w:pPr>
      <w:r>
        <w:t xml:space="preserve">The LLMs used in this project are multilingual models, but their accuracy in text classification can vary across languages</w:t>
      </w:r>
      <w:r>
        <w:t xml:space="preserve"> </w:t>
      </w:r>
      <w:r>
        <w:t xml:space="preserve">(Unanue, Haffari, and Piccardi 2023)</w:t>
      </w:r>
      <w:r>
        <w:t xml:space="preserve">. To ensure consistency during the classification process and to facilitate the use of NLP techniques in the data analysis phase, we decided to translate all the data into a single language. Since most LLMs are primarily trained on English data, we chose English as the target language for translation. To guarantee the highest quality, we used the Google Translation API to translate all of our text data.</w:t>
      </w:r>
    </w:p>
    <w:bookmarkEnd w:id="40"/>
    <w:bookmarkStart w:id="47" w:name="sec-class"/>
    <w:p>
      <w:pPr>
        <w:pStyle w:val="Heading2"/>
      </w:pPr>
      <w:r>
        <w:t xml:space="preserve">4 Classification</w:t>
      </w:r>
    </w:p>
    <w:p>
      <w:pPr>
        <w:pStyle w:val="FirstParagraph"/>
      </w:pPr>
      <w:r>
        <w:t xml:space="preserve">The extraction and translation phase provided us with a diverse database of news articles from a wide range of sources. However, as previously mentioned, there is a significant risk of including articles that narrate events unrelated to our definitions of Rule of Law, Justice, and Governance. To meet the project’s objectives, it is crucial that the system can not only differentiate between articles that are relevant to our macro-concepts and those that are not, but also accurately classify the relevant articles according to the specific pillars of the rule of law that they are related to. In order to achieve this, we made use of the text classification capabilities of Large Language Models such as GPT and Gemini.</w:t>
      </w:r>
      <w:r>
        <w:rPr>
          <w:rStyle w:val="FootnoteReference"/>
        </w:rPr>
        <w:footnoteReference w:id="41"/>
      </w:r>
    </w:p>
    <w:p>
      <w:pPr>
        <w:pStyle w:val="BodyText"/>
      </w:pPr>
      <w:r>
        <w:t xml:space="preserve">We divided the classification phase into two stages. In the first stage, the system aims to categorize news articles based on whether they are related to our concepts of Rule of Law, Justice, and Governance, or not. Additionally, the system will identify the location where the events described in the article are taking place. In the second stage, the system will further classify the relevant articles according to which specific pillars of the rule of law the events are related to. This second stage will focus exclusively on articles that were classified as relevant to our macro-concepts and that report on events occurring in one of the 27 member states of the European Union.</w:t>
      </w:r>
    </w:p>
    <w:bookmarkStart w:id="43" w:name="prompt-definition"/>
    <w:p>
      <w:pPr>
        <w:pStyle w:val="Heading3"/>
      </w:pPr>
      <w:r>
        <w:t xml:space="preserve">4.1 Prompt definition</w:t>
      </w:r>
    </w:p>
    <w:p>
      <w:pPr>
        <w:pStyle w:val="FirstParagraph"/>
      </w:pPr>
      <w:r>
        <w:t xml:space="preserve">In both stages, we defined two prompt templates to pass to the LLM: a system context and the instructions. The system context is a type of prompt used to set the context or guide the behavior of the model during a conversation. In our specific case, the system context was used to establish the role of the model as an assistant, provide general instructions and some background information of the purpose of the tasks. The instruction template contained the conceptual framework, the full text of the article, some key point to take into account, as well as specific instructions on how to structure the answers (JSON format). The full text of the prompts used can be found in the</w:t>
      </w:r>
      <w:r>
        <w:t xml:space="preserve"> </w:t>
      </w:r>
      <w:hyperlink r:id="rId42">
        <w:r>
          <w:rPr>
            <w:rStyle w:val="Hyperlink"/>
          </w:rPr>
          <w:t xml:space="preserve">Prompt templates: Text Classification notebook</w:t>
        </w:r>
      </w:hyperlink>
      <w:r>
        <w:t xml:space="preserve"> </w:t>
      </w:r>
      <w:r>
        <w:t xml:space="preserve">in the supplementary materials to this manuscript.</w:t>
      </w:r>
    </w:p>
    <w:p>
      <w:pPr>
        <w:pStyle w:val="BodyText"/>
      </w:pPr>
      <w:r>
        <w:t xml:space="preserve">These prompts were the results of a dynamic process in which we randomly selected 100 news articles and then we pro</w:t>
      </w:r>
    </w:p>
    <w:bookmarkEnd w:id="43"/>
    <w:bookmarkStart w:id="46" w:name="X098a5f1298222c547eccc07818713f1388f5245"/>
    <w:p>
      <w:pPr>
        <w:pStyle w:val="Heading3"/>
      </w:pPr>
      <w:r>
        <w:t xml:space="preserve">4.2 Stage 1: Is the news article related to the Rule of Law, Justice, and/or Governance?</w:t>
      </w:r>
    </w:p>
    <w:p>
      <w:pPr>
        <w:pStyle w:val="FirstParagraph"/>
      </w:pPr>
      <w:r>
        <w:t xml:space="preserve">For the first stage, we used an 85-word system context that remained fixed in every call made to the LLM, along with a 583-word instruction prompt template.</w:t>
      </w:r>
      <w:r>
        <w:rPr>
          <w:rStyle w:val="FootnoteReference"/>
        </w:rPr>
        <w:footnoteReference w:id="44"/>
      </w:r>
    </w:p>
    <w:tbl>
      <w:tblPr>
        <w:tblStyle w:val="Table"/>
        <w:tblW w:type="pct" w:w="5000"/>
        <w:tblLayout w:type="fixed"/>
        <w:tblLook w:firstRow="0" w:lastRow="0" w:firstColumn="0" w:lastColumn="0" w:noHBand="0" w:noVBand="0" w:val="0000"/>
      </w:tblPr>
      <w:tblGrid>
        <w:gridCol w:w="7920"/>
      </w:tblGrid>
      <w:tr>
        <w:tc>
          <w:tcPr/>
          <w:bookmarkStart w:id="45" w:name="tbl-classstage1"/>
          <w:p>
            <w:pPr>
              <w:jc w:val="center"/>
            </w:pPr>
            <w:pPr>
              <w:jc w:val="start"/>
              <w:spacing w:before="200"/>
              <w:pStyle w:val="ImageCaption"/>
            </w:pPr>
            <w:r>
              <w:t xml:space="preserve">Table 2: Total news extracted per country</w:t>
            </w:r>
          </w:p>
          <w:tbl>
            <w:tblPr>
              <w:tblStyle w:val="Table"/>
              <w:tblW w:type="pct" w:w="5000"/>
              <w:tblLayout w:type="fixed"/>
              <w:tblLook w:firstRow="1" w:lastRow="0" w:firstColumn="0" w:lastColumn="0" w:noHBand="0" w:noVBand="0" w:val="0020"/>
            </w:tblPr>
            <w:tblGrid>
              <w:gridCol w:w="1660"/>
              <w:gridCol w:w="2810"/>
              <w:gridCol w:w="3449"/>
            </w:tblGrid>
            <w:tr>
              <w:trPr>
                <w:tblHeader w:val="on"/>
              </w:trPr>
              <w:tc>
                <w:tcPr/>
                <w:p>
                  <w:pPr>
                    <w:pStyle w:val="Compact"/>
                    <w:jc w:val="left"/>
                    <w:jc w:val="center"/>
                  </w:pPr>
                  <w:r>
                    <w:rPr>
                      <w:b/>
                      <w:bCs/>
                    </w:rPr>
                    <w:t xml:space="preserve">Country</w:t>
                  </w:r>
                </w:p>
              </w:tc>
              <w:tc>
                <w:tcPr/>
                <w:p>
                  <w:pPr>
                    <w:pStyle w:val="Compact"/>
                    <w:jc w:val="left"/>
                    <w:jc w:val="center"/>
                  </w:pPr>
                  <w:r>
                    <w:rPr>
                      <w:b/>
                      <w:bCs/>
                    </w:rPr>
                    <w:t xml:space="preserve">Related Articles (%)</w:t>
                  </w:r>
                </w:p>
              </w:tc>
              <w:tc>
                <w:tcPr/>
                <w:p>
                  <w:pPr>
                    <w:pStyle w:val="Compact"/>
                    <w:jc w:val="left"/>
                    <w:jc w:val="center"/>
                  </w:pPr>
                  <w:r>
                    <w:rPr>
                      <w:b/>
                      <w:bCs/>
                    </w:rPr>
                    <w:t xml:space="preserve">Unclassified Articles (%)</w:t>
                  </w:r>
                </w:p>
              </w:tc>
            </w:tr>
            <w:tr>
              <w:tc>
                <w:tcPr/>
                <w:p>
                  <w:pPr>
                    <w:pStyle w:val="Compact"/>
                    <w:jc w:val="left"/>
                    <w:jc w:val="center"/>
                  </w:pPr>
                  <w:r>
                    <w:t xml:space="preserve">Austria</w:t>
                  </w:r>
                </w:p>
              </w:tc>
              <w:tc>
                <w:tcPr/>
                <w:p>
                  <w:pPr>
                    <w:pStyle w:val="Compact"/>
                    <w:jc w:val="left"/>
                    <w:jc w:val="center"/>
                  </w:pPr>
                  <w:r>
                    <w:t xml:space="preserve">24.9</w:t>
                  </w:r>
                </w:p>
              </w:tc>
              <w:tc>
                <w:tcPr/>
                <w:p>
                  <w:pPr>
                    <w:pStyle w:val="Compact"/>
                    <w:jc w:val="left"/>
                    <w:jc w:val="center"/>
                  </w:pPr>
                  <w:r>
                    <w:t xml:space="preserve">0.5</w:t>
                  </w:r>
                </w:p>
              </w:tc>
            </w:tr>
            <w:tr>
              <w:tc>
                <w:tcPr/>
                <w:p>
                  <w:pPr>
                    <w:pStyle w:val="Compact"/>
                    <w:jc w:val="left"/>
                    <w:jc w:val="center"/>
                  </w:pPr>
                  <w:r>
                    <w:t xml:space="preserve">Belgium</w:t>
                  </w:r>
                </w:p>
              </w:tc>
              <w:tc>
                <w:tcPr/>
                <w:p>
                  <w:pPr>
                    <w:pStyle w:val="Compact"/>
                    <w:jc w:val="left"/>
                    <w:jc w:val="center"/>
                  </w:pPr>
                  <w:r>
                    <w:t xml:space="preserve">24.2</w:t>
                  </w:r>
                </w:p>
              </w:tc>
              <w:tc>
                <w:tcPr/>
                <w:p>
                  <w:pPr>
                    <w:pStyle w:val="Compact"/>
                    <w:jc w:val="left"/>
                    <w:jc w:val="center"/>
                  </w:pPr>
                  <w:r>
                    <w:t xml:space="preserve">1.0</w:t>
                  </w:r>
                </w:p>
              </w:tc>
            </w:tr>
            <w:tr>
              <w:tc>
                <w:tcPr/>
                <w:p>
                  <w:pPr>
                    <w:pStyle w:val="Compact"/>
                    <w:jc w:val="left"/>
                    <w:jc w:val="center"/>
                  </w:pPr>
                  <w:r>
                    <w:t xml:space="preserve">Bulgaria</w:t>
                  </w:r>
                </w:p>
              </w:tc>
              <w:tc>
                <w:tcPr/>
                <w:p>
                  <w:pPr>
                    <w:pStyle w:val="Compact"/>
                    <w:jc w:val="left"/>
                    <w:jc w:val="center"/>
                  </w:pPr>
                  <w:r>
                    <w:t xml:space="preserve">35.1</w:t>
                  </w:r>
                </w:p>
              </w:tc>
              <w:tc>
                <w:tcPr/>
                <w:p>
                  <w:pPr>
                    <w:pStyle w:val="Compact"/>
                    <w:jc w:val="left"/>
                    <w:jc w:val="center"/>
                  </w:pPr>
                  <w:r>
                    <w:t xml:space="preserve">0.3</w:t>
                  </w:r>
                </w:p>
              </w:tc>
            </w:tr>
            <w:tr>
              <w:tc>
                <w:tcPr/>
                <w:p>
                  <w:pPr>
                    <w:pStyle w:val="Compact"/>
                    <w:jc w:val="left"/>
                    <w:jc w:val="center"/>
                  </w:pPr>
                  <w:r>
                    <w:t xml:space="preserve">Croatia</w:t>
                  </w:r>
                </w:p>
              </w:tc>
              <w:tc>
                <w:tcPr/>
                <w:p>
                  <w:pPr>
                    <w:pStyle w:val="Compact"/>
                    <w:jc w:val="left"/>
                    <w:jc w:val="center"/>
                  </w:pPr>
                  <w:r>
                    <w:t xml:space="preserve">28.8</w:t>
                  </w:r>
                </w:p>
              </w:tc>
              <w:tc>
                <w:tcPr/>
                <w:p>
                  <w:pPr>
                    <w:pStyle w:val="Compact"/>
                    <w:jc w:val="left"/>
                    <w:jc w:val="center"/>
                  </w:pPr>
                  <w:r>
                    <w:t xml:space="preserve">0.8</w:t>
                  </w:r>
                </w:p>
              </w:tc>
            </w:tr>
            <w:tr>
              <w:tc>
                <w:tcPr/>
                <w:p>
                  <w:pPr>
                    <w:pStyle w:val="Compact"/>
                    <w:jc w:val="left"/>
                    <w:jc w:val="center"/>
                  </w:pPr>
                  <w:r>
                    <w:t xml:space="preserve">Cyprus</w:t>
                  </w:r>
                </w:p>
              </w:tc>
              <w:tc>
                <w:tcPr/>
                <w:p>
                  <w:pPr>
                    <w:pStyle w:val="Compact"/>
                    <w:jc w:val="left"/>
                    <w:jc w:val="center"/>
                  </w:pPr>
                  <w:r>
                    <w:t xml:space="preserve">29.1</w:t>
                  </w:r>
                </w:p>
              </w:tc>
              <w:tc>
                <w:tcPr/>
                <w:p>
                  <w:pPr>
                    <w:pStyle w:val="Compact"/>
                    <w:jc w:val="left"/>
                    <w:jc w:val="center"/>
                  </w:pPr>
                  <w:r>
                    <w:t xml:space="preserve">0.3</w:t>
                  </w:r>
                </w:p>
              </w:tc>
            </w:tr>
            <w:tr>
              <w:tc>
                <w:tcPr/>
                <w:p>
                  <w:pPr>
                    <w:pStyle w:val="Compact"/>
                    <w:jc w:val="left"/>
                    <w:jc w:val="center"/>
                  </w:pPr>
                  <w:r>
                    <w:t xml:space="preserve">Czechia</w:t>
                  </w:r>
                </w:p>
              </w:tc>
              <w:tc>
                <w:tcPr/>
                <w:p>
                  <w:pPr>
                    <w:pStyle w:val="Compact"/>
                    <w:jc w:val="left"/>
                    <w:jc w:val="center"/>
                  </w:pPr>
                  <w:r>
                    <w:t xml:space="preserve">21.8</w:t>
                  </w:r>
                </w:p>
              </w:tc>
              <w:tc>
                <w:tcPr/>
                <w:p>
                  <w:pPr>
                    <w:pStyle w:val="Compact"/>
                    <w:jc w:val="left"/>
                    <w:jc w:val="center"/>
                  </w:pPr>
                  <w:r>
                    <w:t xml:space="preserve">1.3</w:t>
                  </w:r>
                </w:p>
              </w:tc>
            </w:tr>
            <w:tr>
              <w:tc>
                <w:tcPr/>
                <w:p>
                  <w:pPr>
                    <w:pStyle w:val="Compact"/>
                    <w:jc w:val="left"/>
                    <w:jc w:val="center"/>
                  </w:pPr>
                  <w:r>
                    <w:t xml:space="preserve">Denmark</w:t>
                  </w:r>
                </w:p>
              </w:tc>
              <w:tc>
                <w:tcPr/>
                <w:p>
                  <w:pPr>
                    <w:pStyle w:val="Compact"/>
                    <w:jc w:val="left"/>
                    <w:jc w:val="center"/>
                  </w:pPr>
                  <w:r>
                    <w:t xml:space="preserve">30.6</w:t>
                  </w:r>
                </w:p>
              </w:tc>
              <w:tc>
                <w:tcPr/>
                <w:p>
                  <w:pPr>
                    <w:pStyle w:val="Compact"/>
                    <w:jc w:val="left"/>
                    <w:jc w:val="center"/>
                  </w:pPr>
                  <w:r>
                    <w:t xml:space="preserve">0.9</w:t>
                  </w:r>
                </w:p>
              </w:tc>
            </w:tr>
            <w:tr>
              <w:tc>
                <w:tcPr/>
                <w:p>
                  <w:pPr>
                    <w:pStyle w:val="Compact"/>
                    <w:jc w:val="left"/>
                    <w:jc w:val="center"/>
                  </w:pPr>
                  <w:r>
                    <w:t xml:space="preserve">Estonia</w:t>
                  </w:r>
                </w:p>
              </w:tc>
              <w:tc>
                <w:tcPr/>
                <w:p>
                  <w:pPr>
                    <w:pStyle w:val="Compact"/>
                    <w:jc w:val="left"/>
                    <w:jc w:val="center"/>
                  </w:pPr>
                  <w:r>
                    <w:t xml:space="preserve">22.5</w:t>
                  </w:r>
                </w:p>
              </w:tc>
              <w:tc>
                <w:tcPr/>
                <w:p>
                  <w:pPr>
                    <w:pStyle w:val="Compact"/>
                    <w:jc w:val="left"/>
                    <w:jc w:val="center"/>
                  </w:pPr>
                  <w:r>
                    <w:t xml:space="preserve">0.3</w:t>
                  </w:r>
                </w:p>
              </w:tc>
            </w:tr>
            <w:tr>
              <w:tc>
                <w:tcPr/>
                <w:p>
                  <w:pPr>
                    <w:pStyle w:val="Compact"/>
                    <w:jc w:val="left"/>
                    <w:jc w:val="center"/>
                  </w:pPr>
                  <w:r>
                    <w:t xml:space="preserve">Finland</w:t>
                  </w:r>
                </w:p>
              </w:tc>
              <w:tc>
                <w:tcPr/>
                <w:p>
                  <w:pPr>
                    <w:pStyle w:val="Compact"/>
                    <w:jc w:val="left"/>
                    <w:jc w:val="center"/>
                  </w:pPr>
                  <w:r>
                    <w:t xml:space="preserve">32.8</w:t>
                  </w:r>
                </w:p>
              </w:tc>
              <w:tc>
                <w:tcPr/>
                <w:p>
                  <w:pPr>
                    <w:pStyle w:val="Compact"/>
                    <w:jc w:val="left"/>
                    <w:jc w:val="center"/>
                  </w:pPr>
                  <w:r>
                    <w:t xml:space="preserve">0.8</w:t>
                  </w:r>
                </w:p>
              </w:tc>
            </w:tr>
            <w:tr>
              <w:tc>
                <w:tcPr/>
                <w:p>
                  <w:pPr>
                    <w:pStyle w:val="Compact"/>
                    <w:jc w:val="left"/>
                    <w:jc w:val="center"/>
                  </w:pPr>
                  <w:r>
                    <w:t xml:space="preserve">France</w:t>
                  </w:r>
                </w:p>
              </w:tc>
              <w:tc>
                <w:tcPr/>
                <w:p>
                  <w:pPr>
                    <w:pStyle w:val="Compact"/>
                    <w:jc w:val="left"/>
                    <w:jc w:val="center"/>
                  </w:pPr>
                  <w:r>
                    <w:t xml:space="preserve">26.5</w:t>
                  </w:r>
                </w:p>
              </w:tc>
              <w:tc>
                <w:tcPr/>
                <w:p>
                  <w:pPr>
                    <w:pStyle w:val="Compact"/>
                    <w:jc w:val="left"/>
                    <w:jc w:val="center"/>
                  </w:pPr>
                  <w:r>
                    <w:t xml:space="preserve">0.7</w:t>
                  </w:r>
                </w:p>
              </w:tc>
            </w:tr>
            <w:tr>
              <w:tc>
                <w:tcPr/>
                <w:p>
                  <w:pPr>
                    <w:pStyle w:val="Compact"/>
                    <w:jc w:val="left"/>
                    <w:jc w:val="center"/>
                  </w:pPr>
                  <w:r>
                    <w:t xml:space="preserve">Germany</w:t>
                  </w:r>
                </w:p>
              </w:tc>
              <w:tc>
                <w:tcPr/>
                <w:p>
                  <w:pPr>
                    <w:pStyle w:val="Compact"/>
                    <w:jc w:val="left"/>
                    <w:jc w:val="center"/>
                  </w:pPr>
                  <w:r>
                    <w:t xml:space="preserve">29.4</w:t>
                  </w:r>
                </w:p>
              </w:tc>
              <w:tc>
                <w:tcPr/>
                <w:p>
                  <w:pPr>
                    <w:pStyle w:val="Compact"/>
                    <w:jc w:val="left"/>
                    <w:jc w:val="center"/>
                  </w:pPr>
                  <w:r>
                    <w:t xml:space="preserve">0.8</w:t>
                  </w:r>
                </w:p>
              </w:tc>
            </w:tr>
            <w:tr>
              <w:tc>
                <w:tcPr/>
                <w:p>
                  <w:pPr>
                    <w:pStyle w:val="Compact"/>
                    <w:jc w:val="left"/>
                    <w:jc w:val="center"/>
                  </w:pPr>
                  <w:r>
                    <w:t xml:space="preserve">Greece</w:t>
                  </w:r>
                </w:p>
              </w:tc>
              <w:tc>
                <w:tcPr/>
                <w:p>
                  <w:pPr>
                    <w:pStyle w:val="Compact"/>
                    <w:jc w:val="left"/>
                    <w:jc w:val="center"/>
                  </w:pPr>
                  <w:r>
                    <w:t xml:space="preserve">26.6</w:t>
                  </w:r>
                </w:p>
              </w:tc>
              <w:tc>
                <w:tcPr/>
                <w:p>
                  <w:pPr>
                    <w:pStyle w:val="Compact"/>
                    <w:jc w:val="left"/>
                    <w:jc w:val="center"/>
                  </w:pPr>
                  <w:r>
                    <w:t xml:space="preserve">1.2</w:t>
                  </w:r>
                </w:p>
              </w:tc>
            </w:tr>
            <w:tr>
              <w:tc>
                <w:tcPr/>
                <w:p>
                  <w:pPr>
                    <w:pStyle w:val="Compact"/>
                    <w:jc w:val="left"/>
                    <w:jc w:val="center"/>
                  </w:pPr>
                  <w:r>
                    <w:t xml:space="preserve">Hungary</w:t>
                  </w:r>
                </w:p>
              </w:tc>
              <w:tc>
                <w:tcPr/>
                <w:p>
                  <w:pPr>
                    <w:pStyle w:val="Compact"/>
                    <w:jc w:val="left"/>
                    <w:jc w:val="center"/>
                  </w:pPr>
                  <w:r>
                    <w:t xml:space="preserve">25.8</w:t>
                  </w:r>
                </w:p>
              </w:tc>
              <w:tc>
                <w:tcPr/>
                <w:p>
                  <w:pPr>
                    <w:pStyle w:val="Compact"/>
                    <w:jc w:val="left"/>
                    <w:jc w:val="center"/>
                  </w:pPr>
                  <w:r>
                    <w:t xml:space="preserve">0.8</w:t>
                  </w:r>
                </w:p>
              </w:tc>
            </w:tr>
            <w:tr>
              <w:tc>
                <w:tcPr/>
                <w:p>
                  <w:pPr>
                    <w:pStyle w:val="Compact"/>
                    <w:jc w:val="left"/>
                    <w:jc w:val="center"/>
                  </w:pPr>
                  <w:r>
                    <w:t xml:space="preserve">Ireland</w:t>
                  </w:r>
                </w:p>
              </w:tc>
              <w:tc>
                <w:tcPr/>
                <w:p>
                  <w:pPr>
                    <w:pStyle w:val="Compact"/>
                    <w:jc w:val="left"/>
                    <w:jc w:val="center"/>
                  </w:pPr>
                  <w:r>
                    <w:t xml:space="preserve">8.0</w:t>
                  </w:r>
                </w:p>
              </w:tc>
              <w:tc>
                <w:tcPr/>
                <w:p>
                  <w:pPr>
                    <w:pStyle w:val="Compact"/>
                    <w:jc w:val="left"/>
                    <w:jc w:val="center"/>
                  </w:pPr>
                  <w:r>
                    <w:t xml:space="preserve">0.2</w:t>
                  </w:r>
                </w:p>
              </w:tc>
            </w:tr>
            <w:tr>
              <w:tc>
                <w:tcPr/>
                <w:p>
                  <w:pPr>
                    <w:pStyle w:val="Compact"/>
                    <w:jc w:val="left"/>
                    <w:jc w:val="center"/>
                  </w:pPr>
                  <w:r>
                    <w:t xml:space="preserve">Italy</w:t>
                  </w:r>
                </w:p>
              </w:tc>
              <w:tc>
                <w:tcPr/>
                <w:p>
                  <w:pPr>
                    <w:pStyle w:val="Compact"/>
                    <w:jc w:val="left"/>
                    <w:jc w:val="center"/>
                  </w:pPr>
                  <w:r>
                    <w:t xml:space="preserve">29.1</w:t>
                  </w:r>
                </w:p>
              </w:tc>
              <w:tc>
                <w:tcPr/>
                <w:p>
                  <w:pPr>
                    <w:pStyle w:val="Compact"/>
                    <w:jc w:val="left"/>
                    <w:jc w:val="center"/>
                  </w:pPr>
                  <w:r>
                    <w:t xml:space="preserve">0.8</w:t>
                  </w:r>
                </w:p>
              </w:tc>
            </w:tr>
            <w:tr>
              <w:tc>
                <w:tcPr/>
                <w:p>
                  <w:pPr>
                    <w:pStyle w:val="Compact"/>
                    <w:jc w:val="left"/>
                    <w:jc w:val="center"/>
                  </w:pPr>
                  <w:r>
                    <w:t xml:space="preserve">Latvia</w:t>
                  </w:r>
                </w:p>
              </w:tc>
              <w:tc>
                <w:tcPr/>
                <w:p>
                  <w:pPr>
                    <w:pStyle w:val="Compact"/>
                    <w:jc w:val="left"/>
                    <w:jc w:val="center"/>
                  </w:pPr>
                  <w:r>
                    <w:t xml:space="preserve">15.1</w:t>
                  </w:r>
                </w:p>
              </w:tc>
              <w:tc>
                <w:tcPr/>
                <w:p>
                  <w:pPr>
                    <w:pStyle w:val="Compact"/>
                    <w:jc w:val="left"/>
                    <w:jc w:val="center"/>
                  </w:pPr>
                  <w:r>
                    <w:t xml:space="preserve">0.6</w:t>
                  </w:r>
                </w:p>
              </w:tc>
            </w:tr>
            <w:tr>
              <w:tc>
                <w:tcPr/>
                <w:p>
                  <w:pPr>
                    <w:pStyle w:val="Compact"/>
                    <w:jc w:val="left"/>
                    <w:jc w:val="center"/>
                  </w:pPr>
                  <w:r>
                    <w:t xml:space="preserve">Lithuania</w:t>
                  </w:r>
                </w:p>
              </w:tc>
              <w:tc>
                <w:tcPr/>
                <w:p>
                  <w:pPr>
                    <w:pStyle w:val="Compact"/>
                    <w:jc w:val="left"/>
                    <w:jc w:val="center"/>
                  </w:pPr>
                  <w:r>
                    <w:t xml:space="preserve">31.5</w:t>
                  </w:r>
                </w:p>
              </w:tc>
              <w:tc>
                <w:tcPr/>
                <w:p>
                  <w:pPr>
                    <w:pStyle w:val="Compact"/>
                    <w:jc w:val="left"/>
                    <w:jc w:val="center"/>
                  </w:pPr>
                  <w:r>
                    <w:t xml:space="preserve">0.7</w:t>
                  </w:r>
                </w:p>
              </w:tc>
            </w:tr>
            <w:tr>
              <w:tc>
                <w:tcPr/>
                <w:p>
                  <w:pPr>
                    <w:pStyle w:val="Compact"/>
                    <w:jc w:val="left"/>
                    <w:jc w:val="center"/>
                  </w:pPr>
                  <w:r>
                    <w:t xml:space="preserve">Luxembourg</w:t>
                  </w:r>
                </w:p>
              </w:tc>
              <w:tc>
                <w:tcPr/>
                <w:p>
                  <w:pPr>
                    <w:pStyle w:val="Compact"/>
                    <w:jc w:val="left"/>
                    <w:jc w:val="center"/>
                  </w:pPr>
                  <w:r>
                    <w:t xml:space="preserve">26.7</w:t>
                  </w:r>
                </w:p>
              </w:tc>
              <w:tc>
                <w:tcPr/>
                <w:p>
                  <w:pPr>
                    <w:pStyle w:val="Compact"/>
                    <w:jc w:val="left"/>
                    <w:jc w:val="center"/>
                  </w:pPr>
                  <w:r>
                    <w:t xml:space="preserve">0.5</w:t>
                  </w:r>
                </w:p>
              </w:tc>
            </w:tr>
            <w:tr>
              <w:tc>
                <w:tcPr/>
                <w:p>
                  <w:pPr>
                    <w:pStyle w:val="Compact"/>
                    <w:jc w:val="left"/>
                    <w:jc w:val="center"/>
                  </w:pPr>
                  <w:r>
                    <w:t xml:space="preserve">Malta</w:t>
                  </w:r>
                </w:p>
              </w:tc>
              <w:tc>
                <w:tcPr/>
                <w:p>
                  <w:pPr>
                    <w:pStyle w:val="Compact"/>
                    <w:jc w:val="left"/>
                    <w:jc w:val="center"/>
                  </w:pPr>
                  <w:r>
                    <w:t xml:space="preserve">37.6</w:t>
                  </w:r>
                </w:p>
              </w:tc>
              <w:tc>
                <w:tcPr/>
                <w:p>
                  <w:pPr>
                    <w:pStyle w:val="Compact"/>
                    <w:jc w:val="left"/>
                    <w:jc w:val="center"/>
                  </w:pPr>
                  <w:r>
                    <w:t xml:space="preserve">0.4</w:t>
                  </w:r>
                </w:p>
              </w:tc>
            </w:tr>
            <w:tr>
              <w:tc>
                <w:tcPr/>
                <w:p>
                  <w:pPr>
                    <w:pStyle w:val="Compact"/>
                    <w:jc w:val="left"/>
                    <w:jc w:val="center"/>
                  </w:pPr>
                  <w:r>
                    <w:t xml:space="preserve">Netherlands</w:t>
                  </w:r>
                </w:p>
              </w:tc>
              <w:tc>
                <w:tcPr/>
                <w:p>
                  <w:pPr>
                    <w:pStyle w:val="Compact"/>
                    <w:jc w:val="left"/>
                    <w:jc w:val="center"/>
                  </w:pPr>
                  <w:r>
                    <w:t xml:space="preserve">24.8</w:t>
                  </w:r>
                </w:p>
              </w:tc>
              <w:tc>
                <w:tcPr/>
                <w:p>
                  <w:pPr>
                    <w:pStyle w:val="Compact"/>
                    <w:jc w:val="left"/>
                    <w:jc w:val="center"/>
                  </w:pPr>
                  <w:r>
                    <w:t xml:space="preserve">0.6</w:t>
                  </w:r>
                </w:p>
              </w:tc>
            </w:tr>
            <w:tr>
              <w:tc>
                <w:tcPr/>
                <w:p>
                  <w:pPr>
                    <w:pStyle w:val="Compact"/>
                    <w:jc w:val="left"/>
                    <w:jc w:val="center"/>
                  </w:pPr>
                  <w:r>
                    <w:t xml:space="preserve">Poland</w:t>
                  </w:r>
                </w:p>
              </w:tc>
              <w:tc>
                <w:tcPr/>
                <w:p>
                  <w:pPr>
                    <w:pStyle w:val="Compact"/>
                    <w:jc w:val="left"/>
                    <w:jc w:val="center"/>
                  </w:pPr>
                  <w:r>
                    <w:t xml:space="preserve">40.7</w:t>
                  </w:r>
                </w:p>
              </w:tc>
              <w:tc>
                <w:tcPr/>
                <w:p>
                  <w:pPr>
                    <w:pStyle w:val="Compact"/>
                    <w:jc w:val="left"/>
                    <w:jc w:val="center"/>
                  </w:pPr>
                  <w:r>
                    <w:t xml:space="preserve">0.8</w:t>
                  </w:r>
                </w:p>
              </w:tc>
            </w:tr>
            <w:tr>
              <w:tc>
                <w:tcPr/>
                <w:p>
                  <w:pPr>
                    <w:pStyle w:val="Compact"/>
                    <w:jc w:val="left"/>
                    <w:jc w:val="center"/>
                  </w:pPr>
                  <w:r>
                    <w:t xml:space="preserve">Portugal</w:t>
                  </w:r>
                </w:p>
              </w:tc>
              <w:tc>
                <w:tcPr/>
                <w:p>
                  <w:pPr>
                    <w:pStyle w:val="Compact"/>
                    <w:jc w:val="left"/>
                    <w:jc w:val="center"/>
                  </w:pPr>
                  <w:r>
                    <w:t xml:space="preserve">23.2</w:t>
                  </w:r>
                </w:p>
              </w:tc>
              <w:tc>
                <w:tcPr/>
                <w:p>
                  <w:pPr>
                    <w:pStyle w:val="Compact"/>
                    <w:jc w:val="left"/>
                    <w:jc w:val="center"/>
                  </w:pPr>
                  <w:r>
                    <w:t xml:space="preserve">0.3</w:t>
                  </w:r>
                </w:p>
              </w:tc>
            </w:tr>
            <w:tr>
              <w:tc>
                <w:tcPr/>
                <w:p>
                  <w:pPr>
                    <w:pStyle w:val="Compact"/>
                    <w:jc w:val="left"/>
                    <w:jc w:val="center"/>
                  </w:pPr>
                  <w:r>
                    <w:t xml:space="preserve">Romania</w:t>
                  </w:r>
                </w:p>
              </w:tc>
              <w:tc>
                <w:tcPr/>
                <w:p>
                  <w:pPr>
                    <w:pStyle w:val="Compact"/>
                    <w:jc w:val="left"/>
                    <w:jc w:val="center"/>
                  </w:pPr>
                  <w:r>
                    <w:t xml:space="preserve">43.6</w:t>
                  </w:r>
                </w:p>
              </w:tc>
              <w:tc>
                <w:tcPr/>
                <w:p>
                  <w:pPr>
                    <w:pStyle w:val="Compact"/>
                    <w:jc w:val="left"/>
                    <w:jc w:val="center"/>
                  </w:pPr>
                  <w:r>
                    <w:t xml:space="preserve">1.0</w:t>
                  </w:r>
                </w:p>
              </w:tc>
            </w:tr>
            <w:tr>
              <w:tc>
                <w:tcPr/>
                <w:p>
                  <w:pPr>
                    <w:pStyle w:val="Compact"/>
                    <w:jc w:val="left"/>
                    <w:jc w:val="center"/>
                  </w:pPr>
                  <w:r>
                    <w:t xml:space="preserve">Slovakia</w:t>
                  </w:r>
                </w:p>
              </w:tc>
              <w:tc>
                <w:tcPr/>
                <w:p>
                  <w:pPr>
                    <w:pStyle w:val="Compact"/>
                    <w:jc w:val="left"/>
                    <w:jc w:val="center"/>
                  </w:pPr>
                  <w:r>
                    <w:t xml:space="preserve">26.8</w:t>
                  </w:r>
                </w:p>
              </w:tc>
              <w:tc>
                <w:tcPr/>
                <w:p>
                  <w:pPr>
                    <w:pStyle w:val="Compact"/>
                    <w:jc w:val="left"/>
                    <w:jc w:val="center"/>
                  </w:pPr>
                  <w:r>
                    <w:t xml:space="preserve">0.4</w:t>
                  </w:r>
                </w:p>
              </w:tc>
            </w:tr>
            <w:tr>
              <w:tc>
                <w:tcPr/>
                <w:p>
                  <w:pPr>
                    <w:pStyle w:val="Compact"/>
                    <w:jc w:val="left"/>
                    <w:jc w:val="center"/>
                  </w:pPr>
                  <w:r>
                    <w:t xml:space="preserve">Slovenia</w:t>
                  </w:r>
                </w:p>
              </w:tc>
              <w:tc>
                <w:tcPr/>
                <w:p>
                  <w:pPr>
                    <w:pStyle w:val="Compact"/>
                    <w:jc w:val="left"/>
                    <w:jc w:val="center"/>
                  </w:pPr>
                  <w:r>
                    <w:t xml:space="preserve">30.7</w:t>
                  </w:r>
                </w:p>
              </w:tc>
              <w:tc>
                <w:tcPr/>
                <w:p>
                  <w:pPr>
                    <w:pStyle w:val="Compact"/>
                    <w:jc w:val="left"/>
                    <w:jc w:val="center"/>
                  </w:pPr>
                  <w:r>
                    <w:t xml:space="preserve">0.7</w:t>
                  </w:r>
                </w:p>
              </w:tc>
            </w:tr>
            <w:tr>
              <w:tc>
                <w:tcPr/>
                <w:p>
                  <w:pPr>
                    <w:pStyle w:val="Compact"/>
                    <w:jc w:val="left"/>
                    <w:jc w:val="center"/>
                  </w:pPr>
                  <w:r>
                    <w:t xml:space="preserve">Spain</w:t>
                  </w:r>
                </w:p>
              </w:tc>
              <w:tc>
                <w:tcPr/>
                <w:p>
                  <w:pPr>
                    <w:pStyle w:val="Compact"/>
                    <w:jc w:val="left"/>
                    <w:jc w:val="center"/>
                  </w:pPr>
                  <w:r>
                    <w:t xml:space="preserve">27.7</w:t>
                  </w:r>
                </w:p>
              </w:tc>
              <w:tc>
                <w:tcPr/>
                <w:p>
                  <w:pPr>
                    <w:pStyle w:val="Compact"/>
                    <w:jc w:val="left"/>
                    <w:jc w:val="center"/>
                  </w:pPr>
                  <w:r>
                    <w:t xml:space="preserve">1.0</w:t>
                  </w:r>
                </w:p>
              </w:tc>
            </w:tr>
            <w:tr>
              <w:tc>
                <w:tcPr/>
                <w:p>
                  <w:pPr>
                    <w:pStyle w:val="Compact"/>
                    <w:jc w:val="left"/>
                    <w:jc w:val="center"/>
                  </w:pPr>
                  <w:r>
                    <w:t xml:space="preserve">Sweden</w:t>
                  </w:r>
                </w:p>
              </w:tc>
              <w:tc>
                <w:tcPr/>
                <w:p>
                  <w:pPr>
                    <w:pStyle w:val="Compact"/>
                    <w:jc w:val="left"/>
                    <w:jc w:val="center"/>
                  </w:pPr>
                  <w:r>
                    <w:t xml:space="preserve">26.7</w:t>
                  </w:r>
                </w:p>
              </w:tc>
              <w:tc>
                <w:tcPr/>
                <w:p>
                  <w:pPr>
                    <w:pStyle w:val="Compact"/>
                    <w:jc w:val="left"/>
                    <w:jc w:val="center"/>
                  </w:pPr>
                  <w:r>
                    <w:t xml:space="preserve">2.5</w:t>
                  </w:r>
                </w:p>
              </w:tc>
            </w:tr>
            <w:tr>
              <w:tc>
                <w:tcPr/>
                <w:p>
                  <w:pPr>
                    <w:pStyle w:val="Compact"/>
                    <w:jc w:val="left"/>
                    <w:jc w:val="center"/>
                  </w:pPr>
                  <w:r>
                    <w:rPr>
                      <w:b/>
                      <w:bCs/>
                    </w:rPr>
                    <w:t xml:space="preserve">Average</w:t>
                  </w:r>
                </w:p>
              </w:tc>
              <w:tc>
                <w:tcPr/>
                <w:p>
                  <w:pPr>
                    <w:pStyle w:val="Compact"/>
                    <w:jc w:val="left"/>
                    <w:jc w:val="center"/>
                  </w:pPr>
                  <w:r>
                    <w:rPr>
                      <w:b/>
                      <w:bCs/>
                    </w:rPr>
                    <w:t xml:space="preserve">27.8</w:t>
                  </w:r>
                </w:p>
              </w:tc>
              <w:tc>
                <w:tcPr/>
                <w:p>
                  <w:pPr>
                    <w:pStyle w:val="Compact"/>
                    <w:jc w:val="left"/>
                    <w:jc w:val="center"/>
                  </w:pPr>
                  <w:r>
                    <w:rPr>
                      <w:b/>
                      <w:bCs/>
                    </w:rPr>
                    <w:t xml:space="preserve">0.8</w:t>
                  </w:r>
                </w:p>
              </w:tc>
            </w:tr>
          </w:tbl>
          <w:bookmarkEnd w:id="45"/>
          <w:p/>
        </w:tc>
      </w:tr>
    </w:tbl>
    <w:bookmarkEnd w:id="46"/>
    <w:bookmarkEnd w:id="47"/>
    <w:bookmarkStart w:id="63" w:name="appendix"/>
    <w:p>
      <w:pPr>
        <w:pStyle w:val="Heading2"/>
      </w:pPr>
      <w:r>
        <w:t xml:space="preserve">5 Appendix</w:t>
      </w:r>
    </w:p>
    <w:bookmarkStart w:id="52" w:name="sec-sources"/>
    <w:p>
      <w:pPr>
        <w:pStyle w:val="Heading3"/>
      </w:pPr>
      <w:r>
        <w:t xml:space="preserve">5.1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Article Notebook</w:t>
              </w:r>
            </w:hyperlink>
          </w:p>
        </w:tc>
      </w:tr>
    </w:tbl>
    <w:bookmarkEnd w:id="52"/>
    <w:bookmarkStart w:id="62" w:name="sec-keys"/>
    <w:p>
      <w:pPr>
        <w:pStyle w:val="Heading3"/>
      </w:pPr>
      <w:r>
        <w:t xml:space="preserve">5.2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note.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Article Notebook</w:t>
              </w:r>
            </w:hyperlink>
          </w:p>
        </w:tc>
      </w:tr>
    </w:tbl>
    <w:bookmarkStart w:id="61" w:name="refs"/>
    <w:bookmarkStart w:id="57"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57"/>
    <w:bookmarkStart w:id="58"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58"/>
    <w:bookmarkStart w:id="59"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59"/>
    <w:bookmarkStart w:id="60" w:name="ref-unanue2023t3l"/>
    <w:p>
      <w:pPr>
        <w:pStyle w:val="Bibliography"/>
      </w:pPr>
      <w:r>
        <w:t xml:space="preserve">Unanue, Inigo Jauregi, Gholamreza Haffari, and Massimo Piccardi. 2023.</w:t>
      </w:r>
      <w:r>
        <w:t xml:space="preserve"> </w:t>
      </w:r>
      <w:r>
        <w:t xml:space="preserve">“T3l: Translate-and-Test Transfer Learning for Cross-Lingual Text Classification.”</w:t>
      </w:r>
      <w:r>
        <w:t xml:space="preserve"> </w:t>
      </w:r>
      <w:r>
        <w:rPr>
          <w:i/>
          <w:iCs/>
        </w:rPr>
        <w:t xml:space="preserve">Transactions of the Association for Computational Linguistics</w:t>
      </w:r>
      <w:r>
        <w:t xml:space="preserve"> </w:t>
      </w:r>
      <w:r>
        <w:t xml:space="preserve">11: 1147–61.</w:t>
      </w:r>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38">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 w:id="41">
    <w:p>
      <w:pPr>
        <w:pStyle w:val="FootnoteText"/>
      </w:pPr>
      <w:r>
        <w:rPr>
          <w:rStyle w:val="FootnoteReference"/>
        </w:rPr>
        <w:footnoteRef/>
      </w:r>
      <w:r>
        <w:t xml:space="preserve"> </w:t>
      </w:r>
      <w:r>
        <w:t xml:space="preserve">GPT refers to a family of models developed by OpenAI, while Gemini refers to a family of models developed by Google. During the pilot phase of this study, we tested the</w:t>
      </w:r>
      <w:r>
        <w:t xml:space="preserve"> </w:t>
      </w:r>
      <w:r>
        <w:rPr>
          <w:i/>
          <w:iCs/>
        </w:rPr>
        <w:t xml:space="preserve">GPT-4-Turbo</w:t>
      </w:r>
      <w:r>
        <w:t xml:space="preserve"> </w:t>
      </w:r>
      <w:r>
        <w:t xml:space="preserve">and the</w:t>
      </w:r>
      <w:r>
        <w:t xml:space="preserve"> </w:t>
      </w:r>
      <w:r>
        <w:rPr>
          <w:i/>
          <w:iCs/>
        </w:rPr>
        <w:t xml:space="preserve">Gemini-1.5</w:t>
      </w:r>
      <w:r>
        <w:t xml:space="preserve"> </w:t>
      </w:r>
      <w:r>
        <w:t xml:space="preserve">models, respectively.</w:t>
      </w:r>
    </w:p>
  </w:footnote>
  <w:footnote w:id="44">
    <w:p>
      <w:pPr>
        <w:pStyle w:val="FootnoteText"/>
      </w:pPr>
      <w:r>
        <w:rPr>
          <w:rStyle w:val="FootnoteReference"/>
        </w:rPr>
        <w:footnoteRef/>
      </w:r>
      <w:r>
        <w:t xml:space="preserve"> </w:t>
      </w:r>
      <w:r>
        <w:t xml:space="preserve">The final instruction prompt would usually be longer due to the inclusion of the title and full content of the news article.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hyperlink" Id="rId51" Target="https://ctoruno.github.io/eu-rol-tracker/index.qmd.html" TargetMode="External" /><Relationship Type="http://schemas.openxmlformats.org/officeDocument/2006/relationships/hyperlink" Id="rId42" Target="https://ctoruno.github.io/eu-rol-tracker/notebooks/prompts_classification-preview.html" TargetMode="External" /><Relationship Type="http://schemas.openxmlformats.org/officeDocument/2006/relationships/hyperlink" Id="rId36" Target="https://developer.mozilla.org/en-US/docs/Web/HTTP/Methods" TargetMode="External" /><Relationship Type="http://schemas.openxmlformats.org/officeDocument/2006/relationships/hyperlink" Id="rId35"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51" Target="https://ctoruno.github.io/eu-rol-tracker/index.qmd.html" TargetMode="External" /><Relationship Type="http://schemas.openxmlformats.org/officeDocument/2006/relationships/hyperlink" Id="rId42" Target="https://ctoruno.github.io/eu-rol-tracker/notebooks/prompts_classification-preview.html" TargetMode="External" /><Relationship Type="http://schemas.openxmlformats.org/officeDocument/2006/relationships/hyperlink" Id="rId36" Target="https://developer.mozilla.org/en-US/docs/Web/HTTP/Methods" TargetMode="External" /><Relationship Type="http://schemas.openxmlformats.org/officeDocument/2006/relationships/hyperlink" Id="rId35"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2024-09-09T17:41:00Z</dcterms:created>
  <dcterms:modified xsi:type="dcterms:W3CDTF">2024-09-09T17:41:00Z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2024-09-09</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