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p>
    <w:p>
      <w:pPr>
        <w:pStyle w:val="Author"/>
      </w:pPr>
      <w:r>
        <w:t xml:space="preserve">Carlos</w:t>
      </w:r>
      <w:r>
        <w:t xml:space="preserve"> </w:t>
      </w:r>
      <w:r>
        <w:t xml:space="preserve">A.</w:t>
      </w:r>
      <w:r>
        <w:t xml:space="preserve"> </w:t>
      </w:r>
      <w:r>
        <w:t xml:space="preserve">Toruño</w:t>
      </w:r>
      <w:r>
        <w:t xml:space="preserve"> </w:t>
      </w:r>
      <w:r>
        <w:t xml:space="preserve">Paniagua</w:t>
      </w:r>
    </w:p>
    <w:p>
      <w:pPr>
        <w:pStyle w:val="Date"/>
      </w:pPr>
      <w:r>
        <w:t xml:space="preserve">2024-09-09</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r>
        <w:t xml:space="preserve"> </w:t>
      </w:r>
      <w:r>
        <w:t xml:space="preserve">a</w:t>
      </w:r>
      <w:r>
        <w:t xml:space="preserve"> </w:t>
      </w:r>
      <w:r>
        <w:t xml:space="preserve">project</w:t>
      </w:r>
      <w:r>
        <w:t xml:space="preserve"> </w:t>
      </w:r>
      <w:r>
        <w:t xml:space="preserve">aimed</w:t>
      </w:r>
      <w:r>
        <w:t xml:space="preserve"> </w:t>
      </w:r>
      <w:r>
        <w:t xml:space="preserve">at</w:t>
      </w:r>
      <w:r>
        <w:t xml:space="preserve"> </w:t>
      </w:r>
      <w:r>
        <w:t xml:space="preserve">systematically</w:t>
      </w:r>
      <w:r>
        <w:t xml:space="preserve"> </w:t>
      </w:r>
      <w:r>
        <w:t xml:space="preserve">tracking,</w:t>
      </w:r>
      <w:r>
        <w:t xml:space="preserve"> </w:t>
      </w:r>
      <w:r>
        <w:t xml:space="preserve">classifying,</w:t>
      </w:r>
      <w:r>
        <w:t xml:space="preserve"> </w:t>
      </w:r>
      <w:r>
        <w:t xml:space="preserve">and</w:t>
      </w:r>
      <w:r>
        <w:t xml:space="preserve"> </w:t>
      </w:r>
      <w:r>
        <w:t xml:space="preserve">analyzing</w:t>
      </w:r>
      <w:r>
        <w:t xml:space="preserve"> </w:t>
      </w:r>
      <w:r>
        <w:t xml:space="preserve">social</w:t>
      </w:r>
      <w:r>
        <w:t xml:space="preserve"> </w:t>
      </w:r>
      <w:r>
        <w:t xml:space="preserve">and</w:t>
      </w:r>
      <w:r>
        <w:t xml:space="preserve"> </w:t>
      </w:r>
      <w:r>
        <w:t xml:space="preserve">political</w:t>
      </w:r>
      <w:r>
        <w:t xml:space="preserve"> </w:t>
      </w:r>
      <w:r>
        <w:t xml:space="preserve">events</w:t>
      </w:r>
      <w:r>
        <w:t xml:space="preserve"> </w:t>
      </w:r>
      <w:r>
        <w:t xml:space="preserve">related</w:t>
      </w:r>
      <w:r>
        <w:t xml:space="preserve"> </w:t>
      </w:r>
      <w:r>
        <w:t xml:space="preserve">to</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across</w:t>
      </w:r>
      <w:r>
        <w:t xml:space="preserve"> </w:t>
      </w:r>
      <w:r>
        <w:t xml:space="preserve">the</w:t>
      </w:r>
      <w:r>
        <w:t xml:space="preserve"> </w:t>
      </w:r>
      <w:r>
        <w:t xml:space="preserve">27</w:t>
      </w:r>
      <w:r>
        <w:t xml:space="preserve"> </w:t>
      </w:r>
      <w:r>
        <w:t xml:space="preserve">member</w:t>
      </w:r>
      <w:r>
        <w:t xml:space="preserve"> </w:t>
      </w:r>
      <w:r>
        <w:t xml:space="preserve">states</w:t>
      </w:r>
      <w:r>
        <w:t xml:space="preserve"> </w:t>
      </w:r>
      <w:r>
        <w:t xml:space="preserve">of</w:t>
      </w:r>
      <w:r>
        <w:t xml:space="preserve"> </w:t>
      </w:r>
      <w:r>
        <w:t xml:space="preserve">the</w:t>
      </w:r>
      <w:r>
        <w:t xml:space="preserve"> </w:t>
      </w:r>
      <w:r>
        <w:t xml:space="preserve">European</w:t>
      </w:r>
      <w:r>
        <w:t xml:space="preserve"> </w:t>
      </w:r>
      <w:r>
        <w:t xml:space="preserve">Union.</w:t>
      </w:r>
      <w:r>
        <w:t xml:space="preserve"> </w:t>
      </w:r>
      <w:r>
        <w:t xml:space="preserve">While</w:t>
      </w:r>
      <w:r>
        <w:t xml:space="preserve"> </w:t>
      </w:r>
      <w:r>
        <w:t xml:space="preserve">existing</w:t>
      </w:r>
      <w:r>
        <w:t xml:space="preserve"> </w:t>
      </w:r>
      <w:r>
        <w:t xml:space="preserve">indices,</w:t>
      </w:r>
      <w:r>
        <w:t xml:space="preserve"> </w:t>
      </w:r>
      <w:r>
        <w:t xml:space="preserve">such</w:t>
      </w:r>
      <w:r>
        <w:t xml:space="preserve"> </w:t>
      </w:r>
      <w:r>
        <w:t xml:space="preserve">as</w:t>
      </w:r>
      <w:r>
        <w:t xml:space="preserve"> </w:t>
      </w:r>
      <w:r>
        <w:t xml:space="preserve">the</w:t>
      </w:r>
      <w:r>
        <w:t xml:space="preserve"> </w:t>
      </w:r>
      <w:r>
        <w:t xml:space="preserve">World</w:t>
      </w:r>
      <w:r>
        <w:t xml:space="preserve"> </w:t>
      </w:r>
      <w:r>
        <w:t xml:space="preserve">Justice</w:t>
      </w:r>
      <w:r>
        <w:t xml:space="preserve"> </w:t>
      </w:r>
      <w:r>
        <w:t xml:space="preserve">Project’s</w:t>
      </w:r>
      <w:r>
        <w:t xml:space="preserve"> </w:t>
      </w:r>
      <w:r>
        <w:t xml:space="preserve">Rule</w:t>
      </w:r>
      <w:r>
        <w:t xml:space="preserve"> </w:t>
      </w:r>
      <w:r>
        <w:t xml:space="preserve">of</w:t>
      </w:r>
      <w:r>
        <w:t xml:space="preserve"> </w:t>
      </w:r>
      <w:r>
        <w:t xml:space="preserve">Law</w:t>
      </w:r>
      <w:r>
        <w:t xml:space="preserve"> </w:t>
      </w:r>
      <w:r>
        <w:t xml:space="preserve">Index,</w:t>
      </w:r>
      <w:r>
        <w:t xml:space="preserve"> </w:t>
      </w:r>
      <w:r>
        <w:t xml:space="preserve">rely</w:t>
      </w:r>
      <w:r>
        <w:t xml:space="preserve"> </w:t>
      </w:r>
      <w:r>
        <w:t xml:space="preserve">on</w:t>
      </w:r>
      <w:r>
        <w:t xml:space="preserve"> </w:t>
      </w:r>
      <w:r>
        <w:t xml:space="preserve">expert</w:t>
      </w:r>
      <w:r>
        <w:t xml:space="preserve"> </w:t>
      </w:r>
      <w:r>
        <w:t xml:space="preserve">assessments</w:t>
      </w:r>
      <w:r>
        <w:t xml:space="preserve"> </w:t>
      </w:r>
      <w:r>
        <w:t xml:space="preserve">and</w:t>
      </w:r>
      <w:r>
        <w:t xml:space="preserve"> </w:t>
      </w:r>
      <w:r>
        <w:t xml:space="preserve">public</w:t>
      </w:r>
      <w:r>
        <w:t xml:space="preserve"> </w:t>
      </w:r>
      <w:r>
        <w:t xml:space="preserve">perceptions</w:t>
      </w:r>
      <w:r>
        <w:t xml:space="preserve"> </w:t>
      </w:r>
      <w:r>
        <w:t xml:space="preserve">to</w:t>
      </w:r>
      <w:r>
        <w:t xml:space="preserve"> </w:t>
      </w:r>
      <w:r>
        <w:t xml:space="preserve">evaluate</w:t>
      </w:r>
      <w:r>
        <w:t xml:space="preserve"> </w:t>
      </w:r>
      <w:r>
        <w:t xml:space="preserve">key</w:t>
      </w:r>
      <w:r>
        <w:t xml:space="preserve"> </w:t>
      </w:r>
      <w:r>
        <w:t xml:space="preserve">dimensions</w:t>
      </w:r>
      <w:r>
        <w:t xml:space="preserve"> </w:t>
      </w:r>
      <w:r>
        <w:t xml:space="preserve">of</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they</w:t>
      </w:r>
      <w:r>
        <w:t xml:space="preserve"> </w:t>
      </w:r>
      <w:r>
        <w:t xml:space="preserve">may</w:t>
      </w:r>
      <w:r>
        <w:t xml:space="preserve"> </w:t>
      </w:r>
      <w:r>
        <w:t xml:space="preserve">not</w:t>
      </w:r>
      <w:r>
        <w:t xml:space="preserve"> </w:t>
      </w:r>
      <w:r>
        <w:t xml:space="preserve">fully</w:t>
      </w:r>
      <w:r>
        <w:t xml:space="preserve"> </w:t>
      </w:r>
      <w:r>
        <w:t xml:space="preserve">capture</w:t>
      </w:r>
      <w:r>
        <w:t xml:space="preserve"> </w:t>
      </w:r>
      <w:r>
        <w:t xml:space="preserve">the</w:t>
      </w:r>
      <w:r>
        <w:t xml:space="preserve"> </w:t>
      </w:r>
      <w:r>
        <w:t xml:space="preserve">connection</w:t>
      </w:r>
      <w:r>
        <w:t xml:space="preserve"> </w:t>
      </w:r>
      <w:r>
        <w:t xml:space="preserve">between</w:t>
      </w:r>
      <w:r>
        <w:t xml:space="preserve"> </w:t>
      </w:r>
      <w:r>
        <w:t xml:space="preserve">perceptions</w:t>
      </w:r>
      <w:r>
        <w:t xml:space="preserve"> </w:t>
      </w:r>
      <w:r>
        <w:t xml:space="preserve">and</w:t>
      </w:r>
      <w:r>
        <w:t xml:space="preserve"> </w:t>
      </w:r>
      <w:r>
        <w:t xml:space="preserve">tangible</w:t>
      </w:r>
      <w:r>
        <w:t xml:space="preserve"> </w:t>
      </w:r>
      <w:r>
        <w:t xml:space="preserve">events.</w:t>
      </w:r>
      <w:r>
        <w:t xml:space="preserve"> </w:t>
      </w:r>
      <w:r>
        <w:t xml:space="preserve">Leveraging</w:t>
      </w:r>
      <w:r>
        <w:t xml:space="preserve"> </w:t>
      </w:r>
      <w:r>
        <w:t xml:space="preserve">news</w:t>
      </w:r>
      <w:r>
        <w:t xml:space="preserve"> </w:t>
      </w:r>
      <w:r>
        <w:t xml:space="preserve">archives</w:t>
      </w:r>
      <w:r>
        <w:t xml:space="preserve"> </w:t>
      </w:r>
      <w:r>
        <w:t xml:space="preserve">and</w:t>
      </w:r>
      <w:r>
        <w:t xml:space="preserve"> </w:t>
      </w:r>
      <w:r>
        <w:t xml:space="preserve">advances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particularly</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this</w:t>
      </w:r>
      <w:r>
        <w:t xml:space="preserve"> </w:t>
      </w:r>
      <w:r>
        <w:t xml:space="preserve">initiative</w:t>
      </w:r>
      <w:r>
        <w:t xml:space="preserve"> </w:t>
      </w:r>
      <w:r>
        <w:t xml:space="preserve">seeks</w:t>
      </w:r>
      <w:r>
        <w:t xml:space="preserve"> </w:t>
      </w:r>
      <w:r>
        <w:t xml:space="preserve">to</w:t>
      </w:r>
      <w:r>
        <w:t xml:space="preserve"> </w:t>
      </w:r>
      <w:r>
        <w:t xml:space="preserve">complement</w:t>
      </w:r>
      <w:r>
        <w:t xml:space="preserve"> </w:t>
      </w:r>
      <w:r>
        <w:t xml:space="preserve">perception-based</w:t>
      </w:r>
      <w:r>
        <w:t xml:space="preserve"> </w:t>
      </w:r>
      <w:r>
        <w:t xml:space="preserve">metrics</w:t>
      </w:r>
      <w:r>
        <w:t xml:space="preserve"> </w:t>
      </w:r>
      <w:r>
        <w:t xml:space="preserve">by</w:t>
      </w:r>
      <w:r>
        <w:t xml:space="preserve"> </w:t>
      </w:r>
      <w:r>
        <w:t xml:space="preserve">building</w:t>
      </w:r>
      <w:r>
        <w:t xml:space="preserve"> </w:t>
      </w:r>
      <w:r>
        <w:t xml:space="preserve">a</w:t>
      </w:r>
      <w:r>
        <w:t xml:space="preserve"> </w:t>
      </w:r>
      <w:r>
        <w:t xml:space="preserve">comprehensive</w:t>
      </w:r>
      <w:r>
        <w:t xml:space="preserve"> </w:t>
      </w:r>
      <w:r>
        <w:t xml:space="preserve">event</w:t>
      </w:r>
      <w:r>
        <w:t xml:space="preserve"> </w:t>
      </w:r>
      <w:r>
        <w:t xml:space="preserve">database.</w:t>
      </w:r>
      <w:r>
        <w:t xml:space="preserve"> </w:t>
      </w:r>
      <w:r>
        <w:t xml:space="preserve">This</w:t>
      </w:r>
      <w:r>
        <w:t xml:space="preserve"> </w:t>
      </w:r>
      <w:r>
        <w:t xml:space="preserve">document</w:t>
      </w:r>
      <w:r>
        <w:t xml:space="preserve"> </w:t>
      </w:r>
      <w:r>
        <w:t xml:space="preserve">details</w:t>
      </w:r>
      <w:r>
        <w:t xml:space="preserve"> </w:t>
      </w:r>
      <w:r>
        <w:t xml:space="preserve">the</w:t>
      </w:r>
      <w:r>
        <w:t xml:space="preserve"> </w:t>
      </w:r>
      <w:r>
        <w:t xml:space="preserve">data</w:t>
      </w:r>
      <w:r>
        <w:t xml:space="preserve"> </w:t>
      </w:r>
      <w:r>
        <w:t xml:space="preserve">extraction</w:t>
      </w:r>
      <w:r>
        <w:t xml:space="preserve"> </w:t>
      </w:r>
      <w:r>
        <w:t xml:space="preserve">process,</w:t>
      </w:r>
      <w:r>
        <w:t xml:space="preserve"> </w:t>
      </w:r>
      <w:r>
        <w:t xml:space="preserve">classification</w:t>
      </w:r>
      <w:r>
        <w:t xml:space="preserve"> </w:t>
      </w:r>
      <w:r>
        <w:t xml:space="preserve">methods,</w:t>
      </w:r>
      <w:r>
        <w:t xml:space="preserve"> </w:t>
      </w:r>
      <w:r>
        <w:t xml:space="preserve">use</w:t>
      </w:r>
      <w:r>
        <w:t xml:space="preserve"> </w:t>
      </w:r>
      <w:r>
        <w:t xml:space="preserve">of</w:t>
      </w:r>
      <w:r>
        <w:t xml:space="preserve"> </w:t>
      </w:r>
      <w:r>
        <w:t xml:space="preserve">LLMs</w:t>
      </w:r>
      <w:r>
        <w:t xml:space="preserve"> </w:t>
      </w:r>
      <w:r>
        <w:t xml:space="preserve">for</w:t>
      </w:r>
      <w:r>
        <w:t xml:space="preserve"> </w:t>
      </w:r>
      <w:r>
        <w:t xml:space="preserve">analysis,</w:t>
      </w:r>
      <w:r>
        <w:t xml:space="preserve"> </w:t>
      </w:r>
      <w:r>
        <w:t xml:space="preserve">and</w:t>
      </w:r>
      <w:r>
        <w:t xml:space="preserve"> </w:t>
      </w:r>
      <w:r>
        <w:t xml:space="preserve">future</w:t>
      </w:r>
      <w:r>
        <w:t xml:space="preserve"> </w:t>
      </w:r>
      <w:r>
        <w:t xml:space="preserve">directions</w:t>
      </w:r>
      <w:r>
        <w:t xml:space="preserve"> </w:t>
      </w:r>
      <w:r>
        <w:t xml:space="preserve">for</w:t>
      </w:r>
      <w:r>
        <w:t xml:space="preserve"> </w:t>
      </w:r>
      <w:r>
        <w:t xml:space="preserve">the</w:t>
      </w:r>
      <w:r>
        <w:t xml:space="preserve"> </w:t>
      </w:r>
      <w:r>
        <w:t xml:space="preserve">project</w:t>
      </w:r>
      <w:r>
        <w:t xml:space="preserve"> </w:t>
      </w:r>
      <w:r>
        <w:t xml:space="preserve">…</w:t>
      </w:r>
    </w:p>
    <w:bookmarkStart w:id="23"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six sections. After this brief introduction, we introduced some guidelines on how the extraction and translation of the input data was performed. The third section is focused on the use of LLMs to help us classify the extracted data. The fourth section covers the use of LLMs to help us summarize the information into brief media reports that can complement and facilitate the work of researchers when having to assess changes in people’s perceptions. The fifth section explain the use of some Natural Language Processing (NLP) techniques to get further insights from the final database. Finally, the last section provides some brief overview on the next steps and potential extensions.</w:t>
      </w:r>
    </w:p>
    <w:p>
      <w:pPr>
        <w:pStyle w:val="CaptionedFigure"/>
      </w:pPr>
      <w:r>
        <w:drawing>
          <wp:inline>
            <wp:extent cx="5334000" cy="3353954"/>
            <wp:effectExtent b="0" l="0" r="0" t="0"/>
            <wp:docPr descr="Figure 1: Overview of the Process"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p>
      <w:pPr>
        <w:pStyle w:val="ImageCaption"/>
      </w:pPr>
      <w:r>
        <w:t xml:space="preserve">Figure 1: Overview of the Process</w:t>
      </w:r>
    </w:p>
    <w:bookmarkEnd w:id="23"/>
    <w:bookmarkStart w:id="34" w:name="conceptual-framework"/>
    <w:p>
      <w:pPr>
        <w:pStyle w:val="Heading2"/>
      </w:pPr>
      <w:r>
        <w:t xml:space="preserve">2 Conceptual Framework</w:t>
      </w:r>
    </w:p>
    <w:bookmarkStart w:id="24"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4"/>
    <w:bookmarkStart w:id="33" w:name="pillars-of-the-rule-of-law"/>
    <w:p>
      <w:pPr>
        <w:pStyle w:val="Heading3"/>
      </w:pPr>
      <w:r>
        <w:t xml:space="preserve">2.2 Pillars of the rule of law</w:t>
      </w:r>
    </w:p>
    <w:bookmarkStart w:id="25"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5"/>
    <w:bookmarkStart w:id="26"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6"/>
    <w:bookmarkStart w:id="27"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7"/>
    <w:bookmarkStart w:id="28"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w:t>
      </w:r>
      <w:r>
        <w:t xml:space="preserve">rule by law,</w:t>
      </w:r>
      <w:r>
        <w:t xml:space="preserve">”</w:t>
      </w:r>
      <w:r>
        <w:t xml:space="preserve"> </w:t>
      </w:r>
      <w:r>
        <w:t xml:space="preserve">and does not</w:t>
      </w:r>
      <w:r>
        <w:t xml:space="preserve"> </w:t>
      </w:r>
      <w:r>
        <w:t xml:space="preserve">deserve to be called a rule of law system. This aspect focuses on rights that are firmly established under the Charter of Fundamental Rights of the European Union, but</w:t>
      </w:r>
      <w:r>
        <w:t xml:space="preserve"> </w:t>
      </w:r>
      <w:r>
        <w:t xml:space="preserve">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28"/>
    <w:bookmarkStart w:id="29"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29"/>
    <w:bookmarkStart w:id="30"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0"/>
    <w:bookmarkStart w:id="31"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1"/>
    <w:bookmarkStart w:id="32"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2"/>
    <w:bookmarkEnd w:id="33"/>
    <w:bookmarkEnd w:id="34"/>
    <w:bookmarkStart w:id="40"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5.1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5">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6">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7"/>
      </w:r>
      <w:r>
        <w:t xml:space="preserve"> </w:t>
      </w:r>
      <w:r>
        <w:t xml:space="preserve">The full list of keywords can be consulted in</w:t>
      </w:r>
      <w:r>
        <w:t xml:space="preserve"> </w:t>
      </w:r>
      <w:hyperlink w:anchor="sec-keys">
        <w:r>
          <w:rPr>
            <w:rStyle w:val="Hyperlink"/>
          </w:rPr>
          <w:t xml:space="preserve">Section 5.2</w:t>
        </w:r>
      </w:hyperlink>
      <w:r>
        <w:t xml:space="preserve">.</w:t>
      </w:r>
    </w:p>
    <w:p>
      <w:pPr>
        <w:pStyle w:val="BodyText"/>
      </w:pPr>
      <w:r>
        <w:t xml:space="preserve">Due to quota limitations at the time of the extraction,</w:t>
      </w:r>
      <w:r>
        <w:rPr>
          <w:rStyle w:val="FootnoteReference"/>
        </w:rPr>
        <w:footnoteReference w:id="38"/>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w:t>
      </w:r>
    </w:p>
    <w:tbl>
      <w:tblPr>
        <w:tblStyle w:val="Table"/>
        <w:tblW w:type="pct" w:w="5000"/>
        <w:tblLayout w:type="fixed"/>
        <w:tblLook w:firstRow="0" w:lastRow="0" w:firstColumn="0" w:lastColumn="0" w:noHBand="0" w:noVBand="0" w:val="0000"/>
      </w:tblPr>
      <w:tblGrid>
        <w:gridCol w:w="7920"/>
      </w:tblGrid>
      <w:tr>
        <w:tc>
          <w:tcPr/>
          <w:bookmarkStart w:id="39" w:name="tbl-extraction"/>
          <w:p>
            <w:pPr>
              <w:jc w:val="center"/>
            </w:pPr>
            <w:pPr>
              <w:jc w:val="start"/>
              <w:spacing w:before="200"/>
              <w:pStyle w:val="ImageCaption"/>
            </w:pPr>
            <w:r>
              <w:t xml:space="preserve">Table 1: Total news extracted per country</w:t>
            </w:r>
          </w:p>
          <w:tbl>
            <w:tblPr>
              <w:tblStyle w:val="Table"/>
              <w:tblW w:type="pct" w:w="5000"/>
              <w:tblLayout w:type="fixed"/>
              <w:tblLook w:firstRow="1" w:lastRow="0" w:firstColumn="0" w:lastColumn="0" w:noHBand="0" w:noVBand="0" w:val="0020"/>
            </w:tblPr>
            <w:tblGrid>
              <w:gridCol w:w="1470"/>
              <w:gridCol w:w="2941"/>
              <w:gridCol w:w="3507"/>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Total News Extracted</w:t>
                  </w:r>
                </w:p>
              </w:tc>
              <w:tc>
                <w:tcPr/>
                <w:p>
                  <w:pPr>
                    <w:pStyle w:val="Compact"/>
                    <w:jc w:val="left"/>
                    <w:jc w:val="center"/>
                  </w:pPr>
                  <w:r>
                    <w:rPr>
                      <w:b/>
                      <w:bCs/>
                    </w:rPr>
                    <w:t xml:space="preserve">Date Range</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Mar 06, 2023 - Mar 07, 2024</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Jun 07, 2023 - Mar 07, 2024</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Jul 07, 2023 - Mar 07, 2024</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Jul 07, 2023 - Mar 07, 2024</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Jul 07, 2023 - Mar 08, 2024</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Jul 07, 2023 - Mar 08, 2024</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Aug 07, 2023 - Mar 07, 2024</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Aug 08, 2023 - Mar 07, 2024</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Aug 08, 2023 - Mar 07, 2024</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Aug 07, 2023 - Mar 07, 2024</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Jan 08, 2024 - Mar 07, 2024</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Aug 08, 2023 - Mar 07, 2024</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Aug 08, 2023 - Mar 07, 2024</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Aug 08, 2023 - Mar 07, 2024</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Aug 08, 2023 - Mar 07, 2024</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Aug 09, 2023 - Mar 07, 2024</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Aug 08, 2023 - Mar 07, 2024</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Aug 08, 2023 - Mar 07, 2024</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Aug 08, 2023 - Mar 07, 2024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Aug 08, 2023 - Mar 07, 2024</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Aug 08, 2023 - Mar 07, 2024</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Aug 08, 2023 - Mar 07, 2024</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Aug 08, 2023 - Mar 07, 2024</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Aug 08, 2023 - Mar 07, 2024</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Aug 08, 2023 - Mar 07, 2024</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Aug 08, 2023 - Mar 07, 2024</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Jan 08, 2024 - Mar 07, 2024</w:t>
                  </w:r>
                </w:p>
              </w:tc>
            </w:tr>
            <w:tr>
              <w:tc>
                <w:tcPr/>
                <w:p>
                  <w:pPr>
                    <w:pStyle w:val="Compact"/>
                    <w:jc w:val="left"/>
                    <w:jc w:val="center"/>
                  </w:pPr>
                  <w:r>
                    <w:rPr>
                      <w:b/>
                      <w:bCs/>
                    </w:rPr>
                    <w:t xml:space="preserve">Total</w:t>
                  </w:r>
                </w:p>
              </w:tc>
              <w:tc>
                <w:tcPr/>
                <w:p>
                  <w:pPr>
                    <w:pStyle w:val="Compact"/>
                    <w:jc w:val="left"/>
                    <w:jc w:val="center"/>
                  </w:pPr>
                  <w:r>
                    <w:rPr>
                      <w:b/>
                      <w:bCs/>
                    </w:rPr>
                    <w:t xml:space="preserve">904,944</w:t>
                  </w:r>
                </w:p>
              </w:tc>
              <w:tc>
                <w:tcPr/>
                <w:p>
                  <w:pPr>
                    <w:pStyle w:val="Compact"/>
                  </w:pPr>
                </w:p>
              </w:tc>
            </w:tr>
          </w:tbl>
          <w:bookmarkEnd w:id="39"/>
          <w:p/>
        </w:tc>
      </w:tr>
    </w:tbl>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w:t>
      </w:r>
    </w:p>
    <w:bookmarkEnd w:id="40"/>
    <w:bookmarkStart w:id="47"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 GPT and Gemini.</w:t>
      </w:r>
      <w:r>
        <w:rPr>
          <w:rStyle w:val="FootnoteReference"/>
        </w:rPr>
        <w:footnoteReference w:id="41"/>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In the second stage, the system will further classify the relevant articles according to which specific pillars of the rule of law the events are related to. This second stage will focus exclusively on articles that were classified as relevant to our macro-concepts and that report on events occurring in one of the 27 member states of the European Union.</w:t>
      </w:r>
    </w:p>
    <w:bookmarkStart w:id="43"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42">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process in which we randomly selected 100 news articles and then we pro</w:t>
      </w:r>
    </w:p>
    <w:bookmarkEnd w:id="43"/>
    <w:bookmarkStart w:id="46" w:name="X098a5f1298222c547eccc07818713f1388f5245"/>
    <w:p>
      <w:pPr>
        <w:pStyle w:val="Heading3"/>
      </w:pPr>
      <w:r>
        <w:t xml:space="preserve">4.2 Stage 1: Is the news article related to the Rule of Law, Justice, and/or Governance?</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44"/>
      </w:r>
    </w:p>
    <w:tbl>
      <w:tblPr>
        <w:tblStyle w:val="Table"/>
        <w:tblW w:type="pct" w:w="5000"/>
        <w:tblLayout w:type="fixed"/>
        <w:tblLook w:firstRow="0" w:lastRow="0" w:firstColumn="0" w:lastColumn="0" w:noHBand="0" w:noVBand="0" w:val="0000"/>
      </w:tblPr>
      <w:tblGrid>
        <w:gridCol w:w="7920"/>
      </w:tblGrid>
      <w:tr>
        <w:tc>
          <w:tcPr/>
          <w:bookmarkStart w:id="45" w:name="tbl-classstage1"/>
          <w:p>
            <w:pPr>
              <w:jc w:val="center"/>
            </w:pPr>
            <w:pPr>
              <w:jc w:val="start"/>
              <w:spacing w:before="200"/>
              <w:pStyle w:val="ImageCaption"/>
            </w:pPr>
            <w:r>
              <w:t xml:space="preserve">Table 2: Total news extracted per country</w:t>
            </w:r>
          </w:p>
          <w:tbl>
            <w:tblPr>
              <w:tblStyle w:val="Table"/>
              <w:tblW w:type="pct" w:w="5000"/>
              <w:tblLayout w:type="fixed"/>
              <w:tblLook w:firstRow="1" w:lastRow="0" w:firstColumn="0" w:lastColumn="0" w:noHBand="0" w:noVBand="0" w:val="0020"/>
            </w:tblPr>
            <w:tblGrid>
              <w:gridCol w:w="1660"/>
              <w:gridCol w:w="2810"/>
              <w:gridCol w:w="3449"/>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Related Articles (%)</w:t>
                  </w:r>
                </w:p>
              </w:tc>
              <w:tc>
                <w:tcPr/>
                <w:p>
                  <w:pPr>
                    <w:pStyle w:val="Compact"/>
                    <w:jc w:val="left"/>
                    <w:jc w:val="center"/>
                  </w:pPr>
                  <w:r>
                    <w:rPr>
                      <w:b/>
                      <w:bCs/>
                    </w:rPr>
                    <w:t xml:space="preserve">Unclassified Articles (%)</w:t>
                  </w:r>
                </w:p>
              </w:tc>
            </w:tr>
            <w:tr>
              <w:tc>
                <w:tcPr/>
                <w:p>
                  <w:pPr>
                    <w:pStyle w:val="Compact"/>
                    <w:jc w:val="left"/>
                    <w:jc w:val="center"/>
                  </w:pPr>
                  <w:r>
                    <w:t xml:space="preserve">Austria</w:t>
                  </w:r>
                </w:p>
              </w:tc>
              <w:tc>
                <w:tcPr/>
                <w:p>
                  <w:pPr>
                    <w:pStyle w:val="Compact"/>
                    <w:jc w:val="left"/>
                    <w:jc w:val="center"/>
                  </w:pPr>
                  <w:r>
                    <w:t xml:space="preserve">24.9</w:t>
                  </w:r>
                </w:p>
              </w:tc>
              <w:tc>
                <w:tcPr/>
                <w:p>
                  <w:pPr>
                    <w:pStyle w:val="Compact"/>
                    <w:jc w:val="left"/>
                    <w:jc w:val="center"/>
                  </w:pPr>
                  <w:r>
                    <w:t xml:space="preserve">0.5</w:t>
                  </w:r>
                </w:p>
              </w:tc>
            </w:tr>
            <w:tr>
              <w:tc>
                <w:tcPr/>
                <w:p>
                  <w:pPr>
                    <w:pStyle w:val="Compact"/>
                    <w:jc w:val="left"/>
                    <w:jc w:val="center"/>
                  </w:pPr>
                  <w:r>
                    <w:t xml:space="preserve">Belgium</w:t>
                  </w:r>
                </w:p>
              </w:tc>
              <w:tc>
                <w:tcPr/>
                <w:p>
                  <w:pPr>
                    <w:pStyle w:val="Compact"/>
                    <w:jc w:val="left"/>
                    <w:jc w:val="center"/>
                  </w:pPr>
                  <w:r>
                    <w:t xml:space="preserve">24.2</w:t>
                  </w:r>
                </w:p>
              </w:tc>
              <w:tc>
                <w:tcPr/>
                <w:p>
                  <w:pPr>
                    <w:pStyle w:val="Compact"/>
                    <w:jc w:val="left"/>
                    <w:jc w:val="center"/>
                  </w:pPr>
                  <w:r>
                    <w:t xml:space="preserve">1.0</w:t>
                  </w:r>
                </w:p>
              </w:tc>
            </w:tr>
            <w:tr>
              <w:tc>
                <w:tcPr/>
                <w:p>
                  <w:pPr>
                    <w:pStyle w:val="Compact"/>
                    <w:jc w:val="left"/>
                    <w:jc w:val="center"/>
                  </w:pPr>
                  <w:r>
                    <w:t xml:space="preserve">Bulgaria</w:t>
                  </w:r>
                </w:p>
              </w:tc>
              <w:tc>
                <w:tcPr/>
                <w:p>
                  <w:pPr>
                    <w:pStyle w:val="Compact"/>
                    <w:jc w:val="left"/>
                    <w:jc w:val="center"/>
                  </w:pPr>
                  <w:r>
                    <w:t xml:space="preserve">35.1</w:t>
                  </w:r>
                </w:p>
              </w:tc>
              <w:tc>
                <w:tcPr/>
                <w:p>
                  <w:pPr>
                    <w:pStyle w:val="Compact"/>
                    <w:jc w:val="left"/>
                    <w:jc w:val="center"/>
                  </w:pPr>
                  <w:r>
                    <w:t xml:space="preserve">0.3</w:t>
                  </w:r>
                </w:p>
              </w:tc>
            </w:tr>
            <w:tr>
              <w:tc>
                <w:tcPr/>
                <w:p>
                  <w:pPr>
                    <w:pStyle w:val="Compact"/>
                    <w:jc w:val="left"/>
                    <w:jc w:val="center"/>
                  </w:pPr>
                  <w:r>
                    <w:t xml:space="preserve">Croatia</w:t>
                  </w:r>
                </w:p>
              </w:tc>
              <w:tc>
                <w:tcPr/>
                <w:p>
                  <w:pPr>
                    <w:pStyle w:val="Compact"/>
                    <w:jc w:val="left"/>
                    <w:jc w:val="center"/>
                  </w:pPr>
                  <w:r>
                    <w:t xml:space="preserve">28.8</w:t>
                  </w:r>
                </w:p>
              </w:tc>
              <w:tc>
                <w:tcPr/>
                <w:p>
                  <w:pPr>
                    <w:pStyle w:val="Compact"/>
                    <w:jc w:val="left"/>
                    <w:jc w:val="center"/>
                  </w:pPr>
                  <w:r>
                    <w:t xml:space="preserve">0.8</w:t>
                  </w:r>
                </w:p>
              </w:tc>
            </w:tr>
            <w:tr>
              <w:tc>
                <w:tcPr/>
                <w:p>
                  <w:pPr>
                    <w:pStyle w:val="Compact"/>
                    <w:jc w:val="left"/>
                    <w:jc w:val="center"/>
                  </w:pPr>
                  <w:r>
                    <w:t xml:space="preserve">Cyprus</w:t>
                  </w:r>
                </w:p>
              </w:tc>
              <w:tc>
                <w:tcPr/>
                <w:p>
                  <w:pPr>
                    <w:pStyle w:val="Compact"/>
                    <w:jc w:val="left"/>
                    <w:jc w:val="center"/>
                  </w:pPr>
                  <w:r>
                    <w:t xml:space="preserve">29.1</w:t>
                  </w:r>
                </w:p>
              </w:tc>
              <w:tc>
                <w:tcPr/>
                <w:p>
                  <w:pPr>
                    <w:pStyle w:val="Compact"/>
                    <w:jc w:val="left"/>
                    <w:jc w:val="center"/>
                  </w:pPr>
                  <w:r>
                    <w:t xml:space="preserve">0.3</w:t>
                  </w:r>
                </w:p>
              </w:tc>
            </w:tr>
            <w:tr>
              <w:tc>
                <w:tcPr/>
                <w:p>
                  <w:pPr>
                    <w:pStyle w:val="Compact"/>
                    <w:jc w:val="left"/>
                    <w:jc w:val="center"/>
                  </w:pPr>
                  <w:r>
                    <w:t xml:space="preserve">Czechia</w:t>
                  </w:r>
                </w:p>
              </w:tc>
              <w:tc>
                <w:tcPr/>
                <w:p>
                  <w:pPr>
                    <w:pStyle w:val="Compact"/>
                    <w:jc w:val="left"/>
                    <w:jc w:val="center"/>
                  </w:pPr>
                  <w:r>
                    <w:t xml:space="preserve">21.8</w:t>
                  </w:r>
                </w:p>
              </w:tc>
              <w:tc>
                <w:tcPr/>
                <w:p>
                  <w:pPr>
                    <w:pStyle w:val="Compact"/>
                    <w:jc w:val="left"/>
                    <w:jc w:val="center"/>
                  </w:pPr>
                  <w:r>
                    <w:t xml:space="preserve">1.3</w:t>
                  </w:r>
                </w:p>
              </w:tc>
            </w:tr>
            <w:tr>
              <w:tc>
                <w:tcPr/>
                <w:p>
                  <w:pPr>
                    <w:pStyle w:val="Compact"/>
                    <w:jc w:val="left"/>
                    <w:jc w:val="center"/>
                  </w:pPr>
                  <w:r>
                    <w:t xml:space="preserve">Denmark</w:t>
                  </w:r>
                </w:p>
              </w:tc>
              <w:tc>
                <w:tcPr/>
                <w:p>
                  <w:pPr>
                    <w:pStyle w:val="Compact"/>
                    <w:jc w:val="left"/>
                    <w:jc w:val="center"/>
                  </w:pPr>
                  <w:r>
                    <w:t xml:space="preserve">30.6</w:t>
                  </w:r>
                </w:p>
              </w:tc>
              <w:tc>
                <w:tcPr/>
                <w:p>
                  <w:pPr>
                    <w:pStyle w:val="Compact"/>
                    <w:jc w:val="left"/>
                    <w:jc w:val="center"/>
                  </w:pPr>
                  <w:r>
                    <w:t xml:space="preserve">0.9</w:t>
                  </w:r>
                </w:p>
              </w:tc>
            </w:tr>
            <w:tr>
              <w:tc>
                <w:tcPr/>
                <w:p>
                  <w:pPr>
                    <w:pStyle w:val="Compact"/>
                    <w:jc w:val="left"/>
                    <w:jc w:val="center"/>
                  </w:pPr>
                  <w:r>
                    <w:t xml:space="preserve">Estonia</w:t>
                  </w:r>
                </w:p>
              </w:tc>
              <w:tc>
                <w:tcPr/>
                <w:p>
                  <w:pPr>
                    <w:pStyle w:val="Compact"/>
                    <w:jc w:val="left"/>
                    <w:jc w:val="center"/>
                  </w:pPr>
                  <w:r>
                    <w:t xml:space="preserve">22.5</w:t>
                  </w:r>
                </w:p>
              </w:tc>
              <w:tc>
                <w:tcPr/>
                <w:p>
                  <w:pPr>
                    <w:pStyle w:val="Compact"/>
                    <w:jc w:val="left"/>
                    <w:jc w:val="center"/>
                  </w:pPr>
                  <w:r>
                    <w:t xml:space="preserve">0.3</w:t>
                  </w:r>
                </w:p>
              </w:tc>
            </w:tr>
            <w:tr>
              <w:tc>
                <w:tcPr/>
                <w:p>
                  <w:pPr>
                    <w:pStyle w:val="Compact"/>
                    <w:jc w:val="left"/>
                    <w:jc w:val="center"/>
                  </w:pPr>
                  <w:r>
                    <w:t xml:space="preserve">Finland</w:t>
                  </w:r>
                </w:p>
              </w:tc>
              <w:tc>
                <w:tcPr/>
                <w:p>
                  <w:pPr>
                    <w:pStyle w:val="Compact"/>
                    <w:jc w:val="left"/>
                    <w:jc w:val="center"/>
                  </w:pPr>
                  <w:r>
                    <w:t xml:space="preserve">32.8</w:t>
                  </w:r>
                </w:p>
              </w:tc>
              <w:tc>
                <w:tcPr/>
                <w:p>
                  <w:pPr>
                    <w:pStyle w:val="Compact"/>
                    <w:jc w:val="left"/>
                    <w:jc w:val="center"/>
                  </w:pPr>
                  <w:r>
                    <w:t xml:space="preserve">0.8</w:t>
                  </w:r>
                </w:p>
              </w:tc>
            </w:tr>
            <w:tr>
              <w:tc>
                <w:tcPr/>
                <w:p>
                  <w:pPr>
                    <w:pStyle w:val="Compact"/>
                    <w:jc w:val="left"/>
                    <w:jc w:val="center"/>
                  </w:pPr>
                  <w:r>
                    <w:t xml:space="preserve">France</w:t>
                  </w:r>
                </w:p>
              </w:tc>
              <w:tc>
                <w:tcPr/>
                <w:p>
                  <w:pPr>
                    <w:pStyle w:val="Compact"/>
                    <w:jc w:val="left"/>
                    <w:jc w:val="center"/>
                  </w:pPr>
                  <w:r>
                    <w:t xml:space="preserve">26.5</w:t>
                  </w:r>
                </w:p>
              </w:tc>
              <w:tc>
                <w:tcPr/>
                <w:p>
                  <w:pPr>
                    <w:pStyle w:val="Compact"/>
                    <w:jc w:val="left"/>
                    <w:jc w:val="center"/>
                  </w:pPr>
                  <w:r>
                    <w:t xml:space="preserve">0.7</w:t>
                  </w:r>
                </w:p>
              </w:tc>
            </w:tr>
            <w:tr>
              <w:tc>
                <w:tcPr/>
                <w:p>
                  <w:pPr>
                    <w:pStyle w:val="Compact"/>
                    <w:jc w:val="left"/>
                    <w:jc w:val="center"/>
                  </w:pPr>
                  <w:r>
                    <w:t xml:space="preserve">Germany</w:t>
                  </w:r>
                </w:p>
              </w:tc>
              <w:tc>
                <w:tcPr/>
                <w:p>
                  <w:pPr>
                    <w:pStyle w:val="Compact"/>
                    <w:jc w:val="left"/>
                    <w:jc w:val="center"/>
                  </w:pPr>
                  <w:r>
                    <w:t xml:space="preserve">29.4</w:t>
                  </w:r>
                </w:p>
              </w:tc>
              <w:tc>
                <w:tcPr/>
                <w:p>
                  <w:pPr>
                    <w:pStyle w:val="Compact"/>
                    <w:jc w:val="left"/>
                    <w:jc w:val="center"/>
                  </w:pPr>
                  <w:r>
                    <w:t xml:space="preserve">0.8</w:t>
                  </w:r>
                </w:p>
              </w:tc>
            </w:tr>
            <w:tr>
              <w:tc>
                <w:tcPr/>
                <w:p>
                  <w:pPr>
                    <w:pStyle w:val="Compact"/>
                    <w:jc w:val="left"/>
                    <w:jc w:val="center"/>
                  </w:pPr>
                  <w:r>
                    <w:t xml:space="preserve">Greece</w:t>
                  </w:r>
                </w:p>
              </w:tc>
              <w:tc>
                <w:tcPr/>
                <w:p>
                  <w:pPr>
                    <w:pStyle w:val="Compact"/>
                    <w:jc w:val="left"/>
                    <w:jc w:val="center"/>
                  </w:pPr>
                  <w:r>
                    <w:t xml:space="preserve">26.6</w:t>
                  </w:r>
                </w:p>
              </w:tc>
              <w:tc>
                <w:tcPr/>
                <w:p>
                  <w:pPr>
                    <w:pStyle w:val="Compact"/>
                    <w:jc w:val="left"/>
                    <w:jc w:val="center"/>
                  </w:pPr>
                  <w:r>
                    <w:t xml:space="preserve">1.2</w:t>
                  </w:r>
                </w:p>
              </w:tc>
            </w:tr>
            <w:tr>
              <w:tc>
                <w:tcPr/>
                <w:p>
                  <w:pPr>
                    <w:pStyle w:val="Compact"/>
                    <w:jc w:val="left"/>
                    <w:jc w:val="center"/>
                  </w:pPr>
                  <w:r>
                    <w:t xml:space="preserve">Hungary</w:t>
                  </w:r>
                </w:p>
              </w:tc>
              <w:tc>
                <w:tcPr/>
                <w:p>
                  <w:pPr>
                    <w:pStyle w:val="Compact"/>
                    <w:jc w:val="left"/>
                    <w:jc w:val="center"/>
                  </w:pPr>
                  <w:r>
                    <w:t xml:space="preserve">25.8</w:t>
                  </w:r>
                </w:p>
              </w:tc>
              <w:tc>
                <w:tcPr/>
                <w:p>
                  <w:pPr>
                    <w:pStyle w:val="Compact"/>
                    <w:jc w:val="left"/>
                    <w:jc w:val="center"/>
                  </w:pPr>
                  <w:r>
                    <w:t xml:space="preserve">0.8</w:t>
                  </w:r>
                </w:p>
              </w:tc>
            </w:tr>
            <w:tr>
              <w:tc>
                <w:tcPr/>
                <w:p>
                  <w:pPr>
                    <w:pStyle w:val="Compact"/>
                    <w:jc w:val="left"/>
                    <w:jc w:val="center"/>
                  </w:pPr>
                  <w:r>
                    <w:t xml:space="preserve">Ireland</w:t>
                  </w:r>
                </w:p>
              </w:tc>
              <w:tc>
                <w:tcPr/>
                <w:p>
                  <w:pPr>
                    <w:pStyle w:val="Compact"/>
                    <w:jc w:val="left"/>
                    <w:jc w:val="center"/>
                  </w:pPr>
                  <w:r>
                    <w:t xml:space="preserve">8.0</w:t>
                  </w:r>
                </w:p>
              </w:tc>
              <w:tc>
                <w:tcPr/>
                <w:p>
                  <w:pPr>
                    <w:pStyle w:val="Compact"/>
                    <w:jc w:val="left"/>
                    <w:jc w:val="center"/>
                  </w:pPr>
                  <w:r>
                    <w:t xml:space="preserve">0.2</w:t>
                  </w:r>
                </w:p>
              </w:tc>
            </w:tr>
            <w:tr>
              <w:tc>
                <w:tcPr/>
                <w:p>
                  <w:pPr>
                    <w:pStyle w:val="Compact"/>
                    <w:jc w:val="left"/>
                    <w:jc w:val="center"/>
                  </w:pPr>
                  <w:r>
                    <w:t xml:space="preserve">Italy</w:t>
                  </w:r>
                </w:p>
              </w:tc>
              <w:tc>
                <w:tcPr/>
                <w:p>
                  <w:pPr>
                    <w:pStyle w:val="Compact"/>
                    <w:jc w:val="left"/>
                    <w:jc w:val="center"/>
                  </w:pPr>
                  <w:r>
                    <w:t xml:space="preserve">29.1</w:t>
                  </w:r>
                </w:p>
              </w:tc>
              <w:tc>
                <w:tcPr/>
                <w:p>
                  <w:pPr>
                    <w:pStyle w:val="Compact"/>
                    <w:jc w:val="left"/>
                    <w:jc w:val="center"/>
                  </w:pPr>
                  <w:r>
                    <w:t xml:space="preserve">0.8</w:t>
                  </w:r>
                </w:p>
              </w:tc>
            </w:tr>
            <w:tr>
              <w:tc>
                <w:tcPr/>
                <w:p>
                  <w:pPr>
                    <w:pStyle w:val="Compact"/>
                    <w:jc w:val="left"/>
                    <w:jc w:val="center"/>
                  </w:pPr>
                  <w:r>
                    <w:t xml:space="preserve">Latvia</w:t>
                  </w:r>
                </w:p>
              </w:tc>
              <w:tc>
                <w:tcPr/>
                <w:p>
                  <w:pPr>
                    <w:pStyle w:val="Compact"/>
                    <w:jc w:val="left"/>
                    <w:jc w:val="center"/>
                  </w:pPr>
                  <w:r>
                    <w:t xml:space="preserve">15.1</w:t>
                  </w:r>
                </w:p>
              </w:tc>
              <w:tc>
                <w:tcPr/>
                <w:p>
                  <w:pPr>
                    <w:pStyle w:val="Compact"/>
                    <w:jc w:val="left"/>
                    <w:jc w:val="center"/>
                  </w:pPr>
                  <w:r>
                    <w:t xml:space="preserve">0.6</w:t>
                  </w:r>
                </w:p>
              </w:tc>
            </w:tr>
            <w:tr>
              <w:tc>
                <w:tcPr/>
                <w:p>
                  <w:pPr>
                    <w:pStyle w:val="Compact"/>
                    <w:jc w:val="left"/>
                    <w:jc w:val="center"/>
                  </w:pPr>
                  <w:r>
                    <w:t xml:space="preserve">Lithuania</w:t>
                  </w:r>
                </w:p>
              </w:tc>
              <w:tc>
                <w:tcPr/>
                <w:p>
                  <w:pPr>
                    <w:pStyle w:val="Compact"/>
                    <w:jc w:val="left"/>
                    <w:jc w:val="center"/>
                  </w:pPr>
                  <w:r>
                    <w:t xml:space="preserve">31.5</w:t>
                  </w:r>
                </w:p>
              </w:tc>
              <w:tc>
                <w:tcPr/>
                <w:p>
                  <w:pPr>
                    <w:pStyle w:val="Compact"/>
                    <w:jc w:val="left"/>
                    <w:jc w:val="center"/>
                  </w:pPr>
                  <w:r>
                    <w:t xml:space="preserve">0.7</w:t>
                  </w:r>
                </w:p>
              </w:tc>
            </w:tr>
            <w:tr>
              <w:tc>
                <w:tcPr/>
                <w:p>
                  <w:pPr>
                    <w:pStyle w:val="Compact"/>
                    <w:jc w:val="left"/>
                    <w:jc w:val="center"/>
                  </w:pPr>
                  <w:r>
                    <w:t xml:space="preserve">Luxembourg</w:t>
                  </w:r>
                </w:p>
              </w:tc>
              <w:tc>
                <w:tcPr/>
                <w:p>
                  <w:pPr>
                    <w:pStyle w:val="Compact"/>
                    <w:jc w:val="left"/>
                    <w:jc w:val="center"/>
                  </w:pPr>
                  <w:r>
                    <w:t xml:space="preserve">26.7</w:t>
                  </w:r>
                </w:p>
              </w:tc>
              <w:tc>
                <w:tcPr/>
                <w:p>
                  <w:pPr>
                    <w:pStyle w:val="Compact"/>
                    <w:jc w:val="left"/>
                    <w:jc w:val="center"/>
                  </w:pPr>
                  <w:r>
                    <w:t xml:space="preserve">0.5</w:t>
                  </w:r>
                </w:p>
              </w:tc>
            </w:tr>
            <w:tr>
              <w:tc>
                <w:tcPr/>
                <w:p>
                  <w:pPr>
                    <w:pStyle w:val="Compact"/>
                    <w:jc w:val="left"/>
                    <w:jc w:val="center"/>
                  </w:pPr>
                  <w:r>
                    <w:t xml:space="preserve">Malta</w:t>
                  </w:r>
                </w:p>
              </w:tc>
              <w:tc>
                <w:tcPr/>
                <w:p>
                  <w:pPr>
                    <w:pStyle w:val="Compact"/>
                    <w:jc w:val="left"/>
                    <w:jc w:val="center"/>
                  </w:pPr>
                  <w:r>
                    <w:t xml:space="preserve">37.6</w:t>
                  </w:r>
                </w:p>
              </w:tc>
              <w:tc>
                <w:tcPr/>
                <w:p>
                  <w:pPr>
                    <w:pStyle w:val="Compact"/>
                    <w:jc w:val="left"/>
                    <w:jc w:val="center"/>
                  </w:pPr>
                  <w:r>
                    <w:t xml:space="preserve">0.4</w:t>
                  </w:r>
                </w:p>
              </w:tc>
            </w:tr>
            <w:tr>
              <w:tc>
                <w:tcPr/>
                <w:p>
                  <w:pPr>
                    <w:pStyle w:val="Compact"/>
                    <w:jc w:val="left"/>
                    <w:jc w:val="center"/>
                  </w:pPr>
                  <w:r>
                    <w:t xml:space="preserve">Netherlands</w:t>
                  </w:r>
                </w:p>
              </w:tc>
              <w:tc>
                <w:tcPr/>
                <w:p>
                  <w:pPr>
                    <w:pStyle w:val="Compact"/>
                    <w:jc w:val="left"/>
                    <w:jc w:val="center"/>
                  </w:pPr>
                  <w:r>
                    <w:t xml:space="preserve">24.8</w:t>
                  </w:r>
                </w:p>
              </w:tc>
              <w:tc>
                <w:tcPr/>
                <w:p>
                  <w:pPr>
                    <w:pStyle w:val="Compact"/>
                    <w:jc w:val="left"/>
                    <w:jc w:val="center"/>
                  </w:pPr>
                  <w:r>
                    <w:t xml:space="preserve">0.6</w:t>
                  </w:r>
                </w:p>
              </w:tc>
            </w:tr>
            <w:tr>
              <w:tc>
                <w:tcPr/>
                <w:p>
                  <w:pPr>
                    <w:pStyle w:val="Compact"/>
                    <w:jc w:val="left"/>
                    <w:jc w:val="center"/>
                  </w:pPr>
                  <w:r>
                    <w:t xml:space="preserve">Poland</w:t>
                  </w:r>
                </w:p>
              </w:tc>
              <w:tc>
                <w:tcPr/>
                <w:p>
                  <w:pPr>
                    <w:pStyle w:val="Compact"/>
                    <w:jc w:val="left"/>
                    <w:jc w:val="center"/>
                  </w:pPr>
                  <w:r>
                    <w:t xml:space="preserve">40.7</w:t>
                  </w:r>
                </w:p>
              </w:tc>
              <w:tc>
                <w:tcPr/>
                <w:p>
                  <w:pPr>
                    <w:pStyle w:val="Compact"/>
                    <w:jc w:val="left"/>
                    <w:jc w:val="center"/>
                  </w:pPr>
                  <w:r>
                    <w:t xml:space="preserve">0.8</w:t>
                  </w:r>
                </w:p>
              </w:tc>
            </w:tr>
            <w:tr>
              <w:tc>
                <w:tcPr/>
                <w:p>
                  <w:pPr>
                    <w:pStyle w:val="Compact"/>
                    <w:jc w:val="left"/>
                    <w:jc w:val="center"/>
                  </w:pPr>
                  <w:r>
                    <w:t xml:space="preserve">Portugal</w:t>
                  </w:r>
                </w:p>
              </w:tc>
              <w:tc>
                <w:tcPr/>
                <w:p>
                  <w:pPr>
                    <w:pStyle w:val="Compact"/>
                    <w:jc w:val="left"/>
                    <w:jc w:val="center"/>
                  </w:pPr>
                  <w:r>
                    <w:t xml:space="preserve">23.2</w:t>
                  </w:r>
                </w:p>
              </w:tc>
              <w:tc>
                <w:tcPr/>
                <w:p>
                  <w:pPr>
                    <w:pStyle w:val="Compact"/>
                    <w:jc w:val="left"/>
                    <w:jc w:val="center"/>
                  </w:pPr>
                  <w:r>
                    <w:t xml:space="preserve">0.3</w:t>
                  </w:r>
                </w:p>
              </w:tc>
            </w:tr>
            <w:tr>
              <w:tc>
                <w:tcPr/>
                <w:p>
                  <w:pPr>
                    <w:pStyle w:val="Compact"/>
                    <w:jc w:val="left"/>
                    <w:jc w:val="center"/>
                  </w:pPr>
                  <w:r>
                    <w:t xml:space="preserve">Romania</w:t>
                  </w:r>
                </w:p>
              </w:tc>
              <w:tc>
                <w:tcPr/>
                <w:p>
                  <w:pPr>
                    <w:pStyle w:val="Compact"/>
                    <w:jc w:val="left"/>
                    <w:jc w:val="center"/>
                  </w:pPr>
                  <w:r>
                    <w:t xml:space="preserve">43.6</w:t>
                  </w:r>
                </w:p>
              </w:tc>
              <w:tc>
                <w:tcPr/>
                <w:p>
                  <w:pPr>
                    <w:pStyle w:val="Compact"/>
                    <w:jc w:val="left"/>
                    <w:jc w:val="center"/>
                  </w:pPr>
                  <w:r>
                    <w:t xml:space="preserve">1.0</w:t>
                  </w:r>
                </w:p>
              </w:tc>
            </w:tr>
            <w:tr>
              <w:tc>
                <w:tcPr/>
                <w:p>
                  <w:pPr>
                    <w:pStyle w:val="Compact"/>
                    <w:jc w:val="left"/>
                    <w:jc w:val="center"/>
                  </w:pPr>
                  <w:r>
                    <w:t xml:space="preserve">Slovakia</w:t>
                  </w:r>
                </w:p>
              </w:tc>
              <w:tc>
                <w:tcPr/>
                <w:p>
                  <w:pPr>
                    <w:pStyle w:val="Compact"/>
                    <w:jc w:val="left"/>
                    <w:jc w:val="center"/>
                  </w:pPr>
                  <w:r>
                    <w:t xml:space="preserve">26.8</w:t>
                  </w:r>
                </w:p>
              </w:tc>
              <w:tc>
                <w:tcPr/>
                <w:p>
                  <w:pPr>
                    <w:pStyle w:val="Compact"/>
                    <w:jc w:val="left"/>
                    <w:jc w:val="center"/>
                  </w:pPr>
                  <w:r>
                    <w:t xml:space="preserve">0.4</w:t>
                  </w:r>
                </w:p>
              </w:tc>
            </w:tr>
            <w:tr>
              <w:tc>
                <w:tcPr/>
                <w:p>
                  <w:pPr>
                    <w:pStyle w:val="Compact"/>
                    <w:jc w:val="left"/>
                    <w:jc w:val="center"/>
                  </w:pPr>
                  <w:r>
                    <w:t xml:space="preserve">Slovenia</w:t>
                  </w:r>
                </w:p>
              </w:tc>
              <w:tc>
                <w:tcPr/>
                <w:p>
                  <w:pPr>
                    <w:pStyle w:val="Compact"/>
                    <w:jc w:val="left"/>
                    <w:jc w:val="center"/>
                  </w:pPr>
                  <w:r>
                    <w:t xml:space="preserve">30.7</w:t>
                  </w:r>
                </w:p>
              </w:tc>
              <w:tc>
                <w:tcPr/>
                <w:p>
                  <w:pPr>
                    <w:pStyle w:val="Compact"/>
                    <w:jc w:val="left"/>
                    <w:jc w:val="center"/>
                  </w:pPr>
                  <w:r>
                    <w:t xml:space="preserve">0.7</w:t>
                  </w:r>
                </w:p>
              </w:tc>
            </w:tr>
            <w:tr>
              <w:tc>
                <w:tcPr/>
                <w:p>
                  <w:pPr>
                    <w:pStyle w:val="Compact"/>
                    <w:jc w:val="left"/>
                    <w:jc w:val="center"/>
                  </w:pPr>
                  <w:r>
                    <w:t xml:space="preserve">Spain</w:t>
                  </w:r>
                </w:p>
              </w:tc>
              <w:tc>
                <w:tcPr/>
                <w:p>
                  <w:pPr>
                    <w:pStyle w:val="Compact"/>
                    <w:jc w:val="left"/>
                    <w:jc w:val="center"/>
                  </w:pPr>
                  <w:r>
                    <w:t xml:space="preserve">27.7</w:t>
                  </w:r>
                </w:p>
              </w:tc>
              <w:tc>
                <w:tcPr/>
                <w:p>
                  <w:pPr>
                    <w:pStyle w:val="Compact"/>
                    <w:jc w:val="left"/>
                    <w:jc w:val="center"/>
                  </w:pPr>
                  <w:r>
                    <w:t xml:space="preserve">1.0</w:t>
                  </w:r>
                </w:p>
              </w:tc>
            </w:tr>
            <w:tr>
              <w:tc>
                <w:tcPr/>
                <w:p>
                  <w:pPr>
                    <w:pStyle w:val="Compact"/>
                    <w:jc w:val="left"/>
                    <w:jc w:val="center"/>
                  </w:pPr>
                  <w:r>
                    <w:t xml:space="preserve">Sweden</w:t>
                  </w:r>
                </w:p>
              </w:tc>
              <w:tc>
                <w:tcPr/>
                <w:p>
                  <w:pPr>
                    <w:pStyle w:val="Compact"/>
                    <w:jc w:val="left"/>
                    <w:jc w:val="center"/>
                  </w:pPr>
                  <w:r>
                    <w:t xml:space="preserve">26.7</w:t>
                  </w:r>
                </w:p>
              </w:tc>
              <w:tc>
                <w:tcPr/>
                <w:p>
                  <w:pPr>
                    <w:pStyle w:val="Compact"/>
                    <w:jc w:val="left"/>
                    <w:jc w:val="center"/>
                  </w:pPr>
                  <w:r>
                    <w:t xml:space="preserve">2.5</w:t>
                  </w:r>
                </w:p>
              </w:tc>
            </w:tr>
            <w:tr>
              <w:tc>
                <w:tcPr/>
                <w:p>
                  <w:pPr>
                    <w:pStyle w:val="Compact"/>
                    <w:jc w:val="left"/>
                    <w:jc w:val="center"/>
                  </w:pPr>
                  <w:r>
                    <w:rPr>
                      <w:b/>
                      <w:bCs/>
                    </w:rPr>
                    <w:t xml:space="preserve">Average</w:t>
                  </w:r>
                </w:p>
              </w:tc>
              <w:tc>
                <w:tcPr/>
                <w:p>
                  <w:pPr>
                    <w:pStyle w:val="Compact"/>
                    <w:jc w:val="left"/>
                    <w:jc w:val="center"/>
                  </w:pPr>
                  <w:r>
                    <w:rPr>
                      <w:b/>
                      <w:bCs/>
                    </w:rPr>
                    <w:t xml:space="preserve">27.8</w:t>
                  </w:r>
                </w:p>
              </w:tc>
              <w:tc>
                <w:tcPr/>
                <w:p>
                  <w:pPr>
                    <w:pStyle w:val="Compact"/>
                    <w:jc w:val="left"/>
                    <w:jc w:val="center"/>
                  </w:pPr>
                  <w:r>
                    <w:rPr>
                      <w:b/>
                      <w:bCs/>
                    </w:rPr>
                    <w:t xml:space="preserve">0.8</w:t>
                  </w:r>
                </w:p>
              </w:tc>
            </w:tr>
          </w:tbl>
          <w:bookmarkEnd w:id="45"/>
          <w:p/>
        </w:tc>
      </w:tr>
    </w:tbl>
    <w:bookmarkEnd w:id="46"/>
    <w:bookmarkEnd w:id="47"/>
    <w:bookmarkStart w:id="63" w:name="appendix"/>
    <w:p>
      <w:pPr>
        <w:pStyle w:val="Heading2"/>
      </w:pPr>
      <w:r>
        <w:t xml:space="preserve">5 Appendix</w:t>
      </w:r>
    </w:p>
    <w:bookmarkStart w:id="52" w:name="sec-sources"/>
    <w:p>
      <w:pPr>
        <w:pStyle w:val="Heading3"/>
      </w:pPr>
      <w:r>
        <w:t xml:space="preserve">5.1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End w:id="52"/>
    <w:bookmarkStart w:id="62" w:name="sec-keys"/>
    <w:p>
      <w:pPr>
        <w:pStyle w:val="Heading3"/>
      </w:pPr>
      <w:r>
        <w:t xml:space="preserve">5.2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note.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Start w:id="61" w:name="refs"/>
    <w:bookmarkStart w:id="5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57"/>
    <w:bookmarkStart w:id="5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58"/>
    <w:bookmarkStart w:id="5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59"/>
    <w:bookmarkStart w:id="6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38">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41">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44">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2024-09-09T20:22:37Z</dcterms:created>
  <dcterms:modified xsi:type="dcterms:W3CDTF">2024-09-09T20:22:37Z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2024-09-09</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