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Hospital HIS-to-Claims Portal Automation</w:t>
      </w:r>
    </w:p>
    <w:p>
      <w:r>
        <w:t>Research findings, current VDoc coverage and pilot priorities</w:t>
      </w:r>
    </w:p>
    <w:p>
      <w:r>
        <w:t>Prepared: 8 October 2026 | Audience: product, engineering and hospital discovery teams</w:t>
      </w:r>
    </w:p>
    <w:p>
      <w:pPr>
        <w:pStyle w:val="Heading1"/>
        <w:keepNext/>
      </w:pPr>
      <w:r>
        <w:t>1. Are we solving every problem?</w:t>
      </w:r>
    </w:p>
    <w:p>
      <w:r>
        <w:t>No. VDoc currently demonstrates a working local claims-management workflow. It does not yet remove the real-world manual transfer of information from a hospital HIS into an insurer or TPA portal.</w:t>
      </w:r>
    </w:p>
    <w:p>
      <w:r>
        <w:t>The distinction matters for the pitch: local document assembly, form editing, review gates and saved histories work. Insurer acknowledgements, queries, approvals, remittances and bank references are simulated. The central integration—the actual movement of hospital data and files into an external payer system—has not been built.</w:t>
      </w:r>
    </w:p>
    <w:p>
      <w:r>
        <w:t>Recommended product focus: help staff collect the right records, map them to the payer’s requirements, review the packet, submit it through an authorised connection, and bring receipts and queries back into VDoc.</w:t>
      </w:r>
    </w:p>
    <w:p>
      <w:pPr>
        <w:pStyle w:val="Heading1"/>
        <w:keepNext/>
      </w:pPr>
      <w:r>
        <w:t>2. What the research establishes</w:t>
      </w:r>
    </w:p>
    <w:p>
      <w:r>
        <w:t>The sources support the existence of manual form completion, document exchange, payer portals, information requests and follow-up. They do not establish exactly which tasks the target hospital performs manually today. Portal-only, email-based and integrated workflows can coexist; payer and hospital practices vary.</w:t>
      </w:r>
    </w:p>
    <w:tbl>
      <w:tblPr>
        <w:tblStyle w:val="LightShading-Accent1"/>
        <w:tblW w:type="auto" w:w="0"/>
        <w:tblLook w:firstColumn="1" w:firstRow="1" w:lastColumn="0" w:lastRow="0" w:noHBand="0" w:noVBand="1" w:val="04A0"/>
      </w:tblPr>
      <w:tblGrid>
        <w:gridCol w:w="5112"/>
        <w:gridCol w:w="5112"/>
      </w:tblGrid>
      <w:tr>
        <w:trPr>
          <w:tblHeader/>
          <w:cantSplit/>
        </w:trPr>
        <w:tc>
          <w:tcPr>
            <w:tcW w:type="dxa" w:w="5112"/>
          </w:tcPr>
          <w:p>
            <w:r>
              <w:t>Finding</w:t>
            </w:r>
          </w:p>
        </w:tc>
        <w:tc>
          <w:tcPr>
            <w:tcW w:type="dxa" w:w="5112"/>
          </w:tcPr>
          <w:p>
            <w:r>
              <w:t>Evidence and qualification</w:t>
            </w:r>
          </w:p>
        </w:tc>
      </w:tr>
      <w:tr>
        <w:trPr>
          <w:cantSplit/>
        </w:trPr>
        <w:tc>
          <w:tcPr>
            <w:tcW w:type="dxa" w:w="5112"/>
          </w:tcPr>
          <w:p>
            <w:r>
              <w:rPr>
                <w:sz w:val="18"/>
              </w:rPr>
              <w:t>Manual forms and portal uploads exist</w:t>
            </w:r>
          </w:p>
        </w:tc>
        <w:tc>
          <w:tcPr>
            <w:tcW w:type="dxa" w:w="5112"/>
          </w:tcPr>
          <w:p>
            <w:r>
              <w:rPr>
                <w:sz w:val="18"/>
              </w:rPr>
              <w:t>A May 2024 Economic Times report describes hospitals completing claim forms, scanning documents/PDFs and using individual insurer portals. This is historical reporting about the traditional process, not proof that every hospital still operates this way. [S1]</w:t>
            </w:r>
          </w:p>
        </w:tc>
      </w:tr>
      <w:tr>
        <w:trPr>
          <w:cantSplit/>
        </w:trPr>
        <w:tc>
          <w:tcPr>
            <w:tcW w:type="dxa" w:w="5112"/>
          </w:tcPr>
          <w:p>
            <w:r>
              <w:rPr>
                <w:sz w:val="18"/>
              </w:rPr>
              <w:t>Hospitals supply substantial structured information</w:t>
            </w:r>
          </w:p>
        </w:tc>
        <w:tc>
          <w:tcPr>
            <w:tcW w:type="dxa" w:w="5112"/>
          </w:tcPr>
          <w:p>
            <w:r>
              <w:rPr>
                <w:sz w:val="18"/>
              </w:rPr>
              <w:t>Medi Assist describes hospital-provided patient/member information, admission/procedure dates, expected stay and estimated treatment costs for pre-authorisation. These are fields that may otherwise require repeated entry. [S2]</w:t>
            </w:r>
          </w:p>
        </w:tc>
      </w:tr>
      <w:tr>
        <w:trPr>
          <w:cantSplit/>
        </w:trPr>
        <w:tc>
          <w:tcPr>
            <w:tcW w:type="dxa" w:w="5112"/>
          </w:tcPr>
          <w:p>
            <w:r>
              <w:rPr>
                <w:sz w:val="18"/>
              </w:rPr>
              <w:t>The channel is not always a portal</w:t>
            </w:r>
          </w:p>
        </w:tc>
        <w:tc>
          <w:tcPr>
            <w:tcW w:type="dxa" w:w="5112"/>
          </w:tcPr>
          <w:p>
            <w:r>
              <w:rPr>
                <w:sz w:val="18"/>
              </w:rPr>
              <w:t>Paramount’s provider portal exposes fresh requests, enhancement requests, query replies and request tracking. It also publishes a dedicated email channel for active cashless claim documents. [S3]</w:t>
            </w:r>
          </w:p>
        </w:tc>
      </w:tr>
      <w:tr>
        <w:trPr>
          <w:cantSplit/>
        </w:trPr>
        <w:tc>
          <w:tcPr>
            <w:tcW w:type="dxa" w:w="5112"/>
          </w:tcPr>
          <w:p>
            <w:r>
              <w:rPr>
                <w:sz w:val="18"/>
              </w:rPr>
              <w:t>Queries send work back to the hospital</w:t>
            </w:r>
          </w:p>
        </w:tc>
        <w:tc>
          <w:tcPr>
            <w:tcW w:type="dxa" w:w="5112"/>
          </w:tcPr>
          <w:p>
            <w:r>
              <w:rPr>
                <w:sz w:val="18"/>
              </w:rPr>
              <w:t>Medi Assist explains that, for cashless claims, the hospital is notified when additional documents or clarification are required. This creates another retrieval, review and response cycle. [S4]</w:t>
            </w:r>
          </w:p>
        </w:tc>
      </w:tr>
      <w:tr>
        <w:trPr>
          <w:cantSplit/>
        </w:trPr>
        <w:tc>
          <w:tcPr>
            <w:tcW w:type="dxa" w:w="5112"/>
          </w:tcPr>
          <w:p>
            <w:r>
              <w:rPr>
                <w:sz w:val="18"/>
              </w:rPr>
              <w:t>Final approval requires hospital documents</w:t>
            </w:r>
          </w:p>
        </w:tc>
        <w:tc>
          <w:tcPr>
            <w:tcW w:type="dxa" w:w="5112"/>
          </w:tcPr>
          <w:p>
            <w:r>
              <w:rPr>
                <w:sz w:val="18"/>
              </w:rPr>
              <w:t>HDFC ERGO describes hospitals sending the final bill for authorisation; final approval and patient-payable deductions are distinct from an initial request. [S5]</w:t>
            </w:r>
          </w:p>
        </w:tc>
      </w:tr>
      <w:tr>
        <w:trPr>
          <w:cantSplit/>
        </w:trPr>
        <w:tc>
          <w:tcPr>
            <w:tcW w:type="dxa" w:w="5112"/>
          </w:tcPr>
          <w:p>
            <w:r>
              <w:rPr>
                <w:sz w:val="18"/>
              </w:rPr>
              <w:t>Standardised exchange is an integration option</w:t>
            </w:r>
          </w:p>
        </w:tc>
        <w:tc>
          <w:tcPr>
            <w:tcW w:type="dxa" w:w="5112"/>
          </w:tcPr>
          <w:p>
            <w:r>
              <w:rPr>
                <w:sz w:val="18"/>
              </w:rPr>
              <w:t>The government describes NHCX as an interoperable gateway for exchanging claims information between healthcare and insurance stakeholders. Actual availability must be checked for the target hospital and payers. [S6]</w:t>
            </w:r>
          </w:p>
        </w:tc>
      </w:tr>
    </w:tbl>
    <w:p>
      <w:r>
        <w:t>Scope: this assessment concerns hospital-side cashless insurance work. Patient reimbursement workflows and government-scheme portals have their own requirements and should not be treated as interchangeable with private insurer/TPA workflows.</w:t>
      </w:r>
    </w:p>
    <w:p>
      <w:pPr>
        <w:pStyle w:val="Heading1"/>
        <w:keepNext/>
      </w:pPr>
      <w:r>
        <w:t>3. Where the manual work occurs</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r>
              <w:t>Stage</w:t>
            </w:r>
          </w:p>
        </w:tc>
        <w:tc>
          <w:tcPr>
            <w:tcW w:type="dxa" w:w="3408"/>
          </w:tcPr>
          <w:p>
            <w:r>
              <w:t>Staff work in an unintegrated setup</w:t>
            </w:r>
          </w:p>
        </w:tc>
        <w:tc>
          <w:tcPr>
            <w:tcW w:type="dxa" w:w="3408"/>
          </w:tcPr>
          <w:p>
            <w:r>
              <w:t>Automation opportunity</w:t>
            </w:r>
          </w:p>
        </w:tc>
      </w:tr>
      <w:tr>
        <w:trPr>
          <w:cantSplit/>
        </w:trPr>
        <w:tc>
          <w:tcPr>
            <w:tcW w:type="dxa" w:w="3408"/>
          </w:tcPr>
          <w:p>
            <w:r>
              <w:rPr>
                <w:sz w:val="18"/>
              </w:rPr>
              <w:t>Collect records</w:t>
            </w:r>
          </w:p>
        </w:tc>
        <w:tc>
          <w:tcPr>
            <w:tcW w:type="dxa" w:w="3408"/>
          </w:tcPr>
          <w:p>
            <w:r>
              <w:rPr>
                <w:sz w:val="18"/>
              </w:rPr>
              <w:t>Locate discharge summary, final bill, reports, pharmacy breakup and other required attachments across hospital systems or departments.</w:t>
            </w:r>
          </w:p>
        </w:tc>
        <w:tc>
          <w:tcPr>
            <w:tcW w:type="dxa" w:w="3408"/>
          </w:tcPr>
          <w:p>
            <w:r>
              <w:rPr>
                <w:sz w:val="18"/>
              </w:rPr>
              <w:t>Fetch admission-scoped records; identify what is available, missing or unsigned.</w:t>
            </w:r>
          </w:p>
        </w:tc>
      </w:tr>
      <w:tr>
        <w:trPr>
          <w:cantSplit/>
        </w:trPr>
        <w:tc>
          <w:tcPr>
            <w:tcW w:type="dxa" w:w="3408"/>
          </w:tcPr>
          <w:p>
            <w:r>
              <w:rPr>
                <w:sz w:val="18"/>
              </w:rPr>
              <w:t>Prepare the payer request</w:t>
            </w:r>
          </w:p>
        </w:tc>
        <w:tc>
          <w:tcPr>
            <w:tcW w:type="dxa" w:w="3408"/>
          </w:tcPr>
          <w:p>
            <w:r>
              <w:rPr>
                <w:sz w:val="18"/>
              </w:rPr>
              <w:t>Complete or re-enter patient, policy, diagnosis, dates, treatment and cost details in the required format.</w:t>
            </w:r>
          </w:p>
        </w:tc>
        <w:tc>
          <w:tcPr>
            <w:tcW w:type="dxa" w:w="3408"/>
          </w:tcPr>
          <w:p>
            <w:r>
              <w:rPr>
                <w:sz w:val="18"/>
              </w:rPr>
              <w:t>Map hospital fields to payer fields and show each value’s source.</w:t>
            </w:r>
          </w:p>
        </w:tc>
      </w:tr>
      <w:tr>
        <w:trPr>
          <w:cantSplit/>
        </w:trPr>
        <w:tc>
          <w:tcPr>
            <w:tcW w:type="dxa" w:w="3408"/>
          </w:tcPr>
          <w:p>
            <w:r>
              <w:rPr>
                <w:sz w:val="18"/>
              </w:rPr>
              <w:t>Prepare documents</w:t>
            </w:r>
          </w:p>
        </w:tc>
        <w:tc>
          <w:tcPr>
            <w:tcW w:type="dxa" w:w="3408"/>
          </w:tcPr>
          <w:p>
            <w:r>
              <w:rPr>
                <w:sz w:val="18"/>
              </w:rPr>
              <w:t>Export/download files, obtain scanned documents where necessary, and organise the packet according to the payer checklist.</w:t>
            </w:r>
          </w:p>
        </w:tc>
        <w:tc>
          <w:tcPr>
            <w:tcW w:type="dxa" w:w="3408"/>
          </w:tcPr>
          <w:p>
            <w:r>
              <w:rPr>
                <w:sz w:val="18"/>
              </w:rPr>
              <w:t>Create a document manifest and validate identity, episode, format and completeness. Specific file-size/format limits require payer discovery.</w:t>
            </w:r>
          </w:p>
        </w:tc>
      </w:tr>
      <w:tr>
        <w:trPr>
          <w:cantSplit/>
        </w:trPr>
        <w:tc>
          <w:tcPr>
            <w:tcW w:type="dxa" w:w="3408"/>
          </w:tcPr>
          <w:p>
            <w:r>
              <w:rPr>
                <w:sz w:val="18"/>
              </w:rPr>
              <w:t>Submit</w:t>
            </w:r>
          </w:p>
        </w:tc>
        <w:tc>
          <w:tcPr>
            <w:tcW w:type="dxa" w:w="3408"/>
          </w:tcPr>
          <w:p>
            <w:r>
              <w:rPr>
                <w:sz w:val="18"/>
              </w:rPr>
              <w:t>Use the correct portal/request type or accepted email channel, fill fields, attach files and retain acknowledgement.</w:t>
            </w:r>
          </w:p>
        </w:tc>
        <w:tc>
          <w:tcPr>
            <w:tcW w:type="dxa" w:w="3408"/>
          </w:tcPr>
          <w:p>
            <w:r>
              <w:rPr>
                <w:sz w:val="18"/>
              </w:rPr>
              <w:t>Submit through an authorised integration or controlled portal workflow; save external receipt and reference.</w:t>
            </w:r>
          </w:p>
        </w:tc>
      </w:tr>
      <w:tr>
        <w:trPr>
          <w:cantSplit/>
        </w:trPr>
        <w:tc>
          <w:tcPr>
            <w:tcW w:type="dxa" w:w="3408"/>
          </w:tcPr>
          <w:p>
            <w:r>
              <w:rPr>
                <w:sz w:val="18"/>
              </w:rPr>
              <w:t>Resolve queries</w:t>
            </w:r>
          </w:p>
        </w:tc>
        <w:tc>
          <w:tcPr>
            <w:tcW w:type="dxa" w:w="3408"/>
          </w:tcPr>
          <w:p>
            <w:r>
              <w:rPr>
                <w:sz w:val="18"/>
              </w:rPr>
              <w:t>Read the query, locate supporting evidence or request clinical clarification, prepare the response and submit again.</w:t>
            </w:r>
          </w:p>
        </w:tc>
        <w:tc>
          <w:tcPr>
            <w:tcW w:type="dxa" w:w="3408"/>
          </w:tcPr>
          <w:p>
            <w:r>
              <w:rPr>
                <w:sz w:val="18"/>
              </w:rPr>
              <w:t>Track the requested item, assemble evidence, route substantive clarification to staff and submit the reviewed response.</w:t>
            </w:r>
          </w:p>
        </w:tc>
      </w:tr>
      <w:tr>
        <w:trPr>
          <w:cantSplit/>
        </w:trPr>
        <w:tc>
          <w:tcPr>
            <w:tcW w:type="dxa" w:w="3408"/>
          </w:tcPr>
          <w:p>
            <w:r>
              <w:rPr>
                <w:sz w:val="18"/>
              </w:rPr>
              <w:t>Track and close</w:t>
            </w:r>
          </w:p>
        </w:tc>
        <w:tc>
          <w:tcPr>
            <w:tcW w:type="dxa" w:w="3408"/>
          </w:tcPr>
          <w:p>
            <w:r>
              <w:rPr>
                <w:sz w:val="18"/>
              </w:rPr>
              <w:t>Check status, download approval letters, coordinate with billing and later match payment information.</w:t>
            </w:r>
          </w:p>
        </w:tc>
        <w:tc>
          <w:tcPr>
            <w:tcW w:type="dxa" w:w="3408"/>
          </w:tcPr>
          <w:p>
            <w:r>
              <w:rPr>
                <w:sz w:val="18"/>
              </w:rPr>
              <w:t>Synchronise external status and correspondence; reconcile actual remittances and exceptions once connected.</w:t>
            </w:r>
          </w:p>
        </w:tc>
      </w:tr>
    </w:tbl>
    <w:p>
      <w:r>
        <w:t>The stages above combine documented workflow requirements with a product interpretation of where an unintegrated HIS-to-payer hand-off creates work. Claims about repeated downloads, manual copying, missed queries or time spent must be validated by observing this hospital’s staff. No measured time-saving or rejection-reduction result is available.</w:t>
      </w:r>
    </w:p>
    <w:p>
      <w:pPr>
        <w:pStyle w:val="Heading1"/>
        <w:keepNext/>
      </w:pPr>
      <w:r>
        <w:t>4. Current VDoc coverage</w:t>
      </w:r>
    </w:p>
    <w:p>
      <w:r>
        <w:t>Status meanings: “Working locally” means real application logic against synthetic/demo data; “Partial” means a narrow local version exists; “Simulated” means a presenter-triggered fixture; “Not built” means the required external capability is absent.</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r>
              <w:t>Capability</w:t>
            </w:r>
          </w:p>
        </w:tc>
        <w:tc>
          <w:tcPr>
            <w:tcW w:type="dxa" w:w="3408"/>
          </w:tcPr>
          <w:p>
            <w:r>
              <w:t>Current status</w:t>
            </w:r>
          </w:p>
        </w:tc>
        <w:tc>
          <w:tcPr>
            <w:tcW w:type="dxa" w:w="3408"/>
          </w:tcPr>
          <w:p>
            <w:r>
              <w:t>What is still missing</w:t>
            </w:r>
          </w:p>
        </w:tc>
      </w:tr>
      <w:tr>
        <w:trPr>
          <w:cantSplit/>
        </w:trPr>
        <w:tc>
          <w:tcPr>
            <w:tcW w:type="dxa" w:w="3408"/>
          </w:tcPr>
          <w:p>
            <w:r>
              <w:rPr>
                <w:sz w:val="18"/>
              </w:rPr>
              <w:t>Patient claim list and next actions</w:t>
            </w:r>
          </w:p>
        </w:tc>
        <w:tc>
          <w:tcPr>
            <w:tcW w:type="dxa" w:w="3408"/>
          </w:tcPr>
          <w:p>
            <w:r>
              <w:rPr>
                <w:sz w:val="18"/>
              </w:rPr>
              <w:t>Working locally: 10 records, initially 5 active and 5 completed, with search, filters and stage progress.</w:t>
            </w:r>
          </w:p>
        </w:tc>
        <w:tc>
          <w:tcPr>
            <w:tcW w:type="dxa" w:w="3408"/>
          </w:tcPr>
          <w:p>
            <w:r>
              <w:rPr>
                <w:sz w:val="18"/>
              </w:rPr>
              <w:t>A live hospital claims queue and shared multi-device claims persistence.</w:t>
            </w:r>
          </w:p>
        </w:tc>
      </w:tr>
      <w:tr>
        <w:trPr>
          <w:cantSplit/>
        </w:trPr>
        <w:tc>
          <w:tcPr>
            <w:tcW w:type="dxa" w:w="3408"/>
          </w:tcPr>
          <w:p>
            <w:r>
              <w:rPr>
                <w:sz w:val="18"/>
              </w:rPr>
              <w:t>Document collection from hospital systems</w:t>
            </w:r>
          </w:p>
        </w:tc>
        <w:tc>
          <w:tcPr>
            <w:tcW w:type="dxa" w:w="3408"/>
          </w:tcPr>
          <w:p>
            <w:r>
              <w:rPr>
                <w:sz w:val="18"/>
              </w:rPr>
              <w:t>Partial: reads selected VDoc clinical records and creates additional labelled mock attachments.</w:t>
            </w:r>
          </w:p>
        </w:tc>
        <w:tc>
          <w:tcPr>
            <w:tcW w:type="dxa" w:w="3408"/>
          </w:tcPr>
          <w:p>
            <w:r>
              <w:rPr>
                <w:sz w:val="18"/>
              </w:rPr>
              <w:t>Real HIS/LIS/billing/document-store connectors, approved PDF retrieval and signature/version handling.</w:t>
            </w:r>
          </w:p>
        </w:tc>
      </w:tr>
      <w:tr>
        <w:trPr>
          <w:cantSplit/>
        </w:trPr>
        <w:tc>
          <w:tcPr>
            <w:tcW w:type="dxa" w:w="3408"/>
          </w:tcPr>
          <w:p>
            <w:r>
              <w:rPr>
                <w:sz w:val="18"/>
              </w:rPr>
              <w:t>Claim form population</w:t>
            </w:r>
          </w:p>
        </w:tc>
        <w:tc>
          <w:tcPr>
            <w:tcW w:type="dxa" w:w="3408"/>
          </w:tcPr>
          <w:p>
            <w:r>
              <w:rPr>
                <w:sz w:val="18"/>
              </w:rPr>
              <w:t>Partial: deterministic mapping into one editable demo form.</w:t>
            </w:r>
          </w:p>
        </w:tc>
        <w:tc>
          <w:tcPr>
            <w:tcW w:type="dxa" w:w="3408"/>
          </w:tcPr>
          <w:p>
            <w:r>
              <w:rPr>
                <w:sz w:val="18"/>
              </w:rPr>
              <w:t>Mapping to the target payer’s actual fields, validations and submission contract.</w:t>
            </w:r>
          </w:p>
        </w:tc>
      </w:tr>
      <w:tr>
        <w:trPr>
          <w:cantSplit/>
        </w:trPr>
        <w:tc>
          <w:tcPr>
            <w:tcW w:type="dxa" w:w="3408"/>
          </w:tcPr>
          <w:p>
            <w:r>
              <w:rPr>
                <w:sz w:val="18"/>
              </w:rPr>
              <w:t>Document checks</w:t>
            </w:r>
          </w:p>
        </w:tc>
        <w:tc>
          <w:tcPr>
            <w:tcW w:type="dxa" w:w="3408"/>
          </w:tcPr>
          <w:p>
            <w:r>
              <w:rPr>
                <w:sz w:val="18"/>
              </w:rPr>
              <w:t>Working locally: required attachments and patient/episode matching.</w:t>
            </w:r>
          </w:p>
        </w:tc>
        <w:tc>
          <w:tcPr>
            <w:tcW w:type="dxa" w:w="3408"/>
          </w:tcPr>
          <w:p>
            <w:r>
              <w:rPr>
                <w:sz w:val="18"/>
              </w:rPr>
              <w:t>Payer-specific checklists, real file ingestion, scan quality checks and optional OCR.</w:t>
            </w:r>
          </w:p>
        </w:tc>
      </w:tr>
      <w:tr>
        <w:trPr>
          <w:cantSplit/>
        </w:trPr>
        <w:tc>
          <w:tcPr>
            <w:tcW w:type="dxa" w:w="3408"/>
          </w:tcPr>
          <w:p>
            <w:r>
              <w:rPr>
                <w:sz w:val="18"/>
              </w:rPr>
              <w:t>Clinical/billing review</w:t>
            </w:r>
          </w:p>
        </w:tc>
        <w:tc>
          <w:tcPr>
            <w:tcW w:type="dxa" w:w="3408"/>
          </w:tcPr>
          <w:p>
            <w:r>
              <w:rPr>
                <w:sz w:val="18"/>
              </w:rPr>
              <w:t>Working locally: review gates, edited-packet invalidation and final staff confirmation.</w:t>
            </w:r>
          </w:p>
        </w:tc>
        <w:tc>
          <w:tcPr>
            <w:tcW w:type="dxa" w:w="3408"/>
          </w:tcPr>
          <w:p>
            <w:r>
              <w:rPr>
                <w:sz w:val="18"/>
              </w:rPr>
              <w:t>Production role-based permissions, authenticated approver identity and organisational approval rules.</w:t>
            </w:r>
          </w:p>
        </w:tc>
      </w:tr>
      <w:tr>
        <w:trPr>
          <w:cantSplit/>
        </w:trPr>
        <w:tc>
          <w:tcPr>
            <w:tcW w:type="dxa" w:w="3408"/>
          </w:tcPr>
          <w:p>
            <w:r>
              <w:rPr>
                <w:sz w:val="18"/>
              </w:rPr>
              <w:t>Upload/submit to insurer or TPA</w:t>
            </w:r>
          </w:p>
        </w:tc>
        <w:tc>
          <w:tcPr>
            <w:tcW w:type="dxa" w:w="3408"/>
          </w:tcPr>
          <w:p>
            <w:r>
              <w:rPr>
                <w:sz w:val="18"/>
              </w:rPr>
              <w:t>Not built: current submissions save local snapshots and simulated receipts.</w:t>
            </w:r>
          </w:p>
        </w:tc>
        <w:tc>
          <w:tcPr>
            <w:tcW w:type="dxa" w:w="3408"/>
          </w:tcPr>
          <w:p>
            <w:r>
              <w:rPr>
                <w:sz w:val="18"/>
              </w:rPr>
              <w:t>A real API, NHCX or authorised portal connection; document upload and externally verifiable receipt.</w:t>
            </w:r>
          </w:p>
        </w:tc>
      </w:tr>
      <w:tr>
        <w:trPr>
          <w:cantSplit/>
        </w:trPr>
        <w:tc>
          <w:tcPr>
            <w:tcW w:type="dxa" w:w="3408"/>
          </w:tcPr>
          <w:p>
            <w:r>
              <w:rPr>
                <w:sz w:val="18"/>
              </w:rPr>
              <w:t>Read and answer insurer queries</w:t>
            </w:r>
          </w:p>
        </w:tc>
        <w:tc>
          <w:tcPr>
            <w:tcW w:type="dxa" w:w="3408"/>
          </w:tcPr>
          <w:p>
            <w:r>
              <w:rPr>
                <w:sz w:val="18"/>
              </w:rPr>
              <w:t>Partial + simulated: one pharmacy query scenario and a template response with review.</w:t>
            </w:r>
          </w:p>
        </w:tc>
        <w:tc>
          <w:tcPr>
            <w:tcW w:type="dxa" w:w="3408"/>
          </w:tcPr>
          <w:p>
            <w:r>
              <w:rPr>
                <w:sz w:val="18"/>
              </w:rPr>
              <w:t>Ingest actual payer queries, support multiple query types and repeated rounds, submit replies externally.</w:t>
            </w:r>
          </w:p>
        </w:tc>
      </w:tr>
      <w:tr>
        <w:trPr>
          <w:cantSplit/>
        </w:trPr>
        <w:tc>
          <w:tcPr>
            <w:tcW w:type="dxa" w:w="3408"/>
          </w:tcPr>
          <w:p>
            <w:r>
              <w:rPr>
                <w:sz w:val="18"/>
              </w:rPr>
              <w:t>Track payer status and approval</w:t>
            </w:r>
          </w:p>
        </w:tc>
        <w:tc>
          <w:tcPr>
            <w:tcW w:type="dxa" w:w="3408"/>
          </w:tcPr>
          <w:p>
            <w:r>
              <w:rPr>
                <w:sz w:val="18"/>
              </w:rPr>
              <w:t>Simulated: presenter generates the authorisation outcome.</w:t>
            </w:r>
          </w:p>
        </w:tc>
        <w:tc>
          <w:tcPr>
            <w:tcW w:type="dxa" w:w="3408"/>
          </w:tcPr>
          <w:p>
            <w:r>
              <w:rPr>
                <w:sz w:val="18"/>
              </w:rPr>
              <w:t>Poll or receive real status updates and download genuine payer letters.</w:t>
            </w:r>
          </w:p>
        </w:tc>
      </w:tr>
      <w:tr>
        <w:trPr>
          <w:cantSplit/>
        </w:trPr>
        <w:tc>
          <w:tcPr>
            <w:tcW w:type="dxa" w:w="3408"/>
          </w:tcPr>
          <w:p>
            <w:r>
              <w:rPr>
                <w:sz w:val="18"/>
              </w:rPr>
              <w:t>Settlement and reconciliation</w:t>
            </w:r>
          </w:p>
        </w:tc>
        <w:tc>
          <w:tcPr>
            <w:tcW w:type="dxa" w:w="3408"/>
          </w:tcPr>
          <w:p>
            <w:r>
              <w:rPr>
                <w:sz w:val="18"/>
              </w:rPr>
              <w:t>Simulated inputs + working balance checks: demo remittance, UTR, patient receipt and closure.</w:t>
            </w:r>
          </w:p>
        </w:tc>
        <w:tc>
          <w:tcPr>
            <w:tcW w:type="dxa" w:w="3408"/>
          </w:tcPr>
          <w:p>
            <w:r>
              <w:rPr>
                <w:sz w:val="18"/>
              </w:rPr>
              <w:t>Actual remittance/bank/accounting imports and handling of TDS, partial payments, co-pay and other adjustments.</w:t>
            </w:r>
          </w:p>
        </w:tc>
      </w:tr>
      <w:tr>
        <w:trPr>
          <w:cantSplit/>
        </w:trPr>
        <w:tc>
          <w:tcPr>
            <w:tcW w:type="dxa" w:w="3408"/>
          </w:tcPr>
          <w:p>
            <w:r>
              <w:rPr>
                <w:sz w:val="18"/>
              </w:rPr>
              <w:t>Audit and cross-checking</w:t>
            </w:r>
          </w:p>
        </w:tc>
        <w:tc>
          <w:tcPr>
            <w:tcW w:type="dxa" w:w="3408"/>
          </w:tcPr>
          <w:p>
            <w:r>
              <w:rPr>
                <w:sz w:val="18"/>
              </w:rPr>
              <w:t>Working locally: timestamps, demo actors, evidence drawers, correspondence and saved submission packets.</w:t>
            </w:r>
          </w:p>
        </w:tc>
        <w:tc>
          <w:tcPr>
            <w:tcW w:type="dxa" w:w="3408"/>
          </w:tcPr>
          <w:p>
            <w:r>
              <w:rPr>
                <w:sz w:val="18"/>
              </w:rPr>
              <w:t>External transaction evidence, authenticated actors, durable server storage and production audit controls.</w:t>
            </w:r>
          </w:p>
        </w:tc>
      </w:tr>
    </w:tbl>
    <w:p>
      <w:r>
        <w:t>Additional boundaries: the demo starts after provisional pre-authorisation. It does not implement the initial eligibility/pre-authorisation request loop, enhancement requests, rejection/appeal handling, general insurer adjudication, production browser automation or live AI extraction. Downloads are text files rather than payer-ready PDF packets.</w:t>
      </w:r>
    </w:p>
    <w:p>
      <w:r>
        <w:t>The five completed examples demonstrate synthetic historical episodes and reconciled demo amounts. They are not real submitted claims, paid bank transactions, or evidence that the patients’ current clinical admissions have ended.</w:t>
      </w:r>
    </w:p>
    <w:p>
      <w:pPr>
        <w:pStyle w:val="Heading1"/>
        <w:keepNext/>
      </w:pPr>
      <w:r>
        <w:t>5. The most important gap to close</w:t>
      </w:r>
    </w:p>
    <w:p>
      <w:r>
        <w:t>Priority: demonstrate the complete transfer chain, not just status changes. The next demo milestone should be: hospital source record → mapped payer fields → required attachments → staff approval → destination submission → destination-issued receipt returned to VDoc.</w:t>
      </w:r>
    </w:p>
    <w:p>
      <w:pPr>
        <w:pStyle w:val="ListBullet"/>
      </w:pPr>
      <w:r>
        <w:t>Show a “Hospital source / Payer request” comparison for patient identity, admission, diagnosis and billed amount, with source links.</w:t>
      </w:r>
    </w:p>
    <w:p>
      <w:pPr>
        <w:pStyle w:val="ListBullet"/>
      </w:pPr>
      <w:r>
        <w:t>Show a manifest containing actual generated demo files, document type, version and attachment status. A destination should receive and retain the files rather than only mark a local checklist complete.</w:t>
      </w:r>
    </w:p>
    <w:p>
      <w:pPr>
        <w:pStyle w:val="ListBullet"/>
      </w:pPr>
      <w:r>
        <w:t>Use a clearly labelled sandbox payer destination in the existing demo if external hosting is impractical. Its receipt must correspond to the packet it actually accepted. This proves sandbox transfer only.</w:t>
      </w:r>
    </w:p>
    <w:p>
      <w:pPr>
        <w:pStyle w:val="ListBullet"/>
      </w:pPr>
      <w:r>
        <w:t>Trigger one destination-side query and demonstrate retrieval of the requested evidence, staff review, reply submission and acknowledgement.</w:t>
      </w:r>
    </w:p>
    <w:p>
      <w:pPr>
        <w:pStyle w:val="ListBullet"/>
      </w:pPr>
      <w:r>
        <w:t>Keep final authorisation and payment settlement separate; neither outcome should be presented as something VDoc can guarantee.</w:t>
      </w:r>
    </w:p>
    <w:p>
      <w:pPr>
        <w:pStyle w:val="Heading1"/>
        <w:keepNext/>
      </w:pPr>
      <w:r>
        <w:t>6. Minimum real pilot and acceptance criteria</w:t>
      </w:r>
    </w:p>
    <w:p>
      <w:r>
        <w:t>Start with one hospital HIS, one payer or TPA, one discharge-claim pathway and authorised test access. Prefer an available official integration; assess NHCX participation where applicable. Use controlled portal automation only where permitted and technically viable. Authentication, OTP/CAPTCHA and attachment requirements must be discovered rather than assumed away.</w:t>
      </w:r>
    </w:p>
    <w:tbl>
      <w:tblPr>
        <w:tblStyle w:val="LightShading-Accent1"/>
        <w:tblW w:type="auto" w:w="0"/>
        <w:tblLook w:firstColumn="1" w:firstRow="1" w:lastColumn="0" w:lastRow="0" w:noHBand="0" w:noVBand="1" w:val="04A0"/>
      </w:tblPr>
      <w:tblGrid>
        <w:gridCol w:w="5112"/>
        <w:gridCol w:w="5112"/>
      </w:tblGrid>
      <w:tr>
        <w:trPr>
          <w:tblHeader/>
          <w:cantSplit/>
        </w:trPr>
        <w:tc>
          <w:tcPr>
            <w:tcW w:type="dxa" w:w="5112"/>
          </w:tcPr>
          <w:p>
            <w:r>
              <w:t>Pilot proof</w:t>
            </w:r>
          </w:p>
        </w:tc>
        <w:tc>
          <w:tcPr>
            <w:tcW w:type="dxa" w:w="5112"/>
          </w:tcPr>
          <w:p>
            <w:r>
              <w:t>Acceptance criterion</w:t>
            </w:r>
          </w:p>
        </w:tc>
      </w:tr>
      <w:tr>
        <w:trPr>
          <w:cantSplit/>
        </w:trPr>
        <w:tc>
          <w:tcPr>
            <w:tcW w:type="dxa" w:w="5112"/>
          </w:tcPr>
          <w:p>
            <w:r>
              <w:rPr>
                <w:sz w:val="18"/>
              </w:rPr>
              <w:t>Correct extraction</w:t>
            </w:r>
          </w:p>
        </w:tc>
        <w:tc>
          <w:tcPr>
            <w:tcW w:type="dxa" w:w="5112"/>
          </w:tcPr>
          <w:p>
            <w:r>
              <w:rPr>
                <w:sz w:val="18"/>
              </w:rPr>
              <w:t>Every submitted field and attachment is linked to the correct patient/admission and can be compared with the source record.</w:t>
            </w:r>
          </w:p>
        </w:tc>
      </w:tr>
      <w:tr>
        <w:trPr>
          <w:cantSplit/>
        </w:trPr>
        <w:tc>
          <w:tcPr>
            <w:tcW w:type="dxa" w:w="5112"/>
          </w:tcPr>
          <w:p>
            <w:r>
              <w:rPr>
                <w:sz w:val="18"/>
              </w:rPr>
              <w:t>External submission</w:t>
            </w:r>
          </w:p>
        </w:tc>
        <w:tc>
          <w:tcPr>
            <w:tcW w:type="dxa" w:w="5112"/>
          </w:tcPr>
          <w:p>
            <w:r>
              <w:rPr>
                <w:sz w:val="18"/>
              </w:rPr>
              <w:t>The agreed payer sandbox or authorised test system contains the submitted fields/files and returns a reference independently visible there.</w:t>
            </w:r>
          </w:p>
        </w:tc>
      </w:tr>
      <w:tr>
        <w:trPr>
          <w:cantSplit/>
        </w:trPr>
        <w:tc>
          <w:tcPr>
            <w:tcW w:type="dxa" w:w="5112"/>
          </w:tcPr>
          <w:p>
            <w:r>
              <w:rPr>
                <w:sz w:val="18"/>
              </w:rPr>
              <w:t>Review protection</w:t>
            </w:r>
          </w:p>
        </w:tc>
        <w:tc>
          <w:tcPr>
            <w:tcW w:type="dxa" w:w="5112"/>
          </w:tcPr>
          <w:p>
            <w:r>
              <w:rPr>
                <w:sz w:val="18"/>
              </w:rPr>
              <w:t>Changed source records or packet edits invalidate prior approval. Missing information blocks submission with a specific next action.</w:t>
            </w:r>
          </w:p>
        </w:tc>
      </w:tr>
      <w:tr>
        <w:trPr>
          <w:cantSplit/>
        </w:trPr>
        <w:tc>
          <w:tcPr>
            <w:tcW w:type="dxa" w:w="5112"/>
          </w:tcPr>
          <w:p>
            <w:r>
              <w:rPr>
                <w:sz w:val="18"/>
              </w:rPr>
              <w:t>Query loop</w:t>
            </w:r>
          </w:p>
        </w:tc>
        <w:tc>
          <w:tcPr>
            <w:tcW w:type="dxa" w:w="5112"/>
          </w:tcPr>
          <w:p>
            <w:r>
              <w:rPr>
                <w:sz w:val="18"/>
              </w:rPr>
              <w:t>A received external query is linked to the claim; a reviewed response and attachment appear in the destination with acknowledgement.</w:t>
            </w:r>
          </w:p>
        </w:tc>
      </w:tr>
      <w:tr>
        <w:trPr>
          <w:cantSplit/>
        </w:trPr>
        <w:tc>
          <w:tcPr>
            <w:tcW w:type="dxa" w:w="5112"/>
          </w:tcPr>
          <w:p>
            <w:r>
              <w:rPr>
                <w:sz w:val="18"/>
              </w:rPr>
              <w:t>Recoverability</w:t>
            </w:r>
          </w:p>
        </w:tc>
        <w:tc>
          <w:tcPr>
            <w:tcW w:type="dxa" w:w="5112"/>
          </w:tcPr>
          <w:p>
            <w:r>
              <w:rPr>
                <w:sz w:val="18"/>
              </w:rPr>
              <w:t>Timeouts, rejected uploads and expired sessions produce a visible recoverable state; retrying does not create duplicate claims.</w:t>
            </w:r>
          </w:p>
        </w:tc>
      </w:tr>
      <w:tr>
        <w:trPr>
          <w:cantSplit/>
        </w:trPr>
        <w:tc>
          <w:tcPr>
            <w:tcW w:type="dxa" w:w="5112"/>
          </w:tcPr>
          <w:p>
            <w:r>
              <w:rPr>
                <w:sz w:val="18"/>
              </w:rPr>
              <w:t>Measured benefit</w:t>
            </w:r>
          </w:p>
        </w:tc>
        <w:tc>
          <w:tcPr>
            <w:tcW w:type="dxa" w:w="5112"/>
          </w:tcPr>
          <w:p>
            <w:r>
              <w:rPr>
                <w:sz w:val="18"/>
              </w:rPr>
              <w:t>Compare observed manual handling time, repeated entries, document touches and correction cycles before/after. Report measured results only.</w:t>
            </w:r>
          </w:p>
        </w:tc>
      </w:tr>
    </w:tbl>
    <w:p>
      <w:pPr>
        <w:pStyle w:val="Heading1"/>
        <w:keepNext/>
      </w:pPr>
      <w:r>
        <w:t>7. What to confirm with the hospital</w:t>
      </w:r>
    </w:p>
    <w:p>
      <w:pPr>
        <w:pStyle w:val="ListBullet"/>
      </w:pPr>
      <w:r>
        <w:t>Ask an insurance-desk employee to walk through one de-identified cashless claim from HIS opening to payer acknowledgement, including a query response if possible.</w:t>
      </w:r>
    </w:p>
    <w:p>
      <w:pPr>
        <w:pStyle w:val="ListBullet"/>
      </w:pPr>
      <w:r>
        <w:t>Record the HIS vendor/version, billing and document locations, insurer/TPA portals, accepted email channels, and any existing API/NHCX integration.</w:t>
      </w:r>
    </w:p>
    <w:p>
      <w:pPr>
        <w:pStyle w:val="ListBullet"/>
      </w:pPr>
      <w:r>
        <w:t>List exactly which fields are retyped, which files are exported/scanned, who signs or verifies them, and which steps require moving between departments.</w:t>
      </w:r>
    </w:p>
    <w:p>
      <w:pPr>
        <w:pStyle w:val="ListBullet"/>
      </w:pPr>
      <w:r>
        <w:t>Confirm whether their largest burden is pre-authorisation, discharge approval, enhancement, repeated queries, settlement follow-up or a combination.</w:t>
      </w:r>
    </w:p>
    <w:p>
      <w:pPr>
        <w:pStyle w:val="ListBullet"/>
      </w:pPr>
      <w:r>
        <w:t>Measure typical and difficult-case handling effort and volume; record avoidable rework separately from time awaiting an insurer decision.</w:t>
      </w:r>
    </w:p>
    <w:p>
      <w:pPr>
        <w:pStyle w:val="ListBullet"/>
      </w:pPr>
      <w:r>
        <w:t>Identify actual user roles and the person who can authorise test access and approve the pilot’s submission/review boundaries.</w:t>
      </w:r>
    </w:p>
    <w:p>
      <w:pPr>
        <w:pStyle w:val="Heading1"/>
        <w:keepNext/>
      </w:pPr>
      <w:r>
        <w:t>8. What we can accurately say in the pitch</w:t>
      </w:r>
    </w:p>
    <w:p>
      <w:r>
        <w:t>“VDoc demonstrates the hospital-side claims workflow, including document preparation, review, query handling and accounts visibility. We will customise the HIS-to-payer connection to your systems during a scoped pilot, and measure the manual work removed.”</w:t>
      </w:r>
    </w:p>
    <w:p>
      <w:r>
        <w:t>Do not claim that VDoc already uploads into their real insurer portal, processes live bank payments, supports every payer, eliminates all manual work, or guarantees approval. The current local workflow and simulated payer outcomes do not establish those capabilities.</w:t>
      </w:r>
    </w:p>
    <w:p>
      <w:pPr>
        <w:pStyle w:val="Heading1"/>
        <w:keepNext/>
      </w:pPr>
      <w:r>
        <w:t>9. Implementation evidence and validation</w:t>
      </w:r>
    </w:p>
    <w:p>
      <w:r>
        <w:t>Reviewed implementation: src/services/claimsDemo.ts (mapping, fixtures, state transitions and local persistence); src/domain/claims.ts (validated data types); src/pages/ClaimsPage.tsx (worklist, review actions, evidence and timeline). The operational walkthrough is CLAIMS_DEMO.md.</w:t>
      </w:r>
    </w:p>
    <w:p>
      <w:r>
        <w:t>Latest recorded repository verification: 107 unit tests passed, TypeScript passed, ESLint had no errors and one existing voiceMode fast-refresh warning, and the production build passed with a bundle-size warning. Browser visual testing was not performed. No real hospital-to-payer integration or banking transaction was verified. These checks establish local implementation behaviour, not production integration readiness.</w:t>
      </w:r>
    </w:p>
    <w:p>
      <w:pPr>
        <w:pStyle w:val="Heading1"/>
        <w:keepNext/>
      </w:pPr>
      <w:r>
        <w:t>10. Sources</w:t>
      </w:r>
    </w:p>
    <w:p>
      <w:r>
        <w:t>Links below support the workflow findings. The 2024 reporting and government announcement are historical evidence, not claims of universal deployment or current adoption counts. Payer guidance can differ by product and change over time.</w:t>
      </w:r>
    </w:p>
    <w:p>
      <w:hyperlink r:id="rId11">
        <w:r>
          <w:rPr>
            <w:color w:val="185C50"/>
          </w:rPr>
          <w:t>[S1] Economic Times — Traditional claim handling and NHCX, May 2024</w:t>
        </w:r>
      </w:hyperlink>
    </w:p>
    <w:p>
      <w:hyperlink r:id="rId12">
        <w:r>
          <w:rPr>
            <w:color w:val="185C50"/>
          </w:rPr>
          <w:t>[S2] Medi Assist — Hospital documents and pre-authorisation information</w:t>
        </w:r>
      </w:hyperlink>
    </w:p>
    <w:p>
      <w:hyperlink r:id="rId13">
        <w:r>
          <w:rPr>
            <w:color w:val="185C50"/>
          </w:rPr>
          <w:t>[S3] Paramount — Provider portal and active cashless correspondence channel</w:t>
        </w:r>
      </w:hyperlink>
    </w:p>
    <w:p>
      <w:hyperlink r:id="rId14">
        <w:r>
          <w:rPr>
            <w:color w:val="185C50"/>
          </w:rPr>
          <w:t>[S4] Medi Assist — Hospital helpdesk FAQ and information requests</w:t>
        </w:r>
      </w:hyperlink>
    </w:p>
    <w:p>
      <w:hyperlink r:id="rId15">
        <w:r>
          <w:rPr>
            <w:color w:val="185C50"/>
          </w:rPr>
          <w:t>[S5] HDFC ERGO — Cashless claim process and final bill authorisation</w:t>
        </w:r>
      </w:hyperlink>
    </w:p>
    <w:p>
      <w:hyperlink r:id="rId16">
        <w:r>
          <w:rPr>
            <w:color w:val="185C50"/>
          </w:rPr>
          <w:t>[S6] Government of India / PIB — NHCX update, 26 July 2024</w:t>
        </w:r>
      </w:hyperlink>
    </w:p>
    <w:p>
      <w:hyperlink r:id="rId17">
        <w:r>
          <w:rPr>
            <w:color w:val="185C50"/>
          </w:rPr>
          <w:t>[S7] Medi Assist — Cashless claims guide and post-discharge settlement documents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Internal findings • Synthetic demo assessment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VDOCS  /  PRODUCT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5C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5C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5C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conomictimes.indiatimes.com/wealth/insure/nhcx-a-single-portal-for-all-health-insurance-claims-soon-what-is-the-claims-process-benefits-to-policyholders/articleshow/110608685.cms" TargetMode="External"/><Relationship Id="rId12" Type="http://schemas.openxmlformats.org/officeDocument/2006/relationships/hyperlink" Target="https://blog.mediassist.in/any-hospital-documents/" TargetMode="External"/><Relationship Id="rId13" Type="http://schemas.openxmlformats.org/officeDocument/2006/relationships/hyperlink" Target="https://provider.paramounttpa.com/Ecashless2.aspx" TargetMode="External"/><Relationship Id="rId14" Type="http://schemas.openxmlformats.org/officeDocument/2006/relationships/hyperlink" Target="https://blog.mediassist.in/frequently-asked-questions-at-hospital-helpdesk/" TargetMode="External"/><Relationship Id="rId15" Type="http://schemas.openxmlformats.org/officeDocument/2006/relationships/hyperlink" Target="https://www.hdfcergo.com/claim/register-health-insurance-claim/cashless-claims" TargetMode="External"/><Relationship Id="rId16" Type="http://schemas.openxmlformats.org/officeDocument/2006/relationships/hyperlink" Target="https://www.pib.gov.in/Pressreleaseshare.aspx?PRID=2037634&amp;lang=2&amp;reg=3" TargetMode="External"/><Relationship Id="rId17" Type="http://schemas.openxmlformats.org/officeDocument/2006/relationships/hyperlink" Target="https://blog.mediassist.in/cashless-claims-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