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Pr="00DD01DD" w:rsidRDefault="003A1A64" w:rsidP="00DD01DD">
      <w:pPr>
        <w:ind w:left="360"/>
        <w:rPr>
          <w:rFonts w:ascii="Verdana" w:hAnsi="Verdana"/>
          <w:b/>
          <w:sz w:val="20"/>
        </w:rPr>
      </w:pPr>
      <w:r>
        <w:rPr>
          <w:b/>
          <w:bCs/>
          <w:color w:val="1F497D"/>
        </w:rPr>
        <w:t>Vedrørende anmeldelse af: ”</w:t>
      </w:r>
      <w:r w:rsidR="00735FC8" w:rsidRPr="00735FC8">
        <w:rPr>
          <w:rFonts w:ascii="Verdana" w:hAnsi="Verdana"/>
          <w:b/>
          <w:sz w:val="20"/>
        </w:rPr>
        <w:t xml:space="preserve"> </w:t>
      </w:r>
      <w:r w:rsidR="00DD01DD" w:rsidRPr="00A1447B">
        <w:rPr>
          <w:rFonts w:ascii="Verdana" w:hAnsi="Verdana"/>
          <w:b/>
          <w:sz w:val="20"/>
        </w:rPr>
        <w:t xml:space="preserve">Inflammatoriske sygdomme og nyresygdomme </w:t>
      </w:r>
      <w:r w:rsidR="00DD01DD">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DD01DD">
        <w:rPr>
          <w:color w:val="1F497D"/>
        </w:rPr>
        <w:t>01-04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Pr="00DD01DD" w:rsidRDefault="003A1A64" w:rsidP="00DD01DD">
      <w:pPr>
        <w:rPr>
          <w:rFonts w:ascii="Verdana" w:hAnsi="Verdana"/>
          <w:b/>
          <w:sz w:val="20"/>
        </w:rPr>
      </w:pPr>
      <w:r>
        <w:rPr>
          <w:color w:val="1F497D"/>
        </w:rPr>
        <w:t>Din anmeldelse af databehandling med titlen "</w:t>
      </w:r>
      <w:r w:rsidR="0043370F" w:rsidRPr="0043370F">
        <w:rPr>
          <w:b/>
          <w:bCs/>
          <w:color w:val="1F497D"/>
        </w:rPr>
        <w:t xml:space="preserve"> </w:t>
      </w:r>
      <w:r w:rsidR="00DD01DD" w:rsidRPr="00A1447B">
        <w:rPr>
          <w:rFonts w:ascii="Verdana" w:hAnsi="Verdana"/>
          <w:b/>
          <w:sz w:val="20"/>
        </w:rPr>
        <w:t xml:space="preserve">Inflammatoriske sygdomme og nyresygdomme </w:t>
      </w:r>
      <w:r w:rsidR="00DD01DD">
        <w:rPr>
          <w:rFonts w:ascii="Verdana" w:hAnsi="Verdana"/>
          <w:b/>
          <w:sz w:val="20"/>
        </w:rPr>
        <w:t>- Samleanmeldelse</w:t>
      </w:r>
      <w:r>
        <w:rPr>
          <w:color w:val="1F497D"/>
        </w:rPr>
        <w:t>" 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A20858" w:rsidRDefault="005153F1" w:rsidP="005153F1">
      <w:pPr>
        <w:jc w:val="both"/>
        <w:rPr>
          <w:b/>
        </w:rPr>
      </w:pPr>
      <w:r w:rsidRPr="00A20858">
        <w:rPr>
          <w:b/>
          <w:color w:val="1F497D"/>
        </w:rPr>
        <w:t xml:space="preserve">Dit lokale j.nr. under Region Hovedstadens paraplyanmeldelse er: </w:t>
      </w:r>
      <w:r w:rsidR="00DD01DD">
        <w:rPr>
          <w:b/>
          <w:color w:val="1F497D"/>
        </w:rPr>
        <w:t>GEH-2014-018</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0922F1">
        <w:rPr>
          <w:b/>
          <w:color w:val="1F497D"/>
        </w:rPr>
        <w:t>02736</w:t>
      </w:r>
      <w:bookmarkStart w:id="0" w:name="_GoBack"/>
      <w:bookmarkEnd w:id="0"/>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0922F1"/>
    <w:rsid w:val="00101C6F"/>
    <w:rsid w:val="00167615"/>
    <w:rsid w:val="00200B80"/>
    <w:rsid w:val="003A1A64"/>
    <w:rsid w:val="003B5557"/>
    <w:rsid w:val="003B620E"/>
    <w:rsid w:val="003D4657"/>
    <w:rsid w:val="003E0A37"/>
    <w:rsid w:val="0043370F"/>
    <w:rsid w:val="00457C17"/>
    <w:rsid w:val="004F1353"/>
    <w:rsid w:val="005153F1"/>
    <w:rsid w:val="005454DF"/>
    <w:rsid w:val="00596A29"/>
    <w:rsid w:val="005A1AB1"/>
    <w:rsid w:val="005D440E"/>
    <w:rsid w:val="006369E7"/>
    <w:rsid w:val="006A37D5"/>
    <w:rsid w:val="00735FC8"/>
    <w:rsid w:val="008C46E4"/>
    <w:rsid w:val="00936D8F"/>
    <w:rsid w:val="00AE1E88"/>
    <w:rsid w:val="00BB7AF4"/>
    <w:rsid w:val="00C34D67"/>
    <w:rsid w:val="00D660DE"/>
    <w:rsid w:val="00D67C46"/>
    <w:rsid w:val="00DD01DD"/>
    <w:rsid w:val="00E62ED1"/>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72CCB-1316-4C43-B974-8A27C892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690</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6</cp:revision>
  <cp:lastPrinted>2012-12-21T09:59:00Z</cp:lastPrinted>
  <dcterms:created xsi:type="dcterms:W3CDTF">2014-03-24T07:59:00Z</dcterms:created>
  <dcterms:modified xsi:type="dcterms:W3CDTF">2014-04-01T09:07:00Z</dcterms:modified>
</cp:coreProperties>
</file>