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20"/>
        <w:jc w:val="center"/>
      </w:pPr>
      <w:r>
        <w:rPr>
          <w:rFonts w:ascii="Calibri" w:cs="Calibri" w:eastAsia="Calibri" w:hAnsi="Calibri"/>
          <w:b/>
          <w:bCs/>
          <w:color w:val="1F3864"/>
          <w:sz w:val="48"/>
          <w:szCs w:val="48"/>
        </w:rPr>
        <w:t xml:space="preserve">MYBOOT</w:t>
      </w:r>
    </w:p>
    <w:p>
      <w:pPr>
        <w:spacing w:after="60"/>
        <w:jc w:val="center"/>
      </w:pPr>
      <w:r>
        <w:rPr>
          <w:rFonts w:ascii="Calibri" w:cs="Calibri" w:eastAsia="Calibri" w:hAnsi="Calibri"/>
          <w:b/>
          <w:bCs/>
          <w:sz w:val="24"/>
          <w:szCs w:val="24"/>
        </w:rPr>
        <w:t xml:space="preserve">An Intelligent, Transactional UEFI Boot-Environment Manager Written in Rust</w:t>
      </w:r>
    </w:p>
    <w:p>
      <w:pPr>
        <w:spacing w:after="700"/>
        <w:jc w:val="center"/>
      </w:pPr>
      <w:r>
        <w:rPr>
          <w:rFonts w:ascii="Calibri" w:cs="Calibri" w:eastAsia="Calibri" w:hAnsi="Calibri"/>
          <w:i/>
          <w:iCs/>
          <w:sz w:val="22"/>
          <w:szCs w:val="22"/>
        </w:rPr>
        <w:t xml:space="preserve">System Project Report</w:t>
      </w:r>
    </w:p>
    <w:p>
      <w:pPr>
        <w:spacing w:after="40"/>
        <w:jc w:val="center"/>
      </w:pPr>
      <w:r>
        <w:rPr>
          <w:rFonts w:ascii="Calibri" w:cs="Calibri" w:eastAsia="Calibri" w:hAnsi="Calibri"/>
          <w:b/>
          <w:bCs/>
          <w:sz w:val="30"/>
          <w:szCs w:val="30"/>
        </w:rPr>
        <w:t xml:space="preserve">Chapter Six</w:t>
      </w:r>
    </w:p>
    <w:p>
      <w:pPr>
        <w:spacing w:after="900"/>
        <w:jc w:val="center"/>
      </w:pPr>
      <w:r>
        <w:rPr>
          <w:rFonts w:ascii="Calibri" w:cs="Calibri" w:eastAsia="Calibri" w:hAnsi="Calibri"/>
          <w:b/>
          <w:bCs/>
          <w:sz w:val="26"/>
          <w:szCs w:val="26"/>
        </w:rPr>
        <w:t xml:space="preserve">Conclusions and Recommendations</w:t>
      </w:r>
    </w:p>
    <w:p>
      <w:pPr>
        <w:spacing w:after="40"/>
        <w:jc w:val="center"/>
      </w:pPr>
      <w:r>
        <w:rPr>
          <w:rFonts w:ascii="Calibri" w:cs="Calibri" w:eastAsia="Calibri" w:hAnsi="Calibri"/>
          <w:b/>
          <w:bCs/>
          <w:sz w:val="22"/>
          <w:szCs w:val="22"/>
        </w:rPr>
        <w:t xml:space="preserve">Prepared by Shaka</w:t>
      </w:r>
    </w:p>
    <w:p>
      <w:pPr>
        <w:spacing w:after="40"/>
        <w:jc w:val="center"/>
      </w:pPr>
      <w:r>
        <w:rPr>
          <w:rFonts w:ascii="Calibri" w:cs="Calibri" w:eastAsia="Calibri" w:hAnsi="Calibri"/>
          <w:sz w:val="20"/>
          <w:szCs w:val="20"/>
        </w:rPr>
        <w:t xml:space="preserve">Independent Systems Engineering Project</w:t>
      </w:r>
    </w:p>
    <w:p>
      <w:pPr>
        <w:jc w:val="center"/>
      </w:pPr>
      <w:r>
        <w:rPr>
          <w:rFonts w:ascii="Calibri" w:cs="Calibri" w:eastAsia="Calibri" w:hAnsi="Calibri"/>
          <w:sz w:val="20"/>
          <w:szCs w:val="20"/>
        </w:rPr>
        <w:t xml:space="preserve">Version 1.0  ·  August 2026</w:t>
      </w:r>
    </w:p>
    <w:p>
      <w:pPr>
        <w:pStyle w:val="Heading1"/>
        <w:pageBreakBefore/>
        <w:spacing w:after="200"/>
      </w:pPr>
      <w:r>
        <w:rPr>
          <w:rFonts w:ascii="Calibri" w:cs="Calibri" w:eastAsia="Calibri" w:hAnsi="Calibri"/>
          <w:b/>
          <w:bCs/>
        </w:rPr>
        <w:t xml:space="preserve">Chapter Six: Conclusions and Recommendations</w:t>
      </w:r>
    </w:p>
    <w:p>
      <w:pPr>
        <w:pStyle w:val="Heading2"/>
        <w:spacing w:after="120" w:before="220"/>
      </w:pPr>
      <w:r>
        <w:rPr>
          <w:rFonts w:ascii="Calibri" w:cs="Calibri" w:eastAsia="Calibri" w:hAnsi="Calibri"/>
          <w:b/>
          <w:bCs/>
        </w:rPr>
        <w:t xml:space="preserve">6.1 Introduction</w:t>
      </w:r>
    </w:p>
    <w:p>
      <w:pPr>
        <w:spacing w:after="140" w:line="276"/>
        <w:jc w:val="both"/>
      </w:pPr>
      <w:r>
        <w:rPr>
          <w:rFonts w:ascii="Calibri" w:cs="Calibri" w:eastAsia="Calibri" w:hAnsi="Calibri"/>
          <w:b w:val="false"/>
          <w:bCs w:val="false"/>
          <w:i w:val="false"/>
          <w:iCs w:val="false"/>
          <w:sz w:val="22"/>
          <w:szCs w:val="22"/>
        </w:rPr>
        <w:t xml:space="preserve">This final chapter draws the project together. It restates the problem and the response, assesses each objective against what the preceding chapters actually delivered, states the limitations honestly, sets out the recommendations for future work, and closes with a reflection on the contribution. The tone of the whole report is maintained here: the achievements are described as design, specification and partial verification rather than as a finished, hardware-proven product, and the gaps are named rather than hidden.</w:t>
      </w:r>
    </w:p>
    <w:p>
      <w:pPr>
        <w:pStyle w:val="Heading2"/>
        <w:spacing w:after="120" w:before="220"/>
      </w:pPr>
      <w:r>
        <w:rPr>
          <w:rFonts w:ascii="Calibri" w:cs="Calibri" w:eastAsia="Calibri" w:hAnsi="Calibri"/>
          <w:b/>
          <w:bCs/>
        </w:rPr>
        <w:t xml:space="preserve">6.2 Summary of the Project</w:t>
      </w:r>
    </w:p>
    <w:p>
      <w:pPr>
        <w:spacing w:after="140" w:line="276"/>
        <w:jc w:val="both"/>
      </w:pPr>
      <w:r>
        <w:rPr>
          <w:rFonts w:ascii="Calibri" w:cs="Calibri" w:eastAsia="Calibri" w:hAnsi="Calibri"/>
          <w:b w:val="false"/>
          <w:bCs w:val="false"/>
          <w:i w:val="false"/>
          <w:iCs w:val="false"/>
          <w:sz w:val="22"/>
          <w:szCs w:val="22"/>
        </w:rPr>
        <w:t xml:space="preserve">The project set out from a single observation. The boot-loader ecosystem is technically mature at the task of loading operating systems — GRUB, systemd-boot, rEFInd, Limine and others do this well — but comparatively immature as an intelligent, self-describing, transactional and recoverable cross-operating-system boot-management platform. The response was not to build another boot selector with a better interface, but to design a boot-management layer above the firmware's own primitives, organised around a semantic Boot Graph, an operating-system adapter architecture, a health-aware and explainable policy engine, a transactional boot lifecycle with cooperative confirmation and rollback, and a declarative configuration that reconciles against the firmware and repairs drift. Rust and the graphical interface are the implementation technology; the management model is the contribution. Two commitments distinguished the work further: the most safety-critical parts are verified rather than only tested — the boot transaction specified in TLA+ and the boot-critical parsers proven with Kani — and the system is presented through three coordinated interfaces over one engine.</w:t>
      </w:r>
    </w:p>
    <w:p>
      <w:pPr>
        <w:pStyle w:val="Heading2"/>
        <w:spacing w:after="120" w:before="220"/>
      </w:pPr>
      <w:r>
        <w:rPr>
          <w:rFonts w:ascii="Calibri" w:cs="Calibri" w:eastAsia="Calibri" w:hAnsi="Calibri"/>
          <w:b/>
          <w:bCs/>
        </w:rPr>
        <w:t xml:space="preserve">6.3 Achievement of the Objectives</w:t>
      </w:r>
    </w:p>
    <w:p>
      <w:pPr>
        <w:spacing w:after="140" w:line="276"/>
        <w:jc w:val="both"/>
      </w:pPr>
      <w:r>
        <w:rPr>
          <w:rFonts w:ascii="Calibri" w:cs="Calibri" w:eastAsia="Calibri" w:hAnsi="Calibri"/>
          <w:b w:val="false"/>
          <w:bCs w:val="false"/>
          <w:i w:val="false"/>
          <w:iCs w:val="false"/>
          <w:sz w:val="22"/>
          <w:szCs w:val="22"/>
        </w:rPr>
        <w:t xml:space="preserve">The nine specific objectives set out in Chapter One are assessed below, each against the concrete artefact that addresses it.</w:t>
      </w:r>
    </w:p>
    <w:p>
      <w:pPr>
        <w:pStyle w:val="ListParagraph"/>
        <w:numPr>
          <w:ilvl w:val="0"/>
          <w:numId w:val="2"/>
        </w:numPr>
        <w:spacing w:after="90" w:line="276"/>
      </w:pPr>
      <w:r>
        <w:rPr>
          <w:rFonts w:ascii="Calibri" w:cs="Calibri" w:eastAsia="Calibri" w:hAnsi="Calibri"/>
          <w:sz w:val="22"/>
          <w:szCs w:val="22"/>
        </w:rPr>
        <w:t xml:space="preserve">Analyse the UEFI boot process and native mechanisms and derive requirements — achieved. Chapter Two surveyed the firmware model, the boot-manager-versus-loader distinction, seven representative open-source projects, and the native boot mechanisms of Linux, Windows and generation-based distributions, and Chapter Three derived the functional and non-functional requirements from them.</w:t>
      </w:r>
    </w:p>
    <w:p>
      <w:pPr>
        <w:pStyle w:val="ListParagraph"/>
        <w:numPr>
          <w:ilvl w:val="0"/>
          <w:numId w:val="2"/>
        </w:numPr>
        <w:spacing w:after="90" w:line="276"/>
      </w:pPr>
      <w:r>
        <w:rPr>
          <w:rFonts w:ascii="Calibri" w:cs="Calibri" w:eastAsia="Calibri" w:hAnsi="Calibri"/>
          <w:sz w:val="22"/>
          <w:szCs w:val="22"/>
        </w:rPr>
        <w:t xml:space="preserve">Design a discovery subsystem reducing the environment to a uniform model — achieved in design. The discovery layer of Chapters Three and Four enumerates disks, partitions, the EFI System Partition, the firmware boot variables and the Boot Loader Specification entries and reduces them to a VolumeSet and a uniform set of targets.</w:t>
      </w:r>
    </w:p>
    <w:p>
      <w:pPr>
        <w:pStyle w:val="ListParagraph"/>
        <w:numPr>
          <w:ilvl w:val="0"/>
          <w:numId w:val="2"/>
        </w:numPr>
        <w:spacing w:after="90" w:line="276"/>
      </w:pPr>
      <w:r>
        <w:rPr>
          <w:rFonts w:ascii="Calibri" w:cs="Calibri" w:eastAsia="Calibri" w:hAnsi="Calibri"/>
          <w:sz w:val="22"/>
          <w:szCs w:val="22"/>
        </w:rPr>
        <w:t xml:space="preserve">Design a semantic Boot Graph that scales — achieved in design. The Boot Graph data model (Section 3.5, Figure 3.2) groups targets by operating system, generation, kernel, specialisation and recovery, with stable identifiers and first-class health, and scales by grouping rather than a flat list.</w:t>
      </w:r>
    </w:p>
    <w:p>
      <w:pPr>
        <w:pStyle w:val="ListParagraph"/>
        <w:numPr>
          <w:ilvl w:val="0"/>
          <w:numId w:val="2"/>
        </w:numPr>
        <w:spacing w:after="90" w:line="276"/>
      </w:pPr>
      <w:r>
        <w:rPr>
          <w:rFonts w:ascii="Calibri" w:cs="Calibri" w:eastAsia="Calibri" w:hAnsi="Calibri"/>
          <w:sz w:val="22"/>
          <w:szCs w:val="22"/>
        </w:rPr>
        <w:t xml:space="preserve">Design an extensible operating-system adapter architecture — achieved in design. The BootProvider trait (Section 3.6) encapsulates discovery, validation, description, health and launch behind one interface, so a new operating system is added by implementing the trait, without modifying the core.</w:t>
      </w:r>
    </w:p>
    <w:p>
      <w:pPr>
        <w:pStyle w:val="ListParagraph"/>
        <w:numPr>
          <w:ilvl w:val="0"/>
          <w:numId w:val="2"/>
        </w:numPr>
        <w:spacing w:after="90" w:line="276"/>
      </w:pPr>
      <w:r>
        <w:rPr>
          <w:rFonts w:ascii="Calibri" w:cs="Calibri" w:eastAsia="Calibri" w:hAnsi="Calibri"/>
          <w:sz w:val="22"/>
          <w:szCs w:val="22"/>
        </w:rPr>
        <w:t xml:space="preserve">Design a transactional boot lifecycle with confirmation and rollback — achieved in design and formally specified. The transaction manager (Section 3.7) stages, launches, confirms and rolls back; the cooperative success marker is grounded in the systemd Boot Loader Interface; and the lifecycle is specified in TLA+ and its safety and liveness machine-checked (Sections 3.11 and 5.7).</w:t>
      </w:r>
    </w:p>
    <w:p>
      <w:pPr>
        <w:pStyle w:val="ListParagraph"/>
        <w:numPr>
          <w:ilvl w:val="0"/>
          <w:numId w:val="2"/>
        </w:numPr>
        <w:spacing w:after="90" w:line="276"/>
      </w:pPr>
      <w:r>
        <w:rPr>
          <w:rFonts w:ascii="Calibri" w:cs="Calibri" w:eastAsia="Calibri" w:hAnsi="Calibri"/>
          <w:sz w:val="22"/>
          <w:szCs w:val="22"/>
        </w:rPr>
        <w:t xml:space="preserve">Design a declarative configuration with reconciliation and drift repair — achieved in design. The configuration model (Section 3.8, Figure 3.4) states desired state declaratively, applies changes atomically with a retained snapshot, reconciles against the firmware variables and repairs boot-order drift, federating rather than replacing native stores.</w:t>
      </w:r>
    </w:p>
    <w:p>
      <w:pPr>
        <w:pStyle w:val="ListParagraph"/>
        <w:numPr>
          <w:ilvl w:val="0"/>
          <w:numId w:val="2"/>
        </w:numPr>
        <w:spacing w:after="90" w:line="276"/>
      </w:pPr>
      <w:r>
        <w:rPr>
          <w:rFonts w:ascii="Calibri" w:cs="Calibri" w:eastAsia="Calibri" w:hAnsi="Calibri"/>
          <w:sz w:val="22"/>
          <w:szCs w:val="22"/>
        </w:rPr>
        <w:t xml:space="preserve">Provide three coordinated interfaces and recovery facilities — achieved in design, with mockups. The graphical menu, pre-boot shell and host-side command-line tool (Section 3.10) are specified as thin faces over one engine, illustrated by the design mockups in Figures 3.5–3.7, together with diagnostics, exportable logs and a unified recovery view.</w:t>
      </w:r>
    </w:p>
    <w:p>
      <w:pPr>
        <w:pStyle w:val="ListParagraph"/>
        <w:numPr>
          <w:ilvl w:val="0"/>
          <w:numId w:val="2"/>
        </w:numPr>
        <w:spacing w:after="90" w:line="276"/>
      </w:pPr>
      <w:r>
        <w:rPr>
          <w:rFonts w:ascii="Calibri" w:cs="Calibri" w:eastAsia="Calibri" w:hAnsi="Calibri"/>
          <w:sz w:val="22"/>
          <w:szCs w:val="22"/>
        </w:rPr>
        <w:t xml:space="preserve">Define an adequate, efficient and safe testing strategy and survey the field — achieved. Chapter Two surveyed the representative projects; Chapter Five defined the layered strategy, the QEMU-and-OVMF virtual laboratory, and the fault-injection matrix.</w:t>
      </w:r>
    </w:p>
    <w:p>
      <w:pPr>
        <w:pStyle w:val="ListParagraph"/>
        <w:numPr>
          <w:ilvl w:val="0"/>
          <w:numId w:val="2"/>
        </w:numPr>
        <w:spacing w:after="90" w:line="276"/>
      </w:pPr>
      <w:r>
        <w:rPr>
          <w:rFonts w:ascii="Calibri" w:cs="Calibri" w:eastAsia="Calibri" w:hAnsi="Calibri"/>
          <w:sz w:val="22"/>
          <w:szCs w:val="22"/>
        </w:rPr>
        <w:t xml:space="preserve">Formally specify and verify the safety-critical parts — achieved for the specified scope. The boot transaction is specified in TLA+ and its NoDeadEnd and EventuallyResolved properties established with TLC, and the parsers are verified with Kani (Sections 3.11, 3.12 and 5.7), explicitly as complements to the testing strategy.</w:t>
      </w:r>
    </w:p>
    <w:p>
      <w:pPr>
        <w:spacing w:after="140" w:line="276"/>
        <w:jc w:val="both"/>
      </w:pPr>
      <w:r>
        <w:rPr>
          <w:rFonts w:ascii="Calibri" w:cs="Calibri" w:eastAsia="Calibri" w:hAnsi="Calibri"/>
          <w:b w:val="false"/>
          <w:bCs w:val="false"/>
          <w:i w:val="false"/>
          <w:iCs w:val="false"/>
          <w:sz w:val="22"/>
          <w:szCs w:val="22"/>
        </w:rPr>
        <w:t xml:space="preserve">In summary, every objective is met at the level this project targets — a complete, coherent design, backed by machine-checked specification of its most critical properties and a defined verification-and-testing regime. The objectives were deliberately framed as design and verification objectives; the honest qualification, carried throughout, is that a fully implemented and hardware-validated product is beyond a single project of this scope, and the boundary between what is designed, what is proven and what remains to be built is stated plainly rather than blurred.</w:t>
      </w:r>
    </w:p>
    <w:p>
      <w:pPr>
        <w:pStyle w:val="Heading2"/>
        <w:spacing w:after="120" w:before="220"/>
      </w:pPr>
      <w:r>
        <w:rPr>
          <w:rFonts w:ascii="Calibri" w:cs="Calibri" w:eastAsia="Calibri" w:hAnsi="Calibri"/>
          <w:b/>
          <w:bCs/>
        </w:rPr>
        <w:t xml:space="preserve">6.4 Contributions</w:t>
      </w:r>
    </w:p>
    <w:p>
      <w:pPr>
        <w:spacing w:after="140" w:line="276"/>
        <w:jc w:val="both"/>
      </w:pPr>
      <w:r>
        <w:rPr>
          <w:rFonts w:ascii="Calibri" w:cs="Calibri" w:eastAsia="Calibri" w:hAnsi="Calibri"/>
          <w:b w:val="false"/>
          <w:bCs w:val="false"/>
          <w:i w:val="false"/>
          <w:iCs w:val="false"/>
          <w:sz w:val="22"/>
          <w:szCs w:val="22"/>
        </w:rPr>
        <w:t xml:space="preserve">The project makes three contributions that are worth stating in their own right.</w:t>
      </w:r>
    </w:p>
    <w:p>
      <w:pPr>
        <w:pStyle w:val="ListParagraph"/>
        <w:numPr>
          <w:ilvl w:val="0"/>
          <w:numId w:val="1"/>
        </w:numPr>
        <w:spacing w:after="80" w:line="276"/>
      </w:pPr>
      <w:r>
        <w:rPr>
          <w:rFonts w:ascii="Calibri" w:cs="Calibri" w:eastAsia="Calibri" w:hAnsi="Calibri"/>
          <w:b/>
          <w:bCs/>
          <w:sz w:val="22"/>
          <w:szCs w:val="22"/>
        </w:rPr>
        <w:t xml:space="preserve">A coherent boot-management model. </w:t>
      </w:r>
      <w:r>
        <w:rPr>
          <w:rFonts w:ascii="Calibri" w:cs="Calibri" w:eastAsia="Calibri" w:hAnsi="Calibri"/>
          <w:sz w:val="22"/>
          <w:szCs w:val="22"/>
        </w:rPr>
        <w:t xml:space="preserve">The main contribution is conceptual: the reframing of the boot manager as a management platform, unifying the Boot Graph, the adapter architecture, the health-aware policy engine, the transactional lifecycle and the reconciling declarative configuration into one design where features that exist piecemeal across the ecosystem are made to work together.</w:t>
      </w:r>
    </w:p>
    <w:p>
      <w:pPr>
        <w:pStyle w:val="ListParagraph"/>
        <w:numPr>
          <w:ilvl w:val="0"/>
          <w:numId w:val="1"/>
        </w:numPr>
        <w:spacing w:after="80" w:line="276"/>
      </w:pPr>
      <w:r>
        <w:rPr>
          <w:rFonts w:ascii="Calibri" w:cs="Calibri" w:eastAsia="Calibri" w:hAnsi="Calibri"/>
          <w:b/>
          <w:bCs/>
          <w:sz w:val="22"/>
          <w:szCs w:val="22"/>
        </w:rPr>
        <w:t xml:space="preserve">A verified safety argument. </w:t>
      </w:r>
      <w:r>
        <w:rPr>
          <w:rFonts w:ascii="Calibri" w:cs="Calibri" w:eastAsia="Calibri" w:hAnsi="Calibri"/>
          <w:sz w:val="22"/>
          <w:szCs w:val="22"/>
        </w:rPr>
        <w:t xml:space="preserve">The project brings formal methods to a layer that has historically relied on testing and field exposure: the boot transaction is model-checked and the untrusted-input parsers are proven panic-free, giving a machine-checked basis for the promise that a defective boot cannot leave the machine unbootable — the class of defect the GRUB BootHole vulnerability exemplified.</w:t>
      </w:r>
    </w:p>
    <w:p>
      <w:pPr>
        <w:pStyle w:val="ListParagraph"/>
        <w:numPr>
          <w:ilvl w:val="0"/>
          <w:numId w:val="1"/>
        </w:numPr>
        <w:spacing w:after="80" w:line="276"/>
      </w:pPr>
      <w:r>
        <w:rPr>
          <w:rFonts w:ascii="Calibri" w:cs="Calibri" w:eastAsia="Calibri" w:hAnsi="Calibri"/>
          <w:b/>
          <w:bCs/>
          <w:sz w:val="22"/>
          <w:szCs w:val="22"/>
        </w:rPr>
        <w:t xml:space="preserve">An honest engineering method. </w:t>
      </w:r>
      <w:r>
        <w:rPr>
          <w:rFonts w:ascii="Calibri" w:cs="Calibri" w:eastAsia="Calibri" w:hAnsi="Calibri"/>
          <w:sz w:val="22"/>
          <w:szCs w:val="22"/>
        </w:rPr>
        <w:t xml:space="preserve">Throughout, gaps are framed as opportunities of integration rather than claims of absolute novelty, external facts are grounded in primary sources, and the boundary between verified design and running code is stated openly. This method is itself a contribution, in that it makes the work's claims defensible.</w:t>
      </w:r>
    </w:p>
    <w:p>
      <w:pPr>
        <w:pStyle w:val="Heading2"/>
        <w:spacing w:after="120" w:before="220"/>
      </w:pPr>
      <w:r>
        <w:rPr>
          <w:rFonts w:ascii="Calibri" w:cs="Calibri" w:eastAsia="Calibri" w:hAnsi="Calibri"/>
          <w:b/>
          <w:bCs/>
        </w:rPr>
        <w:t xml:space="preserve">6.5 Limitations</w:t>
      </w:r>
    </w:p>
    <w:p>
      <w:pPr>
        <w:spacing w:after="140" w:line="276"/>
        <w:jc w:val="both"/>
      </w:pPr>
      <w:r>
        <w:rPr>
          <w:rFonts w:ascii="Calibri" w:cs="Calibri" w:eastAsia="Calibri" w:hAnsi="Calibri"/>
          <w:b w:val="false"/>
          <w:bCs w:val="false"/>
          <w:i w:val="false"/>
          <w:iCs w:val="false"/>
          <w:sz w:val="22"/>
          <w:szCs w:val="22"/>
        </w:rPr>
        <w:t xml:space="preserve">The limitations are stated candidly; several were anticipated in the scope of Chapter One.</w:t>
      </w:r>
    </w:p>
    <w:p>
      <w:pPr>
        <w:pStyle w:val="ListParagraph"/>
        <w:numPr>
          <w:ilvl w:val="0"/>
          <w:numId w:val="1"/>
        </w:numPr>
        <w:spacing w:after="80" w:line="276"/>
      </w:pPr>
      <w:r>
        <w:rPr>
          <w:rFonts w:ascii="Calibri" w:cs="Calibri" w:eastAsia="Calibri" w:hAnsi="Calibri"/>
          <w:b/>
          <w:bCs/>
          <w:sz w:val="22"/>
          <w:szCs w:val="22"/>
        </w:rPr>
        <w:t xml:space="preserve">Design and prototype, not a hardware-proven product. </w:t>
      </w:r>
      <w:r>
        <w:rPr>
          <w:rFonts w:ascii="Calibri" w:cs="Calibri" w:eastAsia="Calibri" w:hAnsi="Calibri"/>
          <w:sz w:val="22"/>
          <w:szCs w:val="22"/>
        </w:rPr>
        <w:t xml:space="preserve">The strongest results are the design and the formal verification. Full implementation and validation across the diversity of real vendor firmware is a substantial undertaking beyond this project, and the emulated results, however faithful, are not a substitute for it.</w:t>
      </w:r>
    </w:p>
    <w:p>
      <w:pPr>
        <w:pStyle w:val="ListParagraph"/>
        <w:numPr>
          <w:ilvl w:val="0"/>
          <w:numId w:val="1"/>
        </w:numPr>
        <w:spacing w:after="80" w:line="276"/>
      </w:pPr>
      <w:r>
        <w:rPr>
          <w:rFonts w:ascii="Calibri" w:cs="Calibri" w:eastAsia="Calibri" w:hAnsi="Calibri"/>
          <w:b/>
          <w:bCs/>
          <w:sz w:val="22"/>
          <w:szCs w:val="22"/>
        </w:rPr>
        <w:t xml:space="preserve">The model-versus-code gap. </w:t>
      </w:r>
      <w:r>
        <w:rPr>
          <w:rFonts w:ascii="Calibri" w:cs="Calibri" w:eastAsia="Calibri" w:hAnsi="Calibri"/>
          <w:sz w:val="22"/>
          <w:szCs w:val="22"/>
        </w:rPr>
        <w:t xml:space="preserve">The TLA+ proof establishes the correctness of the design, not that the Rust implementation refines it. The Kani proofs and integration tests narrow this gap at the parser level, but it is real and is not claimed to be closed.</w:t>
      </w:r>
    </w:p>
    <w:p>
      <w:pPr>
        <w:pStyle w:val="ListParagraph"/>
        <w:numPr>
          <w:ilvl w:val="0"/>
          <w:numId w:val="1"/>
        </w:numPr>
        <w:spacing w:after="80" w:line="276"/>
      </w:pPr>
      <w:r>
        <w:rPr>
          <w:rFonts w:ascii="Calibri" w:cs="Calibri" w:eastAsia="Calibri" w:hAnsi="Calibri"/>
          <w:b/>
          <w:bCs/>
          <w:sz w:val="22"/>
          <w:szCs w:val="22"/>
        </w:rPr>
        <w:t xml:space="preserve">Dependence on operating-system cooperation. </w:t>
      </w:r>
      <w:r>
        <w:rPr>
          <w:rFonts w:ascii="Calibri" w:cs="Calibri" w:eastAsia="Calibri" w:hAnsi="Calibri"/>
          <w:sz w:val="22"/>
          <w:szCs w:val="22"/>
        </w:rPr>
        <w:t xml:space="preserve">The transactional success marker requires the booted system to cooperate. Linux and NixOS can do so directly; Windows needs a host-side helper; and a fully uncooperative system forces the manager to fall back to a conservative heuristic rather than a true confirmation.</w:t>
      </w:r>
    </w:p>
    <w:p>
      <w:pPr>
        <w:pStyle w:val="ListParagraph"/>
        <w:numPr>
          <w:ilvl w:val="0"/>
          <w:numId w:val="1"/>
        </w:numPr>
        <w:spacing w:after="80" w:line="276"/>
      </w:pPr>
      <w:r>
        <w:rPr>
          <w:rFonts w:ascii="Calibri" w:cs="Calibri" w:eastAsia="Calibri" w:hAnsi="Calibri"/>
          <w:b/>
          <w:bCs/>
          <w:sz w:val="22"/>
          <w:szCs w:val="22"/>
        </w:rPr>
        <w:t xml:space="preserve">Deliberate exclusions. </w:t>
      </w:r>
      <w:r>
        <w:rPr>
          <w:rFonts w:ascii="Calibri" w:cs="Calibri" w:eastAsia="Calibri" w:hAnsi="Calibri"/>
          <w:sz w:val="22"/>
          <w:szCs w:val="22"/>
        </w:rPr>
        <w:t xml:space="preserve">macOS is out of scope; the graphical stack targets the firmware framebuffer rather than a full USB and I2C touch-input stack; atomic self-update of the manager's own binary, and full functional verification of the entire codebase in the manner of seL4 or CompCert, are identified as future work rather than delivered.</w:t>
      </w:r>
    </w:p>
    <w:p>
      <w:pPr>
        <w:pStyle w:val="ListParagraph"/>
        <w:numPr>
          <w:ilvl w:val="0"/>
          <w:numId w:val="1"/>
        </w:numPr>
        <w:spacing w:after="80" w:line="276"/>
      </w:pPr>
      <w:r>
        <w:rPr>
          <w:rFonts w:ascii="Calibri" w:cs="Calibri" w:eastAsia="Calibri" w:hAnsi="Calibri"/>
          <w:b/>
          <w:bCs/>
          <w:sz w:val="22"/>
          <w:szCs w:val="22"/>
        </w:rPr>
        <w:t xml:space="preserve">Bounded verification. </w:t>
      </w:r>
      <w:r>
        <w:rPr>
          <w:rFonts w:ascii="Calibri" w:cs="Calibri" w:eastAsia="Calibri" w:hAnsi="Calibri"/>
          <w:sz w:val="22"/>
          <w:szCs w:val="22"/>
        </w:rPr>
        <w:t xml:space="preserve">The Kani proofs are exhaustive only up to their input bounds and the model check only for its bounded instance; wider assurance rests on the generality of the specification rather than on exhaustive checking at scale.</w:t>
      </w:r>
    </w:p>
    <w:p>
      <w:pPr>
        <w:pStyle w:val="Heading2"/>
        <w:spacing w:after="120" w:before="220"/>
      </w:pPr>
      <w:r>
        <w:rPr>
          <w:rFonts w:ascii="Calibri" w:cs="Calibri" w:eastAsia="Calibri" w:hAnsi="Calibri"/>
          <w:b/>
          <w:bCs/>
        </w:rPr>
        <w:t xml:space="preserve">6.6 Recommendations for Future Work</w:t>
      </w:r>
    </w:p>
    <w:p>
      <w:pPr>
        <w:spacing w:after="140" w:line="276"/>
        <w:jc w:val="both"/>
      </w:pPr>
      <w:r>
        <w:rPr>
          <w:rFonts w:ascii="Calibri" w:cs="Calibri" w:eastAsia="Calibri" w:hAnsi="Calibri"/>
          <w:b w:val="false"/>
          <w:bCs w:val="false"/>
          <w:i w:val="false"/>
          <w:iCs w:val="false"/>
          <w:sz w:val="22"/>
          <w:szCs w:val="22"/>
        </w:rPr>
        <w:t xml:space="preserve">The design opens a clear path of further work, roughly in order of value.</w:t>
      </w:r>
    </w:p>
    <w:p>
      <w:pPr>
        <w:pStyle w:val="ListParagraph"/>
        <w:numPr>
          <w:ilvl w:val="0"/>
          <w:numId w:val="3"/>
        </w:numPr>
        <w:spacing w:after="90" w:line="276"/>
      </w:pPr>
      <w:r>
        <w:rPr>
          <w:rFonts w:ascii="Calibri" w:cs="Calibri" w:eastAsia="Calibri" w:hAnsi="Calibri"/>
          <w:sz w:val="22"/>
          <w:szCs w:val="22"/>
        </w:rPr>
        <w:t xml:space="preserve">Implement and harden the engine to a working prototype on the emulated harness, then validate it across a range of physical firmware, treating vendor-specific deviations as first-class test cases.</w:t>
      </w:r>
    </w:p>
    <w:p>
      <w:pPr>
        <w:pStyle w:val="ListParagraph"/>
        <w:numPr>
          <w:ilvl w:val="0"/>
          <w:numId w:val="3"/>
        </w:numPr>
        <w:spacing w:after="90" w:line="276"/>
      </w:pPr>
      <w:r>
        <w:rPr>
          <w:rFonts w:ascii="Calibri" w:cs="Calibri" w:eastAsia="Calibri" w:hAnsi="Calibri"/>
          <w:sz w:val="22"/>
          <w:szCs w:val="22"/>
        </w:rPr>
        <w:t xml:space="preserve">Close the model-versus-code gap by extending code-level verification beyond the parsers toward the transaction manager, using a Rust-native verifier such as Kani or Verus for the properties the TLA+ model asserts.</w:t>
      </w:r>
    </w:p>
    <w:p>
      <w:pPr>
        <w:pStyle w:val="ListParagraph"/>
        <w:numPr>
          <w:ilvl w:val="0"/>
          <w:numId w:val="3"/>
        </w:numPr>
        <w:spacing w:after="90" w:line="276"/>
      </w:pPr>
      <w:r>
        <w:rPr>
          <w:rFonts w:ascii="Calibri" w:cs="Calibri" w:eastAsia="Calibri" w:hAnsi="Calibri"/>
          <w:sz w:val="22"/>
          <w:szCs w:val="22"/>
        </w:rPr>
        <w:t xml:space="preserve">Design and standardise the cooperative boot-result protocol more fully, including a robust host-side helper for Windows, so that transactional confirmation is dependable across operating systems.</w:t>
      </w:r>
    </w:p>
    <w:p>
      <w:pPr>
        <w:pStyle w:val="ListParagraph"/>
        <w:numPr>
          <w:ilvl w:val="0"/>
          <w:numId w:val="3"/>
        </w:numPr>
        <w:spacing w:after="90" w:line="276"/>
      </w:pPr>
      <w:r>
        <w:rPr>
          <w:rFonts w:ascii="Calibri" w:cs="Calibri" w:eastAsia="Calibri" w:hAnsi="Calibri"/>
          <w:sz w:val="22"/>
          <w:szCs w:val="22"/>
        </w:rPr>
        <w:t xml:space="preserve">Implement atomic, self-rolling-back updates of the manager's own binary, so that a broken update can never brick the machine — applying the project's own transactional principle to itself.</w:t>
      </w:r>
    </w:p>
    <w:p>
      <w:pPr>
        <w:pStyle w:val="ListParagraph"/>
        <w:numPr>
          <w:ilvl w:val="0"/>
          <w:numId w:val="3"/>
        </w:numPr>
        <w:spacing w:after="90" w:line="276"/>
      </w:pPr>
      <w:r>
        <w:rPr>
          <w:rFonts w:ascii="Calibri" w:cs="Calibri" w:eastAsia="Calibri" w:hAnsi="Calibri"/>
          <w:sz w:val="22"/>
          <w:szCs w:val="22"/>
        </w:rPr>
        <w:t xml:space="preserve">Extend the adapter architecture to further systems (the BSDs, additional generation-based distributions) and open the BootProvider interface so that third parties can contribute providers, turning the manager into a boot platform.</w:t>
      </w:r>
    </w:p>
    <w:p>
      <w:pPr>
        <w:pStyle w:val="ListParagraph"/>
        <w:numPr>
          <w:ilvl w:val="0"/>
          <w:numId w:val="3"/>
        </w:numPr>
        <w:spacing w:after="90" w:line="276"/>
      </w:pPr>
      <w:r>
        <w:rPr>
          <w:rFonts w:ascii="Calibri" w:cs="Calibri" w:eastAsia="Calibri" w:hAnsi="Calibri"/>
          <w:sz w:val="22"/>
          <w:szCs w:val="22"/>
        </w:rPr>
        <w:t xml:space="preserve">Develop the observability and diagnostics into a full, exportable boot-telemetry facility that records local statistics without transmitting anything, and pair it with hardware-aware diagnostics that associate boot failures with device and firmware state.</w:t>
      </w:r>
    </w:p>
    <w:p>
      <w:pPr>
        <w:pStyle w:val="ListParagraph"/>
        <w:numPr>
          <w:ilvl w:val="0"/>
          <w:numId w:val="3"/>
        </w:numPr>
        <w:spacing w:after="90" w:line="276"/>
      </w:pPr>
      <w:r>
        <w:rPr>
          <w:rFonts w:ascii="Calibri" w:cs="Calibri" w:eastAsia="Calibri" w:hAnsi="Calibri"/>
          <w:sz w:val="22"/>
          <w:szCs w:val="22"/>
        </w:rPr>
        <w:t xml:space="preserve">Explore, cautiously and outside the critical boot path, machine-learning-assisted failure classification and log analysis for the diagnostics layer, keeping the boot decision itself deterministic and explainable.</w:t>
      </w:r>
    </w:p>
    <w:p>
      <w:pPr>
        <w:pStyle w:val="Heading2"/>
        <w:spacing w:after="120" w:before="220"/>
      </w:pPr>
      <w:r>
        <w:rPr>
          <w:rFonts w:ascii="Calibri" w:cs="Calibri" w:eastAsia="Calibri" w:hAnsi="Calibri"/>
          <w:b/>
          <w:bCs/>
        </w:rPr>
        <w:t xml:space="preserve">6.7 Concluding Remarks</w:t>
      </w:r>
    </w:p>
    <w:p>
      <w:pPr>
        <w:spacing w:after="140" w:line="276"/>
        <w:jc w:val="both"/>
      </w:pPr>
      <w:r>
        <w:rPr>
          <w:rFonts w:ascii="Calibri" w:cs="Calibri" w:eastAsia="Calibri" w:hAnsi="Calibri"/>
          <w:b w:val="false"/>
          <w:bCs w:val="false"/>
          <w:i w:val="false"/>
          <w:iCs w:val="false"/>
          <w:sz w:val="22"/>
          <w:szCs w:val="22"/>
        </w:rPr>
        <w:t xml:space="preserve">The project asked whether a UEFI boot manager could provide a transactional, declarative, operating-system-agnostic boot-environment model with automatic discovery, health verification, failure detection, rollback, recovery and a human-friendly interface. The answer this report supports is yes: such a system can be designed coherently, its most critical properties can be specified and machine-checked, and its interfaces and behaviour can be made concrete. What remains is the substantial engineering of bringing the design to a hardware-proven product, and that work is laid out as a clear and honest agenda. The value of the project lies not in having replaced GRUB, but in having shown that the boot layer deserves — and can be given — the same disciplines of transactional safety, declarative management and formal verification that are now expected elsewhere in systems software.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MyBoot — System Project Report · Chapter Six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MyBoot — Chapter Six: Conclusions and Recommendations</dc:title>
  <dc:creator>Shaka</dc:creator>
  <dc:description>System Project Report — Chapter Six (v1.0)</dc:description>
  <cp:lastModifiedBy>Un-named</cp:lastModifiedBy>
  <cp:revision>1</cp:revision>
  <dcterms:created xsi:type="dcterms:W3CDTF">2026-08-18T06:55:58.620Z</dcterms:created>
  <dcterms:modified xsi:type="dcterms:W3CDTF">2026-08-18T06:55:58.641Z</dcterms:modified>
</cp:coreProperties>
</file>

<file path=docProps/custom.xml><?xml version="1.0" encoding="utf-8"?>
<Properties xmlns="http://schemas.openxmlformats.org/officeDocument/2006/custom-properties" xmlns:vt="http://schemas.openxmlformats.org/officeDocument/2006/docPropsVTypes"/>
</file>