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60"/>
          <w:szCs w:val="60"/>
        </w:rPr>
        <w:t xml:space="preserve">AHSEF</w:t>
      </w:r>
    </w:p>
    <w:p>
      <w:pPr>
        <w:spacing w:after="300"/>
        <w:jc w:val="center"/>
      </w:pPr>
      <w:r>
        <w:rPr>
          <w:rFonts w:ascii="Calibri" w:cs="Calibri" w:eastAsia="Calibri" w:hAnsi="Calibri"/>
          <w:b/>
          <w:bCs/>
          <w:sz w:val="32"/>
          <w:szCs w:val="32"/>
        </w:rPr>
        <w:t xml:space="preserve">Adaptive Human State Estimation Framework</w:t>
      </w:r>
    </w:p>
    <w:p>
      <w:pPr>
        <w:spacing w:after="500"/>
        <w:jc w:val="center"/>
      </w:pPr>
      <w:r>
        <w:rPr>
          <w:rFonts w:ascii="Calibri" w:cs="Calibri" w:eastAsia="Calibri" w:hAnsi="Calibri"/>
          <w:i/>
          <w:iCs/>
          <w:sz w:val="24"/>
          <w:szCs w:val="24"/>
        </w:rPr>
        <w:t xml:space="preserve">An Edge-Native Human State Operating System with Uncertainty-Gated Active Perception and Memory-Augmented Behavioral Adaptation</w:t>
      </w:r>
    </w:p>
    <w:p>
      <w:pPr>
        <w:spacing w:after="100"/>
        <w:jc w:val="center"/>
      </w:pPr>
      <w:r>
        <w:rPr>
          <w:rFonts w:ascii="Calibri" w:cs="Calibri" w:eastAsia="Calibri" w:hAnsi="Calibri"/>
          <w:b/>
          <w:bCs/>
          <w:color w:val="2E75B6"/>
          <w:sz w:val="24"/>
          <w:szCs w:val="24"/>
        </w:rPr>
        <w:t xml:space="preserve">Project Proposal — Summary for Faculty Review</w:t>
      </w:r>
    </w:p>
    <w:p>
      <w:pPr>
        <w:spacing w:before="300"/>
        <w:jc w:val="center"/>
      </w:pPr>
      <w:r>
        <w:rPr>
          <w:rFonts w:ascii="Calibri" w:cs="Calibri" w:eastAsia="Calibri" w:hAnsi="Calibri"/>
          <w:b/>
          <w:bCs/>
          <w:color w:val="2E75B6"/>
          <w:sz w:val="21"/>
          <w:szCs w:val="21"/>
        </w:rPr>
        <w:t xml:space="preserve">Five Core Algorithmic Pillars:  HSEN · HSIG · UGAPR · AMM · ABPN</w:t>
      </w:r>
    </w:p>
    <w:p>
      <w:pPr>
        <w:spacing w:before="120"/>
        <w:jc w:val="center"/>
      </w:pPr>
      <w:r>
        <w:rPr>
          <w:rFonts w:ascii="Calibri" w:cs="Calibri" w:eastAsia="Calibri" w:hAnsi="Calibri"/>
          <w:b/>
          <w:bCs/>
          <w:color w:val="C00000"/>
          <w:sz w:val="21"/>
          <w:szCs w:val="21"/>
        </w:rPr>
        <w:t xml:space="preserve">Flagship Algorithm:  AHSIR — Adaptive Human-State Information Routing</w:t>
      </w:r>
    </w:p>
    <w:p>
      <w:pPr>
        <w:spacing w:before="900"/>
        <w:jc w:val="center"/>
      </w:pPr>
      <w:r>
        <w:rPr>
          <w:rFonts w:ascii="Calibri" w:cs="Calibri" w:eastAsia="Calibri" w:hAnsi="Calibri"/>
          <w:b/>
          <w:bCs/>
          <w:sz w:val="20"/>
          <w:szCs w:val="20"/>
        </w:rPr>
        <w:t xml:space="preserve">Proposal Draft — Condensed Version</w:t>
      </w:r>
    </w:p>
    <w:p>
      <w:pPr>
        <w:spacing w:before="100"/>
        <w:jc w:val="center"/>
      </w:pPr>
      <w:r>
        <w:rPr>
          <w:rFonts w:ascii="Calibri" w:cs="Calibri" w:eastAsia="Calibri" w:hAnsi="Calibri"/>
          <w:i/>
          <w:iCs/>
          <w:sz w:val="19"/>
          <w:szCs w:val="19"/>
        </w:rPr>
        <w:t xml:space="preserve">Prepared for faculty guidance and project approval. A full 90-page technical document (literature survey, complete mathematical formulation, algorithms, and patent structure) is available on request.</w:t>
      </w:r>
    </w:p>
    <w:p>
      <w:r>
        <w:br w:type="page"/>
      </w:r>
    </w:p>
    <w:p>
      <w:pPr>
        <w:pStyle w:val="Heading1"/>
        <w:spacing w:after="160" w:before="320"/>
      </w:pPr>
      <w:r>
        <w:t xml:space="preserve">Executive Summary</w:t>
      </w:r>
    </w:p>
    <w:p>
      <w:pPr>
        <w:spacing w:after="140" w:line="268"/>
        <w:jc w:val="both"/>
      </w:pPr>
      <w:r>
        <w:rPr>
          <w:rFonts w:ascii="Calibri" w:cs="Calibri" w:eastAsia="Calibri" w:hAnsi="Calibri"/>
          <w:sz w:val="22"/>
          <w:szCs w:val="22"/>
        </w:rPr>
        <w:t xml:space="preserve">Current conversational AI, social robots, and healthcare/education assistants react to what a person says, but not to the psychological or cognitive state behind it — fatigue, stress, cognitive overload, or ambiguity. Existing emotion-recognition systems classify a handful of discrete emotions and stop; they rarely reason about uncertainty, rarely personalize to an individual, and rarely run efficiently on edge hardware because they keep every sensor (microphone, camera, wearable) always on.</w:t>
      </w:r>
    </w:p>
    <w:p>
      <w:pPr>
        <w:spacing w:after="140" w:line="268"/>
        <w:jc w:val="both"/>
      </w:pPr>
      <w:r>
        <w:rPr>
          <w:rFonts w:ascii="Calibri" w:cs="Calibri" w:eastAsia="Calibri" w:hAnsi="Calibri"/>
          <w:sz w:val="22"/>
          <w:szCs w:val="22"/>
        </w:rPr>
        <w:t xml:space="preserve">This proposal describes AHSEF, a modular framework that estimates a continuous human-state vector from audio, vision, and optional physiological/context signals, and converts that state into concrete behavioral adjustments for a downstream AI agent — while deciding, cycle by cycle, which sensors are actually worth the energy and latency cost of activating. The framework is organized around five algorithmic pillars (HSEN, HSIG, UGAPR, AMM, ABPN), with the sensing-and-behavior control loop formed by three of them consolidated into one flagship, patentable algorithm: AHSIR (Adaptive Human-State Information Routing).</w:t>
      </w:r>
    </w:p>
    <w:p>
      <w:pPr>
        <w:spacing w:after="140" w:line="268"/>
        <w:jc w:val="both"/>
      </w:pPr>
      <w:r>
        <w:rPr>
          <w:rFonts w:ascii="Calibri" w:cs="Calibri" w:eastAsia="Calibri" w:hAnsi="Calibri"/>
          <w:sz w:val="22"/>
          <w:szCs w:val="22"/>
        </w:rPr>
        <w:t xml:space="preserve">This document is a condensed proposal summary intended for faculty review. It presents the problem, the literature gap, the proposed architecture, the core mathematical formulation, the novelty claim, the evaluation plan, and a staged project timeline, so that scope and feasibility can be assessed before the full technical specification is finalized.</w:t>
      </w:r>
    </w:p>
    <w:p>
      <w:pPr>
        <w:pStyle w:val="Heading1"/>
        <w:spacing w:after="160" w:before="320"/>
      </w:pPr>
      <w:r>
        <w:t xml:space="preserve">1. Motivation and Problem Statement</w:t>
      </w:r>
    </w:p>
    <w:p>
      <w:pPr>
        <w:spacing w:after="140" w:line="268"/>
        <w:jc w:val="both"/>
      </w:pPr>
      <w:r>
        <w:rPr>
          <w:rFonts w:ascii="Calibri" w:cs="Calibri" w:eastAsia="Calibri" w:hAnsi="Calibri"/>
          <w:sz w:val="22"/>
          <w:szCs w:val="22"/>
        </w:rPr>
        <w:t xml:space="preserve">Human communication is multimodal and often ambiguous: a smiling face does not guarantee happiness, a calm voice can conceal frustration, and identical words can mean different things depending on tone, posture, or context. Intelligent systems that only classify a handful of discrete emotions after the fact cannot act on this ambiguity, and none of them tell a downstream agent how to change its behavior as a result.</w:t>
      </w:r>
    </w:p>
    <w:p>
      <w:pPr>
        <w:spacing w:after="140" w:line="268"/>
        <w:jc w:val="both"/>
      </w:pPr>
      <w:r>
        <w:rPr>
          <w:rFonts w:ascii="Calibri" w:cs="Calibri" w:eastAsia="Calibri" w:hAnsi="Calibri"/>
          <w:sz w:val="22"/>
          <w:szCs w:val="22"/>
        </w:rPr>
        <w:t xml:space="preserve">Formally, given multimodal input X = {X_audio, X_vision, X_physio, X_context}, the goal is to learn a mapping f: X → S onto a continuous human-state vector S, while minimizing estimation uncertainty, energy, and latency, and maximizing the quality of the resulting interaction — not simply maximizing classification accuracy on a fixed label set.</w:t>
      </w:r>
    </w:p>
    <w:p>
      <w:pPr>
        <w:pStyle w:val="Heading2"/>
        <w:spacing w:after="120" w:before="240"/>
      </w:pPr>
      <w:r>
        <w:t xml:space="preserve">1.1 Why Existing Approaches Fall Short</w:t>
      </w:r>
    </w:p>
    <w:p>
      <w:pPr>
        <w:pStyle w:val="ListParagraph"/>
        <w:numPr>
          <w:ilvl w:val="0"/>
          <w:numId w:val="1"/>
        </w:numPr>
        <w:spacing w:after="70"/>
      </w:pPr>
      <w:r>
        <w:rPr>
          <w:rFonts w:ascii="Calibri" w:cs="Calibri" w:eastAsia="Calibri" w:hAnsi="Calibri"/>
          <w:sz w:val="22"/>
          <w:szCs w:val="22"/>
        </w:rPr>
        <w:t xml:space="preserve">Discrete-only output: happy / sad / angry / neutral cannot represent fatigue, cognitive load, or ambiguity.</w:t>
      </w:r>
    </w:p>
    <w:p>
      <w:pPr>
        <w:pStyle w:val="ListParagraph"/>
        <w:numPr>
          <w:ilvl w:val="0"/>
          <w:numId w:val="1"/>
        </w:numPr>
        <w:spacing w:after="70"/>
      </w:pPr>
      <w:r>
        <w:rPr>
          <w:rFonts w:ascii="Calibri" w:cs="Calibri" w:eastAsia="Calibri" w:hAnsi="Calibri"/>
          <w:sz w:val="22"/>
          <w:szCs w:val="22"/>
        </w:rPr>
        <w:t xml:space="preserve">Always-on sensing: continuous audio + video + physiological processing is impractical on edge/embedded hardware and raises privacy concerns.</w:t>
      </w:r>
    </w:p>
    <w:p>
      <w:pPr>
        <w:pStyle w:val="ListParagraph"/>
        <w:numPr>
          <w:ilvl w:val="0"/>
          <w:numId w:val="1"/>
        </w:numPr>
        <w:spacing w:after="70"/>
      </w:pPr>
      <w:r>
        <w:rPr>
          <w:rFonts w:ascii="Calibri" w:cs="Calibri" w:eastAsia="Calibri" w:hAnsi="Calibri"/>
          <w:sz w:val="22"/>
          <w:szCs w:val="22"/>
        </w:rPr>
        <w:t xml:space="preserve">No personalization: the same thresholds are applied to every user regardless of their individual baseline.</w:t>
      </w:r>
    </w:p>
    <w:p>
      <w:pPr>
        <w:pStyle w:val="ListParagraph"/>
        <w:numPr>
          <w:ilvl w:val="0"/>
          <w:numId w:val="1"/>
        </w:numPr>
        <w:spacing w:after="70"/>
      </w:pPr>
      <w:r>
        <w:rPr>
          <w:rFonts w:ascii="Calibri" w:cs="Calibri" w:eastAsia="Calibri" w:hAnsi="Calibri"/>
          <w:sz w:val="22"/>
          <w:szCs w:val="22"/>
        </w:rPr>
        <w:t xml:space="preserve">No link to action: pipelines terminate at a predicted label rather than adjusting the agent's subsequent behavior.</w:t>
      </w:r>
    </w:p>
    <w:p>
      <w:pPr>
        <w:pStyle w:val="Heading1"/>
        <w:spacing w:after="160" w:before="320"/>
      </w:pPr>
      <w:r>
        <w:t xml:space="preserve">2. Literature Positioning and Gap</w:t>
      </w:r>
    </w:p>
    <w:p>
      <w:pPr>
        <w:spacing w:after="140" w:line="268"/>
        <w:jc w:val="both"/>
      </w:pPr>
      <w:r>
        <w:rPr>
          <w:rFonts w:ascii="Calibri" w:cs="Calibri" w:eastAsia="Calibri" w:hAnsi="Calibri"/>
          <w:sz w:val="22"/>
          <w:szCs w:val="22"/>
        </w:rPr>
        <w:t xml:space="preserve">Speech Emotion Recognition (SER) has moved from handcrafted spectrogram features to self-supervised foundation encoders (Wav2Vec2, HuBERT, Whisper). Multimodal Emotion Recognition (MER) adds facial and textual cues via cross-attention or transformer fusion. Human-Robot Interaction (HRI) research adapts robot behavior to a narrow set of detected states. Edge-AI research optimizes model size and power but rarely governs which sensors to activate in the first place. No single line of work combines continuous state estimation, learned active sensing, personalization, and behavioral adaptation in one edge-deployable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300"/>
        <w:gridCol w:w="1400"/>
        <w:gridCol w:w="9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Category</w:t>
            </w:r>
          </w:p>
        </w:tc>
        <w:tc>
          <w:tcPr>
            <w:tcW w:type="dxa" w:w="1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Continuous State</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Active Sensing</w:t>
            </w:r>
          </w:p>
        </w:tc>
        <w:tc>
          <w:tcPr>
            <w:tcW w:type="dxa" w:w="1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Personalization</w:t>
            </w:r>
          </w:p>
        </w:tc>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Behavior Adaptation</w:t>
            </w:r>
          </w:p>
        </w:tc>
        <w:tc>
          <w:tcPr>
            <w:tcW w:type="dxa" w:w="9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Edge-Native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Classical / deep-learning SER</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Multimodal Emotion Recognition</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Uncertainty-aware MER</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Generic active sensing</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(accuracy-only)</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Affective / social robotics</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AHSEF (proposed)</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(information-gain)</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bl>
    <w:p>
      <w:pPr>
        <w:spacing w:after="200" w:before="60"/>
        <w:jc w:val="center"/>
      </w:pPr>
      <w:r>
        <w:rPr>
          <w:rFonts w:ascii="Calibri" w:cs="Calibri" w:eastAsia="Calibri" w:hAnsi="Calibri"/>
          <w:i/>
          <w:iCs/>
          <w:sz w:val="19"/>
          <w:szCs w:val="19"/>
        </w:rPr>
        <w:t xml:space="preserve">Table 1 — AHSEF positioned against five adjacent research categories. △ = partially addressed.</w:t>
      </w:r>
    </w:p>
    <w:p>
      <w:pPr>
        <w:pStyle w:val="Heading1"/>
        <w:spacing w:after="160" w:before="320"/>
      </w:pPr>
      <w:r>
        <w:t xml:space="preserve">3. Proposed Framework: Five Pillars, One Flagship Algorithm</w:t>
      </w:r>
    </w:p>
    <w:p>
      <w:pPr>
        <w:spacing w:after="140" w:line="268"/>
        <w:jc w:val="both"/>
      </w:pPr>
      <w:r>
        <w:rPr>
          <w:rFonts w:ascii="Calibri" w:cs="Calibri" w:eastAsia="Calibri" w:hAnsi="Calibri"/>
          <w:sz w:val="22"/>
          <w:szCs w:val="22"/>
        </w:rPr>
        <w:t xml:space="preserve">Rather than five independent modules, AHSEF is organized around one flagship, continuously running control loop — Adaptive Human-State Information Routing (AHSIR) — supported by two infrastructure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Pillar</w:t>
            </w:r>
          </w:p>
        </w:tc>
        <w:tc>
          <w:tcPr>
            <w:tcW w:type="dxa" w:w="4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Function</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Status</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HSEN — Human State Estimation Network</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Fuses audio/vision/context into a continuous state vector</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Supporting perception layer</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 — Human-State Information Gain</w:t>
            </w:r>
          </w:p>
        </w:tc>
        <w:tc>
          <w:tcPr>
            <w:tcW w:type="dxa" w:w="4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Learns how much each candidate sensor would reduce uncertainty</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Core of AHSIR</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 — Uncertainty-Gated Active Perception Routing</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Decides which sensor to activate, trading gain vs. energy/latency</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Core of AHSIR</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AMM — Adaptive Memory Module</w:t>
            </w:r>
          </w:p>
        </w:tc>
        <w:tc>
          <w:tcPr>
            <w:tcW w:type="dxa" w:w="4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Short-term, long-term, and context memory for personalization</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Supporting memory layer</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 — Adaptive Behavior Policy Network</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Converts state + memory + goals into behavior constraints for the agent</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Core of AHSIR (Levels 1-2) + output adaptor (Level 3)</w:t>
            </w:r>
          </w:p>
        </w:tc>
      </w:tr>
    </w:tbl>
    <w:p>
      <w:pPr>
        <w:spacing w:after="200" w:before="60"/>
        <w:jc w:val="center"/>
      </w:pPr>
      <w:r>
        <w:rPr>
          <w:rFonts w:ascii="Calibri" w:cs="Calibri" w:eastAsia="Calibri" w:hAnsi="Calibri"/>
          <w:i/>
          <w:iCs/>
          <w:sz w:val="19"/>
          <w:szCs w:val="19"/>
        </w:rPr>
        <w:t xml:space="preserve">Table 2 — The five pillars, and which of them form the flagship AHSIR algorithm.</w:t>
      </w:r>
    </w:p>
    <w:p>
      <w:pPr>
        <w:pStyle w:val="Heading2"/>
        <w:spacing w:after="120" w:before="240"/>
      </w:pPr>
      <w:r>
        <w:t xml:space="preserve">3.1 System Architecture</w:t>
      </w:r>
    </w:p>
    <w:p>
      <w:pPr>
        <w:pBdr>
          <w:top w:val="single" w:color="999999" w:sz="4"/>
          <w:bottom w:val="single" w:color="999999" w:sz="4"/>
          <w:left w:val="single" w:color="999999" w:sz="4"/>
          <w:right w:val="single" w:color="999999" w:sz="4"/>
        </w:pBdr>
        <w:shd w:fill="F2F2F2" w:val="clear"/>
        <w:spacing w:after="100" w:before="100"/>
      </w:pP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Human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Audio    │          │    Vision     │          │  Optional      │</w:t>
      </w:r>
      <w:r>
        <w:br/>
        <w:t xml:space="preserve"/>
      </w:r>
      <w:r>
        <w:rPr>
          <w:rFonts w:ascii="Consolas" w:cs="Consolas" w:eastAsia="Consolas" w:hAnsi="Consolas"/>
          <w:sz w:val="13"/>
          <w:szCs w:val="13"/>
        </w:rPr>
        <w:t xml:space="preserve">     │ (always-on)│          │  (gated)      │          │  Sensors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HSIG  +  UGAPR   =  AHSIR        │</w:t>
      </w:r>
      <w:r>
        <w:br/>
        <w:t xml:space="preserve"/>
      </w:r>
      <w:r>
        <w:rPr>
          <w:rFonts w:ascii="Consolas" w:cs="Consolas" w:eastAsia="Consolas" w:hAnsi="Consolas"/>
          <w:sz w:val="13"/>
          <w:szCs w:val="13"/>
        </w:rPr>
        <w:t xml:space="preserve">                    │   (which sensor to activate next)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HSEN — Fusion + State Estimate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AMM — Personalization Memory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ABPN — Behavior Constraints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LLM / Robot Planner → Action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Human Feedback → loop</w:t>
      </w:r>
    </w:p>
    <w:p>
      <w:pPr>
        <w:spacing w:after="200" w:before="60"/>
        <w:jc w:val="center"/>
      </w:pPr>
      <w:r>
        <w:rPr>
          <w:rFonts w:ascii="Calibri" w:cs="Calibri" w:eastAsia="Calibri" w:hAnsi="Calibri"/>
          <w:i/>
          <w:iCs/>
          <w:sz w:val="19"/>
          <w:szCs w:val="19"/>
        </w:rPr>
        <w:t xml:space="preserve">Figure 1 — Condensed system architecture; the AHSIR loop (HSIG + UGAPR) governs sensing, ABPN governs the resulting behavior.</w:t>
      </w:r>
    </w:p>
    <w:p>
      <w:pPr>
        <w:pStyle w:val="Heading1"/>
        <w:spacing w:after="160" w:before="320"/>
      </w:pPr>
      <w:r>
        <w:t xml:space="preserve">4. Core Mathematical Formulation (Selected)</w:t>
      </w:r>
    </w:p>
    <w:p>
      <w:pPr>
        <w:spacing w:after="140" w:line="268"/>
        <w:jc w:val="both"/>
      </w:pPr>
      <w:r>
        <w:rPr>
          <w:rFonts w:ascii="Calibri" w:cs="Calibri" w:eastAsia="Calibri" w:hAnsi="Calibri"/>
          <w:sz w:val="22"/>
          <w:szCs w:val="22"/>
        </w:rPr>
        <w:t xml:space="preserve">The full document contains thirty-seven numbered equations; the six below are the minimum needed to understand AHSIR.</w:t>
      </w:r>
    </w:p>
    <w:p>
      <w:pPr>
        <w:pStyle w:val="Heading2"/>
        <w:spacing w:after="120" w:before="240"/>
      </w:pPr>
      <w:r>
        <w:t xml:space="preserve">4.1 Continuous Human State</w:t>
      </w:r>
    </w:p>
    <w:p>
      <w:pPr>
        <w:spacing w:after="140" w:before="140"/>
        <w:jc w:val="center"/>
      </w:pP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a</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σ</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e</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u</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(1)</w:t>
      </w:r>
    </w:p>
    <w:p>
      <w:pPr>
        <w:spacing w:after="140" w:line="268"/>
        <w:jc w:val="both"/>
      </w:pPr>
      <w:r>
        <w:rPr>
          <w:rFonts w:ascii="Calibri" w:cs="Calibri" w:eastAsia="Calibri" w:hAnsi="Calibri"/>
          <w:sz w:val="22"/>
          <w:szCs w:val="22"/>
        </w:rPr>
        <w:t xml:space="preserve">valence, arousal, stress, fatigue, cognitive load, engagement, and prediction uncertainty — grounded respectively in Russell's Circumplex Model, WESAD/SWELL stress literature, and NASA-TLX cognitive-load theory.</w:t>
      </w:r>
    </w:p>
    <w:p>
      <w:pPr>
        <w:pStyle w:val="Heading2"/>
        <w:spacing w:after="120" w:before="240"/>
      </w:pPr>
      <w:r>
        <w:t xml:space="preserve">4.2 Composite Uncertainty</w:t>
      </w:r>
    </w:p>
    <w:p>
      <w:pPr>
        <w:spacing w:after="140" w:before="140"/>
        <w:jc w:val="center"/>
      </w:pPr>
      <w:r>
        <w:rPr>
          <w:rFonts w:ascii="Cambria Math" w:cs="Cambria Math" w:eastAsia="Cambria Math" w:hAnsi="Cambria Math"/>
          <w:b w:val="false"/>
          <w:bCs w:val="false"/>
          <w:i/>
          <w:iCs/>
          <w:sz w:val="24"/>
          <w:szCs w:val="24"/>
        </w:rPr>
        <w:t xml:space="preserve">U</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α</w:t>
      </w:r>
      <w:r>
        <w:rPr>
          <w:rFonts w:ascii="Cambria Math" w:cs="Cambria Math" w:eastAsia="Cambria Math" w:hAnsi="Cambria Math"/>
          <w:b w:val="false"/>
          <w:bCs w:val="false"/>
          <w:i/>
          <w:iCs/>
          <w:sz w:val="24"/>
          <w:szCs w:val="24"/>
        </w:rPr>
        <w:t xml:space="preserve"> H(p) + </w:t>
      </w:r>
      <w:r>
        <w:rPr>
          <w:rFonts w:ascii="Cambria Math" w:cs="Cambria Math" w:eastAsia="Cambria Math" w:hAnsi="Cambria Math"/>
          <w:b w:val="false"/>
          <w:bCs w:val="false"/>
          <w:i/>
          <w:iCs/>
          <w:sz w:val="24"/>
          <w:szCs w:val="24"/>
        </w:rPr>
        <w:t xml:space="preserve">β</w:t>
      </w:r>
      <w:r>
        <w:rPr>
          <w:rFonts w:ascii="Cambria Math" w:cs="Cambria Math" w:eastAsia="Cambria Math" w:hAnsi="Cambria Math"/>
          <w:b w:val="false"/>
          <w:bCs w:val="false"/>
          <w:i/>
          <w:iCs/>
          <w:sz w:val="24"/>
          <w:szCs w:val="24"/>
        </w:rPr>
        <w:t xml:space="preserve"> U</w:t>
      </w:r>
      <w:r>
        <w:rPr>
          <w:rFonts w:ascii="Cambria Math" w:cs="Cambria Math" w:eastAsia="Cambria Math" w:hAnsi="Cambria Math"/>
          <w:b w:val="false"/>
          <w:bCs w:val="false"/>
          <w:i/>
          <w:iCs/>
          <w:sz w:val="24"/>
          <w:szCs w:val="24"/>
          <w:vertAlign w:val="subscript"/>
        </w:rPr>
        <w:t xml:space="preserve">epistemic</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γ</w:t>
      </w:r>
      <w:r>
        <w:rPr>
          <w:rFonts w:ascii="Cambria Math" w:cs="Cambria Math" w:eastAsia="Cambria Math" w:hAnsi="Cambria Math"/>
          <w:b w:val="false"/>
          <w:bCs w:val="false"/>
          <w:i/>
          <w:iCs/>
          <w:sz w:val="24"/>
          <w:szCs w:val="24"/>
        </w:rPr>
        <w:t xml:space="preserve"> Q</w:t>
      </w:r>
      <w:r>
        <w:rPr>
          <w:rFonts w:ascii="Cambria Math" w:cs="Cambria Math" w:eastAsia="Cambria Math" w:hAnsi="Cambria Math"/>
          <w:b w:val="false"/>
          <w:bCs w:val="false"/>
          <w:i/>
          <w:iCs/>
          <w:sz w:val="24"/>
          <w:szCs w:val="24"/>
          <w:vertAlign w:val="subscript"/>
        </w:rPr>
        <w:t xml:space="preserve">OOD</w:t>
      </w:r>
      <w:r>
        <w:rPr>
          <w:sz w:val="24"/>
          <w:szCs w:val="24"/>
        </w:rPr>
        <w:t xml:space="preserve">	</w:t>
      </w:r>
      <w:r>
        <w:rPr>
          <w:rFonts w:ascii="Calibri" w:cs="Calibri" w:eastAsia="Calibri" w:hAnsi="Calibri"/>
          <w:sz w:val="20"/>
          <w:szCs w:val="20"/>
        </w:rPr>
        <w:t xml:space="preserve">(2)</w:t>
      </w:r>
    </w:p>
    <w:p>
      <w:pPr>
        <w:spacing w:after="140" w:line="268"/>
        <w:jc w:val="both"/>
      </w:pPr>
      <w:r>
        <w:rPr>
          <w:rFonts w:ascii="Calibri" w:cs="Calibri" w:eastAsia="Calibri" w:hAnsi="Calibri"/>
          <w:sz w:val="22"/>
          <w:szCs w:val="22"/>
        </w:rPr>
        <w:t xml:space="preserve">combining predictive entropy, model (epistemic) uncertainty, and an out-of-distribution confidence score — entropy alone is insufficient because a confident but out-of-distribution prediction can appear falsely certain.</w:t>
      </w:r>
    </w:p>
    <w:p>
      <w:pPr>
        <w:pStyle w:val="Heading2"/>
        <w:spacing w:after="120" w:before="240"/>
      </w:pPr>
      <w:r>
        <w:t xml:space="preserve">4.3 UGAPR — Active Sensor Selection (the core AHSIR decision)</w:t>
      </w:r>
    </w:p>
    <w:p>
      <w:pPr>
        <w:spacing w:after="140" w:before="140"/>
        <w:jc w:val="center"/>
      </w:pP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iCs/>
          <w:sz w:val="24"/>
          <w:szCs w:val="24"/>
        </w:rPr>
        <w:t xml:space="preserve"> = arg max</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rPr>
        <w:t xml:space="preserve"> C(m) − </w:t>
      </w:r>
      <w:r>
        <w:rPr>
          <w:rFonts w:ascii="Cambria Math" w:cs="Cambria Math" w:eastAsia="Cambria Math" w:hAnsi="Cambria Math"/>
          <w:b w:val="false"/>
          <w:bCs w:val="false"/>
          <w:i/>
          <w:iCs/>
          <w:sz w:val="24"/>
          <w:szCs w:val="24"/>
        </w:rPr>
        <w:t xml:space="preserve">μ</w:t>
      </w:r>
      <w:r>
        <w:rPr>
          <w:rFonts w:ascii="Cambria Math" w:cs="Cambria Math" w:eastAsia="Cambria Math" w:hAnsi="Cambria Math"/>
          <w:b w:val="false"/>
          <w:bCs w:val="false"/>
          <w:i/>
          <w:iCs/>
          <w:sz w:val="24"/>
          <w:szCs w:val="24"/>
        </w:rPr>
        <w:t xml:space="preserve"> L(m) )</w:t>
      </w:r>
      <w:r>
        <w:rPr>
          <w:sz w:val="24"/>
          <w:szCs w:val="24"/>
        </w:rPr>
        <w:t xml:space="preserve">	</w:t>
      </w:r>
      <w:r>
        <w:rPr>
          <w:rFonts w:ascii="Calibri" w:cs="Calibri" w:eastAsia="Calibri" w:hAnsi="Calibri"/>
          <w:sz w:val="20"/>
          <w:szCs w:val="20"/>
        </w:rPr>
        <w:t xml:space="preserve">(7)</w:t>
      </w:r>
    </w:p>
    <w:p>
      <w:pPr>
        <w:spacing w:after="140" w:line="268"/>
        <w:jc w:val="both"/>
      </w:pPr>
      <w:r>
        <w:rPr>
          <w:rFonts w:ascii="Calibri" w:cs="Calibri" w:eastAsia="Calibri" w:hAnsi="Calibri"/>
          <w:sz w:val="22"/>
          <w:szCs w:val="22"/>
        </w:rPr>
        <w:t xml:space="preserve">the modality m selected for activation is the one maximizing learned expected information gain (from HSIG) minus its computational cost and latency — an optimization problem, not a fixed entropy threshold.</w:t>
      </w:r>
    </w:p>
    <w:p>
      <w:pPr>
        <w:pStyle w:val="Heading2"/>
        <w:spacing w:after="120" w:before="240"/>
      </w:pPr>
      <w:r>
        <w:t xml:space="preserve">4.4 Personalization Deviation</w:t>
      </w:r>
    </w:p>
    <w:p>
      <w:pPr>
        <w:spacing w:after="140" w:before="140"/>
        <w:jc w:val="center"/>
      </w:pP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α</w:t>
      </w:r>
      <w:r>
        <w:rPr>
          <w:rFonts w:ascii="Cambria Math" w:cs="Cambria Math" w:eastAsia="Cambria Math" w:hAnsi="Cambria Math"/>
          <w:b w:val="false"/>
          <w:bCs w:val="false"/>
          <w:i/>
          <w:iCs/>
          <w:sz w:val="24"/>
          <w:szCs w:val="24"/>
        </w:rPr>
        <w:t xml:space="preserve"> D</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β</w:t>
      </w:r>
      <w:r>
        <w:rPr>
          <w:rFonts w:ascii="Cambria Math" w:cs="Cambria Math" w:eastAsia="Cambria Math" w:hAnsi="Cambria Math"/>
          <w:b w:val="false"/>
          <w:bCs w:val="false"/>
          <w:i/>
          <w:iCs/>
          <w:sz w:val="24"/>
          <w:szCs w:val="24"/>
        </w:rPr>
        <w:t xml:space="preserve"> D</w:t>
      </w:r>
      <w:r>
        <w:rPr>
          <w:rFonts w:ascii="Cambria Math" w:cs="Cambria Math" w:eastAsia="Cambria Math" w:hAnsi="Cambria Math"/>
          <w:b w:val="false"/>
          <w:bCs w:val="false"/>
          <w:i/>
          <w:iCs/>
          <w:sz w:val="24"/>
          <w:szCs w:val="24"/>
          <w:vertAlign w:val="subscript"/>
        </w:rPr>
        <w:t xml:space="preserve">temporal</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γ</w:t>
      </w:r>
      <w:r>
        <w:rPr>
          <w:rFonts w:ascii="Cambria Math" w:cs="Cambria Math" w:eastAsia="Cambria Math" w:hAnsi="Cambria Math"/>
          <w:b w:val="false"/>
          <w:bCs w:val="false"/>
          <w:i/>
          <w:iCs/>
          <w:sz w:val="24"/>
          <w:szCs w:val="24"/>
        </w:rPr>
        <w:t xml:space="preserve"> D</w:t>
      </w:r>
      <w:r>
        <w:rPr>
          <w:rFonts w:ascii="Cambria Math" w:cs="Cambria Math" w:eastAsia="Cambria Math" w:hAnsi="Cambria Math"/>
          <w:b w:val="false"/>
          <w:bCs w:val="false"/>
          <w:i/>
          <w:iCs/>
          <w:sz w:val="24"/>
          <w:szCs w:val="24"/>
          <w:vertAlign w:val="subscript"/>
        </w:rPr>
        <w:t xml:space="preserve">context</w:t>
      </w:r>
      <w:r>
        <w:rPr>
          <w:sz w:val="24"/>
          <w:szCs w:val="24"/>
        </w:rPr>
        <w:t xml:space="preserve">	</w:t>
      </w:r>
      <w:r>
        <w:rPr>
          <w:rFonts w:ascii="Calibri" w:cs="Calibri" w:eastAsia="Calibri" w:hAnsi="Calibri"/>
          <w:sz w:val="20"/>
          <w:szCs w:val="20"/>
        </w:rPr>
        <w:t xml:space="preserve">(10)</w:t>
      </w:r>
    </w:p>
    <w:p>
      <w:pPr>
        <w:spacing w:after="140" w:line="268"/>
        <w:jc w:val="both"/>
      </w:pPr>
      <w:r>
        <w:rPr>
          <w:rFonts w:ascii="Calibri" w:cs="Calibri" w:eastAsia="Calibri" w:hAnsi="Calibri"/>
          <w:sz w:val="22"/>
          <w:szCs w:val="22"/>
        </w:rPr>
        <w:t xml:space="preserve">how far the current state deviates from the user's personal baseline, combining statistical, temporal, and contextual deviation so that, e.g., elevated heart rate during exercise is not mistaken for stress.</w:t>
      </w:r>
    </w:p>
    <w:p>
      <w:pPr>
        <w:pStyle w:val="Heading2"/>
        <w:spacing w:after="120" w:before="240"/>
      </w:pPr>
      <w:r>
        <w:t xml:space="preserve">4.5 Behavior Policy</w:t>
      </w:r>
    </w:p>
    <w:p>
      <w:pPr>
        <w:spacing w:after="140" w:before="140"/>
        <w:jc w:val="center"/>
      </w:pP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rPr>
        <w:t xml:space="preserve"> = f</w:t>
      </w:r>
      <w:r>
        <w:rPr>
          <w:rFonts w:ascii="Cambria Math" w:cs="Cambria Math" w:eastAsia="Cambria Math" w:hAnsi="Cambria Math"/>
          <w:b w:val="false"/>
          <w:bCs w:val="false"/>
          <w:i/>
          <w:iCs/>
          <w:sz w:val="24"/>
          <w:szCs w:val="24"/>
          <w:vertAlign w:val="subscript"/>
        </w:rPr>
        <w:t xml:space="preserve">policy</w:t>
      </w:r>
      <w:r>
        <w:rPr>
          <w:rFonts w:ascii="Cambria Math" w:cs="Cambria Math" w:eastAsia="Cambria Math" w:hAnsi="Cambria Math"/>
          <w:b w:val="false"/>
          <w:bCs w:val="false"/>
          <w:i/>
          <w:iCs/>
          <w:sz w:val="24"/>
          <w:szCs w:val="24"/>
        </w:rPr>
        <w:t xml:space="preserve"> ( s, M</w:t>
      </w:r>
      <w:r>
        <w:rPr>
          <w:rFonts w:ascii="Cambria Math" w:cs="Cambria Math" w:eastAsia="Cambria Math" w:hAnsi="Cambria Math"/>
          <w:b w:val="false"/>
          <w:bCs w:val="false"/>
          <w:i/>
          <w:iCs/>
          <w:sz w:val="24"/>
          <w:szCs w:val="24"/>
          <w:vertAlign w:val="subscript"/>
        </w:rPr>
        <w:t xml:space="preserve">user</w:t>
      </w:r>
      <w:r>
        <w:rPr>
          <w:rFonts w:ascii="Cambria Math" w:cs="Cambria Math" w:eastAsia="Cambria Math" w:hAnsi="Cambria Math"/>
          <w:b w:val="false"/>
          <w:bCs w:val="false"/>
          <w:i/>
          <w:iCs/>
          <w:sz w:val="24"/>
          <w:szCs w:val="24"/>
        </w:rPr>
        <w:t xml:space="preserve">, g, U )</w:t>
      </w:r>
      <w:r>
        <w:rPr>
          <w:sz w:val="24"/>
          <w:szCs w:val="24"/>
        </w:rPr>
        <w:t xml:space="preserve">	</w:t>
      </w:r>
      <w:r>
        <w:rPr>
          <w:rFonts w:ascii="Calibri" w:cs="Calibri" w:eastAsia="Calibri" w:hAnsi="Calibri"/>
          <w:sz w:val="20"/>
          <w:szCs w:val="20"/>
        </w:rPr>
        <w:t xml:space="preserve">(12)</w:t>
      </w:r>
    </w:p>
    <w:p>
      <w:pPr>
        <w:spacing w:after="140" w:line="268"/>
        <w:jc w:val="both"/>
      </w:pPr>
      <w:r>
        <w:rPr>
          <w:rFonts w:ascii="Calibri" w:cs="Calibri" w:eastAsia="Calibri" w:hAnsi="Calibri"/>
          <w:sz w:val="22"/>
          <w:szCs w:val="22"/>
        </w:rPr>
        <w:t xml:space="preserve">the same state can produce different behavior depending on the application's goal vector g (safety-first for healthcare, learning-first for education, comfort-first for a companion robot).</w:t>
      </w:r>
    </w:p>
    <w:p>
      <w:pPr>
        <w:pStyle w:val="Heading2"/>
        <w:spacing w:after="120" w:before="240"/>
      </w:pPr>
      <w:r>
        <w:t xml:space="preserve">4.6 Master Training Objective</w:t>
      </w:r>
    </w:p>
    <w:p>
      <w:pPr>
        <w:spacing w:after="140" w:before="140"/>
        <w:jc w:val="center"/>
      </w:pPr>
      <w:r>
        <w:rPr>
          <w:rFonts w:ascii="Cambria Math" w:cs="Cambria Math" w:eastAsia="Cambria Math" w:hAnsi="Cambria Math"/>
          <w:b w:val="false"/>
          <w:bCs w:val="false"/>
          <w:i/>
          <w:iCs/>
          <w:sz w:val="24"/>
          <w:szCs w:val="24"/>
        </w:rPr>
        <w:t xml:space="preserve">ℒ</w:t>
      </w:r>
      <w:r>
        <w:rPr>
          <w:rFonts w:ascii="Cambria Math" w:cs="Cambria Math" w:eastAsia="Cambria Math" w:hAnsi="Cambria Math"/>
          <w:b w:val="false"/>
          <w:bCs w:val="false"/>
          <w:i/>
          <w:iCs/>
          <w:sz w:val="24"/>
          <w:szCs w:val="24"/>
        </w:rPr>
        <w:t xml:space="preserve"> = L</w:t>
      </w:r>
      <w:r>
        <w:rPr>
          <w:rFonts w:ascii="Cambria Math" w:cs="Cambria Math" w:eastAsia="Cambria Math" w:hAnsi="Cambria Math"/>
          <w:b w:val="false"/>
          <w:bCs w:val="false"/>
          <w:i/>
          <w:iCs/>
          <w:sz w:val="24"/>
          <w:szCs w:val="24"/>
          <w:vertAlign w:val="subscript"/>
        </w:rPr>
        <w:t xml:space="preserve">state</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1</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uncertainty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2</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energy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3</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latency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4</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behavior</w:t>
      </w:r>
      <w:r>
        <w:rPr>
          <w:sz w:val="24"/>
          <w:szCs w:val="24"/>
        </w:rPr>
        <w:t xml:space="preserve">	</w:t>
      </w:r>
      <w:r>
        <w:rPr>
          <w:rFonts w:ascii="Calibri" w:cs="Calibri" w:eastAsia="Calibri" w:hAnsi="Calibri"/>
          <w:sz w:val="20"/>
          <w:szCs w:val="20"/>
        </w:rPr>
        <w:t xml:space="preserve">(16)</w:t>
      </w:r>
    </w:p>
    <w:p>
      <w:pPr>
        <w:spacing w:after="140" w:line="268"/>
        <w:jc w:val="both"/>
      </w:pPr>
      <w:r>
        <w:rPr>
          <w:rFonts w:ascii="Calibri" w:cs="Calibri" w:eastAsia="Calibri" w:hAnsi="Calibri"/>
          <w:sz w:val="22"/>
          <w:szCs w:val="22"/>
        </w:rPr>
        <w:t xml:space="preserve">ties state accuracy, calibration, resource cost, and behavioral fidelity into one tunable objective.</w:t>
      </w:r>
    </w:p>
    <w:p>
      <w:pPr>
        <w:pStyle w:val="Heading1"/>
        <w:spacing w:after="160" w:before="320"/>
      </w:pPr>
      <w:r>
        <w:t xml:space="preserve">5. What Is Actually Novel</w:t>
      </w:r>
    </w:p>
    <w:p>
      <w:pPr>
        <w:spacing w:after="140" w:line="268"/>
        <w:jc w:val="both"/>
      </w:pPr>
      <w:r>
        <w:rPr>
          <w:rFonts w:ascii="Calibri" w:cs="Calibri" w:eastAsia="Calibri" w:hAnsi="Calibri"/>
          <w:sz w:val="22"/>
          <w:szCs w:val="22"/>
        </w:rPr>
        <w:t xml:space="preserve">Existing active-sensing systems select sensors to maximize classification accuracy under a compute budget. AHSIR instead selects sensors to maximize expected information gain over a continuous, psychologically grounded human-state vector, and immediately couples that gain to a behavioral output — a combination not found together in any single line of prior work (Table 1).</w:t>
      </w:r>
    </w:p>
    <w:p>
      <w:pPr>
        <w:pStyle w:val="ListParagraph"/>
        <w:numPr>
          <w:ilvl w:val="0"/>
          <w:numId w:val="1"/>
        </w:numPr>
        <w:spacing w:after="70"/>
      </w:pPr>
      <w:r>
        <w:rPr>
          <w:rFonts w:ascii="Calibri" w:cs="Calibri" w:eastAsia="Calibri" w:hAnsi="Calibri"/>
          <w:sz w:val="22"/>
          <w:szCs w:val="22"/>
        </w:rPr>
        <w:t xml:space="preserve">AHSIR — a learned, information-theoretic sensor-routing algorithm (Eq. 7), not a static entropy threshold.</w:t>
      </w:r>
    </w:p>
    <w:p>
      <w:pPr>
        <w:pStyle w:val="ListParagraph"/>
        <w:numPr>
          <w:ilvl w:val="0"/>
          <w:numId w:val="1"/>
        </w:numPr>
        <w:spacing w:after="70"/>
      </w:pPr>
      <w:r>
        <w:rPr>
          <w:rFonts w:ascii="Calibri" w:cs="Calibri" w:eastAsia="Calibri" w:hAnsi="Calibri"/>
          <w:sz w:val="22"/>
          <w:szCs w:val="22"/>
        </w:rPr>
        <w:t xml:space="preserve">Dimension-Aware Cross-Modal Gating — fusion weights are computed per state-dimension, not one weight per modality, so a sensor can be trusted for engagement but distrusted for stress within the same cycle.</w:t>
      </w:r>
    </w:p>
    <w:p>
      <w:pPr>
        <w:pStyle w:val="ListParagraph"/>
        <w:numPr>
          <w:ilvl w:val="0"/>
          <w:numId w:val="1"/>
        </w:numPr>
        <w:spacing w:after="70"/>
      </w:pPr>
      <w:r>
        <w:rPr>
          <w:rFonts w:ascii="Calibri" w:cs="Calibri" w:eastAsia="Calibri" w:hAnsi="Calibri"/>
          <w:sz w:val="22"/>
          <w:szCs w:val="22"/>
        </w:rPr>
        <w:t xml:space="preserve">Neural Episodic Memory Retrieval — a learned, content-addressable memory that recalls the most relevant past context (e.g., "previous Monday mornings"), not just the most recent one.</w:t>
      </w:r>
    </w:p>
    <w:p>
      <w:pPr>
        <w:pStyle w:val="ListParagraph"/>
        <w:numPr>
          <w:ilvl w:val="0"/>
          <w:numId w:val="1"/>
        </w:numPr>
        <w:spacing w:after="70"/>
      </w:pPr>
      <w:r>
        <w:rPr>
          <w:rFonts w:ascii="Calibri" w:cs="Calibri" w:eastAsia="Calibri" w:hAnsi="Calibri"/>
          <w:sz w:val="22"/>
          <w:szCs w:val="22"/>
        </w:rPr>
        <w:t xml:space="preserve">A three-level Behavior Policy Engine — a rule-based safety layer, a preference-optimized adaptive policy, and a model-agnostic prompt compiler — giving any downstream LLM or robot planner a standardized behavioral interface.</w:t>
      </w:r>
    </w:p>
    <w:p>
      <w:pPr>
        <w:pStyle w:val="Heading1"/>
        <w:spacing w:after="160" w:before="320"/>
      </w:pPr>
      <w:r>
        <w:t xml:space="preserve">6. Evaluation Plan (Summary)</w:t>
      </w:r>
    </w:p>
    <w:p>
      <w:pPr>
        <w:spacing w:after="140" w:line="268"/>
        <w:jc w:val="both"/>
      </w:pPr>
      <w:r>
        <w:rPr>
          <w:rFonts w:ascii="Calibri" w:cs="Calibri" w:eastAsia="Calibri" w:hAnsi="Calibri"/>
          <w:sz w:val="22"/>
          <w:szCs w:val="22"/>
        </w:rPr>
        <w:t xml:space="preserve">Validation uses public multimodal affect datasets (IEMOCAP, CREMA-D, AffectNet, CMU-MOSEI, WESAD) for base training, plus a self-collected longitudinal pilot for personalization, an out-of-distribution split for calibration testing, and a synthetic missing-modality split for robustness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Metric</w:t>
            </w:r>
          </w:p>
        </w:tc>
        <w:tc>
          <w:tcPr>
            <w:tcW w:type="dxa" w:w="4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Validates</w:t>
            </w:r>
          </w:p>
        </w:tc>
      </w:tr>
      <w:tr>
        <w:tc>
          <w:tcPr>
            <w:tcW w:type="dxa" w:w="4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State-estimation accuracy (CCC)</w:t>
            </w:r>
          </w:p>
        </w:tc>
        <w:tc>
          <w:tcPr>
            <w:tcW w:type="dxa" w:w="4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Core prediction quality (Eq. 1)</w:t>
            </w:r>
          </w:p>
        </w:tc>
      </w:tr>
      <w:tr>
        <w:tc>
          <w:tcPr>
            <w:tcW w:type="dxa" w:w="4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Expected Calibration Error</w:t>
            </w:r>
          </w:p>
        </w:tc>
        <w:tc>
          <w:tcPr>
            <w:tcW w:type="dxa" w:w="4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Reliability of the uncertainty score (Eq. 2)</w:t>
            </w:r>
          </w:p>
        </w:tc>
      </w:tr>
      <w:tr>
        <w:tc>
          <w:tcPr>
            <w:tcW w:type="dxa" w:w="4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Energy / latency per cycle</w:t>
            </w:r>
          </w:p>
        </w:tc>
        <w:tc>
          <w:tcPr>
            <w:tcW w:type="dxa" w:w="4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UGAPR's resource-aware routing claim (Eq. 7)</w:t>
            </w:r>
          </w:p>
        </w:tc>
      </w:tr>
      <w:tr>
        <w:tc>
          <w:tcPr>
            <w:tcW w:type="dxa" w:w="4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Personalization deviation accuracy</w:t>
            </w:r>
          </w:p>
        </w:tc>
        <w:tc>
          <w:tcPr>
            <w:tcW w:type="dxa" w:w="4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AMM / Eq. 10</w:t>
            </w:r>
          </w:p>
        </w:tc>
      </w:tr>
      <w:tr>
        <w:tc>
          <w:tcPr>
            <w:tcW w:type="dxa" w:w="4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Interaction Quality (appropriateness, satisfaction, task completion)</w:t>
            </w:r>
          </w:p>
        </w:tc>
        <w:tc>
          <w:tcPr>
            <w:tcW w:type="dxa" w:w="4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ABPN's behavioral output (Eq. 12)</w:t>
            </w:r>
          </w:p>
        </w:tc>
      </w:tr>
    </w:tbl>
    <w:p>
      <w:pPr>
        <w:spacing w:after="200" w:before="60"/>
        <w:jc w:val="center"/>
      </w:pPr>
      <w:r>
        <w:rPr>
          <w:rFonts w:ascii="Calibri" w:cs="Calibri" w:eastAsia="Calibri" w:hAnsi="Calibri"/>
          <w:i/>
          <w:iCs/>
          <w:sz w:val="19"/>
          <w:szCs w:val="19"/>
        </w:rPr>
        <w:t xml:space="preserve">Table 3 — Condensed metric suite; the full document specifies ten metrics and a per-mechanism ablation for each pillar.</w:t>
      </w:r>
    </w:p>
    <w:p>
      <w:pPr>
        <w:spacing w:after="140" w:line="268"/>
        <w:jc w:val="both"/>
      </w:pPr>
      <w:r>
        <w:rPr>
          <w:rFonts w:ascii="Calibri" w:cs="Calibri" w:eastAsia="Calibri" w:hAnsi="Calibri"/>
          <w:sz w:val="22"/>
          <w:szCs w:val="22"/>
        </w:rPr>
        <w:t xml:space="preserve">The central result to demonstrate is an accuracy-vs-energy trade-off curve: AHSIR should reach near always-on accuracy while substantially reducing secondary-sensor activation and power draw.</w:t>
      </w:r>
    </w:p>
    <w:p>
      <w:pPr>
        <w:pStyle w:val="Heading1"/>
        <w:spacing w:after="160" w:before="320"/>
      </w:pPr>
      <w:r>
        <w:t xml:space="preserve">7. Proposed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Phase</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Duration</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Milestone</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1 — HSEN + baseline SER/MER</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1-2</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Working multimodal encoder and fusion baseline</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2 — HSIG + UGAPR (AHSIR core)</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3-4</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Learned active-sensing loop functional on logged data</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3 — AMM personalization</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5-6</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Baseline deviation tracking on pilot longitudinal data</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4 — ABPN behavior policy</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7-8</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Behavior-constraint generation integrated with an LLM</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5 — Edge deployment + evaluation</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9-10</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Jetson/NPU benchmark, full ablation study</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Phase 6 — Write-up and submission</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Months 11-12</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draft, patent disclosure, faculty defense</w:t>
            </w:r>
          </w:p>
        </w:tc>
      </w:tr>
    </w:tbl>
    <w:p>
      <w:pPr>
        <w:spacing w:after="200" w:before="60"/>
        <w:jc w:val="center"/>
      </w:pPr>
      <w:r>
        <w:rPr>
          <w:rFonts w:ascii="Calibri" w:cs="Calibri" w:eastAsia="Calibri" w:hAnsi="Calibri"/>
          <w:i/>
          <w:iCs/>
          <w:sz w:val="19"/>
          <w:szCs w:val="19"/>
        </w:rPr>
        <w:t xml:space="preserve">Table 4 — Indicative 12-month timeline; phases 2-4 can partially overlap given team size.</w:t>
      </w:r>
    </w:p>
    <w:p>
      <w:pPr>
        <w:pStyle w:val="Heading1"/>
        <w:spacing w:after="160" w:before="320"/>
      </w:pPr>
      <w:r>
        <w:t xml:space="preserve">8. Expected Outcomes and Deliverables</w:t>
      </w:r>
    </w:p>
    <w:p>
      <w:pPr>
        <w:pStyle w:val="ListParagraph"/>
        <w:numPr>
          <w:ilvl w:val="0"/>
          <w:numId w:val="1"/>
        </w:numPr>
        <w:spacing w:after="70"/>
      </w:pPr>
      <w:r>
        <w:rPr>
          <w:rFonts w:ascii="Calibri" w:cs="Calibri" w:eastAsia="Calibri" w:hAnsi="Calibri"/>
          <w:sz w:val="22"/>
          <w:szCs w:val="22"/>
        </w:rPr>
        <w:t xml:space="preserve">A working AHSEF prototype: multimodal perception, active sensing, personalization, and behavior adaptation running on a single edge device.</w:t>
      </w:r>
    </w:p>
    <w:p>
      <w:pPr>
        <w:pStyle w:val="ListParagraph"/>
        <w:numPr>
          <w:ilvl w:val="0"/>
          <w:numId w:val="1"/>
        </w:numPr>
        <w:spacing w:after="70"/>
      </w:pPr>
      <w:r>
        <w:rPr>
          <w:rFonts w:ascii="Calibri" w:cs="Calibri" w:eastAsia="Calibri" w:hAnsi="Calibri"/>
          <w:sz w:val="22"/>
          <w:szCs w:val="22"/>
        </w:rPr>
        <w:t xml:space="preserve">One flagship algorithm paper on AHSIR (HSIG + UGAPR), benchmarked on the accuracy-energy trade-off against always-on multimodal fusion.</w:t>
      </w:r>
    </w:p>
    <w:p>
      <w:pPr>
        <w:pStyle w:val="ListParagraph"/>
        <w:numPr>
          <w:ilvl w:val="0"/>
          <w:numId w:val="1"/>
        </w:numPr>
        <w:spacing w:after="70"/>
      </w:pPr>
      <w:r>
        <w:rPr>
          <w:rFonts w:ascii="Calibri" w:cs="Calibri" w:eastAsia="Calibri" w:hAnsi="Calibri"/>
          <w:sz w:val="22"/>
          <w:szCs w:val="22"/>
        </w:rPr>
        <w:t xml:space="preserve">A patent disclosure covering AHSIR's routing mechanism, the memory-retrieval mechanism, and the behavior-constraint compiler.</w:t>
      </w:r>
    </w:p>
    <w:p>
      <w:pPr>
        <w:pStyle w:val="ListParagraph"/>
        <w:numPr>
          <w:ilvl w:val="0"/>
          <w:numId w:val="1"/>
        </w:numPr>
        <w:spacing w:after="70"/>
      </w:pPr>
      <w:r>
        <w:rPr>
          <w:rFonts w:ascii="Calibri" w:cs="Calibri" w:eastAsia="Calibri" w:hAnsi="Calibri"/>
          <w:sz w:val="22"/>
          <w:szCs w:val="22"/>
        </w:rPr>
        <w:t xml:space="preserve">A full technical document (survey, formulation, algorithms, ablations) already drafted and available for detailed review.</w:t>
      </w:r>
    </w:p>
    <w:p>
      <w:pPr>
        <w:pStyle w:val="Heading2"/>
        <w:spacing w:after="120" w:before="240"/>
      </w:pPr>
      <w:r>
        <w:t xml:space="preserve">Request for Faculty Guidance</w:t>
      </w:r>
    </w:p>
    <w:p>
      <w:pPr>
        <w:spacing w:after="140" w:line="268"/>
        <w:jc w:val="both"/>
      </w:pPr>
      <w:r>
        <w:rPr>
          <w:rFonts w:ascii="Calibri" w:cs="Calibri" w:eastAsia="Calibri" w:hAnsi="Calibri"/>
          <w:sz w:val="22"/>
          <w:szCs w:val="22"/>
        </w:rPr>
        <w:t xml:space="preserve">Feedback is particularly requested on: (i) scope feasibility within the proposed timeline, (ii) access to edge hardware (Jetson-class or equivalent) for Phase 5, (iii) IRB/ethics requirements for the longitudinal personalization pilot in Phase 3, and (iv) whether the patent disclosure should be filed before or after the flagship paper submission.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AHSEF — Proposal Summary for Faculty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40"/>
    </w:pPr>
    <w:rPr>
      <w:rFonts w:ascii="Calibri" w:cs="Calibri" w:eastAsia="Calibri" w:hAnsi="Calibri"/>
      <w:b/>
      <w:bCs/>
      <w:color w:val="1F4E79"/>
      <w:sz w:val="28"/>
      <w:szCs w:val="28"/>
    </w:rPr>
  </w:style>
  <w:style w:type="paragraph" w:styleId="Heading2">
    <w:name w:val="Heading 2"/>
    <w:basedOn w:val="Normal"/>
    <w:next w:val="Normal"/>
    <w:qFormat/>
    <w:rPr>
      <w:rFonts w:ascii="Calibri" w:cs="Calibri" w:eastAsia="Calibri" w:hAnsi="Calibri"/>
      <w:b/>
      <w:bCs/>
      <w:color w:val="2E75B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2026-07-12T10:10:27.439Z</dcterms:created>
  <dcterms:modified xsi:type="dcterms:W3CDTF">2026-07-12T10:10:27.452Z</dcterms:modified>
</cp:coreProperties>
</file>

<file path=docProps/custom.xml><?xml version="1.0" encoding="utf-8"?>
<Properties xmlns="http://schemas.openxmlformats.org/officeDocument/2006/custom-properties" xmlns:vt="http://schemas.openxmlformats.org/officeDocument/2006/docPropsVTypes"/>
</file>