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F4E79"/>
          <w:sz w:val="56"/>
          <w:szCs w:val="56"/>
        </w:rPr>
        <w:t xml:space="preserve">AHSEF</w:t>
      </w:r>
    </w:p>
    <w:p>
      <w:pPr>
        <w:spacing w:after="300"/>
        <w:jc w:val="center"/>
      </w:pPr>
      <w:r>
        <w:rPr>
          <w:rFonts w:ascii="Calibri" w:cs="Calibri" w:eastAsia="Calibri" w:hAnsi="Calibri"/>
          <w:b/>
          <w:bCs/>
          <w:sz w:val="32"/>
          <w:szCs w:val="32"/>
        </w:rPr>
        <w:t xml:space="preserve">Technical Implementation Plan</w:t>
      </w:r>
    </w:p>
    <w:p>
      <w:pPr>
        <w:spacing w:after="500"/>
        <w:jc w:val="center"/>
      </w:pPr>
      <w:r>
        <w:rPr>
          <w:rFonts w:ascii="Calibri" w:cs="Calibri" w:eastAsia="Calibri" w:hAnsi="Calibri"/>
          <w:i/>
          <w:iCs/>
          <w:sz w:val="24"/>
          <w:szCs w:val="24"/>
        </w:rPr>
        <w:t xml:space="preserve">Model and Tooling Choices per Pillar, Edge-Deployment Strategy, and a Comparative Survey of Current Research Papers and Patents</w:t>
      </w:r>
    </w:p>
    <w:p>
      <w:pPr>
        <w:spacing w:before="300"/>
        <w:jc w:val="center"/>
      </w:pPr>
      <w:r>
        <w:rPr>
          <w:rFonts w:ascii="Calibri" w:cs="Calibri" w:eastAsia="Calibri" w:hAnsi="Calibri"/>
          <w:color w:val="2E75B6"/>
          <w:sz w:val="21"/>
          <w:szCs w:val="21"/>
        </w:rPr>
        <w:t xml:space="preserve">Companion document to the AHSEF Research Proposal (five pillars: HSEN · HSIG · UGAPR · AMM · ABPN; flagship algorithm: AHSIR)</w:t>
      </w:r>
    </w:p>
    <w:p>
      <w:pPr>
        <w:spacing w:before="900"/>
        <w:jc w:val="center"/>
      </w:pPr>
      <w:r>
        <w:rPr>
          <w:rFonts w:ascii="Calibri" w:cs="Calibri" w:eastAsia="Calibri" w:hAnsi="Calibri"/>
          <w:b/>
          <w:bCs/>
          <w:sz w:val="20"/>
          <w:szCs w:val="20"/>
        </w:rPr>
        <w:t xml:space="preserve">Version 1.0 — Implementation &amp; Survey Draft</w:t>
      </w:r>
    </w:p>
    <w:p>
      <w:pPr>
        <w:spacing w:before="100"/>
        <w:jc w:val="center"/>
      </w:pPr>
      <w:r>
        <w:rPr>
          <w:rFonts w:ascii="Calibri" w:cs="Calibri" w:eastAsia="Calibri" w:hAnsi="Calibri"/>
          <w:i/>
          <w:iCs/>
          <w:sz w:val="19"/>
          <w:szCs w:val="19"/>
        </w:rPr>
        <w:t xml:space="preserve">The survey section is grounded in a live literature and patent search conducted at time of writing; sources are listed in the References section.</w:t>
      </w:r>
    </w:p>
    <w:p>
      <w:r>
        <w:br w:type="page"/>
      </w:r>
    </w:p>
    <w:p>
      <w:pPr>
        <w:pStyle w:val="Heading1"/>
        <w:spacing w:after="200"/>
      </w:pPr>
      <w:r>
        <w:t xml:space="preserve">Purpose and Scope</w:t>
      </w:r>
    </w:p>
    <w:p>
      <w:pPr>
        <w:spacing w:after="160" w:line="276"/>
        <w:jc w:val="both"/>
      </w:pPr>
      <w:r>
        <w:rPr>
          <w:rFonts w:ascii="Calibri" w:cs="Calibri" w:eastAsia="Calibri" w:hAnsi="Calibri"/>
          <w:sz w:val="22"/>
          <w:szCs w:val="22"/>
        </w:rPr>
        <w:t xml:space="preserve">This document answers two practical questions the research proposal does not: (1) for each of AHSEF's five pillars, which specific models, libraries, and training methodologies should actually be used to build it, and why those choices maximize efficiency (edge latency, memory, energy) and effectiveness (accuracy, calibration, personalization quality) rather than simply being the most well-known option; and (2) how AHSEF's proposed design compares against what has actually been published — in peer-reviewed papers, preprints, and patents — as of the time of writing, so that novelty claims are checked against real prior art rather than only against the general categories described in the literature-survey chapter of the main document.</w:t>
      </w:r>
    </w:p>
    <w:p>
      <w:pPr>
        <w:spacing w:after="160" w:line="276"/>
        <w:jc w:val="both"/>
      </w:pPr>
      <w:r>
        <w:rPr>
          <w:rFonts w:ascii="Calibri" w:cs="Calibri" w:eastAsia="Calibri" w:hAnsi="Calibri"/>
          <w:sz w:val="22"/>
          <w:szCs w:val="22"/>
        </w:rPr>
        <w:t xml:space="preserve">Section 2 gives a cross-cutting engineering stack summary. Section 3 gives a per-pillar implementation plan. Section 4 is a dedicated chapter on DA-DCG, the current largest single piece of novel engineering in the framework. Section 5 covers edge-deployment strategy, including an estimated per-component latency budget. Section 6 gives a month-by-month implementation timeline starting from the smallest working end-to-end prototype. Section 7 is the comparative survey: a search-grounded table of recent papers and patents, organized by pillar, with an explicit statement of where each one overlaps with AHSEF and where it does not. Section 8 gives a feasibility and risk assessment. Section 9 lists the sources used.</w:t>
      </w:r>
    </w:p>
    <w:p>
      <w:r>
        <w:br w:type="page"/>
      </w: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200"/>
      </w:pPr>
      <w:r>
        <w:t xml:space="preserve">2. Engineering Stack Overview</w:t>
      </w:r>
    </w:p>
    <w:p>
      <w:pPr>
        <w:spacing w:after="160" w:line="276"/>
        <w:jc w:val="both"/>
      </w:pPr>
      <w:r>
        <w:rPr>
          <w:rFonts w:ascii="Calibri" w:cs="Calibri" w:eastAsia="Calibri" w:hAnsi="Calibri"/>
          <w:sz w:val="22"/>
          <w:szCs w:val="22"/>
        </w:rPr>
        <w:t xml:space="preserve">Table 2.1 summarizes the recommended stack before the per-pillar detail in Section 3. The guiding principle throughout is to prefer small, distillable, or already-quantizable pretrained components over training anything from scratch — AHSEF's novelty is in the routing, gating, memory, and policy mechanisms that connect these components, not in the component encoders themselves (consistent with the pillar reclassification in the main research document: HSEN and AMM are supporting infrastructure, AHSIR is the flagship algorithm).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600"/>
        <w:gridCol w:w="1800"/>
      </w:tblGrid>
      <w:tr>
        <w:trPr>
          <w:tblHeader/>
        </w:trPr>
        <w:tc>
          <w:tcPr>
            <w:tcW w:type="dxa" w:w="12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Pillar</w:t>
            </w:r>
          </w:p>
        </w:tc>
        <w:tc>
          <w:tcPr>
            <w:tcW w:type="dxa" w:w="24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Primary Framework</w:t>
            </w:r>
          </w:p>
        </w:tc>
        <w:tc>
          <w:tcPr>
            <w:tcW w:type="dxa" w:w="36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Core Model Choice</w:t>
            </w:r>
          </w:p>
        </w:tc>
        <w:tc>
          <w:tcPr>
            <w:tcW w:type="dxa" w:w="18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Deployment Format</w:t>
            </w:r>
          </w:p>
        </w:tc>
      </w:tr>
      <w:tr>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HSEN</w:t>
            </w:r>
          </w:p>
        </w:tc>
        <w:tc>
          <w:tcPr>
            <w:tcW w:type="dxa" w:w="24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PyTorch + HuggingFace Transformers</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Distilled audio encoder (Emotion2Vec / Wav2Vec2-base) + lightweight vision (YOLOv11n / MediaPipe landmarks) + small cross-attention fusion head</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ONNX → TensorRT (FP16/INT8)</w:t>
            </w:r>
          </w:p>
        </w:tc>
      </w:tr>
      <w:tr>
        <w:tc>
          <w:tcPr>
            <w:tcW w:type="dxa" w:w="12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HSIG</w:t>
            </w:r>
          </w:p>
        </w:tc>
        <w:tc>
          <w:tcPr>
            <w:tcW w:type="dxa" w:w="24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PyTorch (small MLP/transformer head)</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g_θ: 2-4 layer MLP over state+modality embeddings</w:t>
            </w:r>
          </w:p>
        </w:tc>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ONNX, runs alongside HSEN</w:t>
            </w:r>
          </w:p>
        </w:tc>
      </w:tr>
      <w:tr>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UGAPR</w:t>
            </w:r>
          </w:p>
        </w:tc>
        <w:tc>
          <w:tcPr>
            <w:tcW w:type="dxa" w:w="24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Plain Python / NumPy</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Closed-form argmax over ≤4 candidate modalities</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Native — negligible cost</w:t>
            </w:r>
          </w:p>
        </w:tc>
      </w:tr>
      <w:tr>
        <w:tc>
          <w:tcPr>
            <w:tcW w:type="dxa" w:w="12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AMM</w:t>
            </w:r>
          </w:p>
        </w:tc>
        <w:tc>
          <w:tcPr>
            <w:tcW w:type="dxa" w:w="24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FAISS / usearch (on-device ANN) + PyTorch heads</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Key/value/query MLPs (NEMR) + running-statistics baseline</w:t>
            </w:r>
          </w:p>
        </w:tc>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SQLite/FAISS index on-device</w:t>
            </w:r>
          </w:p>
        </w:tc>
      </w:tr>
      <w:tr>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ABPN</w:t>
            </w:r>
          </w:p>
        </w:tc>
        <w:tc>
          <w:tcPr>
            <w:tcW w:type="dxa" w:w="24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HuggingFace TRL (DPOTrainer) or a custom Bradley-Terry + DPO loop</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Small instruction-tuned policy model or classifier head over structured constraints</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ONNX/TensorRT, or hosted if paired with a cloud LLM</w:t>
            </w:r>
          </w:p>
        </w:tc>
      </w:tr>
    </w:tbl>
    <w:p>
      <w:pPr>
        <w:spacing w:after="240" w:before="60"/>
        <w:jc w:val="center"/>
      </w:pPr>
      <w:r>
        <w:rPr>
          <w:rFonts w:ascii="Calibri" w:cs="Calibri" w:eastAsia="Calibri" w:hAnsi="Calibri"/>
          <w:i/>
          <w:iCs/>
          <w:sz w:val="20"/>
          <w:szCs w:val="20"/>
        </w:rPr>
        <w:t xml:space="preserve">Table 2.1 — Recommended framework and model choice per pillar.</w:t>
      </w:r>
    </w:p>
    <w:p>
      <w:pPr>
        <w:pStyle w:val="Heading1"/>
        <w:pageBreakBefore/>
        <w:spacing w:after="200" w:before="200"/>
      </w:pPr>
      <w:r>
        <w:t xml:space="preserve">3. Per-Pillar Implementation Plan</w:t>
      </w:r>
    </w:p>
    <w:p>
      <w:pPr>
        <w:pStyle w:val="Heading2"/>
        <w:spacing w:after="140" w:before="280"/>
      </w:pPr>
      <w:r>
        <w:t xml:space="preserve">3.1 HSEN — Human State Estimation Network</w:t>
      </w:r>
    </w:p>
    <w:p>
      <w:pPr>
        <w:pStyle w:val="Heading3"/>
        <w:spacing w:after="100" w:before="220"/>
      </w:pPr>
      <w:r>
        <w:t xml:space="preserve">What to build</w:t>
      </w:r>
    </w:p>
    <w:p>
      <w:pPr>
        <w:pStyle w:val="ListParagraph"/>
        <w:numPr>
          <w:ilvl w:val="0"/>
          <w:numId w:val="1"/>
        </w:numPr>
        <w:spacing w:after="80"/>
      </w:pPr>
      <w:r>
        <w:rPr>
          <w:rFonts w:ascii="Calibri" w:cs="Calibri" w:eastAsia="Calibri" w:hAnsi="Calibri"/>
          <w:sz w:val="22"/>
          <w:szCs w:val="22"/>
        </w:rPr>
        <w:t xml:space="preserve">Audio backbone: a distilled, inference-efficient speech representation model rather than full Wav2Vec2/HuBERT-large. Emotion2Vec (used in recent edge-deployed MER work) or Wav2Vec2-base are both viable; Whisper's encoder-only path is a reasonable alternative if ASR-derived semantic content is also needed downstream.</w:t>
      </w:r>
    </w:p>
    <w:p>
      <w:pPr>
        <w:pStyle w:val="ListParagraph"/>
        <w:numPr>
          <w:ilvl w:val="0"/>
          <w:numId w:val="1"/>
        </w:numPr>
        <w:spacing w:after="80"/>
      </w:pPr>
      <w:r>
        <w:rPr>
          <w:rFonts w:ascii="Calibri" w:cs="Calibri" w:eastAsia="Calibri" w:hAnsi="Calibri"/>
          <w:sz w:val="22"/>
          <w:szCs w:val="22"/>
        </w:rPr>
        <w:t xml:space="preserve">Vision backbone: MediaPipe Face Mesh / Pose Landmarker for landmark-level features (cheapest), or YOLOv11n / RT-DETR-nano when scene-level detection is also needed. Avoid full YOLO-large variants — benchmarking on Jetson Orin NX shows large detector variants cost materially more latency and power per frame for a task where only facial/postural landmarks are actually needed.</w:t>
      </w:r>
    </w:p>
    <w:p>
      <w:pPr>
        <w:pStyle w:val="ListParagraph"/>
        <w:numPr>
          <w:ilvl w:val="0"/>
          <w:numId w:val="1"/>
        </w:numPr>
        <w:spacing w:after="80"/>
      </w:pPr>
      <w:r>
        <w:rPr>
          <w:rFonts w:ascii="Calibri" w:cs="Calibri" w:eastAsia="Calibri" w:hAnsi="Calibri"/>
          <w:sz w:val="22"/>
          <w:szCs w:val="22"/>
        </w:rPr>
        <w:t xml:space="preserve">Text/context backbone (if conversation transcript is available): DistilRoBERTa or an equivalently distilled sentence-embedding model, not a full LLM — the text signal here is a state-estimation feature, not a generation target.</w:t>
      </w:r>
    </w:p>
    <w:p>
      <w:pPr>
        <w:pStyle w:val="ListParagraph"/>
        <w:numPr>
          <w:ilvl w:val="0"/>
          <w:numId w:val="1"/>
        </w:numPr>
        <w:spacing w:after="80"/>
      </w:pPr>
      <w:r>
        <w:rPr>
          <w:rFonts w:ascii="Calibri" w:cs="Calibri" w:eastAsia="Calibri" w:hAnsi="Calibri"/>
          <w:sz w:val="22"/>
          <w:szCs w:val="22"/>
        </w:rPr>
        <w:t xml:space="preserve">Fusion: HSEN's fusion head is Dimension-Aware, Temporally-Smoothed Dynamic Cross-Modal Gating (DA-DCG). Because DA-DCG is now AHSEF's largest single piece of novel engineering — larger than HSIG's estimator — it is given its own dedicated chapter (Section 4) rather than being summarized here as one bullet among many.</w:t>
      </w:r>
    </w:p>
    <w:p>
      <w:pPr>
        <w:pStyle w:val="Heading3"/>
        <w:spacing w:after="100" w:before="220"/>
      </w:pPr>
      <w:r>
        <w:t xml:space="preserve">Why this maximizes efficiency and effectiveness</w:t>
      </w:r>
    </w:p>
    <w:p>
      <w:pPr>
        <w:spacing w:after="160" w:line="276"/>
        <w:jc w:val="both"/>
      </w:pPr>
      <w:r>
        <w:rPr>
          <w:rFonts w:ascii="Calibri" w:cs="Calibri" w:eastAsia="Calibri" w:hAnsi="Calibri"/>
          <w:sz w:val="22"/>
          <w:szCs w:val="22"/>
        </w:rPr>
        <w:t xml:space="preserve">The closest published architecture to HSEN is Husformer, a cross-modal-transformer-plus-self-attention fusion model evaluated on WESAD, DEAP, and two cognitive-load datasets (MOCAS, CogLoad) for exactly the task HSEN targets — continuous human state, not discrete emotion. Husformer validates that cross-modal transformer fusion outperforms single-modality and naive fusion baselines on this task family, which supports using a transformer-style fusion backbone rather than simple concatenation. HSEN's differentiator over Husformer is that its gate is driven by HSIG's information-gain estimate per dimension (Eq. 26-27) rather than being purely data-learned attention, and it degrades gracefully when a modality is inactive (which Husformer, as an always-on fusion model, does not need to handle).</w:t>
      </w:r>
    </w:p>
    <w:p>
      <w:pPr>
        <w:spacing w:after="160" w:line="276"/>
        <w:jc w:val="both"/>
      </w:pPr>
      <w:r>
        <w:rPr>
          <w:rFonts w:ascii="Calibri" w:cs="Calibri" w:eastAsia="Calibri" w:hAnsi="Calibri"/>
          <w:sz w:val="22"/>
          <w:szCs w:val="22"/>
        </w:rPr>
        <w:t xml:space="preserve">A separate 2026 paper on edge-deployed, privacy-preserving MER validates the specific backbone choices recommended above — Emotion2Vec for speech, a ResNet-based facial model, and DistilRoBERTa for text, each chosen explicitly for inference efficiency rather than peak accuracy — and pairs them with a Dempster-Shafer/Dirichlet fusion mechanism for uncertainty. This confirms the backbone-selection strategy; AHSEF differs by using the uncertainty output to drive active sensor routing (UGAPR) and dimension-specific fusion weighting (DA-DCG) rather than only reporting a calibrated confidence alongside a static prediction.</w:t>
      </w:r>
    </w:p>
    <w:p>
      <w:pPr>
        <w:pStyle w:val="Heading2"/>
        <w:spacing w:after="140" w:before="280"/>
      </w:pPr>
      <w:r>
        <w:t xml:space="preserve">3.2 Human State Space: Why These Seven Variables</w:t>
      </w:r>
    </w:p>
    <w:p>
      <w:pPr>
        <w:spacing w:after="160" w:line="276"/>
        <w:jc w:val="both"/>
      </w:pPr>
      <w:r>
        <w:rPr>
          <w:rFonts w:ascii="Calibri" w:cs="Calibri" w:eastAsia="Calibri" w:hAnsi="Calibri"/>
          <w:sz w:val="22"/>
          <w:szCs w:val="22"/>
        </w:rPr>
        <w:t xml:space="preserve">Before specifying how HSEN estimates s = [v, a, σ, f, c, e, u], it is worth stating explicitly why these seven dimensions and not some other set — a question reviewers consistently raise and that a purely architectural description does not answer. Each dimension is grounded in an established measurement tradition rather than chosen for convenience, summarized in Table 3.1.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00"/>
      </w:tblGrid>
      <w:tr>
        <w:trPr>
          <w:tblHeader/>
        </w:trPr>
        <w:tc>
          <w:tcPr>
            <w:tcW w:type="dxa" w:w="22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Dimension</w:t>
            </w:r>
          </w:p>
        </w:tc>
        <w:tc>
          <w:tcPr>
            <w:tcW w:type="dxa" w:w="33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Psychological / Measurement Grounding</w:t>
            </w:r>
          </w:p>
        </w:tc>
        <w:tc>
          <w:tcPr>
            <w:tcW w:type="dxa" w:w="35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Established Instrument</w:t>
            </w:r>
          </w:p>
        </w:tc>
      </w:tr>
      <w:tr>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Valence (v), Arousal (a)</w:t>
            </w:r>
          </w:p>
        </w:tc>
        <w:tc>
          <w:tcPr>
            <w:tcW w:type="dxa" w:w="33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Russell's Circumplex Model of Affect</w:t>
            </w:r>
          </w:p>
        </w:tc>
        <w:tc>
          <w:tcPr>
            <w:tcW w:type="dxa" w:w="35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Self-report circumplex; validated across facial/vocal affect corpora (DEAP, IEMOCAP)</w:t>
            </w:r>
          </w:p>
        </w:tc>
      </w:tr>
      <w:tr>
        <w:tc>
          <w:tcPr>
            <w:tcW w:type="dxa" w:w="22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Stress (σ)</w:t>
            </w:r>
          </w:p>
        </w:tc>
        <w:tc>
          <w:tcPr>
            <w:tcW w:type="dxa" w:w="33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Psychophysiological stress literature</w:t>
            </w:r>
          </w:p>
        </w:tc>
        <w:tc>
          <w:tcPr>
            <w:tcW w:type="dxa" w:w="35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WESAD, SWELL (GSR, HRV, cortisol-correlated proxies)</w:t>
            </w:r>
          </w:p>
        </w:tc>
      </w:tr>
      <w:tr>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Fatigue (f)</w:t>
            </w:r>
          </w:p>
        </w:tc>
        <w:tc>
          <w:tcPr>
            <w:tcW w:type="dxa" w:w="33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Cognitive fatigue / vigilance research</w:t>
            </w:r>
          </w:p>
        </w:tc>
        <w:tc>
          <w:tcPr>
            <w:tcW w:type="dxa" w:w="35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Karolinska Sleepiness Scale; PERCLOS-style vision proxies</w:t>
            </w:r>
          </w:p>
        </w:tc>
      </w:tr>
      <w:tr>
        <w:tc>
          <w:tcPr>
            <w:tcW w:type="dxa" w:w="22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Cognitive load (c)</w:t>
            </w:r>
          </w:p>
        </w:tc>
        <w:tc>
          <w:tcPr>
            <w:tcW w:type="dxa" w:w="33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Cognitive load theory</w:t>
            </w:r>
          </w:p>
        </w:tc>
        <w:tc>
          <w:tcPr>
            <w:tcW w:type="dxa" w:w="35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NASA-TLX; pupillometry / response-time proxies; validated in Husformer's MOCAS/CogLoad evaluation</w:t>
            </w:r>
          </w:p>
        </w:tc>
      </w:tr>
      <w:tr>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Engagement (e)</w:t>
            </w:r>
          </w:p>
        </w:tc>
        <w:tc>
          <w:tcPr>
            <w:tcW w:type="dxa" w:w="33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Attention/engagement research in HCI and education</w:t>
            </w:r>
          </w:p>
        </w:tc>
        <w:tc>
          <w:tcPr>
            <w:tcW w:type="dxa" w:w="35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Eye-gaze dwell time, dialogue-turn responsiveness</w:t>
            </w:r>
          </w:p>
        </w:tc>
      </w:tr>
      <w:tr>
        <w:tc>
          <w:tcPr>
            <w:tcW w:type="dxa" w:w="22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Uncertainty (u)</w:t>
            </w:r>
          </w:p>
        </w:tc>
        <w:tc>
          <w:tcPr>
            <w:tcW w:type="dxa" w:w="33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Not a psychological state — a model-confidence term</w:t>
            </w:r>
          </w:p>
        </w:tc>
        <w:tc>
          <w:tcPr>
            <w:tcW w:type="dxa" w:w="35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Derived internally (Eq. 2), never self-reported</w:t>
            </w:r>
          </w:p>
        </w:tc>
      </w:tr>
    </w:tbl>
    <w:p>
      <w:pPr>
        <w:spacing w:after="240" w:before="60"/>
        <w:jc w:val="center"/>
      </w:pPr>
      <w:r>
        <w:rPr>
          <w:rFonts w:ascii="Calibri" w:cs="Calibri" w:eastAsia="Calibri" w:hAnsi="Calibri"/>
          <w:i/>
          <w:iCs/>
          <w:sz w:val="20"/>
          <w:szCs w:val="20"/>
        </w:rPr>
        <w:t xml:space="preserve">Table 3.1 — Grounding for each dimension of the human-state vector; this also defines the labeling protocol for HSEN's training data (v/a via circumplex rating, σ via WESAD/SWELL-style proxies, f via KSS/PERCLOS, c via NASA-TLX, e via behavioral proxies).</w:t>
      </w:r>
    </w:p>
    <w:p>
      <w:pPr>
        <w:spacing w:after="160" w:line="276"/>
        <w:jc w:val="both"/>
      </w:pPr>
      <w:r>
        <w:rPr>
          <w:rFonts w:ascii="Calibri" w:cs="Calibri" w:eastAsia="Calibri" w:hAnsi="Calibri"/>
          <w:sz w:val="22"/>
          <w:szCs w:val="22"/>
        </w:rPr>
        <w:t xml:space="preserve">Two states a reviewer will likely ask about by name — confusion and anxiety — are deliberately not included as additional primitive axes. Prior affective-computing work models both as regions or trajectories in (valence, arousal, cognitive-load) space rather than as independent measurable constructs (e.g., confusion ≈ low valence, moderate-to-high cognitive load, moderate arousal; anxiety ≈ negative valence, high arousal, high stress). Deriving them this way keeps the state vector minimal and every dimension independently measurable against a real instrument, rather than growing the vector every time a new named emotion is requested.</w:t>
      </w:r>
    </w:p>
    <w:p>
      <w:pPr>
        <w:pStyle w:val="Heading2"/>
        <w:spacing w:after="140" w:before="280"/>
      </w:pPr>
      <w:r>
        <w:t xml:space="preserve">3.3 HSIG — Human-State Information Gain</w:t>
      </w:r>
    </w:p>
    <w:p>
      <w:pPr>
        <w:pStyle w:val="Heading3"/>
        <w:spacing w:after="100" w:before="220"/>
      </w:pPr>
      <w:r>
        <w:t xml:space="preserve">What to build</w:t>
      </w:r>
    </w:p>
    <w:p>
      <w:pPr>
        <w:pStyle w:val="ListParagraph"/>
        <w:numPr>
          <w:ilvl w:val="0"/>
          <w:numId w:val="1"/>
        </w:numPr>
        <w:spacing w:after="80"/>
      </w:pPr>
      <w:r>
        <w:rPr>
          <w:rFonts w:ascii="Calibri" w:cs="Calibri" w:eastAsia="Calibri" w:hAnsi="Calibri"/>
          <w:sz w:val="22"/>
          <w:szCs w:val="22"/>
        </w:rPr>
        <w:t xml:space="preserve">A small MLP or 2-layer transformer g_θ taking (current state embedding, candidate modality identifier) and outputting a per-dimension expected information-gain vector (main document Eq. 26). This is intentionally tiny — a few hundred thousand parameters — since it runs every perception cycle.</w:t>
      </w:r>
    </w:p>
    <w:p>
      <w:pPr>
        <w:pStyle w:val="ListParagraph"/>
        <w:numPr>
          <w:ilvl w:val="0"/>
          <w:numId w:val="1"/>
        </w:numPr>
        <w:spacing w:after="80"/>
      </w:pPr>
      <w:r>
        <w:rPr>
          <w:rFonts w:ascii="Calibri" w:cs="Calibri" w:eastAsia="Calibri" w:hAnsi="Calibri"/>
          <w:sz w:val="22"/>
          <w:szCs w:val="22"/>
        </w:rPr>
        <w:t xml:space="preserve">Training data pipeline: log (state, modality-activated, realized-entropy-drop) triples during an initial always-on data-collection phase, then compute the counterfactual masking targets (Eq. 30) for free from any existing fully-multimodal corpus (e.g., CMU-MOSEI, IEMOCAP) by re-running HSEN's decoder with a modality masked at the input.</w:t>
      </w:r>
    </w:p>
    <w:p>
      <w:pPr>
        <w:pStyle w:val="ListParagraph"/>
        <w:numPr>
          <w:ilvl w:val="0"/>
          <w:numId w:val="1"/>
        </w:numPr>
        <w:spacing w:after="80"/>
      </w:pPr>
      <w:r>
        <w:rPr>
          <w:rFonts w:ascii="Calibri" w:cs="Calibri" w:eastAsia="Calibri" w:hAnsi="Calibri"/>
          <w:sz w:val="22"/>
          <w:szCs w:val="22"/>
        </w:rPr>
        <w:t xml:space="preserve">Loss: combined regression (MSE against realized/counterfactual gain) plus pairwise ranking loss (main document Eq. 19-21), both trivial to implement in PyTorch with a standard margin-ranking loss module.</w:t>
      </w:r>
    </w:p>
    <w:p>
      <w:pPr>
        <w:pStyle w:val="Heading3"/>
        <w:spacing w:after="100" w:before="220"/>
      </w:pPr>
      <w:r>
        <w:t xml:space="preserve">Why this maximizes efficiency and effectiveness</w:t>
      </w:r>
    </w:p>
    <w:p>
      <w:pPr>
        <w:spacing w:after="160" w:line="276"/>
        <w:jc w:val="both"/>
      </w:pPr>
      <w:r>
        <w:rPr>
          <w:rFonts w:ascii="Calibri" w:cs="Calibri" w:eastAsia="Calibri" w:hAnsi="Calibri"/>
          <w:sz w:val="22"/>
          <w:szCs w:val="22"/>
        </w:rPr>
        <w:t xml:space="preserve">The active-perception and active-learning literature converges on two families of approach: reinforcement-learning-based active perception (e.g., recent RL-trained viewpoint-selection policies, and active-inference/Expected-Free-Energy-guided temporal sampling for gesture recognition) and lighter, non-RL value-of-information estimators (classical near-optimal value-of-information work, and model-uncertainty-driven active learning). HSIG deliberately follows the second, lighter family rather than the RL family: an RL policy would need substantially more interaction data and online training instability that is unnecessary here, since HSIG's target (expected entropy reduction) can be estimated directly and cheaply via the counterfactual-masking procedure. This is a deliberate efficiency trade-off worth stating explicitly in the proposal, since the recent active-perception literature is dominated by RL approaches and a reviewer may otherwise ask why AHSEF does not follow suit.</w:t>
      </w:r>
    </w:p>
    <w:p>
      <w:pPr>
        <w:pStyle w:val="Heading3"/>
        <w:spacing w:after="100" w:before="220"/>
      </w:pPr>
      <w:r>
        <w:t xml:space="preserve">How Realistic Is Counterfactual Masking?</w:t>
      </w:r>
    </w:p>
    <w:p>
      <w:pPr>
        <w:spacing w:after="160" w:line="276"/>
        <w:jc w:val="both"/>
      </w:pPr>
      <w:r>
        <w:rPr>
          <w:rFonts w:ascii="Calibri" w:cs="Calibri" w:eastAsia="Calibri" w:hAnsi="Calibri"/>
          <w:sz w:val="22"/>
          <w:szCs w:val="22"/>
        </w:rPr>
        <w:t xml:space="preserve">This is a genuine limitation worth stating rather than glossing over. Zeroing (or otherwise masking) a modality's input at inference time to compute ĨG_H(m) = H(p(S|A\{m})) − H(p(S|A)) (Eq. 30) assumes the model's behavior under masking approximates its behavior under true sensor absence. In practice the two are not identical: a genuinely absent camera means no frame is ever captured, whereas a masked camera input in a fully-observed training recording still implicitly reflects a world in which the camera was present and simply excluded post-hoc — lighting, framing, and the subject's awareness of being recorded are all still baked into the rest of the recording (e.g., correlated audio cues) in a way they would not be if the camera had genuinely never been there. This is a known distribution-shift risk for any masking-based counterfactual estimator, not one specific to HSIG.</w:t>
      </w:r>
    </w:p>
    <w:p>
      <w:pPr>
        <w:spacing w:after="160" w:line="276"/>
        <w:jc w:val="both"/>
      </w:pPr>
      <w:r>
        <w:rPr>
          <w:rFonts w:ascii="Calibri" w:cs="Calibri" w:eastAsia="Calibri" w:hAnsi="Calibri"/>
          <w:sz w:val="22"/>
          <w:szCs w:val="22"/>
        </w:rPr>
        <w:t xml:space="preserve">Two concrete mitigations are recommended rather than treating this as an unaddressed risk. First, counterfactual masking (Eq. 30) is used only for pretraining g_θ, never as HSIG's final signal — Stage 2 fine-tuning on genuinely logged, live-routing episodes (Eq. 19-21), where the modality was actually absent rather than masked, corrects for this distribution shift before deployment (already specified in the main document's two-stage training procedure). Second, the data-efficiency ablation already defined in the main document (Table 17.3b) directly measures how large this gap is in practice by comparing masking-pretrained-then-fine-tuned HSIG against fine-tuning alone at matched live-data budgets; if counterfactual pretraining transfers poorly, that ablation will show a smaller-than-expected data-efficiency gain, which is itself the diagnostic for this exact concern. The claim in this document is therefore falsifiable, not assumed.</w:t>
      </w:r>
    </w:p>
    <w:p>
      <w:pPr>
        <w:pStyle w:val="Heading2"/>
        <w:spacing w:after="140" w:before="280"/>
      </w:pPr>
      <w:r>
        <w:t xml:space="preserve">3.4 UGAPR — Uncertainty-Gated Active Perception Routing</w:t>
      </w:r>
    </w:p>
    <w:p>
      <w:pPr>
        <w:pStyle w:val="Heading3"/>
        <w:spacing w:after="100" w:before="220"/>
      </w:pPr>
      <w:r>
        <w:t xml:space="preserve">What to build</w:t>
      </w:r>
    </w:p>
    <w:p>
      <w:pPr>
        <w:pStyle w:val="ListParagraph"/>
        <w:numPr>
          <w:ilvl w:val="0"/>
          <w:numId w:val="1"/>
        </w:numPr>
        <w:spacing w:after="80"/>
      </w:pPr>
      <w:r>
        <w:rPr>
          <w:rFonts w:ascii="Calibri" w:cs="Calibri" w:eastAsia="Calibri" w:hAnsi="Calibri"/>
          <w:sz w:val="22"/>
          <w:szCs w:val="22"/>
        </w:rPr>
        <w:t xml:space="preserve">A closed-form argmax over a small candidate set (typically 2-4 modalities), implemented in plain Python/NumPy — this is deliberately not a neural component; the cost/latency terms C(m), L(m) can be static, measured constants per device (profiled once at deployment) or a small lookup table adjusted by battery level.</w:t>
      </w:r>
    </w:p>
    <w:p>
      <w:pPr>
        <w:pStyle w:val="ListParagraph"/>
        <w:numPr>
          <w:ilvl w:val="0"/>
          <w:numId w:val="1"/>
        </w:numPr>
        <w:spacing w:after="80"/>
      </w:pPr>
      <w:r>
        <w:rPr>
          <w:rFonts w:ascii="Calibri" w:cs="Calibri" w:eastAsia="Calibri" w:hAnsi="Calibri"/>
          <w:sz w:val="22"/>
          <w:szCs w:val="22"/>
        </w:rPr>
        <w:t xml:space="preserve">The routing decision itself (main document Eq. 7) executes in microseconds; all of the real engineering effort in this pillar goes into HSIG's estimator (Section 3.3), not into UGAPR's decision rule.</w:t>
      </w:r>
    </w:p>
    <w:p>
      <w:pPr>
        <w:pStyle w:val="Heading3"/>
        <w:spacing w:after="100" w:before="220"/>
      </w:pPr>
      <w:r>
        <w:t xml:space="preserve">Why this maximizes efficiency and effectiveness</w:t>
      </w:r>
    </w:p>
    <w:p>
      <w:pPr>
        <w:spacing w:after="160" w:line="276"/>
        <w:jc w:val="both"/>
      </w:pPr>
      <w:r>
        <w:rPr>
          <w:rFonts w:ascii="Calibri" w:cs="Calibri" w:eastAsia="Calibri" w:hAnsi="Calibri"/>
          <w:sz w:val="22"/>
          <w:szCs w:val="22"/>
        </w:rPr>
        <w:t xml:space="preserve">Uncertainty-triggered dynamic sampling is an established general mechanism outside the affective-computing literature — for example, patented approaches to dynamic sampling-rate adjustment based on model-prediction uncertainty exist in semiconductor manufacturing and general sensor-array contexts. These confirm the general mechanism is sound engineering practice, and also confirm it is not domain-specific prior art against AHSEF: none of them are applied to continuous human-state estimation, none couple the routing decision to a personalization memory or a downstream behavioral policy, and none operate per-state-dimension. UGAPR's implementation can therefore safely be simple and closed-form — the novelty claim rests on what feeds into it (HSIG) and what consumes its output (DA-DCG, ABPN), not on the routing rule's own complexity.</w:t>
      </w:r>
    </w:p>
    <w:p>
      <w:pPr>
        <w:pStyle w:val="Heading2"/>
        <w:spacing w:after="140" w:before="280"/>
      </w:pPr>
      <w:r>
        <w:t xml:space="preserve">3.5 AMM — Adaptive Memory Module</w:t>
      </w:r>
    </w:p>
    <w:p>
      <w:pPr>
        <w:pStyle w:val="Heading3"/>
        <w:spacing w:after="100" w:before="220"/>
      </w:pPr>
      <w:r>
        <w:t xml:space="preserve">What to build</w:t>
      </w:r>
    </w:p>
    <w:p>
      <w:pPr>
        <w:pStyle w:val="ListParagraph"/>
        <w:numPr>
          <w:ilvl w:val="0"/>
          <w:numId w:val="1"/>
        </w:numPr>
        <w:spacing w:after="80"/>
      </w:pPr>
      <w:r>
        <w:rPr>
          <w:rFonts w:ascii="Calibri" w:cs="Calibri" w:eastAsia="Calibri" w:hAnsi="Calibri"/>
          <w:sz w:val="22"/>
          <w:szCs w:val="22"/>
        </w:rPr>
        <w:t xml:space="preserve">On-device vector index: FAISS (if compute budget allows) or usearch (lighter, better suited to microcontroller-class or mobile targets) for the episodic key/value store.</w:t>
      </w:r>
    </w:p>
    <w:p>
      <w:pPr>
        <w:pStyle w:val="ListParagraph"/>
        <w:numPr>
          <w:ilvl w:val="0"/>
          <w:numId w:val="1"/>
        </w:numPr>
        <w:spacing w:after="80"/>
      </w:pPr>
      <w:r>
        <w:rPr>
          <w:rFonts w:ascii="Calibri" w:cs="Calibri" w:eastAsia="Calibri" w:hAnsi="Calibri"/>
          <w:sz w:val="22"/>
          <w:szCs w:val="22"/>
        </w:rPr>
        <w:t xml:space="preserve">Neural Episodic Memory Retrieval (NEMR, main document Eq. 31-33): three small learned projection heads (h_key, h_val, h_query), each a 1-2 layer MLP, trained end-to-end against the personalization-deviation objective.</w:t>
      </w:r>
    </w:p>
    <w:p>
      <w:pPr>
        <w:pStyle w:val="ListParagraph"/>
        <w:numPr>
          <w:ilvl w:val="0"/>
          <w:numId w:val="1"/>
        </w:numPr>
        <w:spacing w:after="80"/>
      </w:pPr>
      <w:r>
        <w:rPr>
          <w:rFonts w:ascii="Calibri" w:cs="Calibri" w:eastAsia="Calibri" w:hAnsi="Calibri"/>
          <w:sz w:val="22"/>
          <w:szCs w:val="22"/>
        </w:rPr>
        <w:t xml:space="preserve">Semantic memory (compressed statistical baseline): a simple running mean/covariance update (Eq. 24), requiring no ML framework at all — plain NumPy is sufficient.</w:t>
      </w:r>
    </w:p>
    <w:p>
      <w:pPr>
        <w:pStyle w:val="ListParagraph"/>
        <w:numPr>
          <w:ilvl w:val="0"/>
          <w:numId w:val="1"/>
        </w:numPr>
        <w:spacing w:after="80"/>
      </w:pPr>
      <w:r>
        <w:rPr>
          <w:rFonts w:ascii="Calibri" w:cs="Calibri" w:eastAsia="Calibri" w:hAnsi="Calibri"/>
          <w:sz w:val="22"/>
          <w:szCs w:val="22"/>
        </w:rPr>
        <w:t xml:space="preserve">Consider a lightweight time-decayed importance score (Eq. 22-23) as the fallback path for cold-start users, exactly as already specified in the main document.</w:t>
      </w:r>
    </w:p>
    <w:p>
      <w:pPr>
        <w:pStyle w:val="Heading3"/>
        <w:spacing w:after="100" w:before="220"/>
      </w:pPr>
      <w:r>
        <w:t xml:space="preserve">Why this maximizes efficiency and effectiveness</w:t>
      </w:r>
    </w:p>
    <w:p>
      <w:pPr>
        <w:spacing w:after="160" w:line="276"/>
        <w:jc w:val="both"/>
      </w:pPr>
      <w:r>
        <w:rPr>
          <w:rFonts w:ascii="Calibri" w:cs="Calibri" w:eastAsia="Calibri" w:hAnsi="Calibri"/>
          <w:sz w:val="22"/>
          <w:szCs w:val="22"/>
        </w:rPr>
        <w:t xml:space="preserve">LLM-agent memory systems have matured substantially and provide directly reusable design patterns: Mem0 is a production-oriented scalable long-term memory system; Zep implements a temporal knowledge-graph memory architecture; HippoRAG adapts a Personal-PageRank-style retrieval mechanism over a memory graph; and MemGPT popularized an operating-system-inspired memory hierarchy (paged memory, explicit read/write operations) that directly parallels AHSEF's own operating-system framing (HSEN as kernel, AMM as memory manager). None of these systems, however, are grounded in a continuous physiological/psychological state vector — they operate over text-based conversational facts.</w:t>
      </w:r>
    </w:p>
    <w:p>
      <w:pPr>
        <w:spacing w:after="160" w:line="276"/>
        <w:jc w:val="both"/>
      </w:pPr>
      <w:r>
        <w:rPr>
          <w:rFonts w:ascii="Calibri" w:cs="Calibri" w:eastAsia="Calibri" w:hAnsi="Calibri"/>
          <w:sz w:val="22"/>
          <w:szCs w:val="22"/>
        </w:rPr>
        <w:t xml:space="preserve">The closest direct comparator is a 2025 paper on dynamic affective memory management for personalized LLM agents, which uses a Bayesian-inspired memory update that explicitly minimizes memory entropy to keep a personalization store both current and compact, evaluated on a purpose-built affective-dialogue benchmark (DABench). This validates the entropy-minimization intuition behind AMM's importance weighting and compression (Eq. 22, 24) but remains a text-only, dialogue-scoped system with no physiological grounding and no coupling to an active-sensing loop — the gap AMM is designed to fill. Building AMM on top of a FAISS/usearch index with custom NEMR heads (rather than adopting Mem0/Zep wholesale) is recommended because those systems' retrieval keys are built for text-semantic similarity, whereas NEMR's keys need to encode physiological/contextual similarity (e.g., "same time-of-week, same activity"), which requires a different key-embedding function even though the surrounding infrastructure (vector index, aging, compression) can follow the same pattern.</w:t>
      </w:r>
    </w:p>
    <w:p>
      <w:pPr>
        <w:pStyle w:val="Heading2"/>
        <w:spacing w:after="140" w:before="280"/>
      </w:pPr>
      <w:r>
        <w:t xml:space="preserve">3.6 ABPN — Adaptive Behavior Policy Network</w:t>
      </w:r>
    </w:p>
    <w:p>
      <w:pPr>
        <w:pStyle w:val="Heading3"/>
        <w:spacing w:after="100" w:before="220"/>
      </w:pPr>
      <w:r>
        <w:t xml:space="preserve">What to build</w:t>
      </w:r>
    </w:p>
    <w:p>
      <w:pPr>
        <w:pStyle w:val="ListParagraph"/>
        <w:numPr>
          <w:ilvl w:val="0"/>
          <w:numId w:val="1"/>
        </w:numPr>
        <w:spacing w:after="80"/>
      </w:pPr>
      <w:r>
        <w:rPr>
          <w:rFonts w:ascii="Calibri" w:cs="Calibri" w:eastAsia="Calibri" w:hAnsi="Calibri"/>
          <w:sz w:val="22"/>
          <w:szCs w:val="22"/>
        </w:rPr>
        <w:t xml:space="preserve">Stage 1 (behavior cloning): a small supervised model — a classifier/regressor head over the structured constraint vector, or a lightly fine-tuned small instruction model if constraints are expressed as free text — trained on an expert-authored (context → constraint) dataset.</w:t>
      </w:r>
    </w:p>
    <w:p>
      <w:pPr>
        <w:pStyle w:val="ListParagraph"/>
        <w:numPr>
          <w:ilvl w:val="0"/>
          <w:numId w:val="1"/>
        </w:numPr>
        <w:spacing w:after="80"/>
      </w:pPr>
      <w:r>
        <w:rPr>
          <w:rFonts w:ascii="Calibri" w:cs="Calibri" w:eastAsia="Calibri" w:hAnsi="Calibri"/>
          <w:sz w:val="22"/>
          <w:szCs w:val="22"/>
        </w:rPr>
        <w:t xml:space="preserve">Stage 2-3 (reward model + DPO): HuggingFace's TRL library provides a maintained, tested DPOTrainer implementation that directly supports the Bradley-Terry reward formulation and the KL-regularized objective already specified in the main document (Eq. 34-37); this should be used rather than a custom RL loop.</w:t>
      </w:r>
    </w:p>
    <w:p>
      <w:pPr>
        <w:pStyle w:val="ListParagraph"/>
        <w:numPr>
          <w:ilvl w:val="0"/>
          <w:numId w:val="1"/>
        </w:numPr>
        <w:spacing w:after="80"/>
      </w:pPr>
      <w:r>
        <w:rPr>
          <w:rFonts w:ascii="Calibri" w:cs="Calibri" w:eastAsia="Calibri" w:hAnsi="Calibri"/>
          <w:sz w:val="22"/>
          <w:szCs w:val="22"/>
        </w:rPr>
        <w:t xml:space="preserve">Level 1 (safety layer) stays rule-based and outside the learned pipeline entirely, as already specified — no ML framework needed for this layer by design.</w:t>
      </w:r>
    </w:p>
    <w:p>
      <w:pPr>
        <w:pStyle w:val="Heading3"/>
        <w:spacing w:after="100" w:before="220"/>
      </w:pPr>
      <w:r>
        <w:t xml:space="preserve">Where Do the Preferences Actually Come From? (The Reward Pipeline)</w:t>
      </w:r>
    </w:p>
    <w:p>
      <w:pPr>
        <w:spacing w:after="160" w:line="276"/>
        <w:jc w:val="both"/>
      </w:pPr>
      <w:r>
        <w:rPr>
          <w:rFonts w:ascii="Calibri" w:cs="Calibri" w:eastAsia="Calibri" w:hAnsi="Calibri"/>
          <w:sz w:val="22"/>
          <w:szCs w:val="22"/>
        </w:rPr>
        <w:t xml:space="preserve">The main document names "human annotators or an LLM judge" as the preference source but does not specify a pipeline; this is filled in here as a concrete, staged process rather than a single undifferentiated labeling step.</w:t>
      </w:r>
    </w:p>
    <w:p>
      <w:pPr>
        <w:pStyle w:val="ListParagraph"/>
        <w:numPr>
          <w:ilvl w:val="0"/>
          <w:numId w:val="1"/>
        </w:numPr>
        <w:spacing w:after="80"/>
      </w:pPr>
      <w:r>
        <w:rPr>
          <w:rFonts w:ascii="Calibri" w:cs="Calibri" w:eastAsia="Calibri" w:hAnsi="Calibri"/>
          <w:sz w:val="22"/>
          <w:szCs w:val="22"/>
        </w:rPr>
        <w:t xml:space="preserve">Step 1 — Expert seed set. A small panel of domain experts (e.g., a clinician for the healthcare goal-vector setting, an instructional designer for the education setting) authors an initial (context → constraint) dataset of perhaps 200-500 examples. This seeds Stage 1's behavior-cloning policy π_ref and defines the vocabulary of acceptable constraints.</w:t>
      </w:r>
    </w:p>
    <w:p>
      <w:pPr>
        <w:pStyle w:val="ListParagraph"/>
        <w:numPr>
          <w:ilvl w:val="0"/>
          <w:numId w:val="1"/>
        </w:numPr>
        <w:spacing w:after="80"/>
      </w:pPr>
      <w:r>
        <w:rPr>
          <w:rFonts w:ascii="Calibri" w:cs="Calibri" w:eastAsia="Calibri" w:hAnsi="Calibri"/>
          <w:sz w:val="22"/>
          <w:szCs w:val="22"/>
        </w:rPr>
        <w:t xml:space="preserve">Step 2 — LLM-judge bootstrapping. π_ref is used to generate multiple candidate constraint vectors per held-out context; an LLM judge (a separate, larger model prompted with the same expert-authored rubric used in Step 1) ranks each pair, producing a much larger volume of preference pairs than human labeling alone could afford. This is the primary source of Eq. (35)'s training pairs at reasonable cost.</w:t>
      </w:r>
    </w:p>
    <w:p>
      <w:pPr>
        <w:pStyle w:val="ListParagraph"/>
        <w:numPr>
          <w:ilvl w:val="0"/>
          <w:numId w:val="1"/>
        </w:numPr>
        <w:spacing w:after="80"/>
      </w:pPr>
      <w:r>
        <w:rPr>
          <w:rFonts w:ascii="Calibri" w:cs="Calibri" w:eastAsia="Calibri" w:hAnsi="Calibri"/>
          <w:sz w:val="22"/>
          <w:szCs w:val="22"/>
        </w:rPr>
        <w:t xml:space="preserve">Step 3 — Human validation subsample. A held-out subsample of the LLM-judge-labeled pairs (recommended: 10-15%) is independently re-labeled by two human raters; inter-rater agreement and human-vs-LLM-judge agreement (Cohen's κ) are both reported. This subsample is what makes the pipeline auditable rather than a black-box LLM-judging-itself loop, and is the same mechanism already specified for measuring Interaction Quality's R term (main document §17.8).</w:t>
      </w:r>
    </w:p>
    <w:p>
      <w:pPr>
        <w:pStyle w:val="ListParagraph"/>
        <w:numPr>
          <w:ilvl w:val="0"/>
          <w:numId w:val="1"/>
        </w:numPr>
        <w:spacing w:after="80"/>
      </w:pPr>
      <w:r>
        <w:rPr>
          <w:rFonts w:ascii="Calibri" w:cs="Calibri" w:eastAsia="Calibri" w:hAnsi="Calibri"/>
          <w:sz w:val="22"/>
          <w:szCs w:val="22"/>
        </w:rPr>
        <w:t xml:space="preserve">Step 4 — Reward model and DPO fine-tuning. The combined LLM-judge-plus-human-validated preference set trains the reward model r_ψ (Eq. 34-35), which in turn defines the DPO objective (Eq. 36) used to fine-tune π_φ away from π_ref.</w:t>
      </w:r>
    </w:p>
    <w:p>
      <w:pPr>
        <w:pStyle w:val="ListParagraph"/>
        <w:numPr>
          <w:ilvl w:val="0"/>
          <w:numId w:val="1"/>
        </w:numPr>
        <w:spacing w:after="80"/>
      </w:pPr>
      <w:r>
        <w:rPr>
          <w:rFonts w:ascii="Calibri" w:cs="Calibri" w:eastAsia="Calibri" w:hAnsi="Calibri"/>
          <w:sz w:val="22"/>
          <w:szCs w:val="22"/>
        </w:rPr>
        <w:t xml:space="preserve">Step 5 — Field feedback loop (post-deployment). Once deployed, implicit signals from Interaction Quality (task completion, satisfaction ratings) are used to periodically re-rank and refresh the preference set, rather than treating Steps 1-4 as a one-time training run.</w:t>
      </w:r>
    </w:p>
    <w:p>
      <w:pPr>
        <w:pStyle w:val="Heading3"/>
        <w:spacing w:after="100" w:before="220"/>
      </w:pPr>
      <w:r>
        <w:t xml:space="preserve">Why this maximizes efficiency and effectiveness</w:t>
      </w:r>
    </w:p>
    <w:p>
      <w:pPr>
        <w:spacing w:after="160" w:line="276"/>
        <w:jc w:val="both"/>
      </w:pPr>
      <w:r>
        <w:rPr>
          <w:rFonts w:ascii="Calibri" w:cs="Calibri" w:eastAsia="Calibri" w:hAnsi="Calibri"/>
          <w:sz w:val="22"/>
          <w:szCs w:val="22"/>
        </w:rPr>
        <w:t xml:space="preserve">A comprehensive 2024-2025 survey of DPO applications in agents and robotics confirms that standard (single-turn) DPO is the appropriate formulation for bandit-style, single-decision-point settings, while extensions such as DMPO and SDPO exist specifically for multi-turn trajectory credit assignment. ABPN's Level-2 policy is explicitly a single-turn contextual-bandit decision (main document §17.7: context observed, constraint emitted, episode ends) — this is exactly the setting standard DPO was designed for, so adopting a multi-turn variant would add unnecessary complexity. This also means TRL's off-the-shelf DPOTrainer is directly applicable without modification, which is a substantial implementation-effort saving worth noting for planning purposes.</w:t>
      </w:r>
    </w:p>
    <w:p>
      <w:pPr>
        <w:spacing w:after="160" w:line="276"/>
        <w:jc w:val="both"/>
      </w:pPr>
      <w:r>
        <w:rPr>
          <w:rFonts w:ascii="Calibri" w:cs="Calibri" w:eastAsia="Calibri" w:hAnsi="Calibri"/>
          <w:sz w:val="22"/>
          <w:szCs w:val="22"/>
        </w:rPr>
        <w:t xml:space="preserve">DPO applications specifically in embodied/robotics planning (e.g., dual-preference-optimization for task planning) confirm the pattern of a behavior-cloning warm start followed by preference fine-tuning is an established, working recipe in adjacent domains, not a novel training procedure in itself — ABPN's novelty is in what the preference labels are for (behavioral constraints conditioned on a physiological/psychological state vector) and in the goal-conditioning term g, not in the DPO mechanics.</w:t>
      </w:r>
    </w:p>
    <w:p>
      <w:pPr>
        <w:pStyle w:val="Heading1"/>
        <w:pageBreakBefore/>
        <w:spacing w:after="200" w:before="200"/>
      </w:pPr>
      <w:r>
        <w:t xml:space="preserve">4. DA-DCG: Dimension-Aware Dynamic Cross-Modal Gating</w:t>
      </w:r>
    </w:p>
    <w:p>
      <w:pPr>
        <w:spacing w:after="160" w:line="276"/>
        <w:jc w:val="both"/>
      </w:pPr>
      <w:r>
        <w:rPr>
          <w:rFonts w:ascii="Calibri" w:cs="Calibri" w:eastAsia="Calibri" w:hAnsi="Calibri"/>
          <w:sz w:val="22"/>
          <w:szCs w:val="22"/>
        </w:rPr>
        <w:t xml:space="preserve">DA-DCG is now AHSEF's largest single piece of novel engineering — larger, in terms of what must be built from scratch, than HSIG's estimator — so it is given its own chapter rather than being summarized as one implementation bullet under HSEN. This chapter covers the motivation, the exact computation, the training procedure, how its claimed advantage is validated, and an optional interpretability extension using a probabilistic graphical model.</w:t>
      </w:r>
    </w:p>
    <w:p>
      <w:pPr>
        <w:pStyle w:val="Heading2"/>
        <w:spacing w:after="140" w:before="280"/>
      </w:pPr>
      <w:r>
        <w:t xml:space="preserve">4.1 Motivation and Recap</w:t>
      </w:r>
    </w:p>
    <w:p>
      <w:pPr>
        <w:spacing w:after="160" w:line="276"/>
        <w:jc w:val="both"/>
      </w:pPr>
      <w:r>
        <w:rPr>
          <w:rFonts w:ascii="Calibri" w:cs="Calibri" w:eastAsia="Calibri" w:hAnsi="Calibri"/>
          <w:sz w:val="22"/>
          <w:szCs w:val="22"/>
        </w:rPr>
        <w:t xml:space="preserve">A single scalar fusion weight per modality (main document Eq. 17-18) is coarse: a modality can be highly informative for one state dimension and unreliable for another — vision is typically strong evidence for engagement (gaze, posture) but weak evidence for stress relative to a wearable's GSR signal. DA-DCG gates each state dimension independently, using HSIG's per-dimension information-gain estimate (Section 3.3) as the gating signal, and temporally smooths the resulting weights to avoid flicker from single-cycle noisy observations (main document Eq. 26-29, restated below for this chapter's self-containedness):</w:t>
      </w:r>
    </w:p>
    <w:p>
      <w:pPr>
        <w:pStyle w:val="ListParagraph"/>
        <w:numPr>
          <w:ilvl w:val="0"/>
          <w:numId w:val="1"/>
        </w:numPr>
        <w:spacing w:after="80"/>
      </w:pPr>
      <w:r>
        <w:rPr>
          <w:rFonts w:ascii="Calibri" w:cs="Calibri" w:eastAsia="Calibri" w:hAnsi="Calibri"/>
          <w:sz w:val="22"/>
          <w:szCs w:val="22"/>
        </w:rPr>
        <w:t xml:space="preserve">ÎG_H(m) = [ÎG_H(m,1), …, ÎG_H(m,|s|)] = g_θ(S_t, m) — HSIG's per-dimension gain vector (Eq. 26)</w:t>
      </w:r>
    </w:p>
    <w:p>
      <w:pPr>
        <w:pStyle w:val="ListParagraph"/>
        <w:numPr>
          <w:ilvl w:val="0"/>
          <w:numId w:val="1"/>
        </w:numPr>
        <w:spacing w:after="80"/>
      </w:pPr>
      <w:r>
        <w:rPr>
          <w:rFonts w:ascii="Calibri" w:cs="Calibri" w:eastAsia="Calibri" w:hAnsi="Calibri"/>
          <w:sz w:val="22"/>
          <w:szCs w:val="22"/>
        </w:rPr>
        <w:t xml:space="preserve">w_{m,d} = softmax_{m∈A}(ÎG_H(m,d) / T) — per-dimension gate logits (Eq. 27)</w:t>
      </w:r>
    </w:p>
    <w:p>
      <w:pPr>
        <w:pStyle w:val="ListParagraph"/>
        <w:numPr>
          <w:ilvl w:val="0"/>
          <w:numId w:val="1"/>
        </w:numPr>
        <w:spacing w:after="80"/>
      </w:pPr>
      <w:r>
        <w:rPr>
          <w:rFonts w:ascii="Calibri" w:cs="Calibri" w:eastAsia="Calibri" w:hAnsi="Calibri"/>
          <w:sz w:val="22"/>
          <w:szCs w:val="22"/>
        </w:rPr>
        <w:t xml:space="preserve">w̃_{m,d,t} = (1−ζ)·w̃_{m,d,t−1} + ζ·w_{m,d,t} — exponential smoothing of the gate (Eq. 28)</w:t>
      </w:r>
    </w:p>
    <w:p>
      <w:pPr>
        <w:pStyle w:val="ListParagraph"/>
        <w:numPr>
          <w:ilvl w:val="0"/>
          <w:numId w:val="1"/>
        </w:numPr>
        <w:spacing w:after="80"/>
      </w:pPr>
      <w:r>
        <w:rPr>
          <w:rFonts w:ascii="Calibri" w:cs="Calibri" w:eastAsia="Calibri" w:hAnsi="Calibri"/>
          <w:sz w:val="22"/>
          <w:szCs w:val="22"/>
        </w:rPr>
        <w:t xml:space="preserve">z_d = Σ_{m∈A} w̃_{m,d}·z_m, then s_d = Decoder_d(z_d) — per-dimension fused embedding and decode (Eq. 29)</w:t>
      </w:r>
    </w:p>
    <w:p>
      <w:pPr>
        <w:pStyle w:val="Heading2"/>
        <w:spacing w:after="140" w:before="280"/>
      </w:pPr>
      <w:r>
        <w:t xml:space="preserve">4.2 Implementation Detail</w:t>
      </w:r>
    </w:p>
    <w:p>
      <w:pPr>
        <w:pStyle w:val="ListParagraph"/>
        <w:numPr>
          <w:ilvl w:val="0"/>
          <w:numId w:val="1"/>
        </w:numPr>
        <w:spacing w:after="80"/>
      </w:pPr>
      <w:r>
        <w:rPr>
          <w:rFonts w:ascii="Calibri" w:cs="Calibri" w:eastAsia="Calibri" w:hAnsi="Calibri"/>
          <w:sz w:val="22"/>
          <w:szCs w:val="22"/>
        </w:rPr>
        <w:t xml:space="preserve">Gate network: a single linear layer (or 2-layer MLP) mapping HSIG's already-computed per-dimension gain vector to logits — no separate gating network needs to be trained from raw features, since HSIG's output is reused directly, which keeps DA-DCG cheap despite operating per-dimension.</w:t>
      </w:r>
    </w:p>
    <w:p>
      <w:pPr>
        <w:pStyle w:val="ListParagraph"/>
        <w:numPr>
          <w:ilvl w:val="0"/>
          <w:numId w:val="1"/>
        </w:numPr>
        <w:spacing w:after="80"/>
      </w:pPr>
      <w:r>
        <w:rPr>
          <w:rFonts w:ascii="Calibri" w:cs="Calibri" w:eastAsia="Calibri" w:hAnsi="Calibri"/>
          <w:sz w:val="22"/>
          <w:szCs w:val="22"/>
        </w:rPr>
        <w:t xml:space="preserve">Per-dimension decoder heads: seven small heads (one per state dimension), each a 1-2 layer MLP taking the dimension-specific fused embedding z_d. These can share a common trunk with dimension-specific final layers to save parameters if profiling shows separate trunks are too costly.</w:t>
      </w:r>
    </w:p>
    <w:p>
      <w:pPr>
        <w:pStyle w:val="ListParagraph"/>
        <w:numPr>
          <w:ilvl w:val="0"/>
          <w:numId w:val="1"/>
        </w:numPr>
        <w:spacing w:after="80"/>
      </w:pPr>
      <w:r>
        <w:rPr>
          <w:rFonts w:ascii="Calibri" w:cs="Calibri" w:eastAsia="Calibri" w:hAnsi="Calibri"/>
          <w:sz w:val="22"/>
          <w:szCs w:val="22"/>
        </w:rPr>
        <w:t xml:space="preserve">Smoothing rate ζ (Eq. 28) should be tuned separately from, and typically slower than, AMM's forgetting factor η (main document Eq. 11) — gate weights should be stable within a single conversation, while personalization memory should adapt across conversations, so the two time constants serve different purposes and should not be tied together.</w:t>
      </w:r>
    </w:p>
    <w:p>
      <w:pPr>
        <w:pStyle w:val="ListParagraph"/>
        <w:numPr>
          <w:ilvl w:val="0"/>
          <w:numId w:val="1"/>
        </w:numPr>
        <w:spacing w:after="80"/>
      </w:pPr>
      <w:r>
        <w:rPr>
          <w:rFonts w:ascii="Calibri" w:cs="Calibri" w:eastAsia="Calibri" w:hAnsi="Calibri"/>
          <w:sz w:val="22"/>
          <w:szCs w:val="22"/>
        </w:rPr>
        <w:t xml:space="preserve">Recommended build order: implement scalar DCG (Eq. 17-18) first as a working baseline, verify the pipeline end-to-end, then upgrade to the per-dimension version (Eq. 26-29) — this matches the fallback path already noted in the feasibility table (Section 8) and de-risks early integration work.</w:t>
      </w:r>
    </w:p>
    <w:p>
      <w:pPr>
        <w:pStyle w:val="Heading2"/>
        <w:spacing w:after="140" w:before="280"/>
      </w:pPr>
      <w:r>
        <w:t xml:space="preserve">4.3 Training Procedure</w:t>
      </w:r>
    </w:p>
    <w:p>
      <w:pPr>
        <w:spacing w:after="160" w:line="276"/>
        <w:jc w:val="both"/>
      </w:pPr>
      <w:r>
        <w:rPr>
          <w:rFonts w:ascii="Calibri" w:cs="Calibri" w:eastAsia="Calibri" w:hAnsi="Calibri"/>
          <w:sz w:val="22"/>
          <w:szCs w:val="22"/>
        </w:rPr>
        <w:t xml:space="preserve">DA-DCG's gate parameters are trained jointly with HSEN's decoder heads under the main document's state-estimation loss (L_state, part of Eq. 16), not as a separate training stage — the gate is differentiable end-to-end through the softmax in Eq. (27), so gradient flow from the decoder's state-prediction loss naturally shapes which modality each dimension learns to trust. HSIG's own parameters (Section 3.3) are frozen during this stage after their own pretraining, so DA-DCG's gate learns to make good use of a fixed information-gain signal rather than co-adapting with it in a way that could destabilize both networks simultaneously.</w:t>
      </w:r>
    </w:p>
    <w:p>
      <w:pPr>
        <w:pStyle w:val="Heading2"/>
        <w:spacing w:after="140" w:before="280"/>
      </w:pPr>
      <w:r>
        <w:t xml:space="preserve">4.4 Ablation Validation</w:t>
      </w:r>
    </w:p>
    <w:p>
      <w:pPr>
        <w:spacing w:after="160" w:line="276"/>
        <w:jc w:val="both"/>
      </w:pPr>
      <w:r>
        <w:rPr>
          <w:rFonts w:ascii="Calibri" w:cs="Calibri" w:eastAsia="Calibri" w:hAnsi="Calibri"/>
          <w:sz w:val="22"/>
          <w:szCs w:val="22"/>
        </w:rPr>
        <w:t xml:space="preserve">DA-DCG's claimed advantage — that per-dimension gating outperforms scalar gating, which in turn outperforms unweighted fusion — is already specified as a dedicated three-way ablation in the main document (Table 17.3a), reported per state dimension rather than as one aggregate accuracy number, and re-run specifically on the synthetic missing-modality split to test the flicker-reduction claim of Eq. (28) under intermittent sensor availability. That ablation design is unchanged by this chapter; what changes here is that DA-DCG's implementation and training procedure are now documented in enough detail (§4.2-4.3) to actually run that ablation, rather than only being specified mathematically.</w:t>
      </w:r>
    </w:p>
    <w:p>
      <w:pPr>
        <w:pStyle w:val="Heading2"/>
        <w:spacing w:after="140" w:before="280"/>
      </w:pPr>
      <w:r>
        <w:t xml:space="preserve">4.5 Optional Extension: A Probabilistic Graphical Model Layer for Interpretability</w:t>
      </w:r>
    </w:p>
    <w:p>
      <w:pPr>
        <w:spacing w:after="160" w:line="276"/>
        <w:jc w:val="both"/>
      </w:pPr>
      <w:r>
        <w:rPr>
          <w:rFonts w:ascii="Calibri" w:cs="Calibri" w:eastAsia="Calibri" w:hAnsi="Calibri"/>
          <w:sz w:val="22"/>
          <w:szCs w:val="22"/>
        </w:rPr>
        <w:t xml:space="preserve">A fair critique of the current design is that every component — HSEN, HSIG, DA-DCG, AMM, ABPN — is neural, with no explicit probabilistic graphical structure connecting the state dimensions themselves. A reviewer may reasonably expect a Bayesian network expressing, for example, that stress tends to elevate fatigue, which in turn tends to depress engagement, which in turn should influence behavior — relationships that are currently only implicit in whatever HSEN's decoder and ABPN's policy learn from data, with no explicit, inspectable structure a domain expert could review or edit.</w:t>
      </w:r>
    </w:p>
    <w:p>
      <w:pPr>
        <w:spacing w:after="160" w:line="276"/>
        <w:jc w:val="both"/>
      </w:pPr>
      <w:r>
        <w:rPr>
          <w:rFonts w:ascii="Calibri" w:cs="Calibri" w:eastAsia="Calibri" w:hAnsi="Calibri"/>
          <w:sz w:val="22"/>
          <w:szCs w:val="22"/>
        </w:rPr>
        <w:t xml:space="preserve">This is not proposed as a required component of the version-1 prototype, but as a scoped, optional interpretability layer that could sit downstream of DA-DCG's decoded state vector without changing anything upstream: a shallow Bayesian network (or a simpler dependency-weighted directed graph) over the seven state dimensions, either hand-specified from the psychological literature already cited in Table 3.1 (e.g., stress→fatigue and fatigue→engagement edges are well supported in that literature) or learned via a standard structure-learning algorithm (e.g., a score-based search such as Hill-Climbing with a BIC score, using the `pgmpy` or `bnlearn` Python libraries) over logged state trajectories. Its output — a calibrated, human-readable dependency graph with edge weights — would feed ABPN's explanation generation (main document Algorithm 3) as an additional, structurally-grounded justification alongside the existing state/confidence-based explanation, and could also serve as a sanity check during development: if the learned graph contradicts well-established psychological relationships, that is a signal HSEN's decoder heads may be poorly calibrated.</w:t>
      </w:r>
    </w:p>
    <w:p>
      <w:pPr>
        <w:spacing w:after="160" w:line="276"/>
        <w:jc w:val="both"/>
      </w:pPr>
      <w:r>
        <w:rPr>
          <w:rFonts w:ascii="Calibri" w:cs="Calibri" w:eastAsia="Calibri" w:hAnsi="Calibri"/>
          <w:sz w:val="22"/>
          <w:szCs w:val="22"/>
        </w:rPr>
        <w:t xml:space="preserve">This is flagged as future work (aligned with the Version 2 roadmap already defined in the main document) rather than a Phase 1-6 deliverable, because it adds a second modeling paradigm (probabilistic graphical models alongside neural networks) that is not necessary to demonstrate the core AHSIR pipeline, but it is a reasonable, low-risk addition once the neural pipeline is validated, and is worth mentioning explicitly so the proposal does not read as having overlooked it.</w:t>
      </w:r>
    </w:p>
    <w:p>
      <w:pPr>
        <w:pStyle w:val="Heading1"/>
        <w:pageBreakBefore/>
        <w:spacing w:after="200" w:before="200"/>
      </w:pPr>
      <w:r>
        <w:t xml:space="preserve">5. Edge Deployment Strategy</w:t>
      </w:r>
    </w:p>
    <w:p>
      <w:pPr>
        <w:spacing w:after="160" w:line="276"/>
        <w:jc w:val="both"/>
      </w:pPr>
      <w:r>
        <w:rPr>
          <w:rFonts w:ascii="Calibri" w:cs="Calibri" w:eastAsia="Calibri" w:hAnsi="Calibri"/>
          <w:sz w:val="22"/>
          <w:szCs w:val="22"/>
        </w:rPr>
        <w:t xml:space="preserve">Recommended target hardware for the prototype: NVIDIA Jetson Orin Nano/NX class devices, which are the most benchmarked platform in current edge-AI literature and have mature tooling support.</w:t>
      </w:r>
    </w:p>
    <w:p>
      <w:pPr>
        <w:pStyle w:val="Heading2"/>
        <w:spacing w:after="140" w:before="280"/>
      </w:pPr>
      <w:r>
        <w:t xml:space="preserve">5.1 Recommended Pipeline</w:t>
      </w:r>
    </w:p>
    <w:p>
      <w:pPr>
        <w:pStyle w:val="ListParagraph"/>
        <w:numPr>
          <w:ilvl w:val="0"/>
          <w:numId w:val="1"/>
        </w:numPr>
        <w:spacing w:after="80"/>
      </w:pPr>
      <w:r>
        <w:rPr>
          <w:rFonts w:ascii="Calibri" w:cs="Calibri" w:eastAsia="Calibri" w:hAnsi="Calibri"/>
          <w:sz w:val="22"/>
          <w:szCs w:val="22"/>
        </w:rPr>
        <w:t xml:space="preserve">Train all learned components (HSEN backbones/fusion head, HSIG, AMM's NEMR heads, ABPN) in PyTorch.</w:t>
      </w:r>
    </w:p>
    <w:p>
      <w:pPr>
        <w:pStyle w:val="ListParagraph"/>
        <w:numPr>
          <w:ilvl w:val="0"/>
          <w:numId w:val="1"/>
        </w:numPr>
        <w:spacing w:after="80"/>
      </w:pPr>
      <w:r>
        <w:rPr>
          <w:rFonts w:ascii="Calibri" w:cs="Calibri" w:eastAsia="Calibri" w:hAnsi="Calibri"/>
          <w:sz w:val="22"/>
          <w:szCs w:val="22"/>
        </w:rPr>
        <w:t xml:space="preserve">Export to ONNX, then compile to TensorRT engines for the Jetson target — a 2025 comparative benchmark across PyTorch, ONNX Runtime, TensorRT, Apache TVM, and JAX on Jetson AGX Orin found TensorRT the strongest deployment path for transformer and convolutional models on this hardware class, consistent with recommendations from separate YOLO-variant and RT-DETR edge-benchmarking studies.</w:t>
      </w:r>
    </w:p>
    <w:p>
      <w:pPr>
        <w:pStyle w:val="ListParagraph"/>
        <w:numPr>
          <w:ilvl w:val="0"/>
          <w:numId w:val="1"/>
        </w:numPr>
        <w:spacing w:after="80"/>
      </w:pPr>
      <w:r>
        <w:rPr>
          <w:rFonts w:ascii="Calibri" w:cs="Calibri" w:eastAsia="Calibri" w:hAnsi="Calibri"/>
          <w:sz w:val="22"/>
          <w:szCs w:val="22"/>
        </w:rPr>
        <w:t xml:space="preserve">Apply FP16 quantization as the default (a good accuracy/latency balance on Jetson tensor cores per current benchmarks); consider INT8 quantization for the vision backbone specifically if further latency reduction is needed, following the pattern reported for quantized YOLO-nano variants achieving real-time frame rates at low latency with minimal accuracy loss.</w:t>
      </w:r>
    </w:p>
    <w:p>
      <w:pPr>
        <w:pStyle w:val="ListParagraph"/>
        <w:numPr>
          <w:ilvl w:val="0"/>
          <w:numId w:val="1"/>
        </w:numPr>
        <w:spacing w:after="80"/>
      </w:pPr>
      <w:r>
        <w:rPr>
          <w:rFonts w:ascii="Calibri" w:cs="Calibri" w:eastAsia="Calibri" w:hAnsi="Calibri"/>
          <w:sz w:val="22"/>
          <w:szCs w:val="22"/>
        </w:rPr>
        <w:t xml:space="preserve">For any LLM component paired with ABPN's output (the downstream agent, not ABPN's classifier head itself), consider a lightweight edge-LLM runtime such as NVIDIA's TensorRT edge-LLM tooling, which is purpose-built for low-overhead, C++-level LLM/VLM inference on Jetson-class devices when a fully local pipeline is required.</w:t>
      </w:r>
    </w:p>
    <w:p>
      <w:pPr>
        <w:pStyle w:val="Heading2"/>
        <w:spacing w:after="140" w:before="280"/>
      </w:pPr>
      <w:r>
        <w:t xml:space="preserve">5.2 Estimated Per-Component Latency Budget</w:t>
      </w:r>
    </w:p>
    <w:p>
      <w:pPr>
        <w:spacing w:after="160" w:line="276"/>
        <w:jc w:val="both"/>
      </w:pPr>
      <w:r>
        <w:rPr>
          <w:rFonts w:ascii="Calibri" w:cs="Calibri" w:eastAsia="Calibri" w:hAnsi="Calibri"/>
          <w:sz w:val="22"/>
          <w:szCs w:val="22"/>
        </w:rPr>
        <w:t xml:space="preserve">Table 5.1 gives an illustrative, per-cycle latency budget. These numbers are estimates assembled from published benchmarks of comparable models on comparable hardware (see Section 9 for sources), not measurements of AHSEF itself — no component has been profiled yet. They are included because a rough budget is more useful for planning than no budget at all, but every row should be re-measured during Phase 5 of the implementation timeline (Section 6) and this table replaced with real profiling data before any latency claim is made in a manuscript.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3800"/>
      </w:tblGrid>
      <w:tr>
        <w:trPr>
          <w:tblHeader/>
        </w:trPr>
        <w:tc>
          <w:tcPr>
            <w:tcW w:type="dxa" w:w="34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Component</w:t>
            </w:r>
          </w:p>
        </w:tc>
        <w:tc>
          <w:tcPr>
            <w:tcW w:type="dxa" w:w="18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Estimated Latency</w:t>
            </w:r>
          </w:p>
        </w:tc>
        <w:tc>
          <w:tcPr>
            <w:tcW w:type="dxa" w:w="38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Basis for Estimate</w:t>
            </w:r>
          </w:p>
        </w:tc>
      </w:tr>
      <w:tr>
        <w:tc>
          <w:tcPr>
            <w:tcW w:type="dxa" w:w="34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Audio encoder (Emotion2Vec / Wav2Vec2-base, FP16, TensorRT)</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~10-15 ms</w:t>
            </w:r>
          </w:p>
        </w:tc>
        <w:tc>
          <w:tcPr>
            <w:tcW w:type="dxa" w:w="3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Comparable-size transformer speech encoders on Jetson Orin-class GPUs in current benchmarking literature</w:t>
            </w:r>
          </w:p>
        </w:tc>
      </w:tr>
      <w:tr>
        <w:tc>
          <w:tcPr>
            <w:tcW w:type="dxa" w:w="34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Vision landmarks (MediaPipe Face/Pose)</w:t>
            </w:r>
          </w:p>
        </w:tc>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~5-8 ms</w:t>
            </w:r>
          </w:p>
        </w:tc>
        <w:tc>
          <w:tcPr>
            <w:tcW w:type="dxa" w:w="3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MediaPipe's published lightweight landmark-model latency on mobile/edge-class compute</w:t>
            </w:r>
          </w:p>
        </w:tc>
      </w:tr>
      <w:tr>
        <w:tc>
          <w:tcPr>
            <w:tcW w:type="dxa" w:w="34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Vision detector (YOLOv11n / YOLO-nano, INT8, TensorRT)</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~15 ms @ ~30 FPS</w:t>
            </w:r>
          </w:p>
        </w:tc>
        <w:tc>
          <w:tcPr>
            <w:tcW w:type="dxa" w:w="3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Published quantized YOLO-nano edge benchmarks (Jetson Nano/Orin NX class)</w:t>
            </w:r>
          </w:p>
        </w:tc>
      </w:tr>
      <w:tr>
        <w:tc>
          <w:tcPr>
            <w:tcW w:type="dxa" w:w="34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HSIG (small MLP, per candidate modality)</w:t>
            </w:r>
          </w:p>
        </w:tc>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~0.1-0.3 ms</w:t>
            </w:r>
          </w:p>
        </w:tc>
        <w:tc>
          <w:tcPr>
            <w:tcW w:type="dxa" w:w="3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Sub-millisecond for a few-hundred-thousand-parameter MLP forward pass on GPU/NPU</w:t>
            </w:r>
          </w:p>
        </w:tc>
      </w:tr>
      <w:tr>
        <w:tc>
          <w:tcPr>
            <w:tcW w:type="dxa" w:w="34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UGAPR (closed-form argmax, ≤4 candidates)</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~0.05 ms</w:t>
            </w:r>
          </w:p>
        </w:tc>
        <w:tc>
          <w:tcPr>
            <w:tcW w:type="dxa" w:w="3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Native Python/NumPy comparison over a handful of scalars — negligible by construction</w:t>
            </w:r>
          </w:p>
        </w:tc>
      </w:tr>
      <w:tr>
        <w:tc>
          <w:tcPr>
            <w:tcW w:type="dxa" w:w="34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DA-DCG fusion + per-dimension decode</w:t>
            </w:r>
          </w:p>
        </w:tc>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~3-5 ms</w:t>
            </w:r>
          </w:p>
        </w:tc>
        <w:tc>
          <w:tcPr>
            <w:tcW w:type="dxa" w:w="3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Small transformer/MLP fusion head of comparable size to lightweight cross-attention fusion layers in edge MER literature</w:t>
            </w:r>
          </w:p>
        </w:tc>
      </w:tr>
      <w:tr>
        <w:tc>
          <w:tcPr>
            <w:tcW w:type="dxa" w:w="34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AMM — NEMR retrieval (FAISS/usearch, small index)</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~1-2 ms</w:t>
            </w:r>
          </w:p>
        </w:tc>
        <w:tc>
          <w:tcPr>
            <w:tcW w:type="dxa" w:w="3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Typical approximate-nearest-neighbor query latency for small-to-medium on-device indexes</w:t>
            </w:r>
          </w:p>
        </w:tc>
      </w:tr>
      <w:tr>
        <w:tc>
          <w:tcPr>
            <w:tcW w:type="dxa" w:w="34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ABPN — Level 1 (safety rules)</w:t>
            </w:r>
          </w:p>
        </w:tc>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&lt;0.1 ms</w:t>
            </w:r>
          </w:p>
        </w:tc>
        <w:tc>
          <w:tcPr>
            <w:tcW w:type="dxa" w:w="3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Rule evaluation, not a learned model</w:t>
            </w:r>
          </w:p>
        </w:tc>
      </w:tr>
      <w:tr>
        <w:tc>
          <w:tcPr>
            <w:tcW w:type="dxa" w:w="34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ABPN — Level 2 (policy head inference)</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~2-5 ms</w:t>
            </w:r>
          </w:p>
        </w:tc>
        <w:tc>
          <w:tcPr>
            <w:tcW w:type="dxa" w:w="3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Small classifier/regressor head, similar scale to HSIG</w:t>
            </w:r>
          </w:p>
        </w:tc>
      </w:tr>
      <w:tr>
        <w:tc>
          <w:tcPr>
            <w:tcW w:type="dxa" w:w="34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ABPN — Level 3 (prompt compiler)</w:t>
            </w:r>
          </w:p>
        </w:tc>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&lt;0.1 ms</w:t>
            </w:r>
          </w:p>
        </w:tc>
        <w:tc>
          <w:tcPr>
            <w:tcW w:type="dxa" w:w="3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Deterministic template formatting, not a learned model</w:t>
            </w:r>
          </w:p>
        </w:tc>
      </w:tr>
      <w:tr>
        <w:tc>
          <w:tcPr>
            <w:tcW w:type="dxa" w:w="34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Total perception-to-constraint cycle (audio-only, no escalation)</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~15-25 ms</w:t>
            </w:r>
          </w:p>
        </w:tc>
        <w:tc>
          <w:tcPr>
            <w:tcW w:type="dxa" w:w="3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Sum of audio encoder + HSIG + UGAPR + DA-DCG + AMM + ABPN L1-L3</w:t>
            </w:r>
          </w:p>
        </w:tc>
      </w:tr>
      <w:tr>
        <w:tc>
          <w:tcPr>
            <w:tcW w:type="dxa" w:w="34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Total perception-to-constraint cycle (vision escalation triggered)</w:t>
            </w:r>
          </w:p>
        </w:tc>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~35-45 ms</w:t>
            </w:r>
          </w:p>
        </w:tc>
        <w:tc>
          <w:tcPr>
            <w:tcW w:type="dxa" w:w="3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Above plus vision landmark/detector latency when UGAPR activates the secondary modality</w:t>
            </w:r>
          </w:p>
        </w:tc>
      </w:tr>
    </w:tbl>
    <w:p>
      <w:pPr>
        <w:spacing w:after="240" w:before="60"/>
        <w:jc w:val="center"/>
      </w:pPr>
      <w:r>
        <w:rPr>
          <w:rFonts w:ascii="Calibri" w:cs="Calibri" w:eastAsia="Calibri" w:hAnsi="Calibri"/>
          <w:i/>
          <w:iCs/>
          <w:sz w:val="20"/>
          <w:szCs w:val="20"/>
        </w:rPr>
        <w:t xml:space="preserve">Table 5.1 — Illustrative, literature-derived latency budget per component; to be replaced with measured values during Phase 5 profiling (Section 6). Downstream LLM/robot-planner latency is excluded, since it depends entirely on which agent AHSEF is paired with.</w:t>
      </w:r>
    </w:p>
    <w:p>
      <w:pPr>
        <w:spacing w:after="160" w:line="276"/>
        <w:jc w:val="both"/>
      </w:pPr>
      <w:r>
        <w:rPr>
          <w:rFonts w:ascii="Calibri" w:cs="Calibri" w:eastAsia="Calibri" w:hAnsi="Calibri"/>
          <w:sz w:val="22"/>
          <w:szCs w:val="22"/>
        </w:rPr>
        <w:t xml:space="preserve">Even the escalated-routing case (~35-45 ms) comfortably fits within a real-time interaction budget (typically under 100-200 ms is considered responsive for conversational systems), which is the practical justification for UGAPR's greedy, single-step formulation (main document §17.5): there is enough of a latency margin that a more expensive planning-time decision procedure is not obviously necessary to hit real-time targets, reinforcing that design choice with a concrete number rather than only a qualitative argument.</w:t>
      </w:r>
    </w:p>
    <w:p>
      <w:pPr>
        <w:pStyle w:val="Heading2"/>
        <w:spacing w:after="140" w:before="280"/>
      </w:pPr>
      <w:r>
        <w:t xml:space="preserve">5.3 What Not to Build Custom</w:t>
      </w:r>
    </w:p>
    <w:p>
      <w:pPr>
        <w:spacing w:after="160" w:line="276"/>
        <w:jc w:val="both"/>
      </w:pPr>
      <w:r>
        <w:rPr>
          <w:rFonts w:ascii="Calibri" w:cs="Calibri" w:eastAsia="Calibri" w:hAnsi="Calibri"/>
          <w:sz w:val="22"/>
          <w:szCs w:val="22"/>
        </w:rPr>
        <w:t xml:space="preserve">Given current tooling maturity, none of the following should be engineered from scratch: the quantization/compilation pipeline (use TensorRT/ONNX Runtime), the vector index for episodic memory (use FAISS/usearch), or the preference-optimization training loop (use TRL). Engineering effort should concentrate on DA-DCG (Section 4), HSIG's estimator and its counterfactual-masking data pipeline, NEMR's key/value/query heads, and the goal-conditioning mechanism in ABPN — the components with no directly reusable open-source implementation, consistent with the novelty map already established in the main research document.</w:t>
      </w:r>
    </w:p>
    <w:p>
      <w:pPr>
        <w:pStyle w:val="Heading1"/>
        <w:pageBreakBefore/>
        <w:spacing w:after="200" w:before="200"/>
      </w:pPr>
      <w:r>
        <w:t xml:space="preserve">6. Implementation Timeline</w:t>
      </w:r>
    </w:p>
    <w:p>
      <w:pPr>
        <w:spacing w:after="160" w:line="276"/>
        <w:jc w:val="both"/>
      </w:pPr>
      <w:r>
        <w:rPr>
          <w:rFonts w:ascii="Calibri" w:cs="Calibri" w:eastAsia="Calibri" w:hAnsi="Calibri"/>
          <w:sz w:val="22"/>
          <w:szCs w:val="22"/>
        </w:rPr>
        <w:t xml:space="preserve">This timeline follows the smallest-end-to-end-prototype path: get one modality producing a state estimate first, add routing, then add the second modality, then personalization, then behavior — rather than building all five pillars in parallel and integrating at the 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3800"/>
      </w:tblGrid>
      <w:tr>
        <w:trPr>
          <w:tblHeader/>
        </w:trPr>
        <w:tc>
          <w:tcPr>
            <w:tcW w:type="dxa" w:w="36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Phase</w:t>
            </w:r>
          </w:p>
        </w:tc>
        <w:tc>
          <w:tcPr>
            <w:tcW w:type="dxa" w:w="16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Timeframe</w:t>
            </w:r>
          </w:p>
        </w:tc>
        <w:tc>
          <w:tcPr>
            <w:tcW w:type="dxa" w:w="38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Deliverable</w:t>
            </w:r>
          </w:p>
        </w:tc>
      </w:tr>
      <w:tr>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Phase 1 — Audio-only baseline</w:t>
            </w:r>
          </w:p>
        </w:tc>
        <w:tc>
          <w:tcPr>
            <w:tcW w:type="dxa" w:w="1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Month 1</w:t>
            </w:r>
          </w:p>
        </w:tc>
        <w:tc>
          <w:tcPr>
            <w:tcW w:type="dxa" w:w="3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Emotion2Vec/Wav2Vec2-base encoder → a basic HSEN decoder producing a first-pass continuous state vector s from audio alone (no fusion, no gating yet)</w:t>
            </w:r>
          </w:p>
        </w:tc>
      </w:tr>
      <w:tr>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Phase 2 — HSIG</w:t>
            </w:r>
          </w:p>
        </w:tc>
        <w:tc>
          <w:tcPr>
            <w:tcW w:type="dxa" w:w="16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Month 2</w:t>
            </w:r>
          </w:p>
        </w:tc>
        <w:tc>
          <w:tcPr>
            <w:tcW w:type="dxa" w:w="3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g_θ trained via counterfactual masking (§3.3) on an existing multimodal corpus; offline evaluation of ranking accuracy against held-out realized-gain data</w:t>
            </w:r>
          </w:p>
        </w:tc>
      </w:tr>
      <w:tr>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Phase 3 — UGAPR decision loop</w:t>
            </w:r>
          </w:p>
        </w:tc>
        <w:tc>
          <w:tcPr>
            <w:tcW w:type="dxa" w:w="1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Month 3</w:t>
            </w:r>
          </w:p>
        </w:tc>
        <w:tc>
          <w:tcPr>
            <w:tcW w:type="dxa" w:w="3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Closed-form routing (Eq. 7) wired to HSIG's output; verify, on logged data, that the routing decision correlates with when vision actually would have reduced uncertainty</w:t>
            </w:r>
          </w:p>
        </w:tc>
      </w:tr>
      <w:tr>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Phase 4 — Add vision + verify routing improves estimation</w:t>
            </w:r>
          </w:p>
        </w:tc>
        <w:tc>
          <w:tcPr>
            <w:tcW w:type="dxa" w:w="16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Months 4-5</w:t>
            </w:r>
          </w:p>
        </w:tc>
        <w:tc>
          <w:tcPr>
            <w:tcW w:type="dxa" w:w="3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MediaPipe/YOLOv11n integrated as the gated secondary modality; scalar DCG (Eq. 17-18) as the fusion baseline; measure whether UGAPR-gated fusion matches always-on fusion accuracy at reduced activation rate — the core accuracy-energy claim</w:t>
            </w:r>
          </w:p>
        </w:tc>
      </w:tr>
      <w:tr>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Phase 5 — DA-DCG upgrade + edge profiling</w:t>
            </w:r>
          </w:p>
        </w:tc>
        <w:tc>
          <w:tcPr>
            <w:tcW w:type="dxa" w:w="1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Months 5-6</w:t>
            </w:r>
          </w:p>
        </w:tc>
        <w:tc>
          <w:tcPr>
            <w:tcW w:type="dxa" w:w="3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Upgrade scalar DCG to dimension-aware DA-DCG (§4); run the fusion ablation (Table 17.3a); replace the illustrative latency table (Table 5.1) with real Jetson-profiled numbers</w:t>
            </w:r>
          </w:p>
        </w:tc>
      </w:tr>
      <w:tr>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Phase 6 — AMM personalization</w:t>
            </w:r>
          </w:p>
        </w:tc>
        <w:tc>
          <w:tcPr>
            <w:tcW w:type="dxa" w:w="16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Months 7-8</w:t>
            </w:r>
          </w:p>
        </w:tc>
        <w:tc>
          <w:tcPr>
            <w:tcW w:type="dxa" w:w="3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NEMR heads (§3.5) trained against personalization-deviation accuracy on a self-collected longitudinal pilot; cold-start fallback (Eq. 23) validated</w:t>
            </w:r>
          </w:p>
        </w:tc>
      </w:tr>
      <w:tr>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Phase 7 — ABPN + downstream agent</w:t>
            </w:r>
          </w:p>
        </w:tc>
        <w:tc>
          <w:tcPr>
            <w:tcW w:type="dxa" w:w="1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Months 9-10</w:t>
            </w:r>
          </w:p>
        </w:tc>
        <w:tc>
          <w:tcPr>
            <w:tcW w:type="dxa" w:w="3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Behavior-cloning warm start, LLM-judge-bootstrapped preference pipeline (§3.6), DPO fine-tuning via TRL; connect ABPN's output to a system-prompt-level LLM integration or a simple robot controller</w:t>
            </w:r>
          </w:p>
        </w:tc>
      </w:tr>
      <w:tr>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Phase 8 — Full-pipeline evaluation and write-up</w:t>
            </w:r>
          </w:p>
        </w:tc>
        <w:tc>
          <w:tcPr>
            <w:tcW w:type="dxa" w:w="16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Months 11-12</w:t>
            </w:r>
          </w:p>
        </w:tc>
        <w:tc>
          <w:tcPr>
            <w:tcW w:type="dxa" w:w="3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End-to-end ablation study, patent disclosure drafting, paper submission</w:t>
            </w:r>
          </w:p>
        </w:tc>
      </w:tr>
    </w:tbl>
    <w:p>
      <w:pPr>
        <w:spacing w:after="240" w:before="60"/>
        <w:jc w:val="center"/>
      </w:pPr>
      <w:r>
        <w:rPr>
          <w:rFonts w:ascii="Calibri" w:cs="Calibri" w:eastAsia="Calibri" w:hAnsi="Calibri"/>
          <w:i/>
          <w:iCs/>
          <w:sz w:val="20"/>
          <w:szCs w:val="20"/>
        </w:rPr>
        <w:t xml:space="preserve">Table 6.1 — Twelve-month implementation timeline; Phases 2-3 and Phases 6-7 can overlap given more than one contributor.</w:t>
      </w:r>
    </w:p>
    <w:p>
      <w:pPr>
        <w:spacing w:after="160" w:line="276"/>
        <w:jc w:val="both"/>
      </w:pPr>
      <w:r>
        <w:rPr>
          <w:rFonts w:ascii="Calibri" w:cs="Calibri" w:eastAsia="Calibri" w:hAnsi="Calibri"/>
          <w:sz w:val="22"/>
          <w:szCs w:val="22"/>
        </w:rPr>
        <w:t xml:space="preserve">The critical early milestone is the end of Phase 4: a working demonstration that UGAPR-gated routing reduces secondary-sensor activation without a meaningful accuracy loss relative to always-on fusion. Everything from Phase 5 onward (dimension-aware gating, personalization, behavior policy) builds on top of that result, so it is worth treating Phase 4 as a go/no-go checkpoint before committing further engineering time to the remaining phases.</w:t>
      </w:r>
    </w:p>
    <w:p>
      <w:pPr>
        <w:pStyle w:val="Heading1"/>
        <w:pageBreakBefore/>
        <w:spacing w:after="200" w:before="200"/>
      </w:pPr>
      <w:r>
        <w:t xml:space="preserve">7. Comparative Survey: Recent Research and Patents</w:t>
      </w:r>
    </w:p>
    <w:p>
      <w:pPr>
        <w:spacing w:after="160" w:line="276"/>
        <w:jc w:val="both"/>
      </w:pPr>
      <w:r>
        <w:rPr>
          <w:rFonts w:ascii="Calibri" w:cs="Calibri" w:eastAsia="Calibri" w:hAnsi="Calibri"/>
          <w:sz w:val="22"/>
          <w:szCs w:val="22"/>
        </w:rPr>
        <w:t xml:space="preserve">This section reports a literature and patent search conducted at the time of writing, covering roughly 2024-2026 publications in multimodal emotion/human-state recognition, uncertainty-aware fusion, active perception and sensor scheduling, LLM-agent memory systems, preference-based policy optimization, and issued/pending patents on emotion-sensing wearables and uncertainty-triggered sampling. It is not exhaustive, but is broad enough to check AHSEF's novelty claims against real, current prior art rather than only against the general category-level survey in the main document.</w:t>
      </w:r>
    </w:p>
    <w:p>
      <w:pPr>
        <w:pStyle w:val="Heading2"/>
        <w:spacing w:after="140" w:before="280"/>
      </w:pPr>
      <w:r>
        <w:t xml:space="preserve">7.1 Research Papers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3000"/>
        <w:gridCol w:w="2700"/>
      </w:tblGrid>
      <w:tr>
        <w:trPr>
          <w:tblHeader/>
        </w:trPr>
        <w:tc>
          <w:tcPr>
            <w:tcW w:type="dxa" w:w="26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Paper / System</w:t>
            </w:r>
          </w:p>
        </w:tc>
        <w:tc>
          <w:tcPr>
            <w:tcW w:type="dxa" w:w="7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Year</w:t>
            </w:r>
          </w:p>
        </w:tc>
        <w:tc>
          <w:tcPr>
            <w:tcW w:type="dxa" w:w="30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What It Does</w:t>
            </w:r>
          </w:p>
        </w:tc>
        <w:tc>
          <w:tcPr>
            <w:tcW w:type="dxa" w:w="27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vs. AHSEF</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Uncertainty-Aware MER through Dirichlet Parameterization (edge-deployed, Emotion2Vec/ResNet/DistilRoBERTa + Dempster-Shafer fusion)</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2026</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Lightweight, privacy-preserving MER on edge devices with calibrated uncertainty via Dirichlet/Dempster-Shafer fusion</w:t>
            </w:r>
          </w:p>
        </w:tc>
        <w:tc>
          <w:tcPr>
            <w:tcW w:type="dxa" w:w="27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Closest full-pipeline comparator; validates AHSEF's backbone choices (§3.1). No active sensing, no personalization memory, no behavior-policy output — stops at a calibrated prediction.</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ESED — Emotion-Specific Evidence Decomposition (ACM CIKM)</w:t>
            </w:r>
          </w:p>
        </w:tc>
        <w:tc>
          <w:tcPr>
            <w:tcW w:type="dxa" w:w="7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2025</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Evidential deep learning that disentangles multiple uncertainty sources in conversational MER</w:t>
            </w:r>
          </w:p>
        </w:tc>
        <w:tc>
          <w:tcPr>
            <w:tcW w:type="dxa" w:w="27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Supports AHSEF's composite-uncertainty design (Eq. 2: entropy + epistemic + OOD terms) rather than a single scalar. No routing or behavioral output.</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LDDU — Latent Distribution Decouple for Uncertain-Aware Multimodal Multi-label Emotion Recognition (ACL Findings)</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2025</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Uncertainty-aware fusion for multi-label emotion recognition, SOTA on CMU-MOSEI/M3ED</w:t>
            </w:r>
          </w:p>
        </w:tc>
        <w:tc>
          <w:tcPr>
            <w:tcW w:type="dxa" w:w="27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Fusion-level uncertainty modeling relevant to HSEN, but discrete multi-label output, not a continuous state vector; no active sensing or memory.</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Husformer — cross-modal transformer for human state recognition (IEEE TCDS)</w:t>
            </w:r>
          </w:p>
        </w:tc>
        <w:tc>
          <w:tcPr>
            <w:tcW w:type="dxa" w:w="7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2024</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Cross-attention + self-attention transformer fusion for continuous human state on WESAD/DEAP/MOCAS/CogLoad</w:t>
            </w:r>
          </w:p>
        </w:tc>
        <w:tc>
          <w:tcPr>
            <w:tcW w:type="dxa" w:w="27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Closest architectural comparator to HSEN's fusion backbone. No active sensing, no personalization, no downstream behavior adaptation.</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Enhanced Experts with Uncertainty-Aware Routing for multimodal sentiment</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2024</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Mixture-of-experts routing within a fusion model, gated by uncertainty</w:t>
            </w:r>
          </w:p>
        </w:tc>
        <w:tc>
          <w:tcPr>
            <w:tcW w:type="dxa" w:w="27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Validates uncertainty-gated routing as a fusion-internal mechanism, but routes between experts, not between physical sensors — different problem from UGAPR.</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APPLE — general active perception (RL viewpoint-selection policies)</w:t>
            </w:r>
          </w:p>
        </w:tc>
        <w:tc>
          <w:tcPr>
            <w:tcW w:type="dxa" w:w="7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2025</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RL-trained active perception for vision/robotics viewpoint selection</w:t>
            </w:r>
          </w:p>
        </w:tc>
        <w:tc>
          <w:tcPr>
            <w:tcW w:type="dxa" w:w="27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Confirms active perception is an active RL research area; AHSIR deliberately avoids the RL formulation (§3.2) for edge-latency reasons.</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Active Inference for Micro-Gesture Recognition (EFE-guided temporal sampling)</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2026</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Active-inference/Expected-Free-Energy-guided temporal sampling for gesture recognition under label noise</w:t>
            </w:r>
          </w:p>
        </w:tc>
        <w:tc>
          <w:tcPr>
            <w:tcW w:type="dxa" w:w="27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Same information-maximization spirit as HSIG, applied to temporal sampling within one modality rather than cross-modality sensor activation.</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Mem0 / Zep / HippoRAG / MemGPT — LLM agent memory systems</w:t>
            </w:r>
          </w:p>
        </w:tc>
        <w:tc>
          <w:tcPr>
            <w:tcW w:type="dxa" w:w="7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2023-2025</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Production-grade long-term memory: scalable storage (Mem0), temporal knowledge graphs (Zep), graph-PageRank retrieval (HippoRAG), OS-style paging (MemGPT)</w:t>
            </w:r>
          </w:p>
        </w:tc>
        <w:tc>
          <w:tcPr>
            <w:tcW w:type="dxa" w:w="27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Directly reusable infrastructure patterns for AMM (§3.4); all are text/fact-based, none grounded in a physiological/psychological state vector or coupled to active sensing.</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Dynamic Affective Memory Management for Personalized LLM Agents (DABench)</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2025</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Bayesian, entropy-minimizing memory update for affective LLM-agent memory</w:t>
            </w:r>
          </w:p>
        </w:tc>
        <w:tc>
          <w:tcPr>
            <w:tcW w:type="dxa" w:w="27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Closest direct AMM comparator; validates entropy-based importance/compression (Eq. 22, 24). Text-dialogue only, no multimodal or physiological grounding.</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Comprehensive Survey of DPO: Datasets, Theories, Variants, and Applications</w:t>
            </w:r>
          </w:p>
        </w:tc>
        <w:tc>
          <w:tcPr>
            <w:tcW w:type="dxa" w:w="7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2024-2025</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Surveys DPO variants and applications across LLM alignment, agents, and robotics</w:t>
            </w:r>
          </w:p>
        </w:tc>
        <w:tc>
          <w:tcPr>
            <w:tcW w:type="dxa" w:w="27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Confirms standard (single-turn) DPO is the correct formulation for ABPN's contextual-bandit setting (§3.5), and that multi-turn variants (DMPO, SDPO) are unnecessary here.</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Energy-Aware Deep Learning on Resource-Constrained Hardware (survey)</w:t>
            </w:r>
          </w:p>
        </w:tc>
        <w:tc>
          <w:tcPr>
            <w:tcW w:type="dxa" w:w="7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2025</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Surveys algorithm-level techniques for energy-aware DL inference/training on IoT/edge hardware</w:t>
            </w:r>
          </w:p>
        </w:tc>
        <w:tc>
          <w:tcPr>
            <w:tcW w:type="dxa" w:w="27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General energy-aware DL toolbox relevant to all pillars' edge deployment (§4); not applied to sensor-activation decisions specifically, which is UGAPR's contribution.</w:t>
            </w:r>
          </w:p>
        </w:tc>
      </w:tr>
    </w:tbl>
    <w:p>
      <w:pPr>
        <w:spacing w:after="240" w:before="60"/>
        <w:jc w:val="center"/>
      </w:pPr>
      <w:r>
        <w:rPr>
          <w:rFonts w:ascii="Calibri" w:cs="Calibri" w:eastAsia="Calibri" w:hAnsi="Calibri"/>
          <w:i/>
          <w:iCs/>
          <w:sz w:val="20"/>
          <w:szCs w:val="20"/>
        </w:rPr>
        <w:t xml:space="preserve">Table 7.1 — Recent research papers most relevant to AHSEF's five pillars, and how each compares.</w:t>
      </w:r>
    </w:p>
    <w:p>
      <w:pPr>
        <w:pStyle w:val="Heading2"/>
        <w:spacing w:after="140" w:before="280"/>
      </w:pPr>
      <w:r>
        <w:t xml:space="preserve">7.2 Patents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000"/>
        <w:gridCol w:w="3000"/>
      </w:tblGrid>
      <w:tr>
        <w:trPr>
          <w:tblHeader/>
        </w:trPr>
        <w:tc>
          <w:tcPr>
            <w:tcW w:type="dxa" w:w="28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Patent / Application</w:t>
            </w:r>
          </w:p>
        </w:tc>
        <w:tc>
          <w:tcPr>
            <w:tcW w:type="dxa" w:w="12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Status / Year</w:t>
            </w:r>
          </w:p>
        </w:tc>
        <w:tc>
          <w:tcPr>
            <w:tcW w:type="dxa" w:w="30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What It Claims</w:t>
            </w:r>
          </w:p>
        </w:tc>
        <w:tc>
          <w:tcPr>
            <w:tcW w:type="dxa" w:w="30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vs. AHSEF</w:t>
            </w:r>
          </w:p>
        </w:tc>
      </w:tr>
      <w:tr>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US20240407686 — AI-Based Remote Emotion Detection and Control System</w:t>
            </w:r>
          </w:p>
        </w:tc>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Published 2024</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Wearable + computing device detecting atypical physiological/behavioral patterns, with a guardian alerting module</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Always-on sensing with rule-based alerting; no active/gated sensor routing, no learned behavior-policy engine, no personalization memory beyond baseline detection.</w:t>
            </w:r>
          </w:p>
        </w:tc>
      </w:tr>
      <w:tr>
        <w:tc>
          <w:tcPr>
            <w:tcW w:type="dxa" w:w="2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US20240090807A1 — Wearable Device and Method for Stress Detection, Emotion Recognition and Emotion Management</w:t>
            </w:r>
          </w:p>
        </w:tc>
        <w:tc>
          <w:tcPr>
            <w:tcW w:type="dxa" w:w="12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Published 2024</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Wearable stress/emotion detection targeted at ADHD/PTSD/autism populations, with management features</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Detection-and-management focus; sensing is continuous/always-on rather than uncertainty-gated, no cross-modal information-gain-based routing.</w:t>
            </w:r>
          </w:p>
        </w:tc>
      </w:tr>
      <w:tr>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Feel Therapeutics — Emotion AI patent (multi-sensor wearable: EDA, PPG, skin temperature, environmental)</w:t>
            </w:r>
          </w:p>
        </w:tc>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Granted</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Passive, continuous multi-sensor physiological monitoring for mood-state detection</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Explicitly always-on multi-sensor fusion — the exact energy/privacy problem UGAPR is designed to avoid; no active-sensing or routing claim.</w:t>
            </w:r>
          </w:p>
        </w:tc>
      </w:tr>
      <w:tr>
        <w:tc>
          <w:tcPr>
            <w:tcW w:type="dxa" w:w="2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US8017411 — Dynamic Adaptive Sampling Rate for Model Prediction (semiconductor/manufacturing domain)</w:t>
            </w:r>
          </w:p>
        </w:tc>
        <w:tc>
          <w:tcPr>
            <w:tcW w:type="dxa" w:w="12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Granted</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Adjusts measurement sampling rate based on model-prediction uncertainty in a wafer-fabrication context</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General prior art for the *concept* of uncertainty-triggered sampling; confirms the mechanism's soundness but is domain-unrelated (manufacturing metrology, not human state) and not multimodal.</w:t>
            </w:r>
          </w:p>
        </w:tc>
      </w:tr>
      <w:tr>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US9397685 — Sensor with Low-Power Model-Based Feature Extractor</w:t>
            </w:r>
          </w:p>
        </w:tc>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Granted</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Adjusts sensor sampling rate based on anticipated signal dynamics from an onboard model</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Same general pattern as above (uncertainty/expectation-driven sampling) applied to a single generic sensor, not a multimodal human-state routing decision.</w:t>
            </w:r>
          </w:p>
        </w:tc>
      </w:tr>
      <w:tr>
        <w:tc>
          <w:tcPr>
            <w:tcW w:type="dxa" w:w="2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Meta/related — Triggering User Queries Based on Sensor Inputs</w:t>
            </w:r>
          </w:p>
        </w:tc>
        <w:tc>
          <w:tcPr>
            <w:tcW w:type="dxa" w:w="12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Granted</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Dynamically adjusts sensor sampling rate when observed input diverges from a model's predicted outcome</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General dynamic-sampling mechanism; not applied to human affective/cognitive state, no memory or behavior-policy coupling.</w:t>
            </w:r>
          </w:p>
        </w:tc>
      </w:tr>
      <w:tr>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US9002100B2 — Model Uncertainty Visualization for Active Learning</w:t>
            </w:r>
          </w:p>
        </w:tc>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Granted</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Uses model uncertainty to guide which data points a human annotator should label next</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Uncertainty-driven selection in the active-learning (offline annotation) sense, not real-time multimodal sensor activation — a different problem instance of a related idea.</w:t>
            </w:r>
          </w:p>
        </w:tc>
      </w:tr>
    </w:tbl>
    <w:p>
      <w:pPr>
        <w:spacing w:after="240" w:before="60"/>
        <w:jc w:val="center"/>
      </w:pPr>
      <w:r>
        <w:rPr>
          <w:rFonts w:ascii="Calibri" w:cs="Calibri" w:eastAsia="Calibri" w:hAnsi="Calibri"/>
          <w:i/>
          <w:iCs/>
          <w:sz w:val="20"/>
          <w:szCs w:val="20"/>
        </w:rPr>
        <w:t xml:space="preserve">Table 7.2 — Patents establishing general prior art for uncertainty-triggered sampling and wearable emotion sensing, none of which combine both with AHSEF's specific mechanisms.</w:t>
      </w:r>
    </w:p>
    <w:p>
      <w:pPr>
        <w:pStyle w:val="Heading2"/>
        <w:spacing w:after="140" w:before="280"/>
      </w:pPr>
      <w:r>
        <w:t xml:space="preserve">7.3 Synthesis: Where AHSEF Actually Differs</w:t>
      </w:r>
    </w:p>
    <w:p>
      <w:pPr>
        <w:spacing w:after="160" w:line="276"/>
        <w:jc w:val="both"/>
      </w:pPr>
      <w:r>
        <w:rPr>
          <w:rFonts w:ascii="Calibri" w:cs="Calibri" w:eastAsia="Calibri" w:hAnsi="Calibri"/>
          <w:sz w:val="22"/>
          <w:szCs w:val="22"/>
        </w:rPr>
        <w:t xml:space="preserve">Three consistent patterns emerge from this search. First, uncertainty-aware fusion for emotion/sentiment recognition (Dirichlet/Dempster-Shafer fusion, evidential decomposition, uncertainty-gated expert routing) is an active and fairly mature 2024-2026 research area — AHSEF should adopt, not reinvent, these fusion-level uncertainty techniques inside HSEN's composite uncertainty score (Eq. 2), and should cite this body of work directly as validating that design choice rather than claiming it as novel.</w:t>
      </w:r>
    </w:p>
    <w:p>
      <w:pPr>
        <w:spacing w:after="160" w:line="276"/>
        <w:jc w:val="both"/>
      </w:pPr>
      <w:r>
        <w:rPr>
          <w:rFonts w:ascii="Calibri" w:cs="Calibri" w:eastAsia="Calibri" w:hAnsi="Calibri"/>
          <w:sz w:val="22"/>
          <w:szCs w:val="22"/>
        </w:rPr>
        <w:t xml:space="preserve">Second, uncertainty-triggered dynamic sensing/sampling is a well-established general engineering pattern with prior art going back over a decade in unrelated domains (manufacturing metrology, generic low-power sensors, active learning), and a currently active RL-based active-perception literature in robotics/vision. AHSEF's routing contribution is therefore not "uncertainty-triggered sensing" in the abstract — that is not new — but specifically the combination of (a) a learned, per-state-dimension information-gain estimator (HSIG) trained via counterfactual masking, (b) a closed-form, edge-cheap routing rule chosen deliberately over the RL formulations dominant in the active-perception literature, and (c) direct coupling of that routing signal into both the fusion weights (DA-DCG) and a downstream behavior policy (ABPN). No single paper or patent found in this search combines more than one of these three elements.</w:t>
      </w:r>
    </w:p>
    <w:p>
      <w:pPr>
        <w:spacing w:after="160" w:line="276"/>
        <w:jc w:val="both"/>
      </w:pPr>
      <w:r>
        <w:rPr>
          <w:rFonts w:ascii="Calibri" w:cs="Calibri" w:eastAsia="Calibri" w:hAnsi="Calibri"/>
          <w:sz w:val="22"/>
          <w:szCs w:val="22"/>
        </w:rPr>
        <w:t xml:space="preserve">Third, LLM-agent memory systems (Mem0, Zep, HippoRAG, MemGPT) and affective-memory management (the entropy-minimizing DABench system) have independently converged on very similar mechanisms to NEMR — importance/entropy-based retention, content-addressable retrieval, OS-style memory framing — which is reassuring evidence that AMM's design is sound engineering, but all of it operates over text. No system found grounds this kind of memory in a continuous physiological/psychological state vector coupled to an active-sensing loop, which remains AMM's specific, defensible gap relative to current work.</w:t>
      </w:r>
    </w:p>
    <w:p>
      <w:pPr>
        <w:spacing w:after="160" w:line="276"/>
        <w:jc w:val="both"/>
      </w:pPr>
      <w:r>
        <w:rPr>
          <w:rFonts w:ascii="Calibri" w:cs="Calibri" w:eastAsia="Calibri" w:hAnsi="Calibri"/>
          <w:sz w:val="22"/>
          <w:szCs w:val="22"/>
        </w:rPr>
        <w:t xml:space="preserve">The overall conclusion for the patent/publication strategy: AHSEF's strongest, most defensible novel claim is the AHSIR routing-to-behavior chain as a whole (HSIG's counterfactual-trained, per-dimension information gain → UGAPR's routing → DA-DCG's dimension-aware fusion gating → ABPN's goal-conditioned behavioral output), not any individual mechanism in isolation, since close individual-mechanism prior art exists for uncertainty-aware fusion, for uncertainty-triggered sampling in general, and for entropy-based memory management. This matches, and is now evidence-grounded for, the flagship-algorithm framing already adopted in the main research document (§17.1).</w:t>
      </w:r>
    </w:p>
    <w:p>
      <w:pPr>
        <w:pStyle w:val="Heading1"/>
        <w:pageBreakBefore/>
        <w:spacing w:after="200" w:before="200"/>
      </w:pPr>
      <w:r>
        <w:t xml:space="preserve">8. Feasibility and Risk Assessment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200"/>
      </w:tblGrid>
      <w:tr>
        <w:trPr>
          <w:tblHeader/>
        </w:trPr>
        <w:tc>
          <w:tcPr>
            <w:tcW w:type="dxa" w:w="18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Component</w:t>
            </w:r>
          </w:p>
        </w:tc>
        <w:tc>
          <w:tcPr>
            <w:tcW w:type="dxa" w:w="24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Feasibility</w:t>
            </w:r>
          </w:p>
        </w:tc>
        <w:tc>
          <w:tcPr>
            <w:tcW w:type="dxa" w:w="26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Primary Risk</w:t>
            </w:r>
          </w:p>
        </w:tc>
        <w:tc>
          <w:tcPr>
            <w:tcW w:type="dxa" w:w="22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Mitigation</w:t>
            </w:r>
          </w:p>
        </w:tc>
      </w:tr>
      <w:tr>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HSEN backbones</w:t>
            </w:r>
          </w:p>
        </w:tc>
        <w:tc>
          <w:tcPr>
            <w:tcW w:type="dxa" w:w="24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High — pretrained/distilled models available (Emotion2Vec, MediaPipe, DistilRoBERTa)</w:t>
            </w:r>
          </w:p>
        </w:tc>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Backbone domain mismatch (pretrained on different populations/languages)</w:t>
            </w:r>
          </w:p>
        </w:tc>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Fine-tune final layers on target population sample; budget for a small labeled calibration set</w:t>
            </w:r>
          </w:p>
        </w:tc>
      </w:tr>
      <w:tr>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DA-DCG (custom)</w:t>
            </w:r>
          </w:p>
        </w:tc>
        <w:tc>
          <w:tcPr>
            <w:tcW w:type="dxa" w:w="24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Medium — no reference implementation exists</w:t>
            </w:r>
          </w:p>
        </w:tc>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Per-dimension gating may be unstable early in training without enough active-modality diversity in data</w:t>
            </w:r>
          </w:p>
        </w:tc>
        <w:tc>
          <w:tcPr>
            <w:tcW w:type="dxa" w:w="22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Start with scalar DCG (Eq. 17-18) as a fallback, ablate up to dimension-aware (Eq. 26-29) once stable</w:t>
            </w:r>
          </w:p>
        </w:tc>
      </w:tr>
      <w:tr>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HSIG + counterfactual pretraining</w:t>
            </w:r>
          </w:p>
        </w:tc>
        <w:tc>
          <w:tcPr>
            <w:tcW w:type="dxa" w:w="24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Medium-High — masking procedure is simple to implement on existing multimodal corpora</w:t>
            </w:r>
          </w:p>
        </w:tc>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Counterfactual masking assumes modality independence at masking time, which is an approximation</w:t>
            </w:r>
          </w:p>
        </w:tc>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Validate against a held-out live-logged set (Table 17.3b in the main document) before trusting the proxy fully</w:t>
            </w:r>
          </w:p>
        </w:tc>
      </w:tr>
      <w:tr>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UGAPR</w:t>
            </w:r>
          </w:p>
        </w:tc>
        <w:tc>
          <w:tcPr>
            <w:tcW w:type="dxa" w:w="24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High — trivial to implement once HSIG exists</w:t>
            </w:r>
          </w:p>
        </w:tc>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Mis-calibrated cost/latency constants C(m), L(m)</w:t>
            </w:r>
          </w:p>
        </w:tc>
        <w:tc>
          <w:tcPr>
            <w:tcW w:type="dxa" w:w="22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Profile actual per-modality latency/energy on target hardware before deployment, not estimated values</w:t>
            </w:r>
          </w:p>
        </w:tc>
      </w:tr>
      <w:tr>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AMM / NEMR</w:t>
            </w:r>
          </w:p>
        </w:tc>
        <w:tc>
          <w:tcPr>
            <w:tcW w:type="dxa" w:w="24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Medium-High — FAISS/usearch are mature; heads are small</w:t>
            </w:r>
          </w:p>
        </w:tc>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Cold-start users have too few episodes for reliable key/value/query heads</w:t>
            </w:r>
          </w:p>
        </w:tc>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Fall back to Eq. (23) recency-only retrieval until a minimum episode count is reached, as already specified</w:t>
            </w:r>
          </w:p>
        </w:tc>
      </w:tr>
      <w:tr>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ABPN (BC + DPO via TRL)</w:t>
            </w:r>
          </w:p>
        </w:tc>
        <w:tc>
          <w:tcPr>
            <w:tcW w:type="dxa" w:w="24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High — TRL's DPOTrainer is maintained and documented</w:t>
            </w:r>
          </w:p>
        </w:tc>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Preference-labeling protocol (human or LLM-judge) is a data-collection bottleneck</w:t>
            </w:r>
          </w:p>
        </w:tc>
        <w:tc>
          <w:tcPr>
            <w:tcW w:type="dxa" w:w="2200"/>
            <w:shd w:fill="F2F6FA"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Start with LLM-judge labels for bootstrapping, validate a subsample with human raters (§17.8 in main document)</w:t>
            </w:r>
          </w:p>
        </w:tc>
      </w:tr>
      <w:tr>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Edge deployment (TensorRT/ONNX)</w:t>
            </w:r>
          </w:p>
        </w:tc>
        <w:tc>
          <w:tcPr>
            <w:tcW w:type="dxa" w:w="24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High — heavily benchmarked on Jetson-class hardware in current literature</w:t>
            </w:r>
          </w:p>
        </w:tc>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Multiple simultaneously running models (HSEN+HSIG+AMM+ABPN) may exceed memory/power budget</w:t>
            </w:r>
          </w:p>
        </w:tc>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sz w:val="18"/>
                <w:szCs w:val="18"/>
              </w:rPr>
              <w:t xml:space="preserve">Profile the full pipeline together early, not each model in isolation; consider sharing a single quantized backbone where possible</w:t>
            </w:r>
          </w:p>
        </w:tc>
      </w:tr>
    </w:tbl>
    <w:p>
      <w:pPr>
        <w:spacing w:after="240" w:before="60"/>
        <w:jc w:val="center"/>
      </w:pPr>
      <w:r>
        <w:rPr>
          <w:rFonts w:ascii="Calibri" w:cs="Calibri" w:eastAsia="Calibri" w:hAnsi="Calibri"/>
          <w:i/>
          <w:iCs/>
          <w:sz w:val="20"/>
          <w:szCs w:val="20"/>
        </w:rPr>
        <w:t xml:space="preserve">Table 8.1 — Component-level feasibility and risk, informed by the survey in Section 7.</w:t>
      </w:r>
    </w:p>
    <w:p>
      <w:pPr>
        <w:pStyle w:val="Heading1"/>
        <w:pageBreakBefore/>
        <w:spacing w:after="200" w:before="200"/>
      </w:pPr>
      <w:r>
        <w:t xml:space="preserve">9. Key Sources</w:t>
      </w:r>
    </w:p>
    <w:p>
      <w:pPr>
        <w:spacing w:after="160" w:line="276"/>
        <w:jc w:val="both"/>
      </w:pPr>
      <w:r>
        <w:rPr>
          <w:rFonts w:ascii="Calibri" w:cs="Calibri" w:eastAsia="Calibri" w:hAnsi="Calibri"/>
          <w:sz w:val="22"/>
          <w:szCs w:val="22"/>
        </w:rPr>
        <w:t xml:space="preserve">The following sources, identified via live search, most directly informed this document. Full citation details (authors, venues) can be retrieved from the URLs/titles below for formal citation in the manuscript.</w:t>
      </w:r>
    </w:p>
    <w:p>
      <w:pPr>
        <w:pStyle w:val="ListParagraph"/>
        <w:numPr>
          <w:ilvl w:val="0"/>
          <w:numId w:val="1"/>
        </w:numPr>
        <w:spacing w:after="80"/>
      </w:pPr>
      <w:r>
        <w:rPr>
          <w:rFonts w:ascii="Calibri" w:cs="Calibri" w:eastAsia="Calibri" w:hAnsi="Calibri"/>
          <w:sz w:val="22"/>
          <w:szCs w:val="22"/>
        </w:rPr>
        <w:t xml:space="preserve">Uncertainty-Aware Multimodal Emotion Recognition through Dirichlet Parameterization — arXiv:2602.09121 (2026)</w:t>
      </w:r>
    </w:p>
    <w:p>
      <w:pPr>
        <w:pStyle w:val="ListParagraph"/>
        <w:numPr>
          <w:ilvl w:val="0"/>
          <w:numId w:val="1"/>
        </w:numPr>
        <w:spacing w:after="80"/>
      </w:pPr>
      <w:r>
        <w:rPr>
          <w:rFonts w:ascii="Calibri" w:cs="Calibri" w:eastAsia="Calibri" w:hAnsi="Calibri"/>
          <w:sz w:val="22"/>
          <w:szCs w:val="22"/>
        </w:rPr>
        <w:t xml:space="preserve">ESED: Emotion-Specific Evidence Decomposition for Uncertainty-Aware MER in Conversation — ACM CIKM 2025 (dl.acm.org/doi/10.1145/3746252.3761430)</w:t>
      </w:r>
    </w:p>
    <w:p>
      <w:pPr>
        <w:pStyle w:val="ListParagraph"/>
        <w:numPr>
          <w:ilvl w:val="0"/>
          <w:numId w:val="1"/>
        </w:numPr>
        <w:spacing w:after="80"/>
      </w:pPr>
      <w:r>
        <w:rPr>
          <w:rFonts w:ascii="Calibri" w:cs="Calibri" w:eastAsia="Calibri" w:hAnsi="Calibri"/>
          <w:sz w:val="22"/>
          <w:szCs w:val="22"/>
        </w:rPr>
        <w:t xml:space="preserve">Latent Distribution Decouple for Uncertain-Aware Multimodal Multi-label Emotion Recognition — ACL Findings 2025 (aclanthology.org/2025.findings-acl.1238)</w:t>
      </w:r>
    </w:p>
    <w:p>
      <w:pPr>
        <w:pStyle w:val="ListParagraph"/>
        <w:numPr>
          <w:ilvl w:val="0"/>
          <w:numId w:val="1"/>
        </w:numPr>
        <w:spacing w:after="80"/>
      </w:pPr>
      <w:r>
        <w:rPr>
          <w:rFonts w:ascii="Calibri" w:cs="Calibri" w:eastAsia="Calibri" w:hAnsi="Calibri"/>
          <w:sz w:val="22"/>
          <w:szCs w:val="22"/>
        </w:rPr>
        <w:t xml:space="preserve">Wang, R. et al. — Husformer: A Multimodal Transformer for Multimodal Human State Recognition — IEEE Trans. Cognitive and Developmental Systems, 2024 (arXiv:2209.15182)</w:t>
      </w:r>
    </w:p>
    <w:p>
      <w:pPr>
        <w:pStyle w:val="ListParagraph"/>
        <w:numPr>
          <w:ilvl w:val="0"/>
          <w:numId w:val="1"/>
        </w:numPr>
        <w:spacing w:after="80"/>
      </w:pPr>
      <w:r>
        <w:rPr>
          <w:rFonts w:ascii="Calibri" w:cs="Calibri" w:eastAsia="Calibri" w:hAnsi="Calibri"/>
          <w:sz w:val="22"/>
          <w:szCs w:val="22"/>
        </w:rPr>
        <w:t xml:space="preserve">A Unified Framework for Multimodal Emotion Recognition Across Homogeneous and Heterogeneous Modalities with Adaptive Fusion — ScienceDirect, 2025</w:t>
      </w:r>
    </w:p>
    <w:p>
      <w:pPr>
        <w:pStyle w:val="ListParagraph"/>
        <w:numPr>
          <w:ilvl w:val="0"/>
          <w:numId w:val="1"/>
        </w:numPr>
        <w:spacing w:after="80"/>
      </w:pPr>
      <w:r>
        <w:rPr>
          <w:rFonts w:ascii="Calibri" w:cs="Calibri" w:eastAsia="Calibri" w:hAnsi="Calibri"/>
          <w:sz w:val="22"/>
          <w:szCs w:val="22"/>
        </w:rPr>
        <w:t xml:space="preserve">APPLE: Toward General Active Perception — OpenReview, 2025</w:t>
      </w:r>
    </w:p>
    <w:p>
      <w:pPr>
        <w:pStyle w:val="ListParagraph"/>
        <w:numPr>
          <w:ilvl w:val="0"/>
          <w:numId w:val="1"/>
        </w:numPr>
        <w:spacing w:after="80"/>
      </w:pPr>
      <w:r>
        <w:rPr>
          <w:rFonts w:ascii="Calibri" w:cs="Calibri" w:eastAsia="Calibri" w:hAnsi="Calibri"/>
          <w:sz w:val="22"/>
          <w:szCs w:val="22"/>
        </w:rPr>
        <w:t xml:space="preserve">Active Inference for Micro-Gesture Recognition: EFE-Guided Temporal Sampling — arXiv:2603.07559 (2026)</w:t>
      </w:r>
    </w:p>
    <w:p>
      <w:pPr>
        <w:pStyle w:val="ListParagraph"/>
        <w:numPr>
          <w:ilvl w:val="0"/>
          <w:numId w:val="1"/>
        </w:numPr>
        <w:spacing w:after="80"/>
      </w:pPr>
      <w:r>
        <w:rPr>
          <w:rFonts w:ascii="Calibri" w:cs="Calibri" w:eastAsia="Calibri" w:hAnsi="Calibri"/>
          <w:sz w:val="22"/>
          <w:szCs w:val="22"/>
        </w:rPr>
        <w:t xml:space="preserve">Energy-Aware Deep Learning on Resource-Constrained Hardware — arXiv:2505.12523 (2025)</w:t>
      </w:r>
    </w:p>
    <w:p>
      <w:pPr>
        <w:pStyle w:val="ListParagraph"/>
        <w:numPr>
          <w:ilvl w:val="0"/>
          <w:numId w:val="1"/>
        </w:numPr>
        <w:spacing w:after="80"/>
      </w:pPr>
      <w:r>
        <w:rPr>
          <w:rFonts w:ascii="Calibri" w:cs="Calibri" w:eastAsia="Calibri" w:hAnsi="Calibri"/>
          <w:sz w:val="22"/>
          <w:szCs w:val="22"/>
        </w:rPr>
        <w:t xml:space="preserve">Chhikara, P. et al. — Mem0: Building Production-Ready AI Agents with Scalable Long-Term Memory — arXiv:2504.19413 (2025)</w:t>
      </w:r>
    </w:p>
    <w:p>
      <w:pPr>
        <w:pStyle w:val="ListParagraph"/>
        <w:numPr>
          <w:ilvl w:val="0"/>
          <w:numId w:val="1"/>
        </w:numPr>
        <w:spacing w:after="80"/>
      </w:pPr>
      <w:r>
        <w:rPr>
          <w:rFonts w:ascii="Calibri" w:cs="Calibri" w:eastAsia="Calibri" w:hAnsi="Calibri"/>
          <w:sz w:val="22"/>
          <w:szCs w:val="22"/>
        </w:rPr>
        <w:t xml:space="preserve">Rasmussen, P. et al. — Zep: A Temporal Knowledge Graph Architecture for Agent Memory — arXiv:2501.13956 (2025)</w:t>
      </w:r>
    </w:p>
    <w:p>
      <w:pPr>
        <w:pStyle w:val="ListParagraph"/>
        <w:numPr>
          <w:ilvl w:val="0"/>
          <w:numId w:val="1"/>
        </w:numPr>
        <w:spacing w:after="80"/>
      </w:pPr>
      <w:r>
        <w:rPr>
          <w:rFonts w:ascii="Calibri" w:cs="Calibri" w:eastAsia="Calibri" w:hAnsi="Calibri"/>
          <w:sz w:val="22"/>
          <w:szCs w:val="22"/>
        </w:rPr>
        <w:t xml:space="preserve">Gutiérrez, B.J. et al. — HippoRAG: Neurobiologically Inspired Long-Term Memory for LLMs — NeurIPS 2024</w:t>
      </w:r>
    </w:p>
    <w:p>
      <w:pPr>
        <w:pStyle w:val="ListParagraph"/>
        <w:numPr>
          <w:ilvl w:val="0"/>
          <w:numId w:val="1"/>
        </w:numPr>
        <w:spacing w:after="80"/>
      </w:pPr>
      <w:r>
        <w:rPr>
          <w:rFonts w:ascii="Calibri" w:cs="Calibri" w:eastAsia="Calibri" w:hAnsi="Calibri"/>
          <w:sz w:val="22"/>
          <w:szCs w:val="22"/>
        </w:rPr>
        <w:t xml:space="preserve">Lu, J. and Li, Y. — Dynamic Affective Memory Management for Personalized LLM Agents (DABench) — arXiv:2510.27418 (2025)</w:t>
      </w:r>
    </w:p>
    <w:p>
      <w:pPr>
        <w:pStyle w:val="ListParagraph"/>
        <w:numPr>
          <w:ilvl w:val="0"/>
          <w:numId w:val="1"/>
        </w:numPr>
        <w:spacing w:after="80"/>
      </w:pPr>
      <w:r>
        <w:rPr>
          <w:rFonts w:ascii="Calibri" w:cs="Calibri" w:eastAsia="Calibri" w:hAnsi="Calibri"/>
          <w:sz w:val="22"/>
          <w:szCs w:val="22"/>
        </w:rPr>
        <w:t xml:space="preserve">Position: Episodic Memory is the Missing Piece for Long-Term LLM Agents — arXiv:2502.06975 (2025)</w:t>
      </w:r>
    </w:p>
    <w:p>
      <w:pPr>
        <w:pStyle w:val="ListParagraph"/>
        <w:numPr>
          <w:ilvl w:val="0"/>
          <w:numId w:val="1"/>
        </w:numPr>
        <w:spacing w:after="80"/>
      </w:pPr>
      <w:r>
        <w:rPr>
          <w:rFonts w:ascii="Calibri" w:cs="Calibri" w:eastAsia="Calibri" w:hAnsi="Calibri"/>
          <w:sz w:val="22"/>
          <w:szCs w:val="22"/>
        </w:rPr>
        <w:t xml:space="preserve">Rafailov, R. et al. — Direct Preference Optimization: Your Language Model is Secretly a Reward Model — NeurIPS 2023</w:t>
      </w:r>
    </w:p>
    <w:p>
      <w:pPr>
        <w:pStyle w:val="ListParagraph"/>
        <w:numPr>
          <w:ilvl w:val="0"/>
          <w:numId w:val="1"/>
        </w:numPr>
        <w:spacing w:after="80"/>
      </w:pPr>
      <w:r>
        <w:rPr>
          <w:rFonts w:ascii="Calibri" w:cs="Calibri" w:eastAsia="Calibri" w:hAnsi="Calibri"/>
          <w:sz w:val="22"/>
          <w:szCs w:val="22"/>
        </w:rPr>
        <w:t xml:space="preserve">A Comprehensive Survey of Direct Preference Optimization: Datasets, Theories, Variants, and Applications — arXiv:2410.15595 (2024-2025)</w:t>
      </w:r>
    </w:p>
    <w:p>
      <w:pPr>
        <w:pStyle w:val="ListParagraph"/>
        <w:numPr>
          <w:ilvl w:val="0"/>
          <w:numId w:val="1"/>
        </w:numPr>
        <w:spacing w:after="80"/>
      </w:pPr>
      <w:r>
        <w:rPr>
          <w:rFonts w:ascii="Calibri" w:cs="Calibri" w:eastAsia="Calibri" w:hAnsi="Calibri"/>
          <w:sz w:val="22"/>
          <w:szCs w:val="22"/>
        </w:rPr>
        <w:t xml:space="preserve">Accelerating Deep Learning Inference: A Comparative Analysis of Modern Acceleration Frameworks (PyTorch/ONNX Runtime/TensorRT/TVM/JAX on Jetson AGX Orin) — MDPI Electronics, 2025</w:t>
      </w:r>
    </w:p>
    <w:p>
      <w:pPr>
        <w:pStyle w:val="ListParagraph"/>
        <w:numPr>
          <w:ilvl w:val="0"/>
          <w:numId w:val="1"/>
        </w:numPr>
        <w:spacing w:after="80"/>
      </w:pPr>
      <w:r>
        <w:rPr>
          <w:rFonts w:ascii="Calibri" w:cs="Calibri" w:eastAsia="Calibri" w:hAnsi="Calibri"/>
          <w:sz w:val="22"/>
          <w:szCs w:val="22"/>
        </w:rPr>
        <w:t xml:space="preserve">Review of Large YOLOv8 and RT-DETR Energy Efficiency on Edge Devices — Scientific Reports, 2026</w:t>
      </w:r>
    </w:p>
    <w:p>
      <w:pPr>
        <w:pStyle w:val="ListParagraph"/>
        <w:numPr>
          <w:ilvl w:val="0"/>
          <w:numId w:val="1"/>
        </w:numPr>
        <w:spacing w:after="80"/>
      </w:pPr>
      <w:r>
        <w:rPr>
          <w:rFonts w:ascii="Calibri" w:cs="Calibri" w:eastAsia="Calibri" w:hAnsi="Calibri"/>
          <w:sz w:val="22"/>
          <w:szCs w:val="22"/>
        </w:rPr>
        <w:t xml:space="preserve">US Patent 20240407686 — AI Based Remote Emotion Detection and Control System — Justia Patents (2024)</w:t>
      </w:r>
    </w:p>
    <w:p>
      <w:pPr>
        <w:pStyle w:val="ListParagraph"/>
        <w:numPr>
          <w:ilvl w:val="0"/>
          <w:numId w:val="1"/>
        </w:numPr>
        <w:spacing w:after="80"/>
      </w:pPr>
      <w:r>
        <w:rPr>
          <w:rFonts w:ascii="Calibri" w:cs="Calibri" w:eastAsia="Calibri" w:hAnsi="Calibri"/>
          <w:sz w:val="22"/>
          <w:szCs w:val="22"/>
        </w:rPr>
        <w:t xml:space="preserve">US Patent 20240090807A1 — Wearable Device and Method for Stress Detection, Emotion Recognition and Emotion Management — Google Patents (2024)</w:t>
      </w:r>
    </w:p>
    <w:p>
      <w:pPr>
        <w:pStyle w:val="ListParagraph"/>
        <w:numPr>
          <w:ilvl w:val="0"/>
          <w:numId w:val="1"/>
        </w:numPr>
        <w:spacing w:after="80"/>
      </w:pPr>
      <w:r>
        <w:rPr>
          <w:rFonts w:ascii="Calibri" w:cs="Calibri" w:eastAsia="Calibri" w:hAnsi="Calibri"/>
          <w:sz w:val="22"/>
          <w:szCs w:val="22"/>
        </w:rPr>
        <w:t xml:space="preserve">US Patent 8017411 — Dynamic Adaptive Sampling Rate for Model Prediction — USPTO</w:t>
      </w:r>
    </w:p>
    <w:p>
      <w:pPr>
        <w:pStyle w:val="ListParagraph"/>
        <w:numPr>
          <w:ilvl w:val="0"/>
          <w:numId w:val="1"/>
        </w:numPr>
        <w:spacing w:after="80"/>
      </w:pPr>
      <w:r>
        <w:rPr>
          <w:rFonts w:ascii="Calibri" w:cs="Calibri" w:eastAsia="Calibri" w:hAnsi="Calibri"/>
          <w:sz w:val="22"/>
          <w:szCs w:val="22"/>
        </w:rPr>
        <w:t xml:space="preserve">US Patent 9397685 — Sensor with Low Power Model Based Feature Extractor — USPTO</w:t>
      </w:r>
    </w:p>
    <w:p>
      <w:pPr>
        <w:pStyle w:val="ListParagraph"/>
        <w:numPr>
          <w:ilvl w:val="0"/>
          <w:numId w:val="1"/>
        </w:numPr>
        <w:spacing w:after="80"/>
      </w:pPr>
      <w:r>
        <w:rPr>
          <w:rFonts w:ascii="Calibri" w:cs="Calibri" w:eastAsia="Calibri" w:hAnsi="Calibri"/>
          <w:sz w:val="22"/>
          <w:szCs w:val="22"/>
        </w:rPr>
        <w:t xml:space="preserve">US Patent 9002100B2 — Model Uncertainty Visualization for Active Learning — Google Patents</w:t>
      </w:r>
    </w:p>
    <w:p>
      <w:pPr>
        <w:spacing w:after="160" w:line="276"/>
        <w:jc w:val="both"/>
      </w:pPr>
      <w:r>
        <w:rPr>
          <w:rFonts w:ascii="Calibri" w:cs="Calibri" w:eastAsia="Calibri" w:hAnsi="Calibri"/>
          <w:sz w:val="22"/>
          <w:szCs w:val="22"/>
        </w:rPr>
        <w:t xml:space="preserve">This is a representative, not exhaustive, set of sources; a full systematic review (target: 80-150 papers, per the main document's Part I literature-survey scope) should be conducted before final manuscript submission.</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AHSEF — Technical Implementation Plan &amp;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1F4E79"/>
      <w:sz w:val="28"/>
      <w:szCs w:val="28"/>
    </w:rPr>
  </w:style>
  <w:style w:type="paragraph" w:styleId="Heading2">
    <w:name w:val="Heading 2"/>
    <w:basedOn w:val="Normal"/>
    <w:next w:val="Normal"/>
    <w:qFormat/>
    <w:rPr>
      <w:rFonts w:ascii="Calibri" w:cs="Calibri" w:eastAsia="Calibri" w:hAnsi="Calibri"/>
      <w:b/>
      <w:bCs/>
      <w:color w:val="2E75B6"/>
      <w:sz w:val="24"/>
      <w:szCs w:val="24"/>
    </w:rPr>
  </w:style>
  <w:style w:type="paragraph" w:styleId="Heading3">
    <w:name w:val="Heading 3"/>
    <w:basedOn w:val="Normal"/>
    <w:next w:val="Normal"/>
    <w:qFormat/>
    <w:rPr>
      <w:rFonts w:ascii="Calibri" w:cs="Calibri" w:eastAsia="Calibri" w:hAnsi="Calibri"/>
      <w:b/>
      <w:bCs/>
      <w:i/>
      <w:iCs/>
      <w:color w:val="1F4E7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2026-07-12T15:06:17.724Z</dcterms:created>
  <dcterms:modified xsi:type="dcterms:W3CDTF">2026-07-12T15:06:17.737Z</dcterms:modified>
</cp:coreProperties>
</file>

<file path=docProps/custom.xml><?xml version="1.0" encoding="utf-8"?>
<Properties xmlns="http://schemas.openxmlformats.org/officeDocument/2006/custom-properties" xmlns:vt="http://schemas.openxmlformats.org/officeDocument/2006/docPropsVTypes"/>
</file>